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6B0F028E" w:rsidR="00F02AEC" w:rsidRPr="00215D48" w:rsidRDefault="00346EC2" w:rsidP="007452E8">
            <w:pPr>
              <w:pStyle w:val="Title"/>
            </w:pPr>
            <w:r w:rsidRPr="00346EC2">
              <w:t xml:space="preserve">Australian Public Assessment Report for </w:t>
            </w:r>
            <w:r w:rsidR="0027665C">
              <w:t>Exdensur</w:t>
            </w:r>
            <w:fldSimple w:instr="DOCVARIABLE vault_nd_fd7a5b69-e9ea-4592-bfe4-59df6ade65b4 \* MERGEFORMAT">
              <w:r w:rsidR="008A6BD8">
                <w:t xml:space="preserve"> </w:t>
              </w:r>
            </w:fldSimple>
          </w:p>
        </w:tc>
      </w:tr>
      <w:tr w:rsidR="00F02AEC" w:rsidRPr="00215D48" w14:paraId="318A40A3" w14:textId="77777777" w:rsidTr="00346EC2">
        <w:trPr>
          <w:trHeight w:val="995"/>
        </w:trPr>
        <w:tc>
          <w:tcPr>
            <w:tcW w:w="8720" w:type="dxa"/>
          </w:tcPr>
          <w:p w14:paraId="1AA7C701" w14:textId="330CE973" w:rsidR="00F02AEC" w:rsidRPr="00215D48" w:rsidRDefault="00346EC2" w:rsidP="007452E8">
            <w:pPr>
              <w:pStyle w:val="Subtitle"/>
              <w:ind w:left="0"/>
            </w:pPr>
            <w:r w:rsidRPr="00346EC2">
              <w:t xml:space="preserve">Active ingredient: </w:t>
            </w:r>
            <w:proofErr w:type="spellStart"/>
            <w:r w:rsidR="00A16F18">
              <w:t>D</w:t>
            </w:r>
            <w:r w:rsidR="000A1E8B" w:rsidRPr="000A1E8B">
              <w:t>epemokimab</w:t>
            </w:r>
            <w:proofErr w:type="spellEnd"/>
          </w:p>
        </w:tc>
      </w:tr>
      <w:tr w:rsidR="00346EC2" w:rsidRPr="00215D48" w14:paraId="362CCAE4" w14:textId="77777777" w:rsidTr="007452E8">
        <w:trPr>
          <w:trHeight w:val="1916"/>
        </w:trPr>
        <w:tc>
          <w:tcPr>
            <w:tcW w:w="8720" w:type="dxa"/>
          </w:tcPr>
          <w:p w14:paraId="709C45C0" w14:textId="05C84836" w:rsidR="00346EC2" w:rsidRPr="00215D48" w:rsidRDefault="00346EC2" w:rsidP="007452E8">
            <w:pPr>
              <w:pStyle w:val="Subtitle"/>
              <w:ind w:left="0"/>
            </w:pPr>
            <w:r w:rsidRPr="00346EC2">
              <w:t>Sponsor:</w:t>
            </w:r>
            <w:r w:rsidR="00E26B1F">
              <w:t xml:space="preserve"> </w:t>
            </w:r>
            <w:r w:rsidR="00E26B1F" w:rsidRPr="00E26B1F">
              <w:t>GlaxoSmithKline Australia Pty Ltd</w:t>
            </w:r>
          </w:p>
        </w:tc>
      </w:tr>
      <w:tr w:rsidR="00F02AEC" w:rsidRPr="00215D48" w14:paraId="37F2AA1F" w14:textId="77777777" w:rsidTr="007452E8">
        <w:tc>
          <w:tcPr>
            <w:tcW w:w="8720" w:type="dxa"/>
          </w:tcPr>
          <w:p w14:paraId="1FDE8DCD" w14:textId="20DE41DC" w:rsidR="00F02AEC" w:rsidRPr="00215D48" w:rsidRDefault="00E26B1F" w:rsidP="007452E8">
            <w:pPr>
              <w:pStyle w:val="Date"/>
            </w:pPr>
            <w:r>
              <w:t>September 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2170A423" w14:textId="01EB7ED8" w:rsidR="00346EC2" w:rsidRPr="001F6CBA" w:rsidRDefault="00346EC2" w:rsidP="00346EC2">
      <w:pPr>
        <w:pStyle w:val="NonTOCHeading20"/>
      </w:pPr>
      <w:r w:rsidRPr="001F6CBA">
        <w:lastRenderedPageBreak/>
        <w:t>About the Therapeutic Goods Administration (TGA)</w:t>
      </w:r>
      <w:fldSimple w:instr="DOCVARIABLE vault_nd_d1f6c3c9-418a-4df9-8007-83a55ceefdb5 \* MERGEFORMAT">
        <w:r w:rsidR="008A6BD8">
          <w:t xml:space="preserve"> </w:t>
        </w:r>
      </w:fldSimple>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6" w:history="1">
        <w:r w:rsidRPr="00A63C07">
          <w:rPr>
            <w:rStyle w:val="Hyperlink"/>
          </w:rPr>
          <w:t>TGA website</w:t>
        </w:r>
      </w:hyperlink>
      <w:r w:rsidRPr="003C6D1F">
        <w:t>.</w:t>
      </w:r>
    </w:p>
    <w:p w14:paraId="737B7A99" w14:textId="42C2909C" w:rsidR="00346EC2" w:rsidRDefault="00346EC2" w:rsidP="00346EC2">
      <w:pPr>
        <w:pStyle w:val="NonTOCHeading20"/>
      </w:pPr>
      <w:r>
        <w:t>About AusPARs</w:t>
      </w:r>
      <w:fldSimple w:instr="DOCVARIABLE vault_nd_74429020-cabc-47ab-bed4-4fb02879c871 \* MERGEFORMAT">
        <w:r w:rsidR="008A6BD8">
          <w:t xml:space="preserve"> </w:t>
        </w:r>
      </w:fldSimple>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7"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3453AE7" w:rsidR="00F02AEC" w:rsidRPr="00E1198B" w:rsidRDefault="00F02AEC" w:rsidP="00FE087C">
      <w:pPr>
        <w:pStyle w:val="LegalSubheading"/>
        <w:spacing w:before="3600"/>
      </w:pPr>
      <w:r w:rsidRPr="00BA0DFC">
        <w:t>Copyright</w:t>
      </w:r>
      <w:fldSimple w:instr="DOCVARIABLE vault_nd_efa28acc-5ee6-458d-8885-935b4717b793 \* MERGEFORMAT">
        <w:r w:rsidR="008A6BD8">
          <w:t xml:space="preserve"> </w:t>
        </w:r>
      </w:fldSimple>
    </w:p>
    <w:p w14:paraId="170A8A5D" w14:textId="455956F2" w:rsidR="00175CD8" w:rsidRPr="00346EC2" w:rsidRDefault="00F02AEC" w:rsidP="00346EC2">
      <w:pPr>
        <w:pStyle w:val="LegalCopy"/>
        <w:rPr>
          <w:rFonts w:cs="Arial"/>
        </w:rPr>
      </w:pPr>
      <w:r w:rsidRPr="00215D48">
        <w:rPr>
          <w:rFonts w:cs="Arial"/>
        </w:rPr>
        <w:t>© Commonwealth of Australia 20</w:t>
      </w:r>
      <w:r>
        <w:rPr>
          <w:rFonts w:cs="Arial"/>
        </w:rPr>
        <w:t>2</w:t>
      </w:r>
      <w:r w:rsidR="004E16C6">
        <w:rPr>
          <w:rFonts w:cs="Arial"/>
        </w:rPr>
        <w:t>6</w:t>
      </w:r>
      <w:r w:rsidR="00343A60">
        <w:rPr>
          <w:rFonts w:cs="Arial"/>
        </w:rPr>
        <w:t>.</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w:t>
      </w:r>
      <w:r w:rsidR="000C5432" w:rsidRPr="00215D48">
        <w:rPr>
          <w:rFonts w:cs="Arial"/>
        </w:rPr>
        <w:t>reserved,</w:t>
      </w:r>
      <w:r w:rsidRPr="00215D48">
        <w:rPr>
          <w:rFonts w:cs="Arial"/>
        </w:rPr>
        <w:t xml:space="preserve">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8" w:history="1">
        <w:r w:rsidRPr="00215D48">
          <w:rPr>
            <w:rStyle w:val="Hyperlink"/>
            <w:rFonts w:cs="Arial"/>
          </w:rPr>
          <w:t>tga.copyright@tga.gov.au</w:t>
        </w:r>
      </w:hyperlink>
      <w:r w:rsidRPr="00215D48">
        <w:rPr>
          <w:rFonts w:cs="Arial"/>
        </w:rPr>
        <w:t>&gt;.</w:t>
      </w:r>
    </w:p>
    <w:sdt>
      <w:sdtPr>
        <w:rPr>
          <w:rFonts w:ascii="Cambria" w:eastAsiaTheme="minorEastAsia" w:hAnsi="Cambria" w:cstheme="minorBidi"/>
          <w:b w:val="0"/>
          <w:color w:val="auto"/>
          <w:sz w:val="22"/>
          <w:szCs w:val="22"/>
        </w:rPr>
        <w:id w:val="21514769"/>
        <w:docPartObj>
          <w:docPartGallery w:val="Table of Contents"/>
          <w:docPartUnique/>
        </w:docPartObj>
      </w:sdtPr>
      <w:sdtEndPr/>
      <w:sdtContent>
        <w:p w14:paraId="0A6ADA2B" w14:textId="6231A3D4" w:rsidR="00F02AEC" w:rsidRPr="00215D48" w:rsidRDefault="00F02AEC" w:rsidP="007452E8">
          <w:pPr>
            <w:pStyle w:val="NonTOCheading2"/>
          </w:pPr>
          <w:r w:rsidRPr="00215D48">
            <w:t>Contents</w:t>
          </w:r>
          <w:fldSimple w:instr="DOCVARIABLE vault_nd_d48e28bf-d4de-4f24-b390-426f32198574 \* MERGEFORMAT">
            <w:r w:rsidR="008A6BD8">
              <w:t xml:space="preserve"> </w:t>
            </w:r>
          </w:fldSimple>
        </w:p>
        <w:p w14:paraId="4C799B60" w14:textId="646E64A6" w:rsidR="0075610E" w:rsidRDefault="00F02AEC">
          <w:pPr>
            <w:pStyle w:val="TOC2"/>
            <w:rPr>
              <w:rFonts w:asciiTheme="minorHAnsi" w:eastAsiaTheme="minorEastAsia" w:hAnsiTheme="minorHAnsi" w:cstheme="minorBidi"/>
              <w:b w:val="0"/>
              <w:noProof/>
              <w:color w:val="auto"/>
              <w:kern w:val="2"/>
              <w:sz w:val="24"/>
              <w:szCs w:val="24"/>
              <w:lang w:eastAsia="en-AU"/>
              <w14:ligatures w14:val="standardContextual"/>
            </w:rPr>
          </w:pPr>
          <w:r w:rsidRPr="00215D48">
            <w:rPr>
              <w:sz w:val="32"/>
            </w:rPr>
            <w:fldChar w:fldCharType="begin"/>
          </w:r>
          <w:r w:rsidRPr="00215D48">
            <w:instrText xml:space="preserve"> TOC \h \z \u \t "Heading 2,1,Heading 3,2,Heading 4,3" </w:instrText>
          </w:r>
          <w:r w:rsidRPr="00215D48">
            <w:rPr>
              <w:sz w:val="32"/>
            </w:rPr>
            <w:fldChar w:fldCharType="separate"/>
          </w:r>
          <w:hyperlink w:anchor="_Toc241481363" w:history="1">
            <w:r w:rsidR="0075610E" w:rsidRPr="00A85101">
              <w:rPr>
                <w:rStyle w:val="Hyperlink"/>
                <w:noProof/>
              </w:rPr>
              <w:t>List of abbreviations</w:t>
            </w:r>
            <w:r w:rsidR="0075610E">
              <w:rPr>
                <w:noProof/>
                <w:webHidden/>
              </w:rPr>
              <w:tab/>
            </w:r>
            <w:r w:rsidR="0075610E">
              <w:rPr>
                <w:noProof/>
                <w:webHidden/>
              </w:rPr>
              <w:fldChar w:fldCharType="begin"/>
            </w:r>
            <w:r w:rsidR="0075610E">
              <w:rPr>
                <w:noProof/>
                <w:webHidden/>
              </w:rPr>
              <w:instrText xml:space="preserve"> PAGEREF _Toc241481363 \h </w:instrText>
            </w:r>
            <w:r w:rsidR="0075610E">
              <w:rPr>
                <w:noProof/>
                <w:webHidden/>
              </w:rPr>
            </w:r>
            <w:r w:rsidR="0075610E">
              <w:rPr>
                <w:noProof/>
                <w:webHidden/>
              </w:rPr>
              <w:fldChar w:fldCharType="separate"/>
            </w:r>
            <w:r w:rsidR="0075610E">
              <w:rPr>
                <w:noProof/>
                <w:webHidden/>
              </w:rPr>
              <w:t>4</w:t>
            </w:r>
            <w:r w:rsidR="0075610E">
              <w:rPr>
                <w:noProof/>
                <w:webHidden/>
              </w:rPr>
              <w:fldChar w:fldCharType="end"/>
            </w:r>
          </w:hyperlink>
        </w:p>
        <w:p w14:paraId="704A9899" w14:textId="0B8F68D4" w:rsidR="0075610E" w:rsidRDefault="0075610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81364" w:history="1">
            <w:r w:rsidRPr="00A85101">
              <w:rPr>
                <w:rStyle w:val="Hyperlink"/>
                <w:noProof/>
              </w:rPr>
              <w:t>Product submission</w:t>
            </w:r>
            <w:r>
              <w:rPr>
                <w:noProof/>
                <w:webHidden/>
              </w:rPr>
              <w:tab/>
            </w:r>
            <w:r>
              <w:rPr>
                <w:noProof/>
                <w:webHidden/>
              </w:rPr>
              <w:fldChar w:fldCharType="begin"/>
            </w:r>
            <w:r>
              <w:rPr>
                <w:noProof/>
                <w:webHidden/>
              </w:rPr>
              <w:instrText xml:space="preserve"> PAGEREF _Toc241481364 \h </w:instrText>
            </w:r>
            <w:r>
              <w:rPr>
                <w:noProof/>
                <w:webHidden/>
              </w:rPr>
            </w:r>
            <w:r>
              <w:rPr>
                <w:noProof/>
                <w:webHidden/>
              </w:rPr>
              <w:fldChar w:fldCharType="separate"/>
            </w:r>
            <w:r>
              <w:rPr>
                <w:noProof/>
                <w:webHidden/>
              </w:rPr>
              <w:t>7</w:t>
            </w:r>
            <w:r>
              <w:rPr>
                <w:noProof/>
                <w:webHidden/>
              </w:rPr>
              <w:fldChar w:fldCharType="end"/>
            </w:r>
          </w:hyperlink>
        </w:p>
        <w:p w14:paraId="78CD26E8" w14:textId="1EAEBC80"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65" w:history="1">
            <w:r w:rsidRPr="00A85101">
              <w:rPr>
                <w:rStyle w:val="Hyperlink"/>
                <w:noProof/>
                <w:lang w:eastAsia="en-AU"/>
              </w:rPr>
              <w:t>Submission details</w:t>
            </w:r>
            <w:r>
              <w:rPr>
                <w:noProof/>
                <w:webHidden/>
              </w:rPr>
              <w:tab/>
            </w:r>
            <w:r>
              <w:rPr>
                <w:noProof/>
                <w:webHidden/>
              </w:rPr>
              <w:fldChar w:fldCharType="begin"/>
            </w:r>
            <w:r>
              <w:rPr>
                <w:noProof/>
                <w:webHidden/>
              </w:rPr>
              <w:instrText xml:space="preserve"> PAGEREF _Toc241481365 \h </w:instrText>
            </w:r>
            <w:r>
              <w:rPr>
                <w:noProof/>
                <w:webHidden/>
              </w:rPr>
            </w:r>
            <w:r>
              <w:rPr>
                <w:noProof/>
                <w:webHidden/>
              </w:rPr>
              <w:fldChar w:fldCharType="separate"/>
            </w:r>
            <w:r>
              <w:rPr>
                <w:noProof/>
                <w:webHidden/>
              </w:rPr>
              <w:t>7</w:t>
            </w:r>
            <w:r>
              <w:rPr>
                <w:noProof/>
                <w:webHidden/>
              </w:rPr>
              <w:fldChar w:fldCharType="end"/>
            </w:r>
          </w:hyperlink>
        </w:p>
        <w:p w14:paraId="715A7FE6" w14:textId="1015FFDF"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66" w:history="1">
            <w:r w:rsidRPr="00A85101">
              <w:rPr>
                <w:rStyle w:val="Hyperlink"/>
                <w:noProof/>
              </w:rPr>
              <w:t>Product background</w:t>
            </w:r>
            <w:r>
              <w:rPr>
                <w:noProof/>
                <w:webHidden/>
              </w:rPr>
              <w:tab/>
            </w:r>
            <w:r>
              <w:rPr>
                <w:noProof/>
                <w:webHidden/>
              </w:rPr>
              <w:fldChar w:fldCharType="begin"/>
            </w:r>
            <w:r>
              <w:rPr>
                <w:noProof/>
                <w:webHidden/>
              </w:rPr>
              <w:instrText xml:space="preserve"> PAGEREF _Toc241481366 \h </w:instrText>
            </w:r>
            <w:r>
              <w:rPr>
                <w:noProof/>
                <w:webHidden/>
              </w:rPr>
            </w:r>
            <w:r>
              <w:rPr>
                <w:noProof/>
                <w:webHidden/>
              </w:rPr>
              <w:fldChar w:fldCharType="separate"/>
            </w:r>
            <w:r>
              <w:rPr>
                <w:noProof/>
                <w:webHidden/>
              </w:rPr>
              <w:t>8</w:t>
            </w:r>
            <w:r>
              <w:rPr>
                <w:noProof/>
                <w:webHidden/>
              </w:rPr>
              <w:fldChar w:fldCharType="end"/>
            </w:r>
          </w:hyperlink>
        </w:p>
        <w:p w14:paraId="37E990DE" w14:textId="7332E633"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67" w:history="1">
            <w:r w:rsidRPr="00A85101">
              <w:rPr>
                <w:rStyle w:val="Hyperlink"/>
                <w:noProof/>
              </w:rPr>
              <w:t>Conditions</w:t>
            </w:r>
            <w:r>
              <w:rPr>
                <w:noProof/>
                <w:webHidden/>
              </w:rPr>
              <w:tab/>
            </w:r>
            <w:r>
              <w:rPr>
                <w:noProof/>
                <w:webHidden/>
              </w:rPr>
              <w:fldChar w:fldCharType="begin"/>
            </w:r>
            <w:r>
              <w:rPr>
                <w:noProof/>
                <w:webHidden/>
              </w:rPr>
              <w:instrText xml:space="preserve"> PAGEREF _Toc241481367 \h </w:instrText>
            </w:r>
            <w:r>
              <w:rPr>
                <w:noProof/>
                <w:webHidden/>
              </w:rPr>
            </w:r>
            <w:r>
              <w:rPr>
                <w:noProof/>
                <w:webHidden/>
              </w:rPr>
              <w:fldChar w:fldCharType="separate"/>
            </w:r>
            <w:r>
              <w:rPr>
                <w:noProof/>
                <w:webHidden/>
              </w:rPr>
              <w:t>8</w:t>
            </w:r>
            <w:r>
              <w:rPr>
                <w:noProof/>
                <w:webHidden/>
              </w:rPr>
              <w:fldChar w:fldCharType="end"/>
            </w:r>
          </w:hyperlink>
        </w:p>
        <w:p w14:paraId="1667674C" w14:textId="216C1134"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68" w:history="1">
            <w:r w:rsidRPr="00A85101">
              <w:rPr>
                <w:rStyle w:val="Hyperlink"/>
                <w:noProof/>
              </w:rPr>
              <w:t>Current treatment options</w:t>
            </w:r>
            <w:r>
              <w:rPr>
                <w:noProof/>
                <w:webHidden/>
              </w:rPr>
              <w:tab/>
            </w:r>
            <w:r>
              <w:rPr>
                <w:noProof/>
                <w:webHidden/>
              </w:rPr>
              <w:fldChar w:fldCharType="begin"/>
            </w:r>
            <w:r>
              <w:rPr>
                <w:noProof/>
                <w:webHidden/>
              </w:rPr>
              <w:instrText xml:space="preserve"> PAGEREF _Toc241481368 \h </w:instrText>
            </w:r>
            <w:r>
              <w:rPr>
                <w:noProof/>
                <w:webHidden/>
              </w:rPr>
            </w:r>
            <w:r>
              <w:rPr>
                <w:noProof/>
                <w:webHidden/>
              </w:rPr>
              <w:fldChar w:fldCharType="separate"/>
            </w:r>
            <w:r>
              <w:rPr>
                <w:noProof/>
                <w:webHidden/>
              </w:rPr>
              <w:t>10</w:t>
            </w:r>
            <w:r>
              <w:rPr>
                <w:noProof/>
                <w:webHidden/>
              </w:rPr>
              <w:fldChar w:fldCharType="end"/>
            </w:r>
          </w:hyperlink>
        </w:p>
        <w:p w14:paraId="17F28F80" w14:textId="320039D1"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69" w:history="1">
            <w:r w:rsidRPr="00A85101">
              <w:rPr>
                <w:rStyle w:val="Hyperlink"/>
                <w:noProof/>
              </w:rPr>
              <w:t>Clinical rationale</w:t>
            </w:r>
            <w:r>
              <w:rPr>
                <w:noProof/>
                <w:webHidden/>
              </w:rPr>
              <w:tab/>
            </w:r>
            <w:r>
              <w:rPr>
                <w:noProof/>
                <w:webHidden/>
              </w:rPr>
              <w:fldChar w:fldCharType="begin"/>
            </w:r>
            <w:r>
              <w:rPr>
                <w:noProof/>
                <w:webHidden/>
              </w:rPr>
              <w:instrText xml:space="preserve"> PAGEREF _Toc241481369 \h </w:instrText>
            </w:r>
            <w:r>
              <w:rPr>
                <w:noProof/>
                <w:webHidden/>
              </w:rPr>
            </w:r>
            <w:r>
              <w:rPr>
                <w:noProof/>
                <w:webHidden/>
              </w:rPr>
              <w:fldChar w:fldCharType="separate"/>
            </w:r>
            <w:r>
              <w:rPr>
                <w:noProof/>
                <w:webHidden/>
              </w:rPr>
              <w:t>12</w:t>
            </w:r>
            <w:r>
              <w:rPr>
                <w:noProof/>
                <w:webHidden/>
              </w:rPr>
              <w:fldChar w:fldCharType="end"/>
            </w:r>
          </w:hyperlink>
        </w:p>
        <w:p w14:paraId="4F77E084" w14:textId="7886B727"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70" w:history="1">
            <w:r w:rsidRPr="00A85101">
              <w:rPr>
                <w:rStyle w:val="Hyperlink"/>
                <w:noProof/>
              </w:rPr>
              <w:t>Regulatory status</w:t>
            </w:r>
            <w:r>
              <w:rPr>
                <w:noProof/>
                <w:webHidden/>
              </w:rPr>
              <w:tab/>
            </w:r>
            <w:r>
              <w:rPr>
                <w:noProof/>
                <w:webHidden/>
              </w:rPr>
              <w:fldChar w:fldCharType="begin"/>
            </w:r>
            <w:r>
              <w:rPr>
                <w:noProof/>
                <w:webHidden/>
              </w:rPr>
              <w:instrText xml:space="preserve"> PAGEREF _Toc241481370 \h </w:instrText>
            </w:r>
            <w:r>
              <w:rPr>
                <w:noProof/>
                <w:webHidden/>
              </w:rPr>
            </w:r>
            <w:r>
              <w:rPr>
                <w:noProof/>
                <w:webHidden/>
              </w:rPr>
              <w:fldChar w:fldCharType="separate"/>
            </w:r>
            <w:r>
              <w:rPr>
                <w:noProof/>
                <w:webHidden/>
              </w:rPr>
              <w:t>13</w:t>
            </w:r>
            <w:r>
              <w:rPr>
                <w:noProof/>
                <w:webHidden/>
              </w:rPr>
              <w:fldChar w:fldCharType="end"/>
            </w:r>
          </w:hyperlink>
        </w:p>
        <w:p w14:paraId="44ECF893" w14:textId="5BA8037C"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71" w:history="1">
            <w:r w:rsidRPr="00A85101">
              <w:rPr>
                <w:rStyle w:val="Hyperlink"/>
                <w:noProof/>
              </w:rPr>
              <w:t>Australian regulatory status</w:t>
            </w:r>
            <w:r>
              <w:rPr>
                <w:noProof/>
                <w:webHidden/>
              </w:rPr>
              <w:tab/>
            </w:r>
            <w:r>
              <w:rPr>
                <w:noProof/>
                <w:webHidden/>
              </w:rPr>
              <w:fldChar w:fldCharType="begin"/>
            </w:r>
            <w:r>
              <w:rPr>
                <w:noProof/>
                <w:webHidden/>
              </w:rPr>
              <w:instrText xml:space="preserve"> PAGEREF _Toc241481371 \h </w:instrText>
            </w:r>
            <w:r>
              <w:rPr>
                <w:noProof/>
                <w:webHidden/>
              </w:rPr>
            </w:r>
            <w:r>
              <w:rPr>
                <w:noProof/>
                <w:webHidden/>
              </w:rPr>
              <w:fldChar w:fldCharType="separate"/>
            </w:r>
            <w:r>
              <w:rPr>
                <w:noProof/>
                <w:webHidden/>
              </w:rPr>
              <w:t>13</w:t>
            </w:r>
            <w:r>
              <w:rPr>
                <w:noProof/>
                <w:webHidden/>
              </w:rPr>
              <w:fldChar w:fldCharType="end"/>
            </w:r>
          </w:hyperlink>
        </w:p>
        <w:p w14:paraId="52090A53" w14:textId="5DFB080A"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72" w:history="1">
            <w:r w:rsidRPr="00A85101">
              <w:rPr>
                <w:rStyle w:val="Hyperlink"/>
                <w:noProof/>
              </w:rPr>
              <w:t>International regulatory status</w:t>
            </w:r>
            <w:r>
              <w:rPr>
                <w:noProof/>
                <w:webHidden/>
              </w:rPr>
              <w:tab/>
            </w:r>
            <w:r>
              <w:rPr>
                <w:noProof/>
                <w:webHidden/>
              </w:rPr>
              <w:fldChar w:fldCharType="begin"/>
            </w:r>
            <w:r>
              <w:rPr>
                <w:noProof/>
                <w:webHidden/>
              </w:rPr>
              <w:instrText xml:space="preserve"> PAGEREF _Toc241481372 \h </w:instrText>
            </w:r>
            <w:r>
              <w:rPr>
                <w:noProof/>
                <w:webHidden/>
              </w:rPr>
            </w:r>
            <w:r>
              <w:rPr>
                <w:noProof/>
                <w:webHidden/>
              </w:rPr>
              <w:fldChar w:fldCharType="separate"/>
            </w:r>
            <w:r>
              <w:rPr>
                <w:noProof/>
                <w:webHidden/>
              </w:rPr>
              <w:t>13</w:t>
            </w:r>
            <w:r>
              <w:rPr>
                <w:noProof/>
                <w:webHidden/>
              </w:rPr>
              <w:fldChar w:fldCharType="end"/>
            </w:r>
          </w:hyperlink>
        </w:p>
        <w:p w14:paraId="3FDDF3B6" w14:textId="2BCDFF9E" w:rsidR="0075610E" w:rsidRDefault="0075610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81373" w:history="1">
            <w:r w:rsidRPr="00A85101">
              <w:rPr>
                <w:rStyle w:val="Hyperlink"/>
                <w:noProof/>
              </w:rPr>
              <w:t>Registration timeline</w:t>
            </w:r>
            <w:r>
              <w:rPr>
                <w:noProof/>
                <w:webHidden/>
              </w:rPr>
              <w:tab/>
            </w:r>
            <w:r>
              <w:rPr>
                <w:noProof/>
                <w:webHidden/>
              </w:rPr>
              <w:fldChar w:fldCharType="begin"/>
            </w:r>
            <w:r>
              <w:rPr>
                <w:noProof/>
                <w:webHidden/>
              </w:rPr>
              <w:instrText xml:space="preserve"> PAGEREF _Toc241481373 \h </w:instrText>
            </w:r>
            <w:r>
              <w:rPr>
                <w:noProof/>
                <w:webHidden/>
              </w:rPr>
            </w:r>
            <w:r>
              <w:rPr>
                <w:noProof/>
                <w:webHidden/>
              </w:rPr>
              <w:fldChar w:fldCharType="separate"/>
            </w:r>
            <w:r>
              <w:rPr>
                <w:noProof/>
                <w:webHidden/>
              </w:rPr>
              <w:t>15</w:t>
            </w:r>
            <w:r>
              <w:rPr>
                <w:noProof/>
                <w:webHidden/>
              </w:rPr>
              <w:fldChar w:fldCharType="end"/>
            </w:r>
          </w:hyperlink>
        </w:p>
        <w:p w14:paraId="40DB53A0" w14:textId="1A3ADED1" w:rsidR="0075610E" w:rsidRDefault="0075610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81374" w:history="1">
            <w:r w:rsidRPr="00A85101">
              <w:rPr>
                <w:rStyle w:val="Hyperlink"/>
                <w:noProof/>
              </w:rPr>
              <w:t>Assessment overview</w:t>
            </w:r>
            <w:r>
              <w:rPr>
                <w:noProof/>
                <w:webHidden/>
              </w:rPr>
              <w:tab/>
            </w:r>
            <w:r>
              <w:rPr>
                <w:noProof/>
                <w:webHidden/>
              </w:rPr>
              <w:fldChar w:fldCharType="begin"/>
            </w:r>
            <w:r>
              <w:rPr>
                <w:noProof/>
                <w:webHidden/>
              </w:rPr>
              <w:instrText xml:space="preserve"> PAGEREF _Toc241481374 \h </w:instrText>
            </w:r>
            <w:r>
              <w:rPr>
                <w:noProof/>
                <w:webHidden/>
              </w:rPr>
            </w:r>
            <w:r>
              <w:rPr>
                <w:noProof/>
                <w:webHidden/>
              </w:rPr>
              <w:fldChar w:fldCharType="separate"/>
            </w:r>
            <w:r>
              <w:rPr>
                <w:noProof/>
                <w:webHidden/>
              </w:rPr>
              <w:t>15</w:t>
            </w:r>
            <w:r>
              <w:rPr>
                <w:noProof/>
                <w:webHidden/>
              </w:rPr>
              <w:fldChar w:fldCharType="end"/>
            </w:r>
          </w:hyperlink>
        </w:p>
        <w:p w14:paraId="3923F80B" w14:textId="36717800"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75" w:history="1">
            <w:r w:rsidRPr="00A85101">
              <w:rPr>
                <w:rStyle w:val="Hyperlink"/>
                <w:noProof/>
              </w:rPr>
              <w:t>Quality evaluation summary</w:t>
            </w:r>
            <w:r>
              <w:rPr>
                <w:noProof/>
                <w:webHidden/>
              </w:rPr>
              <w:tab/>
            </w:r>
            <w:r>
              <w:rPr>
                <w:noProof/>
                <w:webHidden/>
              </w:rPr>
              <w:fldChar w:fldCharType="begin"/>
            </w:r>
            <w:r>
              <w:rPr>
                <w:noProof/>
                <w:webHidden/>
              </w:rPr>
              <w:instrText xml:space="preserve"> PAGEREF _Toc241481375 \h </w:instrText>
            </w:r>
            <w:r>
              <w:rPr>
                <w:noProof/>
                <w:webHidden/>
              </w:rPr>
            </w:r>
            <w:r>
              <w:rPr>
                <w:noProof/>
                <w:webHidden/>
              </w:rPr>
              <w:fldChar w:fldCharType="separate"/>
            </w:r>
            <w:r>
              <w:rPr>
                <w:noProof/>
                <w:webHidden/>
              </w:rPr>
              <w:t>16</w:t>
            </w:r>
            <w:r>
              <w:rPr>
                <w:noProof/>
                <w:webHidden/>
              </w:rPr>
              <w:fldChar w:fldCharType="end"/>
            </w:r>
          </w:hyperlink>
        </w:p>
        <w:p w14:paraId="33EF8C72" w14:textId="61F12B78"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76" w:history="1">
            <w:r w:rsidRPr="00A85101">
              <w:rPr>
                <w:rStyle w:val="Hyperlink"/>
                <w:noProof/>
              </w:rPr>
              <w:t>Nonclinical evaluation summary</w:t>
            </w:r>
            <w:r>
              <w:rPr>
                <w:noProof/>
                <w:webHidden/>
              </w:rPr>
              <w:tab/>
            </w:r>
            <w:r>
              <w:rPr>
                <w:noProof/>
                <w:webHidden/>
              </w:rPr>
              <w:fldChar w:fldCharType="begin"/>
            </w:r>
            <w:r>
              <w:rPr>
                <w:noProof/>
                <w:webHidden/>
              </w:rPr>
              <w:instrText xml:space="preserve"> PAGEREF _Toc241481376 \h </w:instrText>
            </w:r>
            <w:r>
              <w:rPr>
                <w:noProof/>
                <w:webHidden/>
              </w:rPr>
            </w:r>
            <w:r>
              <w:rPr>
                <w:noProof/>
                <w:webHidden/>
              </w:rPr>
              <w:fldChar w:fldCharType="separate"/>
            </w:r>
            <w:r>
              <w:rPr>
                <w:noProof/>
                <w:webHidden/>
              </w:rPr>
              <w:t>16</w:t>
            </w:r>
            <w:r>
              <w:rPr>
                <w:noProof/>
                <w:webHidden/>
              </w:rPr>
              <w:fldChar w:fldCharType="end"/>
            </w:r>
          </w:hyperlink>
        </w:p>
        <w:p w14:paraId="07EBD213" w14:textId="120B4C5C"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77" w:history="1">
            <w:r w:rsidRPr="00A85101">
              <w:rPr>
                <w:rStyle w:val="Hyperlink"/>
                <w:noProof/>
              </w:rPr>
              <w:t>Clinical evaluation summary</w:t>
            </w:r>
            <w:r>
              <w:rPr>
                <w:noProof/>
                <w:webHidden/>
              </w:rPr>
              <w:tab/>
            </w:r>
            <w:r>
              <w:rPr>
                <w:noProof/>
                <w:webHidden/>
              </w:rPr>
              <w:fldChar w:fldCharType="begin"/>
            </w:r>
            <w:r>
              <w:rPr>
                <w:noProof/>
                <w:webHidden/>
              </w:rPr>
              <w:instrText xml:space="preserve"> PAGEREF _Toc241481377 \h </w:instrText>
            </w:r>
            <w:r>
              <w:rPr>
                <w:noProof/>
                <w:webHidden/>
              </w:rPr>
            </w:r>
            <w:r>
              <w:rPr>
                <w:noProof/>
                <w:webHidden/>
              </w:rPr>
              <w:fldChar w:fldCharType="separate"/>
            </w:r>
            <w:r>
              <w:rPr>
                <w:noProof/>
                <w:webHidden/>
              </w:rPr>
              <w:t>17</w:t>
            </w:r>
            <w:r>
              <w:rPr>
                <w:noProof/>
                <w:webHidden/>
              </w:rPr>
              <w:fldChar w:fldCharType="end"/>
            </w:r>
          </w:hyperlink>
        </w:p>
        <w:p w14:paraId="7CE6E283" w14:textId="1A086C05"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78" w:history="1">
            <w:r w:rsidRPr="00A85101">
              <w:rPr>
                <w:rStyle w:val="Hyperlink"/>
                <w:noProof/>
              </w:rPr>
              <w:t>Summary of clinical studies</w:t>
            </w:r>
            <w:r>
              <w:rPr>
                <w:noProof/>
                <w:webHidden/>
              </w:rPr>
              <w:tab/>
            </w:r>
            <w:r>
              <w:rPr>
                <w:noProof/>
                <w:webHidden/>
              </w:rPr>
              <w:fldChar w:fldCharType="begin"/>
            </w:r>
            <w:r>
              <w:rPr>
                <w:noProof/>
                <w:webHidden/>
              </w:rPr>
              <w:instrText xml:space="preserve"> PAGEREF _Toc241481378 \h </w:instrText>
            </w:r>
            <w:r>
              <w:rPr>
                <w:noProof/>
                <w:webHidden/>
              </w:rPr>
            </w:r>
            <w:r>
              <w:rPr>
                <w:noProof/>
                <w:webHidden/>
              </w:rPr>
              <w:fldChar w:fldCharType="separate"/>
            </w:r>
            <w:r>
              <w:rPr>
                <w:noProof/>
                <w:webHidden/>
              </w:rPr>
              <w:t>17</w:t>
            </w:r>
            <w:r>
              <w:rPr>
                <w:noProof/>
                <w:webHidden/>
              </w:rPr>
              <w:fldChar w:fldCharType="end"/>
            </w:r>
          </w:hyperlink>
        </w:p>
        <w:p w14:paraId="408CC3F6" w14:textId="2C87C959"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79" w:history="1">
            <w:r w:rsidRPr="00A85101">
              <w:rPr>
                <w:rStyle w:val="Hyperlink"/>
                <w:noProof/>
              </w:rPr>
              <w:t>Pharmacology</w:t>
            </w:r>
            <w:r>
              <w:rPr>
                <w:noProof/>
                <w:webHidden/>
              </w:rPr>
              <w:tab/>
            </w:r>
            <w:r>
              <w:rPr>
                <w:noProof/>
                <w:webHidden/>
              </w:rPr>
              <w:fldChar w:fldCharType="begin"/>
            </w:r>
            <w:r>
              <w:rPr>
                <w:noProof/>
                <w:webHidden/>
              </w:rPr>
              <w:instrText xml:space="preserve"> PAGEREF _Toc241481379 \h </w:instrText>
            </w:r>
            <w:r>
              <w:rPr>
                <w:noProof/>
                <w:webHidden/>
              </w:rPr>
            </w:r>
            <w:r>
              <w:rPr>
                <w:noProof/>
                <w:webHidden/>
              </w:rPr>
              <w:fldChar w:fldCharType="separate"/>
            </w:r>
            <w:r>
              <w:rPr>
                <w:noProof/>
                <w:webHidden/>
              </w:rPr>
              <w:t>17</w:t>
            </w:r>
            <w:r>
              <w:rPr>
                <w:noProof/>
                <w:webHidden/>
              </w:rPr>
              <w:fldChar w:fldCharType="end"/>
            </w:r>
          </w:hyperlink>
        </w:p>
        <w:p w14:paraId="73467E52" w14:textId="014BC698"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0" w:history="1">
            <w:r w:rsidRPr="00A85101">
              <w:rPr>
                <w:rStyle w:val="Hyperlink"/>
                <w:noProof/>
              </w:rPr>
              <w:t>Efficacy - Asthma</w:t>
            </w:r>
            <w:r>
              <w:rPr>
                <w:noProof/>
                <w:webHidden/>
              </w:rPr>
              <w:tab/>
            </w:r>
            <w:r>
              <w:rPr>
                <w:noProof/>
                <w:webHidden/>
              </w:rPr>
              <w:fldChar w:fldCharType="begin"/>
            </w:r>
            <w:r>
              <w:rPr>
                <w:noProof/>
                <w:webHidden/>
              </w:rPr>
              <w:instrText xml:space="preserve"> PAGEREF _Toc241481380 \h </w:instrText>
            </w:r>
            <w:r>
              <w:rPr>
                <w:noProof/>
                <w:webHidden/>
              </w:rPr>
            </w:r>
            <w:r>
              <w:rPr>
                <w:noProof/>
                <w:webHidden/>
              </w:rPr>
              <w:fldChar w:fldCharType="separate"/>
            </w:r>
            <w:r>
              <w:rPr>
                <w:noProof/>
                <w:webHidden/>
              </w:rPr>
              <w:t>22</w:t>
            </w:r>
            <w:r>
              <w:rPr>
                <w:noProof/>
                <w:webHidden/>
              </w:rPr>
              <w:fldChar w:fldCharType="end"/>
            </w:r>
          </w:hyperlink>
        </w:p>
        <w:p w14:paraId="7268F457" w14:textId="6BF2B967"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1" w:history="1">
            <w:r w:rsidRPr="00A85101">
              <w:rPr>
                <w:rStyle w:val="Hyperlink"/>
                <w:noProof/>
              </w:rPr>
              <w:t>Efficacy - CRSwNP</w:t>
            </w:r>
            <w:r>
              <w:rPr>
                <w:noProof/>
                <w:webHidden/>
              </w:rPr>
              <w:tab/>
            </w:r>
            <w:r>
              <w:rPr>
                <w:noProof/>
                <w:webHidden/>
              </w:rPr>
              <w:fldChar w:fldCharType="begin"/>
            </w:r>
            <w:r>
              <w:rPr>
                <w:noProof/>
                <w:webHidden/>
              </w:rPr>
              <w:instrText xml:space="preserve"> PAGEREF _Toc241481381 \h </w:instrText>
            </w:r>
            <w:r>
              <w:rPr>
                <w:noProof/>
                <w:webHidden/>
              </w:rPr>
            </w:r>
            <w:r>
              <w:rPr>
                <w:noProof/>
                <w:webHidden/>
              </w:rPr>
              <w:fldChar w:fldCharType="separate"/>
            </w:r>
            <w:r>
              <w:rPr>
                <w:noProof/>
                <w:webHidden/>
              </w:rPr>
              <w:t>26</w:t>
            </w:r>
            <w:r>
              <w:rPr>
                <w:noProof/>
                <w:webHidden/>
              </w:rPr>
              <w:fldChar w:fldCharType="end"/>
            </w:r>
          </w:hyperlink>
        </w:p>
        <w:p w14:paraId="3F72A4D1" w14:textId="257D77B8"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2" w:history="1">
            <w:r w:rsidRPr="00A85101">
              <w:rPr>
                <w:rStyle w:val="Hyperlink"/>
                <w:noProof/>
              </w:rPr>
              <w:t>Safety - Asthma studies</w:t>
            </w:r>
            <w:r>
              <w:rPr>
                <w:noProof/>
                <w:webHidden/>
              </w:rPr>
              <w:tab/>
            </w:r>
            <w:r>
              <w:rPr>
                <w:noProof/>
                <w:webHidden/>
              </w:rPr>
              <w:fldChar w:fldCharType="begin"/>
            </w:r>
            <w:r>
              <w:rPr>
                <w:noProof/>
                <w:webHidden/>
              </w:rPr>
              <w:instrText xml:space="preserve"> PAGEREF _Toc241481382 \h </w:instrText>
            </w:r>
            <w:r>
              <w:rPr>
                <w:noProof/>
                <w:webHidden/>
              </w:rPr>
            </w:r>
            <w:r>
              <w:rPr>
                <w:noProof/>
                <w:webHidden/>
              </w:rPr>
              <w:fldChar w:fldCharType="separate"/>
            </w:r>
            <w:r>
              <w:rPr>
                <w:noProof/>
                <w:webHidden/>
              </w:rPr>
              <w:t>34</w:t>
            </w:r>
            <w:r>
              <w:rPr>
                <w:noProof/>
                <w:webHidden/>
              </w:rPr>
              <w:fldChar w:fldCharType="end"/>
            </w:r>
          </w:hyperlink>
        </w:p>
        <w:p w14:paraId="2C29BF77" w14:textId="4EAC7F3E"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3" w:history="1">
            <w:r w:rsidRPr="00A85101">
              <w:rPr>
                <w:rStyle w:val="Hyperlink"/>
                <w:noProof/>
              </w:rPr>
              <w:t>Safety - CRSwNP studies</w:t>
            </w:r>
            <w:r>
              <w:rPr>
                <w:noProof/>
                <w:webHidden/>
              </w:rPr>
              <w:tab/>
            </w:r>
            <w:r>
              <w:rPr>
                <w:noProof/>
                <w:webHidden/>
              </w:rPr>
              <w:fldChar w:fldCharType="begin"/>
            </w:r>
            <w:r>
              <w:rPr>
                <w:noProof/>
                <w:webHidden/>
              </w:rPr>
              <w:instrText xml:space="preserve"> PAGEREF _Toc241481383 \h </w:instrText>
            </w:r>
            <w:r>
              <w:rPr>
                <w:noProof/>
                <w:webHidden/>
              </w:rPr>
            </w:r>
            <w:r>
              <w:rPr>
                <w:noProof/>
                <w:webHidden/>
              </w:rPr>
              <w:fldChar w:fldCharType="separate"/>
            </w:r>
            <w:r>
              <w:rPr>
                <w:noProof/>
                <w:webHidden/>
              </w:rPr>
              <w:t>38</w:t>
            </w:r>
            <w:r>
              <w:rPr>
                <w:noProof/>
                <w:webHidden/>
              </w:rPr>
              <w:fldChar w:fldCharType="end"/>
            </w:r>
          </w:hyperlink>
        </w:p>
        <w:p w14:paraId="58A31464" w14:textId="1BECE9BE"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84" w:history="1">
            <w:r w:rsidRPr="00A85101">
              <w:rPr>
                <w:rStyle w:val="Hyperlink"/>
                <w:noProof/>
                <w:lang w:eastAsia="en-AU"/>
              </w:rPr>
              <w:t>Risk management plan</w:t>
            </w:r>
            <w:r>
              <w:rPr>
                <w:noProof/>
                <w:webHidden/>
              </w:rPr>
              <w:tab/>
            </w:r>
            <w:r>
              <w:rPr>
                <w:noProof/>
                <w:webHidden/>
              </w:rPr>
              <w:fldChar w:fldCharType="begin"/>
            </w:r>
            <w:r>
              <w:rPr>
                <w:noProof/>
                <w:webHidden/>
              </w:rPr>
              <w:instrText xml:space="preserve"> PAGEREF _Toc241481384 \h </w:instrText>
            </w:r>
            <w:r>
              <w:rPr>
                <w:noProof/>
                <w:webHidden/>
              </w:rPr>
            </w:r>
            <w:r>
              <w:rPr>
                <w:noProof/>
                <w:webHidden/>
              </w:rPr>
              <w:fldChar w:fldCharType="separate"/>
            </w:r>
            <w:r>
              <w:rPr>
                <w:noProof/>
                <w:webHidden/>
              </w:rPr>
              <w:t>42</w:t>
            </w:r>
            <w:r>
              <w:rPr>
                <w:noProof/>
                <w:webHidden/>
              </w:rPr>
              <w:fldChar w:fldCharType="end"/>
            </w:r>
          </w:hyperlink>
        </w:p>
        <w:p w14:paraId="03522A35" w14:textId="45DADCAD"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85" w:history="1">
            <w:r w:rsidRPr="00A85101">
              <w:rPr>
                <w:rStyle w:val="Hyperlink"/>
                <w:noProof/>
              </w:rPr>
              <w:t>Risk-benefit analysis</w:t>
            </w:r>
            <w:r>
              <w:rPr>
                <w:noProof/>
                <w:webHidden/>
              </w:rPr>
              <w:tab/>
            </w:r>
            <w:r>
              <w:rPr>
                <w:noProof/>
                <w:webHidden/>
              </w:rPr>
              <w:fldChar w:fldCharType="begin"/>
            </w:r>
            <w:r>
              <w:rPr>
                <w:noProof/>
                <w:webHidden/>
              </w:rPr>
              <w:instrText xml:space="preserve"> PAGEREF _Toc241481385 \h </w:instrText>
            </w:r>
            <w:r>
              <w:rPr>
                <w:noProof/>
                <w:webHidden/>
              </w:rPr>
            </w:r>
            <w:r>
              <w:rPr>
                <w:noProof/>
                <w:webHidden/>
              </w:rPr>
              <w:fldChar w:fldCharType="separate"/>
            </w:r>
            <w:r>
              <w:rPr>
                <w:noProof/>
                <w:webHidden/>
              </w:rPr>
              <w:t>43</w:t>
            </w:r>
            <w:r>
              <w:rPr>
                <w:noProof/>
                <w:webHidden/>
              </w:rPr>
              <w:fldChar w:fldCharType="end"/>
            </w:r>
          </w:hyperlink>
        </w:p>
        <w:p w14:paraId="0229D99F" w14:textId="4934AF02"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6" w:history="1">
            <w:r w:rsidRPr="00A85101">
              <w:rPr>
                <w:rStyle w:val="Hyperlink"/>
                <w:noProof/>
              </w:rPr>
              <w:t>Delegate’s considerations - Asthma</w:t>
            </w:r>
            <w:r>
              <w:rPr>
                <w:noProof/>
                <w:webHidden/>
              </w:rPr>
              <w:tab/>
            </w:r>
            <w:r>
              <w:rPr>
                <w:noProof/>
                <w:webHidden/>
              </w:rPr>
              <w:fldChar w:fldCharType="begin"/>
            </w:r>
            <w:r>
              <w:rPr>
                <w:noProof/>
                <w:webHidden/>
              </w:rPr>
              <w:instrText xml:space="preserve"> PAGEREF _Toc241481386 \h </w:instrText>
            </w:r>
            <w:r>
              <w:rPr>
                <w:noProof/>
                <w:webHidden/>
              </w:rPr>
            </w:r>
            <w:r>
              <w:rPr>
                <w:noProof/>
                <w:webHidden/>
              </w:rPr>
              <w:fldChar w:fldCharType="separate"/>
            </w:r>
            <w:r>
              <w:rPr>
                <w:noProof/>
                <w:webHidden/>
              </w:rPr>
              <w:t>43</w:t>
            </w:r>
            <w:r>
              <w:rPr>
                <w:noProof/>
                <w:webHidden/>
              </w:rPr>
              <w:fldChar w:fldCharType="end"/>
            </w:r>
          </w:hyperlink>
        </w:p>
        <w:p w14:paraId="1A8E5C3E" w14:textId="53B33A9F"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7" w:history="1">
            <w:r w:rsidRPr="00A85101">
              <w:rPr>
                <w:rStyle w:val="Hyperlink"/>
                <w:noProof/>
              </w:rPr>
              <w:t>Delegate’s considerations - CRSwNP</w:t>
            </w:r>
            <w:r>
              <w:rPr>
                <w:noProof/>
                <w:webHidden/>
              </w:rPr>
              <w:tab/>
            </w:r>
            <w:r>
              <w:rPr>
                <w:noProof/>
                <w:webHidden/>
              </w:rPr>
              <w:fldChar w:fldCharType="begin"/>
            </w:r>
            <w:r>
              <w:rPr>
                <w:noProof/>
                <w:webHidden/>
              </w:rPr>
              <w:instrText xml:space="preserve"> PAGEREF _Toc241481387 \h </w:instrText>
            </w:r>
            <w:r>
              <w:rPr>
                <w:noProof/>
                <w:webHidden/>
              </w:rPr>
            </w:r>
            <w:r>
              <w:rPr>
                <w:noProof/>
                <w:webHidden/>
              </w:rPr>
              <w:fldChar w:fldCharType="separate"/>
            </w:r>
            <w:r>
              <w:rPr>
                <w:noProof/>
                <w:webHidden/>
              </w:rPr>
              <w:t>46</w:t>
            </w:r>
            <w:r>
              <w:rPr>
                <w:noProof/>
                <w:webHidden/>
              </w:rPr>
              <w:fldChar w:fldCharType="end"/>
            </w:r>
          </w:hyperlink>
        </w:p>
        <w:p w14:paraId="627578D4" w14:textId="3AFF6DFA"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8" w:history="1">
            <w:r w:rsidRPr="00A85101">
              <w:rPr>
                <w:rStyle w:val="Hyperlink"/>
                <w:noProof/>
              </w:rPr>
              <w:t>Conclusions</w:t>
            </w:r>
            <w:r>
              <w:rPr>
                <w:noProof/>
                <w:webHidden/>
              </w:rPr>
              <w:tab/>
            </w:r>
            <w:r>
              <w:rPr>
                <w:noProof/>
                <w:webHidden/>
              </w:rPr>
              <w:fldChar w:fldCharType="begin"/>
            </w:r>
            <w:r>
              <w:rPr>
                <w:noProof/>
                <w:webHidden/>
              </w:rPr>
              <w:instrText xml:space="preserve"> PAGEREF _Toc241481388 \h </w:instrText>
            </w:r>
            <w:r>
              <w:rPr>
                <w:noProof/>
                <w:webHidden/>
              </w:rPr>
            </w:r>
            <w:r>
              <w:rPr>
                <w:noProof/>
                <w:webHidden/>
              </w:rPr>
              <w:fldChar w:fldCharType="separate"/>
            </w:r>
            <w:r>
              <w:rPr>
                <w:noProof/>
                <w:webHidden/>
              </w:rPr>
              <w:t>48</w:t>
            </w:r>
            <w:r>
              <w:rPr>
                <w:noProof/>
                <w:webHidden/>
              </w:rPr>
              <w:fldChar w:fldCharType="end"/>
            </w:r>
          </w:hyperlink>
        </w:p>
        <w:p w14:paraId="4FA94C14" w14:textId="2C83D361"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89" w:history="1">
            <w:r w:rsidRPr="00A85101">
              <w:rPr>
                <w:rStyle w:val="Hyperlink"/>
                <w:noProof/>
              </w:rPr>
              <w:t>Advisory Committee considerations</w:t>
            </w:r>
            <w:r>
              <w:rPr>
                <w:noProof/>
                <w:webHidden/>
              </w:rPr>
              <w:tab/>
            </w:r>
            <w:r>
              <w:rPr>
                <w:noProof/>
                <w:webHidden/>
              </w:rPr>
              <w:fldChar w:fldCharType="begin"/>
            </w:r>
            <w:r>
              <w:rPr>
                <w:noProof/>
                <w:webHidden/>
              </w:rPr>
              <w:instrText xml:space="preserve"> PAGEREF _Toc241481389 \h </w:instrText>
            </w:r>
            <w:r>
              <w:rPr>
                <w:noProof/>
                <w:webHidden/>
              </w:rPr>
            </w:r>
            <w:r>
              <w:rPr>
                <w:noProof/>
                <w:webHidden/>
              </w:rPr>
              <w:fldChar w:fldCharType="separate"/>
            </w:r>
            <w:r>
              <w:rPr>
                <w:noProof/>
                <w:webHidden/>
              </w:rPr>
              <w:t>49</w:t>
            </w:r>
            <w:r>
              <w:rPr>
                <w:noProof/>
                <w:webHidden/>
              </w:rPr>
              <w:fldChar w:fldCharType="end"/>
            </w:r>
          </w:hyperlink>
        </w:p>
        <w:p w14:paraId="2CD87495" w14:textId="366A050B" w:rsidR="0075610E" w:rsidRDefault="0075610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81390" w:history="1">
            <w:r w:rsidRPr="00A85101">
              <w:rPr>
                <w:rStyle w:val="Hyperlink"/>
                <w:noProof/>
              </w:rPr>
              <w:t>Risk/benefit assessment (post-Advisory Committee Meeting)</w:t>
            </w:r>
            <w:r>
              <w:rPr>
                <w:noProof/>
                <w:webHidden/>
              </w:rPr>
              <w:tab/>
            </w:r>
            <w:r>
              <w:rPr>
                <w:noProof/>
                <w:webHidden/>
              </w:rPr>
              <w:fldChar w:fldCharType="begin"/>
            </w:r>
            <w:r>
              <w:rPr>
                <w:noProof/>
                <w:webHidden/>
              </w:rPr>
              <w:instrText xml:space="preserve"> PAGEREF _Toc241481390 \h </w:instrText>
            </w:r>
            <w:r>
              <w:rPr>
                <w:noProof/>
                <w:webHidden/>
              </w:rPr>
            </w:r>
            <w:r>
              <w:rPr>
                <w:noProof/>
                <w:webHidden/>
              </w:rPr>
              <w:fldChar w:fldCharType="separate"/>
            </w:r>
            <w:r>
              <w:rPr>
                <w:noProof/>
                <w:webHidden/>
              </w:rPr>
              <w:t>50</w:t>
            </w:r>
            <w:r>
              <w:rPr>
                <w:noProof/>
                <w:webHidden/>
              </w:rPr>
              <w:fldChar w:fldCharType="end"/>
            </w:r>
          </w:hyperlink>
        </w:p>
        <w:p w14:paraId="06FD3F64" w14:textId="5062319A" w:rsidR="0075610E" w:rsidRDefault="0075610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81391" w:history="1">
            <w:r w:rsidRPr="00A85101">
              <w:rPr>
                <w:rStyle w:val="Hyperlink"/>
                <w:noProof/>
              </w:rPr>
              <w:t>Assessment outcome</w:t>
            </w:r>
            <w:r>
              <w:rPr>
                <w:noProof/>
                <w:webHidden/>
              </w:rPr>
              <w:tab/>
            </w:r>
            <w:r>
              <w:rPr>
                <w:noProof/>
                <w:webHidden/>
              </w:rPr>
              <w:fldChar w:fldCharType="begin"/>
            </w:r>
            <w:r>
              <w:rPr>
                <w:noProof/>
                <w:webHidden/>
              </w:rPr>
              <w:instrText xml:space="preserve"> PAGEREF _Toc241481391 \h </w:instrText>
            </w:r>
            <w:r>
              <w:rPr>
                <w:noProof/>
                <w:webHidden/>
              </w:rPr>
            </w:r>
            <w:r>
              <w:rPr>
                <w:noProof/>
                <w:webHidden/>
              </w:rPr>
              <w:fldChar w:fldCharType="separate"/>
            </w:r>
            <w:r>
              <w:rPr>
                <w:noProof/>
                <w:webHidden/>
              </w:rPr>
              <w:t>50</w:t>
            </w:r>
            <w:r>
              <w:rPr>
                <w:noProof/>
                <w:webHidden/>
              </w:rPr>
              <w:fldChar w:fldCharType="end"/>
            </w:r>
          </w:hyperlink>
        </w:p>
        <w:p w14:paraId="3C7588D7" w14:textId="7974629E"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92" w:history="1">
            <w:r w:rsidRPr="00A85101">
              <w:rPr>
                <w:rStyle w:val="Hyperlink"/>
                <w:noProof/>
              </w:rPr>
              <w:t>Specific conditions of registration</w:t>
            </w:r>
            <w:r>
              <w:rPr>
                <w:noProof/>
                <w:webHidden/>
              </w:rPr>
              <w:tab/>
            </w:r>
            <w:r>
              <w:rPr>
                <w:noProof/>
                <w:webHidden/>
              </w:rPr>
              <w:fldChar w:fldCharType="begin"/>
            </w:r>
            <w:r>
              <w:rPr>
                <w:noProof/>
                <w:webHidden/>
              </w:rPr>
              <w:instrText xml:space="preserve"> PAGEREF _Toc241481392 \h </w:instrText>
            </w:r>
            <w:r>
              <w:rPr>
                <w:noProof/>
                <w:webHidden/>
              </w:rPr>
            </w:r>
            <w:r>
              <w:rPr>
                <w:noProof/>
                <w:webHidden/>
              </w:rPr>
              <w:fldChar w:fldCharType="separate"/>
            </w:r>
            <w:r>
              <w:rPr>
                <w:noProof/>
                <w:webHidden/>
              </w:rPr>
              <w:t>50</w:t>
            </w:r>
            <w:r>
              <w:rPr>
                <w:noProof/>
                <w:webHidden/>
              </w:rPr>
              <w:fldChar w:fldCharType="end"/>
            </w:r>
          </w:hyperlink>
        </w:p>
        <w:p w14:paraId="040F6BB6" w14:textId="4C1F9BE3" w:rsidR="0075610E" w:rsidRDefault="0075610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81393" w:history="1">
            <w:r w:rsidRPr="00A85101">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_Toc241481393 \h </w:instrText>
            </w:r>
            <w:r>
              <w:rPr>
                <w:noProof/>
                <w:webHidden/>
              </w:rPr>
            </w:r>
            <w:r>
              <w:rPr>
                <w:noProof/>
                <w:webHidden/>
              </w:rPr>
              <w:fldChar w:fldCharType="separate"/>
            </w:r>
            <w:r>
              <w:rPr>
                <w:noProof/>
                <w:webHidden/>
              </w:rPr>
              <w:t>51</w:t>
            </w:r>
            <w:r>
              <w:rPr>
                <w:noProof/>
                <w:webHidden/>
              </w:rPr>
              <w:fldChar w:fldCharType="end"/>
            </w:r>
          </w:hyperlink>
        </w:p>
        <w:p w14:paraId="77659F2D" w14:textId="5EA3E328" w:rsidR="00F02AEC" w:rsidRPr="00215D48" w:rsidRDefault="00F02AEC" w:rsidP="007452E8">
          <w:r w:rsidRPr="00215D48">
            <w:fldChar w:fldCharType="end"/>
          </w:r>
        </w:p>
      </w:sdtContent>
    </w:sdt>
    <w:p w14:paraId="1E73AB93" w14:textId="05D13E71" w:rsidR="00324B33" w:rsidRDefault="00324B33" w:rsidP="002B02EA">
      <w:pPr>
        <w:pStyle w:val="Heading3"/>
      </w:pPr>
      <w:bookmarkStart w:id="0" w:name="_Toc98931917"/>
      <w:bookmarkStart w:id="1" w:name="_Toc103679287"/>
      <w:bookmarkStart w:id="2" w:name="_Toc241481363"/>
      <w:bookmarkStart w:id="3" w:name="_Toc323739589"/>
      <w:bookmarkStart w:id="4" w:name="_Toc356305216"/>
      <w:r>
        <w:lastRenderedPageBreak/>
        <w:t>List of abbreviations</w:t>
      </w:r>
      <w:bookmarkEnd w:id="0"/>
      <w:bookmarkEnd w:id="1"/>
      <w:bookmarkEnd w:id="2"/>
      <w:r w:rsidR="008A6BD8">
        <w:fldChar w:fldCharType="begin"/>
      </w:r>
      <w:r w:rsidR="008A6BD8">
        <w:instrText xml:space="preserve"> DOCVARIABLE vault_nd_60bfb706-7f9c-4d40-8f30-4b35d1daa349 \* MERGEFORMAT </w:instrText>
      </w:r>
      <w:r w:rsidR="008A6BD8">
        <w:fldChar w:fldCharType="separate"/>
      </w:r>
      <w:r w:rsidR="008A6BD8">
        <w:t xml:space="preserve"> </w:t>
      </w:r>
      <w:r w:rsidR="008A6BD8">
        <w:fldChar w:fldCharType="end"/>
      </w:r>
    </w:p>
    <w:tbl>
      <w:tblPr>
        <w:tblStyle w:val="TableTGAblue2023"/>
        <w:tblW w:w="5082" w:type="pct"/>
        <w:tblLook w:val="04A0" w:firstRow="1" w:lastRow="0" w:firstColumn="1" w:lastColumn="0" w:noHBand="0" w:noVBand="1"/>
      </w:tblPr>
      <w:tblGrid>
        <w:gridCol w:w="1663"/>
        <w:gridCol w:w="7546"/>
      </w:tblGrid>
      <w:tr w:rsidR="00324B33" w:rsidRPr="00D01DDB" w14:paraId="2117AEF6" w14:textId="77777777" w:rsidTr="007D6E2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03" w:type="pct"/>
          </w:tcPr>
          <w:p w14:paraId="1207B6A7" w14:textId="67F7D360" w:rsidR="00324B33" w:rsidRPr="00D01DDB" w:rsidRDefault="00324B33" w:rsidP="00324B33">
            <w:pPr>
              <w:rPr>
                <w:szCs w:val="22"/>
              </w:rPr>
            </w:pPr>
            <w:r w:rsidRPr="00D01DDB">
              <w:rPr>
                <w:szCs w:val="22"/>
              </w:rPr>
              <w:t>Abbreviation</w:t>
            </w:r>
          </w:p>
        </w:tc>
        <w:tc>
          <w:tcPr>
            <w:tcW w:w="4097" w:type="pct"/>
          </w:tcPr>
          <w:p w14:paraId="4CF6D0CD" w14:textId="2974FA0B"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4B78AB" w:rsidRPr="00D01DDB" w14:paraId="2AEEB1DD" w14:textId="77777777" w:rsidTr="007D6E2D">
        <w:trPr>
          <w:trHeight w:val="447"/>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28185F85" w14:textId="6E222834" w:rsidR="004B78AB" w:rsidRPr="00D01DDB" w:rsidRDefault="004B78AB" w:rsidP="006C5AA1">
            <w:r w:rsidRPr="00346930">
              <w:t>AAER</w:t>
            </w:r>
          </w:p>
        </w:tc>
        <w:tc>
          <w:tcPr>
            <w:tcW w:w="4097" w:type="pct"/>
            <w:shd w:val="clear" w:color="auto" w:fill="auto"/>
          </w:tcPr>
          <w:p w14:paraId="4A153713" w14:textId="2F6D375F" w:rsidR="004B78AB" w:rsidRPr="00D01DDB" w:rsidRDefault="004B78AB" w:rsidP="006C5AA1">
            <w:pPr>
              <w:cnfStyle w:val="000000000000" w:firstRow="0" w:lastRow="0" w:firstColumn="0" w:lastColumn="0" w:oddVBand="0" w:evenVBand="0" w:oddHBand="0" w:evenHBand="0" w:firstRowFirstColumn="0" w:firstRowLastColumn="0" w:lastRowFirstColumn="0" w:lastRowLastColumn="0"/>
            </w:pPr>
            <w:r w:rsidRPr="00346930">
              <w:rPr>
                <w:rFonts w:eastAsia="TimesNewRoman"/>
                <w:color w:val="auto"/>
              </w:rPr>
              <w:t>Annualised asthma exacerbation rate</w:t>
            </w:r>
          </w:p>
        </w:tc>
      </w:tr>
      <w:tr w:rsidR="004B78AB" w:rsidRPr="00D01DDB" w14:paraId="16C5C8C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6DE09A4" w14:textId="07A94E9E" w:rsidR="004B78AB" w:rsidRPr="00D01DDB" w:rsidRDefault="004B78AB" w:rsidP="006C5AA1">
            <w:r w:rsidRPr="00D01DDB">
              <w:t>ACM</w:t>
            </w:r>
          </w:p>
        </w:tc>
        <w:tc>
          <w:tcPr>
            <w:tcW w:w="4097" w:type="pct"/>
          </w:tcPr>
          <w:p w14:paraId="4F24A873" w14:textId="0539B5FB" w:rsidR="004B78AB" w:rsidRPr="00D01DDB" w:rsidRDefault="004B78AB" w:rsidP="006C5AA1">
            <w:pPr>
              <w:cnfStyle w:val="000000000000" w:firstRow="0" w:lastRow="0" w:firstColumn="0" w:lastColumn="0" w:oddVBand="0" w:evenVBand="0" w:oddHBand="0" w:evenHBand="0" w:firstRowFirstColumn="0" w:firstRowLastColumn="0" w:lastRowFirstColumn="0" w:lastRowLastColumn="0"/>
            </w:pPr>
            <w:r w:rsidRPr="00D01DDB">
              <w:t>Advisory Committee on Medicines</w:t>
            </w:r>
          </w:p>
        </w:tc>
      </w:tr>
      <w:tr w:rsidR="004B78AB" w:rsidRPr="00D01DDB" w14:paraId="75ED370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41C95E1E" w14:textId="49E1E094" w:rsidR="004B78AB" w:rsidRPr="00D01DDB" w:rsidRDefault="004B78AB" w:rsidP="004B78AB">
            <w:r w:rsidRPr="00346930">
              <w:t>ADA</w:t>
            </w:r>
            <w:r>
              <w:t>(s)</w:t>
            </w:r>
          </w:p>
        </w:tc>
        <w:tc>
          <w:tcPr>
            <w:tcW w:w="4097" w:type="pct"/>
            <w:shd w:val="clear" w:color="auto" w:fill="auto"/>
          </w:tcPr>
          <w:p w14:paraId="652C7764" w14:textId="500EE1ED"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pPr>
            <w:r w:rsidRPr="00346930">
              <w:t>Anti-drug antibody</w:t>
            </w:r>
            <w:r>
              <w:t>/ antibodies</w:t>
            </w:r>
          </w:p>
        </w:tc>
      </w:tr>
      <w:tr w:rsidR="004B78AB" w:rsidRPr="00D01DDB" w14:paraId="7FADE66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0BC7BBB0" w14:textId="7DA8E3E8" w:rsidR="004B78AB" w:rsidRPr="00346930" w:rsidRDefault="004B78AB" w:rsidP="004B78AB">
            <w:r>
              <w:t>AE</w:t>
            </w:r>
          </w:p>
        </w:tc>
        <w:tc>
          <w:tcPr>
            <w:tcW w:w="4097" w:type="pct"/>
            <w:shd w:val="clear" w:color="auto" w:fill="auto"/>
          </w:tcPr>
          <w:p w14:paraId="087806EA" w14:textId="3CE30FE9" w:rsidR="004B78AB" w:rsidRPr="00346930" w:rsidRDefault="004B78AB" w:rsidP="004B78AB">
            <w:pPr>
              <w:cnfStyle w:val="000000000000" w:firstRow="0" w:lastRow="0" w:firstColumn="0" w:lastColumn="0" w:oddVBand="0" w:evenVBand="0" w:oddHBand="0" w:evenHBand="0" w:firstRowFirstColumn="0" w:firstRowLastColumn="0" w:lastRowFirstColumn="0" w:lastRowLastColumn="0"/>
            </w:pPr>
            <w:r>
              <w:t>Adverse event</w:t>
            </w:r>
          </w:p>
        </w:tc>
      </w:tr>
      <w:tr w:rsidR="003F30F6" w:rsidRPr="00D01DDB" w14:paraId="6DB6A18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6A95EB54" w14:textId="78842B79" w:rsidR="003F30F6" w:rsidRDefault="003F30F6" w:rsidP="004B78AB">
            <w:r>
              <w:t>AESI</w:t>
            </w:r>
          </w:p>
        </w:tc>
        <w:tc>
          <w:tcPr>
            <w:tcW w:w="4097" w:type="pct"/>
            <w:shd w:val="clear" w:color="auto" w:fill="auto"/>
          </w:tcPr>
          <w:p w14:paraId="1471D2F4" w14:textId="2DF66A6D" w:rsidR="003F30F6" w:rsidRDefault="003F30F6" w:rsidP="004B78AB">
            <w:pPr>
              <w:cnfStyle w:val="000000000000" w:firstRow="0" w:lastRow="0" w:firstColumn="0" w:lastColumn="0" w:oddVBand="0" w:evenVBand="0" w:oddHBand="0" w:evenHBand="0" w:firstRowFirstColumn="0" w:firstRowLastColumn="0" w:lastRowFirstColumn="0" w:lastRowLastColumn="0"/>
            </w:pPr>
            <w:r w:rsidRPr="003F30F6">
              <w:t>Adverse event of special interest</w:t>
            </w:r>
          </w:p>
        </w:tc>
      </w:tr>
      <w:tr w:rsidR="004B78AB" w:rsidRPr="00D01DDB" w14:paraId="2544B82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048AA418" w14:textId="6B470F2C" w:rsidR="004B78AB" w:rsidRPr="00D01DDB" w:rsidRDefault="004B78AB" w:rsidP="004B78AB">
            <w:pPr>
              <w:rPr>
                <w:szCs w:val="22"/>
              </w:rPr>
            </w:pPr>
            <w:r>
              <w:rPr>
                <w:szCs w:val="22"/>
              </w:rPr>
              <w:t>AI</w:t>
            </w:r>
          </w:p>
        </w:tc>
        <w:tc>
          <w:tcPr>
            <w:tcW w:w="4097" w:type="pct"/>
          </w:tcPr>
          <w:p w14:paraId="55C5EDE8" w14:textId="368F9C70"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507A20">
              <w:rPr>
                <w:szCs w:val="22"/>
              </w:rPr>
              <w:t>utoinjector</w:t>
            </w:r>
          </w:p>
        </w:tc>
      </w:tr>
      <w:tr w:rsidR="00761C8A" w:rsidRPr="00D01DDB" w14:paraId="4E05091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14C0AFC" w14:textId="522F0B3C" w:rsidR="00761C8A" w:rsidRDefault="00761C8A" w:rsidP="004B78AB">
            <w:pPr>
              <w:rPr>
                <w:szCs w:val="22"/>
              </w:rPr>
            </w:pPr>
            <w:r>
              <w:rPr>
                <w:szCs w:val="22"/>
              </w:rPr>
              <w:t>AL</w:t>
            </w:r>
            <w:r w:rsidR="00EE495A">
              <w:rPr>
                <w:szCs w:val="22"/>
              </w:rPr>
              <w:t>T</w:t>
            </w:r>
          </w:p>
        </w:tc>
        <w:tc>
          <w:tcPr>
            <w:tcW w:w="4097" w:type="pct"/>
          </w:tcPr>
          <w:p w14:paraId="4D4E4049" w14:textId="6D5AF211" w:rsidR="00761C8A" w:rsidRDefault="00EE495A"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Alanine aminotransferase</w:t>
            </w:r>
          </w:p>
        </w:tc>
      </w:tr>
      <w:tr w:rsidR="004B78AB" w:rsidRPr="00D01DDB" w14:paraId="6965466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43A7AEA" w14:textId="6D49EBE6" w:rsidR="004B78AB" w:rsidRPr="00D01DDB" w:rsidRDefault="004B78AB" w:rsidP="004B78AB">
            <w:pPr>
              <w:rPr>
                <w:szCs w:val="22"/>
              </w:rPr>
            </w:pPr>
            <w:r w:rsidRPr="00D01DDB">
              <w:rPr>
                <w:szCs w:val="22"/>
              </w:rPr>
              <w:t>ARTG</w:t>
            </w:r>
          </w:p>
        </w:tc>
        <w:tc>
          <w:tcPr>
            <w:tcW w:w="4097" w:type="pct"/>
          </w:tcPr>
          <w:p w14:paraId="228A203A" w14:textId="47EBCFA3"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Australian Register of Therapeutic Goods</w:t>
            </w:r>
          </w:p>
        </w:tc>
      </w:tr>
      <w:tr w:rsidR="004B78AB" w:rsidRPr="00D01DDB" w14:paraId="0536676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00516A80" w14:textId="1329E9D5" w:rsidR="004B78AB" w:rsidRPr="00D01DDB" w:rsidRDefault="004B78AB" w:rsidP="004B78AB">
            <w:pPr>
              <w:rPr>
                <w:szCs w:val="22"/>
              </w:rPr>
            </w:pPr>
            <w:r w:rsidRPr="00D01DDB">
              <w:rPr>
                <w:szCs w:val="22"/>
              </w:rPr>
              <w:t>ASA</w:t>
            </w:r>
          </w:p>
        </w:tc>
        <w:tc>
          <w:tcPr>
            <w:tcW w:w="4097" w:type="pct"/>
          </w:tcPr>
          <w:p w14:paraId="4E6F5284" w14:textId="21C063B1"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Australia</w:t>
            </w:r>
            <w:r>
              <w:rPr>
                <w:szCs w:val="22"/>
              </w:rPr>
              <w:noBreakHyphen/>
            </w:r>
            <w:r w:rsidRPr="00D01DDB">
              <w:rPr>
                <w:szCs w:val="22"/>
              </w:rPr>
              <w:t>specific annex</w:t>
            </w:r>
          </w:p>
        </w:tc>
      </w:tr>
      <w:tr w:rsidR="004B78AB" w:rsidRPr="00D01DDB" w14:paraId="1AB7DF3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FA57BA2" w14:textId="4FC069CD" w:rsidR="004B78AB" w:rsidRPr="00D01DDB" w:rsidRDefault="004B78AB" w:rsidP="004B78AB">
            <w:pPr>
              <w:rPr>
                <w:szCs w:val="22"/>
              </w:rPr>
            </w:pPr>
            <w:r>
              <w:rPr>
                <w:szCs w:val="22"/>
              </w:rPr>
              <w:t>ASCIA</w:t>
            </w:r>
          </w:p>
        </w:tc>
        <w:tc>
          <w:tcPr>
            <w:tcW w:w="4097" w:type="pct"/>
          </w:tcPr>
          <w:p w14:paraId="3A84FBAD" w14:textId="1AFAD969"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E8558D">
              <w:rPr>
                <w:szCs w:val="22"/>
              </w:rPr>
              <w:t>Australasian Society of Clinical Immunology and Allergy</w:t>
            </w:r>
          </w:p>
        </w:tc>
      </w:tr>
      <w:tr w:rsidR="00EE495A" w:rsidRPr="00D01DDB" w14:paraId="2CD1363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BD71AF9" w14:textId="3A40331E" w:rsidR="00EE495A" w:rsidRDefault="00EE495A" w:rsidP="004B78AB">
            <w:pPr>
              <w:rPr>
                <w:szCs w:val="22"/>
              </w:rPr>
            </w:pPr>
            <w:r>
              <w:rPr>
                <w:szCs w:val="22"/>
              </w:rPr>
              <w:t>AST</w:t>
            </w:r>
          </w:p>
        </w:tc>
        <w:tc>
          <w:tcPr>
            <w:tcW w:w="4097" w:type="pct"/>
          </w:tcPr>
          <w:p w14:paraId="16329029" w14:textId="6CB7480E" w:rsidR="00EE495A" w:rsidRPr="00E8558D" w:rsidRDefault="00EE495A"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Aspartate</w:t>
            </w:r>
            <w:r w:rsidR="00EB5FA2">
              <w:rPr>
                <w:szCs w:val="22"/>
              </w:rPr>
              <w:t xml:space="preserve"> aminotransferase</w:t>
            </w:r>
          </w:p>
        </w:tc>
      </w:tr>
      <w:tr w:rsidR="004B78AB" w:rsidRPr="00D01DDB" w14:paraId="2FBA328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D2F7F63" w14:textId="1E21299D" w:rsidR="004B78AB" w:rsidRDefault="004B78AB" w:rsidP="004B78AB">
            <w:pPr>
              <w:rPr>
                <w:szCs w:val="22"/>
              </w:rPr>
            </w:pPr>
            <w:proofErr w:type="spellStart"/>
            <w:r w:rsidRPr="00346930">
              <w:t>AUC</w:t>
            </w:r>
            <w:proofErr w:type="gramStart"/>
            <w:r w:rsidRPr="00346930">
              <w:rPr>
                <w:vertAlign w:val="subscript"/>
              </w:rPr>
              <w:t>τ,ss</w:t>
            </w:r>
            <w:proofErr w:type="spellEnd"/>
            <w:proofErr w:type="gramEnd"/>
          </w:p>
        </w:tc>
        <w:tc>
          <w:tcPr>
            <w:tcW w:w="4097" w:type="pct"/>
            <w:shd w:val="clear" w:color="auto" w:fill="auto"/>
          </w:tcPr>
          <w:p w14:paraId="2236E9F5" w14:textId="794621E8" w:rsidR="004B78AB" w:rsidRPr="00E8558D"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Area under the concentration time curve during a dosing interval at steady state</w:t>
            </w:r>
          </w:p>
        </w:tc>
      </w:tr>
      <w:tr w:rsidR="004B78AB" w:rsidRPr="00D01DDB" w14:paraId="60DA0407"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19E29A5B" w14:textId="48624A68" w:rsidR="004B78AB" w:rsidRPr="00346930" w:rsidRDefault="004B78AB" w:rsidP="004B78AB">
            <w:r>
              <w:t>BIPAP</w:t>
            </w:r>
          </w:p>
        </w:tc>
        <w:tc>
          <w:tcPr>
            <w:tcW w:w="4097" w:type="pct"/>
            <w:shd w:val="clear" w:color="auto" w:fill="auto"/>
          </w:tcPr>
          <w:p w14:paraId="2548470A" w14:textId="62027203" w:rsidR="004B78AB" w:rsidRPr="00346930" w:rsidRDefault="004B78AB" w:rsidP="004B78AB">
            <w:pPr>
              <w:cnfStyle w:val="000000000000" w:firstRow="0" w:lastRow="0" w:firstColumn="0" w:lastColumn="0" w:oddVBand="0" w:evenVBand="0" w:oddHBand="0" w:evenHBand="0" w:firstRowFirstColumn="0" w:firstRowLastColumn="0" w:lastRowFirstColumn="0" w:lastRowLastColumn="0"/>
            </w:pPr>
            <w:r>
              <w:t>Bi</w:t>
            </w:r>
            <w:r w:rsidRPr="00CB088F">
              <w:t>level positive airway pressure</w:t>
            </w:r>
          </w:p>
        </w:tc>
      </w:tr>
      <w:tr w:rsidR="00E8734B" w:rsidRPr="00D01DDB" w14:paraId="3EC1288D"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03BFB676" w14:textId="3AB444A8" w:rsidR="00E8734B" w:rsidRDefault="00E8734B" w:rsidP="004B78AB">
            <w:r>
              <w:t>BL</w:t>
            </w:r>
          </w:p>
        </w:tc>
        <w:tc>
          <w:tcPr>
            <w:tcW w:w="4097" w:type="pct"/>
            <w:shd w:val="clear" w:color="auto" w:fill="auto"/>
          </w:tcPr>
          <w:p w14:paraId="6CC78EE0" w14:textId="30C891EB" w:rsidR="00E8734B" w:rsidRDefault="00E8734B" w:rsidP="004B78AB">
            <w:pPr>
              <w:cnfStyle w:val="000000000000" w:firstRow="0" w:lastRow="0" w:firstColumn="0" w:lastColumn="0" w:oddVBand="0" w:evenVBand="0" w:oddHBand="0" w:evenHBand="0" w:firstRowFirstColumn="0" w:firstRowLastColumn="0" w:lastRowFirstColumn="0" w:lastRowLastColumn="0"/>
            </w:pPr>
            <w:r>
              <w:t>Baseline</w:t>
            </w:r>
          </w:p>
        </w:tc>
      </w:tr>
      <w:tr w:rsidR="004B78AB" w:rsidRPr="00D01DDB" w14:paraId="4CF1CBD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CB0F91B" w14:textId="0AACD0C1" w:rsidR="004B78AB" w:rsidRPr="00346930" w:rsidRDefault="004B78AB" w:rsidP="004B78AB">
            <w:proofErr w:type="spellStart"/>
            <w:proofErr w:type="gramStart"/>
            <w:r w:rsidRPr="00346930">
              <w:t>C</w:t>
            </w:r>
            <w:r w:rsidRPr="00346930">
              <w:rPr>
                <w:vertAlign w:val="subscript"/>
              </w:rPr>
              <w:t>av,ss</w:t>
            </w:r>
            <w:proofErr w:type="spellEnd"/>
            <w:proofErr w:type="gramEnd"/>
          </w:p>
        </w:tc>
        <w:tc>
          <w:tcPr>
            <w:tcW w:w="4097" w:type="pct"/>
            <w:shd w:val="clear" w:color="auto" w:fill="auto"/>
          </w:tcPr>
          <w:p w14:paraId="2C517B3E" w14:textId="22D13D9A" w:rsidR="004B78AB" w:rsidRPr="00346930" w:rsidRDefault="004B78AB" w:rsidP="004B78AB">
            <w:pPr>
              <w:cnfStyle w:val="000000000000" w:firstRow="0" w:lastRow="0" w:firstColumn="0" w:lastColumn="0" w:oddVBand="0" w:evenVBand="0" w:oddHBand="0" w:evenHBand="0" w:firstRowFirstColumn="0" w:firstRowLastColumn="0" w:lastRowFirstColumn="0" w:lastRowLastColumn="0"/>
            </w:pPr>
            <w:r w:rsidRPr="00346930">
              <w:t>Average concentration during a dosing interval at steady state</w:t>
            </w:r>
          </w:p>
        </w:tc>
      </w:tr>
      <w:tr w:rsidR="008F1052" w:rsidRPr="00D01DDB" w14:paraId="5C649294"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3CC6A63A" w14:textId="636030B4" w:rsidR="008F1052" w:rsidRPr="00346930" w:rsidRDefault="008F1052" w:rsidP="004B78AB">
            <w:r>
              <w:t>CI</w:t>
            </w:r>
          </w:p>
        </w:tc>
        <w:tc>
          <w:tcPr>
            <w:tcW w:w="4097" w:type="pct"/>
            <w:shd w:val="clear" w:color="auto" w:fill="auto"/>
          </w:tcPr>
          <w:p w14:paraId="2BE3C761" w14:textId="30460A93" w:rsidR="008F1052" w:rsidRPr="00346930" w:rsidRDefault="008F1052" w:rsidP="004B78AB">
            <w:pPr>
              <w:cnfStyle w:val="000000000000" w:firstRow="0" w:lastRow="0" w:firstColumn="0" w:lastColumn="0" w:oddVBand="0" w:evenVBand="0" w:oddHBand="0" w:evenHBand="0" w:firstRowFirstColumn="0" w:firstRowLastColumn="0" w:lastRowFirstColumn="0" w:lastRowLastColumn="0"/>
            </w:pPr>
            <w:r>
              <w:t>Confidence interval</w:t>
            </w:r>
          </w:p>
        </w:tc>
      </w:tr>
      <w:tr w:rsidR="004B78AB" w:rsidRPr="00D01DDB" w14:paraId="298C72DE"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A6AE3DB" w14:textId="50D63F46" w:rsidR="004B78AB" w:rsidRDefault="004B78AB" w:rsidP="004B78AB">
            <w:pPr>
              <w:rPr>
                <w:szCs w:val="22"/>
              </w:rPr>
            </w:pPr>
            <w:r w:rsidRPr="00346930">
              <w:t>CL</w:t>
            </w:r>
          </w:p>
        </w:tc>
        <w:tc>
          <w:tcPr>
            <w:tcW w:w="4097" w:type="pct"/>
            <w:shd w:val="clear" w:color="auto" w:fill="auto"/>
          </w:tcPr>
          <w:p w14:paraId="71B4361A" w14:textId="46462DE8" w:rsidR="004B78AB" w:rsidRPr="00E8558D"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Clearance</w:t>
            </w:r>
          </w:p>
        </w:tc>
      </w:tr>
      <w:tr w:rsidR="004B78AB" w:rsidRPr="00D01DDB" w14:paraId="506E7E3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024B2E3D" w14:textId="318C8294" w:rsidR="004B78AB" w:rsidRPr="00346930" w:rsidRDefault="004B78AB" w:rsidP="004B78AB">
            <w:proofErr w:type="spellStart"/>
            <w:r w:rsidRPr="00346930">
              <w:t>C</w:t>
            </w:r>
            <w:r w:rsidRPr="00346930">
              <w:rPr>
                <w:vertAlign w:val="subscript"/>
              </w:rPr>
              <w:t>max</w:t>
            </w:r>
            <w:proofErr w:type="spellEnd"/>
          </w:p>
        </w:tc>
        <w:tc>
          <w:tcPr>
            <w:tcW w:w="4097" w:type="pct"/>
            <w:shd w:val="clear" w:color="auto" w:fill="auto"/>
            <w:vAlign w:val="center"/>
          </w:tcPr>
          <w:p w14:paraId="193990A3" w14:textId="767A3131" w:rsidR="004B78AB" w:rsidRPr="00346930" w:rsidRDefault="004B78AB" w:rsidP="004B78AB">
            <w:pPr>
              <w:cnfStyle w:val="000000000000" w:firstRow="0" w:lastRow="0" w:firstColumn="0" w:lastColumn="0" w:oddVBand="0" w:evenVBand="0" w:oddHBand="0" w:evenHBand="0" w:firstRowFirstColumn="0" w:firstRowLastColumn="0" w:lastRowFirstColumn="0" w:lastRowLastColumn="0"/>
            </w:pPr>
            <w:r w:rsidRPr="00346930">
              <w:t xml:space="preserve">Maximum measured concentration of drug </w:t>
            </w:r>
          </w:p>
        </w:tc>
      </w:tr>
      <w:tr w:rsidR="004B78AB" w:rsidRPr="00D01DDB" w14:paraId="7694A4EE"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2AC18809" w14:textId="14711A93" w:rsidR="004B78AB" w:rsidRPr="00D01DDB" w:rsidRDefault="004B78AB" w:rsidP="004B78AB">
            <w:r w:rsidRPr="00D01DDB">
              <w:t>CMI</w:t>
            </w:r>
          </w:p>
        </w:tc>
        <w:tc>
          <w:tcPr>
            <w:tcW w:w="4097" w:type="pct"/>
          </w:tcPr>
          <w:p w14:paraId="5D8C9DF5" w14:textId="60C23379"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pPr>
            <w:r w:rsidRPr="00D01DDB">
              <w:t>Consumer Medicines Information</w:t>
            </w:r>
          </w:p>
        </w:tc>
      </w:tr>
      <w:tr w:rsidR="00A54BEE" w:rsidRPr="00D01DDB" w14:paraId="3A1D13C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F503E02" w14:textId="088CDC57" w:rsidR="00A54BEE" w:rsidRPr="00D01DDB" w:rsidRDefault="00A54BEE" w:rsidP="004B78AB">
            <w:r w:rsidRPr="00A54BEE">
              <w:t>COVID-19</w:t>
            </w:r>
          </w:p>
        </w:tc>
        <w:tc>
          <w:tcPr>
            <w:tcW w:w="4097" w:type="pct"/>
          </w:tcPr>
          <w:p w14:paraId="2467B87B" w14:textId="53E7230B" w:rsidR="00A54BEE" w:rsidRPr="00D01DDB" w:rsidRDefault="00466D4C" w:rsidP="00466D4C">
            <w:pPr>
              <w:cnfStyle w:val="000000000000" w:firstRow="0" w:lastRow="0" w:firstColumn="0" w:lastColumn="0" w:oddVBand="0" w:evenVBand="0" w:oddHBand="0" w:evenHBand="0" w:firstRowFirstColumn="0" w:firstRowLastColumn="0" w:lastRowFirstColumn="0" w:lastRowLastColumn="0"/>
            </w:pPr>
            <w:r w:rsidRPr="00466D4C">
              <w:t>Coronavirus Disease 2019</w:t>
            </w:r>
          </w:p>
        </w:tc>
      </w:tr>
      <w:tr w:rsidR="004B78AB" w:rsidRPr="00D01DDB" w14:paraId="5075125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73E5387" w14:textId="47CD7453" w:rsidR="004B78AB" w:rsidRPr="00D01DDB" w:rsidRDefault="004B78AB" w:rsidP="004B78AB">
            <w:r>
              <w:t>CPAP</w:t>
            </w:r>
          </w:p>
        </w:tc>
        <w:tc>
          <w:tcPr>
            <w:tcW w:w="4097" w:type="pct"/>
          </w:tcPr>
          <w:p w14:paraId="0D174314" w14:textId="35B3E167" w:rsidR="004B78AB" w:rsidRPr="00832B9A" w:rsidRDefault="004B78AB" w:rsidP="004B78AB">
            <w:pPr>
              <w:cnfStyle w:val="000000000000" w:firstRow="0" w:lastRow="0" w:firstColumn="0" w:lastColumn="0" w:oddVBand="0" w:evenVBand="0" w:oddHBand="0" w:evenHBand="0" w:firstRowFirstColumn="0" w:firstRowLastColumn="0" w:lastRowFirstColumn="0" w:lastRowLastColumn="0"/>
            </w:pPr>
            <w:r w:rsidRPr="00832B9A">
              <w:t>Continuous positive airway pressure</w:t>
            </w:r>
          </w:p>
        </w:tc>
      </w:tr>
      <w:tr w:rsidR="004B78AB" w:rsidRPr="00D01DDB" w14:paraId="08BF1C6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B8B81DC" w14:textId="69094CA9" w:rsidR="004B78AB" w:rsidRPr="00D01DDB" w:rsidRDefault="004B78AB" w:rsidP="004B78AB">
            <w:pPr>
              <w:rPr>
                <w:szCs w:val="22"/>
              </w:rPr>
            </w:pPr>
            <w:r>
              <w:rPr>
                <w:szCs w:val="22"/>
              </w:rPr>
              <w:t>CRSwNP</w:t>
            </w:r>
          </w:p>
        </w:tc>
        <w:tc>
          <w:tcPr>
            <w:tcW w:w="4097" w:type="pct"/>
          </w:tcPr>
          <w:p w14:paraId="3201C3BE" w14:textId="1242146E"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C17E4C">
              <w:rPr>
                <w:szCs w:val="22"/>
              </w:rPr>
              <w:t>Chronic Rhinosinusitis with Nasal Polyps</w:t>
            </w:r>
          </w:p>
        </w:tc>
      </w:tr>
      <w:tr w:rsidR="004B78AB" w:rsidRPr="00D01DDB" w14:paraId="24E2965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DD926A5" w14:textId="2AF0CC97" w:rsidR="004B78AB" w:rsidRDefault="004B78AB" w:rsidP="004B78AB">
            <w:pPr>
              <w:rPr>
                <w:szCs w:val="22"/>
              </w:rPr>
            </w:pPr>
            <w:proofErr w:type="spellStart"/>
            <w:r>
              <w:rPr>
                <w:szCs w:val="22"/>
              </w:rPr>
              <w:t>CRwNP</w:t>
            </w:r>
            <w:proofErr w:type="spellEnd"/>
          </w:p>
        </w:tc>
        <w:tc>
          <w:tcPr>
            <w:tcW w:w="4097" w:type="pct"/>
          </w:tcPr>
          <w:p w14:paraId="2EAC5917" w14:textId="0B5F2A52" w:rsidR="004B78AB" w:rsidRPr="006D30E0"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6D30E0">
              <w:rPr>
                <w:szCs w:val="22"/>
              </w:rPr>
              <w:t xml:space="preserve">Chronic Rhinosinusitis with Nasal Polyps </w:t>
            </w:r>
          </w:p>
        </w:tc>
      </w:tr>
      <w:tr w:rsidR="004B78AB" w:rsidRPr="00D01DDB" w14:paraId="66F7A123"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672B806" w14:textId="6C46DAF5" w:rsidR="004B78AB" w:rsidRDefault="004B78AB" w:rsidP="004B78AB">
            <w:pPr>
              <w:rPr>
                <w:szCs w:val="22"/>
              </w:rPr>
            </w:pPr>
            <w:r>
              <w:rPr>
                <w:szCs w:val="22"/>
              </w:rPr>
              <w:t>CT</w:t>
            </w:r>
          </w:p>
        </w:tc>
        <w:tc>
          <w:tcPr>
            <w:tcW w:w="4097" w:type="pct"/>
          </w:tcPr>
          <w:p w14:paraId="5A0AAF65" w14:textId="1922F126" w:rsidR="004B78AB" w:rsidRPr="006D30E0"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Computerised Tomography</w:t>
            </w:r>
          </w:p>
        </w:tc>
      </w:tr>
      <w:tr w:rsidR="004B78AB" w:rsidRPr="00D01DDB" w14:paraId="66668BA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2AF55A2" w14:textId="74F164F1" w:rsidR="004B78AB" w:rsidRDefault="004B78AB" w:rsidP="004B78AB">
            <w:pPr>
              <w:rPr>
                <w:szCs w:val="22"/>
              </w:rPr>
            </w:pPr>
            <w:proofErr w:type="spellStart"/>
            <w:r w:rsidRPr="00346930">
              <w:t>C</w:t>
            </w:r>
            <w:r w:rsidRPr="00346930">
              <w:rPr>
                <w:vertAlign w:val="subscript"/>
              </w:rPr>
              <w:t>trough</w:t>
            </w:r>
            <w:proofErr w:type="spellEnd"/>
            <w:r w:rsidRPr="00346930">
              <w:rPr>
                <w:vertAlign w:val="subscript"/>
              </w:rPr>
              <w:t>, week26</w:t>
            </w:r>
          </w:p>
        </w:tc>
        <w:tc>
          <w:tcPr>
            <w:tcW w:w="4097" w:type="pct"/>
            <w:shd w:val="clear" w:color="auto" w:fill="auto"/>
          </w:tcPr>
          <w:p w14:paraId="4B7519AB" w14:textId="6BBA7426"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Trough concentration at the end of the first administration</w:t>
            </w:r>
          </w:p>
        </w:tc>
      </w:tr>
      <w:tr w:rsidR="004B78AB" w:rsidRPr="00D01DDB" w14:paraId="7B873773"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CE05B04" w14:textId="0D6731AA" w:rsidR="004B78AB" w:rsidRPr="00D01DDB" w:rsidRDefault="004B78AB" w:rsidP="004B78AB">
            <w:pPr>
              <w:rPr>
                <w:szCs w:val="22"/>
              </w:rPr>
            </w:pPr>
            <w:r w:rsidRPr="00D01DDB">
              <w:rPr>
                <w:szCs w:val="22"/>
              </w:rPr>
              <w:t>DLP</w:t>
            </w:r>
          </w:p>
        </w:tc>
        <w:tc>
          <w:tcPr>
            <w:tcW w:w="4097" w:type="pct"/>
          </w:tcPr>
          <w:p w14:paraId="26109D0B" w14:textId="4AE8F60A"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Data lock point</w:t>
            </w:r>
          </w:p>
        </w:tc>
      </w:tr>
      <w:tr w:rsidR="004B78AB" w:rsidRPr="00D01DDB" w14:paraId="0B99D25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2E4B07A" w14:textId="2727D429" w:rsidR="004B78AB" w:rsidRPr="00D01DDB" w:rsidRDefault="004B78AB" w:rsidP="004B78AB">
            <w:pPr>
              <w:rPr>
                <w:szCs w:val="22"/>
              </w:rPr>
            </w:pPr>
            <w:r w:rsidRPr="0041232C">
              <w:rPr>
                <w:szCs w:val="22"/>
              </w:rPr>
              <w:t>ECG</w:t>
            </w:r>
          </w:p>
        </w:tc>
        <w:tc>
          <w:tcPr>
            <w:tcW w:w="4097" w:type="pct"/>
          </w:tcPr>
          <w:p w14:paraId="6A52F54F" w14:textId="0560D64B"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Electrocardiograph</w:t>
            </w:r>
          </w:p>
        </w:tc>
      </w:tr>
      <w:tr w:rsidR="00D33D0F" w:rsidRPr="00D01DDB" w14:paraId="01124438"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930AD91" w14:textId="65DEF914" w:rsidR="00D33D0F" w:rsidRPr="0041232C" w:rsidRDefault="00D33D0F" w:rsidP="004B78AB">
            <w:pPr>
              <w:rPr>
                <w:szCs w:val="22"/>
              </w:rPr>
            </w:pPr>
            <w:r>
              <w:rPr>
                <w:szCs w:val="22"/>
              </w:rPr>
              <w:t>ED</w:t>
            </w:r>
          </w:p>
        </w:tc>
        <w:tc>
          <w:tcPr>
            <w:tcW w:w="4097" w:type="pct"/>
          </w:tcPr>
          <w:p w14:paraId="1B7F6354" w14:textId="368B98F4" w:rsidR="00D33D0F" w:rsidRDefault="00D33D0F"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E</w:t>
            </w:r>
            <w:r w:rsidRPr="00D33D0F">
              <w:rPr>
                <w:szCs w:val="22"/>
              </w:rPr>
              <w:t xml:space="preserve">mergency department </w:t>
            </w:r>
          </w:p>
        </w:tc>
      </w:tr>
      <w:tr w:rsidR="00CB7F07" w:rsidRPr="00D01DDB" w14:paraId="2F445E8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B3B80A5" w14:textId="2A778D12" w:rsidR="00CB7F07" w:rsidRPr="0041232C" w:rsidRDefault="00CB7F07" w:rsidP="004B78AB">
            <w:pPr>
              <w:rPr>
                <w:szCs w:val="22"/>
              </w:rPr>
            </w:pPr>
            <w:r>
              <w:rPr>
                <w:szCs w:val="22"/>
              </w:rPr>
              <w:t>FAS</w:t>
            </w:r>
          </w:p>
        </w:tc>
        <w:tc>
          <w:tcPr>
            <w:tcW w:w="4097" w:type="pct"/>
          </w:tcPr>
          <w:p w14:paraId="64C3313A" w14:textId="174DFE9E" w:rsidR="00CB7F07" w:rsidRDefault="00CB7F07"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F</w:t>
            </w:r>
            <w:r w:rsidRPr="00CB7F07">
              <w:rPr>
                <w:szCs w:val="22"/>
              </w:rPr>
              <w:t>ull analysis set</w:t>
            </w:r>
          </w:p>
        </w:tc>
      </w:tr>
      <w:tr w:rsidR="004B78AB" w:rsidRPr="00D01DDB" w14:paraId="6D12C8C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5E1D0A4" w14:textId="0154A0AB" w:rsidR="004B78AB" w:rsidRPr="0041232C" w:rsidRDefault="004B78AB" w:rsidP="004B78AB">
            <w:pPr>
              <w:rPr>
                <w:szCs w:val="22"/>
              </w:rPr>
            </w:pPr>
            <w:r>
              <w:rPr>
                <w:szCs w:val="22"/>
              </w:rPr>
              <w:t>Fc</w:t>
            </w:r>
          </w:p>
        </w:tc>
        <w:tc>
          <w:tcPr>
            <w:tcW w:w="4097" w:type="pct"/>
          </w:tcPr>
          <w:p w14:paraId="230E0CEE" w14:textId="17300B6B"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F</w:t>
            </w:r>
            <w:r w:rsidRPr="00066D49">
              <w:rPr>
                <w:szCs w:val="22"/>
              </w:rPr>
              <w:t>ragment crystallisable</w:t>
            </w:r>
          </w:p>
        </w:tc>
      </w:tr>
      <w:tr w:rsidR="004B78AB" w:rsidRPr="00D01DDB" w14:paraId="359EF54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D91B5A5" w14:textId="7C06D3E4" w:rsidR="004B78AB" w:rsidRPr="0041232C" w:rsidRDefault="004B78AB" w:rsidP="004B78AB">
            <w:pPr>
              <w:rPr>
                <w:szCs w:val="22"/>
              </w:rPr>
            </w:pPr>
            <w:proofErr w:type="spellStart"/>
            <w:r w:rsidRPr="009909D0">
              <w:rPr>
                <w:szCs w:val="22"/>
              </w:rPr>
              <w:t>FeNO</w:t>
            </w:r>
            <w:proofErr w:type="spellEnd"/>
          </w:p>
        </w:tc>
        <w:tc>
          <w:tcPr>
            <w:tcW w:w="4097" w:type="pct"/>
          </w:tcPr>
          <w:p w14:paraId="09F275D4" w14:textId="1A417765"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F</w:t>
            </w:r>
            <w:r w:rsidRPr="009909D0">
              <w:rPr>
                <w:szCs w:val="22"/>
              </w:rPr>
              <w:t xml:space="preserve">ractional exhaled nitric oxide </w:t>
            </w:r>
          </w:p>
        </w:tc>
      </w:tr>
      <w:tr w:rsidR="004B78AB" w:rsidRPr="00D01DDB" w14:paraId="33AFEE7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50650956" w14:textId="3CA3BE91" w:rsidR="004B78AB" w:rsidRPr="009909D0" w:rsidRDefault="004B78AB" w:rsidP="004B78AB">
            <w:r w:rsidRPr="00346930">
              <w:lastRenderedPageBreak/>
              <w:t>FEV1</w:t>
            </w:r>
          </w:p>
        </w:tc>
        <w:tc>
          <w:tcPr>
            <w:tcW w:w="4097" w:type="pct"/>
            <w:shd w:val="clear" w:color="auto" w:fill="auto"/>
          </w:tcPr>
          <w:p w14:paraId="4F2403BB" w14:textId="70D29E55" w:rsidR="004B78AB" w:rsidRDefault="004B78AB" w:rsidP="004B78AB">
            <w:pPr>
              <w:cnfStyle w:val="000000000000" w:firstRow="0" w:lastRow="0" w:firstColumn="0" w:lastColumn="0" w:oddVBand="0" w:evenVBand="0" w:oddHBand="0" w:evenHBand="0" w:firstRowFirstColumn="0" w:firstRowLastColumn="0" w:lastRowFirstColumn="0" w:lastRowLastColumn="0"/>
            </w:pPr>
            <w:r w:rsidRPr="00346930">
              <w:t>Forced Expiratory Volume in one second</w:t>
            </w:r>
          </w:p>
        </w:tc>
      </w:tr>
      <w:tr w:rsidR="004B78AB" w:rsidRPr="00D01DDB" w14:paraId="3ECE0347"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0055AFA" w14:textId="63C88DF5" w:rsidR="004B78AB" w:rsidRPr="009909D0" w:rsidRDefault="004B78AB" w:rsidP="004B78AB">
            <w:pPr>
              <w:rPr>
                <w:szCs w:val="22"/>
              </w:rPr>
            </w:pPr>
            <w:r>
              <w:rPr>
                <w:szCs w:val="22"/>
              </w:rPr>
              <w:t>FP</w:t>
            </w:r>
          </w:p>
        </w:tc>
        <w:tc>
          <w:tcPr>
            <w:tcW w:w="4097" w:type="pct"/>
          </w:tcPr>
          <w:p w14:paraId="587FEDAE" w14:textId="4C027A2D"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F</w:t>
            </w:r>
            <w:r w:rsidRPr="005A2DEA">
              <w:rPr>
                <w:szCs w:val="22"/>
              </w:rPr>
              <w:t>luticasone propionate</w:t>
            </w:r>
          </w:p>
        </w:tc>
      </w:tr>
      <w:tr w:rsidR="004B78AB" w:rsidRPr="00D01DDB" w14:paraId="4C82F1A4"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28AB16C0" w14:textId="3E152FF5" w:rsidR="004B78AB" w:rsidRPr="000A7D76" w:rsidRDefault="004B78AB" w:rsidP="004B78AB">
            <w:pPr>
              <w:rPr>
                <w:szCs w:val="22"/>
              </w:rPr>
            </w:pPr>
            <w:r w:rsidRPr="00346930">
              <w:t>F</w:t>
            </w:r>
            <w:r w:rsidRPr="00346930">
              <w:rPr>
                <w:vertAlign w:val="subscript"/>
              </w:rPr>
              <w:t>rel</w:t>
            </w:r>
          </w:p>
        </w:tc>
        <w:tc>
          <w:tcPr>
            <w:tcW w:w="4097" w:type="pct"/>
            <w:shd w:val="clear" w:color="auto" w:fill="auto"/>
          </w:tcPr>
          <w:p w14:paraId="469490C7" w14:textId="4DDDA39E"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Relative bioavailability</w:t>
            </w:r>
          </w:p>
        </w:tc>
      </w:tr>
      <w:tr w:rsidR="004B78AB" w:rsidRPr="00D01DDB" w14:paraId="76CB972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0BF3780" w14:textId="4927B555" w:rsidR="004B78AB" w:rsidRPr="00346930" w:rsidRDefault="004B78AB" w:rsidP="004B78AB">
            <w:r w:rsidRPr="00346930">
              <w:t>FVC</w:t>
            </w:r>
          </w:p>
        </w:tc>
        <w:tc>
          <w:tcPr>
            <w:tcW w:w="4097" w:type="pct"/>
            <w:shd w:val="clear" w:color="auto" w:fill="auto"/>
          </w:tcPr>
          <w:p w14:paraId="72C12594" w14:textId="13645B78" w:rsidR="004B78AB" w:rsidRPr="00346930" w:rsidRDefault="004B78AB" w:rsidP="004B78AB">
            <w:pPr>
              <w:cnfStyle w:val="000000000000" w:firstRow="0" w:lastRow="0" w:firstColumn="0" w:lastColumn="0" w:oddVBand="0" w:evenVBand="0" w:oddHBand="0" w:evenHBand="0" w:firstRowFirstColumn="0" w:firstRowLastColumn="0" w:lastRowFirstColumn="0" w:lastRowLastColumn="0"/>
            </w:pPr>
            <w:r w:rsidRPr="00346930">
              <w:t>Forced Vital Capacity</w:t>
            </w:r>
          </w:p>
        </w:tc>
      </w:tr>
      <w:tr w:rsidR="00891828" w:rsidRPr="00D01DDB" w14:paraId="79E179B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4FA436F8" w14:textId="6745336F" w:rsidR="00891828" w:rsidRPr="00346930" w:rsidRDefault="00891828" w:rsidP="004B78AB">
            <w:r>
              <w:t>GCP</w:t>
            </w:r>
          </w:p>
        </w:tc>
        <w:tc>
          <w:tcPr>
            <w:tcW w:w="4097" w:type="pct"/>
            <w:shd w:val="clear" w:color="auto" w:fill="auto"/>
          </w:tcPr>
          <w:p w14:paraId="69DDB7CF" w14:textId="0EB9F381" w:rsidR="00891828" w:rsidRPr="00346930" w:rsidRDefault="00891828" w:rsidP="004B78AB">
            <w:pPr>
              <w:cnfStyle w:val="000000000000" w:firstRow="0" w:lastRow="0" w:firstColumn="0" w:lastColumn="0" w:oddVBand="0" w:evenVBand="0" w:oddHBand="0" w:evenHBand="0" w:firstRowFirstColumn="0" w:firstRowLastColumn="0" w:lastRowFirstColumn="0" w:lastRowLastColumn="0"/>
            </w:pPr>
            <w:r>
              <w:t>Good Clinical Practice</w:t>
            </w:r>
          </w:p>
        </w:tc>
      </w:tr>
      <w:tr w:rsidR="004E0A19" w:rsidRPr="00D01DDB" w14:paraId="6DA3A964"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1C311DB5" w14:textId="0C1A6BE6" w:rsidR="004E0A19" w:rsidRDefault="004E0A19" w:rsidP="004B78AB">
            <w:r>
              <w:t>GINA</w:t>
            </w:r>
          </w:p>
        </w:tc>
        <w:tc>
          <w:tcPr>
            <w:tcW w:w="4097" w:type="pct"/>
            <w:shd w:val="clear" w:color="auto" w:fill="auto"/>
          </w:tcPr>
          <w:p w14:paraId="234D758F" w14:textId="68E85AE0" w:rsidR="004E0A19" w:rsidRDefault="004E0A19" w:rsidP="004B78AB">
            <w:pPr>
              <w:cnfStyle w:val="000000000000" w:firstRow="0" w:lastRow="0" w:firstColumn="0" w:lastColumn="0" w:oddVBand="0" w:evenVBand="0" w:oddHBand="0" w:evenHBand="0" w:firstRowFirstColumn="0" w:firstRowLastColumn="0" w:lastRowFirstColumn="0" w:lastRowLastColumn="0"/>
            </w:pPr>
            <w:r>
              <w:t>Global Initiative for Asthma</w:t>
            </w:r>
          </w:p>
        </w:tc>
      </w:tr>
      <w:tr w:rsidR="004B78AB" w:rsidRPr="00D01DDB" w14:paraId="206228DE"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C25D64B" w14:textId="70C6A06A" w:rsidR="004B78AB" w:rsidRPr="009909D0" w:rsidRDefault="004B78AB" w:rsidP="004B78AB">
            <w:pPr>
              <w:rPr>
                <w:szCs w:val="22"/>
              </w:rPr>
            </w:pPr>
            <w:r w:rsidRPr="000A7D76">
              <w:rPr>
                <w:szCs w:val="22"/>
              </w:rPr>
              <w:t>GLP</w:t>
            </w:r>
          </w:p>
        </w:tc>
        <w:tc>
          <w:tcPr>
            <w:tcW w:w="4097" w:type="pct"/>
          </w:tcPr>
          <w:p w14:paraId="529B06D6" w14:textId="7801B690"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Good laboratory practice</w:t>
            </w:r>
          </w:p>
        </w:tc>
      </w:tr>
      <w:tr w:rsidR="004B78AB" w:rsidRPr="00D01DDB" w14:paraId="22C3442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BC98014" w14:textId="18E0F208" w:rsidR="004B78AB" w:rsidRPr="000A7D76" w:rsidRDefault="004B78AB" w:rsidP="004B78AB">
            <w:pPr>
              <w:rPr>
                <w:szCs w:val="22"/>
              </w:rPr>
            </w:pPr>
            <w:r>
              <w:rPr>
                <w:szCs w:val="22"/>
              </w:rPr>
              <w:t>HFA</w:t>
            </w:r>
          </w:p>
        </w:tc>
        <w:tc>
          <w:tcPr>
            <w:tcW w:w="4097" w:type="pct"/>
          </w:tcPr>
          <w:p w14:paraId="5C4373ED" w14:textId="6780D781"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H</w:t>
            </w:r>
            <w:r w:rsidRPr="007F6C9D">
              <w:rPr>
                <w:szCs w:val="22"/>
              </w:rPr>
              <w:t>ydrofluoroalkane</w:t>
            </w:r>
          </w:p>
        </w:tc>
      </w:tr>
      <w:tr w:rsidR="004B78AB" w:rsidRPr="00D01DDB" w14:paraId="0467FE7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7EA7978" w14:textId="4FF241E0" w:rsidR="004B78AB" w:rsidRPr="0041232C" w:rsidRDefault="004B78AB" w:rsidP="004B78AB">
            <w:pPr>
              <w:rPr>
                <w:szCs w:val="22"/>
              </w:rPr>
            </w:pPr>
            <w:proofErr w:type="spellStart"/>
            <w:r>
              <w:rPr>
                <w:szCs w:val="22"/>
              </w:rPr>
              <w:t>HRQoL</w:t>
            </w:r>
            <w:proofErr w:type="spellEnd"/>
          </w:p>
        </w:tc>
        <w:tc>
          <w:tcPr>
            <w:tcW w:w="4097" w:type="pct"/>
          </w:tcPr>
          <w:p w14:paraId="2942D812" w14:textId="473F1AD4"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H</w:t>
            </w:r>
            <w:r w:rsidRPr="00327D28">
              <w:rPr>
                <w:szCs w:val="22"/>
              </w:rPr>
              <w:t xml:space="preserve">ealth-related quality of life </w:t>
            </w:r>
          </w:p>
        </w:tc>
      </w:tr>
      <w:tr w:rsidR="004B78AB" w:rsidRPr="00D01DDB" w14:paraId="2B9D85A2"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2D2EB447" w14:textId="1A8E9079" w:rsidR="004B78AB" w:rsidRDefault="004B78AB" w:rsidP="004B78AB">
            <w:pPr>
              <w:rPr>
                <w:szCs w:val="22"/>
              </w:rPr>
            </w:pPr>
            <w:r>
              <w:rPr>
                <w:szCs w:val="22"/>
              </w:rPr>
              <w:t>ICH</w:t>
            </w:r>
          </w:p>
        </w:tc>
        <w:tc>
          <w:tcPr>
            <w:tcW w:w="4097" w:type="pct"/>
          </w:tcPr>
          <w:p w14:paraId="73C6C5C1" w14:textId="382F4880"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1022B0">
              <w:rPr>
                <w:szCs w:val="22"/>
              </w:rPr>
              <w:t>International Council on Harmonisation</w:t>
            </w:r>
          </w:p>
        </w:tc>
      </w:tr>
      <w:tr w:rsidR="004B78AB" w:rsidRPr="00D01DDB" w14:paraId="0F967D1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7FE8326" w14:textId="139A4523" w:rsidR="004B78AB" w:rsidRPr="00D01DDB" w:rsidRDefault="004B78AB" w:rsidP="004B78AB">
            <w:pPr>
              <w:rPr>
                <w:szCs w:val="22"/>
              </w:rPr>
            </w:pPr>
            <w:r>
              <w:rPr>
                <w:szCs w:val="22"/>
              </w:rPr>
              <w:t>ICS</w:t>
            </w:r>
          </w:p>
        </w:tc>
        <w:tc>
          <w:tcPr>
            <w:tcW w:w="4097" w:type="pct"/>
          </w:tcPr>
          <w:p w14:paraId="79FA3A2B" w14:textId="5BC9B281" w:rsidR="004B78AB" w:rsidRPr="006E09A0"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I</w:t>
            </w:r>
            <w:r w:rsidRPr="006E09A0">
              <w:rPr>
                <w:szCs w:val="22"/>
              </w:rPr>
              <w:t>nhaled corticosteroids</w:t>
            </w:r>
          </w:p>
        </w:tc>
      </w:tr>
      <w:tr w:rsidR="004B78AB" w:rsidRPr="00D01DDB" w14:paraId="3CEFD62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7E482FA" w14:textId="690E8BBA" w:rsidR="004B78AB" w:rsidRPr="00D01DDB" w:rsidRDefault="004B78AB" w:rsidP="004B78AB">
            <w:pPr>
              <w:rPr>
                <w:szCs w:val="22"/>
              </w:rPr>
            </w:pPr>
            <w:r>
              <w:rPr>
                <w:szCs w:val="22"/>
              </w:rPr>
              <w:t>IgE</w:t>
            </w:r>
          </w:p>
        </w:tc>
        <w:tc>
          <w:tcPr>
            <w:tcW w:w="4097" w:type="pct"/>
          </w:tcPr>
          <w:p w14:paraId="4481A6FB" w14:textId="5B4D049E"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I</w:t>
            </w:r>
            <w:r w:rsidRPr="00CB68F7">
              <w:rPr>
                <w:szCs w:val="22"/>
              </w:rPr>
              <w:t>mmunoglobulin E</w:t>
            </w:r>
          </w:p>
        </w:tc>
      </w:tr>
      <w:tr w:rsidR="004B78AB" w:rsidRPr="00D01DDB" w14:paraId="6039F414"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FF658B3" w14:textId="014C05B5" w:rsidR="004B78AB" w:rsidRDefault="004B78AB" w:rsidP="004B78AB">
            <w:pPr>
              <w:rPr>
                <w:szCs w:val="22"/>
              </w:rPr>
            </w:pPr>
            <w:r w:rsidRPr="008556CB">
              <w:rPr>
                <w:szCs w:val="22"/>
              </w:rPr>
              <w:t>IL</w:t>
            </w:r>
            <w:r>
              <w:rPr>
                <w:szCs w:val="22"/>
              </w:rPr>
              <w:t>4</w:t>
            </w:r>
            <w:r w:rsidRPr="008556CB">
              <w:rPr>
                <w:szCs w:val="22"/>
              </w:rPr>
              <w:t>Rα</w:t>
            </w:r>
          </w:p>
        </w:tc>
        <w:tc>
          <w:tcPr>
            <w:tcW w:w="4097" w:type="pct"/>
          </w:tcPr>
          <w:p w14:paraId="28B5C457" w14:textId="60CEC656"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664248">
              <w:rPr>
                <w:szCs w:val="22"/>
              </w:rPr>
              <w:t>Interleukin-</w:t>
            </w:r>
            <w:r>
              <w:rPr>
                <w:szCs w:val="22"/>
              </w:rPr>
              <w:t>4</w:t>
            </w:r>
            <w:r w:rsidRPr="00664248">
              <w:rPr>
                <w:szCs w:val="22"/>
              </w:rPr>
              <w:t xml:space="preserve"> receptor alpha</w:t>
            </w:r>
          </w:p>
        </w:tc>
      </w:tr>
      <w:tr w:rsidR="004B78AB" w:rsidRPr="00D01DDB" w14:paraId="5531E11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26CF4370" w14:textId="75349268" w:rsidR="004B78AB" w:rsidRDefault="004B78AB" w:rsidP="004B78AB">
            <w:pPr>
              <w:rPr>
                <w:szCs w:val="22"/>
              </w:rPr>
            </w:pPr>
            <w:r w:rsidRPr="007C1E16">
              <w:rPr>
                <w:szCs w:val="22"/>
              </w:rPr>
              <w:t>IL-5</w:t>
            </w:r>
          </w:p>
        </w:tc>
        <w:tc>
          <w:tcPr>
            <w:tcW w:w="4097" w:type="pct"/>
          </w:tcPr>
          <w:p w14:paraId="785AF9E6" w14:textId="1080CB4B"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7C1E16">
              <w:rPr>
                <w:szCs w:val="22"/>
              </w:rPr>
              <w:t xml:space="preserve">Interleukin-5 </w:t>
            </w:r>
          </w:p>
        </w:tc>
      </w:tr>
      <w:tr w:rsidR="004B78AB" w:rsidRPr="00D01DDB" w14:paraId="36274DC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8B60387" w14:textId="1CE05571" w:rsidR="004B78AB" w:rsidRPr="007C1E16" w:rsidRDefault="004B78AB" w:rsidP="004B78AB">
            <w:pPr>
              <w:rPr>
                <w:szCs w:val="22"/>
              </w:rPr>
            </w:pPr>
            <w:r w:rsidRPr="008556CB">
              <w:rPr>
                <w:szCs w:val="22"/>
              </w:rPr>
              <w:t>IL5Rα</w:t>
            </w:r>
          </w:p>
        </w:tc>
        <w:tc>
          <w:tcPr>
            <w:tcW w:w="4097" w:type="pct"/>
          </w:tcPr>
          <w:p w14:paraId="29B23EFE" w14:textId="72F7E446" w:rsidR="004B78AB" w:rsidRPr="007C1E16"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FD437B">
              <w:rPr>
                <w:szCs w:val="22"/>
              </w:rPr>
              <w:t>Interleukin-5</w:t>
            </w:r>
            <w:r w:rsidRPr="00664248">
              <w:rPr>
                <w:rFonts w:ascii="Segoe UI Symbol" w:eastAsiaTheme="minorHAnsi" w:hAnsi="Segoe UI Symbol" w:cstheme="majorHAnsi"/>
                <w:color w:val="auto"/>
                <w:szCs w:val="22"/>
                <w:lang w:eastAsia="en-US"/>
              </w:rPr>
              <w:t xml:space="preserve"> </w:t>
            </w:r>
            <w:r w:rsidRPr="00664248">
              <w:rPr>
                <w:szCs w:val="22"/>
              </w:rPr>
              <w:t>receptor alpha</w:t>
            </w:r>
          </w:p>
        </w:tc>
      </w:tr>
      <w:tr w:rsidR="004B78AB" w:rsidRPr="00D01DDB" w14:paraId="2092BA87"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CFE6E63" w14:textId="11DC183D" w:rsidR="004B78AB" w:rsidRPr="008556CB" w:rsidRDefault="004B78AB" w:rsidP="004B78AB">
            <w:pPr>
              <w:rPr>
                <w:szCs w:val="22"/>
              </w:rPr>
            </w:pPr>
            <w:r>
              <w:rPr>
                <w:szCs w:val="22"/>
              </w:rPr>
              <w:t>IV</w:t>
            </w:r>
          </w:p>
        </w:tc>
        <w:tc>
          <w:tcPr>
            <w:tcW w:w="4097" w:type="pct"/>
          </w:tcPr>
          <w:p w14:paraId="47DDBC6F" w14:textId="1A9981D5" w:rsidR="004B78AB" w:rsidRPr="00FD437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I</w:t>
            </w:r>
            <w:r w:rsidRPr="001D3222">
              <w:rPr>
                <w:szCs w:val="22"/>
              </w:rPr>
              <w:t>ntravenous</w:t>
            </w:r>
          </w:p>
        </w:tc>
      </w:tr>
      <w:tr w:rsidR="004B78AB" w:rsidRPr="00D01DDB" w14:paraId="3144811D"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0EE0BF91" w14:textId="2A97CF79" w:rsidR="004B78AB" w:rsidRDefault="004B78AB" w:rsidP="004B78AB">
            <w:pPr>
              <w:rPr>
                <w:szCs w:val="22"/>
              </w:rPr>
            </w:pPr>
            <w:r w:rsidRPr="00346930">
              <w:t>k</w:t>
            </w:r>
            <w:r w:rsidRPr="00346930">
              <w:rPr>
                <w:vertAlign w:val="subscript"/>
              </w:rPr>
              <w:t>a</w:t>
            </w:r>
          </w:p>
        </w:tc>
        <w:tc>
          <w:tcPr>
            <w:tcW w:w="4097" w:type="pct"/>
            <w:shd w:val="clear" w:color="auto" w:fill="auto"/>
          </w:tcPr>
          <w:p w14:paraId="5F21DDBD" w14:textId="1CFF0D28"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Absorption rate constant</w:t>
            </w:r>
          </w:p>
        </w:tc>
      </w:tr>
      <w:tr w:rsidR="004B78AB" w:rsidRPr="00D01DDB" w14:paraId="5D395B9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676E0FA" w14:textId="088BD2B6" w:rsidR="004B78AB" w:rsidRDefault="004B78AB" w:rsidP="004B78AB">
            <w:pPr>
              <w:rPr>
                <w:szCs w:val="22"/>
              </w:rPr>
            </w:pPr>
            <w:r w:rsidRPr="005B3272">
              <w:rPr>
                <w:szCs w:val="22"/>
              </w:rPr>
              <w:t>LABA</w:t>
            </w:r>
          </w:p>
        </w:tc>
        <w:tc>
          <w:tcPr>
            <w:tcW w:w="4097" w:type="pct"/>
          </w:tcPr>
          <w:p w14:paraId="49A1BF6C" w14:textId="6D650061"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Long-acting beta agonist</w:t>
            </w:r>
          </w:p>
        </w:tc>
      </w:tr>
      <w:tr w:rsidR="004B78AB" w:rsidRPr="00D01DDB" w14:paraId="60B7878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56E5BEF" w14:textId="6D53B095" w:rsidR="004B78AB" w:rsidRPr="005B3272" w:rsidRDefault="004B78AB" w:rsidP="004B78AB">
            <w:pPr>
              <w:rPr>
                <w:szCs w:val="22"/>
              </w:rPr>
            </w:pPr>
            <w:r>
              <w:rPr>
                <w:szCs w:val="22"/>
              </w:rPr>
              <w:t>LAMA</w:t>
            </w:r>
          </w:p>
        </w:tc>
        <w:tc>
          <w:tcPr>
            <w:tcW w:w="4097" w:type="pct"/>
          </w:tcPr>
          <w:p w14:paraId="45C99074" w14:textId="464C8847"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72CB9">
              <w:rPr>
                <w:szCs w:val="22"/>
              </w:rPr>
              <w:t>Long-acting muscarinic antagonist</w:t>
            </w:r>
          </w:p>
        </w:tc>
      </w:tr>
      <w:tr w:rsidR="004B78AB" w:rsidRPr="00D01DDB" w14:paraId="0F30A4D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6C54616F" w14:textId="65B0C225" w:rsidR="004B78AB" w:rsidRPr="005B3272" w:rsidRDefault="004B78AB" w:rsidP="004B78AB">
            <w:pPr>
              <w:rPr>
                <w:szCs w:val="22"/>
              </w:rPr>
            </w:pPr>
            <w:r>
              <w:rPr>
                <w:szCs w:val="22"/>
              </w:rPr>
              <w:t>LLQ</w:t>
            </w:r>
          </w:p>
        </w:tc>
        <w:tc>
          <w:tcPr>
            <w:tcW w:w="4097" w:type="pct"/>
          </w:tcPr>
          <w:p w14:paraId="7C2AC0BA" w14:textId="7A926C0F" w:rsidR="004B78A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E3233">
              <w:rPr>
                <w:szCs w:val="22"/>
              </w:rPr>
              <w:t>Lower Limit of Quantification</w:t>
            </w:r>
          </w:p>
        </w:tc>
      </w:tr>
      <w:tr w:rsidR="004B78AB" w:rsidRPr="00D01DDB" w14:paraId="1D9554E1"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63FD1D4E" w14:textId="2E1AECA7" w:rsidR="004B78AB" w:rsidRDefault="004B78AB" w:rsidP="004B78AB">
            <w:proofErr w:type="spellStart"/>
            <w:r w:rsidRPr="00346930">
              <w:t>NAb</w:t>
            </w:r>
            <w:proofErr w:type="spellEnd"/>
          </w:p>
        </w:tc>
        <w:tc>
          <w:tcPr>
            <w:tcW w:w="4097" w:type="pct"/>
            <w:shd w:val="clear" w:color="auto" w:fill="auto"/>
          </w:tcPr>
          <w:p w14:paraId="005A26F6" w14:textId="59F594A3" w:rsidR="004B78AB" w:rsidRPr="00DE3233" w:rsidRDefault="004B78AB" w:rsidP="004B78AB">
            <w:pPr>
              <w:cnfStyle w:val="000000000000" w:firstRow="0" w:lastRow="0" w:firstColumn="0" w:lastColumn="0" w:oddVBand="0" w:evenVBand="0" w:oddHBand="0" w:evenHBand="0" w:firstRowFirstColumn="0" w:firstRowLastColumn="0" w:lastRowFirstColumn="0" w:lastRowLastColumn="0"/>
            </w:pPr>
            <w:r w:rsidRPr="00346930">
              <w:t>Neutralising antibodies</w:t>
            </w:r>
          </w:p>
        </w:tc>
      </w:tr>
      <w:tr w:rsidR="004B78AB" w:rsidRPr="00D01DDB" w14:paraId="6B1C6B7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0E65EA6E" w14:textId="504C0ABE" w:rsidR="004B78AB" w:rsidRPr="00D01DDB" w:rsidRDefault="004B78AB" w:rsidP="004B78AB">
            <w:pPr>
              <w:rPr>
                <w:szCs w:val="22"/>
              </w:rPr>
            </w:pPr>
            <w:r>
              <w:rPr>
                <w:szCs w:val="22"/>
              </w:rPr>
              <w:t>NERD</w:t>
            </w:r>
          </w:p>
        </w:tc>
        <w:tc>
          <w:tcPr>
            <w:tcW w:w="4097" w:type="pct"/>
          </w:tcPr>
          <w:p w14:paraId="76DF2F09" w14:textId="1044FC22"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E664A7">
              <w:rPr>
                <w:szCs w:val="22"/>
              </w:rPr>
              <w:t>NSAID-exacerbated respiratory disease</w:t>
            </w:r>
          </w:p>
        </w:tc>
      </w:tr>
      <w:tr w:rsidR="004B78AB" w:rsidRPr="00D01DDB" w14:paraId="4656107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6575B167" w14:textId="7E0FCA0A" w:rsidR="004B78AB" w:rsidRDefault="004B78AB" w:rsidP="004B78AB">
            <w:r w:rsidRPr="00346930">
              <w:t>NOAEL</w:t>
            </w:r>
          </w:p>
        </w:tc>
        <w:tc>
          <w:tcPr>
            <w:tcW w:w="4097" w:type="pct"/>
            <w:shd w:val="clear" w:color="auto" w:fill="auto"/>
          </w:tcPr>
          <w:p w14:paraId="6F23AAA3" w14:textId="3EC6D9AB" w:rsidR="004B78AB" w:rsidRPr="00E664A7" w:rsidRDefault="004B78AB" w:rsidP="004B78AB">
            <w:pPr>
              <w:cnfStyle w:val="000000000000" w:firstRow="0" w:lastRow="0" w:firstColumn="0" w:lastColumn="0" w:oddVBand="0" w:evenVBand="0" w:oddHBand="0" w:evenHBand="0" w:firstRowFirstColumn="0" w:firstRowLastColumn="0" w:lastRowFirstColumn="0" w:lastRowLastColumn="0"/>
            </w:pPr>
            <w:r w:rsidRPr="00346930">
              <w:t xml:space="preserve">No observed adverse effect level dose </w:t>
            </w:r>
          </w:p>
        </w:tc>
      </w:tr>
      <w:tr w:rsidR="001E495A" w:rsidRPr="00D01DDB" w14:paraId="79F67412"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0657C649" w14:textId="2768988D" w:rsidR="001E495A" w:rsidRPr="00346930" w:rsidRDefault="001E495A" w:rsidP="004B78AB">
            <w:r>
              <w:t xml:space="preserve">NP </w:t>
            </w:r>
          </w:p>
        </w:tc>
        <w:tc>
          <w:tcPr>
            <w:tcW w:w="4097" w:type="pct"/>
            <w:shd w:val="clear" w:color="auto" w:fill="auto"/>
          </w:tcPr>
          <w:p w14:paraId="705EA540" w14:textId="2073034B" w:rsidR="001E495A" w:rsidRPr="00346930" w:rsidRDefault="001E495A" w:rsidP="004B78AB">
            <w:pPr>
              <w:cnfStyle w:val="000000000000" w:firstRow="0" w:lastRow="0" w:firstColumn="0" w:lastColumn="0" w:oddVBand="0" w:evenVBand="0" w:oddHBand="0" w:evenHBand="0" w:firstRowFirstColumn="0" w:firstRowLastColumn="0" w:lastRowFirstColumn="0" w:lastRowLastColumn="0"/>
            </w:pPr>
            <w:r>
              <w:t>Nasal polyp</w:t>
            </w:r>
            <w:r w:rsidR="007A12A7">
              <w:t>(</w:t>
            </w:r>
            <w:r>
              <w:t>s</w:t>
            </w:r>
            <w:r w:rsidR="007A12A7">
              <w:t>)</w:t>
            </w:r>
          </w:p>
        </w:tc>
      </w:tr>
      <w:tr w:rsidR="004B78AB" w:rsidRPr="00D01DDB" w14:paraId="1ED0030E"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940B0C8" w14:textId="583130E1" w:rsidR="004B78AB" w:rsidRDefault="004B78AB" w:rsidP="004B78AB">
            <w:pPr>
              <w:rPr>
                <w:szCs w:val="22"/>
              </w:rPr>
            </w:pPr>
            <w:r>
              <w:rPr>
                <w:szCs w:val="22"/>
              </w:rPr>
              <w:t>OCS</w:t>
            </w:r>
          </w:p>
        </w:tc>
        <w:tc>
          <w:tcPr>
            <w:tcW w:w="4097" w:type="pct"/>
          </w:tcPr>
          <w:p w14:paraId="41CADEBE" w14:textId="638B5A2B" w:rsidR="004B78AB" w:rsidRPr="00E664A7"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O</w:t>
            </w:r>
            <w:r w:rsidRPr="00BB5D2B">
              <w:rPr>
                <w:szCs w:val="22"/>
              </w:rPr>
              <w:t>ral corticosteroid</w:t>
            </w:r>
          </w:p>
        </w:tc>
      </w:tr>
      <w:tr w:rsidR="004B78AB" w:rsidRPr="00D01DDB" w14:paraId="3388A182"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8A4DA15" w14:textId="528C933E" w:rsidR="004B78AB" w:rsidRDefault="004B78AB" w:rsidP="004B78AB">
            <w:pPr>
              <w:rPr>
                <w:szCs w:val="22"/>
              </w:rPr>
            </w:pPr>
            <w:r>
              <w:rPr>
                <w:szCs w:val="22"/>
              </w:rPr>
              <w:t>PFS</w:t>
            </w:r>
          </w:p>
        </w:tc>
        <w:tc>
          <w:tcPr>
            <w:tcW w:w="4097" w:type="pct"/>
          </w:tcPr>
          <w:p w14:paraId="774F2D45" w14:textId="00BD37CF" w:rsidR="004B78AB" w:rsidRPr="00E664A7"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P</w:t>
            </w:r>
            <w:r w:rsidRPr="0017266A">
              <w:rPr>
                <w:szCs w:val="22"/>
              </w:rPr>
              <w:t>re-filled</w:t>
            </w:r>
            <w:r>
              <w:rPr>
                <w:szCs w:val="22"/>
              </w:rPr>
              <w:t xml:space="preserve"> syringe</w:t>
            </w:r>
          </w:p>
        </w:tc>
      </w:tr>
      <w:tr w:rsidR="004B78AB" w:rsidRPr="00D01DDB" w14:paraId="2756B6F2"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2AA960E" w14:textId="72403C37" w:rsidR="004B78AB" w:rsidRPr="00D01DDB" w:rsidRDefault="004B78AB" w:rsidP="004B78AB">
            <w:pPr>
              <w:rPr>
                <w:szCs w:val="22"/>
              </w:rPr>
            </w:pPr>
            <w:r w:rsidRPr="00D01DDB">
              <w:rPr>
                <w:szCs w:val="22"/>
              </w:rPr>
              <w:t>PI</w:t>
            </w:r>
          </w:p>
        </w:tc>
        <w:tc>
          <w:tcPr>
            <w:tcW w:w="4097" w:type="pct"/>
          </w:tcPr>
          <w:p w14:paraId="354B5DB5" w14:textId="3DAE38C1"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Product Information</w:t>
            </w:r>
          </w:p>
        </w:tc>
      </w:tr>
      <w:tr w:rsidR="007D6E2D" w:rsidRPr="00D01DDB" w14:paraId="1587482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B34D873" w14:textId="3D72DF57" w:rsidR="007D6E2D" w:rsidRPr="00D01DDB" w:rsidRDefault="007D6E2D" w:rsidP="004B78AB">
            <w:pPr>
              <w:rPr>
                <w:szCs w:val="22"/>
              </w:rPr>
            </w:pPr>
            <w:proofErr w:type="spellStart"/>
            <w:r>
              <w:rPr>
                <w:szCs w:val="22"/>
              </w:rPr>
              <w:t>PopPK</w:t>
            </w:r>
            <w:proofErr w:type="spellEnd"/>
          </w:p>
        </w:tc>
        <w:tc>
          <w:tcPr>
            <w:tcW w:w="4097" w:type="pct"/>
          </w:tcPr>
          <w:p w14:paraId="756096D4" w14:textId="077677AB" w:rsidR="007D6E2D" w:rsidRPr="00D01DDB" w:rsidRDefault="00344F0F"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P</w:t>
            </w:r>
            <w:r w:rsidRPr="00344F0F">
              <w:rPr>
                <w:szCs w:val="22"/>
              </w:rPr>
              <w:t>opulation PK</w:t>
            </w:r>
          </w:p>
        </w:tc>
      </w:tr>
      <w:tr w:rsidR="004B78AB" w:rsidRPr="00D01DDB" w14:paraId="3D3C703D"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6FC5D65" w14:textId="2915A0B8" w:rsidR="004B78AB" w:rsidRPr="00D01DDB" w:rsidRDefault="004B78AB" w:rsidP="004B78AB">
            <w:pPr>
              <w:rPr>
                <w:szCs w:val="22"/>
              </w:rPr>
            </w:pPr>
            <w:r w:rsidRPr="00D01DDB">
              <w:rPr>
                <w:szCs w:val="22"/>
              </w:rPr>
              <w:t>PSUR</w:t>
            </w:r>
          </w:p>
        </w:tc>
        <w:tc>
          <w:tcPr>
            <w:tcW w:w="4097" w:type="pct"/>
          </w:tcPr>
          <w:p w14:paraId="4A97D112" w14:textId="3DC38D82"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Periodic safety update report</w:t>
            </w:r>
          </w:p>
        </w:tc>
      </w:tr>
      <w:tr w:rsidR="009C7944" w:rsidRPr="00D01DDB" w14:paraId="20AF8502"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008B073" w14:textId="580D1B35" w:rsidR="009C7944" w:rsidRPr="00D01DDB" w:rsidRDefault="009C7944" w:rsidP="004B78AB">
            <w:pPr>
              <w:rPr>
                <w:szCs w:val="22"/>
              </w:rPr>
            </w:pPr>
            <w:r>
              <w:rPr>
                <w:szCs w:val="22"/>
              </w:rPr>
              <w:t>PT</w:t>
            </w:r>
          </w:p>
        </w:tc>
        <w:tc>
          <w:tcPr>
            <w:tcW w:w="4097" w:type="pct"/>
          </w:tcPr>
          <w:p w14:paraId="18661E92" w14:textId="03C78084" w:rsidR="009C7944" w:rsidRPr="00D01DDB" w:rsidRDefault="003806E7"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Preferred Term</w:t>
            </w:r>
          </w:p>
        </w:tc>
      </w:tr>
      <w:tr w:rsidR="004B78AB" w:rsidRPr="00D01DDB" w14:paraId="56430B6A"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A72CF95" w14:textId="6519BAD2" w:rsidR="004B78AB" w:rsidRPr="00D01DDB" w:rsidRDefault="004B78AB" w:rsidP="004B78AB">
            <w:pPr>
              <w:rPr>
                <w:szCs w:val="22"/>
              </w:rPr>
            </w:pPr>
            <w:r w:rsidRPr="0060474C">
              <w:rPr>
                <w:szCs w:val="22"/>
              </w:rPr>
              <w:t>Q26W</w:t>
            </w:r>
          </w:p>
        </w:tc>
        <w:tc>
          <w:tcPr>
            <w:tcW w:w="4097" w:type="pct"/>
          </w:tcPr>
          <w:p w14:paraId="319257E7" w14:textId="641482A0"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E640E8">
              <w:rPr>
                <w:szCs w:val="22"/>
              </w:rPr>
              <w:t xml:space="preserve">Dosing every </w:t>
            </w:r>
            <w:r w:rsidR="0038235A">
              <w:rPr>
                <w:szCs w:val="22"/>
              </w:rPr>
              <w:t>twenty</w:t>
            </w:r>
            <w:r w:rsidR="0038235A" w:rsidRPr="00E640E8">
              <w:rPr>
                <w:szCs w:val="22"/>
              </w:rPr>
              <w:t>-six</w:t>
            </w:r>
            <w:r w:rsidRPr="00E640E8">
              <w:rPr>
                <w:szCs w:val="22"/>
              </w:rPr>
              <w:t xml:space="preserve"> weeks</w:t>
            </w:r>
          </w:p>
        </w:tc>
      </w:tr>
      <w:tr w:rsidR="004B78AB" w:rsidRPr="00D01DDB" w14:paraId="11A1DC2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1E61387E" w14:textId="0AE96D90" w:rsidR="004B78AB" w:rsidRPr="00D01DDB" w:rsidRDefault="004B78AB" w:rsidP="004B78AB">
            <w:pPr>
              <w:rPr>
                <w:szCs w:val="22"/>
              </w:rPr>
            </w:pPr>
            <w:r w:rsidRPr="00E22554">
              <w:rPr>
                <w:szCs w:val="22"/>
              </w:rPr>
              <w:t>QTc</w:t>
            </w:r>
            <w:r w:rsidRPr="00E22554">
              <w:rPr>
                <w:szCs w:val="22"/>
              </w:rPr>
              <w:tab/>
            </w:r>
          </w:p>
        </w:tc>
        <w:tc>
          <w:tcPr>
            <w:tcW w:w="4097" w:type="pct"/>
          </w:tcPr>
          <w:p w14:paraId="12C10322" w14:textId="381CE3B6"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E22554">
              <w:rPr>
                <w:szCs w:val="22"/>
              </w:rPr>
              <w:t>QT interval (Corrected for heart rate)</w:t>
            </w:r>
          </w:p>
        </w:tc>
      </w:tr>
      <w:tr w:rsidR="004B78AB" w:rsidRPr="00D01DDB" w14:paraId="65117C0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2BC9CDEA" w14:textId="48C24289" w:rsidR="004B78AB" w:rsidRPr="00E22554" w:rsidRDefault="004B78AB" w:rsidP="004B78AB">
            <w:r w:rsidRPr="00346930">
              <w:t>QTcF</w:t>
            </w:r>
          </w:p>
        </w:tc>
        <w:tc>
          <w:tcPr>
            <w:tcW w:w="4097" w:type="pct"/>
            <w:shd w:val="clear" w:color="auto" w:fill="auto"/>
          </w:tcPr>
          <w:p w14:paraId="77ED48DF" w14:textId="5F7F6772" w:rsidR="004B78AB" w:rsidRPr="00E22554" w:rsidRDefault="004B78AB" w:rsidP="004B78AB">
            <w:pPr>
              <w:cnfStyle w:val="000000000000" w:firstRow="0" w:lastRow="0" w:firstColumn="0" w:lastColumn="0" w:oddVBand="0" w:evenVBand="0" w:oddHBand="0" w:evenHBand="0" w:firstRowFirstColumn="0" w:firstRowLastColumn="0" w:lastRowFirstColumn="0" w:lastRowLastColumn="0"/>
            </w:pPr>
            <w:r w:rsidRPr="00346930">
              <w:t>Corrected QT interval (Fridericia’s formula)</w:t>
            </w:r>
          </w:p>
        </w:tc>
      </w:tr>
      <w:tr w:rsidR="004B78AB" w:rsidRPr="00D01DDB" w14:paraId="07F3695A"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9390BCA" w14:textId="201D691B" w:rsidR="004B78AB" w:rsidRPr="00D01DDB" w:rsidRDefault="004B78AB" w:rsidP="004B78AB">
            <w:pPr>
              <w:rPr>
                <w:szCs w:val="22"/>
              </w:rPr>
            </w:pPr>
            <w:r w:rsidRPr="00D01DDB">
              <w:rPr>
                <w:szCs w:val="22"/>
              </w:rPr>
              <w:lastRenderedPageBreak/>
              <w:t>RMP</w:t>
            </w:r>
          </w:p>
        </w:tc>
        <w:tc>
          <w:tcPr>
            <w:tcW w:w="4097" w:type="pct"/>
          </w:tcPr>
          <w:p w14:paraId="2C862F75" w14:textId="2355E842"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Risk management plan</w:t>
            </w:r>
          </w:p>
        </w:tc>
      </w:tr>
      <w:tr w:rsidR="001D2EA4" w:rsidRPr="00D01DDB" w14:paraId="3A6FE1D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348186F" w14:textId="7DCFBEDE" w:rsidR="001D2EA4" w:rsidRPr="00D01DDB" w:rsidRDefault="001D2EA4" w:rsidP="004B78AB">
            <w:pPr>
              <w:rPr>
                <w:szCs w:val="22"/>
              </w:rPr>
            </w:pPr>
            <w:r>
              <w:rPr>
                <w:szCs w:val="22"/>
              </w:rPr>
              <w:t>RR</w:t>
            </w:r>
          </w:p>
        </w:tc>
        <w:tc>
          <w:tcPr>
            <w:tcW w:w="4097" w:type="pct"/>
          </w:tcPr>
          <w:p w14:paraId="6FDE33A3" w14:textId="1D67B2F7" w:rsidR="001D2EA4" w:rsidRPr="00D01DDB" w:rsidRDefault="001D2EA4"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Relative risk</w:t>
            </w:r>
          </w:p>
        </w:tc>
      </w:tr>
      <w:tr w:rsidR="006B3CF0" w:rsidRPr="00D01DDB" w14:paraId="578183E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E38B67F" w14:textId="45F14EB6" w:rsidR="006B3CF0" w:rsidRPr="00D01DDB" w:rsidRDefault="006B3CF0" w:rsidP="004B78AB">
            <w:pPr>
              <w:rPr>
                <w:szCs w:val="22"/>
              </w:rPr>
            </w:pPr>
            <w:r>
              <w:rPr>
                <w:szCs w:val="22"/>
              </w:rPr>
              <w:t>SAE</w:t>
            </w:r>
          </w:p>
        </w:tc>
        <w:tc>
          <w:tcPr>
            <w:tcW w:w="4097" w:type="pct"/>
          </w:tcPr>
          <w:p w14:paraId="40BE16E7" w14:textId="0FFC7CD8" w:rsidR="006B3CF0" w:rsidRPr="00D01DDB" w:rsidRDefault="006B3CF0"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Serious adverse events</w:t>
            </w:r>
          </w:p>
        </w:tc>
      </w:tr>
      <w:tr w:rsidR="004B78AB" w:rsidRPr="00D01DDB" w14:paraId="47E432DF"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B51AE8B" w14:textId="13A7C1AB" w:rsidR="004B78AB" w:rsidRPr="00D01DDB" w:rsidRDefault="004B78AB" w:rsidP="004B78AB">
            <w:pPr>
              <w:rPr>
                <w:szCs w:val="22"/>
              </w:rPr>
            </w:pPr>
            <w:r>
              <w:rPr>
                <w:szCs w:val="22"/>
              </w:rPr>
              <w:t>SC</w:t>
            </w:r>
          </w:p>
        </w:tc>
        <w:tc>
          <w:tcPr>
            <w:tcW w:w="4097" w:type="pct"/>
          </w:tcPr>
          <w:p w14:paraId="67A1DE90" w14:textId="5D77E88B"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6E09A0">
              <w:rPr>
                <w:szCs w:val="22"/>
              </w:rPr>
              <w:t>Subcutaneous</w:t>
            </w:r>
          </w:p>
        </w:tc>
      </w:tr>
      <w:tr w:rsidR="004B78AB" w:rsidRPr="00D01DDB" w14:paraId="2B9D4C7A"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0536B6CC" w14:textId="1D796398" w:rsidR="004B78AB" w:rsidRDefault="004B78AB" w:rsidP="004B78AB">
            <w:pPr>
              <w:rPr>
                <w:szCs w:val="22"/>
              </w:rPr>
            </w:pPr>
            <w:r>
              <w:rPr>
                <w:szCs w:val="22"/>
              </w:rPr>
              <w:t>SCS</w:t>
            </w:r>
          </w:p>
        </w:tc>
        <w:tc>
          <w:tcPr>
            <w:tcW w:w="4097" w:type="pct"/>
          </w:tcPr>
          <w:p w14:paraId="1F0F5E31" w14:textId="61C45451" w:rsidR="004B78AB" w:rsidRPr="006E09A0"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S</w:t>
            </w:r>
            <w:r w:rsidRPr="009F3AC5">
              <w:rPr>
                <w:szCs w:val="22"/>
              </w:rPr>
              <w:t>ystemic corticosteroids</w:t>
            </w:r>
          </w:p>
        </w:tc>
      </w:tr>
      <w:tr w:rsidR="004B78AB" w:rsidRPr="00D01DDB" w14:paraId="3ADAB63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218E7668" w14:textId="62CE081A" w:rsidR="004B78AB" w:rsidRPr="00D01DDB" w:rsidRDefault="004B78AB" w:rsidP="004B78AB">
            <w:pPr>
              <w:rPr>
                <w:szCs w:val="22"/>
              </w:rPr>
            </w:pPr>
            <w:r>
              <w:rPr>
                <w:szCs w:val="22"/>
              </w:rPr>
              <w:t>SD</w:t>
            </w:r>
          </w:p>
        </w:tc>
        <w:tc>
          <w:tcPr>
            <w:tcW w:w="4097" w:type="pct"/>
          </w:tcPr>
          <w:p w14:paraId="71613FD5" w14:textId="6C5BD1F0"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Standard deviation</w:t>
            </w:r>
          </w:p>
        </w:tc>
      </w:tr>
      <w:tr w:rsidR="004B78AB" w:rsidRPr="00D01DDB" w14:paraId="3BE85280"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E5699A6" w14:textId="6EF6A897" w:rsidR="004B78AB" w:rsidRPr="00D01DDB" w:rsidRDefault="004B78AB" w:rsidP="004B78AB">
            <w:pPr>
              <w:rPr>
                <w:szCs w:val="22"/>
              </w:rPr>
            </w:pPr>
            <w:r>
              <w:rPr>
                <w:szCs w:val="22"/>
              </w:rPr>
              <w:t>SoC</w:t>
            </w:r>
          </w:p>
        </w:tc>
        <w:tc>
          <w:tcPr>
            <w:tcW w:w="4097" w:type="pct"/>
          </w:tcPr>
          <w:p w14:paraId="3B51604E" w14:textId="07AEA6F7"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2D466E">
              <w:rPr>
                <w:szCs w:val="22"/>
              </w:rPr>
              <w:t>Standard of care</w:t>
            </w:r>
          </w:p>
        </w:tc>
      </w:tr>
      <w:tr w:rsidR="009C7944" w:rsidRPr="00D01DDB" w14:paraId="1185CD43"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3BF9A91" w14:textId="24756C16" w:rsidR="009C7944" w:rsidRDefault="009C7944" w:rsidP="004B78AB">
            <w:pPr>
              <w:rPr>
                <w:szCs w:val="22"/>
              </w:rPr>
            </w:pPr>
            <w:r>
              <w:rPr>
                <w:szCs w:val="22"/>
              </w:rPr>
              <w:t>SOC</w:t>
            </w:r>
          </w:p>
        </w:tc>
        <w:tc>
          <w:tcPr>
            <w:tcW w:w="4097" w:type="pct"/>
          </w:tcPr>
          <w:p w14:paraId="589970B6" w14:textId="2AECA288" w:rsidR="009C7944" w:rsidRPr="002D466E" w:rsidRDefault="009C7944"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System order class</w:t>
            </w:r>
          </w:p>
        </w:tc>
      </w:tr>
      <w:tr w:rsidR="004B78AB" w:rsidRPr="00D01DDB" w14:paraId="7B192997"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74ED1F1C" w14:textId="3C5C6B36" w:rsidR="004B78AB" w:rsidRDefault="004B78AB" w:rsidP="004B78AB">
            <w:pPr>
              <w:rPr>
                <w:szCs w:val="22"/>
              </w:rPr>
            </w:pPr>
            <w:r w:rsidRPr="00346930">
              <w:t>t</w:t>
            </w:r>
            <w:r w:rsidRPr="00346930">
              <w:rPr>
                <w:vertAlign w:val="subscript"/>
              </w:rPr>
              <w:t>½</w:t>
            </w:r>
          </w:p>
        </w:tc>
        <w:tc>
          <w:tcPr>
            <w:tcW w:w="4097" w:type="pct"/>
            <w:shd w:val="clear" w:color="auto" w:fill="auto"/>
          </w:tcPr>
          <w:p w14:paraId="47CF69C3" w14:textId="4089BD93" w:rsidR="004B78AB" w:rsidRPr="002D466E"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Half-life</w:t>
            </w:r>
          </w:p>
        </w:tc>
      </w:tr>
      <w:tr w:rsidR="00A70EDC" w:rsidRPr="00D01DDB" w14:paraId="5F3DA7DC"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44CFC9FB" w14:textId="5B5D890C" w:rsidR="00A70EDC" w:rsidRPr="00346930" w:rsidRDefault="00A70EDC" w:rsidP="004B78AB">
            <w:r w:rsidRPr="00A70EDC">
              <w:t>TRAE</w:t>
            </w:r>
          </w:p>
        </w:tc>
        <w:tc>
          <w:tcPr>
            <w:tcW w:w="4097" w:type="pct"/>
            <w:shd w:val="clear" w:color="auto" w:fill="auto"/>
          </w:tcPr>
          <w:p w14:paraId="728479B2" w14:textId="3C7C2998" w:rsidR="00A70EDC" w:rsidRPr="00346930" w:rsidRDefault="00A70EDC" w:rsidP="004B78AB">
            <w:pPr>
              <w:cnfStyle w:val="000000000000" w:firstRow="0" w:lastRow="0" w:firstColumn="0" w:lastColumn="0" w:oddVBand="0" w:evenVBand="0" w:oddHBand="0" w:evenHBand="0" w:firstRowFirstColumn="0" w:firstRowLastColumn="0" w:lastRowFirstColumn="0" w:lastRowLastColumn="0"/>
            </w:pPr>
            <w:r>
              <w:t>Treatment related adverse event</w:t>
            </w:r>
          </w:p>
        </w:tc>
      </w:tr>
      <w:tr w:rsidR="004B78AB" w:rsidRPr="00D01DDB" w14:paraId="254AC9B9"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74FC2A0" w14:textId="41297C79" w:rsidR="004B78AB" w:rsidRPr="00D01DDB" w:rsidRDefault="004B78AB" w:rsidP="004B78AB">
            <w:pPr>
              <w:rPr>
                <w:szCs w:val="22"/>
              </w:rPr>
            </w:pPr>
            <w:r w:rsidRPr="00D01DDB">
              <w:rPr>
                <w:szCs w:val="22"/>
              </w:rPr>
              <w:t>TGA</w:t>
            </w:r>
          </w:p>
        </w:tc>
        <w:tc>
          <w:tcPr>
            <w:tcW w:w="4097" w:type="pct"/>
          </w:tcPr>
          <w:p w14:paraId="29EA6BA3" w14:textId="6F99059F"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Therapeutic Goods Administration</w:t>
            </w:r>
          </w:p>
        </w:tc>
      </w:tr>
      <w:tr w:rsidR="004B78AB" w:rsidRPr="00D01DDB" w14:paraId="22242BBB"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6EF3EDF" w14:textId="60AE709C" w:rsidR="004B78AB" w:rsidRPr="00D01DDB" w:rsidRDefault="004B78AB" w:rsidP="004B78AB">
            <w:pPr>
              <w:rPr>
                <w:szCs w:val="22"/>
              </w:rPr>
            </w:pPr>
            <w:proofErr w:type="spellStart"/>
            <w:r w:rsidRPr="00253274">
              <w:rPr>
                <w:szCs w:val="22"/>
              </w:rPr>
              <w:t>T</w:t>
            </w:r>
            <w:r w:rsidRPr="00253274">
              <w:rPr>
                <w:szCs w:val="22"/>
                <w:vertAlign w:val="subscript"/>
              </w:rPr>
              <w:t>max</w:t>
            </w:r>
            <w:proofErr w:type="spellEnd"/>
          </w:p>
        </w:tc>
        <w:tc>
          <w:tcPr>
            <w:tcW w:w="4097" w:type="pct"/>
          </w:tcPr>
          <w:p w14:paraId="534BE886" w14:textId="422F5516" w:rsidR="004B78AB" w:rsidRPr="00D01DDB"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0D425F">
              <w:rPr>
                <w:szCs w:val="22"/>
              </w:rPr>
              <w:t>Time to observe maximum drug concentration</w:t>
            </w:r>
          </w:p>
        </w:tc>
      </w:tr>
      <w:tr w:rsidR="004B78AB" w:rsidRPr="00D01DDB" w14:paraId="773A52FA"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735D7ADE" w14:textId="16306A2C" w:rsidR="004B78AB" w:rsidRPr="00253274" w:rsidRDefault="004B78AB" w:rsidP="004B78AB">
            <w:pPr>
              <w:rPr>
                <w:szCs w:val="22"/>
              </w:rPr>
            </w:pPr>
            <w:r>
              <w:rPr>
                <w:szCs w:val="22"/>
              </w:rPr>
              <w:t>TSLP</w:t>
            </w:r>
          </w:p>
        </w:tc>
        <w:tc>
          <w:tcPr>
            <w:tcW w:w="4097" w:type="pct"/>
          </w:tcPr>
          <w:p w14:paraId="643F9B6B" w14:textId="618024D5" w:rsidR="004B78AB" w:rsidRPr="00B7626C"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B7626C">
              <w:rPr>
                <w:szCs w:val="22"/>
              </w:rPr>
              <w:t xml:space="preserve">Thymic stromal lymphopoietin </w:t>
            </w:r>
          </w:p>
        </w:tc>
      </w:tr>
      <w:tr w:rsidR="00BA2357" w:rsidRPr="00D01DDB" w14:paraId="5A3E3C35"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56370062" w14:textId="103DE223" w:rsidR="00BA2357" w:rsidRDefault="009172A7" w:rsidP="004B78AB">
            <w:pPr>
              <w:rPr>
                <w:szCs w:val="22"/>
              </w:rPr>
            </w:pPr>
            <w:r>
              <w:rPr>
                <w:szCs w:val="22"/>
              </w:rPr>
              <w:t>URTI</w:t>
            </w:r>
          </w:p>
        </w:tc>
        <w:tc>
          <w:tcPr>
            <w:tcW w:w="4097" w:type="pct"/>
          </w:tcPr>
          <w:p w14:paraId="1716A17F" w14:textId="079CDAC8" w:rsidR="00BA2357" w:rsidRPr="00B7626C" w:rsidRDefault="009172A7"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Upper respiratory tract infection</w:t>
            </w:r>
          </w:p>
        </w:tc>
      </w:tr>
      <w:tr w:rsidR="008814A1" w:rsidRPr="00D01DDB" w14:paraId="06D9C088"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466C02B9" w14:textId="0313E94C" w:rsidR="008814A1" w:rsidRDefault="008814A1" w:rsidP="004B78AB">
            <w:pPr>
              <w:rPr>
                <w:szCs w:val="22"/>
              </w:rPr>
            </w:pPr>
            <w:r>
              <w:rPr>
                <w:szCs w:val="22"/>
              </w:rPr>
              <w:t>US(A)</w:t>
            </w:r>
          </w:p>
        </w:tc>
        <w:tc>
          <w:tcPr>
            <w:tcW w:w="4097" w:type="pct"/>
          </w:tcPr>
          <w:p w14:paraId="38B15A16" w14:textId="34ADA5A2" w:rsidR="008814A1" w:rsidRDefault="008814A1" w:rsidP="004B78AB">
            <w:pPr>
              <w:cnfStyle w:val="000000000000" w:firstRow="0" w:lastRow="0" w:firstColumn="0" w:lastColumn="0" w:oddVBand="0" w:evenVBand="0" w:oddHBand="0" w:evenHBand="0" w:firstRowFirstColumn="0" w:firstRowLastColumn="0" w:lastRowFirstColumn="0" w:lastRowLastColumn="0"/>
              <w:rPr>
                <w:szCs w:val="22"/>
              </w:rPr>
            </w:pPr>
            <w:r>
              <w:rPr>
                <w:szCs w:val="22"/>
              </w:rPr>
              <w:t>United States (of America)</w:t>
            </w:r>
          </w:p>
        </w:tc>
      </w:tr>
      <w:tr w:rsidR="004B78AB" w:rsidRPr="00D01DDB" w14:paraId="1B6474E6"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3CF8E5A9" w14:textId="6BA5CD1C" w:rsidR="004B78AB" w:rsidRDefault="004B78AB" w:rsidP="004B78AB">
            <w:pPr>
              <w:rPr>
                <w:szCs w:val="22"/>
              </w:rPr>
            </w:pPr>
            <w:r w:rsidRPr="00346930">
              <w:t>V</w:t>
            </w:r>
          </w:p>
        </w:tc>
        <w:tc>
          <w:tcPr>
            <w:tcW w:w="4097" w:type="pct"/>
            <w:shd w:val="clear" w:color="auto" w:fill="auto"/>
          </w:tcPr>
          <w:p w14:paraId="338F4C07" w14:textId="52BA920C" w:rsidR="004B78AB" w:rsidRPr="00B7626C" w:rsidRDefault="004B78AB" w:rsidP="004B78AB">
            <w:pPr>
              <w:cnfStyle w:val="000000000000" w:firstRow="0" w:lastRow="0" w:firstColumn="0" w:lastColumn="0" w:oddVBand="0" w:evenVBand="0" w:oddHBand="0" w:evenHBand="0" w:firstRowFirstColumn="0" w:firstRowLastColumn="0" w:lastRowFirstColumn="0" w:lastRowLastColumn="0"/>
              <w:rPr>
                <w:szCs w:val="22"/>
              </w:rPr>
            </w:pPr>
            <w:r w:rsidRPr="00346930">
              <w:t>Volume of distribution</w:t>
            </w:r>
          </w:p>
        </w:tc>
      </w:tr>
      <w:tr w:rsidR="005037C0" w:rsidRPr="00D01DDB" w14:paraId="2C0915E3"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shd w:val="clear" w:color="auto" w:fill="auto"/>
          </w:tcPr>
          <w:p w14:paraId="221CA324" w14:textId="36EF66C1" w:rsidR="005037C0" w:rsidRPr="00346930" w:rsidRDefault="005037C0" w:rsidP="005037C0">
            <w:r w:rsidRPr="00346930">
              <w:t>VRS</w:t>
            </w:r>
          </w:p>
        </w:tc>
        <w:tc>
          <w:tcPr>
            <w:tcW w:w="4097" w:type="pct"/>
            <w:shd w:val="clear" w:color="auto" w:fill="auto"/>
          </w:tcPr>
          <w:p w14:paraId="3FAB5C84" w14:textId="1945CE56" w:rsidR="005037C0" w:rsidRPr="00346930" w:rsidRDefault="005037C0" w:rsidP="005037C0">
            <w:pPr>
              <w:cnfStyle w:val="000000000000" w:firstRow="0" w:lastRow="0" w:firstColumn="0" w:lastColumn="0" w:oddVBand="0" w:evenVBand="0" w:oddHBand="0" w:evenHBand="0" w:firstRowFirstColumn="0" w:firstRowLastColumn="0" w:lastRowFirstColumn="0" w:lastRowLastColumn="0"/>
            </w:pPr>
            <w:r w:rsidRPr="00346930">
              <w:t>Verbal response scale</w:t>
            </w:r>
          </w:p>
        </w:tc>
      </w:tr>
      <w:tr w:rsidR="005037C0" w:rsidRPr="00D01DDB" w14:paraId="618D7F3D" w14:textId="77777777" w:rsidTr="007D6E2D">
        <w:trPr>
          <w:trHeight w:val="386"/>
        </w:trPr>
        <w:tc>
          <w:tcPr>
            <w:cnfStyle w:val="001000000000" w:firstRow="0" w:lastRow="0" w:firstColumn="1" w:lastColumn="0" w:oddVBand="0" w:evenVBand="0" w:oddHBand="0" w:evenHBand="0" w:firstRowFirstColumn="0" w:firstRowLastColumn="0" w:lastRowFirstColumn="0" w:lastRowLastColumn="0"/>
            <w:tcW w:w="903" w:type="pct"/>
          </w:tcPr>
          <w:p w14:paraId="39E50687" w14:textId="21704A75" w:rsidR="005037C0" w:rsidRPr="00D01DDB" w:rsidRDefault="005037C0" w:rsidP="005037C0">
            <w:pPr>
              <w:rPr>
                <w:szCs w:val="22"/>
              </w:rPr>
            </w:pPr>
            <w:proofErr w:type="spellStart"/>
            <w:r w:rsidRPr="00E83E4C">
              <w:rPr>
                <w:szCs w:val="22"/>
              </w:rPr>
              <w:t>Vz</w:t>
            </w:r>
            <w:proofErr w:type="spellEnd"/>
            <w:r w:rsidRPr="00E83E4C">
              <w:rPr>
                <w:szCs w:val="22"/>
              </w:rPr>
              <w:t>/F</w:t>
            </w:r>
          </w:p>
        </w:tc>
        <w:tc>
          <w:tcPr>
            <w:tcW w:w="4097" w:type="pct"/>
          </w:tcPr>
          <w:p w14:paraId="22383672" w14:textId="3741A75A" w:rsidR="005037C0" w:rsidRPr="00D01DDB" w:rsidRDefault="00FF3252" w:rsidP="005037C0">
            <w:pPr>
              <w:cnfStyle w:val="000000000000" w:firstRow="0" w:lastRow="0" w:firstColumn="0" w:lastColumn="0" w:oddVBand="0" w:evenVBand="0" w:oddHBand="0" w:evenHBand="0" w:firstRowFirstColumn="0" w:firstRowLastColumn="0" w:lastRowFirstColumn="0" w:lastRowLastColumn="0"/>
              <w:rPr>
                <w:szCs w:val="22"/>
              </w:rPr>
            </w:pPr>
            <w:r w:rsidRPr="00FF3252">
              <w:rPr>
                <w:szCs w:val="22"/>
              </w:rPr>
              <w:t>Apparent volume of distribution during terminal phase</w:t>
            </w:r>
          </w:p>
        </w:tc>
      </w:tr>
    </w:tbl>
    <w:p w14:paraId="02FB1F38" w14:textId="77777777" w:rsidR="00324B33" w:rsidRPr="00FD119B" w:rsidRDefault="00324B33" w:rsidP="00324B33">
      <w:pPr>
        <w:spacing w:after="200" w:line="0" w:lineRule="auto"/>
        <w:rPr>
          <w:b/>
          <w:i/>
          <w:sz w:val="24"/>
          <w:szCs w:val="24"/>
        </w:rPr>
      </w:pPr>
      <w:r w:rsidRPr="00FD119B">
        <w:rPr>
          <w:b/>
          <w:i/>
          <w:sz w:val="24"/>
          <w:szCs w:val="24"/>
        </w:rPr>
        <w:br w:type="page"/>
      </w:r>
    </w:p>
    <w:p w14:paraId="44C2A39C" w14:textId="7ABB8B76" w:rsidR="00324B33" w:rsidRDefault="00324B33" w:rsidP="00324B33">
      <w:pPr>
        <w:pStyle w:val="Heading2"/>
      </w:pPr>
      <w:bookmarkStart w:id="5" w:name="_Toc103679288"/>
      <w:bookmarkStart w:id="6" w:name="_Toc241481364"/>
      <w:r>
        <w:lastRenderedPageBreak/>
        <w:t>Product submission</w:t>
      </w:r>
      <w:bookmarkEnd w:id="5"/>
      <w:bookmarkEnd w:id="6"/>
      <w:r w:rsidR="008A6BD8">
        <w:fldChar w:fldCharType="begin"/>
      </w:r>
      <w:r w:rsidR="008A6BD8">
        <w:instrText xml:space="preserve"> DOCVARIABLE vault_nd_ad8fe949-5a33-4364-b97e-a355a5c804fb \* MERGEFORMAT </w:instrText>
      </w:r>
      <w:r w:rsidR="008A6BD8">
        <w:fldChar w:fldCharType="separate"/>
      </w:r>
      <w:r w:rsidR="008A6BD8">
        <w:t xml:space="preserve"> </w:t>
      </w:r>
      <w:r w:rsidR="008A6BD8">
        <w:fldChar w:fldCharType="end"/>
      </w:r>
    </w:p>
    <w:p w14:paraId="21D559DF" w14:textId="45841C68" w:rsidR="00324B33" w:rsidRDefault="00324B33" w:rsidP="00324B33">
      <w:pPr>
        <w:pStyle w:val="Heading3"/>
        <w:rPr>
          <w:lang w:eastAsia="en-AU"/>
        </w:rPr>
      </w:pPr>
      <w:bookmarkStart w:id="7" w:name="_Toc247691502"/>
      <w:bookmarkStart w:id="8" w:name="_Toc314842483"/>
      <w:bookmarkStart w:id="9" w:name="_Toc103679289"/>
      <w:bookmarkStart w:id="10" w:name="_Toc241481365"/>
      <w:r>
        <w:rPr>
          <w:lang w:eastAsia="en-AU"/>
        </w:rPr>
        <w:t>Submission details</w:t>
      </w:r>
      <w:bookmarkEnd w:id="7"/>
      <w:bookmarkEnd w:id="8"/>
      <w:bookmarkEnd w:id="9"/>
      <w:bookmarkEnd w:id="10"/>
      <w:r w:rsidR="008A6BD8">
        <w:rPr>
          <w:lang w:eastAsia="en-AU"/>
        </w:rPr>
        <w:fldChar w:fldCharType="begin"/>
      </w:r>
      <w:r w:rsidR="008A6BD8">
        <w:rPr>
          <w:lang w:eastAsia="en-AU"/>
        </w:rPr>
        <w:instrText xml:space="preserve"> DOCVARIABLE vault_nd_ce2abbbb-7a02-45df-9faf-e920c66b38c0 \* MERGEFORMAT </w:instrText>
      </w:r>
      <w:r w:rsidR="008A6BD8">
        <w:rPr>
          <w:lang w:eastAsia="en-AU"/>
        </w:rPr>
        <w:fldChar w:fldCharType="separate"/>
      </w:r>
      <w:r w:rsidR="008A6BD8">
        <w:rPr>
          <w:lang w:eastAsia="en-AU"/>
        </w:rPr>
        <w:t xml:space="preserve"> </w:t>
      </w:r>
      <w:r w:rsidR="008A6BD8">
        <w:rPr>
          <w:lang w:eastAsia="en-AU"/>
        </w:rPr>
        <w:fldChar w:fldCharType="end"/>
      </w:r>
    </w:p>
    <w:tbl>
      <w:tblPr>
        <w:tblW w:w="5000" w:type="pct"/>
        <w:tblLook w:val="01E0" w:firstRow="1" w:lastRow="1" w:firstColumn="1" w:lastColumn="1" w:noHBand="0" w:noVBand="0"/>
      </w:tblPr>
      <w:tblGrid>
        <w:gridCol w:w="2861"/>
        <w:gridCol w:w="6209"/>
      </w:tblGrid>
      <w:tr w:rsidR="00324B33" w:rsidRPr="00BD5DBD" w14:paraId="77D11C95" w14:textId="77777777" w:rsidTr="00F865A7">
        <w:tc>
          <w:tcPr>
            <w:tcW w:w="1577" w:type="pct"/>
          </w:tcPr>
          <w:p w14:paraId="10E57D62" w14:textId="6C0CE4E9" w:rsidR="00324B33" w:rsidRPr="00BD5DBD" w:rsidRDefault="00324B33" w:rsidP="007452E8">
            <w:pPr>
              <w:rPr>
                <w:i/>
                <w:szCs w:val="22"/>
              </w:rPr>
            </w:pPr>
            <w:r w:rsidRPr="00BD5DBD">
              <w:rPr>
                <w:i/>
                <w:szCs w:val="22"/>
              </w:rPr>
              <w:t>Type of submission:</w:t>
            </w:r>
          </w:p>
        </w:tc>
        <w:tc>
          <w:tcPr>
            <w:tcW w:w="3423" w:type="pct"/>
          </w:tcPr>
          <w:p w14:paraId="4F07C303" w14:textId="76120138" w:rsidR="00324B33" w:rsidRPr="00BD5DBD" w:rsidRDefault="00324B33" w:rsidP="007452E8">
            <w:pPr>
              <w:rPr>
                <w:szCs w:val="22"/>
              </w:rPr>
            </w:pPr>
            <w:r w:rsidRPr="00BD5DBD">
              <w:rPr>
                <w:szCs w:val="22"/>
              </w:rPr>
              <w:t xml:space="preserve">New </w:t>
            </w:r>
            <w:r w:rsidR="00B874E9">
              <w:rPr>
                <w:szCs w:val="22"/>
              </w:rPr>
              <w:t>biological</w:t>
            </w:r>
            <w:r w:rsidRPr="00BD5DBD">
              <w:rPr>
                <w:szCs w:val="22"/>
              </w:rPr>
              <w:t xml:space="preserve"> entity</w:t>
            </w:r>
          </w:p>
        </w:tc>
      </w:tr>
      <w:tr w:rsidR="00324B33" w:rsidRPr="00BD5DBD" w14:paraId="13482B61" w14:textId="77777777" w:rsidTr="00F865A7">
        <w:tc>
          <w:tcPr>
            <w:tcW w:w="1577" w:type="pct"/>
          </w:tcPr>
          <w:p w14:paraId="2C427FCF" w14:textId="582CC57F" w:rsidR="00324B33" w:rsidRPr="00BD5DBD" w:rsidRDefault="00324B33" w:rsidP="007452E8">
            <w:pPr>
              <w:rPr>
                <w:i/>
                <w:szCs w:val="22"/>
              </w:rPr>
            </w:pPr>
            <w:r w:rsidRPr="00BD5DBD">
              <w:rPr>
                <w:i/>
                <w:szCs w:val="22"/>
              </w:rPr>
              <w:t>Product name:</w:t>
            </w:r>
          </w:p>
        </w:tc>
        <w:tc>
          <w:tcPr>
            <w:tcW w:w="3423" w:type="pct"/>
          </w:tcPr>
          <w:p w14:paraId="0E2DEF76" w14:textId="6BE6CD39" w:rsidR="00324B33" w:rsidRPr="00BD5DBD" w:rsidRDefault="009B7EB1" w:rsidP="007452E8">
            <w:pPr>
              <w:rPr>
                <w:szCs w:val="22"/>
              </w:rPr>
            </w:pPr>
            <w:r>
              <w:rPr>
                <w:szCs w:val="22"/>
              </w:rPr>
              <w:t>Exdensur</w:t>
            </w:r>
          </w:p>
        </w:tc>
      </w:tr>
      <w:tr w:rsidR="00324B33" w:rsidRPr="00BD5DBD" w14:paraId="01255B5B" w14:textId="77777777" w:rsidTr="00F865A7">
        <w:tc>
          <w:tcPr>
            <w:tcW w:w="1577" w:type="pct"/>
          </w:tcPr>
          <w:p w14:paraId="52B4F3D7" w14:textId="21266507" w:rsidR="00324B33" w:rsidRPr="00BD5DBD" w:rsidRDefault="00324B33" w:rsidP="007452E8">
            <w:pPr>
              <w:rPr>
                <w:i/>
                <w:szCs w:val="22"/>
              </w:rPr>
            </w:pPr>
            <w:r w:rsidRPr="00BD5DBD">
              <w:rPr>
                <w:i/>
                <w:szCs w:val="22"/>
              </w:rPr>
              <w:t>Active ingredient:</w:t>
            </w:r>
          </w:p>
        </w:tc>
        <w:tc>
          <w:tcPr>
            <w:tcW w:w="3423" w:type="pct"/>
          </w:tcPr>
          <w:p w14:paraId="02FB6383" w14:textId="19CF104C" w:rsidR="00324B33" w:rsidRPr="00BD5DBD" w:rsidRDefault="00E15565" w:rsidP="007452E8">
            <w:pPr>
              <w:rPr>
                <w:szCs w:val="22"/>
              </w:rPr>
            </w:pPr>
            <w:r>
              <w:rPr>
                <w:szCs w:val="22"/>
              </w:rPr>
              <w:t>D</w:t>
            </w:r>
            <w:r w:rsidRPr="00E15565">
              <w:rPr>
                <w:szCs w:val="22"/>
              </w:rPr>
              <w:t>epemokimab</w:t>
            </w:r>
          </w:p>
        </w:tc>
      </w:tr>
      <w:tr w:rsidR="00324B33" w:rsidRPr="00BD5DBD" w14:paraId="219A281B" w14:textId="77777777" w:rsidTr="00F865A7">
        <w:tc>
          <w:tcPr>
            <w:tcW w:w="1577" w:type="pct"/>
          </w:tcPr>
          <w:p w14:paraId="112E5F78" w14:textId="77777777" w:rsidR="00324B33" w:rsidRPr="00BD5DBD" w:rsidRDefault="00324B33" w:rsidP="007452E8">
            <w:pPr>
              <w:rPr>
                <w:i/>
                <w:szCs w:val="22"/>
              </w:rPr>
            </w:pPr>
            <w:r w:rsidRPr="00BD5DBD">
              <w:rPr>
                <w:i/>
                <w:szCs w:val="22"/>
              </w:rPr>
              <w:t>Decision:</w:t>
            </w:r>
          </w:p>
        </w:tc>
        <w:tc>
          <w:tcPr>
            <w:tcW w:w="3423" w:type="pct"/>
          </w:tcPr>
          <w:p w14:paraId="3B114BEA" w14:textId="21EE5664" w:rsidR="00324B33" w:rsidRPr="00BD5DBD" w:rsidRDefault="00324B33" w:rsidP="007452E8">
            <w:pPr>
              <w:rPr>
                <w:szCs w:val="22"/>
              </w:rPr>
            </w:pPr>
            <w:r w:rsidRPr="00BD5DBD">
              <w:rPr>
                <w:szCs w:val="22"/>
              </w:rPr>
              <w:t xml:space="preserve">Approved </w:t>
            </w:r>
          </w:p>
        </w:tc>
      </w:tr>
      <w:tr w:rsidR="00AE1947" w:rsidRPr="00BD5DBD" w14:paraId="32B72632" w14:textId="77777777" w:rsidTr="00F865A7">
        <w:tc>
          <w:tcPr>
            <w:tcW w:w="1577" w:type="pct"/>
          </w:tcPr>
          <w:p w14:paraId="332A5CD5" w14:textId="65682B5F" w:rsidR="00AE1947" w:rsidRPr="00BD5DBD" w:rsidRDefault="00AE1947" w:rsidP="007F1E37">
            <w:r w:rsidRPr="00BD5DBD">
              <w:rPr>
                <w:i/>
                <w:szCs w:val="22"/>
              </w:rPr>
              <w:t>Date of decision:</w:t>
            </w:r>
          </w:p>
        </w:tc>
        <w:tc>
          <w:tcPr>
            <w:tcW w:w="3423" w:type="pct"/>
          </w:tcPr>
          <w:p w14:paraId="7B381CD6" w14:textId="129E3F0F" w:rsidR="00AE1947" w:rsidRPr="00BD5DBD" w:rsidRDefault="0024662D">
            <w:pPr>
              <w:rPr>
                <w:szCs w:val="22"/>
              </w:rPr>
            </w:pPr>
            <w:r>
              <w:rPr>
                <w:szCs w:val="22"/>
              </w:rPr>
              <w:t>21 July 2026</w:t>
            </w:r>
          </w:p>
        </w:tc>
      </w:tr>
      <w:tr w:rsidR="00324B33" w:rsidRPr="00BD5DBD" w14:paraId="60A25F5A" w14:textId="77777777" w:rsidTr="00F865A7">
        <w:tc>
          <w:tcPr>
            <w:tcW w:w="1577" w:type="pct"/>
          </w:tcPr>
          <w:p w14:paraId="5C5E4CBA" w14:textId="77777777" w:rsidR="00324B33" w:rsidRPr="00BD5DBD" w:rsidRDefault="00324B33" w:rsidP="007452E8">
            <w:pPr>
              <w:rPr>
                <w:i/>
                <w:szCs w:val="22"/>
              </w:rPr>
            </w:pPr>
            <w:r w:rsidRPr="00BD5DBD">
              <w:rPr>
                <w:i/>
                <w:szCs w:val="22"/>
              </w:rPr>
              <w:t>Date of entry onto ARTG:</w:t>
            </w:r>
          </w:p>
        </w:tc>
        <w:tc>
          <w:tcPr>
            <w:tcW w:w="3423" w:type="pct"/>
          </w:tcPr>
          <w:p w14:paraId="28B270E9" w14:textId="5F9876B6" w:rsidR="00324B33" w:rsidRPr="00BD5DBD" w:rsidRDefault="0024662D" w:rsidP="007452E8">
            <w:pPr>
              <w:rPr>
                <w:szCs w:val="22"/>
              </w:rPr>
            </w:pPr>
            <w:r>
              <w:rPr>
                <w:szCs w:val="22"/>
              </w:rPr>
              <w:t>24 July 2026</w:t>
            </w:r>
          </w:p>
        </w:tc>
      </w:tr>
      <w:tr w:rsidR="00324B33" w:rsidRPr="00BD5DBD" w14:paraId="547E08D7" w14:textId="77777777" w:rsidTr="00F865A7">
        <w:tc>
          <w:tcPr>
            <w:tcW w:w="1577" w:type="pct"/>
          </w:tcPr>
          <w:p w14:paraId="5030EF30" w14:textId="79E5E067" w:rsidR="00324B33" w:rsidRPr="00BD5DBD" w:rsidRDefault="00324B33" w:rsidP="007452E8">
            <w:pPr>
              <w:rPr>
                <w:i/>
                <w:szCs w:val="22"/>
              </w:rPr>
            </w:pPr>
            <w:r w:rsidRPr="00BD5DBD">
              <w:rPr>
                <w:i/>
                <w:szCs w:val="22"/>
              </w:rPr>
              <w:t>ARTG numbers:</w:t>
            </w:r>
          </w:p>
        </w:tc>
        <w:tc>
          <w:tcPr>
            <w:tcW w:w="3423" w:type="pct"/>
          </w:tcPr>
          <w:p w14:paraId="0054E912" w14:textId="15CCA5E7" w:rsidR="00324B33" w:rsidRPr="00BD5DBD" w:rsidRDefault="00F05ADD" w:rsidP="00F05ADD">
            <w:pPr>
              <w:rPr>
                <w:szCs w:val="22"/>
              </w:rPr>
            </w:pPr>
            <w:r w:rsidRPr="00F05ADD">
              <w:rPr>
                <w:szCs w:val="22"/>
              </w:rPr>
              <w:t xml:space="preserve">486145, </w:t>
            </w:r>
            <w:r w:rsidR="000D7155" w:rsidRPr="00F05ADD">
              <w:rPr>
                <w:szCs w:val="22"/>
              </w:rPr>
              <w:t>486146</w:t>
            </w:r>
          </w:p>
        </w:tc>
      </w:tr>
      <w:tr w:rsidR="00324B33" w:rsidRPr="00BD5DBD" w14:paraId="7618393F" w14:textId="77777777" w:rsidTr="00F865A7">
        <w:tc>
          <w:tcPr>
            <w:tcW w:w="1577" w:type="pct"/>
          </w:tcPr>
          <w:p w14:paraId="6C24CEB6" w14:textId="6A7FE944" w:rsidR="00E47E0C" w:rsidRPr="00BD5DBD" w:rsidRDefault="00324B33" w:rsidP="007452E8">
            <w:pPr>
              <w:rPr>
                <w:rStyle w:val="Hyperlink"/>
                <w:i/>
                <w:szCs w:val="22"/>
              </w:rPr>
            </w:pPr>
            <w:r w:rsidRPr="00BD5DBD">
              <w:rPr>
                <w:rFonts w:ascii="Wingdings 3" w:hAnsi="Wingdings 3"/>
                <w:szCs w:val="22"/>
                <w:lang w:eastAsia="en-AU"/>
              </w:rPr>
              <w:t></w:t>
            </w:r>
            <w:hyperlink r:id="rId19" w:history="1">
              <w:r w:rsidRPr="00BD5DBD">
                <w:rPr>
                  <w:rStyle w:val="Hyperlink"/>
                  <w:i/>
                  <w:szCs w:val="22"/>
                </w:rPr>
                <w:t>Black Triangle Scheme</w:t>
              </w:r>
            </w:hyperlink>
          </w:p>
          <w:p w14:paraId="02260DE2" w14:textId="1FC334AE" w:rsidR="00324B33" w:rsidRPr="00BD5DBD" w:rsidRDefault="00E47E0C" w:rsidP="007452E8">
            <w:pPr>
              <w:rPr>
                <w:i/>
                <w:szCs w:val="22"/>
              </w:rPr>
            </w:pPr>
            <w:r w:rsidRPr="00BD5DBD">
              <w:rPr>
                <w:i/>
                <w:szCs w:val="22"/>
              </w:rPr>
              <w:t xml:space="preserve">for </w:t>
            </w:r>
            <w:r w:rsidR="007B04DE" w:rsidRPr="00BD5DBD">
              <w:rPr>
                <w:i/>
                <w:szCs w:val="22"/>
              </w:rPr>
              <w:t>the current</w:t>
            </w:r>
            <w:r w:rsidRPr="00BD5DBD">
              <w:rPr>
                <w:i/>
                <w:szCs w:val="22"/>
              </w:rPr>
              <w:t xml:space="preserve"> submission</w:t>
            </w:r>
            <w:r w:rsidR="00324B33" w:rsidRPr="00BD5DBD">
              <w:rPr>
                <w:i/>
                <w:szCs w:val="22"/>
              </w:rPr>
              <w:t>:</w:t>
            </w:r>
          </w:p>
        </w:tc>
        <w:tc>
          <w:tcPr>
            <w:tcW w:w="3423" w:type="pct"/>
          </w:tcPr>
          <w:p w14:paraId="6FF3C6A2" w14:textId="49BB4EBA" w:rsidR="00324B33" w:rsidRPr="00F05ADD" w:rsidRDefault="00324B33" w:rsidP="007452E8">
            <w:pPr>
              <w:rPr>
                <w:szCs w:val="22"/>
                <w:highlight w:val="yellow"/>
              </w:rPr>
            </w:pPr>
            <w:r w:rsidRPr="008A66FD">
              <w:rPr>
                <w:szCs w:val="22"/>
              </w:rPr>
              <w:t>Yes</w:t>
            </w:r>
          </w:p>
        </w:tc>
      </w:tr>
      <w:tr w:rsidR="00324B33" w:rsidRPr="00BD5DBD" w14:paraId="179E09FE" w14:textId="77777777" w:rsidTr="00F865A7">
        <w:tc>
          <w:tcPr>
            <w:tcW w:w="1577" w:type="pct"/>
          </w:tcPr>
          <w:p w14:paraId="1A592498" w14:textId="77777777" w:rsidR="00324B33" w:rsidRPr="00BD5DBD" w:rsidRDefault="00324B33" w:rsidP="007452E8">
            <w:pPr>
              <w:rPr>
                <w:i/>
                <w:szCs w:val="22"/>
              </w:rPr>
            </w:pPr>
            <w:r w:rsidRPr="00BD5DBD">
              <w:rPr>
                <w:i/>
                <w:szCs w:val="22"/>
              </w:rPr>
              <w:t>Sponsor’s name and address:</w:t>
            </w:r>
          </w:p>
        </w:tc>
        <w:tc>
          <w:tcPr>
            <w:tcW w:w="3423" w:type="pct"/>
          </w:tcPr>
          <w:p w14:paraId="0B38C461" w14:textId="77777777" w:rsidR="00324B33" w:rsidRDefault="001C3CFD" w:rsidP="007452E8">
            <w:pPr>
              <w:rPr>
                <w:szCs w:val="22"/>
              </w:rPr>
            </w:pPr>
            <w:r w:rsidRPr="001C3CFD">
              <w:rPr>
                <w:szCs w:val="22"/>
              </w:rPr>
              <w:t>GlaxoSmithKline Australia Pty Ltd</w:t>
            </w:r>
          </w:p>
          <w:p w14:paraId="0B8B11DB" w14:textId="77777777" w:rsidR="001D57DB" w:rsidRDefault="001D57DB" w:rsidP="007452E8">
            <w:pPr>
              <w:rPr>
                <w:szCs w:val="22"/>
              </w:rPr>
            </w:pPr>
            <w:r>
              <w:rPr>
                <w:szCs w:val="22"/>
              </w:rPr>
              <w:t>Level 4</w:t>
            </w:r>
            <w:r w:rsidR="004F5317">
              <w:rPr>
                <w:szCs w:val="22"/>
              </w:rPr>
              <w:t>, 436 Johnston Street,</w:t>
            </w:r>
          </w:p>
          <w:p w14:paraId="68DD94B0" w14:textId="481E1998" w:rsidR="004F5317" w:rsidRPr="00BD5DBD" w:rsidRDefault="004F5317" w:rsidP="007452E8">
            <w:pPr>
              <w:rPr>
                <w:szCs w:val="22"/>
              </w:rPr>
            </w:pPr>
            <w:r>
              <w:rPr>
                <w:szCs w:val="22"/>
              </w:rPr>
              <w:t>Abbotsford, Victoria 30</w:t>
            </w:r>
            <w:r w:rsidR="0052461D">
              <w:rPr>
                <w:szCs w:val="22"/>
              </w:rPr>
              <w:t>67</w:t>
            </w:r>
          </w:p>
        </w:tc>
      </w:tr>
      <w:tr w:rsidR="00324B33" w:rsidRPr="00BD5DBD" w14:paraId="5322B989" w14:textId="77777777" w:rsidTr="00F865A7">
        <w:tc>
          <w:tcPr>
            <w:tcW w:w="1577" w:type="pct"/>
          </w:tcPr>
          <w:p w14:paraId="24F217E3" w14:textId="0D01020E" w:rsidR="00324B33" w:rsidRPr="00BD5DBD" w:rsidRDefault="00324B33" w:rsidP="007452E8">
            <w:pPr>
              <w:rPr>
                <w:i/>
                <w:szCs w:val="22"/>
              </w:rPr>
            </w:pPr>
            <w:r w:rsidRPr="00BD5DBD">
              <w:rPr>
                <w:i/>
                <w:szCs w:val="22"/>
              </w:rPr>
              <w:t>Dose form:</w:t>
            </w:r>
          </w:p>
        </w:tc>
        <w:tc>
          <w:tcPr>
            <w:tcW w:w="3423" w:type="pct"/>
          </w:tcPr>
          <w:p w14:paraId="768B254C" w14:textId="79200C93" w:rsidR="00324B33" w:rsidRPr="00BD5DBD" w:rsidRDefault="007D762A" w:rsidP="007452E8">
            <w:pPr>
              <w:rPr>
                <w:szCs w:val="22"/>
              </w:rPr>
            </w:pPr>
            <w:r w:rsidRPr="007D762A">
              <w:rPr>
                <w:szCs w:val="22"/>
              </w:rPr>
              <w:t>Solution for injection</w:t>
            </w:r>
          </w:p>
        </w:tc>
      </w:tr>
      <w:tr w:rsidR="00324B33" w:rsidRPr="00BD5DBD" w14:paraId="115243E6" w14:textId="77777777" w:rsidTr="00F865A7">
        <w:tc>
          <w:tcPr>
            <w:tcW w:w="1577" w:type="pct"/>
          </w:tcPr>
          <w:p w14:paraId="7634B062" w14:textId="3CBA8E71" w:rsidR="00324B33" w:rsidRPr="00BD5DBD" w:rsidRDefault="00324B33" w:rsidP="007452E8">
            <w:pPr>
              <w:rPr>
                <w:i/>
                <w:szCs w:val="22"/>
              </w:rPr>
            </w:pPr>
            <w:r w:rsidRPr="00BD5DBD">
              <w:rPr>
                <w:i/>
                <w:szCs w:val="22"/>
              </w:rPr>
              <w:t>Strength:</w:t>
            </w:r>
          </w:p>
        </w:tc>
        <w:tc>
          <w:tcPr>
            <w:tcW w:w="3423" w:type="pct"/>
          </w:tcPr>
          <w:p w14:paraId="5E5F83DB" w14:textId="47B61457" w:rsidR="00324B33" w:rsidRPr="00BD5DBD" w:rsidRDefault="0027223D" w:rsidP="00DE091F">
            <w:pPr>
              <w:rPr>
                <w:szCs w:val="22"/>
              </w:rPr>
            </w:pPr>
            <w:r w:rsidRPr="0027223D">
              <w:rPr>
                <w:szCs w:val="22"/>
              </w:rPr>
              <w:t xml:space="preserve">100 mg/mL </w:t>
            </w:r>
          </w:p>
        </w:tc>
      </w:tr>
      <w:tr w:rsidR="00324B33" w:rsidRPr="00BD5DBD" w14:paraId="34B07BA6" w14:textId="77777777" w:rsidTr="00F865A7">
        <w:tc>
          <w:tcPr>
            <w:tcW w:w="1577" w:type="pct"/>
          </w:tcPr>
          <w:p w14:paraId="1C039224" w14:textId="39DB1B34" w:rsidR="00324B33" w:rsidRPr="00BD5DBD" w:rsidRDefault="00324B33" w:rsidP="007452E8">
            <w:pPr>
              <w:rPr>
                <w:i/>
                <w:szCs w:val="22"/>
              </w:rPr>
            </w:pPr>
            <w:r w:rsidRPr="00BD5DBD">
              <w:rPr>
                <w:i/>
                <w:szCs w:val="22"/>
              </w:rPr>
              <w:t>Containers:</w:t>
            </w:r>
          </w:p>
        </w:tc>
        <w:tc>
          <w:tcPr>
            <w:tcW w:w="3423" w:type="pct"/>
          </w:tcPr>
          <w:p w14:paraId="500A42C6" w14:textId="4C82F81D" w:rsidR="00324B33" w:rsidRPr="00BD5DBD" w:rsidRDefault="00E3713F" w:rsidP="00DE091F">
            <w:pPr>
              <w:rPr>
                <w:szCs w:val="22"/>
              </w:rPr>
            </w:pPr>
            <w:r w:rsidRPr="00E3713F">
              <w:rPr>
                <w:szCs w:val="22"/>
              </w:rPr>
              <w:t>Type I glass</w:t>
            </w:r>
            <w:r>
              <w:rPr>
                <w:szCs w:val="22"/>
              </w:rPr>
              <w:t xml:space="preserve">: </w:t>
            </w:r>
            <w:r w:rsidR="00DE091F">
              <w:rPr>
                <w:szCs w:val="22"/>
              </w:rPr>
              <w:t>P</w:t>
            </w:r>
            <w:r w:rsidR="00DE091F" w:rsidRPr="00DE091F">
              <w:rPr>
                <w:szCs w:val="22"/>
              </w:rPr>
              <w:t>refilled pen (autoinjector)</w:t>
            </w:r>
            <w:r w:rsidR="00DE091F">
              <w:rPr>
                <w:szCs w:val="22"/>
              </w:rPr>
              <w:t xml:space="preserve">, </w:t>
            </w:r>
            <w:r w:rsidR="009C728C">
              <w:rPr>
                <w:szCs w:val="22"/>
              </w:rPr>
              <w:t>P</w:t>
            </w:r>
            <w:r w:rsidR="00DE091F" w:rsidRPr="00DE091F">
              <w:rPr>
                <w:szCs w:val="22"/>
              </w:rPr>
              <w:t>refilled syringe (safety syringe)</w:t>
            </w:r>
          </w:p>
        </w:tc>
      </w:tr>
      <w:tr w:rsidR="00324B33" w:rsidRPr="00BD5DBD" w14:paraId="176B6773" w14:textId="77777777" w:rsidTr="00F865A7">
        <w:tc>
          <w:tcPr>
            <w:tcW w:w="1577" w:type="pct"/>
          </w:tcPr>
          <w:p w14:paraId="71846159" w14:textId="54205F53" w:rsidR="00324B33" w:rsidRPr="00BD5DBD" w:rsidRDefault="00324B33" w:rsidP="007452E8">
            <w:pPr>
              <w:rPr>
                <w:i/>
                <w:szCs w:val="22"/>
              </w:rPr>
            </w:pPr>
            <w:r w:rsidRPr="00BD5DBD">
              <w:rPr>
                <w:i/>
                <w:szCs w:val="22"/>
              </w:rPr>
              <w:t>Pack sizes:</w:t>
            </w:r>
          </w:p>
        </w:tc>
        <w:tc>
          <w:tcPr>
            <w:tcW w:w="3423" w:type="pct"/>
          </w:tcPr>
          <w:p w14:paraId="7E978F8F" w14:textId="190B0D41" w:rsidR="00324B33" w:rsidRPr="00BD5DBD" w:rsidRDefault="00D45657" w:rsidP="007452E8">
            <w:pPr>
              <w:rPr>
                <w:szCs w:val="22"/>
              </w:rPr>
            </w:pPr>
            <w:r w:rsidRPr="00D45657">
              <w:rPr>
                <w:szCs w:val="22"/>
              </w:rPr>
              <w:t xml:space="preserve"> </w:t>
            </w:r>
            <w:r w:rsidR="00802770">
              <w:rPr>
                <w:szCs w:val="22"/>
              </w:rPr>
              <w:t xml:space="preserve">Single </w:t>
            </w:r>
            <w:r w:rsidR="00342269" w:rsidRPr="00342269">
              <w:rPr>
                <w:szCs w:val="22"/>
              </w:rPr>
              <w:t>pack</w:t>
            </w:r>
            <w:r w:rsidR="00802770">
              <w:rPr>
                <w:szCs w:val="22"/>
              </w:rPr>
              <w:t>s</w:t>
            </w:r>
            <w:r w:rsidR="00342269" w:rsidRPr="00342269">
              <w:rPr>
                <w:szCs w:val="22"/>
              </w:rPr>
              <w:t xml:space="preserve"> </w:t>
            </w:r>
            <w:r w:rsidR="00342269">
              <w:rPr>
                <w:szCs w:val="22"/>
              </w:rPr>
              <w:t xml:space="preserve"> </w:t>
            </w:r>
          </w:p>
        </w:tc>
      </w:tr>
      <w:tr w:rsidR="00324B33" w:rsidRPr="00BD5DBD" w14:paraId="19A2544A" w14:textId="77777777" w:rsidTr="00F865A7">
        <w:tc>
          <w:tcPr>
            <w:tcW w:w="1577" w:type="pct"/>
          </w:tcPr>
          <w:p w14:paraId="0E6C5C0E" w14:textId="7DB3FC66" w:rsidR="00324B33" w:rsidRPr="00BD5DBD" w:rsidRDefault="00324B33" w:rsidP="007452E8">
            <w:pPr>
              <w:rPr>
                <w:i/>
                <w:szCs w:val="22"/>
              </w:rPr>
            </w:pPr>
            <w:r w:rsidRPr="00BD5DBD">
              <w:rPr>
                <w:i/>
                <w:szCs w:val="22"/>
              </w:rPr>
              <w:t>Approved therapeutic use</w:t>
            </w:r>
            <w:r w:rsidR="00E47E0C" w:rsidRPr="00BD5DBD">
              <w:rPr>
                <w:i/>
                <w:szCs w:val="22"/>
              </w:rPr>
              <w:t xml:space="preserve"> </w:t>
            </w:r>
            <w:r w:rsidR="007B04DE" w:rsidRPr="00BD5DBD">
              <w:rPr>
                <w:i/>
                <w:szCs w:val="22"/>
              </w:rPr>
              <w:t>for the current</w:t>
            </w:r>
            <w:r w:rsidR="00E47E0C" w:rsidRPr="00BD5DBD">
              <w:rPr>
                <w:i/>
                <w:szCs w:val="22"/>
              </w:rPr>
              <w:t xml:space="preserve"> submission</w:t>
            </w:r>
            <w:r w:rsidRPr="00BD5DBD">
              <w:rPr>
                <w:i/>
                <w:szCs w:val="22"/>
              </w:rPr>
              <w:t>:</w:t>
            </w:r>
          </w:p>
        </w:tc>
        <w:tc>
          <w:tcPr>
            <w:tcW w:w="3423" w:type="pct"/>
          </w:tcPr>
          <w:p w14:paraId="5B0BB3B2" w14:textId="77777777" w:rsidR="00D53CD9" w:rsidRPr="00D53CD9" w:rsidRDefault="00D53CD9" w:rsidP="00D53CD9">
            <w:pPr>
              <w:rPr>
                <w:b/>
                <w:bCs/>
                <w:i/>
                <w:iCs/>
                <w:szCs w:val="22"/>
              </w:rPr>
            </w:pPr>
            <w:r w:rsidRPr="00D53CD9">
              <w:rPr>
                <w:b/>
                <w:bCs/>
                <w:i/>
                <w:iCs/>
                <w:szCs w:val="22"/>
              </w:rPr>
              <w:t>Asthma</w:t>
            </w:r>
          </w:p>
          <w:p w14:paraId="23B29CB3" w14:textId="3096383E" w:rsidR="00D53CD9" w:rsidRPr="00D53CD9" w:rsidRDefault="00C826F1" w:rsidP="00D53CD9">
            <w:pPr>
              <w:rPr>
                <w:i/>
                <w:iCs/>
                <w:szCs w:val="22"/>
              </w:rPr>
            </w:pPr>
            <w:r>
              <w:rPr>
                <w:i/>
                <w:iCs/>
                <w:szCs w:val="22"/>
              </w:rPr>
              <w:t>Exdensur</w:t>
            </w:r>
            <w:r w:rsidR="00D53CD9" w:rsidRPr="00D53CD9">
              <w:rPr>
                <w:i/>
                <w:iCs/>
                <w:szCs w:val="22"/>
              </w:rPr>
              <w:t xml:space="preserve"> is indicated as add-on maintenance treatment of severe asthma in patients</w:t>
            </w:r>
            <w:r w:rsidR="00D53CD9">
              <w:rPr>
                <w:i/>
                <w:iCs/>
                <w:szCs w:val="22"/>
              </w:rPr>
              <w:t xml:space="preserve"> </w:t>
            </w:r>
            <w:r w:rsidR="00D53CD9" w:rsidRPr="00D53CD9">
              <w:rPr>
                <w:i/>
                <w:iCs/>
                <w:szCs w:val="22"/>
              </w:rPr>
              <w:t>aged 12 years and older with type 2 inflammation characterised by an eosinophilic</w:t>
            </w:r>
            <w:r w:rsidR="00347931">
              <w:rPr>
                <w:i/>
                <w:iCs/>
                <w:szCs w:val="22"/>
              </w:rPr>
              <w:t xml:space="preserve"> </w:t>
            </w:r>
            <w:r w:rsidR="00D53CD9" w:rsidRPr="00D53CD9">
              <w:rPr>
                <w:i/>
                <w:iCs/>
                <w:szCs w:val="22"/>
              </w:rPr>
              <w:t>phenotype who are inadequately controlled on medium- to high-dose inhaled</w:t>
            </w:r>
            <w:r w:rsidR="00347931">
              <w:rPr>
                <w:i/>
                <w:iCs/>
                <w:szCs w:val="22"/>
              </w:rPr>
              <w:t xml:space="preserve"> </w:t>
            </w:r>
            <w:r w:rsidR="00D53CD9" w:rsidRPr="00D53CD9">
              <w:rPr>
                <w:i/>
                <w:iCs/>
                <w:szCs w:val="22"/>
              </w:rPr>
              <w:t>corticosteroids (ICS) plus another asthma controller (see Section 5.1</w:t>
            </w:r>
            <w:r w:rsidR="00347931">
              <w:rPr>
                <w:i/>
                <w:iCs/>
                <w:szCs w:val="22"/>
              </w:rPr>
              <w:t xml:space="preserve"> </w:t>
            </w:r>
            <w:r w:rsidR="00D53CD9" w:rsidRPr="00D53CD9">
              <w:rPr>
                <w:i/>
                <w:iCs/>
                <w:szCs w:val="22"/>
              </w:rPr>
              <w:t>PHARMACODYNAMIC PROPERTIES, Clinical Trials).</w:t>
            </w:r>
          </w:p>
          <w:p w14:paraId="16325533" w14:textId="77777777" w:rsidR="00D53CD9" w:rsidRPr="00347931" w:rsidRDefault="00D53CD9" w:rsidP="00D53CD9">
            <w:pPr>
              <w:rPr>
                <w:b/>
                <w:bCs/>
                <w:i/>
                <w:iCs/>
                <w:szCs w:val="22"/>
              </w:rPr>
            </w:pPr>
            <w:r w:rsidRPr="00347931">
              <w:rPr>
                <w:b/>
                <w:bCs/>
                <w:i/>
                <w:iCs/>
                <w:szCs w:val="22"/>
              </w:rPr>
              <w:t>Chronic Rhinosinusitis with Nasal Polyps (CRSwNP)</w:t>
            </w:r>
          </w:p>
          <w:p w14:paraId="6E143E2E" w14:textId="0F3B1F4F" w:rsidR="00324B33" w:rsidRPr="00BD5DBD" w:rsidRDefault="00C826F1" w:rsidP="00347931">
            <w:pPr>
              <w:rPr>
                <w:szCs w:val="22"/>
              </w:rPr>
            </w:pPr>
            <w:r>
              <w:rPr>
                <w:i/>
                <w:iCs/>
                <w:szCs w:val="22"/>
              </w:rPr>
              <w:t>Exdensur</w:t>
            </w:r>
            <w:r w:rsidR="00D53CD9" w:rsidRPr="00D53CD9">
              <w:rPr>
                <w:i/>
                <w:iCs/>
                <w:szCs w:val="22"/>
              </w:rPr>
              <w:t xml:space="preserve"> is indicated as an add-on therapy with intranasal corticosteroids for the</w:t>
            </w:r>
            <w:r w:rsidR="00347931">
              <w:rPr>
                <w:i/>
                <w:iCs/>
                <w:szCs w:val="22"/>
              </w:rPr>
              <w:t xml:space="preserve"> </w:t>
            </w:r>
            <w:r w:rsidR="00D53CD9" w:rsidRPr="00D53CD9">
              <w:rPr>
                <w:i/>
                <w:iCs/>
                <w:szCs w:val="22"/>
              </w:rPr>
              <w:t>treatment of adult patients with CRSwNP inadequately controlled by systemic</w:t>
            </w:r>
            <w:r w:rsidR="00347931">
              <w:rPr>
                <w:i/>
                <w:iCs/>
                <w:szCs w:val="22"/>
              </w:rPr>
              <w:t xml:space="preserve"> </w:t>
            </w:r>
            <w:r w:rsidR="00D53CD9" w:rsidRPr="00D53CD9">
              <w:rPr>
                <w:i/>
                <w:iCs/>
                <w:szCs w:val="22"/>
              </w:rPr>
              <w:t>corticosteroids or surgery.</w:t>
            </w:r>
          </w:p>
        </w:tc>
      </w:tr>
      <w:tr w:rsidR="00324B33" w:rsidRPr="00BD5DBD" w14:paraId="5AFDEED3" w14:textId="77777777" w:rsidTr="00F865A7">
        <w:tc>
          <w:tcPr>
            <w:tcW w:w="1577" w:type="pct"/>
          </w:tcPr>
          <w:p w14:paraId="03884BD1" w14:textId="79BB8E32" w:rsidR="00324B33" w:rsidRPr="00BD5DBD" w:rsidRDefault="00324B33" w:rsidP="007452E8">
            <w:pPr>
              <w:rPr>
                <w:i/>
                <w:szCs w:val="22"/>
              </w:rPr>
            </w:pPr>
            <w:r w:rsidRPr="00BD5DBD">
              <w:rPr>
                <w:i/>
                <w:szCs w:val="22"/>
              </w:rPr>
              <w:t>Route</w:t>
            </w:r>
            <w:r w:rsidR="00F77D23">
              <w:rPr>
                <w:i/>
                <w:szCs w:val="22"/>
              </w:rPr>
              <w:t xml:space="preserve"> </w:t>
            </w:r>
            <w:r w:rsidRPr="00BD5DBD">
              <w:rPr>
                <w:i/>
                <w:szCs w:val="22"/>
              </w:rPr>
              <w:t>of administration:</w:t>
            </w:r>
          </w:p>
        </w:tc>
        <w:tc>
          <w:tcPr>
            <w:tcW w:w="3423" w:type="pct"/>
          </w:tcPr>
          <w:p w14:paraId="1ED1357E" w14:textId="4380C169" w:rsidR="00324B33" w:rsidRPr="00BD5DBD" w:rsidRDefault="00F77D23" w:rsidP="007452E8">
            <w:pPr>
              <w:rPr>
                <w:szCs w:val="22"/>
              </w:rPr>
            </w:pPr>
            <w:r>
              <w:rPr>
                <w:szCs w:val="22"/>
              </w:rPr>
              <w:t>S</w:t>
            </w:r>
            <w:r w:rsidRPr="00F77D23">
              <w:rPr>
                <w:szCs w:val="22"/>
              </w:rPr>
              <w:t>ubcutaneous (SC) injection</w:t>
            </w:r>
          </w:p>
        </w:tc>
      </w:tr>
      <w:tr w:rsidR="00324B33" w:rsidRPr="00BD5DBD" w14:paraId="70D7E9FA" w14:textId="77777777" w:rsidTr="00F865A7">
        <w:tc>
          <w:tcPr>
            <w:tcW w:w="1577" w:type="pct"/>
          </w:tcPr>
          <w:p w14:paraId="5ABFFC80" w14:textId="77777777" w:rsidR="00324B33" w:rsidRPr="00BD5DBD" w:rsidRDefault="00324B33" w:rsidP="007452E8">
            <w:pPr>
              <w:rPr>
                <w:i/>
                <w:szCs w:val="22"/>
              </w:rPr>
            </w:pPr>
            <w:r w:rsidRPr="00BD5DBD">
              <w:rPr>
                <w:i/>
                <w:szCs w:val="22"/>
              </w:rPr>
              <w:t>Dosage:</w:t>
            </w:r>
          </w:p>
        </w:tc>
        <w:tc>
          <w:tcPr>
            <w:tcW w:w="3423" w:type="pct"/>
          </w:tcPr>
          <w:p w14:paraId="03D6D53D" w14:textId="77777777" w:rsidR="008D2750" w:rsidRPr="008D2750" w:rsidRDefault="008D2750" w:rsidP="008D2750">
            <w:pPr>
              <w:rPr>
                <w:b/>
                <w:bCs/>
                <w:szCs w:val="22"/>
              </w:rPr>
            </w:pPr>
            <w:r w:rsidRPr="008D2750">
              <w:rPr>
                <w:b/>
                <w:bCs/>
                <w:szCs w:val="22"/>
              </w:rPr>
              <w:t>Asthma</w:t>
            </w:r>
          </w:p>
          <w:p w14:paraId="4BD4ECF7" w14:textId="3B1449D8" w:rsidR="00666911" w:rsidRDefault="008D2750" w:rsidP="008D2750">
            <w:pPr>
              <w:rPr>
                <w:szCs w:val="22"/>
              </w:rPr>
            </w:pPr>
            <w:r w:rsidRPr="008D2750">
              <w:rPr>
                <w:szCs w:val="22"/>
              </w:rPr>
              <w:t xml:space="preserve">The recommended dose is 100 mg of </w:t>
            </w:r>
            <w:r w:rsidR="00C826F1">
              <w:rPr>
                <w:szCs w:val="22"/>
              </w:rPr>
              <w:t>Exdensur</w:t>
            </w:r>
            <w:r w:rsidRPr="008D2750">
              <w:rPr>
                <w:szCs w:val="22"/>
              </w:rPr>
              <w:t xml:space="preserve"> administered by subcutaneous</w:t>
            </w:r>
            <w:r w:rsidR="00A71D98">
              <w:rPr>
                <w:szCs w:val="22"/>
              </w:rPr>
              <w:t xml:space="preserve"> </w:t>
            </w:r>
            <w:r w:rsidRPr="008D2750">
              <w:rPr>
                <w:szCs w:val="22"/>
              </w:rPr>
              <w:t>injection once every 6 months.</w:t>
            </w:r>
          </w:p>
          <w:p w14:paraId="3347155B" w14:textId="77777777" w:rsidR="00A01CB8" w:rsidRPr="00A01CB8" w:rsidRDefault="00A01CB8" w:rsidP="00A01CB8">
            <w:pPr>
              <w:rPr>
                <w:b/>
                <w:bCs/>
                <w:szCs w:val="22"/>
              </w:rPr>
            </w:pPr>
            <w:r w:rsidRPr="00A01CB8">
              <w:rPr>
                <w:b/>
                <w:bCs/>
                <w:szCs w:val="22"/>
              </w:rPr>
              <w:t>Chronic Rhinosinusitis with Nasal Polyps</w:t>
            </w:r>
          </w:p>
          <w:p w14:paraId="0D020C68" w14:textId="2454C59A" w:rsidR="00A01CB8" w:rsidRDefault="00A01CB8" w:rsidP="00A01CB8">
            <w:pPr>
              <w:rPr>
                <w:szCs w:val="22"/>
              </w:rPr>
            </w:pPr>
            <w:r w:rsidRPr="00A01CB8">
              <w:rPr>
                <w:szCs w:val="22"/>
              </w:rPr>
              <w:t xml:space="preserve">The recommended dose is 100 mg of </w:t>
            </w:r>
            <w:r w:rsidR="00C826F1">
              <w:rPr>
                <w:szCs w:val="22"/>
              </w:rPr>
              <w:t>Exdensur</w:t>
            </w:r>
            <w:r w:rsidRPr="00A01CB8">
              <w:rPr>
                <w:szCs w:val="22"/>
              </w:rPr>
              <w:t xml:space="preserve"> administered by subcutaneous</w:t>
            </w:r>
            <w:r>
              <w:rPr>
                <w:szCs w:val="22"/>
              </w:rPr>
              <w:t xml:space="preserve"> </w:t>
            </w:r>
            <w:r w:rsidRPr="00A01CB8">
              <w:rPr>
                <w:szCs w:val="22"/>
              </w:rPr>
              <w:t>injection once every 6 months.</w:t>
            </w:r>
          </w:p>
          <w:p w14:paraId="3D0B2D5C" w14:textId="6E29920D" w:rsidR="00324B33" w:rsidRPr="00BD5DBD" w:rsidRDefault="00324B33" w:rsidP="007452E8">
            <w:pPr>
              <w:rPr>
                <w:szCs w:val="22"/>
              </w:rPr>
            </w:pPr>
            <w:r w:rsidRPr="00BD5DBD">
              <w:rPr>
                <w:szCs w:val="22"/>
              </w:rPr>
              <w:lastRenderedPageBreak/>
              <w:t xml:space="preserve">For further information regarding dosage, </w:t>
            </w:r>
            <w:r w:rsidR="006B7126">
              <w:rPr>
                <w:szCs w:val="22"/>
              </w:rPr>
              <w:t xml:space="preserve">such as dosage modifications to manage adverse reactions, </w:t>
            </w:r>
            <w:r w:rsidRPr="00BD5DBD">
              <w:rPr>
                <w:szCs w:val="22"/>
              </w:rPr>
              <w:t>refer to the Product Information.</w:t>
            </w:r>
          </w:p>
        </w:tc>
      </w:tr>
      <w:tr w:rsidR="0017005C" w:rsidRPr="00BD5DBD" w14:paraId="7B7BB6AE" w14:textId="77777777" w:rsidTr="00F865A7">
        <w:tc>
          <w:tcPr>
            <w:tcW w:w="1577" w:type="pct"/>
          </w:tcPr>
          <w:p w14:paraId="3A76AFF7" w14:textId="7C436DD9" w:rsidR="0017005C" w:rsidRPr="00F8083B" w:rsidRDefault="0070330F" w:rsidP="0017005C">
            <w:r w:rsidRPr="00BD5DBD">
              <w:rPr>
                <w:i/>
                <w:szCs w:val="22"/>
              </w:rPr>
              <w:lastRenderedPageBreak/>
              <w:t>Pregnancy category:</w:t>
            </w:r>
          </w:p>
        </w:tc>
        <w:tc>
          <w:tcPr>
            <w:tcW w:w="3423" w:type="pct"/>
          </w:tcPr>
          <w:p w14:paraId="17940279" w14:textId="77777777" w:rsidR="00225464" w:rsidRDefault="00225464" w:rsidP="00000E6E">
            <w:pPr>
              <w:rPr>
                <w:b/>
                <w:bCs/>
              </w:rPr>
            </w:pPr>
            <w:r w:rsidRPr="00225464">
              <w:rPr>
                <w:b/>
                <w:bCs/>
              </w:rPr>
              <w:t>Pregnancy Category B2</w:t>
            </w:r>
          </w:p>
          <w:p w14:paraId="17BDC82E" w14:textId="4ABFDCA5" w:rsidR="006C3761" w:rsidRPr="006C3761" w:rsidRDefault="006C3761" w:rsidP="006C3761">
            <w:r w:rsidRPr="006C3761">
              <w:t xml:space="preserve">There are limited data from the use of </w:t>
            </w:r>
            <w:r w:rsidR="00C826F1">
              <w:t>Exdensur</w:t>
            </w:r>
            <w:r w:rsidRPr="006C3761">
              <w:t xml:space="preserve"> in pregnant women. No animal studies</w:t>
            </w:r>
            <w:r>
              <w:t xml:space="preserve"> </w:t>
            </w:r>
            <w:r w:rsidRPr="006C3761">
              <w:t>have been performed to evaluate the potential effects of depemokimab in pregnancy.</w:t>
            </w:r>
          </w:p>
          <w:p w14:paraId="76497789" w14:textId="634DC28C" w:rsidR="0017005C" w:rsidRPr="00BD5DBD" w:rsidRDefault="0070330F" w:rsidP="00306E72">
            <w:pPr>
              <w:rPr>
                <w:szCs w:val="22"/>
              </w:rPr>
            </w:pPr>
            <w:r w:rsidRPr="00BD5DBD">
              <w:rPr>
                <w:szCs w:val="22"/>
              </w:rPr>
              <w:t xml:space="preserve">The use of any medicine during pregnancy requires careful consideration of both risks and benefits by the treating health professional. </w:t>
            </w:r>
            <w:r w:rsidR="00721059">
              <w:rPr>
                <w:szCs w:val="22"/>
              </w:rPr>
              <w:t xml:space="preserve">The </w:t>
            </w:r>
            <w:hyperlink r:id="rId20" w:history="1">
              <w:r w:rsidR="00721059" w:rsidRPr="00065FDF">
                <w:rPr>
                  <w:rStyle w:val="Hyperlink"/>
                  <w:szCs w:val="22"/>
                </w:rPr>
                <w:t>pregnancy database</w:t>
              </w:r>
            </w:hyperlink>
            <w:r w:rsidR="00387984">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21" w:history="1">
              <w:r w:rsidRPr="00C059D0">
                <w:rPr>
                  <w:rStyle w:val="Hyperlink"/>
                  <w:szCs w:val="22"/>
                </w:rPr>
                <w:t>obstetric drug information services</w:t>
              </w:r>
            </w:hyperlink>
            <w:r w:rsidRPr="00BD5DBD">
              <w:rPr>
                <w:szCs w:val="22"/>
              </w:rPr>
              <w:t xml:space="preserve"> in your </w:t>
            </w:r>
            <w:r w:rsidR="00306E72">
              <w:rPr>
                <w:szCs w:val="22"/>
              </w:rPr>
              <w:t>s</w:t>
            </w:r>
            <w:r w:rsidRPr="00BD5DBD">
              <w:rPr>
                <w:szCs w:val="22"/>
              </w:rPr>
              <w:t xml:space="preserve">tate or </w:t>
            </w:r>
            <w:r w:rsidR="00306E72">
              <w:rPr>
                <w:szCs w:val="22"/>
              </w:rPr>
              <w:t>t</w:t>
            </w:r>
            <w:r w:rsidRPr="00BD5DBD">
              <w:rPr>
                <w:szCs w:val="22"/>
              </w:rPr>
              <w:t>erritory.</w:t>
            </w:r>
          </w:p>
        </w:tc>
      </w:tr>
    </w:tbl>
    <w:p w14:paraId="51F2479F" w14:textId="69803C0A" w:rsidR="00324B33" w:rsidRDefault="00324B33" w:rsidP="00324B33">
      <w:pPr>
        <w:pStyle w:val="Heading3"/>
      </w:pPr>
      <w:bookmarkStart w:id="11" w:name="_Toc247691503"/>
      <w:bookmarkStart w:id="12" w:name="_Toc314842484"/>
      <w:bookmarkStart w:id="13" w:name="_Toc103679290"/>
      <w:bookmarkStart w:id="14" w:name="_Toc241481366"/>
      <w:r>
        <w:t>Product background</w:t>
      </w:r>
      <w:bookmarkEnd w:id="11"/>
      <w:bookmarkEnd w:id="12"/>
      <w:bookmarkEnd w:id="13"/>
      <w:bookmarkEnd w:id="14"/>
      <w:r w:rsidR="008A6BD8">
        <w:fldChar w:fldCharType="begin"/>
      </w:r>
      <w:r w:rsidR="008A6BD8">
        <w:instrText xml:space="preserve"> DOCVARIABLE vault_nd_89822bdf-0a93-409c-8218-10a15bb3011b \* MERGEFORMAT </w:instrText>
      </w:r>
      <w:r w:rsidR="008A6BD8">
        <w:fldChar w:fldCharType="separate"/>
      </w:r>
      <w:r w:rsidR="008A6BD8">
        <w:t xml:space="preserve"> </w:t>
      </w:r>
      <w:r w:rsidR="008A6BD8">
        <w:fldChar w:fldCharType="end"/>
      </w:r>
    </w:p>
    <w:p w14:paraId="59BF31D1" w14:textId="088D0C7C" w:rsidR="001500A8" w:rsidRDefault="00324B33" w:rsidP="00065839">
      <w:r w:rsidRPr="00065839">
        <w:t xml:space="preserve">This AusPAR describes the submission by </w:t>
      </w:r>
      <w:r w:rsidR="00FC6CEF" w:rsidRPr="00FC6CEF">
        <w:t xml:space="preserve">GlaxoSmithKline Australia </w:t>
      </w:r>
      <w:r w:rsidRPr="00065839">
        <w:t xml:space="preserve">(the sponsor) to register </w:t>
      </w:r>
      <w:r w:rsidR="00C826F1">
        <w:t>Exdensur</w:t>
      </w:r>
      <w:r w:rsidR="00346C96" w:rsidRPr="00346C96">
        <w:t xml:space="preserve"> (depemokimab) </w:t>
      </w:r>
      <w:r w:rsidR="00346C96">
        <w:t>100</w:t>
      </w:r>
      <w:r w:rsidR="009B4612">
        <w:t xml:space="preserve"> </w:t>
      </w:r>
      <w:r w:rsidR="00346C96">
        <w:t xml:space="preserve">mg </w:t>
      </w:r>
      <w:r w:rsidR="00346C96" w:rsidRPr="00346C96">
        <w:t xml:space="preserve">solution for injection </w:t>
      </w:r>
      <w:r w:rsidR="009B4612" w:rsidRPr="009B4612">
        <w:t>in pre-filled pen (</w:t>
      </w:r>
      <w:r w:rsidR="006A40DA" w:rsidRPr="009B4612">
        <w:t>autoinjector</w:t>
      </w:r>
      <w:r w:rsidR="009B4612" w:rsidRPr="009B4612">
        <w:t xml:space="preserve">) </w:t>
      </w:r>
      <w:r w:rsidR="00302844">
        <w:t xml:space="preserve">or </w:t>
      </w:r>
      <w:r w:rsidR="00302844" w:rsidRPr="00302844">
        <w:t xml:space="preserve">pre-filled syringe (safety syringe) </w:t>
      </w:r>
      <w:r w:rsidRPr="00065839">
        <w:t>for the following proposed indication:</w:t>
      </w:r>
      <w:r w:rsidR="00D63760" w:rsidRPr="00065839">
        <w:rPr>
          <w:vertAlign w:val="superscript"/>
        </w:rPr>
        <w:footnoteReference w:id="1"/>
      </w:r>
    </w:p>
    <w:p w14:paraId="3C6854BD" w14:textId="73402FB2" w:rsidR="00DA5BF4" w:rsidRPr="00DA5BF4" w:rsidRDefault="00DA5BF4" w:rsidP="00065839">
      <w:pPr>
        <w:rPr>
          <w:b/>
          <w:bCs/>
          <w:i/>
          <w:iCs/>
        </w:rPr>
      </w:pPr>
      <w:r w:rsidRPr="00DA5BF4">
        <w:rPr>
          <w:b/>
          <w:bCs/>
          <w:i/>
          <w:iCs/>
        </w:rPr>
        <w:t xml:space="preserve">Asthma </w:t>
      </w:r>
    </w:p>
    <w:p w14:paraId="629FC6CB" w14:textId="77777777" w:rsidR="00DA5BF4" w:rsidRPr="00DA5BF4" w:rsidRDefault="00DA5BF4" w:rsidP="00DA5BF4">
      <w:pPr>
        <w:ind w:left="720"/>
        <w:rPr>
          <w:i/>
          <w:iCs/>
        </w:rPr>
      </w:pPr>
      <w:r w:rsidRPr="00DA5BF4">
        <w:rPr>
          <w:i/>
          <w:iCs/>
        </w:rPr>
        <w:t xml:space="preserve">As add-on maintenance therapy of asthma in patients with type 2 inflammation characterised by an eosinophilic phenotype who are inadequately controlled on medium-to-high doses of inhaled corticosteroids (ICS) plus another asthma controller. </w:t>
      </w:r>
    </w:p>
    <w:p w14:paraId="20CAA9CD" w14:textId="77777777" w:rsidR="00221850" w:rsidRPr="0040360B" w:rsidRDefault="00221850" w:rsidP="00221850">
      <w:pPr>
        <w:rPr>
          <w:b/>
          <w:bCs/>
          <w:i/>
          <w:iCs/>
        </w:rPr>
      </w:pPr>
      <w:r w:rsidRPr="0040360B">
        <w:rPr>
          <w:b/>
          <w:bCs/>
          <w:i/>
          <w:iCs/>
        </w:rPr>
        <w:t>Chronic Rhinosinusitis with Nasal Polyps (</w:t>
      </w:r>
      <w:proofErr w:type="spellStart"/>
      <w:r w:rsidRPr="0040360B">
        <w:rPr>
          <w:b/>
          <w:bCs/>
          <w:i/>
          <w:iCs/>
        </w:rPr>
        <w:t>CRwNP</w:t>
      </w:r>
      <w:proofErr w:type="spellEnd"/>
      <w:r w:rsidRPr="0040360B">
        <w:rPr>
          <w:b/>
          <w:bCs/>
          <w:i/>
          <w:iCs/>
        </w:rPr>
        <w:t>)</w:t>
      </w:r>
    </w:p>
    <w:p w14:paraId="19E0E99A" w14:textId="77777777" w:rsidR="00221850" w:rsidRPr="00560E31" w:rsidRDefault="00221850" w:rsidP="00560E31">
      <w:pPr>
        <w:ind w:left="720"/>
        <w:rPr>
          <w:i/>
          <w:iCs/>
        </w:rPr>
      </w:pPr>
      <w:r w:rsidRPr="00560E31">
        <w:rPr>
          <w:i/>
          <w:iCs/>
        </w:rPr>
        <w:t xml:space="preserve">As add-on maintenance therapy in patients with inadequately controlled chronic sinusitis with nasal polyps. </w:t>
      </w:r>
    </w:p>
    <w:p w14:paraId="646E8166" w14:textId="77777777" w:rsidR="00221850" w:rsidRPr="00560E31" w:rsidRDefault="00221850" w:rsidP="00560E31">
      <w:pPr>
        <w:ind w:left="720"/>
        <w:rPr>
          <w:i/>
          <w:iCs/>
        </w:rPr>
      </w:pPr>
      <w:r w:rsidRPr="00560E31">
        <w:rPr>
          <w:i/>
          <w:iCs/>
        </w:rPr>
        <w:t>The proposed dose is 100 mg SC once every 6 months.</w:t>
      </w:r>
    </w:p>
    <w:p w14:paraId="4A54BAB5" w14:textId="7E6718B1" w:rsidR="00DA5BF4" w:rsidRPr="00560E31" w:rsidRDefault="00221850" w:rsidP="00560E31">
      <w:pPr>
        <w:ind w:left="720"/>
        <w:rPr>
          <w:i/>
          <w:iCs/>
        </w:rPr>
      </w:pPr>
      <w:r w:rsidRPr="00560E31">
        <w:rPr>
          <w:i/>
          <w:iCs/>
        </w:rPr>
        <w:t xml:space="preserve">The safety and efficacy have not been established in patients with </w:t>
      </w:r>
      <w:proofErr w:type="spellStart"/>
      <w:r w:rsidRPr="00560E31">
        <w:rPr>
          <w:i/>
          <w:iCs/>
        </w:rPr>
        <w:t>CRwNP</w:t>
      </w:r>
      <w:proofErr w:type="spellEnd"/>
      <w:r w:rsidRPr="00560E31">
        <w:rPr>
          <w:i/>
          <w:iCs/>
        </w:rPr>
        <w:t xml:space="preserve"> aged &lt; 18 years.</w:t>
      </w:r>
    </w:p>
    <w:p w14:paraId="1E63A2AE" w14:textId="45B22216" w:rsidR="00CB6813" w:rsidRDefault="009050B1" w:rsidP="00CB6813">
      <w:pPr>
        <w:pStyle w:val="Heading4"/>
      </w:pPr>
      <w:bookmarkStart w:id="15" w:name="_Toc241481367"/>
      <w:bookmarkStart w:id="16" w:name="_Toc314842485"/>
      <w:bookmarkStart w:id="17" w:name="_Toc247691504"/>
      <w:r>
        <w:t>C</w:t>
      </w:r>
      <w:r w:rsidR="006428C5">
        <w:t>ondition</w:t>
      </w:r>
      <w:r>
        <w:t>s</w:t>
      </w:r>
      <w:bookmarkEnd w:id="15"/>
      <w:r w:rsidR="008A6BD8">
        <w:fldChar w:fldCharType="begin"/>
      </w:r>
      <w:r w:rsidR="008A6BD8">
        <w:instrText xml:space="preserve"> DOCVARIABLE vault_nd_3a8c3e38-39ce-48df-9b6c-92a297b23356 \* MERGEFORMAT </w:instrText>
      </w:r>
      <w:r w:rsidR="008A6BD8">
        <w:fldChar w:fldCharType="separate"/>
      </w:r>
      <w:r w:rsidR="008A6BD8">
        <w:t xml:space="preserve"> </w:t>
      </w:r>
      <w:r w:rsidR="008A6BD8">
        <w:fldChar w:fldCharType="end"/>
      </w:r>
    </w:p>
    <w:p w14:paraId="7D017965" w14:textId="5CE0F091" w:rsidR="00632CCD" w:rsidRPr="00632CCD" w:rsidRDefault="00632CCD" w:rsidP="0034442C">
      <w:pPr>
        <w:pStyle w:val="Heading5"/>
      </w:pPr>
      <w:r w:rsidRPr="00632CCD">
        <w:t>Asthma</w:t>
      </w:r>
      <w:fldSimple w:instr="DOCVARIABLE vault_nd_3843ee60-fb89-48e3-ae8a-2e2ac276461a \* MERGEFORMAT">
        <w:r w:rsidR="008A6BD8">
          <w:t xml:space="preserve"> </w:t>
        </w:r>
      </w:fldSimple>
    </w:p>
    <w:p w14:paraId="147E606B" w14:textId="29E78E84" w:rsidR="00BB4596" w:rsidRDefault="00632CCD" w:rsidP="00A16F18">
      <w:pPr>
        <w:rPr>
          <w:lang w:eastAsia="ja-JP"/>
        </w:rPr>
      </w:pPr>
      <w:r>
        <w:t>Asthma is a chronic heterogeneous lung disease featuring inflammation, airway hyper-responsiveness and variable airflow obstruction.</w:t>
      </w:r>
      <w:r w:rsidR="00BB4596" w:rsidRPr="00BB4596">
        <w:rPr>
          <w:lang w:eastAsia="ja-JP"/>
        </w:rPr>
        <w:t xml:space="preserve"> </w:t>
      </w:r>
      <w:r w:rsidR="00BB4596" w:rsidRPr="00346930">
        <w:rPr>
          <w:lang w:eastAsia="ja-JP"/>
        </w:rPr>
        <w:t>Clinical manifestations are typically episodic, including wheeze, cough, chest tightness and dyspnoea, with diagnosis confirmed by evidence of reversible or variable expiratory airflow obstruction on spirometry.</w:t>
      </w:r>
      <w:bookmarkStart w:id="18" w:name="_Ref238129658"/>
      <w:r w:rsidR="00590E58">
        <w:rPr>
          <w:rStyle w:val="FootnoteReference"/>
          <w:lang w:eastAsia="ja-JP"/>
        </w:rPr>
        <w:footnoteReference w:id="2"/>
      </w:r>
      <w:bookmarkEnd w:id="18"/>
      <w:r w:rsidR="00BB4596" w:rsidRPr="00346930">
        <w:rPr>
          <w:lang w:eastAsia="ja-JP"/>
        </w:rPr>
        <w:t xml:space="preserve"> </w:t>
      </w:r>
    </w:p>
    <w:p w14:paraId="4F45B453" w14:textId="77777777" w:rsidR="00BB4596" w:rsidRDefault="00BB4596" w:rsidP="00A16F18">
      <w:pPr>
        <w:rPr>
          <w:lang w:eastAsia="ja-JP"/>
        </w:rPr>
      </w:pPr>
      <w:r w:rsidRPr="00346930">
        <w:rPr>
          <w:lang w:eastAsia="ja-JP"/>
        </w:rPr>
        <w:t xml:space="preserve">In predisposed individuals, exposure to specific triggers such as aeroallergens, exercise, respiratory infections, irritants, and climate oscillations initiates an early phase immune response, primarily mediated by immunoglobulin E (IgE). This leads to mast cell and basophil </w:t>
      </w:r>
      <w:r w:rsidRPr="00346930">
        <w:rPr>
          <w:lang w:eastAsia="ja-JP"/>
        </w:rPr>
        <w:lastRenderedPageBreak/>
        <w:t xml:space="preserve">degranulation, releasing pro-inflammatory mediators such as histamine, prostaglandins and leukotrienes, agents that induce bronchoconstriction, mucosal oedema and mucous hypersecretion. </w:t>
      </w:r>
    </w:p>
    <w:p w14:paraId="4023AA9F" w14:textId="77777777" w:rsidR="00BB4596" w:rsidRPr="00346930" w:rsidRDefault="00BB4596" w:rsidP="00A16F18">
      <w:pPr>
        <w:rPr>
          <w:lang w:eastAsia="ja-JP"/>
        </w:rPr>
      </w:pPr>
      <w:r w:rsidRPr="00346930">
        <w:rPr>
          <w:lang w:eastAsia="ja-JP"/>
        </w:rPr>
        <w:t>The late phase response involves the recruitment of additional inflammatory cells, including eosinophils, basophils, mast cells, neutrophils, and T-lymphocytes, perpetuating airway inflammation and tissue remodelling.</w:t>
      </w:r>
    </w:p>
    <w:p w14:paraId="335560C4" w14:textId="5C53A027" w:rsidR="00BB4596" w:rsidRPr="00346930" w:rsidRDefault="00BB4596" w:rsidP="0034442C">
      <w:pPr>
        <w:pStyle w:val="Heading6"/>
        <w:rPr>
          <w:lang w:eastAsia="ja-JP"/>
        </w:rPr>
      </w:pPr>
      <w:r w:rsidRPr="00346930">
        <w:rPr>
          <w:lang w:eastAsia="ja-JP"/>
        </w:rPr>
        <w:t xml:space="preserve">Type 2 </w:t>
      </w:r>
      <w:r w:rsidR="00A16F18" w:rsidRPr="00346930">
        <w:rPr>
          <w:lang w:eastAsia="ja-JP"/>
        </w:rPr>
        <w:t xml:space="preserve">inflammation and asthma </w:t>
      </w:r>
      <w:r w:rsidR="00A16F18">
        <w:rPr>
          <w:lang w:eastAsia="ja-JP"/>
        </w:rPr>
        <w:t>pathophysiology</w:t>
      </w:r>
      <w:r w:rsidR="008A6BD8">
        <w:rPr>
          <w:lang w:eastAsia="ja-JP"/>
        </w:rPr>
        <w:fldChar w:fldCharType="begin"/>
      </w:r>
      <w:r w:rsidR="008A6BD8">
        <w:rPr>
          <w:lang w:eastAsia="ja-JP"/>
        </w:rPr>
        <w:instrText xml:space="preserve"> DOCVARIABLE vault_nd_0f676fa8-cbd1-4128-b711-4f22a2a5b997 \* MERGEFORMAT </w:instrText>
      </w:r>
      <w:r w:rsidR="008A6BD8">
        <w:rPr>
          <w:lang w:eastAsia="ja-JP"/>
        </w:rPr>
        <w:fldChar w:fldCharType="separate"/>
      </w:r>
      <w:r w:rsidR="008A6BD8">
        <w:rPr>
          <w:lang w:eastAsia="ja-JP"/>
        </w:rPr>
        <w:t xml:space="preserve"> </w:t>
      </w:r>
      <w:r w:rsidR="008A6BD8">
        <w:rPr>
          <w:lang w:eastAsia="ja-JP"/>
        </w:rPr>
        <w:fldChar w:fldCharType="end"/>
      </w:r>
    </w:p>
    <w:p w14:paraId="3CF0B189" w14:textId="1705FDDE" w:rsidR="00BB4596" w:rsidRPr="00346930" w:rsidRDefault="00BB4596" w:rsidP="001A73C4">
      <w:pPr>
        <w:autoSpaceDE w:val="0"/>
        <w:autoSpaceDN w:val="0"/>
        <w:adjustRightInd w:val="0"/>
        <w:spacing w:line="240" w:lineRule="auto"/>
        <w:rPr>
          <w:rFonts w:cs="ArialMT"/>
          <w:color w:val="000000"/>
        </w:rPr>
      </w:pPr>
      <w:r w:rsidRPr="00346930">
        <w:rPr>
          <w:rFonts w:cs="ArialMT"/>
          <w:color w:val="000000"/>
        </w:rPr>
        <w:t>Approximately 50- 70% of asthma cases are driven by Type 2 inflammation.</w:t>
      </w:r>
      <w:r w:rsidR="00782420">
        <w:rPr>
          <w:rStyle w:val="FootnoteReference"/>
          <w:rFonts w:cs="ArialMT"/>
          <w:color w:val="000000"/>
        </w:rPr>
        <w:footnoteReference w:id="3"/>
      </w:r>
      <w:r w:rsidRPr="00346930">
        <w:rPr>
          <w:rFonts w:cs="ArialMT"/>
          <w:color w:val="000000"/>
        </w:rPr>
        <w:t xml:space="preserve"> This immunological pathway secrete</w:t>
      </w:r>
      <w:r w:rsidR="00140F2D">
        <w:rPr>
          <w:rFonts w:cs="ArialMT"/>
          <w:color w:val="000000"/>
        </w:rPr>
        <w:t>s</w:t>
      </w:r>
      <w:r w:rsidRPr="00346930">
        <w:rPr>
          <w:rFonts w:cs="ArialMT"/>
          <w:color w:val="000000"/>
        </w:rPr>
        <w:t xml:space="preserve"> key cytokines</w:t>
      </w:r>
      <w:r w:rsidR="001A73C4">
        <w:rPr>
          <w:rFonts w:cs="ArialMT"/>
          <w:color w:val="000000"/>
        </w:rPr>
        <w:t xml:space="preserve"> including</w:t>
      </w:r>
      <w:r w:rsidR="00E06622">
        <w:rPr>
          <w:rFonts w:cs="ArialMT"/>
          <w:color w:val="000000"/>
        </w:rPr>
        <w:t>,</w:t>
      </w:r>
      <w:r w:rsidR="001A73C4">
        <w:rPr>
          <w:rFonts w:cs="ArialMT"/>
          <w:color w:val="000000"/>
        </w:rPr>
        <w:t xml:space="preserve"> but not limited </w:t>
      </w:r>
      <w:r w:rsidR="001A73C4" w:rsidRPr="00505855">
        <w:rPr>
          <w:rFonts w:cs="ArialMT"/>
          <w:color w:val="000000"/>
        </w:rPr>
        <w:t>to</w:t>
      </w:r>
      <w:r w:rsidR="00E06622">
        <w:rPr>
          <w:rFonts w:cs="ArialMT"/>
          <w:color w:val="000000"/>
        </w:rPr>
        <w:t>,</w:t>
      </w:r>
      <w:r w:rsidR="001A73C4" w:rsidRPr="00505855">
        <w:rPr>
          <w:rFonts w:cs="ArialMT"/>
          <w:color w:val="000000"/>
        </w:rPr>
        <w:t xml:space="preserve"> </w:t>
      </w:r>
      <w:r w:rsidRPr="00505855">
        <w:rPr>
          <w:rFonts w:cs="ArialMT"/>
          <w:color w:val="000000"/>
        </w:rPr>
        <w:t>Interleukin-5</w:t>
      </w:r>
      <w:r w:rsidR="00505855">
        <w:rPr>
          <w:rFonts w:cs="ArialMT"/>
          <w:color w:val="000000"/>
        </w:rPr>
        <w:t xml:space="preserve"> (</w:t>
      </w:r>
      <w:r w:rsidRPr="00505855">
        <w:rPr>
          <w:rFonts w:cs="ArialMT"/>
          <w:color w:val="000000"/>
        </w:rPr>
        <w:t>IL-5)</w:t>
      </w:r>
      <w:r w:rsidR="00505855">
        <w:rPr>
          <w:rFonts w:cs="ArialMT"/>
          <w:color w:val="000000"/>
        </w:rPr>
        <w:t xml:space="preserve"> which is c</w:t>
      </w:r>
      <w:r w:rsidRPr="00346930">
        <w:rPr>
          <w:rFonts w:cs="ArialMT"/>
          <w:color w:val="000000"/>
        </w:rPr>
        <w:t>entral to eosinophil maturation, recruitment and survival</w:t>
      </w:r>
      <w:r w:rsidR="00DE50A3">
        <w:rPr>
          <w:rFonts w:cs="ArialMT"/>
          <w:color w:val="000000"/>
        </w:rPr>
        <w:t>.</w:t>
      </w:r>
      <w:r w:rsidRPr="00346930">
        <w:rPr>
          <w:rFonts w:cs="ArialMT"/>
          <w:color w:val="000000"/>
        </w:rPr>
        <w:t xml:space="preserve"> </w:t>
      </w:r>
    </w:p>
    <w:p w14:paraId="0F18B39B" w14:textId="4B184950" w:rsidR="009F5493" w:rsidRPr="009F5493" w:rsidRDefault="009F5493" w:rsidP="009F5493">
      <w:r w:rsidRPr="009F5493">
        <w:t>Interleukin-5 is a pivotal cytokine in the pathogenesis of eosinophilic asthma, exerting effects via:</w:t>
      </w:r>
    </w:p>
    <w:p w14:paraId="41AEFDB3" w14:textId="5252843A" w:rsidR="009F5493" w:rsidRPr="009F5493" w:rsidRDefault="0068706D" w:rsidP="005509DE">
      <w:pPr>
        <w:pStyle w:val="ListBullet"/>
      </w:pPr>
      <w:r>
        <w:t>d</w:t>
      </w:r>
      <w:r w:rsidR="009F5493" w:rsidRPr="009F5493">
        <w:t>ifferentiation and maturation of eosinophils from bone marrow progenitors</w:t>
      </w:r>
    </w:p>
    <w:p w14:paraId="7147A54D" w14:textId="504F6AC9" w:rsidR="009F5493" w:rsidRPr="009F5493" w:rsidRDefault="002409A4" w:rsidP="005509DE">
      <w:pPr>
        <w:pStyle w:val="ListBullet"/>
      </w:pPr>
      <w:r>
        <w:t>p</w:t>
      </w:r>
      <w:r w:rsidR="009F5493" w:rsidRPr="009F5493">
        <w:t>romoting eosinophil recruitment, activation and survival in airway tissues</w:t>
      </w:r>
    </w:p>
    <w:p w14:paraId="649D5CAD" w14:textId="208F3796" w:rsidR="009F5493" w:rsidRPr="009F5493" w:rsidRDefault="002409A4" w:rsidP="005509DE">
      <w:pPr>
        <w:pStyle w:val="ListBullet"/>
      </w:pPr>
      <w:r>
        <w:t>i</w:t>
      </w:r>
      <w:r w:rsidR="009F5493" w:rsidRPr="009F5493">
        <w:t>nducing degranulation and release of cytotoxic granules, contributing to epithelium damage and airway remodelling.</w:t>
      </w:r>
      <w:r w:rsidR="003404AE" w:rsidRPr="003404AE">
        <w:rPr>
          <w:vertAlign w:val="superscript"/>
        </w:rPr>
        <w:fldChar w:fldCharType="begin"/>
      </w:r>
      <w:r w:rsidR="003404AE" w:rsidRPr="003404AE">
        <w:rPr>
          <w:vertAlign w:val="superscript"/>
        </w:rPr>
        <w:instrText xml:space="preserve"> NOTEREF _Ref238129658 \h </w:instrText>
      </w:r>
      <w:r w:rsidR="003404AE">
        <w:rPr>
          <w:vertAlign w:val="superscript"/>
        </w:rPr>
        <w:instrText xml:space="preserve"> \* MERGEFORMAT </w:instrText>
      </w:r>
      <w:r w:rsidR="003404AE" w:rsidRPr="003404AE">
        <w:rPr>
          <w:vertAlign w:val="superscript"/>
        </w:rPr>
      </w:r>
      <w:r w:rsidR="003404AE" w:rsidRPr="003404AE">
        <w:rPr>
          <w:vertAlign w:val="superscript"/>
        </w:rPr>
        <w:fldChar w:fldCharType="separate"/>
      </w:r>
      <w:r w:rsidR="003404AE" w:rsidRPr="003404AE">
        <w:rPr>
          <w:vertAlign w:val="superscript"/>
        </w:rPr>
        <w:t>2</w:t>
      </w:r>
      <w:r w:rsidR="003404AE" w:rsidRPr="003404AE">
        <w:rPr>
          <w:vertAlign w:val="superscript"/>
        </w:rPr>
        <w:fldChar w:fldCharType="end"/>
      </w:r>
    </w:p>
    <w:p w14:paraId="0F0B22B6" w14:textId="77777777" w:rsidR="009F5493" w:rsidRPr="009F5493" w:rsidRDefault="009F5493" w:rsidP="009F5493">
      <w:r w:rsidRPr="009F5493">
        <w:t>Elevated eosinophil levels correlate with increased exacerbation risk, progressive lung function decline, and poor corticosteroid responsiveness. IL-5 is produced by Th2 cells, ILC2s, mast cells and eosinophils themselves, forming a feedback loop that sustains inflammation.</w:t>
      </w:r>
    </w:p>
    <w:p w14:paraId="05FAA209" w14:textId="4F6FC960" w:rsidR="00632CCD" w:rsidRDefault="00632CCD" w:rsidP="00632CCD">
      <w:r>
        <w:t>The Australian Bureau of Statistics published statistics in the 2022 reference period state around 2.8 million Australians had asthma, and 33.9% used daily asthma medication.</w:t>
      </w:r>
      <w:r w:rsidR="00BE7FEF">
        <w:rPr>
          <w:rStyle w:val="FootnoteReference"/>
        </w:rPr>
        <w:footnoteReference w:id="4"/>
      </w:r>
      <w:r>
        <w:t xml:space="preserve"> In 2025</w:t>
      </w:r>
      <w:r w:rsidR="00231A48">
        <w:t>, Asthma</w:t>
      </w:r>
      <w:r>
        <w:t xml:space="preserve"> accounted for 2.5% of the total disease burden in Australia and was the leading cause </w:t>
      </w:r>
      <w:r w:rsidR="004C0438">
        <w:t xml:space="preserve">of total disease burden </w:t>
      </w:r>
      <w:r>
        <w:t xml:space="preserve">in </w:t>
      </w:r>
      <w:r w:rsidR="002F6A1D">
        <w:t xml:space="preserve">children </w:t>
      </w:r>
      <w:r>
        <w:t>aged 1–</w:t>
      </w:r>
      <w:r w:rsidR="00B22325">
        <w:t>9</w:t>
      </w:r>
      <w:r>
        <w:t xml:space="preserve"> years</w:t>
      </w:r>
      <w:r w:rsidR="002F6A1D">
        <w:t xml:space="preserve"> of age</w:t>
      </w:r>
      <w:r>
        <w:t>.</w:t>
      </w:r>
      <w:bookmarkStart w:id="19" w:name="_Ref238482147"/>
      <w:r w:rsidR="00BF2393">
        <w:rPr>
          <w:rStyle w:val="FootnoteReference"/>
        </w:rPr>
        <w:footnoteReference w:id="5"/>
      </w:r>
      <w:bookmarkEnd w:id="19"/>
      <w:r>
        <w:t xml:space="preserve"> It is more common in males up to the age of 14 but is greater in females aged 15 and older</w:t>
      </w:r>
      <w:r w:rsidRPr="00C90533">
        <w:rPr>
          <w:vertAlign w:val="superscript"/>
        </w:rPr>
        <w:t>.</w:t>
      </w:r>
      <w:r w:rsidR="00C90533" w:rsidRPr="00C90533">
        <w:rPr>
          <w:vertAlign w:val="superscript"/>
        </w:rPr>
        <w:fldChar w:fldCharType="begin"/>
      </w:r>
      <w:r w:rsidR="00C90533" w:rsidRPr="00C90533">
        <w:rPr>
          <w:vertAlign w:val="superscript"/>
        </w:rPr>
        <w:instrText xml:space="preserve"> NOTEREF _Ref238482147 \h </w:instrText>
      </w:r>
      <w:r w:rsidR="00C90533">
        <w:rPr>
          <w:vertAlign w:val="superscript"/>
        </w:rPr>
        <w:instrText xml:space="preserve"> \* MERGEFORMAT </w:instrText>
      </w:r>
      <w:r w:rsidR="00C90533" w:rsidRPr="00C90533">
        <w:rPr>
          <w:vertAlign w:val="superscript"/>
        </w:rPr>
      </w:r>
      <w:r w:rsidR="00C90533" w:rsidRPr="00C90533">
        <w:rPr>
          <w:vertAlign w:val="superscript"/>
        </w:rPr>
        <w:fldChar w:fldCharType="separate"/>
      </w:r>
      <w:r w:rsidR="00C90533" w:rsidRPr="00C90533">
        <w:rPr>
          <w:vertAlign w:val="superscript"/>
        </w:rPr>
        <w:t>5</w:t>
      </w:r>
      <w:r w:rsidR="00C90533" w:rsidRPr="00C90533">
        <w:rPr>
          <w:vertAlign w:val="superscript"/>
        </w:rPr>
        <w:fldChar w:fldCharType="end"/>
      </w:r>
      <w:r>
        <w:t xml:space="preserve"> In 2023–2024, 0.3% of all hospitalisations were for asthma, and around 43% of hospitalisations with a principal diagnosis of asthma were for people aged 0–14 years.</w:t>
      </w:r>
      <w:r w:rsidR="00972D6A" w:rsidRPr="00972D6A">
        <w:rPr>
          <w:vertAlign w:val="superscript"/>
        </w:rPr>
        <w:fldChar w:fldCharType="begin"/>
      </w:r>
      <w:r w:rsidR="00972D6A" w:rsidRPr="00972D6A">
        <w:rPr>
          <w:vertAlign w:val="superscript"/>
        </w:rPr>
        <w:instrText xml:space="preserve"> NOTEREF _Ref238482147 \h </w:instrText>
      </w:r>
      <w:r w:rsidR="00972D6A">
        <w:rPr>
          <w:vertAlign w:val="superscript"/>
        </w:rPr>
        <w:instrText xml:space="preserve"> \* MERGEFORMAT </w:instrText>
      </w:r>
      <w:r w:rsidR="00972D6A" w:rsidRPr="00972D6A">
        <w:rPr>
          <w:vertAlign w:val="superscript"/>
        </w:rPr>
      </w:r>
      <w:r w:rsidR="00972D6A" w:rsidRPr="00972D6A">
        <w:rPr>
          <w:vertAlign w:val="superscript"/>
        </w:rPr>
        <w:fldChar w:fldCharType="separate"/>
      </w:r>
      <w:r w:rsidR="00972D6A" w:rsidRPr="00972D6A">
        <w:rPr>
          <w:vertAlign w:val="superscript"/>
        </w:rPr>
        <w:t>5</w:t>
      </w:r>
      <w:r w:rsidR="00972D6A" w:rsidRPr="00972D6A">
        <w:rPr>
          <w:vertAlign w:val="superscript"/>
        </w:rPr>
        <w:fldChar w:fldCharType="end"/>
      </w:r>
    </w:p>
    <w:p w14:paraId="1C3018ED" w14:textId="04735E14" w:rsidR="00632CCD" w:rsidRDefault="00632CCD" w:rsidP="00632CCD">
      <w:r>
        <w:t>Severe asthma is defined as asthma that is uncontrolled despite adherence with high dose ICS</w:t>
      </w:r>
      <w:r w:rsidR="00A177A9">
        <w:t xml:space="preserve"> and </w:t>
      </w:r>
      <w:r w:rsidR="00696C3F">
        <w:t>long-acting</w:t>
      </w:r>
      <w:r w:rsidR="00995DB0">
        <w:t xml:space="preserve"> beta agonists (</w:t>
      </w:r>
      <w:r>
        <w:t>LABA</w:t>
      </w:r>
      <w:r w:rsidR="00995DB0">
        <w:t>)</w:t>
      </w:r>
      <w:r>
        <w:t xml:space="preserve"> and management of contributory factors, or patient</w:t>
      </w:r>
      <w:r w:rsidR="00A177A9">
        <w:t>s requiring</w:t>
      </w:r>
      <w:r>
        <w:t xml:space="preserve"> high dose ICS-LABA to maintain good asthma control.</w:t>
      </w:r>
      <w:r w:rsidR="00284A26">
        <w:rPr>
          <w:rStyle w:val="FootnoteReference"/>
        </w:rPr>
        <w:footnoteReference w:id="6"/>
      </w:r>
      <w:r w:rsidR="00284A26">
        <w:t xml:space="preserve"> </w:t>
      </w:r>
      <w:r w:rsidR="009D237C">
        <w:t>C</w:t>
      </w:r>
      <w:r w:rsidR="009D237C" w:rsidRPr="009D237C">
        <w:t xml:space="preserve">ontributory factors </w:t>
      </w:r>
      <w:r w:rsidR="009D237C">
        <w:t>may</w:t>
      </w:r>
      <w:r w:rsidR="002E6B0C">
        <w:t xml:space="preserve"> </w:t>
      </w:r>
      <w:r w:rsidR="009D237C" w:rsidRPr="009D237C">
        <w:t xml:space="preserve">include treatment adherence, inhaler device technique, self-monitoring, trigger avoidance and identification and management of comorbidities. </w:t>
      </w:r>
      <w:r>
        <w:t>Uncontrolled asthma includes persistent symptoms, frequent or severe exacerbations, airflow limitation or controlled asthma that worsens on tapering of corticosteroid treatment.</w:t>
      </w:r>
    </w:p>
    <w:p w14:paraId="7AD1EB81" w14:textId="2749A930" w:rsidR="00F97152" w:rsidRPr="00F97152" w:rsidRDefault="00F97152" w:rsidP="00F97152">
      <w:pPr>
        <w:pStyle w:val="Heading5"/>
      </w:pPr>
      <w:r w:rsidRPr="00F97152">
        <w:t xml:space="preserve">Chronic </w:t>
      </w:r>
      <w:r w:rsidR="00A16F18" w:rsidRPr="00F97152">
        <w:t xml:space="preserve">rhinosinusitis with nasal </w:t>
      </w:r>
      <w:r w:rsidR="00A16F18">
        <w:t>p</w:t>
      </w:r>
      <w:r w:rsidR="00A16F18" w:rsidRPr="00F97152">
        <w:t>ol</w:t>
      </w:r>
      <w:r w:rsidRPr="00F97152">
        <w:t>yps</w:t>
      </w:r>
      <w:fldSimple w:instr="DOCVARIABLE vault_nd_5855cea6-c801-4e6a-99a9-a8fd8e65eab9 \* MERGEFORMAT">
        <w:r w:rsidR="008A6BD8">
          <w:t xml:space="preserve"> </w:t>
        </w:r>
      </w:fldSimple>
    </w:p>
    <w:p w14:paraId="6A372E2E" w14:textId="0F5A137E" w:rsidR="008736AC" w:rsidRPr="008736AC" w:rsidRDefault="00F97152" w:rsidP="008736AC">
      <w:r w:rsidRPr="00091679">
        <w:rPr>
          <w:iCs/>
        </w:rPr>
        <w:t xml:space="preserve">Chronic Rhinosinusitis with Nasal </w:t>
      </w:r>
      <w:r w:rsidR="00091679" w:rsidRPr="00091679">
        <w:rPr>
          <w:iCs/>
        </w:rPr>
        <w:t>P</w:t>
      </w:r>
      <w:r w:rsidRPr="00091679">
        <w:rPr>
          <w:iCs/>
        </w:rPr>
        <w:t>olyps (</w:t>
      </w:r>
      <w:r w:rsidR="00343CDF" w:rsidRPr="00091679">
        <w:rPr>
          <w:iCs/>
        </w:rPr>
        <w:t>CRSwNP</w:t>
      </w:r>
      <w:r w:rsidRPr="00091679">
        <w:rPr>
          <w:iCs/>
        </w:rPr>
        <w:t>)</w:t>
      </w:r>
      <w:r w:rsidR="00343CDF" w:rsidRPr="00091679">
        <w:rPr>
          <w:iCs/>
        </w:rPr>
        <w:t xml:space="preserve"> is a</w:t>
      </w:r>
      <w:r w:rsidR="00343CDF" w:rsidRPr="00091679">
        <w:t xml:space="preserve"> chronic inflammatory</w:t>
      </w:r>
      <w:r w:rsidR="00343CDF" w:rsidRPr="00343CDF">
        <w:t xml:space="preserve"> disorder affecting the mucosa of the nasal passages, linings and/or paranasal sinuses characterised by the </w:t>
      </w:r>
      <w:r w:rsidR="004500DB">
        <w:t>f</w:t>
      </w:r>
      <w:r w:rsidR="00343CDF" w:rsidRPr="00343CDF">
        <w:t xml:space="preserve">ormation of benign, soft tissue nasal polyps. </w:t>
      </w:r>
      <w:r w:rsidR="008736AC" w:rsidRPr="008736AC">
        <w:t>These polyps often present bilaterally and contribute to significant health-related quality of life (</w:t>
      </w:r>
      <w:proofErr w:type="spellStart"/>
      <w:r w:rsidR="008736AC" w:rsidRPr="008736AC">
        <w:t>HRQoL</w:t>
      </w:r>
      <w:proofErr w:type="spellEnd"/>
      <w:r w:rsidR="008736AC" w:rsidRPr="008736AC">
        <w:t>) impairment, including nasal obstruction, anosmia (loss of smell), rhinorrhoea and sleep disturbances.</w:t>
      </w:r>
    </w:p>
    <w:p w14:paraId="4EFFCE7D" w14:textId="5B6F830A" w:rsidR="00343CDF" w:rsidRPr="00343CDF" w:rsidRDefault="00261DAC" w:rsidP="00343CDF">
      <w:r w:rsidRPr="00261DAC">
        <w:lastRenderedPageBreak/>
        <w:t>CRSwNP is estimated to affect 1–4% of the general population </w:t>
      </w:r>
      <w:r w:rsidR="007B24E1">
        <w:t xml:space="preserve">though it </w:t>
      </w:r>
      <w:r w:rsidR="00203578" w:rsidRPr="00203578">
        <w:t>varies across geographic regions</w:t>
      </w:r>
      <w:r w:rsidR="007B24E1">
        <w:t>.</w:t>
      </w:r>
      <w:bookmarkStart w:id="20" w:name="_Ref238132289"/>
      <w:r w:rsidR="008331FE" w:rsidRPr="00B37C74">
        <w:rPr>
          <w:rStyle w:val="FootnoteReference"/>
        </w:rPr>
        <w:footnoteReference w:id="7"/>
      </w:r>
      <w:bookmarkEnd w:id="20"/>
      <w:r w:rsidR="002D4458" w:rsidRPr="002D4458">
        <w:t xml:space="preserve"> CRSwNP is more prevalent in males than females, with the greatest prevalence in the 60- to 69-year age group</w:t>
      </w:r>
      <w:r w:rsidR="00ED5394">
        <w:t>.</w:t>
      </w:r>
      <w:r w:rsidR="00885853" w:rsidRPr="00885853">
        <w:rPr>
          <w:vertAlign w:val="superscript"/>
        </w:rPr>
        <w:fldChar w:fldCharType="begin"/>
      </w:r>
      <w:r w:rsidR="00885853" w:rsidRPr="00885853">
        <w:rPr>
          <w:vertAlign w:val="superscript"/>
        </w:rPr>
        <w:instrText xml:space="preserve"> NOTEREF _Ref238132289 \h </w:instrText>
      </w:r>
      <w:r w:rsidR="00885853">
        <w:rPr>
          <w:vertAlign w:val="superscript"/>
        </w:rPr>
        <w:instrText xml:space="preserve"> \* MERGEFORMAT </w:instrText>
      </w:r>
      <w:r w:rsidR="00885853" w:rsidRPr="00885853">
        <w:rPr>
          <w:vertAlign w:val="superscript"/>
        </w:rPr>
      </w:r>
      <w:r w:rsidR="00885853" w:rsidRPr="00885853">
        <w:rPr>
          <w:vertAlign w:val="superscript"/>
        </w:rPr>
        <w:fldChar w:fldCharType="separate"/>
      </w:r>
      <w:r w:rsidR="00885853" w:rsidRPr="00885853">
        <w:rPr>
          <w:vertAlign w:val="superscript"/>
        </w:rPr>
        <w:t>7</w:t>
      </w:r>
      <w:r w:rsidR="00885853" w:rsidRPr="00885853">
        <w:rPr>
          <w:vertAlign w:val="superscript"/>
        </w:rPr>
        <w:fldChar w:fldCharType="end"/>
      </w:r>
      <w:r w:rsidR="008046FC" w:rsidRPr="00FA58A6">
        <w:rPr>
          <w:vertAlign w:val="superscript"/>
        </w:rPr>
        <w:t xml:space="preserve"> </w:t>
      </w:r>
      <w:r w:rsidR="00343CDF" w:rsidRPr="00343CDF">
        <w:t xml:space="preserve">The condition is frequently associated with comorbidities such as asthma, allergic rhinitis and NSAID-exacerbated respiratory disease (NERD) which can complicate management and worsen prognosis. </w:t>
      </w:r>
    </w:p>
    <w:p w14:paraId="39826916" w14:textId="313CFF4A" w:rsidR="00343CDF" w:rsidRPr="00343CDF" w:rsidRDefault="00343CDF" w:rsidP="00222FBE">
      <w:r w:rsidRPr="00343CDF">
        <w:t>CRSwNP is predominantly driven by Type 2 inflammation, present in over 80% of patients with uncontrolled disease.</w:t>
      </w:r>
      <w:r w:rsidR="00B11F00">
        <w:rPr>
          <w:rStyle w:val="FootnoteReference"/>
        </w:rPr>
        <w:footnoteReference w:id="8"/>
      </w:r>
      <w:r w:rsidRPr="00343CDF">
        <w:t xml:space="preserve"> The immunologic pathway involves</w:t>
      </w:r>
      <w:r w:rsidR="00222FBE">
        <w:t xml:space="preserve"> </w:t>
      </w:r>
      <w:r w:rsidRPr="00343CDF">
        <w:t>Th2 lymphocytes and ILC2 cells which release cytokines including:</w:t>
      </w:r>
    </w:p>
    <w:p w14:paraId="5B06491B" w14:textId="77777777" w:rsidR="00343CDF" w:rsidRPr="00343CDF" w:rsidRDefault="00343CDF" w:rsidP="00222FBE">
      <w:pPr>
        <w:pStyle w:val="ListBullet"/>
      </w:pPr>
      <w:r w:rsidRPr="00343CDF">
        <w:t>IL-4 – promotes IgE synthesis</w:t>
      </w:r>
    </w:p>
    <w:p w14:paraId="1B2F8207" w14:textId="77777777" w:rsidR="00343CDF" w:rsidRPr="00343CDF" w:rsidRDefault="00343CDF" w:rsidP="00222FBE">
      <w:pPr>
        <w:pStyle w:val="ListBullet"/>
      </w:pPr>
      <w:r w:rsidRPr="00343CDF">
        <w:t>IL-5 – central to eosinophil recruitment, activation and survival.</w:t>
      </w:r>
    </w:p>
    <w:p w14:paraId="089C0BA1" w14:textId="418BF091" w:rsidR="00343CDF" w:rsidRPr="00343CDF" w:rsidRDefault="00343CDF" w:rsidP="00222FBE">
      <w:pPr>
        <w:pStyle w:val="ListBullet"/>
      </w:pPr>
      <w:r w:rsidRPr="00343CDF">
        <w:t>IL-13- contributes to mucous hypersecretion and epithelial barrier dysfunction.</w:t>
      </w:r>
      <w:r w:rsidR="00E333E9">
        <w:rPr>
          <w:rStyle w:val="FootnoteReference"/>
        </w:rPr>
        <w:footnoteReference w:id="9"/>
      </w:r>
    </w:p>
    <w:p w14:paraId="6576E518" w14:textId="77777777" w:rsidR="00343CDF" w:rsidRPr="00343CDF" w:rsidRDefault="00343CDF" w:rsidP="00343CDF">
      <w:r w:rsidRPr="00343CDF">
        <w:t xml:space="preserve">IL-5 plays a critical role in eosinophilic inflammation which is a hallmark of CRSwNP. Elevated IL-5 levels correlate with tissue eosinophilia, polyp growth, and disease severity. </w:t>
      </w:r>
    </w:p>
    <w:p w14:paraId="1D3FC01C" w14:textId="0517CB7C" w:rsidR="00343CDF" w:rsidRPr="00343CDF" w:rsidRDefault="00343CDF" w:rsidP="00343CDF">
      <w:r w:rsidRPr="00343CDF">
        <w:t xml:space="preserve">The Australasian Society of Clinical Immunology and Allergy (ASCIA) </w:t>
      </w:r>
      <w:r w:rsidR="00F95E7B" w:rsidRPr="00F95E7B">
        <w:t>provide</w:t>
      </w:r>
      <w:r w:rsidR="00F95E7B">
        <w:t>s</w:t>
      </w:r>
      <w:r w:rsidR="00F95E7B" w:rsidRPr="00F95E7B">
        <w:t xml:space="preserve"> a summary of typical </w:t>
      </w:r>
      <w:r w:rsidR="001D0166">
        <w:t xml:space="preserve">symptoms of </w:t>
      </w:r>
      <w:r w:rsidR="00F95E7B" w:rsidRPr="00F95E7B">
        <w:t xml:space="preserve">chronic rhinosinusitis with nasal polyps (CRSwNP), to help guide </w:t>
      </w:r>
      <w:r w:rsidR="0010784D">
        <w:t xml:space="preserve">diagnosis and </w:t>
      </w:r>
      <w:r w:rsidR="00F95E7B" w:rsidRPr="00F95E7B">
        <w:t>management</w:t>
      </w:r>
      <w:r w:rsidR="00D8661D">
        <w:t>.</w:t>
      </w:r>
      <w:bookmarkStart w:id="21" w:name="_Ref238633337"/>
      <w:r w:rsidR="00C877FC">
        <w:rPr>
          <w:rStyle w:val="FootnoteReference"/>
        </w:rPr>
        <w:footnoteReference w:id="10"/>
      </w:r>
      <w:bookmarkEnd w:id="21"/>
      <w:r w:rsidRPr="00343CDF">
        <w:t xml:space="preserve"> </w:t>
      </w:r>
      <w:r w:rsidR="00D8661D">
        <w:t>These include</w:t>
      </w:r>
      <w:r w:rsidRPr="00343CDF">
        <w:t xml:space="preserve"> nasal blockage or congestion, runny nose (rhinorrhoea), itchy nose, ears or throat, sneezing, anosmia, symptoms affecting day to day function leading to sleep disturbance</w:t>
      </w:r>
      <w:r w:rsidR="00D8661D">
        <w:t>,</w:t>
      </w:r>
      <w:r w:rsidRPr="00343CDF">
        <w:t xml:space="preserve"> daytime tiredness</w:t>
      </w:r>
      <w:r w:rsidR="00D8661D">
        <w:t xml:space="preserve">, </w:t>
      </w:r>
      <w:r w:rsidRPr="00343CDF">
        <w:t>poor concentration (if uncontrolled), and recurrent sinus infections.</w:t>
      </w:r>
      <w:r w:rsidR="0001324D">
        <w:rPr>
          <w:vertAlign w:val="superscript"/>
        </w:rPr>
        <w:t xml:space="preserve"> </w:t>
      </w:r>
      <w:r w:rsidR="0001324D" w:rsidRPr="00343CDF">
        <w:t xml:space="preserve"> </w:t>
      </w:r>
      <w:r w:rsidRPr="00343CDF">
        <w:t>Triggers possibly include inhaled allergens, airborne irritants, and physical or hormonal factors medications, older age and chronic health issues.</w:t>
      </w:r>
      <w:r w:rsidR="00D8661D" w:rsidRPr="00D8661D">
        <w:rPr>
          <w:vertAlign w:val="superscript"/>
        </w:rPr>
        <w:fldChar w:fldCharType="begin"/>
      </w:r>
      <w:r w:rsidR="00D8661D" w:rsidRPr="00D8661D">
        <w:rPr>
          <w:vertAlign w:val="superscript"/>
        </w:rPr>
        <w:instrText xml:space="preserve"> NOTEREF _Ref238633337 \h </w:instrText>
      </w:r>
      <w:r w:rsidR="00D8661D">
        <w:rPr>
          <w:vertAlign w:val="superscript"/>
        </w:rPr>
        <w:instrText xml:space="preserve"> \* MERGEFORMAT </w:instrText>
      </w:r>
      <w:r w:rsidR="00D8661D" w:rsidRPr="00D8661D">
        <w:rPr>
          <w:vertAlign w:val="superscript"/>
        </w:rPr>
      </w:r>
      <w:r w:rsidR="00D8661D" w:rsidRPr="00D8661D">
        <w:rPr>
          <w:vertAlign w:val="superscript"/>
        </w:rPr>
        <w:fldChar w:fldCharType="separate"/>
      </w:r>
      <w:r w:rsidR="00D8661D" w:rsidRPr="00D8661D">
        <w:rPr>
          <w:vertAlign w:val="superscript"/>
        </w:rPr>
        <w:t>10</w:t>
      </w:r>
      <w:r w:rsidR="00D8661D" w:rsidRPr="00D8661D">
        <w:rPr>
          <w:vertAlign w:val="superscript"/>
        </w:rPr>
        <w:fldChar w:fldCharType="end"/>
      </w:r>
      <w:r w:rsidRPr="00343CDF">
        <w:t xml:space="preserve"> Although patients may test positive for inhaled allergens on skin testing or allergen specific IgE, these are not the drivers of the condition. The guidance suggests endoscopy or CT scan as additional investigations.</w:t>
      </w:r>
    </w:p>
    <w:p w14:paraId="255E083A" w14:textId="2064EE18" w:rsidR="00CB6813" w:rsidRDefault="00CB6813" w:rsidP="00CB6813">
      <w:pPr>
        <w:pStyle w:val="Heading4"/>
      </w:pPr>
      <w:bookmarkStart w:id="22" w:name="_Toc241481368"/>
      <w:r>
        <w:t>Current treatment options</w:t>
      </w:r>
      <w:bookmarkEnd w:id="22"/>
      <w:r w:rsidR="008A6BD8">
        <w:fldChar w:fldCharType="begin"/>
      </w:r>
      <w:r w:rsidR="008A6BD8">
        <w:instrText xml:space="preserve"> DOCVARIABLE vault_nd_aaf64773-4d3c-453e-9864-e2e021ec7f0b \* MERGEFORMAT </w:instrText>
      </w:r>
      <w:r w:rsidR="008A6BD8">
        <w:fldChar w:fldCharType="separate"/>
      </w:r>
      <w:r w:rsidR="008A6BD8">
        <w:t xml:space="preserve"> </w:t>
      </w:r>
      <w:r w:rsidR="008A6BD8">
        <w:fldChar w:fldCharType="end"/>
      </w:r>
    </w:p>
    <w:p w14:paraId="387ACA07" w14:textId="456A75E8" w:rsidR="00DF0A6D" w:rsidRDefault="00DF0A6D" w:rsidP="00E52096">
      <w:pPr>
        <w:pStyle w:val="Heading5"/>
      </w:pPr>
      <w:r w:rsidRPr="00DF0A6D">
        <w:t>Asthma</w:t>
      </w:r>
      <w:fldSimple w:instr="DOCVARIABLE vault_nd_aa7e0148-23a8-45e5-80f6-832438ceeb75 \* MERGEFORMAT">
        <w:r w:rsidR="008A6BD8">
          <w:t xml:space="preserve"> </w:t>
        </w:r>
      </w:fldSimple>
    </w:p>
    <w:p w14:paraId="5001B705" w14:textId="77777777" w:rsidR="00DB668F" w:rsidRDefault="00DB668F" w:rsidP="00DB668F">
      <w:pPr>
        <w:spacing w:line="240" w:lineRule="auto"/>
        <w:rPr>
          <w:lang w:eastAsia="ja-JP"/>
        </w:rPr>
      </w:pPr>
      <w:r w:rsidRPr="00346930">
        <w:rPr>
          <w:lang w:eastAsia="ja-JP"/>
        </w:rPr>
        <w:t xml:space="preserve">The main goals of asthma management are symptom control, reduction in frequency and risk of exacerbations and minimisation of the adverse effects of medications. Asthma is considered ‘controlled’ when a patient has daytime symptoms fewer than twice per week, no airway limitations in performing activities of daily life, an absence of nocturnal symptoms, no exacerbations, utilisation of reliever medications less than twice weekly, and normal/near normal lung function. </w:t>
      </w:r>
    </w:p>
    <w:p w14:paraId="3DCCB14B" w14:textId="465CF12B" w:rsidR="00574C58" w:rsidRPr="00574C58" w:rsidRDefault="00574C58" w:rsidP="00574C58">
      <w:pPr>
        <w:spacing w:line="240" w:lineRule="auto"/>
        <w:rPr>
          <w:lang w:eastAsia="ja-JP"/>
        </w:rPr>
      </w:pPr>
      <w:r w:rsidRPr="00574C58">
        <w:rPr>
          <w:lang w:eastAsia="ja-JP"/>
        </w:rPr>
        <w:t>The Australian Asthma handbook recommends four levels of treatment, with alternatives at level 1 through to level 3</w:t>
      </w:r>
      <w:r w:rsidR="00A177A9">
        <w:rPr>
          <w:lang w:eastAsia="ja-JP"/>
        </w:rPr>
        <w:t xml:space="preserve"> (Figure 1)</w:t>
      </w:r>
      <w:r w:rsidRPr="00574C58">
        <w:rPr>
          <w:lang w:eastAsia="ja-JP"/>
        </w:rPr>
        <w:t xml:space="preserve">. </w:t>
      </w:r>
    </w:p>
    <w:p w14:paraId="3E282486" w14:textId="77777777" w:rsidR="00A16F18" w:rsidRDefault="001151C2" w:rsidP="00A16F18">
      <w:pPr>
        <w:pStyle w:val="FigureTitle"/>
        <w:rPr>
          <w:noProof/>
        </w:rPr>
      </w:pPr>
      <w:r w:rsidRPr="001151C2">
        <w:lastRenderedPageBreak/>
        <w:t xml:space="preserve">Figure </w:t>
      </w:r>
      <w:fldSimple w:instr=" SEQ Figure \* ARABIC ">
        <w:r w:rsidRPr="001151C2">
          <w:t>1</w:t>
        </w:r>
      </w:fldSimple>
      <w:r w:rsidRPr="001151C2">
        <w:t>. Treatment Algorithm for Adult and Adolescent Asthma, Australian Asthma Handbook.</w:t>
      </w:r>
      <w:r w:rsidR="005F3740">
        <w:rPr>
          <w:rStyle w:val="FootnoteReference"/>
        </w:rPr>
        <w:footnoteReference w:id="11"/>
      </w:r>
    </w:p>
    <w:p w14:paraId="041D3726" w14:textId="3BD6E551" w:rsidR="001151C2" w:rsidRDefault="001151C2" w:rsidP="00A16F18">
      <w:r>
        <w:rPr>
          <w:noProof/>
        </w:rPr>
        <w:drawing>
          <wp:inline distT="0" distB="0" distL="0" distR="0" wp14:anchorId="367D15DF" wp14:editId="3F8EC742">
            <wp:extent cx="5872596" cy="4150581"/>
            <wp:effectExtent l="0" t="0" r="0" b="2540"/>
            <wp:docPr id="1707292850" name="Picture 5" descr="Figure 1. Treatment Algorithm for Adult and Adolescent Asthma, Australian Asthma Hand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92850" name="Picture 5" descr="Figure 1. Treatment Algorithm for Adult and Adolescent Asthma, Australian Asthma Handboo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98664" cy="4169005"/>
                    </a:xfrm>
                    <a:prstGeom prst="rect">
                      <a:avLst/>
                    </a:prstGeom>
                    <a:noFill/>
                  </pic:spPr>
                </pic:pic>
              </a:graphicData>
            </a:graphic>
          </wp:inline>
        </w:drawing>
      </w:r>
      <w:fldSimple w:instr="DOCVARIABLE vault_nd_c2623646-5563-4ff9-8517-4f81a995d193 \* MERGEFORMAT">
        <w:r w:rsidR="008A6BD8">
          <w:t xml:space="preserve"> </w:t>
        </w:r>
      </w:fldSimple>
    </w:p>
    <w:p w14:paraId="43C3B6BE" w14:textId="1537D0E7" w:rsidR="00F86353" w:rsidRDefault="00F86353" w:rsidP="003B16F1">
      <w:r>
        <w:t xml:space="preserve">Most patients with asthma are managed with inhaled agents, using an escalation approach as depicted above. The guidelines recommend spirometry, blood eosinophil measurement and specialist referral for patients who cannot achieve good asthma control with medium dose ICS-LABA with good adherence and correct inhaler technique. </w:t>
      </w:r>
    </w:p>
    <w:p w14:paraId="18E00EE4" w14:textId="7D979A38" w:rsidR="00F86353" w:rsidRDefault="00F86353" w:rsidP="003B16F1">
      <w:r>
        <w:t>Severe asthma</w:t>
      </w:r>
      <w:r w:rsidR="00DE3F7F">
        <w:t xml:space="preserve">, by definition, </w:t>
      </w:r>
      <w:r>
        <w:t>requires high-dose</w:t>
      </w:r>
      <w:r w:rsidRPr="00616D6F">
        <w:t xml:space="preserve"> </w:t>
      </w:r>
      <w:r>
        <w:t>ICS-LABA with good inhaler technique, or oral maintenance corticosteroid. The guidelines emphasise these are not recommended long term treatments.</w:t>
      </w:r>
      <w:r w:rsidR="00DE3F7F">
        <w:t xml:space="preserve"> </w:t>
      </w:r>
      <w:r>
        <w:t>After ruling out other contributing factors, monoclonal antibodies are the next treatment option</w:t>
      </w:r>
      <w:r w:rsidR="00E7179E">
        <w:t>, including:</w:t>
      </w:r>
      <w:r>
        <w:t xml:space="preserve"> </w:t>
      </w:r>
    </w:p>
    <w:p w14:paraId="66A7ECF5" w14:textId="2128F2DE" w:rsidR="00F86353" w:rsidRPr="002E65FE" w:rsidRDefault="00F86353" w:rsidP="003B16F1">
      <w:pPr>
        <w:pStyle w:val="ListBullet"/>
      </w:pPr>
      <w:r w:rsidRPr="002E65FE">
        <w:t xml:space="preserve">Benralizumab (anti-IL5Rα) is </w:t>
      </w:r>
      <w:r>
        <w:t>indicated</w:t>
      </w:r>
      <w:r w:rsidRPr="002E65FE">
        <w:t xml:space="preserve"> as an add-on treatment for patients</w:t>
      </w:r>
      <w:r>
        <w:t xml:space="preserve"> aged </w:t>
      </w:r>
      <w:r w:rsidRPr="002E65FE">
        <w:t xml:space="preserve">12 years </w:t>
      </w:r>
      <w:r>
        <w:t xml:space="preserve">and over </w:t>
      </w:r>
      <w:r w:rsidRPr="002E65FE">
        <w:t xml:space="preserve">with severe eosinophilic asthma (blood eosinophil count 300 cells/microlitre or 150 cells/microlitre </w:t>
      </w:r>
      <w:r>
        <w:t>if</w:t>
      </w:r>
      <w:r w:rsidRPr="002E65FE">
        <w:t xml:space="preserve"> on oral corticosteroid treatment)</w:t>
      </w:r>
      <w:r w:rsidR="00FA3F9B">
        <w:t>.</w:t>
      </w:r>
      <w:r w:rsidR="00FA3F9B">
        <w:rPr>
          <w:rStyle w:val="FootnoteReference"/>
        </w:rPr>
        <w:footnoteReference w:id="12"/>
      </w:r>
    </w:p>
    <w:p w14:paraId="533A72AE" w14:textId="2BB104DF" w:rsidR="00F86353" w:rsidRPr="002E65FE" w:rsidRDefault="00F86353" w:rsidP="003B16F1">
      <w:pPr>
        <w:pStyle w:val="ListBullet"/>
      </w:pPr>
      <w:r w:rsidRPr="002E65FE">
        <w:t xml:space="preserve">Mepolizumab (anti-IL-5) </w:t>
      </w:r>
      <w:r>
        <w:t xml:space="preserve">is indicated </w:t>
      </w:r>
      <w:r w:rsidRPr="002E65FE">
        <w:t xml:space="preserve">as an add-on treatment for severe eosinophilic asthma </w:t>
      </w:r>
      <w:r>
        <w:t xml:space="preserve">in </w:t>
      </w:r>
      <w:r w:rsidRPr="002E65FE">
        <w:t>patients</w:t>
      </w:r>
      <w:r>
        <w:t xml:space="preserve"> aged </w:t>
      </w:r>
      <w:r w:rsidRPr="002E65FE">
        <w:t xml:space="preserve">12 years </w:t>
      </w:r>
      <w:r>
        <w:t>and over</w:t>
      </w:r>
      <w:r w:rsidR="00CE586B">
        <w:t>.</w:t>
      </w:r>
      <w:bookmarkStart w:id="23" w:name="_Ref238635747"/>
      <w:r w:rsidR="00CE586B">
        <w:rPr>
          <w:rStyle w:val="FootnoteReference"/>
        </w:rPr>
        <w:footnoteReference w:id="13"/>
      </w:r>
      <w:bookmarkEnd w:id="23"/>
      <w:r>
        <w:t xml:space="preserve"> </w:t>
      </w:r>
    </w:p>
    <w:p w14:paraId="0EB573CD" w14:textId="3B911FD3" w:rsidR="00986172" w:rsidRDefault="00F86353">
      <w:pPr>
        <w:pStyle w:val="ListBullet"/>
      </w:pPr>
      <w:r w:rsidRPr="002E65FE">
        <w:t>Dupilumab (anti-IL-4Rα)</w:t>
      </w:r>
      <w:r>
        <w:t xml:space="preserve"> is indicated as add on maintenance treatment in patients aged 6 years and older with moderate to severe asthma with type 2 inflammation (elevated eosinophils or elevated fractional exhaled nitric oxide [</w:t>
      </w:r>
      <w:proofErr w:type="spellStart"/>
      <w:r>
        <w:t>FeNO</w:t>
      </w:r>
      <w:proofErr w:type="spellEnd"/>
      <w:r>
        <w:t>]) that is inadequately controlled despite therapy with other medicinal products for maintenance treatment</w:t>
      </w:r>
      <w:r w:rsidR="00CC73C6">
        <w:t>.</w:t>
      </w:r>
      <w:bookmarkStart w:id="24" w:name="_Ref238635796"/>
      <w:r w:rsidR="009D313D">
        <w:rPr>
          <w:rStyle w:val="FootnoteReference"/>
        </w:rPr>
        <w:footnoteReference w:id="14"/>
      </w:r>
      <w:bookmarkEnd w:id="24"/>
    </w:p>
    <w:p w14:paraId="79EBB236" w14:textId="7F01E924" w:rsidR="00F86353" w:rsidRDefault="00F86353">
      <w:pPr>
        <w:pStyle w:val="ListBullet"/>
      </w:pPr>
      <w:r w:rsidRPr="002E65FE">
        <w:lastRenderedPageBreak/>
        <w:t xml:space="preserve">Omalizumab (anti-IgE) is approved </w:t>
      </w:r>
      <w:r>
        <w:t xml:space="preserve">in children aged 6 to &lt; 12 years, </w:t>
      </w:r>
      <w:r w:rsidRPr="002E65FE">
        <w:t xml:space="preserve">as add-on </w:t>
      </w:r>
      <w:r>
        <w:t xml:space="preserve">to improve asthma control in patients with severe allergic asthma who had documented exacerbations </w:t>
      </w:r>
      <w:r w:rsidR="003B16F1">
        <w:t>d</w:t>
      </w:r>
      <w:r>
        <w:t>espite daily high dose inhaled corticosteroid, and who have immunoglobulin E levels corresponding to the recommended dose range</w:t>
      </w:r>
      <w:r w:rsidR="0082516C">
        <w:t>.</w:t>
      </w:r>
      <w:r w:rsidR="000D1FAB">
        <w:t xml:space="preserve"> </w:t>
      </w:r>
      <w:r>
        <w:t>It is also approved for the management of adult and adolescent patients with moderate to severe allergic asthma, who are already being treated with inhaled steroid, and who have serum immunoglobulin E levels corresponding to the recommended dose range</w:t>
      </w:r>
      <w:r w:rsidR="00742921">
        <w:t>.</w:t>
      </w:r>
      <w:bookmarkStart w:id="25" w:name="_Ref238635816"/>
      <w:r w:rsidR="00742921">
        <w:rPr>
          <w:rStyle w:val="FootnoteReference"/>
        </w:rPr>
        <w:footnoteReference w:id="15"/>
      </w:r>
      <w:bookmarkEnd w:id="25"/>
    </w:p>
    <w:p w14:paraId="6220CC62" w14:textId="77777777" w:rsidR="00F86353" w:rsidRPr="009E0EC1" w:rsidRDefault="00F86353" w:rsidP="00F86353">
      <w:r>
        <w:t>The guidelines also list azithromycin, breathing exercises and bronchial thermoplasty as strategies sometimes used in specialist care.</w:t>
      </w:r>
    </w:p>
    <w:p w14:paraId="78149D7A" w14:textId="224383A0" w:rsidR="00DF0A6D" w:rsidRDefault="00CF3723" w:rsidP="00CF3723">
      <w:pPr>
        <w:pStyle w:val="Heading5"/>
      </w:pPr>
      <w:r w:rsidRPr="00CF3723">
        <w:t xml:space="preserve">Chronic </w:t>
      </w:r>
      <w:r w:rsidR="00A16F18" w:rsidRPr="00CF3723">
        <w:t>rhinosinusitis with nasal pol</w:t>
      </w:r>
      <w:r w:rsidRPr="00CF3723">
        <w:t>yps</w:t>
      </w:r>
      <w:fldSimple w:instr="DOCVARIABLE vault_nd_ceb0a3b1-b3e8-4c22-9c7d-55d1ffed37ed \* MERGEFORMAT">
        <w:r w:rsidR="008A6BD8">
          <w:t xml:space="preserve"> </w:t>
        </w:r>
      </w:fldSimple>
    </w:p>
    <w:p w14:paraId="372E2322" w14:textId="45F53284" w:rsidR="00322B53" w:rsidRPr="00322B53" w:rsidRDefault="006F16E9" w:rsidP="00322B53">
      <w:pPr>
        <w:rPr>
          <w:highlight w:val="yellow"/>
        </w:rPr>
      </w:pPr>
      <w:r w:rsidRPr="006F16E9">
        <w:t xml:space="preserve">The </w:t>
      </w:r>
      <w:r w:rsidR="00233341">
        <w:t>Austral</w:t>
      </w:r>
      <w:r w:rsidR="000A130C">
        <w:t>asian Society of Clinical</w:t>
      </w:r>
      <w:r w:rsidR="00E8558D">
        <w:t xml:space="preserve"> Immunology and Allergy (</w:t>
      </w:r>
      <w:r w:rsidRPr="006F16E9">
        <w:t>ASCIA</w:t>
      </w:r>
      <w:r w:rsidR="00E8558D">
        <w:t>)</w:t>
      </w:r>
      <w:r w:rsidRPr="006F16E9">
        <w:t xml:space="preserve"> 2025 checklist</w:t>
      </w:r>
      <w:r w:rsidR="00535A90" w:rsidRPr="00535A90">
        <w:rPr>
          <w:vertAlign w:val="superscript"/>
        </w:rPr>
        <w:fldChar w:fldCharType="begin"/>
      </w:r>
      <w:r w:rsidR="00535A90" w:rsidRPr="00535A90">
        <w:rPr>
          <w:vertAlign w:val="superscript"/>
        </w:rPr>
        <w:instrText xml:space="preserve"> NOTEREF _Ref238633337 \h </w:instrText>
      </w:r>
      <w:r w:rsidR="00535A90">
        <w:rPr>
          <w:vertAlign w:val="superscript"/>
        </w:rPr>
        <w:instrText xml:space="preserve"> \* MERGEFORMAT </w:instrText>
      </w:r>
      <w:r w:rsidR="00535A90" w:rsidRPr="00535A90">
        <w:rPr>
          <w:vertAlign w:val="superscript"/>
        </w:rPr>
      </w:r>
      <w:r w:rsidR="00535A90" w:rsidRPr="00535A90">
        <w:rPr>
          <w:vertAlign w:val="superscript"/>
        </w:rPr>
        <w:fldChar w:fldCharType="separate"/>
      </w:r>
      <w:r w:rsidR="00535A90" w:rsidRPr="00535A90">
        <w:rPr>
          <w:vertAlign w:val="superscript"/>
        </w:rPr>
        <w:t>10</w:t>
      </w:r>
      <w:r w:rsidR="00535A90" w:rsidRPr="00535A90">
        <w:rPr>
          <w:vertAlign w:val="superscript"/>
        </w:rPr>
        <w:fldChar w:fldCharType="end"/>
      </w:r>
      <w:r w:rsidRPr="006F16E9">
        <w:t xml:space="preserve"> recommends trigger minimisation or avoidance, saline nasal sprays</w:t>
      </w:r>
      <w:r w:rsidR="00F3755E">
        <w:t xml:space="preserve"> </w:t>
      </w:r>
      <w:r w:rsidRPr="006F16E9">
        <w:t>or rinses, antihistamines, intranasal corticosteroids (potentially with antihistamine) used</w:t>
      </w:r>
      <w:r w:rsidR="00F3755E">
        <w:t xml:space="preserve"> </w:t>
      </w:r>
      <w:r w:rsidRPr="006F16E9">
        <w:t xml:space="preserve">regularly and correctly. </w:t>
      </w:r>
      <w:r w:rsidR="00630AE1">
        <w:t>It also suggests</w:t>
      </w:r>
      <w:r w:rsidRPr="006F16E9">
        <w:t xml:space="preserve"> consideration of allergen immunotherapy (which</w:t>
      </w:r>
      <w:r w:rsidR="00F3755E">
        <w:t xml:space="preserve"> </w:t>
      </w:r>
      <w:r w:rsidRPr="006F16E9">
        <w:t>requires the specific allergens to be confirmed on testing), and the occasional use of antibiotics</w:t>
      </w:r>
      <w:r w:rsidR="00F3755E">
        <w:t xml:space="preserve"> </w:t>
      </w:r>
      <w:r w:rsidRPr="006F16E9">
        <w:t xml:space="preserve">and short course corticosteroids. </w:t>
      </w:r>
      <w:r w:rsidR="001B0F1E">
        <w:t>B</w:t>
      </w:r>
      <w:r w:rsidRPr="006F16E9">
        <w:t>iological medicines (which it refers to a</w:t>
      </w:r>
      <w:r w:rsidR="00F3755E">
        <w:t xml:space="preserve"> </w:t>
      </w:r>
      <w:r w:rsidRPr="006F16E9">
        <w:t xml:space="preserve">biologics) </w:t>
      </w:r>
      <w:r w:rsidR="001B0F1E">
        <w:t xml:space="preserve">are recommended </w:t>
      </w:r>
      <w:r w:rsidRPr="006F16E9">
        <w:t xml:space="preserve">if </w:t>
      </w:r>
      <w:r w:rsidR="00CB56AA">
        <w:t xml:space="preserve">symptoms are </w:t>
      </w:r>
      <w:r w:rsidRPr="006F16E9">
        <w:t>severe. Specialist referral to an ENT surgeon is for consideration</w:t>
      </w:r>
      <w:r w:rsidR="005F2290">
        <w:t xml:space="preserve">, and </w:t>
      </w:r>
      <w:r w:rsidRPr="006F16E9">
        <w:t>referral to a</w:t>
      </w:r>
      <w:r w:rsidR="00F3755E">
        <w:t xml:space="preserve"> </w:t>
      </w:r>
      <w:r w:rsidRPr="006F16E9">
        <w:t>clinical immunologist or allergy specialist is recommended.</w:t>
      </w:r>
      <w:r w:rsidR="00770C54" w:rsidRPr="00770C54">
        <w:rPr>
          <w:vertAlign w:val="superscript"/>
        </w:rPr>
        <w:fldChar w:fldCharType="begin"/>
      </w:r>
      <w:r w:rsidR="00770C54" w:rsidRPr="00770C54">
        <w:rPr>
          <w:vertAlign w:val="superscript"/>
        </w:rPr>
        <w:instrText xml:space="preserve"> NOTEREF _Ref238633337 \h </w:instrText>
      </w:r>
      <w:r w:rsidR="00770C54">
        <w:rPr>
          <w:vertAlign w:val="superscript"/>
        </w:rPr>
        <w:instrText xml:space="preserve"> \* MERGEFORMAT </w:instrText>
      </w:r>
      <w:r w:rsidR="00770C54" w:rsidRPr="00770C54">
        <w:rPr>
          <w:vertAlign w:val="superscript"/>
        </w:rPr>
      </w:r>
      <w:r w:rsidR="00770C54" w:rsidRPr="00770C54">
        <w:rPr>
          <w:vertAlign w:val="superscript"/>
        </w:rPr>
        <w:fldChar w:fldCharType="separate"/>
      </w:r>
      <w:r w:rsidR="00770C54" w:rsidRPr="00770C54">
        <w:rPr>
          <w:vertAlign w:val="superscript"/>
        </w:rPr>
        <w:t>10</w:t>
      </w:r>
      <w:r w:rsidR="00770C54" w:rsidRPr="00770C54">
        <w:rPr>
          <w:vertAlign w:val="superscript"/>
        </w:rPr>
        <w:fldChar w:fldCharType="end"/>
      </w:r>
      <w:r w:rsidR="00322B53" w:rsidRPr="00322B53">
        <w:rPr>
          <w:highlight w:val="yellow"/>
        </w:rPr>
        <w:t xml:space="preserve"> </w:t>
      </w:r>
    </w:p>
    <w:p w14:paraId="55C311E4" w14:textId="175A97ED" w:rsidR="00E86B6F" w:rsidRPr="003D0786" w:rsidRDefault="006F16E9" w:rsidP="003B16F1">
      <w:r w:rsidRPr="006F16E9">
        <w:t>In Australia, three monoclonal therapies are approved as add-on maintenance treatments in</w:t>
      </w:r>
      <w:r w:rsidR="004C4F93">
        <w:t xml:space="preserve"> </w:t>
      </w:r>
      <w:r w:rsidRPr="006F16E9">
        <w:t>adults with severe CRSwNP</w:t>
      </w:r>
      <w:r w:rsidR="003D0CF0">
        <w:t>. These include:</w:t>
      </w:r>
    </w:p>
    <w:p w14:paraId="646B1F87" w14:textId="5595B84A" w:rsidR="006F16E9" w:rsidRPr="00BE4CA8" w:rsidRDefault="006F16E9" w:rsidP="00BE4CA8">
      <w:pPr>
        <w:pStyle w:val="ListBullet"/>
      </w:pPr>
      <w:r w:rsidRPr="00BE4CA8">
        <w:t xml:space="preserve">Mepolizumab: </w:t>
      </w:r>
      <w:r w:rsidR="00532EE7">
        <w:t>Inhibits</w:t>
      </w:r>
      <w:r w:rsidRPr="00BE4CA8">
        <w:t xml:space="preserve"> IL-5.</w:t>
      </w:r>
      <w:r w:rsidR="003E5BDE" w:rsidRPr="00BE4CA8">
        <w:rPr>
          <w:vertAlign w:val="superscript"/>
        </w:rPr>
        <w:fldChar w:fldCharType="begin"/>
      </w:r>
      <w:r w:rsidR="003E5BDE" w:rsidRPr="00BE4CA8">
        <w:rPr>
          <w:vertAlign w:val="superscript"/>
        </w:rPr>
        <w:instrText xml:space="preserve"> NOTEREF _Ref238635747 \h  \* MERGEFORMAT </w:instrText>
      </w:r>
      <w:r w:rsidR="003E5BDE" w:rsidRPr="00BE4CA8">
        <w:rPr>
          <w:vertAlign w:val="superscript"/>
        </w:rPr>
      </w:r>
      <w:r w:rsidR="003E5BDE" w:rsidRPr="00BE4CA8">
        <w:rPr>
          <w:vertAlign w:val="superscript"/>
        </w:rPr>
        <w:fldChar w:fldCharType="separate"/>
      </w:r>
      <w:r w:rsidR="003E5BDE" w:rsidRPr="00BE4CA8">
        <w:rPr>
          <w:vertAlign w:val="superscript"/>
        </w:rPr>
        <w:t>13</w:t>
      </w:r>
      <w:r w:rsidR="003E5BDE" w:rsidRPr="00BE4CA8">
        <w:rPr>
          <w:vertAlign w:val="superscript"/>
        </w:rPr>
        <w:fldChar w:fldCharType="end"/>
      </w:r>
    </w:p>
    <w:p w14:paraId="7CA562F8" w14:textId="11E13A04" w:rsidR="006F16E9" w:rsidRPr="006F16E9" w:rsidRDefault="006F16E9" w:rsidP="003B16F1">
      <w:pPr>
        <w:pStyle w:val="ListBullet"/>
      </w:pPr>
      <w:r w:rsidRPr="006F16E9">
        <w:t>Dupilumab: Inhibits IL-4 and IL-13 signalling.</w:t>
      </w:r>
      <w:r w:rsidR="00EF585A" w:rsidRPr="00EF585A">
        <w:rPr>
          <w:vertAlign w:val="superscript"/>
        </w:rPr>
        <w:fldChar w:fldCharType="begin"/>
      </w:r>
      <w:r w:rsidR="00EF585A" w:rsidRPr="00EF585A">
        <w:rPr>
          <w:vertAlign w:val="superscript"/>
        </w:rPr>
        <w:instrText xml:space="preserve"> NOTEREF _Ref238635796 \h </w:instrText>
      </w:r>
      <w:r w:rsidR="00EF585A">
        <w:rPr>
          <w:vertAlign w:val="superscript"/>
        </w:rPr>
        <w:instrText xml:space="preserve"> \* MERGEFORMAT </w:instrText>
      </w:r>
      <w:r w:rsidR="00EF585A" w:rsidRPr="00EF585A">
        <w:rPr>
          <w:vertAlign w:val="superscript"/>
        </w:rPr>
      </w:r>
      <w:r w:rsidR="00EF585A" w:rsidRPr="00EF585A">
        <w:rPr>
          <w:vertAlign w:val="superscript"/>
        </w:rPr>
        <w:fldChar w:fldCharType="separate"/>
      </w:r>
      <w:r w:rsidR="00EF585A" w:rsidRPr="00EF585A">
        <w:rPr>
          <w:vertAlign w:val="superscript"/>
        </w:rPr>
        <w:t>14</w:t>
      </w:r>
      <w:r w:rsidR="00EF585A" w:rsidRPr="00EF585A">
        <w:rPr>
          <w:vertAlign w:val="superscript"/>
        </w:rPr>
        <w:fldChar w:fldCharType="end"/>
      </w:r>
    </w:p>
    <w:p w14:paraId="7D2C1D54" w14:textId="1ADC9533" w:rsidR="00E86B6F" w:rsidRPr="00DF0A6D" w:rsidRDefault="006F16E9" w:rsidP="003B16F1">
      <w:pPr>
        <w:pStyle w:val="ListBullet"/>
      </w:pPr>
      <w:r w:rsidRPr="006F16E9">
        <w:t>Omalizumab: Blocks IgE-mediated pathways</w:t>
      </w:r>
      <w:r w:rsidR="003E5BDE">
        <w:t>.</w:t>
      </w:r>
      <w:r w:rsidR="00EF585A" w:rsidRPr="00EF585A">
        <w:rPr>
          <w:vertAlign w:val="superscript"/>
        </w:rPr>
        <w:fldChar w:fldCharType="begin"/>
      </w:r>
      <w:r w:rsidR="00EF585A" w:rsidRPr="00EF585A">
        <w:rPr>
          <w:vertAlign w:val="superscript"/>
        </w:rPr>
        <w:instrText xml:space="preserve"> NOTEREF _Ref238635816 \h </w:instrText>
      </w:r>
      <w:r w:rsidR="00EF585A">
        <w:rPr>
          <w:vertAlign w:val="superscript"/>
        </w:rPr>
        <w:instrText xml:space="preserve"> \* MERGEFORMAT </w:instrText>
      </w:r>
      <w:r w:rsidR="00EF585A" w:rsidRPr="00EF585A">
        <w:rPr>
          <w:vertAlign w:val="superscript"/>
        </w:rPr>
      </w:r>
      <w:r w:rsidR="00EF585A" w:rsidRPr="00EF585A">
        <w:rPr>
          <w:vertAlign w:val="superscript"/>
        </w:rPr>
        <w:fldChar w:fldCharType="separate"/>
      </w:r>
      <w:r w:rsidR="00EF585A" w:rsidRPr="00EF585A">
        <w:rPr>
          <w:vertAlign w:val="superscript"/>
        </w:rPr>
        <w:t>15</w:t>
      </w:r>
      <w:r w:rsidR="00EF585A" w:rsidRPr="00EF585A">
        <w:rPr>
          <w:vertAlign w:val="superscript"/>
        </w:rPr>
        <w:fldChar w:fldCharType="end"/>
      </w:r>
    </w:p>
    <w:p w14:paraId="37C47E09" w14:textId="4B253749" w:rsidR="00CB6813" w:rsidRDefault="00CB6813" w:rsidP="00CB6813">
      <w:pPr>
        <w:pStyle w:val="Heading4"/>
      </w:pPr>
      <w:bookmarkStart w:id="26" w:name="_Toc241481369"/>
      <w:r>
        <w:t>C</w:t>
      </w:r>
      <w:r w:rsidRPr="00DE1344">
        <w:t>linical rational</w:t>
      </w:r>
      <w:r w:rsidR="0025785B">
        <w:t>e</w:t>
      </w:r>
      <w:bookmarkEnd w:id="26"/>
      <w:r w:rsidR="008A6BD8">
        <w:fldChar w:fldCharType="begin"/>
      </w:r>
      <w:r w:rsidR="008A6BD8">
        <w:instrText xml:space="preserve"> DOCVARIABLE vault_nd_2936c2ac-9490-47cb-9625-bba0bc02eaee \* MERGEFORMAT </w:instrText>
      </w:r>
      <w:r w:rsidR="008A6BD8">
        <w:fldChar w:fldCharType="separate"/>
      </w:r>
      <w:r w:rsidR="008A6BD8">
        <w:t xml:space="preserve"> </w:t>
      </w:r>
      <w:r w:rsidR="008A6BD8">
        <w:fldChar w:fldCharType="end"/>
      </w:r>
    </w:p>
    <w:p w14:paraId="23B1DBD6" w14:textId="5C99863B" w:rsidR="00B16D83" w:rsidRDefault="00B16D83" w:rsidP="00B16D83">
      <w:pPr>
        <w:pStyle w:val="Heading5"/>
      </w:pPr>
      <w:r>
        <w:t>Asthma</w:t>
      </w:r>
      <w:fldSimple w:instr="DOCVARIABLE vault_nd_c9252c8b-8966-4052-9ed3-faa8c774bbd0 \* MERGEFORMAT">
        <w:r w:rsidR="008A6BD8">
          <w:t xml:space="preserve"> </w:t>
        </w:r>
      </w:fldSimple>
    </w:p>
    <w:p w14:paraId="5005BD0F" w14:textId="68710E21" w:rsidR="00B16D83" w:rsidRDefault="00B16D83" w:rsidP="00B16D83">
      <w:r>
        <w:t>Asthma exacerbations are acute episodes of symptom worsening that significantly impair respiratory function and quality of life. In severe or difficult to treat asthma, exacerbations often necessitate short courses of systemic corticosteroids (SCS), which are administered in most patients. While effective in controlling acute inflammation, SCS are associated with a range of adverse effects.</w:t>
      </w:r>
    </w:p>
    <w:p w14:paraId="3423D1A1" w14:textId="21DF4A5E" w:rsidR="00B16D83" w:rsidRDefault="00B16D83" w:rsidP="00B16D83">
      <w:r>
        <w:t>Short-term SCS use increases the risk of infections, hyperglycaemia, and mood disturbances.</w:t>
      </w:r>
      <w:r w:rsidR="003173F6">
        <w:t xml:space="preserve"> </w:t>
      </w:r>
      <w:r>
        <w:t>Repeated courses or chronic use can lead to long-term complications including metabolic</w:t>
      </w:r>
      <w:r w:rsidR="003173F6">
        <w:t xml:space="preserve"> </w:t>
      </w:r>
      <w:r>
        <w:t>syndrome (weight gain, type II diabetes, hypertension, lipid disturbance); osteoporosis and</w:t>
      </w:r>
      <w:r w:rsidR="003173F6">
        <w:t xml:space="preserve"> </w:t>
      </w:r>
      <w:r>
        <w:t>fractures; and ocular abnormalities such as cataracts. Frequent exacerbations are also linked</w:t>
      </w:r>
      <w:r w:rsidR="003173F6">
        <w:t xml:space="preserve"> </w:t>
      </w:r>
      <w:r>
        <w:t>to accelerated lung function decline, increased healthcare utilisation, and in severe cases,</w:t>
      </w:r>
      <w:r w:rsidR="003173F6">
        <w:t xml:space="preserve"> </w:t>
      </w:r>
      <w:r>
        <w:t>hospitalization or death. Beyond clinical consequences, exacerbations contribute</w:t>
      </w:r>
      <w:r w:rsidR="003173F6">
        <w:t xml:space="preserve"> </w:t>
      </w:r>
      <w:r>
        <w:t>substantially to asthma-related economic burden through direct healthcare costs, lost</w:t>
      </w:r>
      <w:r w:rsidR="003173F6">
        <w:t xml:space="preserve"> </w:t>
      </w:r>
      <w:r>
        <w:t>productivity, and disruption to education and employment.</w:t>
      </w:r>
    </w:p>
    <w:p w14:paraId="19ED5D70" w14:textId="7190F66A" w:rsidR="00B16D83" w:rsidRDefault="00B16D83" w:rsidP="003173F6">
      <w:r>
        <w:t>Biologic therapies targeting Type 2 inflammatory pathways, such as anti-IgE, anti-IL-5, anti-IL-5Rα, and anti-TSLP agents, have demonstrated efficacy in reducing exacerbation</w:t>
      </w:r>
      <w:r w:rsidR="003173F6">
        <w:t xml:space="preserve"> </w:t>
      </w:r>
      <w:r>
        <w:t>frequency, minimising systemic corticosteroid dependence, and improving overall disease</w:t>
      </w:r>
      <w:r w:rsidR="006A7BA0">
        <w:t xml:space="preserve"> </w:t>
      </w:r>
      <w:r>
        <w:t>control. However, treatment outcomes are influenced by adherence to dosing schedules</w:t>
      </w:r>
      <w:r w:rsidR="006A7BA0">
        <w:t xml:space="preserve"> </w:t>
      </w:r>
      <w:r>
        <w:t xml:space="preserve">which typically </w:t>
      </w:r>
      <w:r>
        <w:lastRenderedPageBreak/>
        <w:t xml:space="preserve">involve subcutaneous </w:t>
      </w:r>
      <w:r w:rsidR="00B837D8">
        <w:t xml:space="preserve">(SC) </w:t>
      </w:r>
      <w:r>
        <w:t xml:space="preserve">or intravenous </w:t>
      </w:r>
      <w:r w:rsidR="00B837D8">
        <w:t xml:space="preserve">(IV) </w:t>
      </w:r>
      <w:r>
        <w:t>administration every 2 to 8</w:t>
      </w:r>
      <w:r w:rsidR="006A7BA0">
        <w:t xml:space="preserve"> </w:t>
      </w:r>
      <w:r>
        <w:t>weeks. Therapies with shorter dosing intervals are thought to have lower adherence rates,</w:t>
      </w:r>
      <w:r w:rsidR="006A7BA0">
        <w:t xml:space="preserve"> </w:t>
      </w:r>
      <w:r>
        <w:t>underscoring the potential benefit of biologics with a favourable risk-benefit profile and</w:t>
      </w:r>
      <w:r w:rsidR="006A7BA0">
        <w:t xml:space="preserve"> </w:t>
      </w:r>
      <w:r>
        <w:t>extended dosing intervals to support sustained disease control in this population.</w:t>
      </w:r>
    </w:p>
    <w:p w14:paraId="1D143CCF" w14:textId="66631817" w:rsidR="000E4C3E" w:rsidRPr="000E4C3E" w:rsidRDefault="000E4C3E" w:rsidP="00C003E5">
      <w:pPr>
        <w:pStyle w:val="Heading5"/>
      </w:pPr>
      <w:r w:rsidRPr="000E4C3E">
        <w:t xml:space="preserve">Chronic </w:t>
      </w:r>
      <w:r w:rsidR="00A16F18" w:rsidRPr="000E4C3E">
        <w:t>rhinosinusitis with nasal polyp</w:t>
      </w:r>
      <w:r w:rsidRPr="000E4C3E">
        <w:t>s</w:t>
      </w:r>
      <w:fldSimple w:instr="DOCVARIABLE vault_nd_acac9930-21a9-49a5-bfe2-da38e1af32b2 \* MERGEFORMAT">
        <w:r w:rsidR="008A6BD8">
          <w:t xml:space="preserve"> </w:t>
        </w:r>
      </w:fldSimple>
    </w:p>
    <w:p w14:paraId="61128CCC" w14:textId="116899D3" w:rsidR="000E4C3E" w:rsidRPr="000E4C3E" w:rsidRDefault="000E4C3E" w:rsidP="000E4C3E">
      <w:r w:rsidRPr="000E4C3E">
        <w:t>Biologic therapies have demonstrated efficacy in both asthma and CRSwNP by reducing</w:t>
      </w:r>
      <w:r w:rsidR="00C003E5">
        <w:t xml:space="preserve"> </w:t>
      </w:r>
      <w:r w:rsidRPr="000E4C3E">
        <w:t>eosinophil counts and polyp size, improving disease control, including asthma symptoms,</w:t>
      </w:r>
      <w:r w:rsidR="00C003E5">
        <w:t xml:space="preserve"> </w:t>
      </w:r>
      <w:r w:rsidRPr="000E4C3E">
        <w:t>nasal airflow and olfaction, and decreasing reliance on systemic corticosteroids,</w:t>
      </w:r>
      <w:r w:rsidR="00C003E5">
        <w:t xml:space="preserve"> </w:t>
      </w:r>
      <w:r w:rsidRPr="000E4C3E">
        <w:t>as well as the need for surgical intervention.</w:t>
      </w:r>
    </w:p>
    <w:p w14:paraId="6169CB8C" w14:textId="5BA9DF5F" w:rsidR="000E4C3E" w:rsidRPr="000E4C3E" w:rsidRDefault="000E4C3E" w:rsidP="000E4C3E">
      <w:r w:rsidRPr="000E4C3E">
        <w:t>However, adherence to recommended dosing schedules, typically SC every 2 to 8 weeks, is purported to provide a significant</w:t>
      </w:r>
      <w:r w:rsidR="00C003E5">
        <w:t xml:space="preserve"> </w:t>
      </w:r>
      <w:r w:rsidRPr="000E4C3E">
        <w:t>challenge in real-world settings.</w:t>
      </w:r>
      <w:r w:rsidR="00C003E5">
        <w:t xml:space="preserve"> </w:t>
      </w:r>
      <w:r w:rsidRPr="000E4C3E">
        <w:t>Factors contributing to poor</w:t>
      </w:r>
      <w:r w:rsidR="00C003E5">
        <w:t xml:space="preserve"> </w:t>
      </w:r>
      <w:r w:rsidRPr="000E4C3E">
        <w:t>adherence include treatment burden, scheduling complexity and administration logistics.</w:t>
      </w:r>
    </w:p>
    <w:p w14:paraId="0CE73180" w14:textId="6F60EACB" w:rsidR="000E4C3E" w:rsidRDefault="000E4C3E" w:rsidP="000E4C3E">
      <w:r w:rsidRPr="000E4C3E">
        <w:t>Less frequent dosing schedules are perceived, by the sponsor, as more convenient and</w:t>
      </w:r>
      <w:r w:rsidR="00C003E5">
        <w:t xml:space="preserve"> </w:t>
      </w:r>
      <w:r w:rsidRPr="000E4C3E">
        <w:t>conducive to long-</w:t>
      </w:r>
      <w:r w:rsidRPr="00745561">
        <w:t>term compliance</w:t>
      </w:r>
      <w:r w:rsidR="00745561">
        <w:t>.</w:t>
      </w:r>
      <w:r w:rsidR="00745561">
        <w:rPr>
          <w:rStyle w:val="FootnoteReference"/>
        </w:rPr>
        <w:footnoteReference w:id="16"/>
      </w:r>
      <w:r w:rsidRPr="000E4C3E">
        <w:t xml:space="preserve"> This underscores the potential role for biologic</w:t>
      </w:r>
      <w:r w:rsidR="00C003E5">
        <w:t xml:space="preserve"> </w:t>
      </w:r>
      <w:r w:rsidRPr="000E4C3E">
        <w:t>therapies that offer a favourable risk-benefit profile while supporting extended dosing</w:t>
      </w:r>
      <w:r w:rsidR="00C003E5">
        <w:t xml:space="preserve"> </w:t>
      </w:r>
      <w:r w:rsidRPr="000E4C3E">
        <w:t>intervals thereby enhancing adherence and optimising clinical outcomes in patients with</w:t>
      </w:r>
      <w:r w:rsidR="00C003E5">
        <w:t xml:space="preserve"> </w:t>
      </w:r>
      <w:r w:rsidRPr="000E4C3E">
        <w:t xml:space="preserve">severe asthma and </w:t>
      </w:r>
      <w:r w:rsidR="00DD46D9">
        <w:t>inadequately controlled</w:t>
      </w:r>
      <w:r w:rsidRPr="000E4C3E">
        <w:t xml:space="preserve"> CRSwNP.</w:t>
      </w:r>
    </w:p>
    <w:p w14:paraId="53FE2DFC" w14:textId="201A858F" w:rsidR="00B16D83" w:rsidRDefault="006A7BA0" w:rsidP="006A7BA0">
      <w:pPr>
        <w:pStyle w:val="Heading5"/>
      </w:pPr>
      <w:r w:rsidRPr="006A7BA0">
        <w:t>Depemokimab</w:t>
      </w:r>
      <w:fldSimple w:instr="DOCVARIABLE vault_nd_da3c5324-5b9c-4c39-857a-819b79fae903 \* MERGEFORMAT">
        <w:r w:rsidR="008A6BD8">
          <w:t xml:space="preserve"> </w:t>
        </w:r>
      </w:fldSimple>
    </w:p>
    <w:p w14:paraId="12129576" w14:textId="547E15CB" w:rsidR="00242F99" w:rsidRPr="00242F99" w:rsidRDefault="00242F99" w:rsidP="00242F99">
      <w:r w:rsidRPr="00242F99">
        <w:t>Depemokimab is an ultra-long-acting monoclonal antibody. Depemokimab targets human IL-5 with high binding affinity and specificity, thereby blocking the binding to the IL-5</w:t>
      </w:r>
      <w:r w:rsidR="000625C8">
        <w:t xml:space="preserve"> </w:t>
      </w:r>
      <w:r w:rsidRPr="00242F99">
        <w:t xml:space="preserve">receptor alpha expressed on the cell surface with picomolar potency </w:t>
      </w:r>
      <w:r w:rsidRPr="00242F99">
        <w:rPr>
          <w:iCs/>
        </w:rPr>
        <w:t>in vitro</w:t>
      </w:r>
      <w:r w:rsidRPr="00242F99">
        <w:t>.</w:t>
      </w:r>
      <w:r w:rsidR="000625C8">
        <w:t xml:space="preserve"> </w:t>
      </w:r>
      <w:r w:rsidRPr="00242F99">
        <w:t>Depemokimab contains a triple amino acid substitution (YTE) in the fragment crystallisable</w:t>
      </w:r>
      <w:r w:rsidR="000625C8">
        <w:t xml:space="preserve"> </w:t>
      </w:r>
      <w:r w:rsidRPr="00242F99">
        <w:t>(Fc) region which increases binding to the neonatal Fc receptor and thereby extends the</w:t>
      </w:r>
      <w:r w:rsidR="000625C8">
        <w:t xml:space="preserve"> </w:t>
      </w:r>
      <w:r w:rsidRPr="00242F99">
        <w:t>elimination half-life. These modifications allow for dosing every 6 months.</w:t>
      </w:r>
    </w:p>
    <w:p w14:paraId="50A419C4" w14:textId="243ED329" w:rsidR="00C52E76" w:rsidRDefault="00242F99" w:rsidP="00FE2C7B">
      <w:r w:rsidRPr="00242F99">
        <w:t>IL-5 is a core cytokine in Type 2 inflammation along with IL-4 and IL-13. Type 2 inflammation</w:t>
      </w:r>
      <w:r w:rsidR="000625C8">
        <w:t xml:space="preserve"> </w:t>
      </w:r>
      <w:r w:rsidRPr="00242F99">
        <w:t xml:space="preserve">driven by IL-5 is an important component in the pathogenesis of asthma and CRSwNP. </w:t>
      </w:r>
      <w:r w:rsidR="00FE2C7B" w:rsidRPr="00FE2C7B">
        <w:t xml:space="preserve">As an anti-IL-5 therapy and </w:t>
      </w:r>
      <w:r w:rsidR="00DD46D9">
        <w:t>ultra-</w:t>
      </w:r>
      <w:r w:rsidR="00FE2C7B" w:rsidRPr="00FE2C7B">
        <w:t>long-acting</w:t>
      </w:r>
      <w:r w:rsidR="00C003E5">
        <w:t xml:space="preserve"> </w:t>
      </w:r>
      <w:r w:rsidR="00E4376E">
        <w:t>SC</w:t>
      </w:r>
      <w:r w:rsidR="00FE2C7B" w:rsidRPr="00FE2C7B">
        <w:t xml:space="preserve"> injectable, </w:t>
      </w:r>
      <w:r w:rsidR="00C826F1">
        <w:t>Exdensur</w:t>
      </w:r>
      <w:r w:rsidR="00FE2C7B" w:rsidRPr="00FE2C7B">
        <w:t xml:space="preserve"> is purported to deliver an efficacy and safety profile</w:t>
      </w:r>
      <w:r w:rsidR="00C003E5">
        <w:t xml:space="preserve"> </w:t>
      </w:r>
      <w:r w:rsidR="00FE2C7B" w:rsidRPr="00FE2C7B">
        <w:t xml:space="preserve">similar to current anti-IL-5/IL-5R </w:t>
      </w:r>
      <w:proofErr w:type="spellStart"/>
      <w:r w:rsidR="00FE2C7B" w:rsidRPr="00FE2C7B">
        <w:t>mAbs</w:t>
      </w:r>
      <w:proofErr w:type="spellEnd"/>
      <w:r w:rsidR="00FE2C7B" w:rsidRPr="00FE2C7B">
        <w:t xml:space="preserve"> but with a reduced dosing frequency (once every </w:t>
      </w:r>
      <w:r w:rsidR="00DD46D9">
        <w:t>6 months</w:t>
      </w:r>
      <w:r w:rsidR="00FE2C7B" w:rsidRPr="00FE2C7B">
        <w:t xml:space="preserve"> as compared with existing therapies administered every 4 or 8 weeks) due to its</w:t>
      </w:r>
      <w:r w:rsidR="00C003E5">
        <w:t xml:space="preserve"> </w:t>
      </w:r>
      <w:r w:rsidR="00FE2C7B" w:rsidRPr="00FE2C7B">
        <w:t>longer half-life and high potency.</w:t>
      </w:r>
    </w:p>
    <w:p w14:paraId="0D615854" w14:textId="537BAE61" w:rsidR="00324B33" w:rsidRPr="003F31A2" w:rsidRDefault="00324B33" w:rsidP="00324B33">
      <w:pPr>
        <w:pStyle w:val="Heading3"/>
      </w:pPr>
      <w:bookmarkStart w:id="27" w:name="_Toc103679291"/>
      <w:bookmarkStart w:id="28" w:name="_Toc241481370"/>
      <w:r>
        <w:t>Regulatory status</w:t>
      </w:r>
      <w:bookmarkEnd w:id="16"/>
      <w:bookmarkEnd w:id="17"/>
      <w:bookmarkEnd w:id="27"/>
      <w:bookmarkEnd w:id="28"/>
      <w:r w:rsidR="008A6BD8">
        <w:fldChar w:fldCharType="begin"/>
      </w:r>
      <w:r w:rsidR="008A6BD8">
        <w:instrText xml:space="preserve"> DOCVARIABLE vault_nd_f3ce0cc3-36a3-4ed6-825e-78273b182d87 \* MERGEFORMAT </w:instrText>
      </w:r>
      <w:r w:rsidR="008A6BD8">
        <w:fldChar w:fldCharType="separate"/>
      </w:r>
      <w:r w:rsidR="008A6BD8">
        <w:t xml:space="preserve"> </w:t>
      </w:r>
      <w:r w:rsidR="008A6BD8">
        <w:fldChar w:fldCharType="end"/>
      </w:r>
    </w:p>
    <w:p w14:paraId="72C889D6" w14:textId="122233C0" w:rsidR="0017005C" w:rsidRPr="00BD5DBD" w:rsidRDefault="0017005C" w:rsidP="00741AB9">
      <w:pPr>
        <w:pStyle w:val="Heading4"/>
      </w:pPr>
      <w:bookmarkStart w:id="29" w:name="_Toc241481371"/>
      <w:r w:rsidRPr="00BD5DBD">
        <w:t>Australian regulatory</w:t>
      </w:r>
      <w:r>
        <w:t xml:space="preserve"> sta</w:t>
      </w:r>
      <w:r w:rsidR="0025785B">
        <w:t>t</w:t>
      </w:r>
      <w:r>
        <w:t>us</w:t>
      </w:r>
      <w:bookmarkEnd w:id="29"/>
      <w:r w:rsidR="008A6BD8">
        <w:fldChar w:fldCharType="begin"/>
      </w:r>
      <w:r w:rsidR="008A6BD8">
        <w:instrText xml:space="preserve"> DOCVARIABLE vault_nd_61673881-a34e-4823-a721-dec7e03de11f \* MERGEFORMAT </w:instrText>
      </w:r>
      <w:r w:rsidR="008A6BD8">
        <w:fldChar w:fldCharType="separate"/>
      </w:r>
      <w:r w:rsidR="008A6BD8">
        <w:t xml:space="preserve"> </w:t>
      </w:r>
      <w:r w:rsidR="008A6BD8">
        <w:fldChar w:fldCharType="end"/>
      </w:r>
    </w:p>
    <w:p w14:paraId="6A8633FA" w14:textId="57C57FF1" w:rsidR="00324B33" w:rsidRDefault="00324B33" w:rsidP="00324B33">
      <w:pPr>
        <w:rPr>
          <w:szCs w:val="22"/>
        </w:rPr>
      </w:pPr>
      <w:r w:rsidRPr="00BD5DBD">
        <w:rPr>
          <w:szCs w:val="22"/>
        </w:rPr>
        <w:t>This product is considered a new</w:t>
      </w:r>
      <w:r w:rsidR="008C754C" w:rsidRPr="00BD5DBD">
        <w:rPr>
          <w:szCs w:val="22"/>
        </w:rPr>
        <w:t xml:space="preserve"> </w:t>
      </w:r>
      <w:r w:rsidRPr="00BD5DBD">
        <w:rPr>
          <w:szCs w:val="22"/>
        </w:rPr>
        <w:t>biological entity for Australian regulatory purposes.</w:t>
      </w:r>
    </w:p>
    <w:p w14:paraId="546C1031" w14:textId="5AD0C06E" w:rsidR="0017005C" w:rsidRDefault="00131B1B" w:rsidP="0017005C">
      <w:pPr>
        <w:pStyle w:val="Heading4"/>
      </w:pPr>
      <w:bookmarkStart w:id="30" w:name="_Toc241481372"/>
      <w:r>
        <w:t xml:space="preserve">International </w:t>
      </w:r>
      <w:r w:rsidR="0017005C" w:rsidRPr="00BD5DBD">
        <w:t>regulatory</w:t>
      </w:r>
      <w:r w:rsidR="0017005C">
        <w:t xml:space="preserve"> status</w:t>
      </w:r>
      <w:bookmarkEnd w:id="30"/>
      <w:r w:rsidR="008A6BD8">
        <w:fldChar w:fldCharType="begin"/>
      </w:r>
      <w:r w:rsidR="008A6BD8">
        <w:instrText xml:space="preserve"> DOCVARIABLE vault_nd_407246f1-78a1-4c99-af72-b1448c192b29 \* MERGEFORMAT </w:instrText>
      </w:r>
      <w:r w:rsidR="008A6BD8">
        <w:fldChar w:fldCharType="separate"/>
      </w:r>
      <w:r w:rsidR="008A6BD8">
        <w:t xml:space="preserve"> </w:t>
      </w:r>
      <w:r w:rsidR="008A6BD8">
        <w:fldChar w:fldCharType="end"/>
      </w:r>
    </w:p>
    <w:p w14:paraId="7FDF4A0B" w14:textId="19EF7066" w:rsidR="008F4A62" w:rsidRPr="0017005C" w:rsidRDefault="008F4A62" w:rsidP="008F4A62">
      <w:r w:rsidRPr="00BD5DBD">
        <w:rPr>
          <w:szCs w:val="22"/>
        </w:rPr>
        <w:t>At the time the TGA considered this submission, similar submission</w:t>
      </w:r>
      <w:r w:rsidR="00AB1FFE">
        <w:rPr>
          <w:szCs w:val="22"/>
        </w:rPr>
        <w:t>s</w:t>
      </w:r>
      <w:r w:rsidRPr="00BD5DBD">
        <w:rPr>
          <w:szCs w:val="22"/>
        </w:rPr>
        <w:t xml:space="preserve"> had been </w:t>
      </w:r>
      <w:r>
        <w:rPr>
          <w:szCs w:val="22"/>
        </w:rPr>
        <w:t xml:space="preserve">considered by other regulatory agencies. </w:t>
      </w:r>
      <w:r w:rsidRPr="00BD5DBD">
        <w:rPr>
          <w:szCs w:val="22"/>
        </w:rPr>
        <w:t>The following table summarises these submissions and provides the indications where approved.</w:t>
      </w:r>
      <w:r>
        <w:rPr>
          <w:szCs w:val="22"/>
        </w:rPr>
        <w:t xml:space="preserve"> </w:t>
      </w:r>
    </w:p>
    <w:p w14:paraId="19B9E0AC" w14:textId="257DEAD4" w:rsidR="00324B33" w:rsidRDefault="00324B33" w:rsidP="00324B33">
      <w:pPr>
        <w:pStyle w:val="TableTitle"/>
      </w:pPr>
      <w:bookmarkStart w:id="31" w:name="_Ref99705479"/>
      <w:r>
        <w:lastRenderedPageBreak/>
        <w:t xml:space="preserve">Table </w:t>
      </w:r>
      <w:fldSimple w:instr=" SEQ Table \* ARABIC ">
        <w:r w:rsidR="008B1CB5">
          <w:rPr>
            <w:noProof/>
          </w:rPr>
          <w:t>1</w:t>
        </w:r>
      </w:fldSimple>
      <w:bookmarkEnd w:id="31"/>
      <w:r w:rsidR="00FD10D4">
        <w:t>.</w:t>
      </w:r>
      <w:r>
        <w:t xml:space="preserve"> International regulatory status</w:t>
      </w:r>
      <w:r w:rsidR="00FD10D4">
        <w:t>.</w:t>
      </w:r>
      <w:fldSimple w:instr="DOCVARIABLE vault_nd_e0ac7eb4-9050-4600-b127-f91e9fadad56 \* MERGEFORMAT">
        <w:r w:rsidR="008A6BD8">
          <w:t xml:space="preserve"> </w:t>
        </w:r>
      </w:fldSimple>
    </w:p>
    <w:tbl>
      <w:tblPr>
        <w:tblStyle w:val="TableTGAblue2023"/>
        <w:tblW w:w="5082" w:type="pct"/>
        <w:tblLook w:val="04A0" w:firstRow="1" w:lastRow="0" w:firstColumn="1" w:lastColumn="0" w:noHBand="0" w:noVBand="1"/>
      </w:tblPr>
      <w:tblGrid>
        <w:gridCol w:w="1271"/>
        <w:gridCol w:w="1571"/>
        <w:gridCol w:w="1624"/>
        <w:gridCol w:w="4743"/>
      </w:tblGrid>
      <w:tr w:rsidR="00324B33" w:rsidRPr="00D01DDB" w14:paraId="405E5D78" w14:textId="16839333" w:rsidTr="00AB10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pct"/>
          </w:tcPr>
          <w:p w14:paraId="185B099B" w14:textId="7A4C0E6C" w:rsidR="00324B33" w:rsidRPr="00D01DDB" w:rsidRDefault="00324B33" w:rsidP="00324B33">
            <w:pPr>
              <w:rPr>
                <w:szCs w:val="22"/>
              </w:rPr>
            </w:pPr>
            <w:r w:rsidRPr="00D01DDB">
              <w:rPr>
                <w:szCs w:val="22"/>
              </w:rPr>
              <w:t>Region</w:t>
            </w:r>
          </w:p>
        </w:tc>
        <w:tc>
          <w:tcPr>
            <w:tcW w:w="853" w:type="pct"/>
          </w:tcPr>
          <w:p w14:paraId="778C35C7" w14:textId="52D23C85"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Submission date</w:t>
            </w:r>
          </w:p>
        </w:tc>
        <w:tc>
          <w:tcPr>
            <w:tcW w:w="882" w:type="pct"/>
          </w:tcPr>
          <w:p w14:paraId="58F81584" w14:textId="66689ABF"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Status</w:t>
            </w:r>
          </w:p>
        </w:tc>
        <w:tc>
          <w:tcPr>
            <w:tcW w:w="2575" w:type="pct"/>
          </w:tcPr>
          <w:p w14:paraId="50B2D435" w14:textId="560588D2"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Approved indications</w:t>
            </w:r>
          </w:p>
        </w:tc>
      </w:tr>
      <w:tr w:rsidR="00324B33" w:rsidRPr="00D01DDB" w14:paraId="38D24E86" w14:textId="77777777" w:rsidTr="00AB101A">
        <w:tc>
          <w:tcPr>
            <w:cnfStyle w:val="001000000000" w:firstRow="0" w:lastRow="0" w:firstColumn="1" w:lastColumn="0" w:oddVBand="0" w:evenVBand="0" w:oddHBand="0" w:evenHBand="0" w:firstRowFirstColumn="0" w:firstRowLastColumn="0" w:lastRowFirstColumn="0" w:lastRowLastColumn="0"/>
            <w:tcW w:w="690" w:type="pct"/>
          </w:tcPr>
          <w:p w14:paraId="4C540DE5" w14:textId="366CD25D" w:rsidR="00324B33" w:rsidRPr="00D01DDB" w:rsidRDefault="0025081A" w:rsidP="00A339DC">
            <w:pPr>
              <w:ind w:left="0"/>
              <w:rPr>
                <w:szCs w:val="22"/>
              </w:rPr>
            </w:pPr>
            <w:r w:rsidRPr="0025081A">
              <w:rPr>
                <w:szCs w:val="22"/>
              </w:rPr>
              <w:t>E</w:t>
            </w:r>
            <w:r w:rsidR="004855BC">
              <w:rPr>
                <w:szCs w:val="22"/>
              </w:rPr>
              <w:t>uropean Union</w:t>
            </w:r>
          </w:p>
        </w:tc>
        <w:tc>
          <w:tcPr>
            <w:tcW w:w="853" w:type="pct"/>
          </w:tcPr>
          <w:p w14:paraId="4FA5DDA9" w14:textId="22EB186A" w:rsidR="00324B33" w:rsidRPr="00D01DDB" w:rsidRDefault="007400EA"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18 </w:t>
            </w:r>
            <w:r w:rsidR="002D66C8" w:rsidRPr="002D66C8">
              <w:rPr>
                <w:szCs w:val="22"/>
              </w:rPr>
              <w:t>December 2024</w:t>
            </w:r>
          </w:p>
        </w:tc>
        <w:tc>
          <w:tcPr>
            <w:tcW w:w="882" w:type="pct"/>
          </w:tcPr>
          <w:p w14:paraId="29358393" w14:textId="609D9F1F" w:rsidR="00324B33" w:rsidRPr="00D01DDB" w:rsidRDefault="00324B33" w:rsidP="00324B3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 xml:space="preserve">Approved on </w:t>
            </w:r>
            <w:r w:rsidR="000A1152">
              <w:rPr>
                <w:szCs w:val="22"/>
              </w:rPr>
              <w:t>12 February 2026</w:t>
            </w:r>
          </w:p>
        </w:tc>
        <w:tc>
          <w:tcPr>
            <w:tcW w:w="2575" w:type="pct"/>
          </w:tcPr>
          <w:p w14:paraId="5F6D8406" w14:textId="77777777" w:rsidR="00CA042E" w:rsidRPr="00CA042E" w:rsidRDefault="00CA042E" w:rsidP="007400EA">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CA042E">
              <w:rPr>
                <w:b/>
                <w:bCs/>
                <w:i/>
                <w:iCs/>
                <w:szCs w:val="22"/>
              </w:rPr>
              <w:t>Asthma</w:t>
            </w:r>
          </w:p>
          <w:p w14:paraId="645663B7" w14:textId="446BCAB8" w:rsidR="00CA042E" w:rsidRPr="00CA042E" w:rsidRDefault="00C826F1" w:rsidP="00CA042E">
            <w:pPr>
              <w:ind w:left="0"/>
              <w:cnfStyle w:val="000000000000" w:firstRow="0" w:lastRow="0" w:firstColumn="0" w:lastColumn="0" w:oddVBand="0" w:evenVBand="0" w:oddHBand="0" w:evenHBand="0" w:firstRowFirstColumn="0" w:firstRowLastColumn="0" w:lastRowFirstColumn="0" w:lastRowLastColumn="0"/>
              <w:rPr>
                <w:i/>
                <w:iCs/>
                <w:szCs w:val="22"/>
              </w:rPr>
            </w:pPr>
            <w:r>
              <w:rPr>
                <w:i/>
                <w:iCs/>
                <w:szCs w:val="22"/>
              </w:rPr>
              <w:t>Exdensur</w:t>
            </w:r>
            <w:r w:rsidR="00CA042E" w:rsidRPr="00CA042E">
              <w:rPr>
                <w:i/>
                <w:iCs/>
                <w:szCs w:val="22"/>
              </w:rPr>
              <w:t xml:space="preserve"> is indicated as an add-on maintenance treatment for severe asthma with type</w:t>
            </w:r>
            <w:r w:rsidR="00CA042E">
              <w:rPr>
                <w:i/>
                <w:iCs/>
                <w:szCs w:val="22"/>
              </w:rPr>
              <w:t xml:space="preserve"> </w:t>
            </w:r>
            <w:r w:rsidR="00CA042E" w:rsidRPr="00CA042E">
              <w:rPr>
                <w:i/>
                <w:iCs/>
                <w:szCs w:val="22"/>
              </w:rPr>
              <w:t>2 inflammation characterised by blood eosinophil count in adults and adolescents in 12</w:t>
            </w:r>
            <w:r w:rsidR="00CA042E">
              <w:rPr>
                <w:i/>
                <w:iCs/>
                <w:szCs w:val="22"/>
              </w:rPr>
              <w:t xml:space="preserve"> </w:t>
            </w:r>
            <w:r w:rsidR="00CA042E" w:rsidRPr="00CA042E">
              <w:rPr>
                <w:i/>
                <w:iCs/>
                <w:szCs w:val="22"/>
              </w:rPr>
              <w:t>years and older who are inadequately controlled despite high dose inhaled corticosteroids</w:t>
            </w:r>
            <w:r w:rsidR="000E6372">
              <w:rPr>
                <w:i/>
                <w:iCs/>
                <w:szCs w:val="22"/>
              </w:rPr>
              <w:t xml:space="preserve"> </w:t>
            </w:r>
            <w:r w:rsidR="00CA042E" w:rsidRPr="00CA042E">
              <w:rPr>
                <w:i/>
                <w:iCs/>
                <w:szCs w:val="22"/>
              </w:rPr>
              <w:t>(ICS) plus another asthma controller.</w:t>
            </w:r>
          </w:p>
          <w:p w14:paraId="613C4F00" w14:textId="77777777" w:rsidR="00CA042E" w:rsidRPr="000E6372" w:rsidRDefault="00CA042E" w:rsidP="00CA042E">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0E6372">
              <w:rPr>
                <w:b/>
                <w:bCs/>
                <w:i/>
                <w:iCs/>
                <w:szCs w:val="22"/>
              </w:rPr>
              <w:t>Chronic rhinosinusitis with nasal polyps (CRSwNP)</w:t>
            </w:r>
          </w:p>
          <w:p w14:paraId="05055674" w14:textId="7E200488" w:rsidR="00324B33" w:rsidRPr="00D01DDB" w:rsidRDefault="00C826F1" w:rsidP="000E6372">
            <w:pPr>
              <w:ind w:left="0"/>
              <w:cnfStyle w:val="000000000000" w:firstRow="0" w:lastRow="0" w:firstColumn="0" w:lastColumn="0" w:oddVBand="0" w:evenVBand="0" w:oddHBand="0" w:evenHBand="0" w:firstRowFirstColumn="0" w:firstRowLastColumn="0" w:lastRowFirstColumn="0" w:lastRowLastColumn="0"/>
              <w:rPr>
                <w:szCs w:val="22"/>
              </w:rPr>
            </w:pPr>
            <w:r>
              <w:rPr>
                <w:i/>
                <w:iCs/>
                <w:szCs w:val="22"/>
              </w:rPr>
              <w:t>Exdensur</w:t>
            </w:r>
            <w:r w:rsidR="00CA042E" w:rsidRPr="00CA042E">
              <w:rPr>
                <w:i/>
                <w:iCs/>
                <w:szCs w:val="22"/>
              </w:rPr>
              <w:t xml:space="preserve"> is indicated as an add-on therapy with intranasal corticosteroids for the</w:t>
            </w:r>
            <w:r w:rsidR="000E6372">
              <w:rPr>
                <w:i/>
                <w:iCs/>
                <w:szCs w:val="22"/>
              </w:rPr>
              <w:t xml:space="preserve"> </w:t>
            </w:r>
            <w:r w:rsidR="00CA042E" w:rsidRPr="00CA042E">
              <w:rPr>
                <w:i/>
                <w:iCs/>
                <w:szCs w:val="22"/>
              </w:rPr>
              <w:t>treatment of adult patients with severe CRSwNP for whom therapy with systemic</w:t>
            </w:r>
            <w:r w:rsidR="000E6372">
              <w:rPr>
                <w:i/>
                <w:iCs/>
                <w:szCs w:val="22"/>
              </w:rPr>
              <w:t xml:space="preserve"> </w:t>
            </w:r>
            <w:r w:rsidR="00CA042E" w:rsidRPr="00CA042E">
              <w:rPr>
                <w:i/>
                <w:iCs/>
                <w:szCs w:val="22"/>
              </w:rPr>
              <w:t>corticosteroids and/or surgery do not provide adequate disease control.</w:t>
            </w:r>
          </w:p>
        </w:tc>
      </w:tr>
      <w:tr w:rsidR="00324B33" w:rsidRPr="00D01DDB" w14:paraId="18B6E2AA" w14:textId="7783D66F" w:rsidTr="00AB101A">
        <w:tc>
          <w:tcPr>
            <w:cnfStyle w:val="001000000000" w:firstRow="0" w:lastRow="0" w:firstColumn="1" w:lastColumn="0" w:oddVBand="0" w:evenVBand="0" w:oddHBand="0" w:evenHBand="0" w:firstRowFirstColumn="0" w:firstRowLastColumn="0" w:lastRowFirstColumn="0" w:lastRowLastColumn="0"/>
            <w:tcW w:w="690" w:type="pct"/>
          </w:tcPr>
          <w:p w14:paraId="7F348960" w14:textId="3EB129BA" w:rsidR="00324B33" w:rsidRPr="00D01DDB" w:rsidRDefault="0025081A" w:rsidP="00A339DC">
            <w:pPr>
              <w:ind w:left="0"/>
              <w:rPr>
                <w:szCs w:val="22"/>
              </w:rPr>
            </w:pPr>
            <w:r w:rsidRPr="0025081A">
              <w:rPr>
                <w:szCs w:val="22"/>
              </w:rPr>
              <w:t>U</w:t>
            </w:r>
            <w:r w:rsidR="004855BC">
              <w:rPr>
                <w:szCs w:val="22"/>
              </w:rPr>
              <w:t>nited Kingdom</w:t>
            </w:r>
          </w:p>
        </w:tc>
        <w:tc>
          <w:tcPr>
            <w:tcW w:w="853" w:type="pct"/>
          </w:tcPr>
          <w:p w14:paraId="4C43B4CB" w14:textId="2C65DC53" w:rsidR="00D43BC9" w:rsidRPr="00D43BC9" w:rsidRDefault="00EA3EB7" w:rsidP="00D43BC9">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5 </w:t>
            </w:r>
            <w:r w:rsidR="00D43BC9" w:rsidRPr="00D43BC9">
              <w:rPr>
                <w:szCs w:val="22"/>
              </w:rPr>
              <w:t>February</w:t>
            </w:r>
          </w:p>
          <w:p w14:paraId="1D871E57" w14:textId="6E596D06" w:rsidR="00324B33" w:rsidRPr="00D01DDB" w:rsidRDefault="00D43BC9" w:rsidP="00D43BC9">
            <w:pPr>
              <w:cnfStyle w:val="000000000000" w:firstRow="0" w:lastRow="0" w:firstColumn="0" w:lastColumn="0" w:oddVBand="0" w:evenVBand="0" w:oddHBand="0" w:evenHBand="0" w:firstRowFirstColumn="0" w:firstRowLastColumn="0" w:lastRowFirstColumn="0" w:lastRowLastColumn="0"/>
              <w:rPr>
                <w:szCs w:val="22"/>
              </w:rPr>
            </w:pPr>
            <w:r w:rsidRPr="00D43BC9">
              <w:rPr>
                <w:szCs w:val="22"/>
              </w:rPr>
              <w:t>202</w:t>
            </w:r>
            <w:r w:rsidR="00E71E4B">
              <w:rPr>
                <w:szCs w:val="22"/>
              </w:rPr>
              <w:t>5</w:t>
            </w:r>
          </w:p>
        </w:tc>
        <w:tc>
          <w:tcPr>
            <w:tcW w:w="882" w:type="pct"/>
          </w:tcPr>
          <w:p w14:paraId="63A3A9D3" w14:textId="7A5AD72C" w:rsidR="00324B33" w:rsidRPr="00D01DDB" w:rsidRDefault="00EA3EB7"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Approved on 15 December 202</w:t>
            </w:r>
            <w:r w:rsidR="00E71E4B">
              <w:rPr>
                <w:szCs w:val="22"/>
              </w:rPr>
              <w:t>5</w:t>
            </w:r>
          </w:p>
        </w:tc>
        <w:tc>
          <w:tcPr>
            <w:tcW w:w="2575" w:type="pct"/>
          </w:tcPr>
          <w:p w14:paraId="036E8272" w14:textId="77777777" w:rsidR="000E6372" w:rsidRPr="000E6372" w:rsidRDefault="000E6372" w:rsidP="000E6372">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0E6372">
              <w:rPr>
                <w:b/>
                <w:bCs/>
                <w:i/>
                <w:iCs/>
                <w:szCs w:val="22"/>
              </w:rPr>
              <w:t>Asthma</w:t>
            </w:r>
          </w:p>
          <w:p w14:paraId="0C8D3490" w14:textId="663BCBB4" w:rsidR="000E6372" w:rsidRPr="000E6372" w:rsidRDefault="00C826F1" w:rsidP="000E6372">
            <w:pPr>
              <w:ind w:left="0"/>
              <w:cnfStyle w:val="000000000000" w:firstRow="0" w:lastRow="0" w:firstColumn="0" w:lastColumn="0" w:oddVBand="0" w:evenVBand="0" w:oddHBand="0" w:evenHBand="0" w:firstRowFirstColumn="0" w:firstRowLastColumn="0" w:lastRowFirstColumn="0" w:lastRowLastColumn="0"/>
              <w:rPr>
                <w:i/>
                <w:iCs/>
                <w:szCs w:val="22"/>
              </w:rPr>
            </w:pPr>
            <w:r>
              <w:rPr>
                <w:i/>
                <w:iCs/>
                <w:szCs w:val="22"/>
              </w:rPr>
              <w:t>Exdensur</w:t>
            </w:r>
            <w:r w:rsidR="000E6372" w:rsidRPr="000E6372">
              <w:rPr>
                <w:i/>
                <w:iCs/>
                <w:szCs w:val="22"/>
              </w:rPr>
              <w:t xml:space="preserve"> is indicated as an add-on </w:t>
            </w:r>
            <w:r w:rsidR="00634856">
              <w:rPr>
                <w:i/>
                <w:iCs/>
                <w:szCs w:val="22"/>
              </w:rPr>
              <w:t>m</w:t>
            </w:r>
            <w:r w:rsidR="000E6372" w:rsidRPr="000E6372">
              <w:rPr>
                <w:i/>
                <w:iCs/>
                <w:szCs w:val="22"/>
              </w:rPr>
              <w:t xml:space="preserve">aintenance treatment </w:t>
            </w:r>
            <w:r w:rsidR="00594467">
              <w:rPr>
                <w:i/>
                <w:iCs/>
                <w:szCs w:val="22"/>
              </w:rPr>
              <w:t xml:space="preserve">of </w:t>
            </w:r>
            <w:r w:rsidR="000E6372" w:rsidRPr="000E6372">
              <w:rPr>
                <w:i/>
                <w:iCs/>
                <w:szCs w:val="22"/>
              </w:rPr>
              <w:t xml:space="preserve">asthma in adult and adolescent </w:t>
            </w:r>
            <w:r w:rsidR="00464727">
              <w:rPr>
                <w:i/>
                <w:iCs/>
                <w:szCs w:val="22"/>
              </w:rPr>
              <w:t>patients aged</w:t>
            </w:r>
            <w:r w:rsidR="000E6372" w:rsidRPr="000E6372">
              <w:rPr>
                <w:i/>
                <w:iCs/>
                <w:szCs w:val="22"/>
              </w:rPr>
              <w:t xml:space="preserve"> 12</w:t>
            </w:r>
            <w:r w:rsidR="00634856">
              <w:rPr>
                <w:i/>
                <w:iCs/>
                <w:szCs w:val="22"/>
              </w:rPr>
              <w:t xml:space="preserve"> </w:t>
            </w:r>
            <w:r w:rsidR="000E6372" w:rsidRPr="000E6372">
              <w:rPr>
                <w:i/>
                <w:iCs/>
                <w:szCs w:val="22"/>
              </w:rPr>
              <w:t xml:space="preserve">years and older </w:t>
            </w:r>
            <w:r w:rsidR="00464727" w:rsidRPr="000E6372">
              <w:rPr>
                <w:i/>
                <w:iCs/>
                <w:szCs w:val="22"/>
              </w:rPr>
              <w:t>with type</w:t>
            </w:r>
            <w:r w:rsidR="00464727">
              <w:rPr>
                <w:i/>
                <w:iCs/>
                <w:szCs w:val="22"/>
              </w:rPr>
              <w:t xml:space="preserve"> </w:t>
            </w:r>
            <w:r w:rsidR="00464727" w:rsidRPr="000E6372">
              <w:rPr>
                <w:i/>
                <w:iCs/>
                <w:szCs w:val="22"/>
              </w:rPr>
              <w:t xml:space="preserve">2 inflammation characterised by </w:t>
            </w:r>
            <w:r w:rsidR="0042371A">
              <w:rPr>
                <w:i/>
                <w:iCs/>
                <w:szCs w:val="22"/>
              </w:rPr>
              <w:t>an</w:t>
            </w:r>
            <w:r w:rsidR="00464727" w:rsidRPr="000E6372">
              <w:rPr>
                <w:i/>
                <w:iCs/>
                <w:szCs w:val="22"/>
              </w:rPr>
              <w:t xml:space="preserve"> eosinophil</w:t>
            </w:r>
            <w:r w:rsidR="0042371A">
              <w:rPr>
                <w:i/>
                <w:iCs/>
                <w:szCs w:val="22"/>
              </w:rPr>
              <w:t>ic phenotype</w:t>
            </w:r>
            <w:r w:rsidR="00464727" w:rsidRPr="000E6372">
              <w:rPr>
                <w:i/>
                <w:iCs/>
                <w:szCs w:val="22"/>
              </w:rPr>
              <w:t xml:space="preserve"> </w:t>
            </w:r>
            <w:r w:rsidR="000E6372" w:rsidRPr="000E6372">
              <w:rPr>
                <w:i/>
                <w:iCs/>
                <w:szCs w:val="22"/>
              </w:rPr>
              <w:t>who are inadequately controlled</w:t>
            </w:r>
            <w:r w:rsidR="0042371A">
              <w:rPr>
                <w:i/>
                <w:iCs/>
                <w:szCs w:val="22"/>
              </w:rPr>
              <w:t xml:space="preserve"> on</w:t>
            </w:r>
            <w:r w:rsidR="006E2715">
              <w:rPr>
                <w:i/>
                <w:iCs/>
                <w:szCs w:val="22"/>
              </w:rPr>
              <w:t xml:space="preserve"> maximum moderate-dose or </w:t>
            </w:r>
            <w:r w:rsidR="000E6372" w:rsidRPr="000E6372">
              <w:rPr>
                <w:i/>
                <w:iCs/>
                <w:szCs w:val="22"/>
              </w:rPr>
              <w:t>high</w:t>
            </w:r>
            <w:r w:rsidR="00417B2B">
              <w:rPr>
                <w:i/>
                <w:iCs/>
                <w:szCs w:val="22"/>
              </w:rPr>
              <w:t>-</w:t>
            </w:r>
            <w:r w:rsidR="000E6372" w:rsidRPr="000E6372">
              <w:rPr>
                <w:i/>
                <w:iCs/>
                <w:szCs w:val="22"/>
              </w:rPr>
              <w:t>dose inhaled corticosteroids</w:t>
            </w:r>
            <w:r w:rsidR="00634856">
              <w:rPr>
                <w:i/>
                <w:iCs/>
                <w:szCs w:val="22"/>
              </w:rPr>
              <w:t xml:space="preserve"> </w:t>
            </w:r>
            <w:r w:rsidR="000E6372" w:rsidRPr="000E6372">
              <w:rPr>
                <w:i/>
                <w:iCs/>
                <w:szCs w:val="22"/>
              </w:rPr>
              <w:t>(ICS) plus another asthma controller.</w:t>
            </w:r>
          </w:p>
          <w:p w14:paraId="202639BA" w14:textId="77777777" w:rsidR="000E6372" w:rsidRPr="00634856" w:rsidRDefault="000E6372" w:rsidP="000E6372">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634856">
              <w:rPr>
                <w:b/>
                <w:bCs/>
                <w:i/>
                <w:iCs/>
                <w:szCs w:val="22"/>
              </w:rPr>
              <w:t>Chronic rhinosinusitis with nasal polyps (CRSwNP)</w:t>
            </w:r>
          </w:p>
          <w:p w14:paraId="17C650B8" w14:textId="1F02B393" w:rsidR="00324B33" w:rsidRPr="00D01DDB" w:rsidRDefault="00C826F1" w:rsidP="00634856">
            <w:pPr>
              <w:ind w:left="0"/>
              <w:cnfStyle w:val="000000000000" w:firstRow="0" w:lastRow="0" w:firstColumn="0" w:lastColumn="0" w:oddVBand="0" w:evenVBand="0" w:oddHBand="0" w:evenHBand="0" w:firstRowFirstColumn="0" w:firstRowLastColumn="0" w:lastRowFirstColumn="0" w:lastRowLastColumn="0"/>
              <w:rPr>
                <w:szCs w:val="22"/>
              </w:rPr>
            </w:pPr>
            <w:r>
              <w:rPr>
                <w:i/>
                <w:iCs/>
                <w:szCs w:val="22"/>
              </w:rPr>
              <w:t>Exdensur</w:t>
            </w:r>
            <w:r w:rsidR="000E6372" w:rsidRPr="000E6372">
              <w:rPr>
                <w:i/>
                <w:iCs/>
                <w:szCs w:val="22"/>
              </w:rPr>
              <w:t xml:space="preserve"> is indicated as an add-on therapy with intranasal corticosteroids for the</w:t>
            </w:r>
            <w:r w:rsidR="00634856">
              <w:rPr>
                <w:i/>
                <w:iCs/>
                <w:szCs w:val="22"/>
              </w:rPr>
              <w:t xml:space="preserve"> </w:t>
            </w:r>
            <w:r w:rsidR="000E6372" w:rsidRPr="000E6372">
              <w:rPr>
                <w:i/>
                <w:iCs/>
                <w:szCs w:val="22"/>
              </w:rPr>
              <w:t>treatment of adult patients with severe CRSwNP for whom therapy with systemic</w:t>
            </w:r>
            <w:r w:rsidR="00634856">
              <w:rPr>
                <w:i/>
                <w:iCs/>
                <w:szCs w:val="22"/>
              </w:rPr>
              <w:t xml:space="preserve"> </w:t>
            </w:r>
            <w:r w:rsidR="000E6372" w:rsidRPr="000E6372">
              <w:rPr>
                <w:i/>
                <w:iCs/>
                <w:szCs w:val="22"/>
              </w:rPr>
              <w:t>corticosteroids and/or surgery do not provide adequate control.</w:t>
            </w:r>
          </w:p>
        </w:tc>
      </w:tr>
      <w:tr w:rsidR="00267FA4" w:rsidRPr="00D01DDB" w14:paraId="1F50BFF6" w14:textId="77777777" w:rsidTr="00AB101A">
        <w:tc>
          <w:tcPr>
            <w:cnfStyle w:val="001000000000" w:firstRow="0" w:lastRow="0" w:firstColumn="1" w:lastColumn="0" w:oddVBand="0" w:evenVBand="0" w:oddHBand="0" w:evenHBand="0" w:firstRowFirstColumn="0" w:firstRowLastColumn="0" w:lastRowFirstColumn="0" w:lastRowLastColumn="0"/>
            <w:tcW w:w="690" w:type="pct"/>
          </w:tcPr>
          <w:p w14:paraId="194BC421" w14:textId="1A4C6EBE" w:rsidR="00267FA4" w:rsidRPr="00D01DDB" w:rsidRDefault="00634856" w:rsidP="00A339DC">
            <w:pPr>
              <w:ind w:left="0"/>
              <w:rPr>
                <w:szCs w:val="22"/>
              </w:rPr>
            </w:pPr>
            <w:r>
              <w:rPr>
                <w:szCs w:val="22"/>
              </w:rPr>
              <w:t>U</w:t>
            </w:r>
            <w:r w:rsidR="004855BC">
              <w:rPr>
                <w:szCs w:val="22"/>
              </w:rPr>
              <w:t>nited States of America</w:t>
            </w:r>
          </w:p>
        </w:tc>
        <w:tc>
          <w:tcPr>
            <w:tcW w:w="853" w:type="pct"/>
          </w:tcPr>
          <w:p w14:paraId="0AAFF005" w14:textId="0C06C442" w:rsidR="00267FA4" w:rsidRPr="00D01DDB" w:rsidRDefault="00AB101A"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16 </w:t>
            </w:r>
            <w:r w:rsidR="002D66C8" w:rsidRPr="002D66C8">
              <w:rPr>
                <w:szCs w:val="22"/>
              </w:rPr>
              <w:t>December 2024</w:t>
            </w:r>
          </w:p>
        </w:tc>
        <w:tc>
          <w:tcPr>
            <w:tcW w:w="882" w:type="pct"/>
          </w:tcPr>
          <w:p w14:paraId="1A97B4FA" w14:textId="6A18BC62" w:rsidR="00267FA4" w:rsidRPr="00D01DDB" w:rsidRDefault="007D1067"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Approved on </w:t>
            </w:r>
            <w:r w:rsidR="00AB101A">
              <w:rPr>
                <w:szCs w:val="22"/>
              </w:rPr>
              <w:t xml:space="preserve">16 </w:t>
            </w:r>
            <w:r w:rsidR="00E16443" w:rsidRPr="00E16443">
              <w:rPr>
                <w:szCs w:val="22"/>
              </w:rPr>
              <w:t>December 2025</w:t>
            </w:r>
          </w:p>
        </w:tc>
        <w:tc>
          <w:tcPr>
            <w:tcW w:w="2575" w:type="pct"/>
          </w:tcPr>
          <w:p w14:paraId="4906A766" w14:textId="3D3DB8C9" w:rsidR="00267FA4" w:rsidRPr="00D01DDB" w:rsidRDefault="00C826F1" w:rsidP="002662C9">
            <w:pPr>
              <w:ind w:left="0"/>
              <w:cnfStyle w:val="000000000000" w:firstRow="0" w:lastRow="0" w:firstColumn="0" w:lastColumn="0" w:oddVBand="0" w:evenVBand="0" w:oddHBand="0" w:evenHBand="0" w:firstRowFirstColumn="0" w:firstRowLastColumn="0" w:lastRowFirstColumn="0" w:lastRowLastColumn="0"/>
              <w:rPr>
                <w:szCs w:val="22"/>
              </w:rPr>
            </w:pPr>
            <w:r>
              <w:rPr>
                <w:i/>
                <w:iCs/>
                <w:szCs w:val="22"/>
              </w:rPr>
              <w:t>Exdensur</w:t>
            </w:r>
            <w:r w:rsidR="002662C9" w:rsidRPr="002662C9">
              <w:rPr>
                <w:i/>
                <w:iCs/>
                <w:szCs w:val="22"/>
              </w:rPr>
              <w:t xml:space="preserve"> is indicated for </w:t>
            </w:r>
            <w:r w:rsidR="00C9739C">
              <w:rPr>
                <w:i/>
                <w:iCs/>
                <w:szCs w:val="22"/>
              </w:rPr>
              <w:t xml:space="preserve">the </w:t>
            </w:r>
            <w:r w:rsidR="002662C9">
              <w:rPr>
                <w:i/>
                <w:iCs/>
                <w:szCs w:val="22"/>
              </w:rPr>
              <w:t>a</w:t>
            </w:r>
            <w:r w:rsidR="002662C9" w:rsidRPr="002662C9">
              <w:rPr>
                <w:i/>
                <w:iCs/>
                <w:szCs w:val="22"/>
              </w:rPr>
              <w:t>dd-on maintenance treatment of severe</w:t>
            </w:r>
            <w:r w:rsidR="002662C9">
              <w:rPr>
                <w:i/>
                <w:iCs/>
                <w:szCs w:val="22"/>
              </w:rPr>
              <w:t xml:space="preserve"> </w:t>
            </w:r>
            <w:r w:rsidR="002662C9" w:rsidRPr="002662C9">
              <w:rPr>
                <w:i/>
                <w:iCs/>
                <w:szCs w:val="22"/>
              </w:rPr>
              <w:t xml:space="preserve">asthma characterized by an eosinophilic phenotype in adult and </w:t>
            </w:r>
            <w:proofErr w:type="spellStart"/>
            <w:r w:rsidR="002662C9" w:rsidRPr="002662C9">
              <w:rPr>
                <w:i/>
                <w:iCs/>
                <w:szCs w:val="22"/>
              </w:rPr>
              <w:t>pediatric</w:t>
            </w:r>
            <w:proofErr w:type="spellEnd"/>
            <w:r w:rsidR="002662C9" w:rsidRPr="002662C9">
              <w:rPr>
                <w:i/>
                <w:iCs/>
                <w:szCs w:val="22"/>
              </w:rPr>
              <w:t xml:space="preserve"> patients aged 12</w:t>
            </w:r>
            <w:r w:rsidR="002662C9">
              <w:rPr>
                <w:i/>
                <w:iCs/>
                <w:szCs w:val="22"/>
              </w:rPr>
              <w:t xml:space="preserve"> </w:t>
            </w:r>
            <w:r w:rsidR="002662C9" w:rsidRPr="002662C9">
              <w:rPr>
                <w:i/>
                <w:iCs/>
                <w:szCs w:val="22"/>
              </w:rPr>
              <w:t>years and older.</w:t>
            </w:r>
          </w:p>
        </w:tc>
      </w:tr>
      <w:tr w:rsidR="007F56AB" w:rsidRPr="00D01DDB" w14:paraId="78CA6827" w14:textId="77777777" w:rsidTr="00AB101A">
        <w:tc>
          <w:tcPr>
            <w:cnfStyle w:val="001000000000" w:firstRow="0" w:lastRow="0" w:firstColumn="1" w:lastColumn="0" w:oddVBand="0" w:evenVBand="0" w:oddHBand="0" w:evenHBand="0" w:firstRowFirstColumn="0" w:firstRowLastColumn="0" w:lastRowFirstColumn="0" w:lastRowLastColumn="0"/>
            <w:tcW w:w="690" w:type="pct"/>
          </w:tcPr>
          <w:p w14:paraId="2F110240" w14:textId="726794A0" w:rsidR="007F56AB" w:rsidRDefault="00A6472E" w:rsidP="00A339DC">
            <w:pPr>
              <w:rPr>
                <w:szCs w:val="22"/>
              </w:rPr>
            </w:pPr>
            <w:r>
              <w:rPr>
                <w:szCs w:val="22"/>
              </w:rPr>
              <w:lastRenderedPageBreak/>
              <w:t>Canada</w:t>
            </w:r>
          </w:p>
        </w:tc>
        <w:tc>
          <w:tcPr>
            <w:tcW w:w="853" w:type="pct"/>
          </w:tcPr>
          <w:p w14:paraId="3A901848" w14:textId="387D7282" w:rsidR="007F56AB" w:rsidRDefault="0038401B"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26 February 2025</w:t>
            </w:r>
          </w:p>
        </w:tc>
        <w:tc>
          <w:tcPr>
            <w:tcW w:w="882" w:type="pct"/>
          </w:tcPr>
          <w:p w14:paraId="4500637D" w14:textId="6416DB4C" w:rsidR="007F56AB" w:rsidRDefault="0038401B"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Approved on 1</w:t>
            </w:r>
            <w:r w:rsidR="00C906D2">
              <w:rPr>
                <w:szCs w:val="22"/>
              </w:rPr>
              <w:t>5</w:t>
            </w:r>
            <w:r>
              <w:rPr>
                <w:szCs w:val="22"/>
              </w:rPr>
              <w:t xml:space="preserve"> June 2026</w:t>
            </w:r>
          </w:p>
        </w:tc>
        <w:tc>
          <w:tcPr>
            <w:tcW w:w="2575" w:type="pct"/>
          </w:tcPr>
          <w:p w14:paraId="3B958E02" w14:textId="77777777" w:rsidR="00A6472E" w:rsidRPr="00A6472E" w:rsidRDefault="00A6472E" w:rsidP="00A6472E">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A6472E">
              <w:rPr>
                <w:b/>
                <w:bCs/>
                <w:i/>
                <w:iCs/>
                <w:szCs w:val="22"/>
              </w:rPr>
              <w:t>Asthma</w:t>
            </w:r>
          </w:p>
          <w:p w14:paraId="0ABDC4C6" w14:textId="3D1BCA4B" w:rsidR="00A6472E" w:rsidRPr="00A6472E" w:rsidRDefault="00A6472E" w:rsidP="00A6472E">
            <w:pPr>
              <w:ind w:left="0"/>
              <w:cnfStyle w:val="000000000000" w:firstRow="0" w:lastRow="0" w:firstColumn="0" w:lastColumn="0" w:oddVBand="0" w:evenVBand="0" w:oddHBand="0" w:evenHBand="0" w:firstRowFirstColumn="0" w:firstRowLastColumn="0" w:lastRowFirstColumn="0" w:lastRowLastColumn="0"/>
              <w:rPr>
                <w:i/>
                <w:iCs/>
                <w:szCs w:val="22"/>
                <w:lang w:val="en-US"/>
              </w:rPr>
            </w:pPr>
            <w:r w:rsidRPr="00A6472E">
              <w:rPr>
                <w:i/>
                <w:iCs/>
                <w:szCs w:val="22"/>
                <w:lang w:val="en-US"/>
              </w:rPr>
              <w:t>Exdensur (depemokimab injection) is indicated as an add-on maintenance treatment in adults and adolescents 12 years and older with severe asthma characterized by an eosinophilic phenotype and inadequately controlled by medium- to high-dose inhaled corticosteroids (ICS) plus another asthma controller.</w:t>
            </w:r>
          </w:p>
          <w:p w14:paraId="32D09033" w14:textId="77777777" w:rsidR="00A6472E" w:rsidRPr="00A6472E" w:rsidRDefault="00A6472E" w:rsidP="00A6472E">
            <w:pPr>
              <w:ind w:left="0"/>
              <w:cnfStyle w:val="000000000000" w:firstRow="0" w:lastRow="0" w:firstColumn="0" w:lastColumn="0" w:oddVBand="0" w:evenVBand="0" w:oddHBand="0" w:evenHBand="0" w:firstRowFirstColumn="0" w:firstRowLastColumn="0" w:lastRowFirstColumn="0" w:lastRowLastColumn="0"/>
              <w:rPr>
                <w:b/>
                <w:bCs/>
                <w:i/>
                <w:iCs/>
                <w:szCs w:val="22"/>
              </w:rPr>
            </w:pPr>
            <w:r w:rsidRPr="00A6472E">
              <w:rPr>
                <w:b/>
                <w:bCs/>
                <w:i/>
                <w:iCs/>
                <w:szCs w:val="22"/>
              </w:rPr>
              <w:t>Chronic rhinosinusitis with nasal polyps (CRSwNP)</w:t>
            </w:r>
          </w:p>
          <w:p w14:paraId="2D32A324" w14:textId="3FF93DF7" w:rsidR="00A6472E" w:rsidRPr="00A6472E" w:rsidRDefault="00A6472E" w:rsidP="00A6472E">
            <w:pPr>
              <w:ind w:left="0"/>
              <w:cnfStyle w:val="000000000000" w:firstRow="0" w:lastRow="0" w:firstColumn="0" w:lastColumn="0" w:oddVBand="0" w:evenVBand="0" w:oddHBand="0" w:evenHBand="0" w:firstRowFirstColumn="0" w:firstRowLastColumn="0" w:lastRowFirstColumn="0" w:lastRowLastColumn="0"/>
              <w:rPr>
                <w:i/>
                <w:iCs/>
                <w:szCs w:val="22"/>
                <w:lang w:val="en-US"/>
              </w:rPr>
            </w:pPr>
            <w:r w:rsidRPr="00A6472E">
              <w:rPr>
                <w:i/>
                <w:iCs/>
                <w:szCs w:val="22"/>
                <w:lang w:val="en-US"/>
              </w:rPr>
              <w:t>Exdensur is indicated as an add-on maintenance treatment with intranasal corticosteroids in adults with severe chronic rhinosinusitis with nasal polyps (CRSwNP) inadequately controlled by systemic corticosteroids and/or surgery</w:t>
            </w:r>
            <w:r>
              <w:rPr>
                <w:i/>
                <w:iCs/>
                <w:szCs w:val="22"/>
                <w:lang w:val="en-US"/>
              </w:rPr>
              <w:t>.</w:t>
            </w:r>
          </w:p>
          <w:p w14:paraId="3AF58A60" w14:textId="77777777" w:rsidR="007F56AB" w:rsidRDefault="007F56AB" w:rsidP="002662C9">
            <w:pPr>
              <w:cnfStyle w:val="000000000000" w:firstRow="0" w:lastRow="0" w:firstColumn="0" w:lastColumn="0" w:oddVBand="0" w:evenVBand="0" w:oddHBand="0" w:evenHBand="0" w:firstRowFirstColumn="0" w:firstRowLastColumn="0" w:lastRowFirstColumn="0" w:lastRowLastColumn="0"/>
              <w:rPr>
                <w:i/>
                <w:iCs/>
                <w:szCs w:val="22"/>
              </w:rPr>
            </w:pPr>
          </w:p>
        </w:tc>
      </w:tr>
    </w:tbl>
    <w:p w14:paraId="6D92589C" w14:textId="013BA25A" w:rsidR="00324B33" w:rsidRDefault="00324B33" w:rsidP="00324B33">
      <w:pPr>
        <w:pStyle w:val="Heading2"/>
      </w:pPr>
      <w:bookmarkStart w:id="32" w:name="_Toc504480011"/>
      <w:bookmarkStart w:id="33" w:name="_Toc103679293"/>
      <w:bookmarkStart w:id="34" w:name="_Toc241481373"/>
      <w:r>
        <w:t>Registration timeline</w:t>
      </w:r>
      <w:bookmarkEnd w:id="32"/>
      <w:bookmarkEnd w:id="33"/>
      <w:bookmarkEnd w:id="34"/>
      <w:r w:rsidR="008A6BD8">
        <w:fldChar w:fldCharType="begin"/>
      </w:r>
      <w:r w:rsidR="008A6BD8">
        <w:instrText xml:space="preserve"> DOCVARIABLE vault_nd_06859777-4876-4212-a20e-6dba70c30c2d \* MERGEFORMAT </w:instrText>
      </w:r>
      <w:r w:rsidR="008A6BD8">
        <w:fldChar w:fldCharType="separate"/>
      </w:r>
      <w:r w:rsidR="008A6BD8">
        <w:t xml:space="preserve"> </w:t>
      </w:r>
      <w:r w:rsidR="008A6BD8">
        <w:fldChar w:fldCharType="end"/>
      </w:r>
    </w:p>
    <w:p w14:paraId="225E3D87" w14:textId="205B7CA6" w:rsidR="00324B33" w:rsidRPr="00BD5DBD" w:rsidRDefault="00324B33" w:rsidP="00324B33">
      <w:pPr>
        <w:rPr>
          <w:szCs w:val="22"/>
        </w:rPr>
      </w:pPr>
      <w:r w:rsidRPr="00BD5DBD">
        <w:rPr>
          <w:szCs w:val="22"/>
        </w:rPr>
        <w:t>The following table captures the key steps and dates for this submission.</w:t>
      </w:r>
      <w:r w:rsidR="005135C6">
        <w:rPr>
          <w:szCs w:val="22"/>
        </w:rPr>
        <w:t xml:space="preserve"> </w:t>
      </w:r>
    </w:p>
    <w:p w14:paraId="6BB76942" w14:textId="49C62989" w:rsidR="00477C4E" w:rsidRPr="00BD5DBD" w:rsidRDefault="00477C4E" w:rsidP="00324B33">
      <w:pPr>
        <w:rPr>
          <w:szCs w:val="22"/>
        </w:rPr>
      </w:pPr>
      <w:r w:rsidRPr="00BD5DBD">
        <w:rPr>
          <w:szCs w:val="22"/>
        </w:rPr>
        <w:t xml:space="preserve">This submission was evaluated under the </w:t>
      </w:r>
      <w:hyperlink r:id="rId23" w:history="1">
        <w:r w:rsidRPr="00BD5DBD">
          <w:rPr>
            <w:rStyle w:val="Hyperlink"/>
            <w:szCs w:val="22"/>
          </w:rPr>
          <w:t>standard prescription medicines registration process</w:t>
        </w:r>
      </w:hyperlink>
      <w:r w:rsidRPr="00BD5DBD">
        <w:rPr>
          <w:szCs w:val="22"/>
        </w:rPr>
        <w:t>.</w:t>
      </w:r>
    </w:p>
    <w:p w14:paraId="44628C5F" w14:textId="5AF7029C" w:rsidR="00324B33" w:rsidRDefault="00324B33" w:rsidP="002C1232">
      <w:pPr>
        <w:pStyle w:val="TableTitle"/>
      </w:pPr>
      <w:r w:rsidRPr="002C1232">
        <w:t xml:space="preserve">Table </w:t>
      </w:r>
      <w:fldSimple w:instr=" SEQ Table \* ARABIC ">
        <w:r w:rsidR="008B1CB5" w:rsidRPr="002C1232">
          <w:t>2</w:t>
        </w:r>
      </w:fldSimple>
      <w:r w:rsidRPr="002C1232">
        <w:t>: Timeline for Submission PM-202</w:t>
      </w:r>
      <w:r w:rsidR="007B1F58">
        <w:t>5-</w:t>
      </w:r>
      <w:r w:rsidR="00267FA4">
        <w:t>015</w:t>
      </w:r>
      <w:r w:rsidR="00C70F2E">
        <w:t>5</w:t>
      </w:r>
      <w:r w:rsidR="00267FA4">
        <w:t>8</w:t>
      </w:r>
      <w:r w:rsidRPr="002C1232">
        <w:t>-1-</w:t>
      </w:r>
      <w:r w:rsidR="00267FA4">
        <w:t>5</w:t>
      </w:r>
      <w:fldSimple w:instr="DOCVARIABLE vault_nd_c9b675e4-bc80-4fe4-a26d-8a3a6daeb26b \* MERGEFORMAT">
        <w:r w:rsidR="008A6BD8">
          <w:t xml:space="preserve"> </w:t>
        </w:r>
      </w:fldSimple>
    </w:p>
    <w:tbl>
      <w:tblPr>
        <w:tblStyle w:val="TableTGAblue2023"/>
        <w:tblW w:w="9209" w:type="dxa"/>
        <w:tblLook w:val="04A0" w:firstRow="1" w:lastRow="0" w:firstColumn="1" w:lastColumn="0" w:noHBand="0" w:noVBand="1"/>
      </w:tblPr>
      <w:tblGrid>
        <w:gridCol w:w="7083"/>
        <w:gridCol w:w="2126"/>
      </w:tblGrid>
      <w:tr w:rsidR="00324B33" w:rsidRPr="00D01DDB" w14:paraId="6C59BE9C" w14:textId="77777777" w:rsidTr="00A16F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16D80E78" w14:textId="3EC0CCAF" w:rsidR="00324B33" w:rsidRPr="00D01DDB" w:rsidRDefault="00324B33" w:rsidP="00324B33">
            <w:pPr>
              <w:rPr>
                <w:szCs w:val="22"/>
              </w:rPr>
            </w:pPr>
            <w:r w:rsidRPr="00D01DDB">
              <w:rPr>
                <w:szCs w:val="22"/>
              </w:rPr>
              <w:t>Description</w:t>
            </w:r>
          </w:p>
        </w:tc>
        <w:tc>
          <w:tcPr>
            <w:tcW w:w="2126" w:type="dxa"/>
          </w:tcPr>
          <w:p w14:paraId="79AFDC4B" w14:textId="05792035"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Date</w:t>
            </w:r>
          </w:p>
        </w:tc>
      </w:tr>
      <w:tr w:rsidR="00324B33" w:rsidRPr="00D01DDB" w14:paraId="23610C53"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759D2A12" w14:textId="0D705F83" w:rsidR="00324B33" w:rsidRPr="00E679D1" w:rsidRDefault="00324B33" w:rsidP="00E679D1">
            <w:r w:rsidRPr="00E679D1">
              <w:t>Submission dossier accepted and first round evaluation commenced</w:t>
            </w:r>
          </w:p>
        </w:tc>
        <w:tc>
          <w:tcPr>
            <w:tcW w:w="2126" w:type="dxa"/>
          </w:tcPr>
          <w:p w14:paraId="2963D9D8" w14:textId="1E03F0E5" w:rsidR="00324B33" w:rsidRPr="00D01DDB" w:rsidRDefault="00FD549D"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3 June 202</w:t>
            </w:r>
            <w:r w:rsidR="00D656BF">
              <w:rPr>
                <w:szCs w:val="22"/>
              </w:rPr>
              <w:t>5</w:t>
            </w:r>
          </w:p>
        </w:tc>
      </w:tr>
      <w:tr w:rsidR="00803926" w:rsidRPr="00D01DDB" w14:paraId="16D13F79"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6858B45A" w14:textId="615A218B" w:rsidR="00803926" w:rsidRPr="00E679D1" w:rsidDel="00C62B1C" w:rsidRDefault="00803926" w:rsidP="00E679D1">
            <w:r>
              <w:t>Evaluation completed</w:t>
            </w:r>
            <w:r w:rsidR="005775D0">
              <w:t xml:space="preserve"> (End of round </w:t>
            </w:r>
            <w:r w:rsidR="00C00844">
              <w:t>2)</w:t>
            </w:r>
          </w:p>
        </w:tc>
        <w:tc>
          <w:tcPr>
            <w:tcW w:w="2126" w:type="dxa"/>
          </w:tcPr>
          <w:p w14:paraId="2E0BD403" w14:textId="7FA28787" w:rsidR="00803926" w:rsidRPr="00D01DDB" w:rsidRDefault="00C069D1"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23 March 2026</w:t>
            </w:r>
          </w:p>
        </w:tc>
      </w:tr>
      <w:tr w:rsidR="00324B33" w:rsidRPr="00D01DDB" w14:paraId="5754F7AC"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789DE187" w14:textId="438F4A68" w:rsidR="00324B33" w:rsidRPr="00E679D1" w:rsidRDefault="00324B33" w:rsidP="00E679D1">
            <w:r w:rsidRPr="00E679D1">
              <w:t xml:space="preserve">Advisory </w:t>
            </w:r>
            <w:r w:rsidR="00F8568E">
              <w:t>c</w:t>
            </w:r>
            <w:r w:rsidRPr="00E679D1">
              <w:t>ommittee meeting</w:t>
            </w:r>
          </w:p>
        </w:tc>
        <w:tc>
          <w:tcPr>
            <w:tcW w:w="2126" w:type="dxa"/>
          </w:tcPr>
          <w:p w14:paraId="5BE1EDE7" w14:textId="0EF4BD5C" w:rsidR="00324B33" w:rsidRPr="00D01DDB" w:rsidRDefault="003333D1"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5 June 2026</w:t>
            </w:r>
          </w:p>
        </w:tc>
      </w:tr>
      <w:tr w:rsidR="00324B33" w:rsidRPr="00D01DDB" w14:paraId="6E5D32FE"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4E95C44C" w14:textId="7A91C710" w:rsidR="00324B33" w:rsidRPr="00E679D1" w:rsidRDefault="00324B33" w:rsidP="00E679D1">
            <w:r w:rsidRPr="00E679D1">
              <w:t>Registration decision (Outcome)</w:t>
            </w:r>
          </w:p>
        </w:tc>
        <w:tc>
          <w:tcPr>
            <w:tcW w:w="2126" w:type="dxa"/>
          </w:tcPr>
          <w:p w14:paraId="62987ABD" w14:textId="3DDF6D03" w:rsidR="00324B33" w:rsidRPr="00D01DDB" w:rsidRDefault="00D656BF"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21 July 2026</w:t>
            </w:r>
          </w:p>
        </w:tc>
      </w:tr>
      <w:tr w:rsidR="00324B33" w:rsidRPr="00D01DDB" w14:paraId="6DDCDDA4"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192FD19D" w14:textId="3A0D1BCD" w:rsidR="00324B33" w:rsidRPr="00E679D1" w:rsidRDefault="0013132F" w:rsidP="007311B9">
            <w:pPr>
              <w:ind w:left="0"/>
            </w:pPr>
            <w:r w:rsidRPr="00E679D1">
              <w:t xml:space="preserve"> </w:t>
            </w:r>
            <w:r w:rsidR="00C00844">
              <w:t>R</w:t>
            </w:r>
            <w:r w:rsidRPr="00E679D1">
              <w:t xml:space="preserve">egistration </w:t>
            </w:r>
            <w:r w:rsidR="005C4B46" w:rsidRPr="00E679D1">
              <w:t xml:space="preserve">in </w:t>
            </w:r>
            <w:r w:rsidRPr="00E679D1">
              <w:t>the ARTG completed</w:t>
            </w:r>
          </w:p>
        </w:tc>
        <w:tc>
          <w:tcPr>
            <w:tcW w:w="2126" w:type="dxa"/>
          </w:tcPr>
          <w:p w14:paraId="5A8923FD" w14:textId="3F811429" w:rsidR="00324B33" w:rsidRPr="00D01DDB" w:rsidRDefault="00D656BF"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24 July 2026</w:t>
            </w:r>
          </w:p>
        </w:tc>
      </w:tr>
      <w:tr w:rsidR="00324B33" w:rsidRPr="00D01DDB" w14:paraId="56D922E2" w14:textId="77777777" w:rsidTr="00A16F18">
        <w:tc>
          <w:tcPr>
            <w:cnfStyle w:val="001000000000" w:firstRow="0" w:lastRow="0" w:firstColumn="1" w:lastColumn="0" w:oddVBand="0" w:evenVBand="0" w:oddHBand="0" w:evenHBand="0" w:firstRowFirstColumn="0" w:firstRowLastColumn="0" w:lastRowFirstColumn="0" w:lastRowLastColumn="0"/>
            <w:tcW w:w="7083" w:type="dxa"/>
          </w:tcPr>
          <w:p w14:paraId="787FD8DD" w14:textId="0E0CF97F" w:rsidR="00324B33" w:rsidRPr="00E679D1" w:rsidRDefault="00324B33" w:rsidP="00E679D1">
            <w:r w:rsidRPr="00E679D1">
              <w:t>Number of working days from submission dossier acceptance to registration decision*</w:t>
            </w:r>
          </w:p>
        </w:tc>
        <w:tc>
          <w:tcPr>
            <w:tcW w:w="2126" w:type="dxa"/>
          </w:tcPr>
          <w:p w14:paraId="5BAF9FA1" w14:textId="5634A720" w:rsidR="00324B33" w:rsidRPr="00D01DDB" w:rsidRDefault="00D656BF"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245 working days</w:t>
            </w:r>
          </w:p>
        </w:tc>
      </w:tr>
    </w:tbl>
    <w:p w14:paraId="7B02554C" w14:textId="77777777" w:rsidR="00433318" w:rsidRDefault="00433318" w:rsidP="00433318">
      <w:pPr>
        <w:pStyle w:val="TableDescription"/>
      </w:pPr>
      <w:r>
        <w:t>*</w:t>
      </w:r>
      <w:r w:rsidRPr="00BF3774">
        <w:t xml:space="preserve">Statutory </w:t>
      </w:r>
      <w:r>
        <w:t>timeframe for standard submissions is 255 working days</w:t>
      </w:r>
    </w:p>
    <w:p w14:paraId="220925F1" w14:textId="40ECC9BA" w:rsidR="00C22214" w:rsidRPr="00792A32" w:rsidRDefault="00083763" w:rsidP="00C22214">
      <w:pPr>
        <w:pStyle w:val="Heading2"/>
      </w:pPr>
      <w:bookmarkStart w:id="35" w:name="_Toc196046504"/>
      <w:bookmarkStart w:id="36" w:name="_Toc247691527"/>
      <w:bookmarkStart w:id="37" w:name="_Toc314842510"/>
      <w:bookmarkStart w:id="38" w:name="_Toc103679294"/>
      <w:bookmarkStart w:id="39" w:name="_Toc241481374"/>
      <w:r>
        <w:t xml:space="preserve">Assessment </w:t>
      </w:r>
      <w:r w:rsidR="00C22214" w:rsidRPr="00006FAB">
        <w:t>overview</w:t>
      </w:r>
      <w:bookmarkEnd w:id="35"/>
      <w:bookmarkEnd w:id="36"/>
      <w:bookmarkEnd w:id="37"/>
      <w:bookmarkEnd w:id="38"/>
      <w:bookmarkEnd w:id="39"/>
      <w:r w:rsidR="008A6BD8">
        <w:fldChar w:fldCharType="begin"/>
      </w:r>
      <w:r w:rsidR="008A6BD8">
        <w:instrText xml:space="preserve"> DOCVARIABLE vault_nd_56b4d558-5c93-44ac-8e8f-0567b6264e86 \* MERGEFORMAT </w:instrText>
      </w:r>
      <w:r w:rsidR="008A6BD8">
        <w:fldChar w:fldCharType="separate"/>
      </w:r>
      <w:r w:rsidR="008A6BD8">
        <w:t xml:space="preserve"> </w:t>
      </w:r>
      <w:r w:rsidR="008A6BD8">
        <w:fldChar w:fldCharType="end"/>
      </w:r>
    </w:p>
    <w:p w14:paraId="540151FC" w14:textId="77777777" w:rsidR="00C22214" w:rsidRPr="00BD5DBD" w:rsidRDefault="00C22214" w:rsidP="00BD5DBD">
      <w:pPr>
        <w:rPr>
          <w:szCs w:val="22"/>
        </w:rPr>
      </w:pPr>
      <w:bookmarkStart w:id="40" w:name="_Toc247691528"/>
      <w:bookmarkStart w:id="41" w:name="_Toc314842511"/>
      <w:r w:rsidRPr="00BD5DBD">
        <w:rPr>
          <w:szCs w:val="22"/>
        </w:rPr>
        <w:t>A summary of the TGA’s assessment for this submission is provided below.</w:t>
      </w:r>
    </w:p>
    <w:p w14:paraId="37F5A1C0" w14:textId="25DD20B1" w:rsidR="00C22214" w:rsidRDefault="00095C6A" w:rsidP="00C22214">
      <w:pPr>
        <w:pStyle w:val="Heading3"/>
      </w:pPr>
      <w:bookmarkStart w:id="42" w:name="_Toc103679295"/>
      <w:bookmarkStart w:id="43" w:name="_Toc241481375"/>
      <w:r>
        <w:lastRenderedPageBreak/>
        <w:t>Q</w:t>
      </w:r>
      <w:r w:rsidR="00C22214">
        <w:t>uality</w:t>
      </w:r>
      <w:bookmarkEnd w:id="40"/>
      <w:bookmarkEnd w:id="41"/>
      <w:bookmarkEnd w:id="42"/>
      <w:r w:rsidR="007E6443">
        <w:t xml:space="preserve"> evaluation</w:t>
      </w:r>
      <w:r>
        <w:t xml:space="preserve"> summary</w:t>
      </w:r>
      <w:bookmarkEnd w:id="43"/>
      <w:r w:rsidR="008A6BD8">
        <w:fldChar w:fldCharType="begin"/>
      </w:r>
      <w:r w:rsidR="008A6BD8">
        <w:instrText xml:space="preserve"> DOCVARIABLE vault_nd_c9b90351-6ad8-48f0-994b-02f576451250 \* MERGEFORMAT </w:instrText>
      </w:r>
      <w:r w:rsidR="008A6BD8">
        <w:fldChar w:fldCharType="separate"/>
      </w:r>
      <w:r w:rsidR="008A6BD8">
        <w:t xml:space="preserve"> </w:t>
      </w:r>
      <w:r w:rsidR="008A6BD8">
        <w:fldChar w:fldCharType="end"/>
      </w:r>
    </w:p>
    <w:p w14:paraId="2030E365" w14:textId="77777777" w:rsidR="002D3279" w:rsidRPr="002D3279" w:rsidRDefault="002D3279" w:rsidP="002D3279">
      <w:pPr>
        <w:rPr>
          <w:lang w:val="en-GB"/>
        </w:rPr>
      </w:pPr>
      <w:r w:rsidRPr="002D3279">
        <w:t xml:space="preserve">The active substance is made using recombinant technology. It is a </w:t>
      </w:r>
      <w:r w:rsidRPr="002D3279">
        <w:rPr>
          <w:lang w:val="en-GB"/>
        </w:rPr>
        <w:t xml:space="preserve">human IL-5 – specific </w:t>
      </w:r>
      <w:proofErr w:type="spellStart"/>
      <w:r w:rsidRPr="002D3279">
        <w:t>fucosylated</w:t>
      </w:r>
      <w:proofErr w:type="spellEnd"/>
      <w:r w:rsidRPr="002D3279">
        <w:rPr>
          <w:lang w:val="en-GB"/>
        </w:rPr>
        <w:t xml:space="preserve"> IgG1κ monoclonal antibody. The evaluator found the information about the manufacture, storage and control facilities sufficient to support the quality of the product.</w:t>
      </w:r>
    </w:p>
    <w:p w14:paraId="0E90611A" w14:textId="77777777" w:rsidR="002D3279" w:rsidRPr="002D3279" w:rsidRDefault="002D3279" w:rsidP="002D3279">
      <w:r w:rsidRPr="002D3279">
        <w:t>Excipients are well known pharmaceutical ingredients supported by appropriate standards.</w:t>
      </w:r>
    </w:p>
    <w:p w14:paraId="53E9D9E4" w14:textId="77777777" w:rsidR="002D3279" w:rsidRPr="002D3279" w:rsidRDefault="002D3279" w:rsidP="002D3279">
      <w:r w:rsidRPr="002D3279">
        <w:t>Secondary evaluators of sterility, adventitious agents, container and endotoxin safety considered the steps of manufacture and concluded adequate data were presented to give reassurance on removal/reduction to safe levels of contaminants.</w:t>
      </w:r>
    </w:p>
    <w:p w14:paraId="4D58E98D" w14:textId="47415646" w:rsidR="002D3279" w:rsidRPr="002D3279" w:rsidRDefault="002D3279" w:rsidP="002D3279">
      <w:r w:rsidRPr="002D3279">
        <w:t xml:space="preserve">The finished product is a solution for subcutaneous administration presented as a sterile liquid in </w:t>
      </w:r>
      <w:r w:rsidR="00DC5500">
        <w:t xml:space="preserve">a pre-filled syringe housed in </w:t>
      </w:r>
      <w:r w:rsidRPr="002D3279">
        <w:t xml:space="preserve">a safety syringe device </w:t>
      </w:r>
      <w:r w:rsidR="006236F8">
        <w:t xml:space="preserve">(SSD) </w:t>
      </w:r>
      <w:r w:rsidRPr="002D3279">
        <w:t xml:space="preserve">or autoinjector pen (AI). The syringe component has a clear glass barrel with a staked 29G stainless steel needle with a thermoplastic elastomer needle shield covered by a rigid needle shield. The PFS barrel is sealed on the flange end with a </w:t>
      </w:r>
      <w:proofErr w:type="spellStart"/>
      <w:r w:rsidRPr="002D3279">
        <w:t>fluroresin</w:t>
      </w:r>
      <w:proofErr w:type="spellEnd"/>
      <w:r w:rsidRPr="002D3279">
        <w:t xml:space="preserve"> coated </w:t>
      </w:r>
      <w:proofErr w:type="spellStart"/>
      <w:r w:rsidRPr="002D3279">
        <w:t>bromobutyl</w:t>
      </w:r>
      <w:proofErr w:type="spellEnd"/>
      <w:r w:rsidRPr="002D3279">
        <w:t xml:space="preserve"> rubber plunger stopper.</w:t>
      </w:r>
    </w:p>
    <w:p w14:paraId="15842A89" w14:textId="1FA6BCC4" w:rsidR="002D3279" w:rsidRPr="002D3279" w:rsidRDefault="002D3279" w:rsidP="002D3279">
      <w:r w:rsidRPr="002D3279">
        <w:t>The container suitability for the intended purpose was demonstrated by compatibility and stability studies.</w:t>
      </w:r>
      <w:r w:rsidR="00365EB6">
        <w:t xml:space="preserve"> </w:t>
      </w:r>
      <w:r w:rsidRPr="002D3279">
        <w:t>Sufficient stability data were provided to support a 36-month shelf life for the drug substance when stored at ≤-35°C and protected from light. The product is not photostable.</w:t>
      </w:r>
      <w:r w:rsidR="00365EB6">
        <w:t xml:space="preserve"> </w:t>
      </w:r>
      <w:r w:rsidRPr="002D3279">
        <w:t>Sufficient stability data were provided to support a 24-month shelf-life if stored at 2 - 8°C, protected from light. It can be stored at room temperature (up to 30°C)</w:t>
      </w:r>
      <w:r w:rsidR="00D01262">
        <w:t xml:space="preserve"> for</w:t>
      </w:r>
      <w:r w:rsidRPr="002D3279">
        <w:t xml:space="preserve"> 8 hours </w:t>
      </w:r>
      <w:r w:rsidR="00D01262">
        <w:t>with exposure to</w:t>
      </w:r>
      <w:r w:rsidRPr="002D3279">
        <w:t xml:space="preserve"> light.</w:t>
      </w:r>
      <w:r w:rsidR="00365EB6">
        <w:t xml:space="preserve"> </w:t>
      </w:r>
      <w:r w:rsidRPr="002D3279">
        <w:t xml:space="preserve">It can be kept at room temperature (up to 30°C) for 7 days </w:t>
      </w:r>
      <w:r w:rsidR="00506BA2">
        <w:t xml:space="preserve">in </w:t>
      </w:r>
      <w:r w:rsidR="004501E0">
        <w:t xml:space="preserve">the carton followed </w:t>
      </w:r>
      <w:proofErr w:type="spellStart"/>
      <w:r w:rsidR="004501E0">
        <w:t>by</w:t>
      </w:r>
      <w:r w:rsidRPr="002D3279">
        <w:t>for</w:t>
      </w:r>
      <w:proofErr w:type="spellEnd"/>
      <w:r w:rsidRPr="002D3279">
        <w:t xml:space="preserve"> 8 hours at 30°C </w:t>
      </w:r>
      <w:r w:rsidR="003372F0">
        <w:t>with exposure</w:t>
      </w:r>
      <w:r w:rsidRPr="002D3279">
        <w:t xml:space="preserve"> to light. Temperature excursions of 1°C to -5°C (≤ 72 hours) or 9°C to 30°C (≤ 72 hours) are permitted.</w:t>
      </w:r>
    </w:p>
    <w:p w14:paraId="2618CB02" w14:textId="318DA2E8" w:rsidR="002D3279" w:rsidRPr="002D3279" w:rsidRDefault="000B346B" w:rsidP="002D3279">
      <w:r w:rsidRPr="000B346B">
        <w:t>The quality evaluator did not have any objection to the registration of depemokimab</w:t>
      </w:r>
    </w:p>
    <w:p w14:paraId="2BE90AAE" w14:textId="03E82473" w:rsidR="00C22214" w:rsidRDefault="00C22214" w:rsidP="00C22214">
      <w:pPr>
        <w:pStyle w:val="Heading3"/>
      </w:pPr>
      <w:bookmarkStart w:id="44" w:name="_Toc314842512"/>
      <w:bookmarkStart w:id="45" w:name="_Toc103679296"/>
      <w:bookmarkStart w:id="46" w:name="_Toc241481376"/>
      <w:r>
        <w:t>Nonclinical</w:t>
      </w:r>
      <w:bookmarkEnd w:id="44"/>
      <w:bookmarkEnd w:id="45"/>
      <w:r w:rsidR="007E6443">
        <w:t xml:space="preserve"> evaluation</w:t>
      </w:r>
      <w:r w:rsidR="00095C6A">
        <w:t xml:space="preserve"> summary</w:t>
      </w:r>
      <w:bookmarkEnd w:id="46"/>
      <w:r w:rsidR="008A6BD8">
        <w:fldChar w:fldCharType="begin"/>
      </w:r>
      <w:r w:rsidR="008A6BD8">
        <w:instrText xml:space="preserve"> DOCVARIABLE vault_nd_b76f9c1f-9de4-4c58-9145-e81698330870 \* MERGEFORMAT </w:instrText>
      </w:r>
      <w:r w:rsidR="008A6BD8">
        <w:fldChar w:fldCharType="separate"/>
      </w:r>
      <w:r w:rsidR="008A6BD8">
        <w:t xml:space="preserve"> </w:t>
      </w:r>
      <w:r w:rsidR="008A6BD8">
        <w:fldChar w:fldCharType="end"/>
      </w:r>
    </w:p>
    <w:p w14:paraId="639D45C7" w14:textId="77777777" w:rsidR="00DD74A4" w:rsidRDefault="00DD74A4" w:rsidP="00DD74A4">
      <w:r>
        <w:t>While the nonclinical dossier was generally acceptable, the safety pharmacology endpoints for the respiratory system were considered inadequate. All pivotal safety-related studies were GLP compliant.</w:t>
      </w:r>
    </w:p>
    <w:p w14:paraId="20E1E0D9" w14:textId="3DDD5AA0" w:rsidR="00DD74A4" w:rsidRDefault="00DD74A4" w:rsidP="00DD74A4">
      <w:r w:rsidRPr="00B65F69">
        <w:t xml:space="preserve">The pharmacokinetics of depemokimab in monkeys and human subjects </w:t>
      </w:r>
      <w:r>
        <w:t>demonstrated very</w:t>
      </w:r>
      <w:r w:rsidRPr="00B65F69">
        <w:t xml:space="preserve"> long half-lives and limited distribution</w:t>
      </w:r>
      <w:r>
        <w:t>.</w:t>
      </w:r>
      <w:r w:rsidR="006E7643">
        <w:t xml:space="preserve"> </w:t>
      </w:r>
      <w:r>
        <w:t xml:space="preserve">Depemokimab did not bind non-primate IL-5. </w:t>
      </w:r>
      <w:r w:rsidRPr="00612291">
        <w:rPr>
          <w:i/>
          <w:iCs/>
        </w:rPr>
        <w:t>In vitro</w:t>
      </w:r>
      <w:r w:rsidRPr="00612291">
        <w:t xml:space="preserve">, depemokimab bound the human IL-5 and inhibited the IL-5 induced proliferation of the TF-1 cells with an IC50 of 4 </w:t>
      </w:r>
      <w:proofErr w:type="spellStart"/>
      <w:r w:rsidRPr="00612291">
        <w:t>pM</w:t>
      </w:r>
      <w:proofErr w:type="spellEnd"/>
      <w:r w:rsidRPr="00612291">
        <w:t xml:space="preserve">. </w:t>
      </w:r>
      <w:r w:rsidRPr="00612291">
        <w:rPr>
          <w:i/>
          <w:iCs/>
        </w:rPr>
        <w:t>In vivo</w:t>
      </w:r>
      <w:r w:rsidRPr="00612291">
        <w:t xml:space="preserve">, maximum level of total IL-5 in depemokimab-treated monkeys was higher and declined later than in mepolizumab-treated monkeys at same dose, suggesting increased binding potency and a longer half-life for depemokimab. </w:t>
      </w:r>
    </w:p>
    <w:p w14:paraId="403456EC" w14:textId="4E64E4CD" w:rsidR="00044440" w:rsidRPr="00044440" w:rsidRDefault="00DD74A4" w:rsidP="00044440">
      <w:pPr>
        <w:rPr>
          <w:lang w:val="en-GB"/>
        </w:rPr>
      </w:pPr>
      <w:r>
        <w:t>Depemokimab reduced the eosinophil count when dosed ≥10</w:t>
      </w:r>
      <w:r w:rsidR="00294D84">
        <w:t xml:space="preserve"> </w:t>
      </w:r>
      <w:r>
        <w:t xml:space="preserve">mg/kg Q14W: ER AUC ≥9. </w:t>
      </w:r>
    </w:p>
    <w:p w14:paraId="66550BF0" w14:textId="77777777" w:rsidR="00DD74A4" w:rsidRDefault="00DD74A4" w:rsidP="00DD74A4">
      <w:r>
        <w:t>The evaluator noted the similarities with the mepolizumab toxicity profile.</w:t>
      </w:r>
    </w:p>
    <w:p w14:paraId="11CB6D2F" w14:textId="487C74E8" w:rsidR="00DD74A4" w:rsidRDefault="00DD74A4" w:rsidP="00DD74A4">
      <w:r w:rsidRPr="00DD00EE">
        <w:t xml:space="preserve">Depemokimab had a low order of acute SC toxicity in monkeys. Adverse vascular inflammation in many organs with the presence of granular deposits containing </w:t>
      </w:r>
      <w:r w:rsidRPr="007D749D">
        <w:t>monkey IgG, IgM and/or C3</w:t>
      </w:r>
      <w:r w:rsidRPr="00DD00EE">
        <w:t xml:space="preserve"> was observed in two treated animals. An indirect relationship to treatment with depemokimab through exacerbation of spontaneous immune complex disease cannot be excluded. </w:t>
      </w:r>
      <w:r w:rsidR="00980D98">
        <w:t>This observation was made on the single dose 4</w:t>
      </w:r>
      <w:r w:rsidR="00540CE3">
        <w:t>-</w:t>
      </w:r>
      <w:r w:rsidR="00980D98">
        <w:t>week study and not reproduced on the repeat 6</w:t>
      </w:r>
      <w:r w:rsidR="00540CE3">
        <w:t>-</w:t>
      </w:r>
      <w:r w:rsidR="00980D98">
        <w:t>month study.</w:t>
      </w:r>
    </w:p>
    <w:p w14:paraId="44285C7F" w14:textId="2FA4341F" w:rsidR="00DD74A4" w:rsidRDefault="00DD74A4" w:rsidP="00DD74A4">
      <w:r>
        <w:t xml:space="preserve">An adequately conducted repeat dose toxicity of SC depemokimab </w:t>
      </w:r>
      <w:r w:rsidRPr="0000157B">
        <w:t>in monkeys (6 months) achieving high relative exposure</w:t>
      </w:r>
      <w:r>
        <w:t xml:space="preserve"> did not identify any target organ toxicity apart from </w:t>
      </w:r>
      <w:r w:rsidRPr="0000157B">
        <w:t xml:space="preserve">decreases in circulating eosinophils. </w:t>
      </w:r>
    </w:p>
    <w:p w14:paraId="5B71455C" w14:textId="37B1BB3E" w:rsidR="00DD74A4" w:rsidRDefault="00DD74A4" w:rsidP="00DD74A4">
      <w:r>
        <w:lastRenderedPageBreak/>
        <w:t xml:space="preserve">Carcinogenicity and genotoxicity studies were not </w:t>
      </w:r>
      <w:r w:rsidR="002524C9">
        <w:t>conducted;</w:t>
      </w:r>
      <w:r>
        <w:t xml:space="preserve"> however</w:t>
      </w:r>
      <w:r w:rsidR="002524C9">
        <w:t>,</w:t>
      </w:r>
      <w:r>
        <w:t xml:space="preserve"> this was acceptable in accordance with ICH S6(R1) given the absence of concerning features such as proliferative lesions in the general repeat-dose toxicity studies and the physiological role of the target. </w:t>
      </w:r>
    </w:p>
    <w:p w14:paraId="237EB05E" w14:textId="000520A9" w:rsidR="00DD74A4" w:rsidRDefault="00DD74A4" w:rsidP="00DD74A4">
      <w:r>
        <w:t>No reproductive and developmental toxicity studies were conducted.</w:t>
      </w:r>
      <w:r w:rsidR="00353034" w:rsidRPr="00353034">
        <w:t xml:space="preserve"> </w:t>
      </w:r>
      <w:r w:rsidR="00353034" w:rsidRPr="00873B15">
        <w:t>Male and female fertility were unaffected based upon no adverse histopathological findings in the reproductive organs from cynomolgus monkeys receiving SC dosages up to 100 mg/kg depemokimab for 6 months</w:t>
      </w:r>
      <w:r w:rsidR="00873B15">
        <w:t>.</w:t>
      </w:r>
      <w:r>
        <w:t xml:space="preserve"> In silico modelling was used to compare </w:t>
      </w:r>
      <w:r w:rsidR="00C37263">
        <w:t>foetal</w:t>
      </w:r>
      <w:r>
        <w:t xml:space="preserve"> exposures of depemokimab to exposures in the mepolizumab pre-and post-natal development study. The evaluator recommended a pregnancy category B2. </w:t>
      </w:r>
    </w:p>
    <w:p w14:paraId="4E40C6BC" w14:textId="77777777" w:rsidR="00DD74A4" w:rsidRPr="0055779B" w:rsidRDefault="00DD74A4" w:rsidP="00DD74A4">
      <w:r w:rsidRPr="0030636F">
        <w:t xml:space="preserve">Anti-drug antibodies were detected in some monkeys in the repeat-dose toxicity study and were typically associated with reduced systemic exposure. </w:t>
      </w:r>
    </w:p>
    <w:p w14:paraId="3372B15E" w14:textId="77777777" w:rsidR="00252AA2" w:rsidRPr="00252AA2" w:rsidRDefault="00252AA2" w:rsidP="00252AA2">
      <w:r w:rsidRPr="00252AA2">
        <w:t>The nonclinical evaluator had no objections to the approval of depemokimab from a nonclinical perspective.</w:t>
      </w:r>
    </w:p>
    <w:p w14:paraId="35B580A5" w14:textId="432B728B" w:rsidR="00C22214" w:rsidRDefault="00C22214" w:rsidP="008804CF">
      <w:pPr>
        <w:pStyle w:val="Heading3"/>
      </w:pPr>
      <w:bookmarkStart w:id="47" w:name="_Toc247691530"/>
      <w:bookmarkStart w:id="48" w:name="_Toc314842513"/>
      <w:bookmarkStart w:id="49" w:name="_Toc103679297"/>
      <w:bookmarkStart w:id="50" w:name="_Toc241481377"/>
      <w:r>
        <w:t>Clinical</w:t>
      </w:r>
      <w:bookmarkEnd w:id="47"/>
      <w:bookmarkEnd w:id="48"/>
      <w:bookmarkEnd w:id="49"/>
      <w:r w:rsidR="00095C6A">
        <w:t xml:space="preserve"> evaluation summary</w:t>
      </w:r>
      <w:bookmarkEnd w:id="50"/>
      <w:r w:rsidR="008A6BD8">
        <w:fldChar w:fldCharType="begin"/>
      </w:r>
      <w:r w:rsidR="008A6BD8">
        <w:instrText xml:space="preserve"> DOCVARIABLE vault_nd_673c0851-6bc4-444e-aaf0-0b5e8454be84 \* MERGEFORMAT </w:instrText>
      </w:r>
      <w:r w:rsidR="008A6BD8">
        <w:fldChar w:fldCharType="separate"/>
      </w:r>
      <w:r w:rsidR="008A6BD8">
        <w:t xml:space="preserve"> </w:t>
      </w:r>
      <w:r w:rsidR="008A6BD8">
        <w:fldChar w:fldCharType="end"/>
      </w:r>
    </w:p>
    <w:p w14:paraId="32B0DEDA" w14:textId="3AC4813E" w:rsidR="00C22214" w:rsidRPr="00433318" w:rsidRDefault="00C22214" w:rsidP="00433318">
      <w:pPr>
        <w:pStyle w:val="Heading4"/>
      </w:pPr>
      <w:bookmarkStart w:id="51" w:name="_Toc98931928"/>
      <w:bookmarkStart w:id="52" w:name="_Toc241481378"/>
      <w:r>
        <w:t>Summary of clinical studies</w:t>
      </w:r>
      <w:bookmarkEnd w:id="51"/>
      <w:bookmarkEnd w:id="52"/>
      <w:r w:rsidR="008A6BD8">
        <w:fldChar w:fldCharType="begin"/>
      </w:r>
      <w:r w:rsidR="008A6BD8">
        <w:instrText xml:space="preserve"> DOCVARIABLE vault_nd_a2976ba8-5d7c-45e8-ae75-784435bad9b7 \* MERGEFORMAT </w:instrText>
      </w:r>
      <w:r w:rsidR="008A6BD8">
        <w:fldChar w:fldCharType="separate"/>
      </w:r>
      <w:r w:rsidR="008A6BD8">
        <w:t xml:space="preserve"> </w:t>
      </w:r>
      <w:r w:rsidR="008A6BD8">
        <w:fldChar w:fldCharType="end"/>
      </w:r>
    </w:p>
    <w:p w14:paraId="46622364" w14:textId="2C728F95" w:rsidR="00C22214" w:rsidRPr="00BD5DBD" w:rsidRDefault="00C22214" w:rsidP="00C22214">
      <w:pPr>
        <w:rPr>
          <w:szCs w:val="22"/>
        </w:rPr>
      </w:pPr>
      <w:r w:rsidRPr="00BD5DBD">
        <w:rPr>
          <w:szCs w:val="22"/>
        </w:rPr>
        <w:t>The clinical dossier consisted of</w:t>
      </w:r>
      <w:r w:rsidR="007357B9" w:rsidRPr="00BD5DBD">
        <w:rPr>
          <w:szCs w:val="22"/>
        </w:rPr>
        <w:t>:</w:t>
      </w:r>
      <w:r w:rsidRPr="00BD5DBD">
        <w:rPr>
          <w:szCs w:val="22"/>
        </w:rPr>
        <w:t xml:space="preserve"> </w:t>
      </w:r>
    </w:p>
    <w:p w14:paraId="3DF49722" w14:textId="61447412" w:rsidR="00C22214" w:rsidRDefault="00335911" w:rsidP="00C22214">
      <w:pPr>
        <w:pStyle w:val="ListBullet"/>
        <w:rPr>
          <w:szCs w:val="22"/>
        </w:rPr>
      </w:pPr>
      <w:r>
        <w:rPr>
          <w:szCs w:val="22"/>
        </w:rPr>
        <w:t>Asthma</w:t>
      </w:r>
      <w:r w:rsidR="00C5367A">
        <w:rPr>
          <w:szCs w:val="22"/>
        </w:rPr>
        <w:t xml:space="preserve"> – </w:t>
      </w:r>
      <w:r w:rsidR="00296103">
        <w:rPr>
          <w:szCs w:val="22"/>
        </w:rPr>
        <w:t>Phase</w:t>
      </w:r>
      <w:r w:rsidR="00891011">
        <w:rPr>
          <w:szCs w:val="22"/>
        </w:rPr>
        <w:t xml:space="preserve"> 1</w:t>
      </w:r>
      <w:r w:rsidR="009064F6">
        <w:rPr>
          <w:szCs w:val="22"/>
        </w:rPr>
        <w:t xml:space="preserve"> </w:t>
      </w:r>
      <w:r w:rsidR="006A3380">
        <w:rPr>
          <w:szCs w:val="22"/>
        </w:rPr>
        <w:t>studies</w:t>
      </w:r>
    </w:p>
    <w:p w14:paraId="79EC8BAA" w14:textId="38E4EC3A" w:rsidR="00296103" w:rsidRPr="00296103" w:rsidRDefault="00296103" w:rsidP="00296103">
      <w:pPr>
        <w:pStyle w:val="ListBullet2"/>
      </w:pPr>
      <w:r w:rsidRPr="00296103">
        <w:t>Study 208021</w:t>
      </w:r>
      <w:r w:rsidR="001941B6">
        <w:t xml:space="preserve"> - Healthy Chinese participants</w:t>
      </w:r>
    </w:p>
    <w:p w14:paraId="4104AFA9" w14:textId="6F5AB31D" w:rsidR="00C5367A" w:rsidRDefault="00296103" w:rsidP="00296103">
      <w:pPr>
        <w:pStyle w:val="ListBullet2"/>
      </w:pPr>
      <w:r w:rsidRPr="00296103">
        <w:t>Study 205722 (FTIH) PD and PK/PD study</w:t>
      </w:r>
    </w:p>
    <w:p w14:paraId="6FEB0E0C" w14:textId="7CC56DEE" w:rsidR="009064F6" w:rsidRDefault="009064F6" w:rsidP="00296103">
      <w:pPr>
        <w:pStyle w:val="ListBullet2"/>
      </w:pPr>
      <w:r>
        <w:t>Study 214099</w:t>
      </w:r>
      <w:r w:rsidR="001941B6">
        <w:t xml:space="preserve"> </w:t>
      </w:r>
      <w:r w:rsidR="000B79DC">
        <w:t>–</w:t>
      </w:r>
      <w:r w:rsidR="001941B6">
        <w:t xml:space="preserve"> </w:t>
      </w:r>
      <w:r w:rsidR="000B79DC">
        <w:t>PK comparability study</w:t>
      </w:r>
    </w:p>
    <w:p w14:paraId="3E95608A" w14:textId="0834338A" w:rsidR="00891011" w:rsidRDefault="00891011" w:rsidP="00891011">
      <w:pPr>
        <w:pStyle w:val="ListBullet"/>
      </w:pPr>
      <w:r>
        <w:t xml:space="preserve">Asthma - Phase 3 </w:t>
      </w:r>
      <w:r w:rsidR="006A3380">
        <w:t>studies</w:t>
      </w:r>
    </w:p>
    <w:p w14:paraId="66A7AA7F" w14:textId="77777777" w:rsidR="003E66F1" w:rsidRDefault="003E66F1" w:rsidP="005F3D1B">
      <w:pPr>
        <w:pStyle w:val="ListBullet2"/>
      </w:pPr>
      <w:r>
        <w:t xml:space="preserve">Study </w:t>
      </w:r>
      <w:r w:rsidR="00891011">
        <w:t>206713 (SWIFT-1)</w:t>
      </w:r>
    </w:p>
    <w:p w14:paraId="7168488F" w14:textId="7B5C70CE" w:rsidR="00891011" w:rsidRPr="005F3D1B" w:rsidRDefault="003E66F1" w:rsidP="005F3D1B">
      <w:pPr>
        <w:pStyle w:val="ListBullet2"/>
      </w:pPr>
      <w:r w:rsidRPr="005F3D1B">
        <w:t xml:space="preserve">Study </w:t>
      </w:r>
      <w:r w:rsidR="00891011" w:rsidRPr="005F3D1B">
        <w:rPr>
          <w:rFonts w:cs="SegoeUISymbol"/>
          <w:szCs w:val="22"/>
        </w:rPr>
        <w:t>213744 (SWIFT-2)</w:t>
      </w:r>
    </w:p>
    <w:p w14:paraId="6B56CB17" w14:textId="3C8EF0CD" w:rsidR="00C22214" w:rsidRDefault="00B34112" w:rsidP="00C22214">
      <w:pPr>
        <w:pStyle w:val="ListBullet"/>
        <w:rPr>
          <w:szCs w:val="22"/>
        </w:rPr>
      </w:pPr>
      <w:r>
        <w:rPr>
          <w:szCs w:val="22"/>
        </w:rPr>
        <w:t>Asthma – ongoing</w:t>
      </w:r>
      <w:r w:rsidR="00CB25CD">
        <w:rPr>
          <w:szCs w:val="22"/>
        </w:rPr>
        <w:t xml:space="preserve"> study</w:t>
      </w:r>
      <w:r>
        <w:rPr>
          <w:szCs w:val="22"/>
        </w:rPr>
        <w:t>:</w:t>
      </w:r>
    </w:p>
    <w:p w14:paraId="4F175FE1" w14:textId="3A17F5F6" w:rsidR="00B34112" w:rsidRDefault="00B34112" w:rsidP="00B34112">
      <w:pPr>
        <w:pStyle w:val="ListBullet2"/>
      </w:pPr>
      <w:r>
        <w:t>Study 212895 (AGILE) Ongoing study from SWIFT 1/2 participants</w:t>
      </w:r>
    </w:p>
    <w:p w14:paraId="36FF74BB" w14:textId="7B7CFD06" w:rsidR="002B7C97" w:rsidRDefault="00463BDC" w:rsidP="00B34112">
      <w:pPr>
        <w:pStyle w:val="ListBullet2"/>
      </w:pPr>
      <w:r>
        <w:t xml:space="preserve">Study </w:t>
      </w:r>
      <w:r w:rsidRPr="00463BDC">
        <w:t>206785 (NIMBLE) – on going non inferiority trial</w:t>
      </w:r>
    </w:p>
    <w:p w14:paraId="6768888C" w14:textId="556D4473" w:rsidR="006A3380" w:rsidRPr="006A3380" w:rsidRDefault="009F6F0C" w:rsidP="00744D46">
      <w:pPr>
        <w:pStyle w:val="ListBullet"/>
      </w:pPr>
      <w:r>
        <w:t>Chronic Rhinosinusitis with Nasal polyps</w:t>
      </w:r>
      <w:r w:rsidR="006A3380">
        <w:t xml:space="preserve"> - </w:t>
      </w:r>
      <w:r w:rsidR="006A3380" w:rsidRPr="006A3380">
        <w:t>Phase 3 studies</w:t>
      </w:r>
    </w:p>
    <w:p w14:paraId="304B61F0" w14:textId="3714EE51" w:rsidR="006A3380" w:rsidRPr="006A3380" w:rsidRDefault="006A3380" w:rsidP="006A3380">
      <w:pPr>
        <w:pStyle w:val="ListBullet2"/>
      </w:pPr>
      <w:r>
        <w:t xml:space="preserve">Study </w:t>
      </w:r>
      <w:r w:rsidRPr="006A3380">
        <w:t>217095 (ANCHOR-1)</w:t>
      </w:r>
    </w:p>
    <w:p w14:paraId="3DB999A2" w14:textId="786BFCBC" w:rsidR="006A3380" w:rsidRPr="00BD5DBD" w:rsidRDefault="006A3380" w:rsidP="006A3380">
      <w:pPr>
        <w:pStyle w:val="ListBullet2"/>
      </w:pPr>
      <w:r>
        <w:t xml:space="preserve">Study </w:t>
      </w:r>
      <w:r w:rsidRPr="006A3380">
        <w:t>218079 (ANCHOR-2)</w:t>
      </w:r>
    </w:p>
    <w:p w14:paraId="66625DDE" w14:textId="3E6995A6" w:rsidR="007D05B5" w:rsidRPr="00901283" w:rsidRDefault="007D05B5" w:rsidP="007D05B5">
      <w:pPr>
        <w:pStyle w:val="Heading4"/>
        <w:rPr>
          <w:rFonts w:eastAsia="Times New Roman"/>
          <w:b w:val="0"/>
          <w:i/>
          <w:color w:val="7295D2" w:themeColor="accent1" w:themeTint="BF"/>
        </w:rPr>
      </w:pPr>
      <w:bookmarkStart w:id="53" w:name="_Toc241481379"/>
      <w:r w:rsidRPr="00AA53F4">
        <w:t>Pharmacology</w:t>
      </w:r>
      <w:bookmarkEnd w:id="53"/>
      <w:r w:rsidR="008A6BD8">
        <w:rPr>
          <w:rFonts w:eastAsia="Times New Roman"/>
          <w:b w:val="0"/>
          <w:i/>
          <w:color w:val="7295D2" w:themeColor="accent1" w:themeTint="BF"/>
        </w:rPr>
        <w:fldChar w:fldCharType="begin"/>
      </w:r>
      <w:r w:rsidR="008A6BD8">
        <w:rPr>
          <w:rFonts w:eastAsia="Times New Roman"/>
          <w:b w:val="0"/>
          <w:i/>
          <w:color w:val="7295D2" w:themeColor="accent1" w:themeTint="BF"/>
        </w:rPr>
        <w:instrText xml:space="preserve"> DOCVARIABLE vault_nd_0c1ce6c0-260a-417e-a923-25eda9ed2c64 \* MERGEFORMAT </w:instrText>
      </w:r>
      <w:r w:rsidR="008A6BD8">
        <w:rPr>
          <w:rFonts w:eastAsia="Times New Roman"/>
          <w:b w:val="0"/>
          <w:i/>
          <w:color w:val="7295D2" w:themeColor="accent1" w:themeTint="BF"/>
        </w:rPr>
        <w:fldChar w:fldCharType="separate"/>
      </w:r>
      <w:r w:rsidR="008A6BD8">
        <w:rPr>
          <w:rFonts w:eastAsia="Times New Roman"/>
          <w:b w:val="0"/>
          <w:i/>
          <w:color w:val="7295D2" w:themeColor="accent1" w:themeTint="BF"/>
        </w:rPr>
        <w:t xml:space="preserve"> </w:t>
      </w:r>
      <w:r w:rsidR="008A6BD8">
        <w:rPr>
          <w:rFonts w:eastAsia="Times New Roman"/>
          <w:b w:val="0"/>
          <w:i/>
          <w:color w:val="7295D2" w:themeColor="accent1" w:themeTint="BF"/>
        </w:rPr>
        <w:fldChar w:fldCharType="end"/>
      </w:r>
    </w:p>
    <w:p w14:paraId="66B7E922" w14:textId="1DE0CC79" w:rsidR="007D05B5" w:rsidRDefault="007D05B5" w:rsidP="007D05B5">
      <w:pPr>
        <w:pStyle w:val="Heading5"/>
      </w:pPr>
      <w:r w:rsidRPr="00AA53F4">
        <w:t>Pharmacokinetics</w:t>
      </w:r>
      <w:r w:rsidR="0003095D">
        <w:t xml:space="preserve"> - Asthma</w:t>
      </w:r>
      <w:fldSimple w:instr="DOCVARIABLE vault_nd_530b4452-6dc5-4849-b4d4-a17161ca4501 \* MERGEFORMAT">
        <w:r w:rsidR="008A6BD8">
          <w:t xml:space="preserve"> </w:t>
        </w:r>
      </w:fldSimple>
    </w:p>
    <w:p w14:paraId="6370B09C" w14:textId="77777777" w:rsidR="007D05B5" w:rsidRDefault="007D05B5" w:rsidP="007D05B5">
      <w:r>
        <w:t>Human pharmacokinetics (PK) were obtained from healthy volunteer studies, early studies in mild to moderate asthma, limited data from phase 3 studies in asthma and chronic rhinosinusitis with nasal polyps, and modelling and simulation.</w:t>
      </w:r>
    </w:p>
    <w:p w14:paraId="728E18DD" w14:textId="0AE68486" w:rsidR="007D05B5" w:rsidRDefault="007D05B5" w:rsidP="007D05B5">
      <w:r>
        <w:lastRenderedPageBreak/>
        <w:t xml:space="preserve">Absolute bioavailability has not been established. Depemokimab has been developed for SC use only. The median </w:t>
      </w:r>
      <w:proofErr w:type="spellStart"/>
      <w:r>
        <w:t>T</w:t>
      </w:r>
      <w:r w:rsidRPr="00EA44C9">
        <w:rPr>
          <w:vertAlign w:val="subscript"/>
        </w:rPr>
        <w:t>max</w:t>
      </w:r>
      <w:proofErr w:type="spellEnd"/>
      <w:r>
        <w:t xml:space="preserve"> is 8 to 14 days. The apparent volume of </w:t>
      </w:r>
      <w:r w:rsidRPr="005B44D8">
        <w:t>distribution (</w:t>
      </w:r>
      <w:proofErr w:type="spellStart"/>
      <w:r w:rsidRPr="005B44D8">
        <w:t>Vz</w:t>
      </w:r>
      <w:proofErr w:type="spellEnd"/>
      <w:r w:rsidRPr="005B44D8">
        <w:t xml:space="preserve">/F) is 6 </w:t>
      </w:r>
      <w:r w:rsidR="00E83E4C" w:rsidRPr="005B44D8">
        <w:t>–</w:t>
      </w:r>
      <w:r w:rsidRPr="005B44D8">
        <w:t xml:space="preserve"> 9</w:t>
      </w:r>
      <w:r w:rsidR="00E83E4C" w:rsidRPr="005B44D8">
        <w:t xml:space="preserve"> </w:t>
      </w:r>
      <w:r w:rsidRPr="005B44D8">
        <w:t>L.</w:t>
      </w:r>
      <w:r>
        <w:t xml:space="preserve"> </w:t>
      </w:r>
    </w:p>
    <w:p w14:paraId="505CCFBE" w14:textId="77777777" w:rsidR="007D05B5" w:rsidRDefault="007D05B5" w:rsidP="007D05B5">
      <w:r>
        <w:t>It is catabolised by proteolytic enzymes that are not restricted to hepatic tissue. The modelled apparent clearance was 0.092 L/day. The half-life was between 38 and 53 days.</w:t>
      </w:r>
    </w:p>
    <w:p w14:paraId="139A96CD" w14:textId="77777777" w:rsidR="007D05B5" w:rsidRDefault="007D05B5" w:rsidP="007D05B5">
      <w:r>
        <w:t>In subcutaneous doses from 10 mg to 300 mg depemokimab demonstrated dose proportionality, and no apparent accumulation although only two doses were administered in most patients studied.</w:t>
      </w:r>
    </w:p>
    <w:p w14:paraId="2C97E3BB" w14:textId="4E64A1C2" w:rsidR="007D05B5" w:rsidRDefault="007D05B5" w:rsidP="007D05B5">
      <w:r>
        <w:t xml:space="preserve">In the </w:t>
      </w:r>
      <w:r w:rsidR="007C0DC1">
        <w:t>population PK (</w:t>
      </w:r>
      <w:proofErr w:type="spellStart"/>
      <w:r>
        <w:t>popPK</w:t>
      </w:r>
      <w:proofErr w:type="spellEnd"/>
      <w:r w:rsidR="007C0DC1">
        <w:t>)</w:t>
      </w:r>
      <w:r>
        <w:t xml:space="preserve"> </w:t>
      </w:r>
      <w:r w:rsidR="00145027">
        <w:t xml:space="preserve">modelling </w:t>
      </w:r>
      <w:r>
        <w:t>age (≥12 years to 85 years) did not meaningfully influence the depemokimab PK</w:t>
      </w:r>
      <w:r w:rsidR="00145027">
        <w:t xml:space="preserve"> in asthmatic patients</w:t>
      </w:r>
      <w:r w:rsidR="00685EBB">
        <w:t xml:space="preserve"> (Table 3)</w:t>
      </w:r>
      <w:r>
        <w:t xml:space="preserve">. There are no studies in </w:t>
      </w:r>
      <w:r w:rsidR="00BE675E">
        <w:t xml:space="preserve">asthmatic </w:t>
      </w:r>
      <w:r>
        <w:t xml:space="preserve">paediatric patients aged </w:t>
      </w:r>
      <w:r w:rsidRPr="00EE70F6">
        <w:t>&lt; 12 years</w:t>
      </w:r>
      <w:r w:rsidR="00EE70F6">
        <w:t xml:space="preserve">. </w:t>
      </w:r>
    </w:p>
    <w:p w14:paraId="5A084BAF" w14:textId="3250CABC" w:rsidR="007D05B5" w:rsidRPr="0044605B" w:rsidRDefault="007D05B5" w:rsidP="0044605B">
      <w:pPr>
        <w:pStyle w:val="TableTitle"/>
      </w:pPr>
      <w:r w:rsidRPr="0044605B">
        <w:t xml:space="preserve">Table </w:t>
      </w:r>
      <w:r w:rsidR="0044605B" w:rsidRPr="0044605B">
        <w:t xml:space="preserve">3. </w:t>
      </w:r>
      <w:r w:rsidRPr="0044605B">
        <w:t>Derived secondary PK parameters, SWIFT-1 and SWIFT-2 depemokimab 100mg SC Q26W, by age</w:t>
      </w:r>
      <w:r w:rsidR="0044605B" w:rsidRPr="0044605B">
        <w:t>.</w:t>
      </w:r>
    </w:p>
    <w:tbl>
      <w:tblPr>
        <w:tblW w:w="9209" w:type="dxa"/>
        <w:tblLayout w:type="fixed"/>
        <w:tblCellMar>
          <w:left w:w="0" w:type="dxa"/>
          <w:right w:w="0" w:type="dxa"/>
        </w:tblCellMar>
        <w:tblLook w:val="0000" w:firstRow="0" w:lastRow="0" w:firstColumn="0" w:lastColumn="0" w:noHBand="0" w:noVBand="0"/>
      </w:tblPr>
      <w:tblGrid>
        <w:gridCol w:w="2830"/>
        <w:gridCol w:w="1418"/>
        <w:gridCol w:w="1559"/>
        <w:gridCol w:w="1418"/>
        <w:gridCol w:w="1984"/>
      </w:tblGrid>
      <w:tr w:rsidR="00D97FF0" w:rsidRPr="00D97FF0" w14:paraId="5518BE3D" w14:textId="77777777" w:rsidTr="00555920">
        <w:trPr>
          <w:trHeight w:val="460"/>
        </w:trPr>
        <w:tc>
          <w:tcPr>
            <w:tcW w:w="2830" w:type="dxa"/>
            <w:tcBorders>
              <w:top w:val="single" w:sz="4" w:space="0" w:color="000000"/>
              <w:left w:val="single" w:sz="4" w:space="0" w:color="000000"/>
              <w:bottom w:val="single" w:sz="4" w:space="0" w:color="000000"/>
              <w:right w:val="single" w:sz="4" w:space="0" w:color="000000"/>
            </w:tcBorders>
          </w:tcPr>
          <w:p w14:paraId="0C35BC1E" w14:textId="77777777" w:rsidR="00D97FF0" w:rsidRPr="00D97FF0" w:rsidRDefault="00D97FF0" w:rsidP="00D97FF0">
            <w:pPr>
              <w:rPr>
                <w:b/>
                <w:bCs/>
              </w:rPr>
            </w:pPr>
            <w:bookmarkStart w:id="54" w:name="Table_7_Derived_secondary_PK_parameters_"/>
            <w:bookmarkStart w:id="55" w:name="_bookmark0"/>
            <w:bookmarkStart w:id="56" w:name="_bookmark1"/>
            <w:bookmarkStart w:id="57" w:name="_bookmark2"/>
            <w:bookmarkEnd w:id="54"/>
            <w:bookmarkEnd w:id="55"/>
            <w:bookmarkEnd w:id="56"/>
            <w:bookmarkEnd w:id="57"/>
            <w:r w:rsidRPr="00D97FF0">
              <w:rPr>
                <w:b/>
                <w:bCs/>
              </w:rPr>
              <w:t>Parameter - geometric mean (%CV)</w:t>
            </w:r>
          </w:p>
        </w:tc>
        <w:tc>
          <w:tcPr>
            <w:tcW w:w="1418" w:type="dxa"/>
            <w:tcBorders>
              <w:top w:val="single" w:sz="4" w:space="0" w:color="000000"/>
              <w:left w:val="single" w:sz="4" w:space="0" w:color="000000"/>
              <w:bottom w:val="single" w:sz="4" w:space="0" w:color="000000"/>
              <w:right w:val="single" w:sz="4" w:space="0" w:color="000000"/>
            </w:tcBorders>
          </w:tcPr>
          <w:p w14:paraId="047E8785" w14:textId="77777777" w:rsidR="00D97FF0" w:rsidRPr="00D97FF0" w:rsidRDefault="00D97FF0" w:rsidP="00D97FF0">
            <w:pPr>
              <w:rPr>
                <w:b/>
                <w:bCs/>
              </w:rPr>
            </w:pPr>
            <w:r w:rsidRPr="00D97FF0">
              <w:rPr>
                <w:b/>
                <w:bCs/>
              </w:rPr>
              <w:t>12-17 years old n=15</w:t>
            </w:r>
          </w:p>
        </w:tc>
        <w:tc>
          <w:tcPr>
            <w:tcW w:w="1559" w:type="dxa"/>
            <w:tcBorders>
              <w:top w:val="single" w:sz="4" w:space="0" w:color="000000"/>
              <w:left w:val="single" w:sz="4" w:space="0" w:color="000000"/>
              <w:bottom w:val="single" w:sz="4" w:space="0" w:color="000000"/>
              <w:right w:val="single" w:sz="4" w:space="0" w:color="000000"/>
            </w:tcBorders>
          </w:tcPr>
          <w:p w14:paraId="0521AAC6" w14:textId="77777777" w:rsidR="00D97FF0" w:rsidRPr="00D97FF0" w:rsidRDefault="00D97FF0" w:rsidP="00D97FF0">
            <w:pPr>
              <w:rPr>
                <w:b/>
                <w:bCs/>
              </w:rPr>
            </w:pPr>
            <w:r w:rsidRPr="00D97FF0">
              <w:rPr>
                <w:b/>
                <w:bCs/>
              </w:rPr>
              <w:t>18-64 years old n=352</w:t>
            </w:r>
          </w:p>
        </w:tc>
        <w:tc>
          <w:tcPr>
            <w:tcW w:w="1418" w:type="dxa"/>
            <w:tcBorders>
              <w:top w:val="single" w:sz="4" w:space="0" w:color="000000"/>
              <w:left w:val="single" w:sz="4" w:space="0" w:color="000000"/>
              <w:bottom w:val="single" w:sz="4" w:space="0" w:color="000000"/>
              <w:right w:val="single" w:sz="4" w:space="0" w:color="000000"/>
            </w:tcBorders>
          </w:tcPr>
          <w:p w14:paraId="77A11CE8" w14:textId="77777777" w:rsidR="00D97FF0" w:rsidRPr="00D97FF0" w:rsidRDefault="00D97FF0" w:rsidP="00D97FF0">
            <w:pPr>
              <w:rPr>
                <w:b/>
                <w:bCs/>
              </w:rPr>
            </w:pPr>
            <w:r w:rsidRPr="00D97FF0">
              <w:rPr>
                <w:b/>
                <w:bCs/>
              </w:rPr>
              <w:t>≥ 65 years old n=127</w:t>
            </w:r>
          </w:p>
        </w:tc>
        <w:tc>
          <w:tcPr>
            <w:tcW w:w="1984" w:type="dxa"/>
            <w:tcBorders>
              <w:top w:val="single" w:sz="4" w:space="0" w:color="000000"/>
              <w:left w:val="single" w:sz="4" w:space="0" w:color="000000"/>
              <w:bottom w:val="single" w:sz="4" w:space="0" w:color="000000"/>
              <w:right w:val="single" w:sz="4" w:space="0" w:color="000000"/>
            </w:tcBorders>
          </w:tcPr>
          <w:p w14:paraId="7ADEEC36" w14:textId="77777777" w:rsidR="00D97FF0" w:rsidRPr="00D97FF0" w:rsidRDefault="00D97FF0" w:rsidP="00D97FF0">
            <w:pPr>
              <w:rPr>
                <w:b/>
                <w:bCs/>
              </w:rPr>
            </w:pPr>
            <w:r w:rsidRPr="00D97FF0">
              <w:rPr>
                <w:b/>
                <w:bCs/>
              </w:rPr>
              <w:t>Overall N=494</w:t>
            </w:r>
          </w:p>
        </w:tc>
      </w:tr>
      <w:tr w:rsidR="00D97FF0" w:rsidRPr="00D97FF0" w14:paraId="5C826E2D" w14:textId="77777777" w:rsidTr="00555920">
        <w:trPr>
          <w:trHeight w:val="287"/>
        </w:trPr>
        <w:tc>
          <w:tcPr>
            <w:tcW w:w="2830" w:type="dxa"/>
            <w:tcBorders>
              <w:top w:val="single" w:sz="4" w:space="0" w:color="000000"/>
              <w:left w:val="single" w:sz="4" w:space="0" w:color="000000"/>
              <w:bottom w:val="single" w:sz="4" w:space="0" w:color="000000"/>
              <w:right w:val="single" w:sz="4" w:space="0" w:color="000000"/>
            </w:tcBorders>
          </w:tcPr>
          <w:p w14:paraId="31471648" w14:textId="77777777" w:rsidR="00D97FF0" w:rsidRPr="00D97FF0" w:rsidRDefault="00D97FF0" w:rsidP="00D97FF0">
            <w:pPr>
              <w:rPr>
                <w:b/>
                <w:bCs/>
                <w:sz w:val="24"/>
                <w:szCs w:val="24"/>
              </w:rPr>
            </w:pPr>
            <w:proofErr w:type="spellStart"/>
            <w:proofErr w:type="gramStart"/>
            <w:r w:rsidRPr="005B44D8">
              <w:rPr>
                <w:b/>
                <w:bCs/>
                <w:sz w:val="24"/>
                <w:szCs w:val="24"/>
              </w:rPr>
              <w:t>AUC</w:t>
            </w:r>
            <w:r w:rsidRPr="005B44D8">
              <w:rPr>
                <w:b/>
                <w:bCs/>
                <w:sz w:val="24"/>
                <w:szCs w:val="24"/>
                <w:vertAlign w:val="subscript"/>
              </w:rPr>
              <w:t>tau,ss</w:t>
            </w:r>
            <w:proofErr w:type="spellEnd"/>
            <w:proofErr w:type="gramEnd"/>
            <w:r w:rsidRPr="005B44D8">
              <w:rPr>
                <w:b/>
                <w:bCs/>
                <w:sz w:val="24"/>
                <w:szCs w:val="24"/>
                <w:vertAlign w:val="subscript"/>
              </w:rPr>
              <w:t xml:space="preserve"> </w:t>
            </w:r>
            <w:r w:rsidRPr="005B44D8">
              <w:rPr>
                <w:b/>
                <w:bCs/>
                <w:sz w:val="24"/>
                <w:szCs w:val="24"/>
              </w:rPr>
              <w:t>(µg*day</w:t>
            </w:r>
            <w:r w:rsidRPr="00D97FF0">
              <w:rPr>
                <w:b/>
                <w:bCs/>
                <w:sz w:val="24"/>
                <w:szCs w:val="24"/>
              </w:rPr>
              <w:t>/mL)</w:t>
            </w:r>
          </w:p>
        </w:tc>
        <w:tc>
          <w:tcPr>
            <w:tcW w:w="1418" w:type="dxa"/>
            <w:tcBorders>
              <w:top w:val="single" w:sz="4" w:space="0" w:color="000000"/>
              <w:left w:val="single" w:sz="4" w:space="0" w:color="000000"/>
              <w:bottom w:val="single" w:sz="4" w:space="0" w:color="000000"/>
              <w:right w:val="single" w:sz="4" w:space="0" w:color="000000"/>
            </w:tcBorders>
          </w:tcPr>
          <w:p w14:paraId="0F2EA61F" w14:textId="77777777" w:rsidR="00D97FF0" w:rsidRPr="00D97FF0" w:rsidRDefault="00D97FF0" w:rsidP="00D97FF0">
            <w:r w:rsidRPr="00D97FF0">
              <w:t>1051 (31.18)</w:t>
            </w:r>
          </w:p>
        </w:tc>
        <w:tc>
          <w:tcPr>
            <w:tcW w:w="1559" w:type="dxa"/>
            <w:tcBorders>
              <w:top w:val="single" w:sz="4" w:space="0" w:color="000000"/>
              <w:left w:val="single" w:sz="4" w:space="0" w:color="000000"/>
              <w:bottom w:val="single" w:sz="4" w:space="0" w:color="000000"/>
              <w:right w:val="single" w:sz="4" w:space="0" w:color="000000"/>
            </w:tcBorders>
          </w:tcPr>
          <w:p w14:paraId="0BA79E33" w14:textId="77777777" w:rsidR="00D97FF0" w:rsidRPr="00D97FF0" w:rsidRDefault="00D97FF0" w:rsidP="00D97FF0">
            <w:r w:rsidRPr="00D97FF0">
              <w:t>1068 (28.34)</w:t>
            </w:r>
          </w:p>
        </w:tc>
        <w:tc>
          <w:tcPr>
            <w:tcW w:w="1418" w:type="dxa"/>
            <w:tcBorders>
              <w:top w:val="single" w:sz="4" w:space="0" w:color="000000"/>
              <w:left w:val="single" w:sz="4" w:space="0" w:color="000000"/>
              <w:bottom w:val="single" w:sz="4" w:space="0" w:color="000000"/>
              <w:right w:val="single" w:sz="4" w:space="0" w:color="000000"/>
            </w:tcBorders>
          </w:tcPr>
          <w:p w14:paraId="386CC113" w14:textId="77777777" w:rsidR="00D97FF0" w:rsidRPr="00D97FF0" w:rsidRDefault="00D97FF0" w:rsidP="00D97FF0">
            <w:r w:rsidRPr="00D97FF0">
              <w:t>1121 (25.46)</w:t>
            </w:r>
          </w:p>
        </w:tc>
        <w:tc>
          <w:tcPr>
            <w:tcW w:w="1984" w:type="dxa"/>
            <w:tcBorders>
              <w:top w:val="single" w:sz="4" w:space="0" w:color="000000"/>
              <w:left w:val="single" w:sz="4" w:space="0" w:color="000000"/>
              <w:bottom w:val="single" w:sz="4" w:space="0" w:color="000000"/>
              <w:right w:val="single" w:sz="4" w:space="0" w:color="000000"/>
            </w:tcBorders>
          </w:tcPr>
          <w:p w14:paraId="3F37D8BC" w14:textId="77777777" w:rsidR="00D97FF0" w:rsidRPr="00D97FF0" w:rsidRDefault="00D97FF0" w:rsidP="00D97FF0">
            <w:r w:rsidRPr="00D97FF0">
              <w:t>1081 (27.75)</w:t>
            </w:r>
          </w:p>
        </w:tc>
      </w:tr>
      <w:tr w:rsidR="00D97FF0" w:rsidRPr="00D97FF0" w14:paraId="3EFEA882" w14:textId="77777777" w:rsidTr="00555920">
        <w:trPr>
          <w:trHeight w:val="287"/>
        </w:trPr>
        <w:tc>
          <w:tcPr>
            <w:tcW w:w="2830" w:type="dxa"/>
            <w:tcBorders>
              <w:top w:val="single" w:sz="4" w:space="0" w:color="000000"/>
              <w:left w:val="single" w:sz="4" w:space="0" w:color="000000"/>
              <w:bottom w:val="single" w:sz="4" w:space="0" w:color="000000"/>
              <w:right w:val="single" w:sz="4" w:space="0" w:color="000000"/>
            </w:tcBorders>
          </w:tcPr>
          <w:p w14:paraId="12C991F0" w14:textId="77777777" w:rsidR="00D97FF0" w:rsidRPr="00D97FF0" w:rsidRDefault="00D97FF0" w:rsidP="00D97FF0">
            <w:pPr>
              <w:rPr>
                <w:b/>
                <w:bCs/>
                <w:sz w:val="24"/>
                <w:szCs w:val="24"/>
              </w:rPr>
            </w:pPr>
            <w:proofErr w:type="spellStart"/>
            <w:proofErr w:type="gramStart"/>
            <w:r w:rsidRPr="00D97FF0">
              <w:rPr>
                <w:b/>
                <w:bCs/>
                <w:sz w:val="24"/>
                <w:szCs w:val="24"/>
              </w:rPr>
              <w:t>C</w:t>
            </w:r>
            <w:r w:rsidRPr="00D97FF0">
              <w:rPr>
                <w:b/>
                <w:bCs/>
                <w:sz w:val="24"/>
                <w:szCs w:val="24"/>
                <w:vertAlign w:val="subscript"/>
              </w:rPr>
              <w:t>av,ss</w:t>
            </w:r>
            <w:proofErr w:type="spellEnd"/>
            <w:proofErr w:type="gramEnd"/>
            <w:r w:rsidRPr="00D97FF0">
              <w:rPr>
                <w:b/>
                <w:bCs/>
                <w:sz w:val="24"/>
                <w:szCs w:val="24"/>
                <w:vertAlign w:val="subscript"/>
              </w:rPr>
              <w:t xml:space="preserve"> </w:t>
            </w:r>
            <w:r w:rsidRPr="00D97FF0">
              <w:rPr>
                <w:b/>
                <w:bCs/>
                <w:sz w:val="24"/>
                <w:szCs w:val="24"/>
              </w:rPr>
              <w:t>(µg /mL)</w:t>
            </w:r>
          </w:p>
        </w:tc>
        <w:tc>
          <w:tcPr>
            <w:tcW w:w="1418" w:type="dxa"/>
            <w:tcBorders>
              <w:top w:val="single" w:sz="4" w:space="0" w:color="000000"/>
              <w:left w:val="single" w:sz="4" w:space="0" w:color="000000"/>
              <w:bottom w:val="single" w:sz="4" w:space="0" w:color="000000"/>
              <w:right w:val="single" w:sz="4" w:space="0" w:color="000000"/>
            </w:tcBorders>
          </w:tcPr>
          <w:p w14:paraId="59F052A4" w14:textId="77777777" w:rsidR="00D97FF0" w:rsidRPr="00D97FF0" w:rsidRDefault="00D97FF0" w:rsidP="00D97FF0">
            <w:r w:rsidRPr="00D97FF0">
              <w:t>5.773 (31.18)</w:t>
            </w:r>
          </w:p>
        </w:tc>
        <w:tc>
          <w:tcPr>
            <w:tcW w:w="1559" w:type="dxa"/>
            <w:tcBorders>
              <w:top w:val="single" w:sz="4" w:space="0" w:color="000000"/>
              <w:left w:val="single" w:sz="4" w:space="0" w:color="000000"/>
              <w:bottom w:val="single" w:sz="4" w:space="0" w:color="000000"/>
              <w:right w:val="single" w:sz="4" w:space="0" w:color="000000"/>
            </w:tcBorders>
          </w:tcPr>
          <w:p w14:paraId="739F4F17" w14:textId="77777777" w:rsidR="00D97FF0" w:rsidRPr="00D97FF0" w:rsidRDefault="00D97FF0" w:rsidP="00D97FF0">
            <w:r w:rsidRPr="00D97FF0">
              <w:t>5.868 (28.34)</w:t>
            </w:r>
          </w:p>
        </w:tc>
        <w:tc>
          <w:tcPr>
            <w:tcW w:w="1418" w:type="dxa"/>
            <w:tcBorders>
              <w:top w:val="single" w:sz="4" w:space="0" w:color="000000"/>
              <w:left w:val="single" w:sz="4" w:space="0" w:color="000000"/>
              <w:bottom w:val="single" w:sz="4" w:space="0" w:color="000000"/>
              <w:right w:val="single" w:sz="4" w:space="0" w:color="000000"/>
            </w:tcBorders>
          </w:tcPr>
          <w:p w14:paraId="41AA2CAD" w14:textId="77777777" w:rsidR="00D97FF0" w:rsidRPr="00D97FF0" w:rsidRDefault="00D97FF0" w:rsidP="00D97FF0">
            <w:r w:rsidRPr="00D97FF0">
              <w:t>6.161 (25.46)</w:t>
            </w:r>
          </w:p>
        </w:tc>
        <w:tc>
          <w:tcPr>
            <w:tcW w:w="1984" w:type="dxa"/>
            <w:tcBorders>
              <w:top w:val="single" w:sz="4" w:space="0" w:color="000000"/>
              <w:left w:val="single" w:sz="4" w:space="0" w:color="000000"/>
              <w:bottom w:val="single" w:sz="4" w:space="0" w:color="000000"/>
              <w:right w:val="single" w:sz="4" w:space="0" w:color="000000"/>
            </w:tcBorders>
          </w:tcPr>
          <w:p w14:paraId="3880C47C" w14:textId="77777777" w:rsidR="00D97FF0" w:rsidRPr="00D97FF0" w:rsidRDefault="00D97FF0" w:rsidP="00D97FF0">
            <w:r w:rsidRPr="00D97FF0">
              <w:t>5.939 (27.75)</w:t>
            </w:r>
          </w:p>
        </w:tc>
      </w:tr>
      <w:tr w:rsidR="00D97FF0" w:rsidRPr="00D97FF0" w14:paraId="4A0CABFF" w14:textId="77777777" w:rsidTr="00555920">
        <w:trPr>
          <w:trHeight w:val="288"/>
        </w:trPr>
        <w:tc>
          <w:tcPr>
            <w:tcW w:w="2830" w:type="dxa"/>
            <w:tcBorders>
              <w:top w:val="single" w:sz="4" w:space="0" w:color="000000"/>
              <w:left w:val="single" w:sz="4" w:space="0" w:color="000000"/>
              <w:bottom w:val="single" w:sz="4" w:space="0" w:color="000000"/>
              <w:right w:val="single" w:sz="4" w:space="0" w:color="000000"/>
            </w:tcBorders>
          </w:tcPr>
          <w:p w14:paraId="4A934670" w14:textId="77777777" w:rsidR="00D97FF0" w:rsidRPr="00D97FF0" w:rsidRDefault="00D97FF0" w:rsidP="00D97FF0">
            <w:pPr>
              <w:rPr>
                <w:b/>
                <w:bCs/>
                <w:sz w:val="24"/>
                <w:szCs w:val="24"/>
              </w:rPr>
            </w:pPr>
            <w:r w:rsidRPr="00D97FF0">
              <w:rPr>
                <w:b/>
                <w:bCs/>
                <w:sz w:val="24"/>
                <w:szCs w:val="24"/>
              </w:rPr>
              <w:t>C</w:t>
            </w:r>
            <w:r w:rsidRPr="00D97FF0">
              <w:rPr>
                <w:b/>
                <w:bCs/>
                <w:sz w:val="24"/>
                <w:szCs w:val="24"/>
                <w:vertAlign w:val="subscript"/>
              </w:rPr>
              <w:t>max</w:t>
            </w:r>
            <w:r w:rsidRPr="00D97FF0">
              <w:rPr>
                <w:b/>
                <w:bCs/>
                <w:sz w:val="24"/>
                <w:szCs w:val="24"/>
              </w:rPr>
              <w:t>,26-52 (µg/mL)</w:t>
            </w:r>
          </w:p>
        </w:tc>
        <w:tc>
          <w:tcPr>
            <w:tcW w:w="1418" w:type="dxa"/>
            <w:tcBorders>
              <w:top w:val="single" w:sz="4" w:space="0" w:color="000000"/>
              <w:left w:val="single" w:sz="4" w:space="0" w:color="000000"/>
              <w:bottom w:val="single" w:sz="4" w:space="0" w:color="000000"/>
              <w:right w:val="single" w:sz="4" w:space="0" w:color="000000"/>
            </w:tcBorders>
          </w:tcPr>
          <w:p w14:paraId="0F020DE8" w14:textId="77777777" w:rsidR="00D97FF0" w:rsidRPr="00D97FF0" w:rsidRDefault="00D97FF0" w:rsidP="00D97FF0">
            <w:r w:rsidRPr="00D97FF0">
              <w:t>14.58 (30.44)</w:t>
            </w:r>
          </w:p>
        </w:tc>
        <w:tc>
          <w:tcPr>
            <w:tcW w:w="1559" w:type="dxa"/>
            <w:tcBorders>
              <w:top w:val="single" w:sz="4" w:space="0" w:color="000000"/>
              <w:left w:val="single" w:sz="4" w:space="0" w:color="000000"/>
              <w:bottom w:val="single" w:sz="4" w:space="0" w:color="000000"/>
              <w:right w:val="single" w:sz="4" w:space="0" w:color="000000"/>
            </w:tcBorders>
          </w:tcPr>
          <w:p w14:paraId="5CDC413D" w14:textId="77777777" w:rsidR="00D97FF0" w:rsidRPr="00D97FF0" w:rsidRDefault="00D97FF0" w:rsidP="00D97FF0">
            <w:r w:rsidRPr="00D97FF0">
              <w:t>13.60 (28.49)</w:t>
            </w:r>
          </w:p>
        </w:tc>
        <w:tc>
          <w:tcPr>
            <w:tcW w:w="1418" w:type="dxa"/>
            <w:tcBorders>
              <w:top w:val="single" w:sz="4" w:space="0" w:color="000000"/>
              <w:left w:val="single" w:sz="4" w:space="0" w:color="000000"/>
              <w:bottom w:val="single" w:sz="4" w:space="0" w:color="000000"/>
              <w:right w:val="single" w:sz="4" w:space="0" w:color="000000"/>
            </w:tcBorders>
          </w:tcPr>
          <w:p w14:paraId="08BFB7B3" w14:textId="77777777" w:rsidR="00D97FF0" w:rsidRPr="00D97FF0" w:rsidRDefault="00D97FF0" w:rsidP="00D97FF0">
            <w:r w:rsidRPr="00D97FF0">
              <w:t>13.59 (25.14)</w:t>
            </w:r>
          </w:p>
        </w:tc>
        <w:tc>
          <w:tcPr>
            <w:tcW w:w="1984" w:type="dxa"/>
            <w:tcBorders>
              <w:top w:val="single" w:sz="4" w:space="0" w:color="000000"/>
              <w:left w:val="single" w:sz="4" w:space="0" w:color="000000"/>
              <w:bottom w:val="single" w:sz="4" w:space="0" w:color="000000"/>
              <w:right w:val="single" w:sz="4" w:space="0" w:color="000000"/>
            </w:tcBorders>
          </w:tcPr>
          <w:p w14:paraId="3DF70F24" w14:textId="77777777" w:rsidR="00D97FF0" w:rsidRPr="00D97FF0" w:rsidRDefault="00D97FF0" w:rsidP="00D97FF0">
            <w:r w:rsidRPr="00D97FF0">
              <w:t>13.63 (27.69)</w:t>
            </w:r>
          </w:p>
        </w:tc>
      </w:tr>
      <w:tr w:rsidR="00D97FF0" w:rsidRPr="00D97FF0" w14:paraId="6F4F0BFD" w14:textId="77777777" w:rsidTr="00555920">
        <w:trPr>
          <w:trHeight w:val="287"/>
        </w:trPr>
        <w:tc>
          <w:tcPr>
            <w:tcW w:w="2830" w:type="dxa"/>
            <w:tcBorders>
              <w:top w:val="single" w:sz="4" w:space="0" w:color="000000"/>
              <w:left w:val="single" w:sz="4" w:space="0" w:color="000000"/>
              <w:bottom w:val="single" w:sz="4" w:space="0" w:color="000000"/>
              <w:right w:val="single" w:sz="4" w:space="0" w:color="000000"/>
            </w:tcBorders>
          </w:tcPr>
          <w:p w14:paraId="632F4042" w14:textId="77777777" w:rsidR="00D97FF0" w:rsidRPr="00D97FF0" w:rsidRDefault="00D97FF0" w:rsidP="00D97FF0">
            <w:pPr>
              <w:rPr>
                <w:b/>
                <w:bCs/>
                <w:sz w:val="24"/>
                <w:szCs w:val="24"/>
              </w:rPr>
            </w:pPr>
            <w:proofErr w:type="spellStart"/>
            <w:r w:rsidRPr="00D97FF0">
              <w:rPr>
                <w:b/>
                <w:bCs/>
                <w:sz w:val="24"/>
                <w:szCs w:val="24"/>
              </w:rPr>
              <w:t>T</w:t>
            </w:r>
            <w:r w:rsidRPr="00D97FF0">
              <w:rPr>
                <w:b/>
                <w:bCs/>
                <w:sz w:val="24"/>
                <w:szCs w:val="24"/>
                <w:vertAlign w:val="subscript"/>
              </w:rPr>
              <w:t>max</w:t>
            </w:r>
            <w:proofErr w:type="spellEnd"/>
            <w:r w:rsidRPr="00D97FF0">
              <w:rPr>
                <w:b/>
                <w:bCs/>
                <w:sz w:val="24"/>
                <w:szCs w:val="24"/>
              </w:rPr>
              <w:t>, 26-52 (day)</w:t>
            </w:r>
          </w:p>
        </w:tc>
        <w:tc>
          <w:tcPr>
            <w:tcW w:w="1418" w:type="dxa"/>
            <w:tcBorders>
              <w:top w:val="single" w:sz="4" w:space="0" w:color="000000"/>
              <w:left w:val="single" w:sz="4" w:space="0" w:color="000000"/>
              <w:bottom w:val="single" w:sz="4" w:space="0" w:color="000000"/>
              <w:right w:val="single" w:sz="4" w:space="0" w:color="000000"/>
            </w:tcBorders>
          </w:tcPr>
          <w:p w14:paraId="26C11006" w14:textId="77777777" w:rsidR="00D97FF0" w:rsidRPr="00D97FF0" w:rsidRDefault="00D97FF0" w:rsidP="00D97FF0">
            <w:r w:rsidRPr="00D97FF0">
              <w:t>10.83 (8.750)</w:t>
            </w:r>
          </w:p>
        </w:tc>
        <w:tc>
          <w:tcPr>
            <w:tcW w:w="1559" w:type="dxa"/>
            <w:tcBorders>
              <w:top w:val="single" w:sz="4" w:space="0" w:color="000000"/>
              <w:left w:val="single" w:sz="4" w:space="0" w:color="000000"/>
              <w:bottom w:val="single" w:sz="4" w:space="0" w:color="000000"/>
              <w:right w:val="single" w:sz="4" w:space="0" w:color="000000"/>
            </w:tcBorders>
          </w:tcPr>
          <w:p w14:paraId="57908D2C" w14:textId="2375FE36" w:rsidR="00D97FF0" w:rsidRPr="00D97FF0" w:rsidRDefault="00D97FF0" w:rsidP="00D97FF0">
            <w:r w:rsidRPr="00D97FF0">
              <w:t>13.17 (16.47)</w:t>
            </w:r>
          </w:p>
        </w:tc>
        <w:tc>
          <w:tcPr>
            <w:tcW w:w="1418" w:type="dxa"/>
            <w:tcBorders>
              <w:top w:val="single" w:sz="4" w:space="0" w:color="000000"/>
              <w:left w:val="single" w:sz="4" w:space="0" w:color="000000"/>
              <w:bottom w:val="single" w:sz="4" w:space="0" w:color="000000"/>
              <w:right w:val="single" w:sz="4" w:space="0" w:color="000000"/>
            </w:tcBorders>
          </w:tcPr>
          <w:p w14:paraId="5F84A667" w14:textId="77777777" w:rsidR="00D97FF0" w:rsidRPr="00D97FF0" w:rsidRDefault="00D97FF0" w:rsidP="00D97FF0">
            <w:r w:rsidRPr="00D97FF0">
              <w:t>15.22 (15.83)</w:t>
            </w:r>
          </w:p>
        </w:tc>
        <w:tc>
          <w:tcPr>
            <w:tcW w:w="1984" w:type="dxa"/>
            <w:tcBorders>
              <w:top w:val="single" w:sz="4" w:space="0" w:color="000000"/>
              <w:left w:val="single" w:sz="4" w:space="0" w:color="000000"/>
              <w:bottom w:val="single" w:sz="4" w:space="0" w:color="000000"/>
              <w:right w:val="single" w:sz="4" w:space="0" w:color="000000"/>
            </w:tcBorders>
          </w:tcPr>
          <w:p w14:paraId="7EF099F3" w14:textId="77777777" w:rsidR="00D97FF0" w:rsidRPr="00D97FF0" w:rsidRDefault="00D97FF0" w:rsidP="00D97FF0">
            <w:r w:rsidRPr="00D97FF0">
              <w:t>13.59 (17.80)</w:t>
            </w:r>
          </w:p>
        </w:tc>
      </w:tr>
      <w:tr w:rsidR="00D97FF0" w:rsidRPr="00D97FF0" w14:paraId="5CB4DE58" w14:textId="77777777" w:rsidTr="00555920">
        <w:trPr>
          <w:trHeight w:val="290"/>
        </w:trPr>
        <w:tc>
          <w:tcPr>
            <w:tcW w:w="2830" w:type="dxa"/>
            <w:tcBorders>
              <w:top w:val="single" w:sz="4" w:space="0" w:color="000000"/>
              <w:left w:val="single" w:sz="4" w:space="0" w:color="000000"/>
              <w:bottom w:val="single" w:sz="4" w:space="0" w:color="000000"/>
              <w:right w:val="single" w:sz="4" w:space="0" w:color="000000"/>
            </w:tcBorders>
          </w:tcPr>
          <w:p w14:paraId="468BEDE8" w14:textId="4DE2DEE3" w:rsidR="00D97FF0" w:rsidRPr="00D97FF0" w:rsidRDefault="00D97FF0" w:rsidP="00D97FF0">
            <w:pPr>
              <w:rPr>
                <w:b/>
                <w:bCs/>
                <w:sz w:val="24"/>
                <w:szCs w:val="24"/>
              </w:rPr>
            </w:pPr>
            <w:proofErr w:type="spellStart"/>
            <w:r w:rsidRPr="00D97FF0">
              <w:rPr>
                <w:b/>
                <w:bCs/>
                <w:sz w:val="24"/>
                <w:szCs w:val="24"/>
              </w:rPr>
              <w:t>C</w:t>
            </w:r>
            <w:r w:rsidRPr="00D97FF0">
              <w:rPr>
                <w:b/>
                <w:bCs/>
                <w:sz w:val="24"/>
                <w:szCs w:val="24"/>
                <w:vertAlign w:val="subscript"/>
              </w:rPr>
              <w:t>trough</w:t>
            </w:r>
            <w:proofErr w:type="spellEnd"/>
            <w:r w:rsidRPr="00D97FF0">
              <w:rPr>
                <w:b/>
                <w:bCs/>
                <w:sz w:val="24"/>
                <w:szCs w:val="24"/>
                <w:vertAlign w:val="subscript"/>
              </w:rPr>
              <w:t>,</w:t>
            </w:r>
            <w:r w:rsidR="00815E71">
              <w:rPr>
                <w:b/>
                <w:bCs/>
                <w:sz w:val="24"/>
                <w:szCs w:val="24"/>
                <w:vertAlign w:val="subscript"/>
              </w:rPr>
              <w:t xml:space="preserve"> </w:t>
            </w:r>
            <w:r w:rsidRPr="00D97FF0">
              <w:rPr>
                <w:b/>
                <w:bCs/>
                <w:sz w:val="24"/>
                <w:szCs w:val="24"/>
                <w:vertAlign w:val="subscript"/>
              </w:rPr>
              <w:t xml:space="preserve">week52 </w:t>
            </w:r>
            <w:r w:rsidRPr="00D97FF0">
              <w:rPr>
                <w:b/>
                <w:bCs/>
                <w:sz w:val="24"/>
                <w:szCs w:val="24"/>
              </w:rPr>
              <w:t>(µg/mL)</w:t>
            </w:r>
          </w:p>
        </w:tc>
        <w:tc>
          <w:tcPr>
            <w:tcW w:w="1418" w:type="dxa"/>
            <w:tcBorders>
              <w:top w:val="single" w:sz="4" w:space="0" w:color="000000"/>
              <w:left w:val="single" w:sz="4" w:space="0" w:color="000000"/>
              <w:bottom w:val="single" w:sz="4" w:space="0" w:color="000000"/>
              <w:right w:val="single" w:sz="4" w:space="0" w:color="000000"/>
            </w:tcBorders>
          </w:tcPr>
          <w:p w14:paraId="0132C702" w14:textId="77777777" w:rsidR="00D97FF0" w:rsidRPr="00D97FF0" w:rsidRDefault="00D97FF0" w:rsidP="00D97FF0">
            <w:r w:rsidRPr="00D97FF0">
              <w:t>1.081 (39.32)</w:t>
            </w:r>
          </w:p>
        </w:tc>
        <w:tc>
          <w:tcPr>
            <w:tcW w:w="1559" w:type="dxa"/>
            <w:tcBorders>
              <w:top w:val="single" w:sz="4" w:space="0" w:color="000000"/>
              <w:left w:val="single" w:sz="4" w:space="0" w:color="000000"/>
              <w:bottom w:val="single" w:sz="4" w:space="0" w:color="000000"/>
              <w:right w:val="single" w:sz="4" w:space="0" w:color="000000"/>
            </w:tcBorders>
          </w:tcPr>
          <w:p w14:paraId="14095685" w14:textId="77777777" w:rsidR="00D97FF0" w:rsidRPr="00D97FF0" w:rsidRDefault="00D97FF0" w:rsidP="00D97FF0">
            <w:r w:rsidRPr="00D97FF0">
              <w:t>1.280 (39.02)</w:t>
            </w:r>
          </w:p>
        </w:tc>
        <w:tc>
          <w:tcPr>
            <w:tcW w:w="1418" w:type="dxa"/>
            <w:tcBorders>
              <w:top w:val="single" w:sz="4" w:space="0" w:color="000000"/>
              <w:left w:val="single" w:sz="4" w:space="0" w:color="000000"/>
              <w:bottom w:val="single" w:sz="4" w:space="0" w:color="000000"/>
              <w:right w:val="single" w:sz="4" w:space="0" w:color="000000"/>
            </w:tcBorders>
          </w:tcPr>
          <w:p w14:paraId="4548E809" w14:textId="77777777" w:rsidR="00D97FF0" w:rsidRPr="00D97FF0" w:rsidRDefault="00D97FF0" w:rsidP="00D97FF0">
            <w:r w:rsidRPr="00D97FF0">
              <w:t>1.451 (34.12)</w:t>
            </w:r>
          </w:p>
        </w:tc>
        <w:tc>
          <w:tcPr>
            <w:tcW w:w="1984" w:type="dxa"/>
            <w:tcBorders>
              <w:top w:val="single" w:sz="4" w:space="0" w:color="000000"/>
              <w:left w:val="single" w:sz="4" w:space="0" w:color="000000"/>
              <w:bottom w:val="single" w:sz="4" w:space="0" w:color="000000"/>
              <w:right w:val="single" w:sz="4" w:space="0" w:color="000000"/>
            </w:tcBorders>
          </w:tcPr>
          <w:p w14:paraId="18FA7DB2" w14:textId="77777777" w:rsidR="00D97FF0" w:rsidRPr="00D97FF0" w:rsidRDefault="00D97FF0" w:rsidP="00D97FF0">
            <w:r w:rsidRPr="00D97FF0">
              <w:t>1.315 (38.37)</w:t>
            </w:r>
          </w:p>
        </w:tc>
      </w:tr>
      <w:tr w:rsidR="00D97FF0" w:rsidRPr="00D97FF0" w14:paraId="5C8C6416" w14:textId="77777777" w:rsidTr="00555920">
        <w:trPr>
          <w:trHeight w:val="287"/>
        </w:trPr>
        <w:tc>
          <w:tcPr>
            <w:tcW w:w="2830" w:type="dxa"/>
            <w:tcBorders>
              <w:top w:val="single" w:sz="4" w:space="0" w:color="000000"/>
              <w:left w:val="single" w:sz="4" w:space="0" w:color="000000"/>
              <w:bottom w:val="single" w:sz="4" w:space="0" w:color="000000"/>
              <w:right w:val="single" w:sz="4" w:space="0" w:color="000000"/>
            </w:tcBorders>
          </w:tcPr>
          <w:p w14:paraId="21C2B727" w14:textId="77777777" w:rsidR="00D97FF0" w:rsidRPr="00D97FF0" w:rsidRDefault="00D97FF0" w:rsidP="00D97FF0">
            <w:pPr>
              <w:rPr>
                <w:b/>
                <w:bCs/>
                <w:sz w:val="24"/>
                <w:szCs w:val="24"/>
              </w:rPr>
            </w:pPr>
            <w:r w:rsidRPr="00D97FF0">
              <w:rPr>
                <w:b/>
                <w:bCs/>
                <w:sz w:val="24"/>
                <w:szCs w:val="24"/>
              </w:rPr>
              <w:t>t1/2 (day)</w:t>
            </w:r>
          </w:p>
        </w:tc>
        <w:tc>
          <w:tcPr>
            <w:tcW w:w="1418" w:type="dxa"/>
            <w:tcBorders>
              <w:top w:val="single" w:sz="4" w:space="0" w:color="000000"/>
              <w:left w:val="single" w:sz="4" w:space="0" w:color="000000"/>
              <w:bottom w:val="single" w:sz="4" w:space="0" w:color="000000"/>
              <w:right w:val="single" w:sz="4" w:space="0" w:color="000000"/>
            </w:tcBorders>
          </w:tcPr>
          <w:p w14:paraId="45F91D32" w14:textId="77777777" w:rsidR="00D97FF0" w:rsidRPr="00D97FF0" w:rsidRDefault="00D97FF0" w:rsidP="00D97FF0">
            <w:r w:rsidRPr="00D97FF0">
              <w:t>44.73 (8.578)</w:t>
            </w:r>
          </w:p>
        </w:tc>
        <w:tc>
          <w:tcPr>
            <w:tcW w:w="1559" w:type="dxa"/>
            <w:tcBorders>
              <w:top w:val="single" w:sz="4" w:space="0" w:color="000000"/>
              <w:left w:val="single" w:sz="4" w:space="0" w:color="000000"/>
              <w:bottom w:val="single" w:sz="4" w:space="0" w:color="000000"/>
              <w:right w:val="single" w:sz="4" w:space="0" w:color="000000"/>
            </w:tcBorders>
          </w:tcPr>
          <w:p w14:paraId="00E1F2B1" w14:textId="77777777" w:rsidR="00D97FF0" w:rsidRPr="00D97FF0" w:rsidRDefault="00D97FF0" w:rsidP="00D97FF0">
            <w:r w:rsidRPr="00D97FF0">
              <w:t>48.23 (9.802)</w:t>
            </w:r>
          </w:p>
        </w:tc>
        <w:tc>
          <w:tcPr>
            <w:tcW w:w="1418" w:type="dxa"/>
            <w:tcBorders>
              <w:top w:val="single" w:sz="4" w:space="0" w:color="000000"/>
              <w:left w:val="single" w:sz="4" w:space="0" w:color="000000"/>
              <w:bottom w:val="single" w:sz="4" w:space="0" w:color="000000"/>
              <w:right w:val="single" w:sz="4" w:space="0" w:color="000000"/>
            </w:tcBorders>
          </w:tcPr>
          <w:p w14:paraId="77281683" w14:textId="77777777" w:rsidR="00D97FF0" w:rsidRPr="00D97FF0" w:rsidRDefault="00D97FF0" w:rsidP="00D97FF0">
            <w:r w:rsidRPr="00D97FF0">
              <w:t>49.91 (8.432)</w:t>
            </w:r>
          </w:p>
        </w:tc>
        <w:tc>
          <w:tcPr>
            <w:tcW w:w="1984" w:type="dxa"/>
            <w:tcBorders>
              <w:top w:val="single" w:sz="4" w:space="0" w:color="000000"/>
              <w:left w:val="single" w:sz="4" w:space="0" w:color="000000"/>
              <w:bottom w:val="single" w:sz="4" w:space="0" w:color="000000"/>
              <w:right w:val="single" w:sz="4" w:space="0" w:color="000000"/>
            </w:tcBorders>
          </w:tcPr>
          <w:p w14:paraId="57F491DB" w14:textId="77777777" w:rsidR="00D97FF0" w:rsidRPr="00D97FF0" w:rsidRDefault="00D97FF0" w:rsidP="00D97FF0">
            <w:r w:rsidRPr="00D97FF0">
              <w:t>48.55 (9.645)</w:t>
            </w:r>
          </w:p>
        </w:tc>
      </w:tr>
    </w:tbl>
    <w:p w14:paraId="3B2883B8" w14:textId="77777777" w:rsidR="000C1189" w:rsidRDefault="000C1189" w:rsidP="007D05B5"/>
    <w:p w14:paraId="4168D11F" w14:textId="14D7F040" w:rsidR="007D05B5" w:rsidRDefault="007D05B5" w:rsidP="007D05B5">
      <w:r>
        <w:t xml:space="preserve">Depemokimab is a large molecule of around 149 </w:t>
      </w:r>
      <w:proofErr w:type="spellStart"/>
      <w:r>
        <w:t>kDa</w:t>
      </w:r>
      <w:proofErr w:type="spellEnd"/>
      <w:r>
        <w:t xml:space="preserve">, precluding renal elimination. There were no dedicated studies in renal impairment. Based on the </w:t>
      </w:r>
      <w:proofErr w:type="spellStart"/>
      <w:r>
        <w:t>popPK</w:t>
      </w:r>
      <w:proofErr w:type="spellEnd"/>
      <w:r>
        <w:t xml:space="preserve"> analysis there was no meaningful effect on PK in states of chronic kidney disease. There were no dedicated studies in hepatic impairment. From the </w:t>
      </w:r>
      <w:proofErr w:type="spellStart"/>
      <w:r>
        <w:t>popPK</w:t>
      </w:r>
      <w:proofErr w:type="spellEnd"/>
      <w:r>
        <w:t xml:space="preserve"> and using observed data hepatic impairment does not have a clinically significant impact on depemokimab apparent clearance. </w:t>
      </w:r>
    </w:p>
    <w:p w14:paraId="6D2B6BB9" w14:textId="77777777" w:rsidR="007D05B5" w:rsidRDefault="007D05B5" w:rsidP="007D05B5">
      <w:r>
        <w:t xml:space="preserve">The absence of expression of IL-5 on hepatocytes together with the observation that there is minimal elevation of systemic pro-inflammatory markers in severe refractory eosinophilic asthma suggest a low potential for an interaction with CYP450 enzymes and drug transporters. </w:t>
      </w:r>
    </w:p>
    <w:p w14:paraId="35D093C4" w14:textId="472B5011" w:rsidR="007D05B5" w:rsidRPr="00067204" w:rsidRDefault="005C779D" w:rsidP="007D05B5">
      <w:r>
        <w:t>Relative</w:t>
      </w:r>
      <w:r w:rsidR="007D05B5">
        <w:t xml:space="preserve"> bioavailability from the autoinjector and the safety syringe supported use of either device. </w:t>
      </w:r>
    </w:p>
    <w:p w14:paraId="1DC18DE9" w14:textId="01EA9BE6" w:rsidR="007D05B5" w:rsidRPr="00393EBD" w:rsidRDefault="007D05B5" w:rsidP="0003095D">
      <w:pPr>
        <w:pStyle w:val="Heading6"/>
      </w:pPr>
      <w:r w:rsidRPr="00393EBD">
        <w:t>Population PK data</w:t>
      </w:r>
      <w:fldSimple w:instr="DOCVARIABLE vault_nd_78aa5ba8-b5c6-4805-9f99-e99c7f11c242 \* MERGEFORMAT">
        <w:r w:rsidR="008A6BD8">
          <w:t xml:space="preserve"> </w:t>
        </w:r>
      </w:fldSimple>
    </w:p>
    <w:p w14:paraId="5212999E" w14:textId="77777777" w:rsidR="007E37A9" w:rsidRDefault="007E37A9" w:rsidP="007E37A9">
      <w:r>
        <w:t xml:space="preserve">Depemokimab PK was described by a 1-compartment model with first order absorption and elimination. The mean </w:t>
      </w:r>
      <w:proofErr w:type="spellStart"/>
      <w:r>
        <w:t>Vz</w:t>
      </w:r>
      <w:proofErr w:type="spellEnd"/>
      <w:r>
        <w:t xml:space="preserve">/F was 6.3L, and the </w:t>
      </w:r>
      <w:proofErr w:type="spellStart"/>
      <w:r>
        <w:t>Vz</w:t>
      </w:r>
      <w:proofErr w:type="spellEnd"/>
      <w:r>
        <w:t>/F was consistent and independent of dose, suggesting dose linear kinetics.</w:t>
      </w:r>
    </w:p>
    <w:p w14:paraId="256DF6F7" w14:textId="3C353C69" w:rsidR="007D05B5" w:rsidRDefault="007D05B5" w:rsidP="007D05B5">
      <w:r>
        <w:t xml:space="preserve">Using data from the first in human study in mild to moderate asthma and employing model informed drug development principles the 100 mg SC Q26W dosing was chosen to take forward into the phase </w:t>
      </w:r>
      <w:r w:rsidR="0099469C">
        <w:t>3</w:t>
      </w:r>
      <w:r>
        <w:t xml:space="preserve"> efficacy studies. The evaluator supported this dose for the asthma studies. </w:t>
      </w:r>
    </w:p>
    <w:p w14:paraId="74BA7B53" w14:textId="7965DF82" w:rsidR="005D3613" w:rsidRPr="005D3613" w:rsidRDefault="0003095D" w:rsidP="005D3613">
      <w:pPr>
        <w:pStyle w:val="Heading5"/>
      </w:pPr>
      <w:r w:rsidRPr="005D3613">
        <w:t xml:space="preserve">Pharmacokinetics - </w:t>
      </w:r>
      <w:r w:rsidR="005C779D" w:rsidRPr="005C779D">
        <w:t>CRSwNP</w:t>
      </w:r>
      <w:fldSimple w:instr="DOCVARIABLE vault_nd_13a069e0-2d73-45c1-9f32-0117bff8da0f \* MERGEFORMAT">
        <w:r w:rsidR="008A6BD8">
          <w:t xml:space="preserve"> </w:t>
        </w:r>
      </w:fldSimple>
    </w:p>
    <w:p w14:paraId="5C654110" w14:textId="312FF265" w:rsidR="00CE2155" w:rsidRPr="00CE2155" w:rsidRDefault="00CE2155" w:rsidP="00CE2155">
      <w:r w:rsidRPr="001C0818">
        <w:t xml:space="preserve">The </w:t>
      </w:r>
      <w:r w:rsidR="007D5C4B">
        <w:t>p</w:t>
      </w:r>
      <w:r w:rsidRPr="001C0818">
        <w:t xml:space="preserve">harmacokinetic (PK) analysis specific to patients with CRSwNP was derived from data obtained from 143 </w:t>
      </w:r>
      <w:r w:rsidR="004D615A">
        <w:t xml:space="preserve">adult </w:t>
      </w:r>
      <w:r w:rsidRPr="001C0818">
        <w:t xml:space="preserve">participants in ANCHOR-1 and 129 </w:t>
      </w:r>
      <w:r w:rsidR="00741364">
        <w:t xml:space="preserve">adult </w:t>
      </w:r>
      <w:r w:rsidRPr="001C0818">
        <w:t xml:space="preserve">participants in ANCHOR-2 </w:t>
      </w:r>
      <w:r w:rsidRPr="001C0818">
        <w:lastRenderedPageBreak/>
        <w:t xml:space="preserve">dosed with depemokimab, with ≥1 PK sample that was analysed, and was measurable (including imputed values &lt; </w:t>
      </w:r>
      <w:proofErr w:type="spellStart"/>
      <w:r w:rsidRPr="001C0818">
        <w:t>LLoQ</w:t>
      </w:r>
      <w:proofErr w:type="spellEnd"/>
      <w:r w:rsidRPr="001C0818">
        <w:t>).</w:t>
      </w:r>
      <w:r w:rsidR="00C30EEC" w:rsidRPr="00C30EEC">
        <w:t xml:space="preserve"> There are no studies in</w:t>
      </w:r>
      <w:r w:rsidR="00C30EEC">
        <w:t xml:space="preserve"> CRSwNP</w:t>
      </w:r>
      <w:r w:rsidR="00C30EEC" w:rsidRPr="00C30EEC">
        <w:t xml:space="preserve"> paediatric patients</w:t>
      </w:r>
      <w:r w:rsidR="00E16F57">
        <w:t xml:space="preserve"> (&lt;</w:t>
      </w:r>
      <w:r w:rsidR="00766ACB">
        <w:t xml:space="preserve"> 18</w:t>
      </w:r>
      <w:r w:rsidR="00C30EEC" w:rsidRPr="00C30EEC">
        <w:t xml:space="preserve"> years</w:t>
      </w:r>
      <w:r w:rsidR="00E16F57">
        <w:t>)</w:t>
      </w:r>
      <w:r w:rsidR="00C30EEC" w:rsidRPr="00C30EEC">
        <w:t xml:space="preserve">. </w:t>
      </w:r>
    </w:p>
    <w:p w14:paraId="49911ABA" w14:textId="456EEB88" w:rsidR="003029F5" w:rsidRPr="003029F5" w:rsidRDefault="003029F5" w:rsidP="00FF212E">
      <w:r w:rsidRPr="003029F5">
        <w:t xml:space="preserve">The </w:t>
      </w:r>
      <w:r w:rsidR="00FF212E">
        <w:t>p</w:t>
      </w:r>
      <w:r w:rsidR="00FF212E" w:rsidRPr="00FF212E">
        <w:t>harmacokinetic</w:t>
      </w:r>
      <w:r w:rsidRPr="003029F5">
        <w:t xml:space="preserve"> endpoint was depemokimab plasma concentration at measured timepoints during the 52-week period in both ANCHOR-1 and ANCHOR-2 studies. </w:t>
      </w:r>
    </w:p>
    <w:p w14:paraId="5EBB288F" w14:textId="26868B90" w:rsidR="003029F5" w:rsidRDefault="003029F5" w:rsidP="00FF212E">
      <w:r w:rsidRPr="003029F5">
        <w:t>Maximum plasma concentrations were observed at Week 2 and Week 4 after dosing (Day 1 and Week 26). Concentrations declined gradually in a monophasic manner over the dosing interval. No evidence of accumulation or unexpected PK behaviour in CRSwNP was demonstrated in the data collected</w:t>
      </w:r>
      <w:r w:rsidR="00AA56B3">
        <w:t xml:space="preserve"> (Figure</w:t>
      </w:r>
      <w:r w:rsidR="00B717BF">
        <w:t xml:space="preserve"> </w:t>
      </w:r>
      <w:r w:rsidR="00AA56B3">
        <w:t>2</w:t>
      </w:r>
      <w:r w:rsidR="00B717BF">
        <w:t>, Figure 3)</w:t>
      </w:r>
      <w:r w:rsidRPr="003029F5">
        <w:t>.</w:t>
      </w:r>
    </w:p>
    <w:p w14:paraId="147586DC" w14:textId="0D40C2A9" w:rsidR="00C97C0A" w:rsidRDefault="003401A7" w:rsidP="00C97C0A">
      <w:pPr>
        <w:pStyle w:val="FigureTitle"/>
      </w:pPr>
      <w:r w:rsidRPr="003401A7">
        <w:t xml:space="preserve">Figure </w:t>
      </w:r>
      <w:r w:rsidR="00523827">
        <w:t>2</w:t>
      </w:r>
      <w:r w:rsidRPr="003401A7">
        <w:t>. Mean (+/- SD) depemokimab plasma concentration - time plots (linear and semi-log), PK population, ANCHOR-1 study.</w:t>
      </w:r>
    </w:p>
    <w:p w14:paraId="1E20E71F" w14:textId="4FEEBA7F" w:rsidR="003401A7" w:rsidRDefault="00447CBE" w:rsidP="00FF212E">
      <w:r w:rsidRPr="00447CBE">
        <w:rPr>
          <w:noProof/>
        </w:rPr>
        <w:drawing>
          <wp:inline distT="0" distB="0" distL="0" distR="0" wp14:anchorId="05435816" wp14:editId="10F5B588">
            <wp:extent cx="5962650" cy="3123324"/>
            <wp:effectExtent l="0" t="0" r="0" b="1270"/>
            <wp:docPr id="1060006196" name="Picture 1" descr="Figure 2. Mean (+/- SD) depemokimab plasma concentration - time plots (linear and semi-log), PK population, ANCHOR-1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06196" name="Picture 1" descr="Figure 2. Mean (+/- SD) depemokimab plasma concentration - time plots (linear and semi-log), PK population, ANCHOR-1 study."/>
                    <pic:cNvPicPr/>
                  </pic:nvPicPr>
                  <pic:blipFill>
                    <a:blip r:embed="rId24"/>
                    <a:stretch>
                      <a:fillRect/>
                    </a:stretch>
                  </pic:blipFill>
                  <pic:spPr>
                    <a:xfrm>
                      <a:off x="0" y="0"/>
                      <a:ext cx="5966973" cy="3125588"/>
                    </a:xfrm>
                    <a:prstGeom prst="rect">
                      <a:avLst/>
                    </a:prstGeom>
                  </pic:spPr>
                </pic:pic>
              </a:graphicData>
            </a:graphic>
          </wp:inline>
        </w:drawing>
      </w:r>
    </w:p>
    <w:p w14:paraId="3E21F2C9" w14:textId="77777777" w:rsidR="00C97C0A" w:rsidRPr="00C97C0A" w:rsidRDefault="00C97C0A" w:rsidP="00A16F18">
      <w:pPr>
        <w:pStyle w:val="FigureDescription"/>
        <w:keepNext w:val="0"/>
      </w:pPr>
      <w:r w:rsidRPr="00C97C0A">
        <w:t xml:space="preserve">Note: LLQ=0.1 </w:t>
      </w:r>
      <w:proofErr w:type="spellStart"/>
      <w:r w:rsidRPr="00C97C0A">
        <w:t>μg</w:t>
      </w:r>
      <w:proofErr w:type="spellEnd"/>
      <w:r w:rsidRPr="00C97C0A">
        <w:t>/</w:t>
      </w:r>
      <w:proofErr w:type="spellStart"/>
      <w:r w:rsidRPr="00C97C0A">
        <w:t>mL.</w:t>
      </w:r>
      <w:proofErr w:type="spellEnd"/>
      <w:r w:rsidRPr="00C97C0A">
        <w:t xml:space="preserve"> LLQ shown by horizontal reference line. If more than 30% of values are imputed, then SD is set to missing. Values less than or equal to 0 have been set to 0 on the linear scale and 0.001 on the semi-logarithmic scale.</w:t>
      </w:r>
    </w:p>
    <w:p w14:paraId="79F4B1F2" w14:textId="1D6B75AE" w:rsidR="0003095D" w:rsidRDefault="001717E9" w:rsidP="001717E9">
      <w:pPr>
        <w:pStyle w:val="FigureTitle"/>
      </w:pPr>
      <w:r w:rsidRPr="001717E9">
        <w:lastRenderedPageBreak/>
        <w:t xml:space="preserve">Figure </w:t>
      </w:r>
      <w:r w:rsidR="00521D96">
        <w:t>3</w:t>
      </w:r>
      <w:r w:rsidR="00FA6EB4">
        <w:t>.</w:t>
      </w:r>
      <w:r w:rsidRPr="001717E9">
        <w:t xml:space="preserve"> Mean (± SD) depemokimab plasma concentration - time plots (linear and semi-</w:t>
      </w:r>
      <w:r w:rsidRPr="001717E9">
        <w:rPr>
          <w:b w:val="0"/>
        </w:rPr>
        <w:t xml:space="preserve"> </w:t>
      </w:r>
      <w:r w:rsidRPr="001717E9">
        <w:t>log), PK population, ANCHOR-2 study</w:t>
      </w:r>
      <w:r w:rsidR="00FA6EB4">
        <w:t>.</w:t>
      </w:r>
      <w:r w:rsidRPr="001717E9">
        <w:t xml:space="preserve"> </w:t>
      </w:r>
    </w:p>
    <w:p w14:paraId="3C61C62D" w14:textId="5CE42E7C" w:rsidR="00794149" w:rsidRPr="0003095D" w:rsidRDefault="00794149" w:rsidP="00A16F18">
      <w:r w:rsidRPr="00794149">
        <w:rPr>
          <w:noProof/>
        </w:rPr>
        <w:drawing>
          <wp:inline distT="0" distB="0" distL="0" distR="0" wp14:anchorId="38D824D0" wp14:editId="3489F41A">
            <wp:extent cx="5759450" cy="3077210"/>
            <wp:effectExtent l="0" t="0" r="0" b="8890"/>
            <wp:docPr id="114844012" name="Picture 1" descr="Figure 3. Mean (± SD) depemokimab plasma concentration - time plots (linear and semi- log), PK population, ANCHOR-2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4012" name="Picture 1" descr="Figure 3. Mean (± SD) depemokimab plasma concentration - time plots (linear and semi- log), PK population, ANCHOR-2 study."/>
                    <pic:cNvPicPr/>
                  </pic:nvPicPr>
                  <pic:blipFill>
                    <a:blip r:embed="rId25"/>
                    <a:stretch>
                      <a:fillRect/>
                    </a:stretch>
                  </pic:blipFill>
                  <pic:spPr>
                    <a:xfrm>
                      <a:off x="0" y="0"/>
                      <a:ext cx="5759450" cy="3077210"/>
                    </a:xfrm>
                    <a:prstGeom prst="rect">
                      <a:avLst/>
                    </a:prstGeom>
                  </pic:spPr>
                </pic:pic>
              </a:graphicData>
            </a:graphic>
          </wp:inline>
        </w:drawing>
      </w:r>
    </w:p>
    <w:p w14:paraId="3F20A895" w14:textId="22B3D030" w:rsidR="0003095D" w:rsidRPr="00BB17E4" w:rsidRDefault="00021516" w:rsidP="00BB17E4">
      <w:pPr>
        <w:pStyle w:val="FigureDescription"/>
      </w:pPr>
      <w:r w:rsidRPr="00BB17E4">
        <w:t>Note: LLQ=0.1μg/</w:t>
      </w:r>
      <w:proofErr w:type="spellStart"/>
      <w:r w:rsidRPr="00BB17E4">
        <w:t>mL.</w:t>
      </w:r>
      <w:proofErr w:type="spellEnd"/>
      <w:r w:rsidRPr="00BB17E4">
        <w:t xml:space="preserve"> LLQ shown by horizontal reference line. If more than 30% of values are imputed, then SD is set to missing. Values less than or equal to 0 have been set to 0 on the linear scale and 0.001 on the semi-logarithmic scale</w:t>
      </w:r>
    </w:p>
    <w:p w14:paraId="48655736" w14:textId="06496049" w:rsidR="0003051F" w:rsidRDefault="0003051F" w:rsidP="0003051F">
      <w:r w:rsidRPr="00B9265E">
        <w:t>The</w:t>
      </w:r>
      <w:r>
        <w:t xml:space="preserve"> submission included population pharmacokinetic modelling.</w:t>
      </w:r>
      <w:r w:rsidRPr="00B9265E">
        <w:t xml:space="preserve"> </w:t>
      </w:r>
      <w:r>
        <w:t xml:space="preserve">The </w:t>
      </w:r>
      <w:proofErr w:type="spellStart"/>
      <w:r w:rsidRPr="00B9265E">
        <w:t>popPK</w:t>
      </w:r>
      <w:proofErr w:type="spellEnd"/>
      <w:r w:rsidRPr="00B9265E">
        <w:t xml:space="preserve"> evaluator found the model was built in accordance with Guideline on Reporting the Results of Population Pharmacokinetic Analyses</w:t>
      </w:r>
      <w:r>
        <w:t xml:space="preserve">, that the process was rigorous, and the results should be accepted.  Data were included from </w:t>
      </w:r>
      <w:r w:rsidR="003F2ED0">
        <w:t>four</w:t>
      </w:r>
      <w:r>
        <w:t xml:space="preserve"> phase </w:t>
      </w:r>
      <w:r w:rsidR="003F2ED0">
        <w:t>3</w:t>
      </w:r>
      <w:r>
        <w:t xml:space="preserve"> studies in asthma and CRSwNP and </w:t>
      </w:r>
      <w:r w:rsidR="003F2ED0">
        <w:t>three</w:t>
      </w:r>
      <w:r>
        <w:t xml:space="preserve"> </w:t>
      </w:r>
      <w:r w:rsidR="00120271">
        <w:t>p</w:t>
      </w:r>
      <w:r>
        <w:t>hase I studies in healthy and mild-mod asthma.</w:t>
      </w:r>
    </w:p>
    <w:p w14:paraId="1D9FE973" w14:textId="77777777" w:rsidR="0003051F" w:rsidRDefault="0003051F" w:rsidP="0003051F">
      <w:r>
        <w:t xml:space="preserve">Depemokimab is catabolised by proteolytic enzymes, so its metabolism is not limited to the function of a single organ. The target is not membrane bound so target mediated drug degradation is not a feature of the PK. </w:t>
      </w:r>
    </w:p>
    <w:p w14:paraId="1ACB941B" w14:textId="77777777" w:rsidR="0003051F" w:rsidRPr="00437A23" w:rsidRDefault="0003051F" w:rsidP="0003051F">
      <w:pPr>
        <w:rPr>
          <w:lang w:eastAsia="ja-JP"/>
        </w:rPr>
      </w:pPr>
      <w:r w:rsidRPr="00120F92">
        <w:rPr>
          <w:lang w:eastAsia="ja-JP"/>
        </w:rPr>
        <w:t>The long half-life (~6-8 weeks) supports extended dosing intervals.</w:t>
      </w:r>
    </w:p>
    <w:p w14:paraId="0EFD938C" w14:textId="77777777" w:rsidR="0003051F" w:rsidRDefault="0003051F" w:rsidP="0003051F">
      <w:r>
        <w:t xml:space="preserve">The </w:t>
      </w:r>
      <w:proofErr w:type="spellStart"/>
      <w:r>
        <w:t>popPK</w:t>
      </w:r>
      <w:proofErr w:type="spellEnd"/>
      <w:r>
        <w:t xml:space="preserve"> model did not demonstrate significant relationships between renal function or hepatic function, although dedicated PK studies were not included in the submission.</w:t>
      </w:r>
    </w:p>
    <w:p w14:paraId="31121D21" w14:textId="77777777" w:rsidR="0003051F" w:rsidRDefault="0003051F" w:rsidP="0003051F">
      <w:r>
        <w:t>Based on analyses of PK from the SWIFT studies in asthma and the ANCHOR studies in CRSwNP the 18% greater in exposure in Asian participants compared with White participants was not considered clinically significant and warranting dose adjustment. No dose adjustment is proposed based for patients aged &gt; 65 years based on an analysis of PK from patients aged &gt; 65 years across the program.</w:t>
      </w:r>
    </w:p>
    <w:p w14:paraId="1EF44877" w14:textId="77777777" w:rsidR="0003051F" w:rsidRPr="001201DF" w:rsidRDefault="0003051F" w:rsidP="0003051F">
      <w:r>
        <w:t xml:space="preserve">No dose adjustment is proposed </w:t>
      </w:r>
      <w:proofErr w:type="gramStart"/>
      <w:r>
        <w:t>on the basis of</w:t>
      </w:r>
      <w:proofErr w:type="gramEnd"/>
      <w:r>
        <w:t xml:space="preserve"> body weight because the </w:t>
      </w:r>
      <w:proofErr w:type="spellStart"/>
      <w:r>
        <w:t>C</w:t>
      </w:r>
      <w:r w:rsidRPr="003B462F">
        <w:rPr>
          <w:vertAlign w:val="subscript"/>
        </w:rPr>
        <w:t>trough</w:t>
      </w:r>
      <w:proofErr w:type="spellEnd"/>
      <w:r>
        <w:t xml:space="preserve"> for a 160kg patient was predicted to be greater than the EC</w:t>
      </w:r>
      <w:r w:rsidRPr="001201DF">
        <w:rPr>
          <w:vertAlign w:val="subscript"/>
        </w:rPr>
        <w:t>50</w:t>
      </w:r>
      <w:r>
        <w:rPr>
          <w:vertAlign w:val="subscript"/>
        </w:rPr>
        <w:t xml:space="preserve"> </w:t>
      </w:r>
      <w:r>
        <w:t>and an expected PD response of a 71% reduction in eosinophil count at that weight.</w:t>
      </w:r>
    </w:p>
    <w:p w14:paraId="1C8CD007" w14:textId="3070A373" w:rsidR="0003051F" w:rsidRDefault="0003051F" w:rsidP="0003051F">
      <w:r w:rsidRPr="00874A32">
        <w:t xml:space="preserve">Based on the evaluator’s considerations of the exposure-response analysis a target </w:t>
      </w:r>
      <w:proofErr w:type="spellStart"/>
      <w:r w:rsidRPr="00874A32">
        <w:t>C</w:t>
      </w:r>
      <w:r w:rsidRPr="00874A32">
        <w:rPr>
          <w:vertAlign w:val="subscript"/>
        </w:rPr>
        <w:t>trough</w:t>
      </w:r>
      <w:proofErr w:type="spellEnd"/>
      <w:r w:rsidRPr="00874A32">
        <w:rPr>
          <w:vertAlign w:val="subscript"/>
        </w:rPr>
        <w:t>,</w:t>
      </w:r>
      <w:r w:rsidR="000F4C82">
        <w:rPr>
          <w:vertAlign w:val="subscript"/>
        </w:rPr>
        <w:t xml:space="preserve"> </w:t>
      </w:r>
      <w:r w:rsidRPr="00874A32">
        <w:rPr>
          <w:vertAlign w:val="subscript"/>
        </w:rPr>
        <w:t>Week52</w:t>
      </w:r>
      <w:r w:rsidRPr="00874A32">
        <w:t xml:space="preserve"> ≥1.259 </w:t>
      </w:r>
      <w:proofErr w:type="spellStart"/>
      <w:r w:rsidRPr="00874A32">
        <w:t>μg</w:t>
      </w:r>
      <w:proofErr w:type="spellEnd"/>
      <w:r w:rsidRPr="00874A32">
        <w:t xml:space="preserve">/mL </w:t>
      </w:r>
      <w:r>
        <w:t>was suggested as</w:t>
      </w:r>
      <w:r w:rsidRPr="00874A32">
        <w:t xml:space="preserve"> appropriate. </w:t>
      </w:r>
      <w:r>
        <w:t xml:space="preserve">The evaluation proposed a </w:t>
      </w:r>
      <w:r w:rsidRPr="00874A32">
        <w:t xml:space="preserve">dose of 200 mg q26w </w:t>
      </w:r>
      <w:r>
        <w:t>as a possible alternative dose.</w:t>
      </w:r>
    </w:p>
    <w:p w14:paraId="06A83AF9" w14:textId="795552D0" w:rsidR="007D05B5" w:rsidRDefault="007D05B5" w:rsidP="007D05B5">
      <w:pPr>
        <w:pStyle w:val="Heading5"/>
      </w:pPr>
      <w:r w:rsidRPr="00AA53F4">
        <w:lastRenderedPageBreak/>
        <w:t>Pharmacodynamics</w:t>
      </w:r>
      <w:r w:rsidR="000F4C82">
        <w:t xml:space="preserve"> - Asthma</w:t>
      </w:r>
      <w:fldSimple w:instr="DOCVARIABLE vault_nd_43b0c60d-4f38-4162-aaec-2a239d6e605b \* MERGEFORMAT">
        <w:r w:rsidR="008A6BD8">
          <w:t xml:space="preserve"> </w:t>
        </w:r>
      </w:fldSimple>
    </w:p>
    <w:p w14:paraId="75E0D3CF" w14:textId="018F0059" w:rsidR="007D05B5" w:rsidRDefault="007D05B5" w:rsidP="007D05B5">
      <w:r>
        <w:t xml:space="preserve">Consistent with expected </w:t>
      </w:r>
      <w:r w:rsidR="00C625D6">
        <w:rPr>
          <w:iCs/>
        </w:rPr>
        <w:t>p</w:t>
      </w:r>
      <w:r w:rsidR="00C625D6" w:rsidRPr="00C625D6">
        <w:rPr>
          <w:iCs/>
        </w:rPr>
        <w:t xml:space="preserve">harmacodynamic </w:t>
      </w:r>
      <w:r w:rsidR="00C625D6">
        <w:rPr>
          <w:iCs/>
        </w:rPr>
        <w:t>(</w:t>
      </w:r>
      <w:r>
        <w:t>PD</w:t>
      </w:r>
      <w:r w:rsidR="00C625D6">
        <w:t>)</w:t>
      </w:r>
      <w:r>
        <w:t xml:space="preserve"> effects of IL-5 inhibitors, </w:t>
      </w:r>
      <w:r w:rsidR="00B00191" w:rsidRPr="00B00191">
        <w:t xml:space="preserve">depemokimab demonstrated rapid and sustained </w:t>
      </w:r>
      <w:r>
        <w:t xml:space="preserve">reductions in blood eosinophils </w:t>
      </w:r>
      <w:r w:rsidR="00143891">
        <w:t>following</w:t>
      </w:r>
      <w:r w:rsidR="00921A1D">
        <w:t xml:space="preserve"> </w:t>
      </w:r>
      <w:r>
        <w:t>depemokimab 100 mg SC Q26W</w:t>
      </w:r>
      <w:r w:rsidR="00921A1D">
        <w:t xml:space="preserve">. </w:t>
      </w:r>
      <w:r>
        <w:t xml:space="preserve"> </w:t>
      </w:r>
      <w:r w:rsidR="00C4209B" w:rsidRPr="00C4209B">
        <w:t xml:space="preserve">Reductions were evident within 2 weeks of dosing and maintained throughout the treatment interval </w:t>
      </w:r>
      <w:r>
        <w:t xml:space="preserve">with an approximate </w:t>
      </w:r>
      <w:r w:rsidRPr="00346930">
        <w:t xml:space="preserve">79% (95% CI: 75.8, 81.8) </w:t>
      </w:r>
      <w:r>
        <w:t xml:space="preserve">decrease from baseline at Week </w:t>
      </w:r>
      <w:r w:rsidRPr="00346930">
        <w:t>52</w:t>
      </w:r>
      <w:r>
        <w:t xml:space="preserve"> compared to placebo.  </w:t>
      </w:r>
    </w:p>
    <w:p w14:paraId="4D2AA5CF" w14:textId="77777777" w:rsidR="007D05B5" w:rsidRDefault="007D05B5" w:rsidP="007D05B5">
      <w:r>
        <w:t>In the population PK-PD analysis, age did not predict a meaningful difference in eosinophil responses. Exposure-response relationships did not clearly delineate a relationship between PD parameters and annualised exacerbation rate.</w:t>
      </w:r>
    </w:p>
    <w:p w14:paraId="7827C88B" w14:textId="1A2AEDE8" w:rsidR="007D05B5" w:rsidRDefault="007D05B5" w:rsidP="007D05B5">
      <w:r>
        <w:t xml:space="preserve">No </w:t>
      </w:r>
      <w:r w:rsidRPr="000C32EE">
        <w:t>thorough QT/QTc study was conducted</w:t>
      </w:r>
      <w:r>
        <w:t>. This approach is consistent with clinical programs for other</w:t>
      </w:r>
      <w:r w:rsidRPr="00B01F94">
        <w:t xml:space="preserve"> </w:t>
      </w:r>
      <w:r>
        <w:t xml:space="preserve">large antibodies that have a low likelihood of interacting with ion channels. </w:t>
      </w:r>
      <w:r w:rsidR="008A6140">
        <w:t>Electrocardiograph (</w:t>
      </w:r>
      <w:r>
        <w:t>ECG</w:t>
      </w:r>
      <w:r w:rsidR="008A6140">
        <w:t>)</w:t>
      </w:r>
      <w:r>
        <w:t xml:space="preserve"> examinations were performed in the clinical studies.</w:t>
      </w:r>
    </w:p>
    <w:p w14:paraId="49AF99F7" w14:textId="5F5BB6E4" w:rsidR="007A63E9" w:rsidRPr="007A63E9" w:rsidRDefault="007A63E9" w:rsidP="007A63E9">
      <w:pPr>
        <w:pStyle w:val="Heading5"/>
      </w:pPr>
      <w:r w:rsidRPr="007A63E9">
        <w:t>Pharmacodynamics</w:t>
      </w:r>
      <w:r>
        <w:t xml:space="preserve"> - </w:t>
      </w:r>
      <w:r w:rsidRPr="007A63E9">
        <w:t>CRSwNP</w:t>
      </w:r>
      <w:fldSimple w:instr="DOCVARIABLE vault_nd_dfb6e92f-9858-4589-bb5e-1dc9b1a73414 \* MERGEFORMAT">
        <w:r w:rsidR="008A6BD8">
          <w:t xml:space="preserve"> </w:t>
        </w:r>
      </w:fldSimple>
    </w:p>
    <w:p w14:paraId="70B272CB" w14:textId="77777777" w:rsidR="007A63E9" w:rsidRPr="007A63E9" w:rsidRDefault="007A63E9" w:rsidP="007A63E9">
      <w:r w:rsidRPr="007A63E9">
        <w:t>The pharmacodynamic (PD) outcome and endpoints for ANCHOR-1 and ANCHOR-2 was ratio to baseline in absolute blood eosinophil count at measured timepoints during the 52-week period.</w:t>
      </w:r>
    </w:p>
    <w:p w14:paraId="08EABC54" w14:textId="0BEBED8E" w:rsidR="007A63E9" w:rsidRDefault="007A63E9" w:rsidP="007A63E9">
      <w:r w:rsidRPr="007A63E9">
        <w:t>The baseline g</w:t>
      </w:r>
      <w:r w:rsidR="00D003A2">
        <w:t>eometric m</w:t>
      </w:r>
      <w:r w:rsidRPr="007A63E9">
        <w:t xml:space="preserve">ean blood eosinophil counts were generally similar between the depemokimab (0.319 GI/L) and placebo (0.359 GI/L) groups in ANCHOR-1, and in ANCHOR-2 counts were slightly higher in the depemokimab (0.375 GI/L) group compared to placebo (0.288 GI/L). Both studies showed a reduction in eosinophil count from Week 4 through Week 52, as described by in </w:t>
      </w:r>
      <w:r w:rsidR="00664B27">
        <w:t>Figure 4</w:t>
      </w:r>
      <w:r w:rsidRPr="007A63E9">
        <w:t xml:space="preserve"> and </w:t>
      </w:r>
      <w:r w:rsidRPr="007A63E9">
        <w:fldChar w:fldCharType="begin"/>
      </w:r>
      <w:r w:rsidRPr="007A63E9">
        <w:instrText xml:space="preserve"> REF _Ref209104654 \h  \* MERGEFORMAT </w:instrText>
      </w:r>
      <w:r w:rsidRPr="007A63E9">
        <w:fldChar w:fldCharType="separate"/>
      </w:r>
      <w:r w:rsidRPr="007A63E9">
        <w:t xml:space="preserve">Figure </w:t>
      </w:r>
      <w:r w:rsidRPr="007A63E9">
        <w:fldChar w:fldCharType="end"/>
      </w:r>
      <w:r w:rsidR="00664B27">
        <w:t>5</w:t>
      </w:r>
      <w:r w:rsidRPr="007A63E9">
        <w:t>.</w:t>
      </w:r>
    </w:p>
    <w:p w14:paraId="26B6364B" w14:textId="658F164E" w:rsidR="007D2DA3" w:rsidRDefault="007D2DA3" w:rsidP="007A63E9">
      <w:pPr>
        <w:rPr>
          <w:b/>
        </w:rPr>
      </w:pPr>
      <w:r w:rsidRPr="007D2DA3">
        <w:t>F</w:t>
      </w:r>
      <w:r w:rsidRPr="007D2DA3">
        <w:rPr>
          <w:b/>
        </w:rPr>
        <w:t>igure 4. Adjusted geometric means (and 95% CIs) of ratio to blood eosinophil count data (GI/L), FAS population, ANCHOR-1 study.</w:t>
      </w:r>
    </w:p>
    <w:p w14:paraId="66A57CEC" w14:textId="6C490260" w:rsidR="007D2DA3" w:rsidRDefault="007D2DA3" w:rsidP="007A63E9">
      <w:r>
        <w:rPr>
          <w:noProof/>
        </w:rPr>
        <w:drawing>
          <wp:inline distT="0" distB="0" distL="0" distR="0" wp14:anchorId="413A1BA6" wp14:editId="7D95DA7D">
            <wp:extent cx="6048375" cy="3636688"/>
            <wp:effectExtent l="0" t="0" r="0" b="1905"/>
            <wp:docPr id="563719968" name="Picture 6" descr="Figure 4. Adjusted geometric means (and 95% CIs) of ratio to blood eosinophil count data (GI/L), FAS population, ANCHOR-1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19968" name="Picture 6" descr="Figure 4. Adjusted geometric means (and 95% CIs) of ratio to blood eosinophil count data (GI/L), FAS population, ANCHOR-1 stud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6782" cy="3641743"/>
                    </a:xfrm>
                    <a:prstGeom prst="rect">
                      <a:avLst/>
                    </a:prstGeom>
                    <a:noFill/>
                  </pic:spPr>
                </pic:pic>
              </a:graphicData>
            </a:graphic>
          </wp:inline>
        </w:drawing>
      </w:r>
    </w:p>
    <w:p w14:paraId="29490EB3" w14:textId="6A377384" w:rsidR="00A003ED" w:rsidRDefault="00BE43EE" w:rsidP="00BE43EE">
      <w:pPr>
        <w:pStyle w:val="FigureTitle"/>
      </w:pPr>
      <w:bookmarkStart w:id="58" w:name="_Ref209104654"/>
      <w:r w:rsidRPr="00ED024D">
        <w:lastRenderedPageBreak/>
        <w:t xml:space="preserve">Figure </w:t>
      </w:r>
      <w:bookmarkEnd w:id="58"/>
      <w:r w:rsidR="009F4AD1">
        <w:t>5.</w:t>
      </w:r>
      <w:r w:rsidRPr="00ED024D">
        <w:t xml:space="preserve"> Line plot of adjusted geometric means (and 95% CIs) of ratio to blood eosinophil count data (GI/L), FAS population, ANCHOR-2 study</w:t>
      </w:r>
      <w:r w:rsidR="009F4AD1">
        <w:t>.</w:t>
      </w:r>
    </w:p>
    <w:p w14:paraId="4016E72E" w14:textId="1CF1526B" w:rsidR="007A63E9" w:rsidRDefault="00CA6B1D" w:rsidP="007D05B5">
      <w:r w:rsidRPr="00CA6B1D">
        <w:rPr>
          <w:noProof/>
        </w:rPr>
        <w:drawing>
          <wp:inline distT="0" distB="0" distL="0" distR="0" wp14:anchorId="70F3A0F2" wp14:editId="1E9E56D6">
            <wp:extent cx="5759450" cy="3371850"/>
            <wp:effectExtent l="0" t="0" r="0" b="0"/>
            <wp:docPr id="761868014" name="Picture 1" descr="Figure 5. Line plot of adjusted geometric means (and 95% CIs) of ratio to blood eosinophil count data (GI/L), FAS population, ANCHOR-2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68014" name="Picture 1" descr="Figure 5. Line plot of adjusted geometric means (and 95% CIs) of ratio to blood eosinophil count data (GI/L), FAS population, ANCHOR-2 study."/>
                    <pic:cNvPicPr/>
                  </pic:nvPicPr>
                  <pic:blipFill>
                    <a:blip r:embed="rId27"/>
                    <a:stretch>
                      <a:fillRect/>
                    </a:stretch>
                  </pic:blipFill>
                  <pic:spPr>
                    <a:xfrm>
                      <a:off x="0" y="0"/>
                      <a:ext cx="5759450" cy="3371850"/>
                    </a:xfrm>
                    <a:prstGeom prst="rect">
                      <a:avLst/>
                    </a:prstGeom>
                  </pic:spPr>
                </pic:pic>
              </a:graphicData>
            </a:graphic>
          </wp:inline>
        </w:drawing>
      </w:r>
    </w:p>
    <w:p w14:paraId="1D3172B4" w14:textId="3CE6DB32" w:rsidR="00A179FD" w:rsidRPr="00C509AD" w:rsidRDefault="00A179FD" w:rsidP="00A179FD">
      <w:pPr>
        <w:pStyle w:val="Heading6"/>
      </w:pPr>
      <w:r w:rsidRPr="00C509AD">
        <w:t>Dose finding</w:t>
      </w:r>
      <w:fldSimple w:instr="DOCVARIABLE vault_nd_fa5d7d7c-1f70-4956-a2f1-91facb5022ab \* MERGEFORMAT">
        <w:r w:rsidR="008A6BD8">
          <w:t xml:space="preserve"> </w:t>
        </w:r>
      </w:fldSimple>
    </w:p>
    <w:p w14:paraId="0D0A2734" w14:textId="5F28355E" w:rsidR="00A179FD" w:rsidRPr="00FD5E1B" w:rsidRDefault="00A179FD" w:rsidP="00A179FD">
      <w:r w:rsidRPr="008B11D5">
        <w:rPr>
          <w:rFonts w:cstheme="majorHAnsi"/>
          <w:lang w:eastAsia="ja-JP"/>
        </w:rPr>
        <w:t>To support depemokimab Phase 3 dose selection for CRSwNP a</w:t>
      </w:r>
      <w:r>
        <w:rPr>
          <w:rFonts w:cstheme="majorHAnsi"/>
          <w:lang w:eastAsia="ja-JP"/>
        </w:rPr>
        <w:t>n</w:t>
      </w:r>
      <w:r w:rsidRPr="008B11D5">
        <w:rPr>
          <w:rFonts w:cstheme="majorHAnsi"/>
          <w:lang w:eastAsia="ja-JP"/>
        </w:rPr>
        <w:t xml:space="preserve"> </w:t>
      </w:r>
      <w:r>
        <w:t>exposure-response analysis was conducted. The dose selected corresponded to a predicted 82% reduction in baseline eosinophil count at Week 52.</w:t>
      </w:r>
    </w:p>
    <w:p w14:paraId="0B8C8EFC" w14:textId="148CA830" w:rsidR="002B503A" w:rsidRPr="002B503A" w:rsidRDefault="002B503A" w:rsidP="002B503A">
      <w:pPr>
        <w:pStyle w:val="Heading4"/>
      </w:pPr>
      <w:bookmarkStart w:id="59" w:name="_Toc241481380"/>
      <w:r w:rsidRPr="002B503A">
        <w:t>Efficacy</w:t>
      </w:r>
      <w:r w:rsidR="00A179FD">
        <w:t xml:space="preserve"> - Asthma</w:t>
      </w:r>
      <w:bookmarkEnd w:id="59"/>
      <w:r w:rsidR="008A6BD8">
        <w:fldChar w:fldCharType="begin"/>
      </w:r>
      <w:r w:rsidR="008A6BD8">
        <w:instrText xml:space="preserve"> DOCVARIABLE vault_nd_4cd5acd5-883a-4596-8291-552568168466 \* MERGEFORMAT </w:instrText>
      </w:r>
      <w:r w:rsidR="008A6BD8">
        <w:fldChar w:fldCharType="separate"/>
      </w:r>
      <w:r w:rsidR="008A6BD8">
        <w:t xml:space="preserve"> </w:t>
      </w:r>
      <w:r w:rsidR="008A6BD8">
        <w:fldChar w:fldCharType="end"/>
      </w:r>
    </w:p>
    <w:p w14:paraId="2A560DA0" w14:textId="15357049" w:rsidR="002B503A" w:rsidRPr="002B503A" w:rsidRDefault="002B503A" w:rsidP="002B503A">
      <w:r w:rsidRPr="002B503A">
        <w:t xml:space="preserve">The efficacy of depemokimab in asthma was supported by two replicate Phase 3 studies (SWIFT-1 and SWIFT-2), an open-label </w:t>
      </w:r>
      <w:r w:rsidR="0098141A" w:rsidRPr="002B503A">
        <w:t>52-week</w:t>
      </w:r>
      <w:r w:rsidRPr="002B503A">
        <w:t xml:space="preserve"> Phase 3 study that enrolled participants from the SWIFT studies (the AGILE study), and data from an ongoing non-inferiority Phase 3 study in adults and adolescents comparing depemokimab with mepolizumab or benralizumab (the NIMBLE study). </w:t>
      </w:r>
    </w:p>
    <w:p w14:paraId="2E1A878E" w14:textId="6F13F507" w:rsidR="00970152" w:rsidRDefault="00970152" w:rsidP="00970152">
      <w:pPr>
        <w:pStyle w:val="Heading5"/>
      </w:pPr>
      <w:r w:rsidRPr="00970152">
        <w:t>SWIFT-1 and SWIFT-2</w:t>
      </w:r>
      <w:fldSimple w:instr="DOCVARIABLE vault_nd_20505961-4223-4df4-895f-a99134c83512 \* MERGEFORMAT">
        <w:r w:rsidR="008A6BD8">
          <w:t xml:space="preserve"> </w:t>
        </w:r>
      </w:fldSimple>
    </w:p>
    <w:p w14:paraId="42556FD1" w14:textId="1714F37F" w:rsidR="002B503A" w:rsidRPr="002B503A" w:rsidRDefault="002B503A" w:rsidP="002B503A">
      <w:r w:rsidRPr="002B503A">
        <w:t>SWIFT-1 and SWIFT-2 were 52</w:t>
      </w:r>
      <w:r w:rsidR="00AF18D6">
        <w:t>-</w:t>
      </w:r>
      <w:r w:rsidRPr="002B503A">
        <w:t>week randomised, placebo-controlled, parallel group, multicentre, global studies of the efficacy and safety of depemokimab as add-on therapy in adults and adolescents with severe uncontrolled asthma and an eosinophilic phenotype. Both studies commenced in 2021. The study schematic is below</w:t>
      </w:r>
      <w:r w:rsidR="0098141A">
        <w:t xml:space="preserve"> (Figure </w:t>
      </w:r>
      <w:r w:rsidR="000B01DE">
        <w:t>6</w:t>
      </w:r>
      <w:r w:rsidR="0098141A">
        <w:t>)</w:t>
      </w:r>
      <w:r w:rsidR="000B01DE">
        <w:t>.</w:t>
      </w:r>
    </w:p>
    <w:p w14:paraId="62AF83B5" w14:textId="09BE09E2" w:rsidR="002B503A" w:rsidRPr="002B503A" w:rsidRDefault="002B503A" w:rsidP="002B503A">
      <w:pPr>
        <w:pStyle w:val="FigureTitle"/>
      </w:pPr>
      <w:r w:rsidRPr="002B503A">
        <w:lastRenderedPageBreak/>
        <w:t xml:space="preserve">Figure </w:t>
      </w:r>
      <w:r w:rsidR="000B01DE">
        <w:t>6.</w:t>
      </w:r>
      <w:r w:rsidRPr="002B503A">
        <w:t xml:space="preserve"> Study SWIFT-1 and SWIFT-2 study schematic</w:t>
      </w:r>
      <w:r w:rsidR="000B01DE">
        <w:t>.</w:t>
      </w:r>
    </w:p>
    <w:p w14:paraId="70BAF14F" w14:textId="0D55E480" w:rsidR="00C05750" w:rsidRDefault="00293DC8" w:rsidP="007D05B5">
      <w:r w:rsidRPr="00293DC8">
        <w:rPr>
          <w:noProof/>
        </w:rPr>
        <w:drawing>
          <wp:inline distT="0" distB="0" distL="0" distR="0" wp14:anchorId="332BB514" wp14:editId="1456EF9C">
            <wp:extent cx="5759450" cy="2740660"/>
            <wp:effectExtent l="0" t="0" r="0" b="2540"/>
            <wp:docPr id="1053082927" name="Picture 1" descr="Figure 6. Study SWIFT-1 and SWIFT-2 study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82927" name="Picture 1" descr="Figure 6. Study SWIFT-1 and SWIFT-2 study schematic."/>
                    <pic:cNvPicPr/>
                  </pic:nvPicPr>
                  <pic:blipFill>
                    <a:blip r:embed="rId28"/>
                    <a:stretch>
                      <a:fillRect/>
                    </a:stretch>
                  </pic:blipFill>
                  <pic:spPr>
                    <a:xfrm>
                      <a:off x="0" y="0"/>
                      <a:ext cx="5759450" cy="2740660"/>
                    </a:xfrm>
                    <a:prstGeom prst="rect">
                      <a:avLst/>
                    </a:prstGeom>
                  </pic:spPr>
                </pic:pic>
              </a:graphicData>
            </a:graphic>
          </wp:inline>
        </w:drawing>
      </w:r>
    </w:p>
    <w:p w14:paraId="2059A751" w14:textId="1FE2CE84" w:rsidR="00137D8C" w:rsidRPr="00137D8C" w:rsidRDefault="00137D8C" w:rsidP="00AF18D6">
      <w:r w:rsidRPr="00137D8C">
        <w:t>The patient population included participants aged ≥12 years with documented asthma for ≥2 years, and ≥2 confirmed asthma exacerbations requiring systemic corticosteroids in the</w:t>
      </w:r>
      <w:r w:rsidR="00BB5D2B">
        <w:t xml:space="preserve"> </w:t>
      </w:r>
      <w:r w:rsidRPr="00137D8C">
        <w:t xml:space="preserve">12 months prior to Visit 1, despite the use of inhaled corticosteroids at doses ≥440 mcg fluticasone </w:t>
      </w:r>
      <w:r w:rsidRPr="00BE5C3C">
        <w:t>propionate (FP)</w:t>
      </w:r>
      <w:r w:rsidR="005A2DEA">
        <w:t>,</w:t>
      </w:r>
      <w:r w:rsidRPr="00BE5C3C">
        <w:t xml:space="preserve"> hydrofluoroalkane (HFA) or equivalent.</w:t>
      </w:r>
    </w:p>
    <w:p w14:paraId="2A7488F2" w14:textId="69ADF7B6" w:rsidR="00137D8C" w:rsidRPr="00137D8C" w:rsidRDefault="00137D8C" w:rsidP="00AF18D6">
      <w:r w:rsidRPr="00137D8C">
        <w:t>Participants required a blood eosinophil count of ≥300 cells/</w:t>
      </w:r>
      <w:proofErr w:type="spellStart"/>
      <w:r w:rsidRPr="00137D8C">
        <w:t>μL</w:t>
      </w:r>
      <w:proofErr w:type="spellEnd"/>
      <w:r w:rsidRPr="00137D8C">
        <w:t xml:space="preserve"> in the 12 months before Visit 1 or ≥150 cells/</w:t>
      </w:r>
      <w:proofErr w:type="spellStart"/>
      <w:r w:rsidRPr="00137D8C">
        <w:t>μL</w:t>
      </w:r>
      <w:proofErr w:type="spellEnd"/>
      <w:r w:rsidRPr="00137D8C">
        <w:t xml:space="preserve"> at Screening Visit 1; a Visit 1 pre-bronchodilator FEV1 &lt;80% predicted if ≥18 years of age or a pre-bronchodilator FEV1 &lt;90% predicted, or an FEV</w:t>
      </w:r>
      <w:r w:rsidR="005B7D86" w:rsidRPr="00137D8C">
        <w:t>1: FVC</w:t>
      </w:r>
      <w:r w:rsidRPr="00137D8C">
        <w:t xml:space="preserve"> ratio &lt;0.8 if 12-17 years of age; and documented reversibility or hyper-responsiveness (as described in the study protocol). </w:t>
      </w:r>
      <w:r w:rsidR="000C3426">
        <w:t>Participants</w:t>
      </w:r>
      <w:r w:rsidR="000C3426" w:rsidRPr="00137D8C">
        <w:t xml:space="preserve"> </w:t>
      </w:r>
      <w:r w:rsidRPr="00137D8C">
        <w:t xml:space="preserve">needed regular treatment with medium- to high-dose ICS in the 12 months before Visit 1 [± maintenance oral corticosteroid], current treatment with ≥ 1 additional controller medication for ≥ 3 months, a maintenance ICS dose of ≥440 mcg FP HFA daily, or equivalent, and participants on medium dose ICS also required regular LABA to qualify.  </w:t>
      </w:r>
    </w:p>
    <w:p w14:paraId="53B6806F" w14:textId="70792E97" w:rsidR="00137D8C" w:rsidRPr="00137D8C" w:rsidRDefault="00137D8C" w:rsidP="00AF18D6">
      <w:r w:rsidRPr="00137D8C">
        <w:t xml:space="preserve">Potential participants were excluded if they had a clinically significant lung condition other than asthma, a parasitic infestation within 6 months prior to Visit 1, a known immunodeficiency unless related to corticosteroid therapy for asthma, or other conditions with elevated eosinophils such as </w:t>
      </w:r>
      <w:r w:rsidR="00397B99" w:rsidRPr="00137D8C">
        <w:t>hyper</w:t>
      </w:r>
      <w:r w:rsidR="00397B99">
        <w:t>-</w:t>
      </w:r>
      <w:r w:rsidR="00397B99" w:rsidRPr="00137D8C">
        <w:t>eosinophilic</w:t>
      </w:r>
      <w:r w:rsidRPr="00137D8C">
        <w:t xml:space="preserve"> syndromes. Other exclusion criteria included current smoker or ex-smokers with a ≥10 pack year history, vasculitis or active COVID-19 infection. Treatment exclusions were treatment with mepolizumab, </w:t>
      </w:r>
      <w:proofErr w:type="spellStart"/>
      <w:r w:rsidRPr="00137D8C">
        <w:t>reslizumab</w:t>
      </w:r>
      <w:proofErr w:type="spellEnd"/>
      <w:r w:rsidRPr="00137D8C">
        <w:t xml:space="preserve">, or </w:t>
      </w:r>
      <w:proofErr w:type="spellStart"/>
      <w:r w:rsidRPr="00137D8C">
        <w:t>benralizumab</w:t>
      </w:r>
      <w:proofErr w:type="spellEnd"/>
      <w:r w:rsidRPr="00137D8C">
        <w:t xml:space="preserve"> ≤12 months before Visit 1 or omalizumab or dupilumab &lt;130 days before Visit 1, or any </w:t>
      </w:r>
      <w:proofErr w:type="spellStart"/>
      <w:r w:rsidRPr="00137D8C">
        <w:t>mAb</w:t>
      </w:r>
      <w:proofErr w:type="spellEnd"/>
      <w:r w:rsidRPr="00137D8C">
        <w:t xml:space="preserve"> &lt; 5 half-lives of Visit 1, and documented anti-IL-5/5R therapy failure. Cardiac exclusion criteria were QTc(F) ≥450 msec or QTc(F) ≥480 msec (with Bundle Branch Block). </w:t>
      </w:r>
    </w:p>
    <w:p w14:paraId="1B69F7F8" w14:textId="5FD6F00C" w:rsidR="00137D8C" w:rsidRPr="00137D8C" w:rsidRDefault="00137D8C" w:rsidP="00AF18D6">
      <w:r w:rsidRPr="00137D8C">
        <w:t>Across both studies, 61% of participants were female, 77% were of White race, and the median age was 56.0 years (range12, 82</w:t>
      </w:r>
      <w:r w:rsidR="00FD3168">
        <w:t xml:space="preserve"> years</w:t>
      </w:r>
      <w:r w:rsidRPr="00137D8C">
        <w:t>) and 15 in each treatment group were aged 12–17</w:t>
      </w:r>
      <w:r w:rsidR="00FD3168">
        <w:t xml:space="preserve"> years</w:t>
      </w:r>
      <w:r w:rsidRPr="00137D8C">
        <w:t xml:space="preserve">. </w:t>
      </w:r>
    </w:p>
    <w:p w14:paraId="4B5AB02C" w14:textId="0C0C6942" w:rsidR="00137D8C" w:rsidRPr="00137D8C" w:rsidRDefault="000C3426" w:rsidP="00AF18D6">
      <w:r>
        <w:t>Participants</w:t>
      </w:r>
      <w:r w:rsidRPr="00137D8C">
        <w:t xml:space="preserve"> </w:t>
      </w:r>
      <w:r w:rsidR="00137D8C" w:rsidRPr="00137D8C">
        <w:t xml:space="preserve">had a mean (SD) duration of asthma of 23.4 (17.45) years, and with a mean (SD) 2.4 (1.46) exacerbations in the 12 months prior to screening was 2.4 (1.46).  Most (80%) had 2 exacerbations requiring systemic corticosteroids in the previous 12 months, the remaining 20% had ≥3 exacerbations, and 7.9% had ≥1 exacerbation requiring hospitalisation prior to screening. </w:t>
      </w:r>
    </w:p>
    <w:p w14:paraId="712561F8" w14:textId="138716C5" w:rsidR="00137D8C" w:rsidRPr="00137D8C" w:rsidRDefault="00137D8C" w:rsidP="00AF18D6">
      <w:r w:rsidRPr="00137D8C">
        <w:t>All participants were using ICS at baseline (44% receiving medium-dose, 56% receiving high-dose), and 2</w:t>
      </w:r>
      <w:r w:rsidR="00177B1B">
        <w:t>9</w:t>
      </w:r>
      <w:r w:rsidRPr="00137D8C">
        <w:t xml:space="preserve">% were receiving ICS + LABA + </w:t>
      </w:r>
      <w:r w:rsidR="00C50F62">
        <w:t>l</w:t>
      </w:r>
      <w:r w:rsidR="00C50F62" w:rsidRPr="00C50F62">
        <w:t>ong-acting muscarinic antagonist</w:t>
      </w:r>
      <w:r w:rsidR="00C50F62">
        <w:t>s</w:t>
      </w:r>
      <w:r w:rsidR="00C50F62" w:rsidRPr="00C50F62">
        <w:t xml:space="preserve"> </w:t>
      </w:r>
      <w:r w:rsidR="00C50F62">
        <w:t>(</w:t>
      </w:r>
      <w:r w:rsidRPr="00137D8C">
        <w:t>LAMA</w:t>
      </w:r>
      <w:r w:rsidR="00C50F62">
        <w:t>)</w:t>
      </w:r>
      <w:r w:rsidRPr="00137D8C">
        <w:t xml:space="preserve"> at screening.</w:t>
      </w:r>
    </w:p>
    <w:p w14:paraId="422C6D11" w14:textId="32752422" w:rsidR="00137D8C" w:rsidRPr="00137D8C" w:rsidRDefault="00137D8C" w:rsidP="00AF18D6">
      <w:r w:rsidRPr="00137D8C">
        <w:lastRenderedPageBreak/>
        <w:t>Overall</w:t>
      </w:r>
      <w:r w:rsidR="00B02DE8">
        <w:t>,</w:t>
      </w:r>
      <w:r w:rsidRPr="00137D8C">
        <w:t xml:space="preserve"> g</w:t>
      </w:r>
      <w:r w:rsidR="00B02DE8">
        <w:t>-</w:t>
      </w:r>
      <w:r w:rsidRPr="00137D8C">
        <w:t xml:space="preserve">mean baseline blood eosinophil counts were </w:t>
      </w:r>
      <w:r w:rsidR="00A03D43">
        <w:t xml:space="preserve">318 </w:t>
      </w:r>
      <w:r w:rsidR="00A03D43" w:rsidRPr="00137D8C">
        <w:t>cells/</w:t>
      </w:r>
      <w:proofErr w:type="spellStart"/>
      <w:r w:rsidR="00A03D43" w:rsidRPr="00137D8C">
        <w:t>μL</w:t>
      </w:r>
      <w:proofErr w:type="spellEnd"/>
      <w:r w:rsidRPr="00137D8C">
        <w:t>, 53% had eosinophils ≥300 cells/</w:t>
      </w:r>
      <w:proofErr w:type="spellStart"/>
      <w:r w:rsidRPr="00137D8C">
        <w:t>μL</w:t>
      </w:r>
      <w:proofErr w:type="spellEnd"/>
      <w:r w:rsidRPr="00137D8C">
        <w:t xml:space="preserve"> in the12 months before screening and 90% had eosinophil ≥150 cells/</w:t>
      </w:r>
      <w:proofErr w:type="spellStart"/>
      <w:r w:rsidRPr="00137D8C">
        <w:t>μL</w:t>
      </w:r>
      <w:proofErr w:type="spellEnd"/>
      <w:r w:rsidRPr="00137D8C">
        <w:t xml:space="preserve"> at screening. </w:t>
      </w:r>
    </w:p>
    <w:p w14:paraId="3D60F653" w14:textId="77777777" w:rsidR="00137D8C" w:rsidRPr="00137D8C" w:rsidRDefault="00137D8C" w:rsidP="00AF18D6">
      <w:r w:rsidRPr="00137D8C">
        <w:t>The mean (SD) baseline predicted FEV1 was 62% (15.6%) pre-bronchodilator and the mean (SD) baseline FEV1 reversibility after bronchodilator was 18%. Mean (SD) baseline ACQ-5 score was 2.21 (1.097) in the depemokimab group and 2.24 (1.059) in the placebo group and 75% had a baseline ACQ-5 score ≥1.5 in the pooled SWIFT-1+2 population. The Clinical Evaluation Report includes additional details of the baseline characteristics.</w:t>
      </w:r>
    </w:p>
    <w:p w14:paraId="4BD69D20" w14:textId="77777777" w:rsidR="00137D8C" w:rsidRPr="00137D8C" w:rsidRDefault="00137D8C" w:rsidP="00AF18D6">
      <w:r w:rsidRPr="00137D8C">
        <w:t xml:space="preserve">Eligible participants were randomised 2:1 to receive either depemokimab 100 mg SC or placebo 0.9% sodium chloride SC, in addition to current stable maintenance asthma medications. </w:t>
      </w:r>
    </w:p>
    <w:p w14:paraId="0356BFB4" w14:textId="77777777" w:rsidR="00137D8C" w:rsidRPr="00137D8C" w:rsidRDefault="00137D8C" w:rsidP="00AF18D6">
      <w:r w:rsidRPr="00137D8C">
        <w:t>Permitted stable medications ICS plus ≥1 controller (e.g. LABA, LAMA) ± maintenance OCS, and additional asthma medications (e.g. theophylline, anti-leukotrienes) if used regularly for ≥3 months prior to screening. CPAP/BiPAP for obstructive sleep apnoea was permitted if initiated before screening. Allergen specific immunotherapy was permitted if taken regularly for ≥6 months prior to screening. COVID-19 vaccination and, if needed, COVID-19 treatment authorised therapies (including monoclonal antibodies) per guidelines but not experimental treatments.</w:t>
      </w:r>
    </w:p>
    <w:p w14:paraId="3204FF29" w14:textId="77777777" w:rsidR="00137D8C" w:rsidRPr="00137D8C" w:rsidRDefault="00137D8C" w:rsidP="00AF18D6">
      <w:r w:rsidRPr="00137D8C">
        <w:t>Exclusion of data from affected study sites in the US and Japan with GCP non-compliance impacting 2.8% of the SWIFT-1 study and 3.1% SWIFT-2 study was unlikely to have affected the overall efficacy or safety conclusions.</w:t>
      </w:r>
    </w:p>
    <w:p w14:paraId="04BD862A" w14:textId="77777777" w:rsidR="00137D8C" w:rsidRPr="00137D8C" w:rsidRDefault="00137D8C" w:rsidP="00137D8C">
      <w:pPr>
        <w:rPr>
          <w:b/>
          <w:bCs/>
        </w:rPr>
      </w:pPr>
      <w:r w:rsidRPr="00137D8C">
        <w:t>The primary endpoint</w:t>
      </w:r>
      <w:r w:rsidRPr="00137D8C">
        <w:rPr>
          <w:b/>
          <w:bCs/>
        </w:rPr>
        <w:t xml:space="preserve">, </w:t>
      </w:r>
      <w:r w:rsidRPr="00137D8C">
        <w:t>the annualised rate of clinically significant exacerbations measured over the study intervention period of 52 weeks</w:t>
      </w:r>
      <w:r w:rsidRPr="00137D8C">
        <w:rPr>
          <w:b/>
          <w:bCs/>
        </w:rPr>
        <w:t>,</w:t>
      </w:r>
      <w:r w:rsidRPr="00137D8C">
        <w:t xml:space="preserve"> was measured for each study individually and based on an integrated analysis.</w:t>
      </w:r>
    </w:p>
    <w:p w14:paraId="75D0AA8F" w14:textId="77777777" w:rsidR="00137D8C" w:rsidRPr="00137D8C" w:rsidRDefault="00137D8C" w:rsidP="00137D8C">
      <w:r w:rsidRPr="00137D8C">
        <w:t xml:space="preserve"> Statistical significance was achieved in both SWIFT-1 and SWIFT-2 studies. The annualised rate of clinically significant exacerbation (AAER) of asthma in both:</w:t>
      </w:r>
    </w:p>
    <w:p w14:paraId="577705BF" w14:textId="77777777" w:rsidR="005940C8" w:rsidRPr="005940C8" w:rsidRDefault="005940C8" w:rsidP="00CE34C0">
      <w:pPr>
        <w:pStyle w:val="ListBullet"/>
      </w:pPr>
      <w:r w:rsidRPr="005940C8">
        <w:t xml:space="preserve">SWIFT-1: </w:t>
      </w:r>
    </w:p>
    <w:p w14:paraId="0C2461C2" w14:textId="6F313D62" w:rsidR="005940C8" w:rsidRPr="005940C8" w:rsidRDefault="005940C8" w:rsidP="00CE34C0">
      <w:pPr>
        <w:pStyle w:val="ListBullet2"/>
      </w:pPr>
      <w:r w:rsidRPr="005940C8">
        <w:t>AAER depemokimab 0.46; 95% CI: 0.36, 0.58</w:t>
      </w:r>
    </w:p>
    <w:p w14:paraId="6AC6FC22" w14:textId="2996D032" w:rsidR="005940C8" w:rsidRPr="005940C8" w:rsidRDefault="005940C8" w:rsidP="00CE34C0">
      <w:pPr>
        <w:pStyle w:val="ListBullet2"/>
      </w:pPr>
      <w:r w:rsidRPr="005940C8">
        <w:t>AAER placebo 1.11; 95% CI: 0.86, 1.43</w:t>
      </w:r>
    </w:p>
    <w:p w14:paraId="6EC38814" w14:textId="108A8C27" w:rsidR="005940C8" w:rsidRPr="005940C8" w:rsidRDefault="005940C8" w:rsidP="00CE34C0">
      <w:pPr>
        <w:pStyle w:val="ListBullet2"/>
      </w:pPr>
      <w:r w:rsidRPr="005940C8">
        <w:t>rate ratio depemokimab vs placebo 0.42; 95% CI: 0.30, 0.</w:t>
      </w:r>
      <w:r w:rsidR="00E13149">
        <w:t>59</w:t>
      </w:r>
      <w:r w:rsidRPr="005940C8">
        <w:t>, P &lt;0.001</w:t>
      </w:r>
    </w:p>
    <w:p w14:paraId="5E485E7A" w14:textId="77777777" w:rsidR="005940C8" w:rsidRPr="005940C8" w:rsidRDefault="005940C8" w:rsidP="00CE34C0">
      <w:pPr>
        <w:pStyle w:val="ListBullet"/>
      </w:pPr>
      <w:r w:rsidRPr="005940C8">
        <w:t xml:space="preserve">SWIFT-2: </w:t>
      </w:r>
    </w:p>
    <w:p w14:paraId="195D47DD" w14:textId="030BC6F1" w:rsidR="005940C8" w:rsidRPr="005940C8" w:rsidRDefault="005940C8" w:rsidP="00CE34C0">
      <w:pPr>
        <w:pStyle w:val="ListBullet2"/>
      </w:pPr>
      <w:r w:rsidRPr="005940C8">
        <w:t xml:space="preserve">AAER depemokimab 0.56; 95% CI: 0.44, </w:t>
      </w:r>
      <w:r w:rsidR="00A03D43">
        <w:t>0.70</w:t>
      </w:r>
    </w:p>
    <w:p w14:paraId="2A9A9F16" w14:textId="11690857" w:rsidR="005940C8" w:rsidRPr="005940C8" w:rsidRDefault="005940C8" w:rsidP="00CE34C0">
      <w:pPr>
        <w:pStyle w:val="ListBullet2"/>
      </w:pPr>
      <w:r w:rsidRPr="005940C8">
        <w:t>AAER placebo 1.08; 95% CI: 0.83, 1.41</w:t>
      </w:r>
    </w:p>
    <w:p w14:paraId="08D5D282" w14:textId="77777777" w:rsidR="005940C8" w:rsidRPr="005940C8" w:rsidRDefault="005940C8" w:rsidP="00CE34C0">
      <w:pPr>
        <w:pStyle w:val="ListBullet2"/>
      </w:pPr>
      <w:r w:rsidRPr="005940C8">
        <w:t>rate ratio depemokimab vs placebo 0.52; 95% CI: 0.36, 0.73, P &lt;0.001</w:t>
      </w:r>
    </w:p>
    <w:p w14:paraId="0DF96B98" w14:textId="57C5311D" w:rsidR="005940C8" w:rsidRPr="00D54300" w:rsidRDefault="337A8B61" w:rsidP="005940C8">
      <w:r>
        <w:t>In Swift-1, e</w:t>
      </w:r>
      <w:r w:rsidR="005940C8">
        <w:t>fficacy</w:t>
      </w:r>
      <w:r w:rsidR="005940C8" w:rsidRPr="005940C8">
        <w:t xml:space="preserve"> was demonstrated for each ICS dose stratum: medium (rate ratio: 0.36; 95% </w:t>
      </w:r>
      <w:r w:rsidR="005940C8" w:rsidRPr="00D54300">
        <w:t>CI: 0.21, 0.62) and high (rate ratio: 0.46; 95% CI: 0.</w:t>
      </w:r>
      <w:r w:rsidR="00C13F6B" w:rsidRPr="00D54300">
        <w:t>30</w:t>
      </w:r>
      <w:r w:rsidR="005940C8" w:rsidRPr="00D54300">
        <w:t>, 0.72).</w:t>
      </w:r>
    </w:p>
    <w:p w14:paraId="1473198A" w14:textId="1709ECF0" w:rsidR="005940C8" w:rsidRDefault="0D707517">
      <w:r w:rsidRPr="00D54300">
        <w:t>In Swift-2, efficacy was demonstrated for each ICS dose stratum: medium (rate ratio: 0.43; 95% CI: 0.24, 0.77) and high (rate ratio: 0.57; 95% CI: 0.37</w:t>
      </w:r>
      <w:r w:rsidR="4CBBAF07" w:rsidRPr="00D54300">
        <w:t>,</w:t>
      </w:r>
      <w:r w:rsidRPr="00D54300">
        <w:t xml:space="preserve"> 0.88).</w:t>
      </w:r>
    </w:p>
    <w:p w14:paraId="34A159B2" w14:textId="5F582421" w:rsidR="005940C8" w:rsidRPr="005940C8" w:rsidRDefault="005940C8" w:rsidP="005940C8">
      <w:r w:rsidRPr="005940C8">
        <w:t>The secondary endpoints SWIFT-1 and SWIFT-2 are summarised below</w:t>
      </w:r>
      <w:r w:rsidR="00BC61C6">
        <w:t xml:space="preserve"> (Table 4)</w:t>
      </w:r>
      <w:r w:rsidRPr="005940C8">
        <w:t xml:space="preserve">. </w:t>
      </w:r>
    </w:p>
    <w:p w14:paraId="2CFAD356" w14:textId="5A305356" w:rsidR="005940C8" w:rsidRDefault="005940C8" w:rsidP="00970152">
      <w:pPr>
        <w:pStyle w:val="TableTitle"/>
      </w:pPr>
      <w:r w:rsidRPr="005940C8">
        <w:lastRenderedPageBreak/>
        <w:t xml:space="preserve">Table </w:t>
      </w:r>
      <w:r w:rsidR="00C07FB0">
        <w:t>4.</w:t>
      </w:r>
      <w:r w:rsidRPr="005940C8">
        <w:t xml:space="preserve"> Secondary Endpoint </w:t>
      </w:r>
      <w:r w:rsidRPr="00B17B79">
        <w:t>Data: SWIFT-1 and SWIFT-2</w:t>
      </w:r>
    </w:p>
    <w:tbl>
      <w:tblPr>
        <w:tblStyle w:val="TableGrid"/>
        <w:tblW w:w="9536" w:type="dxa"/>
        <w:tblLook w:val="04A0" w:firstRow="1" w:lastRow="0" w:firstColumn="1" w:lastColumn="0" w:noHBand="0" w:noVBand="1"/>
      </w:tblPr>
      <w:tblGrid>
        <w:gridCol w:w="2972"/>
        <w:gridCol w:w="3260"/>
        <w:gridCol w:w="3304"/>
      </w:tblGrid>
      <w:tr w:rsidR="00192E71" w:rsidRPr="00192E71" w14:paraId="685B18F4" w14:textId="77777777" w:rsidTr="00D97C77">
        <w:trPr>
          <w:trHeight w:val="744"/>
          <w:tblHeader/>
        </w:trPr>
        <w:tc>
          <w:tcPr>
            <w:tcW w:w="2972" w:type="dxa"/>
          </w:tcPr>
          <w:p w14:paraId="15300951" w14:textId="77777777" w:rsidR="00192E71" w:rsidRPr="00192E71" w:rsidRDefault="00192E71" w:rsidP="00A16F18">
            <w:pPr>
              <w:rPr>
                <w:bCs/>
              </w:rPr>
            </w:pPr>
            <w:r w:rsidRPr="00192E71">
              <w:t>Parameter</w:t>
            </w:r>
          </w:p>
        </w:tc>
        <w:tc>
          <w:tcPr>
            <w:tcW w:w="3260" w:type="dxa"/>
            <w:shd w:val="clear" w:color="auto" w:fill="DEEAF6" w:themeFill="accent5" w:themeFillTint="33"/>
          </w:tcPr>
          <w:p w14:paraId="6EE22B1C" w14:textId="77777777" w:rsidR="00192E71" w:rsidRPr="00192E71" w:rsidRDefault="00192E71" w:rsidP="00A16F18">
            <w:pPr>
              <w:rPr>
                <w:bCs/>
              </w:rPr>
            </w:pPr>
            <w:r w:rsidRPr="00192E71">
              <w:t>SWIFT-1: Depemokimab vs SoC</w:t>
            </w:r>
          </w:p>
          <w:p w14:paraId="759CC455" w14:textId="65619BA9" w:rsidR="00192E71" w:rsidRPr="00192E71" w:rsidRDefault="00192E71" w:rsidP="00A16F18"/>
        </w:tc>
        <w:tc>
          <w:tcPr>
            <w:tcW w:w="3304" w:type="dxa"/>
            <w:shd w:val="clear" w:color="auto" w:fill="F0F7EB" w:themeFill="accent6" w:themeFillTint="1A"/>
          </w:tcPr>
          <w:p w14:paraId="1A24F821" w14:textId="77777777" w:rsidR="00192E71" w:rsidRPr="00192E71" w:rsidRDefault="00192E71" w:rsidP="00A16F18">
            <w:pPr>
              <w:rPr>
                <w:bCs/>
              </w:rPr>
            </w:pPr>
            <w:r w:rsidRPr="00192E71">
              <w:t>SWIFT-2: Depemokimab vs SoC</w:t>
            </w:r>
          </w:p>
          <w:p w14:paraId="174FB839" w14:textId="5BFB3584" w:rsidR="00192E71" w:rsidRPr="00192E71" w:rsidRDefault="00192E71" w:rsidP="00A16F18"/>
        </w:tc>
      </w:tr>
      <w:tr w:rsidR="00192E71" w:rsidRPr="00192E71" w14:paraId="116FA015" w14:textId="77777777" w:rsidTr="005E2D04">
        <w:trPr>
          <w:trHeight w:val="842"/>
        </w:trPr>
        <w:tc>
          <w:tcPr>
            <w:tcW w:w="2972" w:type="dxa"/>
          </w:tcPr>
          <w:p w14:paraId="09D935F7" w14:textId="77777777" w:rsidR="00192E71" w:rsidRPr="00A513F0" w:rsidRDefault="00192E71" w:rsidP="00A16F18">
            <w:pPr>
              <w:rPr>
                <w:b/>
                <w:bCs/>
              </w:rPr>
            </w:pPr>
            <w:r w:rsidRPr="00A513F0">
              <w:rPr>
                <w:bCs/>
              </w:rPr>
              <w:t>Change in BL vs Week 52: SGRQ</w:t>
            </w:r>
          </w:p>
        </w:tc>
        <w:tc>
          <w:tcPr>
            <w:tcW w:w="3260" w:type="dxa"/>
          </w:tcPr>
          <w:p w14:paraId="6CF7F8BA" w14:textId="77777777" w:rsidR="00192E71" w:rsidRPr="00A513F0" w:rsidRDefault="00192E71" w:rsidP="00A16F18">
            <w:pPr>
              <w:rPr>
                <w:b/>
                <w:bCs/>
              </w:rPr>
            </w:pPr>
            <w:r w:rsidRPr="00A513F0">
              <w:rPr>
                <w:bCs/>
              </w:rPr>
              <w:t>-13.03(1.112) vs -9.67 (1.544)</w:t>
            </w:r>
          </w:p>
          <w:p w14:paraId="000DFA06" w14:textId="77777777" w:rsidR="00192E71" w:rsidRPr="00A513F0" w:rsidRDefault="00192E71" w:rsidP="00A16F18">
            <w:pPr>
              <w:rPr>
                <w:b/>
                <w:bCs/>
              </w:rPr>
            </w:pPr>
            <w:r w:rsidRPr="00A513F0">
              <w:rPr>
                <w:bCs/>
              </w:rPr>
              <w:t>P-value= 0.080</w:t>
            </w:r>
          </w:p>
        </w:tc>
        <w:tc>
          <w:tcPr>
            <w:tcW w:w="3304" w:type="dxa"/>
          </w:tcPr>
          <w:p w14:paraId="333D74CC" w14:textId="77777777" w:rsidR="00192E71" w:rsidRPr="00A513F0" w:rsidRDefault="00192E71" w:rsidP="00A16F18">
            <w:pPr>
              <w:rPr>
                <w:b/>
                <w:bCs/>
              </w:rPr>
            </w:pPr>
            <w:r w:rsidRPr="00A513F0">
              <w:rPr>
                <w:bCs/>
              </w:rPr>
              <w:t>-14.80 (1.041) vs -12.49 (1.455)</w:t>
            </w:r>
          </w:p>
          <w:p w14:paraId="57B68DED" w14:textId="77777777" w:rsidR="00192E71" w:rsidRPr="00A513F0" w:rsidRDefault="00192E71" w:rsidP="00A16F18">
            <w:pPr>
              <w:rPr>
                <w:b/>
                <w:bCs/>
              </w:rPr>
            </w:pPr>
            <w:r w:rsidRPr="00A513F0">
              <w:rPr>
                <w:bCs/>
              </w:rPr>
              <w:t>P-value= 0.2</w:t>
            </w:r>
          </w:p>
        </w:tc>
      </w:tr>
      <w:tr w:rsidR="00192E71" w:rsidRPr="00192E71" w14:paraId="1B6054F7" w14:textId="77777777" w:rsidTr="005E2D04">
        <w:trPr>
          <w:trHeight w:val="777"/>
        </w:trPr>
        <w:tc>
          <w:tcPr>
            <w:tcW w:w="2972" w:type="dxa"/>
          </w:tcPr>
          <w:p w14:paraId="025CF716" w14:textId="77777777" w:rsidR="00192E71" w:rsidRPr="00A513F0" w:rsidRDefault="00192E71" w:rsidP="00A16F18">
            <w:pPr>
              <w:rPr>
                <w:b/>
                <w:bCs/>
              </w:rPr>
            </w:pPr>
            <w:r w:rsidRPr="00A513F0">
              <w:rPr>
                <w:bCs/>
              </w:rPr>
              <w:t>Change in BL vs Week 52: ACQ-5</w:t>
            </w:r>
          </w:p>
        </w:tc>
        <w:tc>
          <w:tcPr>
            <w:tcW w:w="3260" w:type="dxa"/>
          </w:tcPr>
          <w:p w14:paraId="437FB5F9" w14:textId="77777777" w:rsidR="00192E71" w:rsidRPr="00A513F0" w:rsidRDefault="00192E71" w:rsidP="00A16F18">
            <w:pPr>
              <w:rPr>
                <w:b/>
                <w:bCs/>
              </w:rPr>
            </w:pPr>
            <w:r w:rsidRPr="00A513F0">
              <w:rPr>
                <w:bCs/>
              </w:rPr>
              <w:t>-0.82 (0.066) vs -0.77 (0.091)</w:t>
            </w:r>
          </w:p>
          <w:p w14:paraId="1574E708" w14:textId="77777777" w:rsidR="00192E71" w:rsidRPr="00A513F0" w:rsidRDefault="00192E71" w:rsidP="00A16F18">
            <w:pPr>
              <w:rPr>
                <w:b/>
                <w:bCs/>
              </w:rPr>
            </w:pPr>
            <w:r w:rsidRPr="00A513F0">
              <w:rPr>
                <w:bCs/>
              </w:rPr>
              <w:t>P-value= 0.690</w:t>
            </w:r>
          </w:p>
        </w:tc>
        <w:tc>
          <w:tcPr>
            <w:tcW w:w="3304" w:type="dxa"/>
          </w:tcPr>
          <w:p w14:paraId="40CFD2A8" w14:textId="77777777" w:rsidR="00192E71" w:rsidRPr="00A513F0" w:rsidRDefault="00192E71" w:rsidP="00A16F18">
            <w:pPr>
              <w:rPr>
                <w:b/>
                <w:bCs/>
              </w:rPr>
            </w:pPr>
            <w:r w:rsidRPr="00A513F0">
              <w:rPr>
                <w:bCs/>
              </w:rPr>
              <w:t>-0.81 (0.065) vs -0.70 (0.091)</w:t>
            </w:r>
          </w:p>
          <w:p w14:paraId="7FD14C12" w14:textId="77777777" w:rsidR="00192E71" w:rsidRPr="00A513F0" w:rsidRDefault="00192E71" w:rsidP="00A16F18">
            <w:pPr>
              <w:rPr>
                <w:b/>
                <w:bCs/>
              </w:rPr>
            </w:pPr>
            <w:r w:rsidRPr="00A513F0">
              <w:rPr>
                <w:bCs/>
              </w:rPr>
              <w:t>P-value= 0.333</w:t>
            </w:r>
          </w:p>
        </w:tc>
      </w:tr>
      <w:tr w:rsidR="00192E71" w:rsidRPr="00192E71" w14:paraId="6171EB82" w14:textId="77777777" w:rsidTr="005E2D04">
        <w:trPr>
          <w:trHeight w:val="777"/>
        </w:trPr>
        <w:tc>
          <w:tcPr>
            <w:tcW w:w="2972" w:type="dxa"/>
          </w:tcPr>
          <w:p w14:paraId="59A8361C" w14:textId="77777777" w:rsidR="00192E71" w:rsidRPr="00A513F0" w:rsidRDefault="00192E71" w:rsidP="00A16F18">
            <w:pPr>
              <w:rPr>
                <w:b/>
                <w:bCs/>
              </w:rPr>
            </w:pPr>
            <w:r w:rsidRPr="00A513F0">
              <w:rPr>
                <w:bCs/>
              </w:rPr>
              <w:t>Change in BL vs Week 52: pre-bronchodilator FEV</w:t>
            </w:r>
            <w:r w:rsidRPr="00A513F0">
              <w:rPr>
                <w:bCs/>
                <w:vertAlign w:val="subscript"/>
              </w:rPr>
              <w:t xml:space="preserve">1 </w:t>
            </w:r>
            <w:r w:rsidRPr="00A513F0">
              <w:rPr>
                <w:bCs/>
              </w:rPr>
              <w:t>(L)</w:t>
            </w:r>
          </w:p>
        </w:tc>
        <w:tc>
          <w:tcPr>
            <w:tcW w:w="3260" w:type="dxa"/>
          </w:tcPr>
          <w:p w14:paraId="2530BAB9" w14:textId="77777777" w:rsidR="00192E71" w:rsidRPr="00A513F0" w:rsidRDefault="00192E71" w:rsidP="00A16F18">
            <w:pPr>
              <w:rPr>
                <w:b/>
                <w:bCs/>
              </w:rPr>
            </w:pPr>
            <w:r w:rsidRPr="00A513F0">
              <w:rPr>
                <w:bCs/>
              </w:rPr>
              <w:t>0.160 (0.026) vs 0.160 (0.036)</w:t>
            </w:r>
          </w:p>
          <w:p w14:paraId="597809EC" w14:textId="77777777" w:rsidR="00192E71" w:rsidRPr="00A513F0" w:rsidRDefault="00192E71" w:rsidP="00A16F18">
            <w:pPr>
              <w:rPr>
                <w:b/>
                <w:bCs/>
              </w:rPr>
            </w:pPr>
            <w:r w:rsidRPr="00A513F0">
              <w:rPr>
                <w:bCs/>
              </w:rPr>
              <w:t>P-value= 0.991</w:t>
            </w:r>
          </w:p>
        </w:tc>
        <w:tc>
          <w:tcPr>
            <w:tcW w:w="3304" w:type="dxa"/>
          </w:tcPr>
          <w:p w14:paraId="6D217DD8" w14:textId="77777777" w:rsidR="00192E71" w:rsidRPr="00A513F0" w:rsidRDefault="00192E71" w:rsidP="00A16F18">
            <w:pPr>
              <w:rPr>
                <w:b/>
                <w:bCs/>
              </w:rPr>
            </w:pPr>
            <w:r w:rsidRPr="00A513F0">
              <w:rPr>
                <w:bCs/>
              </w:rPr>
              <w:t>0.240 (0.029) vs 0.184 (0.041)</w:t>
            </w:r>
          </w:p>
          <w:p w14:paraId="38E5C2E0" w14:textId="77777777" w:rsidR="00192E71" w:rsidRPr="00A513F0" w:rsidRDefault="00192E71" w:rsidP="00A16F18">
            <w:pPr>
              <w:rPr>
                <w:b/>
                <w:bCs/>
              </w:rPr>
            </w:pPr>
            <w:r w:rsidRPr="00A513F0">
              <w:rPr>
                <w:bCs/>
              </w:rPr>
              <w:t>P-value= 0.267</w:t>
            </w:r>
          </w:p>
        </w:tc>
      </w:tr>
      <w:tr w:rsidR="00192E71" w:rsidRPr="00192E71" w14:paraId="06912798" w14:textId="77777777" w:rsidTr="005E2D04">
        <w:trPr>
          <w:trHeight w:val="777"/>
        </w:trPr>
        <w:tc>
          <w:tcPr>
            <w:tcW w:w="2972" w:type="dxa"/>
          </w:tcPr>
          <w:p w14:paraId="6A64B5C9" w14:textId="77777777" w:rsidR="00192E71" w:rsidRPr="00A513F0" w:rsidRDefault="00192E71" w:rsidP="00A16F18">
            <w:pPr>
              <w:rPr>
                <w:b/>
                <w:bCs/>
              </w:rPr>
            </w:pPr>
            <w:r w:rsidRPr="00A513F0">
              <w:rPr>
                <w:bCs/>
              </w:rPr>
              <w:t>Change in BL vs Week 52: ANSD</w:t>
            </w:r>
          </w:p>
        </w:tc>
        <w:tc>
          <w:tcPr>
            <w:tcW w:w="3260" w:type="dxa"/>
          </w:tcPr>
          <w:p w14:paraId="349EDEE0" w14:textId="77777777" w:rsidR="00192E71" w:rsidRPr="00A513F0" w:rsidRDefault="00192E71" w:rsidP="00A16F18">
            <w:pPr>
              <w:rPr>
                <w:b/>
                <w:bCs/>
              </w:rPr>
            </w:pPr>
            <w:r w:rsidRPr="00A513F0">
              <w:rPr>
                <w:bCs/>
              </w:rPr>
              <w:t>-1.39 (0.120) vs -1.30 (0.168)</w:t>
            </w:r>
          </w:p>
          <w:p w14:paraId="4DD8FEB5" w14:textId="77777777" w:rsidR="00192E71" w:rsidRPr="00A513F0" w:rsidRDefault="00192E71" w:rsidP="00A16F18">
            <w:pPr>
              <w:rPr>
                <w:b/>
                <w:bCs/>
              </w:rPr>
            </w:pPr>
            <w:r w:rsidRPr="00A513F0">
              <w:rPr>
                <w:bCs/>
              </w:rPr>
              <w:t>P-value= 0.650</w:t>
            </w:r>
          </w:p>
        </w:tc>
        <w:tc>
          <w:tcPr>
            <w:tcW w:w="3304" w:type="dxa"/>
          </w:tcPr>
          <w:p w14:paraId="18B03C99" w14:textId="77777777" w:rsidR="00192E71" w:rsidRPr="00A513F0" w:rsidRDefault="00192E71" w:rsidP="00A16F18">
            <w:pPr>
              <w:rPr>
                <w:b/>
                <w:bCs/>
              </w:rPr>
            </w:pPr>
            <w:r w:rsidRPr="00A513F0">
              <w:rPr>
                <w:bCs/>
              </w:rPr>
              <w:t>-1.18 (0.091) vs -0.97 (0.127)</w:t>
            </w:r>
          </w:p>
          <w:p w14:paraId="3C118110" w14:textId="77777777" w:rsidR="00192E71" w:rsidRPr="00A513F0" w:rsidRDefault="00192E71" w:rsidP="00A16F18">
            <w:pPr>
              <w:rPr>
                <w:b/>
                <w:bCs/>
              </w:rPr>
            </w:pPr>
            <w:r w:rsidRPr="00A513F0">
              <w:rPr>
                <w:bCs/>
              </w:rPr>
              <w:t>P-value= 0.173</w:t>
            </w:r>
          </w:p>
        </w:tc>
      </w:tr>
      <w:tr w:rsidR="00192E71" w:rsidRPr="00192E71" w14:paraId="0D1FAEE2" w14:textId="77777777" w:rsidTr="005E2D04">
        <w:trPr>
          <w:trHeight w:val="777"/>
        </w:trPr>
        <w:tc>
          <w:tcPr>
            <w:tcW w:w="2972" w:type="dxa"/>
          </w:tcPr>
          <w:p w14:paraId="09A8B176" w14:textId="77777777" w:rsidR="00192E71" w:rsidRPr="00A513F0" w:rsidRDefault="00192E71" w:rsidP="00A16F18">
            <w:pPr>
              <w:rPr>
                <w:b/>
                <w:bCs/>
              </w:rPr>
            </w:pPr>
            <w:r w:rsidRPr="00A513F0">
              <w:rPr>
                <w:bCs/>
              </w:rPr>
              <w:t xml:space="preserve">Change in BL vs Week 52: </w:t>
            </w:r>
          </w:p>
          <w:p w14:paraId="27ACBB09" w14:textId="77777777" w:rsidR="00192E71" w:rsidRPr="00A513F0" w:rsidRDefault="00192E71" w:rsidP="00A16F18">
            <w:pPr>
              <w:rPr>
                <w:b/>
                <w:bCs/>
              </w:rPr>
            </w:pPr>
            <w:r w:rsidRPr="00A513F0">
              <w:rPr>
                <w:bCs/>
              </w:rPr>
              <w:t>ADSD</w:t>
            </w:r>
          </w:p>
        </w:tc>
        <w:tc>
          <w:tcPr>
            <w:tcW w:w="3260" w:type="dxa"/>
          </w:tcPr>
          <w:p w14:paraId="28900078" w14:textId="77777777" w:rsidR="00192E71" w:rsidRPr="00A513F0" w:rsidRDefault="00192E71" w:rsidP="00A16F18">
            <w:pPr>
              <w:rPr>
                <w:b/>
                <w:bCs/>
              </w:rPr>
            </w:pPr>
            <w:r w:rsidRPr="00A513F0">
              <w:rPr>
                <w:bCs/>
              </w:rPr>
              <w:t>-1.33 (0.101) vs -1.25 (0.140)</w:t>
            </w:r>
          </w:p>
          <w:p w14:paraId="376EB7E9" w14:textId="77777777" w:rsidR="00192E71" w:rsidRPr="00A513F0" w:rsidRDefault="00192E71" w:rsidP="00A16F18">
            <w:pPr>
              <w:rPr>
                <w:b/>
                <w:bCs/>
              </w:rPr>
            </w:pPr>
            <w:r w:rsidRPr="00A513F0">
              <w:rPr>
                <w:bCs/>
              </w:rPr>
              <w:t>P-value= 0.647</w:t>
            </w:r>
          </w:p>
        </w:tc>
        <w:tc>
          <w:tcPr>
            <w:tcW w:w="3304" w:type="dxa"/>
          </w:tcPr>
          <w:p w14:paraId="2D9247F4" w14:textId="77777777" w:rsidR="00192E71" w:rsidRPr="00A513F0" w:rsidRDefault="00192E71" w:rsidP="00A16F18">
            <w:pPr>
              <w:rPr>
                <w:b/>
                <w:bCs/>
              </w:rPr>
            </w:pPr>
            <w:r w:rsidRPr="00A513F0">
              <w:rPr>
                <w:bCs/>
              </w:rPr>
              <w:t>-1.13 (0.080) vs -0.93 (0.112)</w:t>
            </w:r>
          </w:p>
          <w:p w14:paraId="5FDF1B1A" w14:textId="77777777" w:rsidR="00192E71" w:rsidRPr="00A513F0" w:rsidRDefault="00192E71" w:rsidP="00A16F18">
            <w:pPr>
              <w:rPr>
                <w:b/>
                <w:bCs/>
              </w:rPr>
            </w:pPr>
            <w:r w:rsidRPr="00A513F0">
              <w:rPr>
                <w:bCs/>
              </w:rPr>
              <w:t>P-value= 0.138</w:t>
            </w:r>
          </w:p>
        </w:tc>
      </w:tr>
      <w:tr w:rsidR="00192E71" w:rsidRPr="00192E71" w14:paraId="0B9235F3" w14:textId="77777777" w:rsidTr="005E2D04">
        <w:trPr>
          <w:trHeight w:val="777"/>
        </w:trPr>
        <w:tc>
          <w:tcPr>
            <w:tcW w:w="2972" w:type="dxa"/>
          </w:tcPr>
          <w:p w14:paraId="1384BFF0" w14:textId="77777777" w:rsidR="00192E71" w:rsidRPr="00A513F0" w:rsidRDefault="00192E71" w:rsidP="00A16F18">
            <w:pPr>
              <w:rPr>
                <w:b/>
                <w:bCs/>
              </w:rPr>
            </w:pPr>
            <w:r w:rsidRPr="00A513F0">
              <w:rPr>
                <w:bCs/>
              </w:rPr>
              <w:t>Annualized rate of exacerbations requiring hospitalization and/or ED visit over 52 weeks.</w:t>
            </w:r>
          </w:p>
        </w:tc>
        <w:tc>
          <w:tcPr>
            <w:tcW w:w="3260" w:type="dxa"/>
          </w:tcPr>
          <w:p w14:paraId="66C417A0" w14:textId="77777777" w:rsidR="00192E71" w:rsidRPr="00A513F0" w:rsidRDefault="00192E71" w:rsidP="00A16F18">
            <w:pPr>
              <w:rPr>
                <w:b/>
                <w:bCs/>
              </w:rPr>
            </w:pPr>
            <w:r w:rsidRPr="00A513F0">
              <w:rPr>
                <w:bCs/>
              </w:rPr>
              <w:t>&lt;20 exacerbations: insufficient for conducting statistical analysis.</w:t>
            </w:r>
          </w:p>
          <w:p w14:paraId="0BCB533C" w14:textId="4426AA99" w:rsidR="00192E71" w:rsidRPr="00A513F0" w:rsidRDefault="00DD1F8F" w:rsidP="00A16F18">
            <w:pPr>
              <w:rPr>
                <w:b/>
                <w:bCs/>
              </w:rPr>
            </w:pPr>
            <w:r>
              <w:rPr>
                <w:bCs/>
              </w:rPr>
              <w:t>n</w:t>
            </w:r>
            <w:r w:rsidR="00192E71" w:rsidRPr="00A513F0">
              <w:rPr>
                <w:bCs/>
              </w:rPr>
              <w:t>=3 (1%) vs 11 (8%)</w:t>
            </w:r>
          </w:p>
        </w:tc>
        <w:tc>
          <w:tcPr>
            <w:tcW w:w="3304" w:type="dxa"/>
          </w:tcPr>
          <w:p w14:paraId="1244CCD0" w14:textId="77777777" w:rsidR="00192E71" w:rsidRPr="00A513F0" w:rsidRDefault="00192E71" w:rsidP="00A16F18">
            <w:pPr>
              <w:rPr>
                <w:b/>
                <w:bCs/>
              </w:rPr>
            </w:pPr>
            <w:r w:rsidRPr="00A513F0">
              <w:rPr>
                <w:bCs/>
              </w:rPr>
              <w:t xml:space="preserve">Rate ratio: 0.42. </w:t>
            </w:r>
          </w:p>
          <w:p w14:paraId="7471FAE3" w14:textId="77777777" w:rsidR="00192E71" w:rsidRPr="00A513F0" w:rsidRDefault="00192E71" w:rsidP="00A16F18">
            <w:pPr>
              <w:rPr>
                <w:b/>
                <w:bCs/>
              </w:rPr>
            </w:pPr>
            <w:r w:rsidRPr="00A513F0">
              <w:rPr>
                <w:bCs/>
              </w:rPr>
              <w:t xml:space="preserve">95% CI: 0.16 - 1.13 </w:t>
            </w:r>
          </w:p>
          <w:p w14:paraId="53B2C090" w14:textId="77777777" w:rsidR="00192E71" w:rsidRPr="00A513F0" w:rsidRDefault="00192E71" w:rsidP="00A16F18">
            <w:pPr>
              <w:rPr>
                <w:b/>
                <w:bCs/>
              </w:rPr>
            </w:pPr>
            <w:r w:rsidRPr="00A513F0">
              <w:rPr>
                <w:bCs/>
              </w:rPr>
              <w:t>P-value= 0.087</w:t>
            </w:r>
          </w:p>
        </w:tc>
      </w:tr>
    </w:tbl>
    <w:p w14:paraId="0B3E7BF0" w14:textId="77777777" w:rsidR="00880715" w:rsidRPr="00880715" w:rsidRDefault="00880715" w:rsidP="00880715">
      <w:r w:rsidRPr="00880715">
        <w:rPr>
          <w:vertAlign w:val="superscript"/>
        </w:rPr>
        <w:t>*BL: Baseline</w:t>
      </w:r>
    </w:p>
    <w:p w14:paraId="77256E57" w14:textId="77777777" w:rsidR="00880715" w:rsidRPr="00880715" w:rsidRDefault="00880715" w:rsidP="00880715">
      <w:r w:rsidRPr="00D76710">
        <w:t>Statistical significance was not reached for the secondary endpoints in the testing hierarchy.</w:t>
      </w:r>
    </w:p>
    <w:p w14:paraId="7206FCBC" w14:textId="4B3F10EB" w:rsidR="00880715" w:rsidRPr="00880715" w:rsidRDefault="00880715" w:rsidP="00970152">
      <w:pPr>
        <w:pStyle w:val="Heading5"/>
      </w:pPr>
      <w:r w:rsidRPr="00880715">
        <w:t>AGILE</w:t>
      </w:r>
      <w:fldSimple w:instr="DOCVARIABLE VAULT_ND_7eeb2fc8-546c-4517-abad-8810cad53068 \* MERGEFORMAT">
        <w:r w:rsidR="008A6BD8">
          <w:t xml:space="preserve"> </w:t>
        </w:r>
      </w:fldSimple>
    </w:p>
    <w:p w14:paraId="111A9F54" w14:textId="63D1BEF8" w:rsidR="00880715" w:rsidRPr="00880715" w:rsidRDefault="00880715" w:rsidP="00880715">
      <w:r w:rsidRPr="00880715">
        <w:t>The AGILE trial (</w:t>
      </w:r>
      <w:r w:rsidR="00B62E4D">
        <w:t xml:space="preserve">Study </w:t>
      </w:r>
      <w:r w:rsidRPr="00880715">
        <w:t xml:space="preserve">212895) </w:t>
      </w:r>
      <w:r w:rsidR="007E2BB3">
        <w:t xml:space="preserve">was a </w:t>
      </w:r>
      <w:r w:rsidRPr="00880715">
        <w:t xml:space="preserve">Phase 3a, multi-centre, open-label extension study to evaluate the long-term safety of depemokimab in adult and adolescent participants with severe asthma with an eosinophilic phenotype, who </w:t>
      </w:r>
      <w:r w:rsidR="00FD732A">
        <w:t>received two doses of study medication and completed</w:t>
      </w:r>
      <w:r w:rsidRPr="00880715">
        <w:t xml:space="preserve"> the SWIFT-1 (</w:t>
      </w:r>
      <w:r w:rsidR="00C93A3C">
        <w:t xml:space="preserve">Study </w:t>
      </w:r>
      <w:r w:rsidRPr="00880715">
        <w:t>206713) and SWIFT-2 (</w:t>
      </w:r>
      <w:r w:rsidR="00C93A3C">
        <w:t xml:space="preserve">Study </w:t>
      </w:r>
      <w:r w:rsidRPr="00880715">
        <w:t xml:space="preserve">213744) </w:t>
      </w:r>
      <w:r w:rsidR="00C93A3C">
        <w:t>trials</w:t>
      </w:r>
      <w:r w:rsidRPr="00880715">
        <w:t>. Study dates were 1 March 2022 to the last patient last visit 19 May 2025; with the data base lock on 9 June 2025.</w:t>
      </w:r>
    </w:p>
    <w:p w14:paraId="455F03B3" w14:textId="624C03D1" w:rsidR="00880715" w:rsidRPr="00880715" w:rsidRDefault="00880715" w:rsidP="00880715">
      <w:r w:rsidRPr="00880715">
        <w:t xml:space="preserve">Eligible participants received depemokimab 100 mg at enrolment and at Week 26, plus </w:t>
      </w:r>
      <w:r w:rsidR="00CD4A42">
        <w:t>standard of care (</w:t>
      </w:r>
      <w:r w:rsidRPr="00880715">
        <w:t>SoC</w:t>
      </w:r>
      <w:r w:rsidR="00CD4A42">
        <w:t>)</w:t>
      </w:r>
      <w:r w:rsidRPr="00880715">
        <w:t xml:space="preserve"> medications, with follow-up to Week 52 (intervention period), and Week 56 (post follow-up). ICS and LABAs were taken by &gt;99% of participants, and 37% also took leukotriene receptor agonist and 30% used a </w:t>
      </w:r>
      <w:r w:rsidR="00970152" w:rsidRPr="00880715">
        <w:t>long-acting</w:t>
      </w:r>
      <w:r w:rsidRPr="00880715">
        <w:t xml:space="preserve"> anticholinergic.</w:t>
      </w:r>
    </w:p>
    <w:p w14:paraId="691DCDFB" w14:textId="5A158675" w:rsidR="00880715" w:rsidRPr="00880715" w:rsidRDefault="00880715" w:rsidP="00880715">
      <w:r w:rsidRPr="00880715">
        <w:t xml:space="preserve">While the main contribution to the submission was safety, the Delegate notes the annualised clinically significant exacerbation rate overall was 0.56 (95% CI: 0.49, 0.65); with a rate of 0.58 (95% CI: 0.45, 0.73) in the prior placebo group and 0.55 (95% CI: 0.47, 0.66) in the prior depemokimab group. Around 34% of participants experienced an exacerbation on-treatment, 5% had an exacerbation requiring hospitalisation or an </w:t>
      </w:r>
      <w:r w:rsidR="00171051">
        <w:t xml:space="preserve">Emergency Department </w:t>
      </w:r>
      <w:r w:rsidRPr="00880715">
        <w:t>visit, and 1% were hospitalised.</w:t>
      </w:r>
    </w:p>
    <w:p w14:paraId="3773FBDD" w14:textId="59A83E91" w:rsidR="00880715" w:rsidRPr="00880715" w:rsidRDefault="00880715" w:rsidP="00970152">
      <w:pPr>
        <w:pStyle w:val="Heading5"/>
      </w:pPr>
      <w:r w:rsidRPr="00ED6A25">
        <w:t>NIMBLE</w:t>
      </w:r>
      <w:fldSimple w:instr="DOCVARIABLE VAULT_ND_c2180b84-2b4b-4302-aaeb-c20f27aeba29 \* MERGEFORMAT">
        <w:r w:rsidR="008A6BD8">
          <w:t xml:space="preserve"> </w:t>
        </w:r>
      </w:fldSimple>
    </w:p>
    <w:p w14:paraId="0093F4FA" w14:textId="77777777" w:rsidR="002135EB" w:rsidRDefault="00880715" w:rsidP="00880715">
      <w:r w:rsidRPr="00880715">
        <w:t xml:space="preserve">The NIMBLE (206785) study is an ongoing 52-week randomised, double-blind, double dummy, parallel group, multi-centre, non-inferiority trial assessing exacerbation rate, additional measures of asthma control, and safety in adult and adolescent participants with severe asthma and an eosinophilic phenotype using mepolizumab 100 mg SC QW or benralizumab 30 mg SC QW for ≥1 year prior to screening with documented benefit. Patients receive either depemokimab or their mepolizumab or benralizumab. </w:t>
      </w:r>
    </w:p>
    <w:p w14:paraId="4729C29B" w14:textId="23B81A29" w:rsidR="002135EB" w:rsidRPr="002135EB" w:rsidRDefault="00880715" w:rsidP="002135EB">
      <w:r w:rsidRPr="00880715">
        <w:lastRenderedPageBreak/>
        <w:t>The main role of the NIMBLE study in the submission is to provide safety data.</w:t>
      </w:r>
      <w:r w:rsidR="002135EB" w:rsidRPr="002135EB">
        <w:rPr>
          <w:rFonts w:ascii="Segoe UI Symbol" w:hAnsi="Segoe UI Symbol" w:cs="Times New Roman"/>
          <w:sz w:val="18"/>
          <w:szCs w:val="18"/>
          <w:lang w:eastAsia="ja-JP"/>
        </w:rPr>
        <w:t xml:space="preserve"> </w:t>
      </w:r>
      <w:r w:rsidR="002135EB" w:rsidRPr="002135EB">
        <w:t xml:space="preserve">No efficacy data </w:t>
      </w:r>
      <w:r w:rsidR="002C5970">
        <w:t xml:space="preserve">was </w:t>
      </w:r>
      <w:r w:rsidR="002135EB" w:rsidRPr="002135EB">
        <w:t xml:space="preserve">available at the time of </w:t>
      </w:r>
      <w:r w:rsidR="002135EB" w:rsidRPr="00FB0648">
        <w:t>submission.</w:t>
      </w:r>
      <w:r w:rsidR="002135EB" w:rsidRPr="002135EB">
        <w:t xml:space="preserve"> </w:t>
      </w:r>
    </w:p>
    <w:p w14:paraId="3AAB159F" w14:textId="4BE5D660" w:rsidR="00C86344" w:rsidRPr="00C86344" w:rsidRDefault="00C86344" w:rsidP="00C86344">
      <w:pPr>
        <w:pStyle w:val="Heading4"/>
      </w:pPr>
      <w:bookmarkStart w:id="60" w:name="_Toc241481381"/>
      <w:r w:rsidRPr="00C86344">
        <w:t>Efficacy</w:t>
      </w:r>
      <w:r>
        <w:t xml:space="preserve"> - </w:t>
      </w:r>
      <w:proofErr w:type="spellStart"/>
      <w:r w:rsidR="0043794D" w:rsidRPr="0043794D">
        <w:t>CRSwNP</w:t>
      </w:r>
      <w:bookmarkEnd w:id="60"/>
      <w:proofErr w:type="spellEnd"/>
      <w:r w:rsidR="008A6BD8">
        <w:fldChar w:fldCharType="begin"/>
      </w:r>
      <w:r w:rsidR="008A6BD8">
        <w:instrText xml:space="preserve"> DOCVARIABLE vault_nd_bd99b805-4456-4c1d-9b28-6df053584901 \* MERGEFORMAT </w:instrText>
      </w:r>
      <w:r w:rsidR="008A6BD8">
        <w:fldChar w:fldCharType="separate"/>
      </w:r>
      <w:r w:rsidR="008A6BD8">
        <w:t xml:space="preserve"> </w:t>
      </w:r>
      <w:r w:rsidR="008A6BD8">
        <w:fldChar w:fldCharType="end"/>
      </w:r>
    </w:p>
    <w:p w14:paraId="28DB1D8E" w14:textId="07592F64" w:rsidR="0043794D" w:rsidRDefault="0043794D" w:rsidP="0043794D">
      <w:pPr>
        <w:pStyle w:val="Heading5"/>
      </w:pPr>
      <w:r w:rsidRPr="0043794D">
        <w:t>ANCHOR-1 and ANCHOR-2</w:t>
      </w:r>
      <w:fldSimple w:instr="DOCVARIABLE vault_nd_84f27fe7-eab8-4453-a7d8-f1b67f45a33d \* MERGEFORMAT">
        <w:r w:rsidR="008A6BD8">
          <w:t xml:space="preserve"> </w:t>
        </w:r>
      </w:fldSimple>
    </w:p>
    <w:p w14:paraId="50695B30" w14:textId="20B57CCF" w:rsidR="00C86344" w:rsidRPr="00C86344" w:rsidRDefault="00C86344" w:rsidP="00C86344">
      <w:r w:rsidRPr="00C86344">
        <w:t xml:space="preserve">ANCHOR-1 and ANCHOR-2 were randomised, double-blind, parallel group, replicate Phase </w:t>
      </w:r>
      <w:r w:rsidR="008C75E0">
        <w:t>3</w:t>
      </w:r>
      <w:r w:rsidRPr="00C86344">
        <w:t xml:space="preserve"> studies that compared depemokimab</w:t>
      </w:r>
      <w:r w:rsidR="00835554">
        <w:t xml:space="preserve"> to </w:t>
      </w:r>
      <w:r w:rsidRPr="00C86344">
        <w:t>placebo</w:t>
      </w:r>
      <w:r w:rsidR="00835554">
        <w:t xml:space="preserve"> both on a background of SoC,</w:t>
      </w:r>
      <w:r w:rsidRPr="00C86344">
        <w:t xml:space="preserve"> for the treatment of chronic rhinosinusitis with nasal polyps</w:t>
      </w:r>
      <w:r w:rsidR="00EB4230">
        <w:t>.</w:t>
      </w:r>
    </w:p>
    <w:p w14:paraId="74DC25E3" w14:textId="77777777" w:rsidR="00C86344" w:rsidRPr="00C86344" w:rsidRDefault="00C86344" w:rsidP="00C86344">
      <w:r w:rsidRPr="00C86344">
        <w:t xml:space="preserve">ANCHOR 1 was conducted between 22 April 2022 and 27 August 2024 in 82 centres in Argentina, Belgium, Canada, China, France, Germany, Japan, Netherlands, Spain, United Kingdom and the United States. </w:t>
      </w:r>
    </w:p>
    <w:p w14:paraId="3CA6736B" w14:textId="77777777" w:rsidR="00C86344" w:rsidRPr="00C86344" w:rsidRDefault="00C86344" w:rsidP="00C86344">
      <w:r w:rsidRPr="00C86344">
        <w:t>ANCHOR 2 was conducted between 18 April 2022 and 06 August 2024 in 74 centres in China, Italy, Japan, Poland, Romania, Spain, Turkey, and the United States.</w:t>
      </w:r>
    </w:p>
    <w:p w14:paraId="58A6B6BF" w14:textId="6ED55D12" w:rsidR="00C86344" w:rsidRPr="00C86344" w:rsidRDefault="00C86344" w:rsidP="00C86344">
      <w:r w:rsidRPr="00C86344">
        <w:t>The study schematic of the studies is shown below</w:t>
      </w:r>
      <w:r w:rsidR="00E963B2">
        <w:t xml:space="preserve"> (Figure 7)</w:t>
      </w:r>
      <w:r w:rsidRPr="00C86344">
        <w:t>.</w:t>
      </w:r>
    </w:p>
    <w:p w14:paraId="3A47E93F" w14:textId="6FEB248B" w:rsidR="00341BA1" w:rsidRDefault="00341BA1" w:rsidP="00341BA1">
      <w:pPr>
        <w:pStyle w:val="FigureTitle"/>
      </w:pPr>
      <w:r w:rsidRPr="00621ADD">
        <w:t xml:space="preserve">Figure </w:t>
      </w:r>
      <w:r w:rsidR="00621ADD">
        <w:t>7.</w:t>
      </w:r>
      <w:r w:rsidRPr="00621ADD">
        <w:t xml:space="preserve"> Schematic of studies</w:t>
      </w:r>
      <w:r w:rsidRPr="00341BA1">
        <w:t xml:space="preserve"> ANCHOR1 and ANCHOR-2</w:t>
      </w:r>
      <w:r w:rsidR="00E963B2">
        <w:t>.</w:t>
      </w:r>
    </w:p>
    <w:p w14:paraId="55E6D5D1" w14:textId="13A5A113" w:rsidR="00BC37D6" w:rsidRPr="00341BA1" w:rsidRDefault="00BC37D6" w:rsidP="00D97C77">
      <w:r w:rsidRPr="00346930">
        <w:rPr>
          <w:noProof/>
        </w:rPr>
        <w:drawing>
          <wp:inline distT="0" distB="0" distL="0" distR="0" wp14:anchorId="542109D4" wp14:editId="1C3B49C7">
            <wp:extent cx="5410200" cy="3298624"/>
            <wp:effectExtent l="0" t="0" r="0" b="0"/>
            <wp:docPr id="1497529010" name="Picture 1" descr="Figure 7. Schematic of studies ANCHOR1 and ANCH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29010" name="Picture 1" descr="Figure 7. Schematic of studies ANCHOR1 and ANCHOR-2."/>
                    <pic:cNvPicPr/>
                  </pic:nvPicPr>
                  <pic:blipFill>
                    <a:blip r:embed="rId29"/>
                    <a:stretch>
                      <a:fillRect/>
                    </a:stretch>
                  </pic:blipFill>
                  <pic:spPr>
                    <a:xfrm>
                      <a:off x="0" y="0"/>
                      <a:ext cx="5414632" cy="3301326"/>
                    </a:xfrm>
                    <a:prstGeom prst="rect">
                      <a:avLst/>
                    </a:prstGeom>
                  </pic:spPr>
                </pic:pic>
              </a:graphicData>
            </a:graphic>
          </wp:inline>
        </w:drawing>
      </w:r>
    </w:p>
    <w:p w14:paraId="5A31153E" w14:textId="6765DE99" w:rsidR="00173FE1" w:rsidRDefault="002D466E" w:rsidP="00173FE1">
      <w:pPr>
        <w:rPr>
          <w:rFonts w:cstheme="majorHAnsi"/>
        </w:rPr>
      </w:pPr>
      <w:bookmarkStart w:id="61" w:name="_Toc233817456"/>
      <w:r>
        <w:rPr>
          <w:rFonts w:cstheme="majorHAnsi"/>
        </w:rPr>
        <w:t>Standard of care</w:t>
      </w:r>
      <w:r w:rsidR="00173FE1">
        <w:rPr>
          <w:rFonts w:cstheme="majorHAnsi"/>
        </w:rPr>
        <w:t xml:space="preserve"> in all countries except Japan included intranasal steroids, saline nasal douching, occasional short courses of steroids (although prohibited during the run-in period) and antibiotics if warranted. In Japan, participants not taking intranasal corticosteroid could do so after starting the trial for symptom management, but if started had to remain on this treatment for the duration of the study. </w:t>
      </w:r>
    </w:p>
    <w:p w14:paraId="65B0C8B3" w14:textId="77777777" w:rsidR="00416249" w:rsidRDefault="00173FE1" w:rsidP="00173FE1">
      <w:pPr>
        <w:rPr>
          <w:rFonts w:cstheme="majorHAnsi"/>
          <w:lang w:eastAsia="ja-JP"/>
        </w:rPr>
      </w:pPr>
      <w:r w:rsidRPr="00445B47">
        <w:rPr>
          <w:rFonts w:cstheme="majorHAnsi"/>
          <w:lang w:eastAsia="ja-JP"/>
        </w:rPr>
        <w:t>At the end of the run-in period, study participants were eligible for randomisation if</w:t>
      </w:r>
      <w:r w:rsidR="00416249">
        <w:rPr>
          <w:rFonts w:cstheme="majorHAnsi"/>
          <w:lang w:eastAsia="ja-JP"/>
        </w:rPr>
        <w:t>:</w:t>
      </w:r>
    </w:p>
    <w:p w14:paraId="3E4EAA6C" w14:textId="0D489AA2" w:rsidR="00416249" w:rsidRDefault="00173FE1" w:rsidP="00416249">
      <w:pPr>
        <w:pStyle w:val="ListBullet"/>
      </w:pPr>
      <w:r w:rsidRPr="00445B47">
        <w:rPr>
          <w:lang w:eastAsia="ja-JP"/>
        </w:rPr>
        <w:t>they had</w:t>
      </w:r>
      <w:r>
        <w:rPr>
          <w:lang w:eastAsia="ja-JP"/>
        </w:rPr>
        <w:t xml:space="preserve"> an </w:t>
      </w:r>
      <w:r w:rsidRPr="00445B47">
        <w:t>endoscopic bilateral NP score of ≥ 5 out of 8 (minimum score of 2 in each nasal cavity) at Visit 1 (assessed at central laboratory)</w:t>
      </w:r>
      <w:r>
        <w:t xml:space="preserve"> </w:t>
      </w:r>
    </w:p>
    <w:p w14:paraId="19376994" w14:textId="3560E150" w:rsidR="00416249" w:rsidRDefault="00173FE1" w:rsidP="00416249">
      <w:pPr>
        <w:pStyle w:val="ListBullet"/>
      </w:pPr>
      <w:r>
        <w:t xml:space="preserve">a </w:t>
      </w:r>
      <w:r w:rsidRPr="00445B47">
        <w:t xml:space="preserve">nasal obstruction </w:t>
      </w:r>
      <w:r w:rsidR="00FD3990">
        <w:t>mean</w:t>
      </w:r>
      <w:r w:rsidR="00411BD1">
        <w:t>-</w:t>
      </w:r>
      <w:r w:rsidR="00D767AC">
        <w:t>verbal response score (</w:t>
      </w:r>
      <w:r w:rsidRPr="00445B47">
        <w:t>VRS</w:t>
      </w:r>
      <w:r w:rsidR="00D767AC">
        <w:t>)</w:t>
      </w:r>
      <w:r w:rsidRPr="00445B47">
        <w:t xml:space="preserve"> ≥ 2 over the last 7 days preceding Week 0 (excluding Week 0) (from an </w:t>
      </w:r>
      <w:proofErr w:type="spellStart"/>
      <w:r w:rsidRPr="00445B47">
        <w:t>eDiary</w:t>
      </w:r>
      <w:proofErr w:type="spellEnd"/>
      <w:r w:rsidRPr="00445B47">
        <w:t>)</w:t>
      </w:r>
      <w:r>
        <w:t xml:space="preserve"> </w:t>
      </w:r>
    </w:p>
    <w:p w14:paraId="3022CAB7" w14:textId="71A550E6" w:rsidR="00416249" w:rsidRDefault="00173FE1" w:rsidP="00416249">
      <w:pPr>
        <w:pStyle w:val="ListBullet"/>
      </w:pPr>
      <w:proofErr w:type="spellStart"/>
      <w:r w:rsidRPr="00445B47">
        <w:t>eDiary</w:t>
      </w:r>
      <w:proofErr w:type="spellEnd"/>
      <w:r w:rsidRPr="00445B47">
        <w:t xml:space="preserve"> compliance ≥ 4/7 days preceding but excluding Visit 2</w:t>
      </w:r>
    </w:p>
    <w:p w14:paraId="203E49BE" w14:textId="6E1D6B6E" w:rsidR="00416249" w:rsidRDefault="00173FE1" w:rsidP="00416249">
      <w:pPr>
        <w:pStyle w:val="ListBullet"/>
      </w:pPr>
      <w:r w:rsidRPr="00445B47">
        <w:lastRenderedPageBreak/>
        <w:t>no NP surgery (and NOT on a waitlist)</w:t>
      </w:r>
      <w:r>
        <w:t xml:space="preserve"> </w:t>
      </w:r>
    </w:p>
    <w:p w14:paraId="5DECD92E" w14:textId="79AF601B" w:rsidR="00416249" w:rsidRDefault="00173FE1" w:rsidP="00416249">
      <w:pPr>
        <w:pStyle w:val="ListBullet"/>
      </w:pPr>
      <w:r w:rsidRPr="00445B47">
        <w:t xml:space="preserve">no laboratory </w:t>
      </w:r>
      <w:r>
        <w:t xml:space="preserve">abnormality </w:t>
      </w:r>
      <w:r w:rsidRPr="00445B47">
        <w:t>(haematological, biochemical, liver function or urinalysis) or ECG abnormalities</w:t>
      </w:r>
      <w:r>
        <w:t xml:space="preserve"> </w:t>
      </w:r>
    </w:p>
    <w:p w14:paraId="2808C211" w14:textId="109FCFA0" w:rsidR="00173FE1" w:rsidRDefault="00173FE1" w:rsidP="00416249">
      <w:pPr>
        <w:pStyle w:val="ListBullet"/>
      </w:pPr>
      <w:r w:rsidRPr="00445B47">
        <w:t>no asthma exacerbations</w:t>
      </w:r>
      <w:r>
        <w:t xml:space="preserve">, </w:t>
      </w:r>
      <w:r w:rsidRPr="00445B47">
        <w:t xml:space="preserve">no new </w:t>
      </w:r>
      <w:r>
        <w:t>corticosteroid</w:t>
      </w:r>
      <w:r w:rsidRPr="00445B47">
        <w:t xml:space="preserve"> therapy</w:t>
      </w:r>
      <w:r>
        <w:t xml:space="preserve">, and </w:t>
      </w:r>
      <w:r w:rsidRPr="00445B47">
        <w:t>no unresolved URTI ≥ 6 weeks from Visit 1</w:t>
      </w:r>
      <w:r>
        <w:t>.</w:t>
      </w:r>
    </w:p>
    <w:p w14:paraId="5BB5F8B4" w14:textId="510F4B18" w:rsidR="00173FE1" w:rsidRPr="00E12C18" w:rsidRDefault="00173FE1" w:rsidP="00173FE1">
      <w:pPr>
        <w:rPr>
          <w:rFonts w:cstheme="majorHAnsi"/>
        </w:rPr>
      </w:pPr>
      <w:r w:rsidRPr="00E12C18">
        <w:rPr>
          <w:rFonts w:cstheme="majorHAnsi"/>
          <w:lang w:eastAsia="ja-JP"/>
        </w:rPr>
        <w:t>Eligible participants were randomised in a</w:t>
      </w:r>
      <w:r w:rsidRPr="00E12C18">
        <w:rPr>
          <w:rFonts w:cstheme="majorHAnsi"/>
        </w:rPr>
        <w:t xml:space="preserve"> </w:t>
      </w:r>
      <w:r w:rsidRPr="00E12C18">
        <w:rPr>
          <w:rFonts w:cstheme="majorHAnsi"/>
          <w:lang w:eastAsia="ja-JP"/>
        </w:rPr>
        <w:t>1:1 ratio into either of depemokimab100 mg SC or placebo (both in addition to SoC) for a total of 2 doses (26 weeks apart).</w:t>
      </w:r>
      <w:r w:rsidR="005811B9">
        <w:rPr>
          <w:rFonts w:cstheme="majorHAnsi"/>
          <w:lang w:eastAsia="ja-JP"/>
        </w:rPr>
        <w:t xml:space="preserve"> </w:t>
      </w:r>
      <w:r w:rsidRPr="00360ACF">
        <w:rPr>
          <w:rFonts w:cstheme="majorHAnsi"/>
        </w:rPr>
        <w:t>Randomisation was stratified based on previous surgery for NP and country.</w:t>
      </w:r>
    </w:p>
    <w:p w14:paraId="6F12F591" w14:textId="77777777" w:rsidR="00173FE1" w:rsidRDefault="00173FE1" w:rsidP="00173FE1">
      <w:pPr>
        <w:rPr>
          <w:rFonts w:cstheme="majorHAnsi"/>
        </w:rPr>
      </w:pPr>
      <w:r>
        <w:rPr>
          <w:rFonts w:cstheme="majorHAnsi"/>
        </w:rPr>
        <w:t>ANCHOR-1 randomised 143 participants to depemokimab and 133 to placebo, and ANCHOR-2 randomised 132</w:t>
      </w:r>
      <w:r w:rsidRPr="00510CE2">
        <w:rPr>
          <w:rFonts w:cstheme="majorHAnsi"/>
        </w:rPr>
        <w:t xml:space="preserve"> </w:t>
      </w:r>
      <w:r>
        <w:rPr>
          <w:rFonts w:cstheme="majorHAnsi"/>
        </w:rPr>
        <w:t>participants to depemokimab and 132 to placebo. Because of GCP concerns at one site in ANCHOR-1 and 2 sites in ANCHOR-2 the participant numbers were adjusted in the full analysis set (FAS) and safety sets to:</w:t>
      </w:r>
    </w:p>
    <w:p w14:paraId="4563B642" w14:textId="3EE11CD2" w:rsidR="00173FE1" w:rsidRPr="009474C0" w:rsidRDefault="00173FE1" w:rsidP="00AA7233">
      <w:pPr>
        <w:pStyle w:val="ListBullet"/>
      </w:pPr>
      <w:r w:rsidRPr="009474C0">
        <w:t xml:space="preserve">ANCHOR-1: 143 participants to depemokimab and 128 to placebo </w:t>
      </w:r>
    </w:p>
    <w:p w14:paraId="1D53E21D" w14:textId="77777777" w:rsidR="00173FE1" w:rsidRPr="00674607" w:rsidRDefault="00173FE1" w:rsidP="00AA7233">
      <w:pPr>
        <w:pStyle w:val="ListBullet"/>
      </w:pPr>
      <w:r w:rsidRPr="009474C0">
        <w:t>ANCHOR-2:</w:t>
      </w:r>
      <w:r>
        <w:t xml:space="preserve"> </w:t>
      </w:r>
      <w:r w:rsidRPr="009474C0">
        <w:t xml:space="preserve">129 participants to depemokimab and 128 to placebo. </w:t>
      </w:r>
    </w:p>
    <w:p w14:paraId="361627BC" w14:textId="77777777" w:rsidR="00173FE1" w:rsidRPr="00B07007" w:rsidRDefault="00173FE1" w:rsidP="00173FE1">
      <w:pPr>
        <w:rPr>
          <w:rFonts w:cstheme="majorHAnsi"/>
        </w:rPr>
      </w:pPr>
      <w:r>
        <w:rPr>
          <w:rFonts w:cstheme="majorHAnsi"/>
        </w:rPr>
        <w:t>The pooled analysis included 272 in the depemokimab group and 256 in the placebo group.</w:t>
      </w:r>
    </w:p>
    <w:p w14:paraId="4A65DF11" w14:textId="0C106115" w:rsidR="006814D7" w:rsidRPr="00D128A9" w:rsidRDefault="006814D7" w:rsidP="006814D7">
      <w:pPr>
        <w:pStyle w:val="Heading6"/>
      </w:pPr>
      <w:r w:rsidRPr="00D128A9">
        <w:t>Inclusion and exclusion criteria</w:t>
      </w:r>
      <w:fldSimple w:instr=" DOCVARIABLE vault_nd_d093a888-6771-4a8b-b5d5-ffddf85ac2d8 \* MERGEFORMAT ">
        <w:r w:rsidR="008A6BD8">
          <w:t xml:space="preserve"> </w:t>
        </w:r>
      </w:fldSimple>
    </w:p>
    <w:p w14:paraId="59BE6088" w14:textId="4E3947D8" w:rsidR="00923DDB" w:rsidRPr="00D128A9" w:rsidRDefault="00923DDB" w:rsidP="00923DDB">
      <w:pPr>
        <w:rPr>
          <w:rFonts w:cstheme="majorHAnsi"/>
        </w:rPr>
      </w:pPr>
      <w:r w:rsidRPr="00D128A9">
        <w:rPr>
          <w:rFonts w:cstheme="majorHAnsi"/>
        </w:rPr>
        <w:t>The ANCHOR studies’ key inclusion and exclusion criteria are summarised i</w:t>
      </w:r>
      <w:r w:rsidRPr="0037275B">
        <w:rPr>
          <w:rFonts w:cstheme="majorHAnsi"/>
        </w:rPr>
        <w:t>n</w:t>
      </w:r>
      <w:r w:rsidR="00AC2361">
        <w:rPr>
          <w:rFonts w:cstheme="majorHAnsi"/>
        </w:rPr>
        <w:t xml:space="preserve"> Table 5</w:t>
      </w:r>
      <w:r w:rsidRPr="00D128A9">
        <w:rPr>
          <w:rFonts w:cstheme="majorHAnsi"/>
        </w:rPr>
        <w:t>.</w:t>
      </w:r>
    </w:p>
    <w:p w14:paraId="778A2A4E" w14:textId="389822A4" w:rsidR="00923DDB" w:rsidRDefault="00923DDB" w:rsidP="00AA7233">
      <w:pPr>
        <w:pStyle w:val="TableTitle"/>
      </w:pPr>
      <w:bookmarkStart w:id="62" w:name="_Ref207275223"/>
      <w:bookmarkStart w:id="63" w:name="_Toc209166291"/>
      <w:bookmarkStart w:id="64" w:name="_Toc215565768"/>
      <w:r w:rsidRPr="00D128A9">
        <w:t xml:space="preserve">Table </w:t>
      </w:r>
      <w:bookmarkEnd w:id="62"/>
      <w:r w:rsidR="008954BE">
        <w:t>5.</w:t>
      </w:r>
      <w:r w:rsidRPr="00D128A9">
        <w:t xml:space="preserve"> ANCHOR Studies Key inclusion and exclusion criteria</w:t>
      </w:r>
      <w:bookmarkEnd w:id="63"/>
      <w:bookmarkEnd w:id="64"/>
      <w:r w:rsidR="008954BE">
        <w:t>.</w:t>
      </w:r>
      <w:r w:rsidRPr="00D128A9">
        <w:t xml:space="preserve"> </w:t>
      </w:r>
    </w:p>
    <w:tbl>
      <w:tblPr>
        <w:tblStyle w:val="TableGrid"/>
        <w:tblW w:w="0" w:type="auto"/>
        <w:tblLook w:val="04A0" w:firstRow="1" w:lastRow="0" w:firstColumn="1" w:lastColumn="0" w:noHBand="0" w:noVBand="1"/>
      </w:tblPr>
      <w:tblGrid>
        <w:gridCol w:w="4508"/>
        <w:gridCol w:w="4508"/>
      </w:tblGrid>
      <w:tr w:rsidR="0097667D" w:rsidRPr="00882BFC" w14:paraId="7CADC18D" w14:textId="77777777">
        <w:tc>
          <w:tcPr>
            <w:tcW w:w="4508" w:type="dxa"/>
            <w:shd w:val="clear" w:color="auto" w:fill="BFBFBF" w:themeFill="background1" w:themeFillShade="BF"/>
          </w:tcPr>
          <w:p w14:paraId="312C8757" w14:textId="77777777" w:rsidR="0097667D" w:rsidRPr="00882BFC" w:rsidRDefault="0097667D">
            <w:pPr>
              <w:rPr>
                <w:rFonts w:ascii="Calibri" w:hAnsi="Calibri" w:cs="Calibri"/>
                <w:b/>
                <w:bCs/>
                <w:szCs w:val="22"/>
              </w:rPr>
            </w:pPr>
            <w:r w:rsidRPr="00882BFC">
              <w:rPr>
                <w:rFonts w:ascii="Calibri" w:hAnsi="Calibri" w:cs="Calibri"/>
                <w:b/>
                <w:szCs w:val="22"/>
              </w:rPr>
              <w:t xml:space="preserve">Inclusion criteria </w:t>
            </w:r>
          </w:p>
        </w:tc>
        <w:tc>
          <w:tcPr>
            <w:tcW w:w="4508" w:type="dxa"/>
            <w:shd w:val="clear" w:color="auto" w:fill="BFBFBF" w:themeFill="background1" w:themeFillShade="BF"/>
          </w:tcPr>
          <w:p w14:paraId="1450D951" w14:textId="77777777" w:rsidR="0097667D" w:rsidRPr="00882BFC" w:rsidRDefault="0097667D">
            <w:pPr>
              <w:rPr>
                <w:rFonts w:ascii="Calibri" w:hAnsi="Calibri" w:cs="Calibri"/>
                <w:b/>
                <w:bCs/>
                <w:szCs w:val="22"/>
              </w:rPr>
            </w:pPr>
            <w:r w:rsidRPr="00882BFC">
              <w:rPr>
                <w:rFonts w:ascii="Calibri" w:hAnsi="Calibri" w:cs="Calibri"/>
                <w:b/>
                <w:szCs w:val="22"/>
              </w:rPr>
              <w:t>Exclusion criteria</w:t>
            </w:r>
          </w:p>
        </w:tc>
      </w:tr>
      <w:tr w:rsidR="0097667D" w:rsidRPr="00F16CFC" w14:paraId="32DC6195" w14:textId="77777777">
        <w:tc>
          <w:tcPr>
            <w:tcW w:w="4508" w:type="dxa"/>
          </w:tcPr>
          <w:p w14:paraId="30E74937" w14:textId="77777777" w:rsidR="0097667D" w:rsidRPr="00D128A9" w:rsidRDefault="0097667D" w:rsidP="0097667D">
            <w:pPr>
              <w:pStyle w:val="ListParagraph"/>
              <w:numPr>
                <w:ilvl w:val="0"/>
                <w:numId w:val="20"/>
              </w:numPr>
              <w:spacing w:before="120" w:after="120" w:line="240" w:lineRule="atLeast"/>
              <w:rPr>
                <w:rFonts w:ascii="Calibri" w:hAnsi="Calibri" w:cs="Calibri"/>
                <w:sz w:val="20"/>
              </w:rPr>
            </w:pPr>
            <w:r w:rsidRPr="00D128A9">
              <w:rPr>
                <w:rFonts w:ascii="Calibri" w:hAnsi="Calibri" w:cs="Calibri"/>
                <w:sz w:val="20"/>
              </w:rPr>
              <w:t>18 years and older</w:t>
            </w:r>
          </w:p>
          <w:p w14:paraId="33F09AB9" w14:textId="77777777" w:rsidR="0097667D" w:rsidRPr="00D128A9" w:rsidRDefault="0097667D" w:rsidP="0097667D">
            <w:pPr>
              <w:pStyle w:val="ListParagraph"/>
              <w:numPr>
                <w:ilvl w:val="0"/>
                <w:numId w:val="20"/>
              </w:numPr>
              <w:spacing w:before="120" w:after="120" w:line="240" w:lineRule="atLeast"/>
              <w:rPr>
                <w:rFonts w:ascii="Calibri" w:hAnsi="Calibri" w:cs="Calibri"/>
                <w:sz w:val="20"/>
              </w:rPr>
            </w:pPr>
            <w:r w:rsidRPr="00D128A9">
              <w:rPr>
                <w:rFonts w:ascii="Calibri" w:hAnsi="Calibri" w:cs="Calibri"/>
                <w:sz w:val="20"/>
              </w:rPr>
              <w:t xml:space="preserve">Endoscopic bilateral NP score of </w:t>
            </w:r>
            <w:r>
              <w:rPr>
                <w:rFonts w:ascii="Calibri" w:hAnsi="Calibri" w:cs="Calibri"/>
                <w:sz w:val="20"/>
              </w:rPr>
              <w:t>≥</w:t>
            </w:r>
            <w:r w:rsidRPr="00D128A9">
              <w:rPr>
                <w:rFonts w:ascii="Calibri" w:hAnsi="Calibri" w:cs="Calibri"/>
                <w:sz w:val="20"/>
              </w:rPr>
              <w:t xml:space="preserve"> 5 out of a maximum score of 8 (</w:t>
            </w:r>
            <w:r>
              <w:rPr>
                <w:rFonts w:ascii="Calibri" w:hAnsi="Calibri" w:cs="Calibri"/>
                <w:sz w:val="20"/>
              </w:rPr>
              <w:t>≥</w:t>
            </w:r>
            <w:r w:rsidRPr="00D128A9">
              <w:rPr>
                <w:rFonts w:ascii="Calibri" w:hAnsi="Calibri" w:cs="Calibri"/>
                <w:sz w:val="20"/>
              </w:rPr>
              <w:t xml:space="preserve"> 2 in each nasal cavity)</w:t>
            </w:r>
          </w:p>
          <w:p w14:paraId="306C7995" w14:textId="77777777" w:rsidR="0097667D" w:rsidRPr="00D128A9" w:rsidRDefault="0097667D" w:rsidP="0097667D">
            <w:pPr>
              <w:pStyle w:val="ListParagraph"/>
              <w:numPr>
                <w:ilvl w:val="0"/>
                <w:numId w:val="20"/>
              </w:numPr>
              <w:spacing w:before="120" w:after="120" w:line="240" w:lineRule="atLeast"/>
              <w:rPr>
                <w:rFonts w:ascii="Calibri" w:hAnsi="Calibri" w:cs="Calibri"/>
                <w:sz w:val="20"/>
              </w:rPr>
            </w:pPr>
            <w:r w:rsidRPr="00D128A9">
              <w:rPr>
                <w:rFonts w:ascii="Calibri" w:hAnsi="Calibri" w:cs="Calibri"/>
                <w:sz w:val="20"/>
              </w:rPr>
              <w:t>At least one of the following:</w:t>
            </w:r>
          </w:p>
          <w:p w14:paraId="4C8122D1" w14:textId="77777777" w:rsidR="0097667D" w:rsidRPr="00D128A9" w:rsidRDefault="0097667D" w:rsidP="0097667D">
            <w:pPr>
              <w:pStyle w:val="ListParagraph"/>
              <w:numPr>
                <w:ilvl w:val="1"/>
                <w:numId w:val="20"/>
              </w:numPr>
              <w:spacing w:before="120" w:after="120" w:line="240" w:lineRule="atLeast"/>
              <w:rPr>
                <w:rFonts w:ascii="Calibri" w:hAnsi="Calibri" w:cs="Calibri"/>
                <w:sz w:val="20"/>
              </w:rPr>
            </w:pPr>
            <w:r w:rsidRPr="00D128A9">
              <w:rPr>
                <w:rFonts w:ascii="Calibri" w:hAnsi="Calibri" w:cs="Calibri"/>
                <w:sz w:val="20"/>
              </w:rPr>
              <w:t>previous nasal surgery for the removal of NP</w:t>
            </w:r>
          </w:p>
          <w:p w14:paraId="11219607" w14:textId="77777777" w:rsidR="0097667D" w:rsidRPr="00D128A9" w:rsidRDefault="0097667D" w:rsidP="0097667D">
            <w:pPr>
              <w:pStyle w:val="ListParagraph"/>
              <w:numPr>
                <w:ilvl w:val="1"/>
                <w:numId w:val="20"/>
              </w:numPr>
              <w:spacing w:before="120" w:after="120" w:line="240" w:lineRule="atLeast"/>
              <w:rPr>
                <w:rFonts w:ascii="Calibri" w:hAnsi="Calibri" w:cs="Calibri"/>
                <w:sz w:val="20"/>
              </w:rPr>
            </w:pPr>
            <w:r>
              <w:rPr>
                <w:rFonts w:ascii="Calibri" w:hAnsi="Calibri" w:cs="Calibri"/>
                <w:sz w:val="20"/>
              </w:rPr>
              <w:t>≥</w:t>
            </w:r>
            <w:r w:rsidRPr="00D128A9">
              <w:rPr>
                <w:rFonts w:ascii="Calibri" w:hAnsi="Calibri" w:cs="Calibri"/>
                <w:sz w:val="20"/>
              </w:rPr>
              <w:t xml:space="preserve"> 3 consecutive days of systemic CS in the previous 2 years for NP treatment </w:t>
            </w:r>
          </w:p>
          <w:p w14:paraId="508545D0" w14:textId="77777777" w:rsidR="0097667D" w:rsidRPr="00D128A9" w:rsidRDefault="0097667D" w:rsidP="0097667D">
            <w:pPr>
              <w:pStyle w:val="ListParagraph"/>
              <w:numPr>
                <w:ilvl w:val="1"/>
                <w:numId w:val="20"/>
              </w:numPr>
              <w:spacing w:before="120" w:after="120" w:line="240" w:lineRule="atLeast"/>
              <w:rPr>
                <w:rFonts w:ascii="Calibri" w:hAnsi="Calibri" w:cs="Calibri"/>
                <w:sz w:val="20"/>
              </w:rPr>
            </w:pPr>
            <w:r w:rsidRPr="00D128A9">
              <w:rPr>
                <w:rFonts w:ascii="Calibri" w:hAnsi="Calibri" w:cs="Calibri"/>
                <w:sz w:val="20"/>
              </w:rPr>
              <w:t>unsuitable or intolerant of systemic CS</w:t>
            </w:r>
          </w:p>
          <w:p w14:paraId="23D40A0A" w14:textId="77777777" w:rsidR="0097667D" w:rsidRPr="00D128A9" w:rsidRDefault="0097667D" w:rsidP="0097667D">
            <w:pPr>
              <w:pStyle w:val="ListParagraph"/>
              <w:numPr>
                <w:ilvl w:val="0"/>
                <w:numId w:val="20"/>
              </w:numPr>
              <w:spacing w:before="120" w:after="120" w:line="240" w:lineRule="atLeast"/>
              <w:rPr>
                <w:rFonts w:ascii="Calibri" w:hAnsi="Calibri" w:cs="Calibri"/>
                <w:sz w:val="20"/>
              </w:rPr>
            </w:pPr>
            <w:r w:rsidRPr="00D128A9">
              <w:rPr>
                <w:rFonts w:ascii="Calibri" w:hAnsi="Calibri" w:cs="Calibri"/>
                <w:sz w:val="20"/>
              </w:rPr>
              <w:t xml:space="preserve">Daily treatment with INCS (including intranasal liquid steroid wash/ douching) for </w:t>
            </w:r>
            <w:r>
              <w:rPr>
                <w:rFonts w:ascii="Calibri" w:hAnsi="Calibri" w:cs="Calibri"/>
                <w:sz w:val="20"/>
              </w:rPr>
              <w:t>≥</w:t>
            </w:r>
            <w:r w:rsidRPr="00D128A9">
              <w:rPr>
                <w:rFonts w:ascii="Calibri" w:hAnsi="Calibri" w:cs="Calibri"/>
                <w:sz w:val="20"/>
              </w:rPr>
              <w:t xml:space="preserve"> 8 weeks (not participants from Japan)</w:t>
            </w:r>
          </w:p>
          <w:p w14:paraId="1891F46E" w14:textId="77777777" w:rsidR="0097667D" w:rsidRPr="00D128A9" w:rsidRDefault="0097667D" w:rsidP="0097667D">
            <w:pPr>
              <w:pStyle w:val="ListParagraph"/>
              <w:numPr>
                <w:ilvl w:val="0"/>
                <w:numId w:val="20"/>
              </w:numPr>
              <w:spacing w:before="120" w:after="120" w:line="240" w:lineRule="atLeast"/>
              <w:rPr>
                <w:rFonts w:ascii="Calibri" w:hAnsi="Calibri" w:cs="Calibri"/>
                <w:sz w:val="20"/>
              </w:rPr>
            </w:pPr>
            <w:r w:rsidRPr="00D128A9">
              <w:rPr>
                <w:rFonts w:ascii="Calibri" w:hAnsi="Calibri" w:cs="Calibri"/>
                <w:sz w:val="20"/>
              </w:rPr>
              <w:t xml:space="preserve">Severe NP symptoms defined as symptoms of nasal congestion/blockade/obstruction with moderate or severe severity and loss of smell or rhinorrhoea </w:t>
            </w:r>
          </w:p>
          <w:p w14:paraId="325AEEC9" w14:textId="77777777" w:rsidR="0097667D" w:rsidRPr="00F16CFC" w:rsidRDefault="0097667D" w:rsidP="0097667D">
            <w:pPr>
              <w:pStyle w:val="ListParagraph"/>
              <w:numPr>
                <w:ilvl w:val="0"/>
                <w:numId w:val="20"/>
              </w:numPr>
              <w:spacing w:before="120" w:after="120" w:line="240" w:lineRule="atLeast"/>
              <w:rPr>
                <w:rFonts w:ascii="Calibri" w:hAnsi="Calibri" w:cs="Calibri"/>
                <w:color w:val="7030A0"/>
                <w:sz w:val="22"/>
                <w:szCs w:val="22"/>
              </w:rPr>
            </w:pPr>
            <w:r>
              <w:rPr>
                <w:rFonts w:ascii="Calibri" w:hAnsi="Calibri" w:cs="Calibri"/>
                <w:sz w:val="20"/>
              </w:rPr>
              <w:t>≥2</w:t>
            </w:r>
            <w:r w:rsidRPr="00D128A9">
              <w:rPr>
                <w:rFonts w:ascii="Calibri" w:hAnsi="Calibri" w:cs="Calibri"/>
                <w:sz w:val="20"/>
              </w:rPr>
              <w:t xml:space="preserve"> symptoms for </w:t>
            </w:r>
            <w:r>
              <w:rPr>
                <w:rFonts w:ascii="Calibri" w:hAnsi="Calibri" w:cs="Calibri"/>
                <w:sz w:val="20"/>
              </w:rPr>
              <w:t>≥</w:t>
            </w:r>
            <w:r w:rsidRPr="00D128A9">
              <w:rPr>
                <w:rFonts w:ascii="Calibri" w:hAnsi="Calibri" w:cs="Calibri"/>
                <w:sz w:val="20"/>
              </w:rPr>
              <w:t xml:space="preserve"> 12 weeks prior to Visit 1, including either nasal blockage/congestion or nasal discharge (anterior or posterior), along with facial pain/pressure and/or a reduced or lost sense of smell</w:t>
            </w:r>
            <w:r w:rsidRPr="00D128A9">
              <w:rPr>
                <w:rFonts w:ascii="Calibri" w:hAnsi="Calibri" w:cs="Calibri"/>
                <w:sz w:val="22"/>
                <w:szCs w:val="22"/>
              </w:rPr>
              <w:t xml:space="preserve"> </w:t>
            </w:r>
          </w:p>
        </w:tc>
        <w:tc>
          <w:tcPr>
            <w:tcW w:w="4508" w:type="dxa"/>
          </w:tcPr>
          <w:p w14:paraId="65877227"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lang w:eastAsia="en-US"/>
              </w:rPr>
            </w:pPr>
            <w:r w:rsidRPr="001818D5">
              <w:rPr>
                <w:rFonts w:ascii="Calibri" w:hAnsi="Calibri" w:cs="Calibri"/>
                <w:sz w:val="20"/>
              </w:rPr>
              <w:t>Severe nasal septal deviation occluding one nostril prevented assessment of NPs</w:t>
            </w:r>
          </w:p>
          <w:p w14:paraId="183339E8"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Sino-nasal or sinus surgery changing the lateral wall structure preventing evaluation of NP score</w:t>
            </w:r>
          </w:p>
          <w:p w14:paraId="004136CD"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 xml:space="preserve">Acute sinusitis or URTI at screening or in 2 weeks prior to screening and 2 weeks </w:t>
            </w:r>
          </w:p>
          <w:p w14:paraId="60E00ED1" w14:textId="77777777" w:rsidR="0097667D" w:rsidRPr="001818D5" w:rsidRDefault="0097667D">
            <w:pPr>
              <w:pStyle w:val="ListParagraph"/>
              <w:ind w:left="360"/>
              <w:rPr>
                <w:rFonts w:ascii="Calibri" w:hAnsi="Calibri" w:cs="Calibri"/>
                <w:sz w:val="20"/>
              </w:rPr>
            </w:pPr>
            <w:r w:rsidRPr="001818D5">
              <w:rPr>
                <w:rFonts w:ascii="Calibri" w:hAnsi="Calibri" w:cs="Calibri"/>
                <w:sz w:val="20"/>
              </w:rPr>
              <w:t>prior to randomisation</w:t>
            </w:r>
          </w:p>
          <w:p w14:paraId="0EA5588C"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Intranasal and/or sinus surgery within 6 months prior to screening or any NP surgery, including being added to a waitlist prior to randomisation</w:t>
            </w:r>
          </w:p>
          <w:p w14:paraId="7842B4F1"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Rebound or chemical induced rhinitis</w:t>
            </w:r>
          </w:p>
          <w:p w14:paraId="322489B2"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 xml:space="preserve">Concurrent medical conditions including eosinophilic diseases, parasitic infections, immunodeficiency, malignancy, liver disease, vasculitis </w:t>
            </w:r>
          </w:p>
          <w:p w14:paraId="3EC34D27"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Prior or concomitant therapy with monoclonal antibodies (</w:t>
            </w:r>
            <w:proofErr w:type="spellStart"/>
            <w:r w:rsidRPr="001818D5">
              <w:rPr>
                <w:rFonts w:ascii="Calibri" w:hAnsi="Calibri" w:cs="Calibri"/>
                <w:sz w:val="20"/>
              </w:rPr>
              <w:t>mAbs</w:t>
            </w:r>
            <w:proofErr w:type="spellEnd"/>
            <w:r w:rsidRPr="001818D5">
              <w:rPr>
                <w:rFonts w:ascii="Calibri" w:hAnsi="Calibri" w:cs="Calibri"/>
                <w:sz w:val="20"/>
              </w:rPr>
              <w:t xml:space="preserve">) targeting IL-5/5R including mepolizumab, </w:t>
            </w:r>
            <w:proofErr w:type="spellStart"/>
            <w:r w:rsidRPr="001818D5">
              <w:rPr>
                <w:rFonts w:ascii="Calibri" w:hAnsi="Calibri" w:cs="Calibri"/>
                <w:sz w:val="20"/>
              </w:rPr>
              <w:t>reslizumab</w:t>
            </w:r>
            <w:proofErr w:type="spellEnd"/>
            <w:r w:rsidRPr="001818D5">
              <w:rPr>
                <w:rFonts w:ascii="Calibri" w:hAnsi="Calibri" w:cs="Calibri"/>
                <w:sz w:val="20"/>
              </w:rPr>
              <w:t xml:space="preserve"> or </w:t>
            </w:r>
            <w:proofErr w:type="spellStart"/>
            <w:r w:rsidRPr="001818D5">
              <w:rPr>
                <w:rFonts w:ascii="Calibri" w:hAnsi="Calibri" w:cs="Calibri"/>
                <w:sz w:val="20"/>
              </w:rPr>
              <w:t>benralizumab</w:t>
            </w:r>
            <w:proofErr w:type="spellEnd"/>
          </w:p>
          <w:p w14:paraId="6573A2B0" w14:textId="77777777" w:rsidR="0097667D" w:rsidRPr="001818D5" w:rsidRDefault="0097667D" w:rsidP="0097667D">
            <w:pPr>
              <w:pStyle w:val="ListParagraph"/>
              <w:numPr>
                <w:ilvl w:val="0"/>
                <w:numId w:val="21"/>
              </w:numPr>
              <w:spacing w:before="120" w:after="120" w:line="240" w:lineRule="atLeast"/>
              <w:ind w:left="360"/>
              <w:rPr>
                <w:rFonts w:ascii="Calibri" w:hAnsi="Calibri" w:cs="Calibri"/>
                <w:sz w:val="20"/>
              </w:rPr>
            </w:pPr>
            <w:r w:rsidRPr="001818D5">
              <w:rPr>
                <w:rFonts w:ascii="Calibri" w:hAnsi="Calibri" w:cs="Calibri"/>
                <w:sz w:val="20"/>
              </w:rPr>
              <w:t xml:space="preserve">Other </w:t>
            </w:r>
            <w:proofErr w:type="spellStart"/>
            <w:r w:rsidRPr="001818D5">
              <w:rPr>
                <w:rFonts w:ascii="Calibri" w:hAnsi="Calibri" w:cs="Calibri"/>
                <w:sz w:val="20"/>
              </w:rPr>
              <w:t>mAbs</w:t>
            </w:r>
            <w:proofErr w:type="spellEnd"/>
            <w:r w:rsidRPr="001818D5">
              <w:rPr>
                <w:rFonts w:ascii="Calibri" w:hAnsi="Calibri" w:cs="Calibri"/>
                <w:sz w:val="20"/>
              </w:rPr>
              <w:t xml:space="preserve"> in the treatment of asthma or CRSwNP including omalizumab or dupilumab</w:t>
            </w:r>
          </w:p>
          <w:p w14:paraId="20352BC1" w14:textId="77777777" w:rsidR="0097667D" w:rsidRPr="00F16CFC" w:rsidRDefault="0097667D" w:rsidP="0097667D">
            <w:pPr>
              <w:pStyle w:val="ListParagraph"/>
              <w:numPr>
                <w:ilvl w:val="0"/>
                <w:numId w:val="21"/>
              </w:numPr>
              <w:spacing w:before="120" w:after="120" w:line="240" w:lineRule="atLeast"/>
              <w:ind w:left="360"/>
              <w:rPr>
                <w:rFonts w:ascii="Calibri" w:hAnsi="Calibri" w:cs="Calibri"/>
                <w:color w:val="7030A0"/>
                <w:sz w:val="22"/>
                <w:szCs w:val="22"/>
              </w:rPr>
            </w:pPr>
            <w:r w:rsidRPr="001818D5">
              <w:rPr>
                <w:rFonts w:ascii="Calibri" w:hAnsi="Calibri" w:cs="Calibri"/>
                <w:sz w:val="20"/>
              </w:rPr>
              <w:t xml:space="preserve">Any other </w:t>
            </w:r>
            <w:proofErr w:type="spellStart"/>
            <w:r w:rsidRPr="001818D5">
              <w:rPr>
                <w:rFonts w:ascii="Calibri" w:hAnsi="Calibri" w:cs="Calibri"/>
                <w:sz w:val="20"/>
              </w:rPr>
              <w:t>mAb</w:t>
            </w:r>
            <w:proofErr w:type="spellEnd"/>
            <w:r w:rsidRPr="001818D5">
              <w:rPr>
                <w:rFonts w:ascii="Calibri" w:hAnsi="Calibri" w:cs="Calibri"/>
                <w:sz w:val="20"/>
              </w:rPr>
              <w:t xml:space="preserve"> (for a different purpose) within 5 half-lives of visit 1</w:t>
            </w:r>
          </w:p>
        </w:tc>
      </w:tr>
    </w:tbl>
    <w:p w14:paraId="21E9CD5E" w14:textId="1747B66B" w:rsidR="00307ED7" w:rsidRPr="00041116" w:rsidRDefault="00307ED7" w:rsidP="00FB2339">
      <w:pPr>
        <w:pStyle w:val="Heading6"/>
      </w:pPr>
      <w:bookmarkStart w:id="65" w:name="_Ref207264804"/>
      <w:r w:rsidRPr="00041116">
        <w:lastRenderedPageBreak/>
        <w:t>Efficacy variables and outcomes</w:t>
      </w:r>
      <w:bookmarkEnd w:id="65"/>
      <w:r>
        <w:t xml:space="preserve"> including supplementary estimand strategy</w:t>
      </w:r>
      <w:fldSimple w:instr="DOCVARIABLE vault_nd_eda40766-eb9c-4536-8479-5082d490eb23 \* MERGEFORMAT">
        <w:r w:rsidR="008A6BD8">
          <w:t xml:space="preserve"> </w:t>
        </w:r>
      </w:fldSimple>
    </w:p>
    <w:bookmarkStart w:id="66" w:name="_Ref207267436"/>
    <w:bookmarkStart w:id="67" w:name="_Toc209166295"/>
    <w:bookmarkStart w:id="68" w:name="_Toc215565772"/>
    <w:p w14:paraId="21784BEB" w14:textId="61EA9666" w:rsidR="00307ED7" w:rsidRPr="00BF6239" w:rsidRDefault="00307ED7" w:rsidP="00D97C77">
      <w:pPr>
        <w:rPr>
          <w:color w:val="7030A0"/>
        </w:rPr>
      </w:pPr>
      <w:r w:rsidRPr="00041116">
        <w:rPr>
          <w:noProof/>
        </w:rPr>
        <mc:AlternateContent>
          <mc:Choice Requires="wpg">
            <w:drawing>
              <wp:anchor distT="0" distB="0" distL="114300" distR="114300" simplePos="0" relativeHeight="251658240" behindDoc="0" locked="0" layoutInCell="1" allowOverlap="1" wp14:anchorId="1F0535C3" wp14:editId="72EB5839">
                <wp:simplePos x="0" y="0"/>
                <wp:positionH relativeFrom="column">
                  <wp:posOffset>-41910</wp:posOffset>
                </wp:positionH>
                <wp:positionV relativeFrom="paragraph">
                  <wp:posOffset>189230</wp:posOffset>
                </wp:positionV>
                <wp:extent cx="5064760" cy="5676900"/>
                <wp:effectExtent l="0" t="0" r="2540" b="0"/>
                <wp:wrapTopAndBottom/>
                <wp:docPr id="525645433" name="Group 1" descr="Table 6. ANCHOR-1 and ANCHOR-2 estimands."/>
                <wp:cNvGraphicFramePr/>
                <a:graphic xmlns:a="http://schemas.openxmlformats.org/drawingml/2006/main">
                  <a:graphicData uri="http://schemas.microsoft.com/office/word/2010/wordprocessingGroup">
                    <wpg:wgp>
                      <wpg:cNvGrpSpPr/>
                      <wpg:grpSpPr>
                        <a:xfrm>
                          <a:off x="0" y="0"/>
                          <a:ext cx="5064760" cy="5676900"/>
                          <a:chOff x="0" y="0"/>
                          <a:chExt cx="5921214" cy="4980873"/>
                        </a:xfrm>
                      </wpg:grpSpPr>
                      <pic:pic xmlns:pic="http://schemas.openxmlformats.org/drawingml/2006/picture">
                        <pic:nvPicPr>
                          <pic:cNvPr id="1770223551" name="Picture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916295" cy="2931795"/>
                          </a:xfrm>
                          <a:prstGeom prst="rect">
                            <a:avLst/>
                          </a:prstGeom>
                        </pic:spPr>
                      </pic:pic>
                      <pic:pic xmlns:pic="http://schemas.openxmlformats.org/drawingml/2006/picture">
                        <pic:nvPicPr>
                          <pic:cNvPr id="609334464" name="Picture 1" descr="A close-up of a medical document&#10;&#10;AI-generated content may be incorrect."/>
                          <pic:cNvPicPr>
                            <a:picLocks noChangeAspect="1"/>
                          </pic:cNvPicPr>
                        </pic:nvPicPr>
                        <pic:blipFill rotWithShape="1">
                          <a:blip r:embed="rId31">
                            <a:extLst>
                              <a:ext uri="{28A0092B-C50C-407E-A947-70E740481C1C}">
                                <a14:useLocalDpi xmlns:a14="http://schemas.microsoft.com/office/drawing/2010/main" val="0"/>
                              </a:ext>
                            </a:extLst>
                          </a:blip>
                          <a:srcRect l="-253"/>
                          <a:stretch>
                            <a:fillRect/>
                          </a:stretch>
                        </pic:blipFill>
                        <pic:spPr bwMode="auto">
                          <a:xfrm>
                            <a:off x="6824" y="2934268"/>
                            <a:ext cx="5914390" cy="20466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36795FF" id="Group 1" o:spid="_x0000_s1026" alt="Table 6. ANCHOR-1 and ANCHOR-2 estimands." style="position:absolute;margin-left:-3.3pt;margin-top:14.9pt;width:398.8pt;height:447pt;z-index:251658240;mso-width-relative:margin;mso-height-relative:margin" coordsize="59212,49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162;height:29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">
                  <v:imagedata r:id="rId32" o:title=""/>
                </v:shape>
                <v:shape id="Picture 1" o:spid="_x0000_s1028" type="#_x0000_t75" alt="A close-up of a medical document&#10;&#10;AI-generated content may be incorrect." style="position:absolute;left:68;top:29342;width:59144;height:20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">
                  <v:imagedata r:id="rId33" o:title="A close-up of a medical document&#10;&#10;AI-generated content may be incorrect" cropleft="-166f"/>
                </v:shape>
                <w10:wrap type="topAndBottom"/>
              </v:group>
            </w:pict>
          </mc:Fallback>
        </mc:AlternateContent>
      </w:r>
      <w:r w:rsidRPr="00041116">
        <w:t xml:space="preserve">Table </w:t>
      </w:r>
      <w:bookmarkEnd w:id="66"/>
      <w:r w:rsidR="002048EC">
        <w:t>6.</w:t>
      </w:r>
      <w:r w:rsidRPr="00041116">
        <w:t xml:space="preserve"> ANCHOR-1 and ANCHOR-2 </w:t>
      </w:r>
      <w:proofErr w:type="spellStart"/>
      <w:r w:rsidRPr="00041116">
        <w:t>estimands</w:t>
      </w:r>
      <w:bookmarkEnd w:id="67"/>
      <w:bookmarkEnd w:id="68"/>
      <w:proofErr w:type="spellEnd"/>
      <w:r w:rsidR="002048EC">
        <w:t>.</w:t>
      </w:r>
    </w:p>
    <w:p w14:paraId="5DFCD594" w14:textId="77777777" w:rsidR="00FB2339" w:rsidRDefault="00FB2339" w:rsidP="00E501A3">
      <w:pPr>
        <w:rPr>
          <w:rFonts w:cstheme="majorHAnsi"/>
          <w:noProof/>
        </w:rPr>
      </w:pPr>
    </w:p>
    <w:p w14:paraId="70015C04" w14:textId="3F332D07" w:rsidR="00E501A3" w:rsidRPr="00E97139" w:rsidRDefault="00E501A3" w:rsidP="00E501A3">
      <w:pPr>
        <w:rPr>
          <w:rFonts w:cstheme="majorHAnsi"/>
          <w:noProof/>
        </w:rPr>
      </w:pPr>
      <w:r>
        <w:rPr>
          <w:rFonts w:cstheme="majorHAnsi"/>
          <w:noProof/>
        </w:rPr>
        <w:t xml:space="preserve">Supplementary estimand: </w:t>
      </w:r>
      <w:r w:rsidRPr="00E97139">
        <w:rPr>
          <w:rFonts w:cstheme="majorHAnsi"/>
          <w:noProof/>
        </w:rPr>
        <w:t xml:space="preserve">Participants who experienced an intercurrent event were assigned the worst possible value of the relevant score for all assessments following the intercurrent event, i.e. intercurrent event assigned a total endoscopic NP score of 8 for every scheduled clinic visit after the date of the first intercurrent event (regardless of whether the visit occurred) and a nasal obstruction VRS </w:t>
      </w:r>
      <w:r w:rsidR="00157FC6">
        <w:rPr>
          <w:rFonts w:cstheme="majorHAnsi"/>
          <w:noProof/>
        </w:rPr>
        <w:t xml:space="preserve">mean score </w:t>
      </w:r>
      <w:r w:rsidRPr="00E97139">
        <w:rPr>
          <w:rFonts w:cstheme="majorHAnsi"/>
          <w:noProof/>
        </w:rPr>
        <w:t xml:space="preserve">of 3 for every day after the date of the first intercurrent event. </w:t>
      </w:r>
    </w:p>
    <w:p w14:paraId="7F33E8E1" w14:textId="48432B8E" w:rsidR="00E501A3" w:rsidRPr="00DF7788" w:rsidRDefault="00E501A3" w:rsidP="00FB2339">
      <w:pPr>
        <w:pStyle w:val="Heading6"/>
      </w:pPr>
      <w:r w:rsidRPr="00DF7788">
        <w:t>Statistical methods</w:t>
      </w:r>
      <w:fldSimple w:instr="DOCVARIABLE vault_nd_8dbf9460-7d56-455f-b942-4069bba45a29 \* MERGEFORMAT">
        <w:r w:rsidR="008A6BD8">
          <w:t xml:space="preserve"> </w:t>
        </w:r>
      </w:fldSimple>
    </w:p>
    <w:p w14:paraId="057A0171" w14:textId="363E1339" w:rsidR="00E501A3" w:rsidRPr="00DF078B" w:rsidRDefault="00E501A3" w:rsidP="00FB2339">
      <w:pPr>
        <w:rPr>
          <w:i/>
        </w:rPr>
      </w:pPr>
      <w:r w:rsidRPr="00682B34">
        <w:t xml:space="preserve">The sample size calculations </w:t>
      </w:r>
      <w:r w:rsidR="00CF7AFF">
        <w:t xml:space="preserve">for each study </w:t>
      </w:r>
      <w:r w:rsidRPr="00682B34">
        <w:t>were based on the co-primary efficacy endpoints. Approximately 250 participants were planned to be randomised in a 1:1 ratio (125 per group), allowing for a minimum 118 evaluable participants in each group.</w:t>
      </w:r>
      <w:r>
        <w:t xml:space="preserve"> </w:t>
      </w:r>
      <w:r w:rsidRPr="00684A26">
        <w:t xml:space="preserve">This gave an overall power </w:t>
      </w:r>
      <w:r>
        <w:t xml:space="preserve">of </w:t>
      </w:r>
      <w:r w:rsidRPr="00684A26">
        <w:t>&gt;99%</w:t>
      </w:r>
      <w:r>
        <w:t xml:space="preserve"> for the total endoscopic NP score, assuming a true population difference of -1.10 between depemokimab and placebo (SD 1.665) at the 2-sided 5% significance level, and the smallest treatment difference for statistical significance of -0.42</w:t>
      </w:r>
      <w:r w:rsidRPr="00684A26">
        <w:t>.</w:t>
      </w:r>
      <w:r w:rsidRPr="00212B25">
        <w:t xml:space="preserve"> </w:t>
      </w:r>
      <w:r>
        <w:t xml:space="preserve">It also </w:t>
      </w:r>
      <w:r w:rsidRPr="00684A26">
        <w:t xml:space="preserve">gave an overall power </w:t>
      </w:r>
      <w:r>
        <w:t xml:space="preserve">of </w:t>
      </w:r>
      <w:r w:rsidRPr="00684A26">
        <w:t>&gt;99%</w:t>
      </w:r>
      <w:r>
        <w:t xml:space="preserve"> for the total </w:t>
      </w:r>
      <w:r w:rsidRPr="00DF078B">
        <w:t xml:space="preserve">nasal obstruction VRS mean score over Week 49 to Week 52, assuming </w:t>
      </w:r>
      <w:r>
        <w:t xml:space="preserve">a true </w:t>
      </w:r>
      <w:r>
        <w:lastRenderedPageBreak/>
        <w:t>population difference of -0.70 between depemokimab and placebo (SD 0.84) at the 2-sided 5% significance level, and the smallest treatment difference for statistical significance of -0.21</w:t>
      </w:r>
      <w:r w:rsidRPr="00684A26">
        <w:t>.</w:t>
      </w:r>
    </w:p>
    <w:p w14:paraId="34960FB6" w14:textId="77777777" w:rsidR="00E501A3" w:rsidRPr="00FA2705" w:rsidRDefault="00E501A3" w:rsidP="00FA2705">
      <w:pPr>
        <w:rPr>
          <w:b/>
          <w:bCs/>
        </w:rPr>
      </w:pPr>
      <w:r w:rsidRPr="00FA2705">
        <w:rPr>
          <w:b/>
          <w:bCs/>
        </w:rPr>
        <w:t>Assessment of co-primary endpoints</w:t>
      </w:r>
    </w:p>
    <w:p w14:paraId="7BE593C7" w14:textId="77777777" w:rsidR="00E501A3" w:rsidRPr="0067528D" w:rsidRDefault="00E501A3" w:rsidP="00E501A3">
      <w:pPr>
        <w:rPr>
          <w:rFonts w:cstheme="majorHAnsi"/>
        </w:rPr>
      </w:pPr>
      <w:r w:rsidRPr="0067528D">
        <w:rPr>
          <w:rFonts w:cstheme="majorHAnsi"/>
        </w:rPr>
        <w:t xml:space="preserve">Each co-primary endpoint was tested at the 2-sided 5% alpha level and </w:t>
      </w:r>
      <w:r w:rsidRPr="00E133A6">
        <w:rPr>
          <w:rFonts w:cstheme="majorHAnsi"/>
          <w:u w:val="single"/>
        </w:rPr>
        <w:t>both</w:t>
      </w:r>
      <w:r w:rsidRPr="0067528D">
        <w:rPr>
          <w:rFonts w:cstheme="majorHAnsi"/>
        </w:rPr>
        <w:t xml:space="preserve"> tests </w:t>
      </w:r>
      <w:r>
        <w:rPr>
          <w:rFonts w:cstheme="majorHAnsi"/>
        </w:rPr>
        <w:t>had to</w:t>
      </w:r>
      <w:r w:rsidRPr="0067528D">
        <w:rPr>
          <w:rFonts w:cstheme="majorHAnsi"/>
        </w:rPr>
        <w:t xml:space="preserve"> be significant to achieve the primary study objective.</w:t>
      </w:r>
    </w:p>
    <w:p w14:paraId="31633141" w14:textId="77777777" w:rsidR="00E501A3" w:rsidRPr="00972E4C" w:rsidRDefault="00E501A3" w:rsidP="00FA2705">
      <w:pPr>
        <w:rPr>
          <w:b/>
          <w:bCs/>
          <w:lang w:eastAsia="ja-JP"/>
        </w:rPr>
      </w:pPr>
      <w:r w:rsidRPr="00972E4C">
        <w:rPr>
          <w:b/>
          <w:bCs/>
          <w:lang w:eastAsia="ja-JP"/>
        </w:rPr>
        <w:t xml:space="preserve">Testing of secondary endpoints and multiplicity adjustment </w:t>
      </w:r>
    </w:p>
    <w:p w14:paraId="45655D1C" w14:textId="192E756C" w:rsidR="00E501A3" w:rsidRDefault="008C7B5A" w:rsidP="00E501A3">
      <w:pPr>
        <w:rPr>
          <w:rFonts w:cstheme="majorHAnsi"/>
          <w:lang w:eastAsia="ja-JP"/>
        </w:rPr>
      </w:pPr>
      <w:r>
        <w:rPr>
          <w:rFonts w:cstheme="majorHAnsi"/>
          <w:lang w:eastAsia="ja-JP"/>
        </w:rPr>
        <w:t>Within each study, t</w:t>
      </w:r>
      <w:r w:rsidR="00E501A3" w:rsidRPr="0067528D">
        <w:rPr>
          <w:rFonts w:cstheme="majorHAnsi"/>
          <w:lang w:eastAsia="ja-JP"/>
        </w:rPr>
        <w:t>esting of secondary endpoints was carried out in a hierarchical manner, dependent on statistical significance that would have been achieved for the previous endpoint in the hierarchy.</w:t>
      </w:r>
    </w:p>
    <w:p w14:paraId="5CB1D47C" w14:textId="77777777" w:rsidR="00E501A3" w:rsidRPr="00972E4C" w:rsidRDefault="00E501A3" w:rsidP="00E501A3">
      <w:pPr>
        <w:rPr>
          <w:rFonts w:cstheme="majorHAnsi"/>
          <w:b/>
          <w:bCs/>
          <w:lang w:eastAsia="ja-JP"/>
        </w:rPr>
      </w:pPr>
      <w:r w:rsidRPr="00972E4C">
        <w:rPr>
          <w:rFonts w:cstheme="majorHAnsi"/>
          <w:b/>
          <w:bCs/>
          <w:lang w:eastAsia="ja-JP"/>
        </w:rPr>
        <w:t>Participant flow</w:t>
      </w:r>
    </w:p>
    <w:p w14:paraId="2D3186AB" w14:textId="30405E9A" w:rsidR="00E501A3" w:rsidRDefault="00E501A3" w:rsidP="00E501A3">
      <w:pPr>
        <w:rPr>
          <w:rFonts w:cstheme="majorHAnsi"/>
          <w:lang w:eastAsia="ja-JP"/>
        </w:rPr>
      </w:pPr>
      <w:r w:rsidRPr="000100C9">
        <w:rPr>
          <w:rFonts w:cstheme="majorHAnsi"/>
          <w:lang w:eastAsia="ja-JP"/>
        </w:rPr>
        <w:t xml:space="preserve">The participant flow for the ANCHOR-1 </w:t>
      </w:r>
      <w:r>
        <w:rPr>
          <w:rFonts w:cstheme="majorHAnsi"/>
          <w:lang w:eastAsia="ja-JP"/>
        </w:rPr>
        <w:t>and ANCHOR-2 studies are tabulated</w:t>
      </w:r>
      <w:r w:rsidR="00D2322B">
        <w:rPr>
          <w:rFonts w:cstheme="majorHAnsi"/>
          <w:lang w:eastAsia="ja-JP"/>
        </w:rPr>
        <w:t xml:space="preserve"> below (Table 7)</w:t>
      </w:r>
      <w:r>
        <w:rPr>
          <w:rFonts w:cstheme="majorHAnsi"/>
          <w:lang w:eastAsia="ja-JP"/>
        </w:rPr>
        <w:t>.</w:t>
      </w:r>
    </w:p>
    <w:p w14:paraId="60081DFE" w14:textId="5BFB55E8" w:rsidR="00E501A3" w:rsidRDefault="00E501A3" w:rsidP="00972E4C">
      <w:pPr>
        <w:pStyle w:val="TableTitle"/>
      </w:pPr>
      <w:r>
        <w:t xml:space="preserve">Table </w:t>
      </w:r>
      <w:r w:rsidR="00D2322B">
        <w:t xml:space="preserve">7. </w:t>
      </w:r>
      <w:r>
        <w:t>Participant flow ANCHOR-1 and ANCHOR-2 studies</w:t>
      </w:r>
      <w:r w:rsidR="00CE34C0">
        <w:t>.</w:t>
      </w:r>
    </w:p>
    <w:tbl>
      <w:tblPr>
        <w:tblStyle w:val="TableGrid"/>
        <w:tblW w:w="5107" w:type="pct"/>
        <w:tblLook w:val="04A0" w:firstRow="1" w:lastRow="0" w:firstColumn="1" w:lastColumn="0" w:noHBand="0" w:noVBand="1"/>
      </w:tblPr>
      <w:tblGrid>
        <w:gridCol w:w="4267"/>
        <w:gridCol w:w="998"/>
        <w:gridCol w:w="1388"/>
        <w:gridCol w:w="1035"/>
        <w:gridCol w:w="1566"/>
      </w:tblGrid>
      <w:tr w:rsidR="00E501A3" w:rsidRPr="00517CEE" w14:paraId="67410475" w14:textId="77777777">
        <w:tc>
          <w:tcPr>
            <w:tcW w:w="2306" w:type="pct"/>
            <w:vMerge w:val="restart"/>
            <w:tcBorders>
              <w:right w:val="double" w:sz="4" w:space="0" w:color="auto"/>
            </w:tcBorders>
            <w:shd w:val="clear" w:color="auto" w:fill="BFBFBF" w:themeFill="background1" w:themeFillShade="BF"/>
          </w:tcPr>
          <w:p w14:paraId="32738B3E" w14:textId="77777777" w:rsidR="00E501A3" w:rsidRPr="00517CEE" w:rsidRDefault="00E501A3">
            <w:pPr>
              <w:rPr>
                <w:rFonts w:ascii="Calibri" w:hAnsi="Calibri" w:cs="Calibri"/>
                <w:b/>
                <w:bCs/>
                <w:szCs w:val="22"/>
                <w:lang w:eastAsia="ja-JP"/>
              </w:rPr>
            </w:pPr>
          </w:p>
        </w:tc>
        <w:tc>
          <w:tcPr>
            <w:tcW w:w="1288" w:type="pct"/>
            <w:gridSpan w:val="2"/>
            <w:tcBorders>
              <w:left w:val="double" w:sz="4" w:space="0" w:color="auto"/>
              <w:right w:val="double" w:sz="4" w:space="0" w:color="auto"/>
            </w:tcBorders>
            <w:shd w:val="clear" w:color="auto" w:fill="BFBFBF" w:themeFill="background1" w:themeFillShade="BF"/>
            <w:vAlign w:val="center"/>
          </w:tcPr>
          <w:p w14:paraId="15B18791"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ANCHOR-1</w:t>
            </w:r>
          </w:p>
        </w:tc>
        <w:tc>
          <w:tcPr>
            <w:tcW w:w="1405" w:type="pct"/>
            <w:gridSpan w:val="2"/>
            <w:tcBorders>
              <w:left w:val="double" w:sz="4" w:space="0" w:color="auto"/>
            </w:tcBorders>
            <w:shd w:val="clear" w:color="auto" w:fill="BFBFBF" w:themeFill="background1" w:themeFillShade="BF"/>
            <w:vAlign w:val="center"/>
          </w:tcPr>
          <w:p w14:paraId="56AA8870"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ANCHOR-2</w:t>
            </w:r>
          </w:p>
        </w:tc>
      </w:tr>
      <w:tr w:rsidR="00E501A3" w:rsidRPr="00517CEE" w14:paraId="344CF2EB" w14:textId="77777777">
        <w:tc>
          <w:tcPr>
            <w:tcW w:w="2306" w:type="pct"/>
            <w:vMerge/>
            <w:tcBorders>
              <w:right w:val="double" w:sz="4" w:space="0" w:color="auto"/>
            </w:tcBorders>
            <w:shd w:val="clear" w:color="auto" w:fill="BFBFBF" w:themeFill="background1" w:themeFillShade="BF"/>
          </w:tcPr>
          <w:p w14:paraId="4454D931" w14:textId="77777777" w:rsidR="00E501A3" w:rsidRPr="00517CEE" w:rsidRDefault="00E501A3">
            <w:pPr>
              <w:rPr>
                <w:rFonts w:ascii="Calibri" w:hAnsi="Calibri" w:cs="Calibri"/>
                <w:b/>
                <w:bCs/>
                <w:szCs w:val="22"/>
                <w:lang w:eastAsia="ja-JP"/>
              </w:rPr>
            </w:pPr>
          </w:p>
        </w:tc>
        <w:tc>
          <w:tcPr>
            <w:tcW w:w="539" w:type="pct"/>
            <w:tcBorders>
              <w:left w:val="double" w:sz="4" w:space="0" w:color="auto"/>
            </w:tcBorders>
            <w:shd w:val="clear" w:color="auto" w:fill="BFBFBF" w:themeFill="background1" w:themeFillShade="BF"/>
            <w:vAlign w:val="center"/>
          </w:tcPr>
          <w:p w14:paraId="061CFABB"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Placebo</w:t>
            </w:r>
          </w:p>
        </w:tc>
        <w:tc>
          <w:tcPr>
            <w:tcW w:w="750" w:type="pct"/>
            <w:tcBorders>
              <w:right w:val="double" w:sz="4" w:space="0" w:color="auto"/>
            </w:tcBorders>
            <w:shd w:val="clear" w:color="auto" w:fill="BFBFBF" w:themeFill="background1" w:themeFillShade="BF"/>
            <w:vAlign w:val="center"/>
          </w:tcPr>
          <w:p w14:paraId="20CB87D1" w14:textId="77777777" w:rsidR="00E501A3" w:rsidRPr="00517CEE" w:rsidRDefault="00E501A3">
            <w:pPr>
              <w:jc w:val="center"/>
              <w:rPr>
                <w:rFonts w:ascii="Calibri" w:hAnsi="Calibri" w:cs="Calibri"/>
                <w:b/>
                <w:bCs/>
                <w:szCs w:val="22"/>
                <w:lang w:eastAsia="ja-JP"/>
              </w:rPr>
            </w:pPr>
            <w:proofErr w:type="spellStart"/>
            <w:r w:rsidRPr="00517CEE">
              <w:rPr>
                <w:rFonts w:ascii="Calibri" w:hAnsi="Calibri" w:cs="Calibri"/>
                <w:b/>
                <w:szCs w:val="22"/>
                <w:lang w:eastAsia="ja-JP"/>
              </w:rPr>
              <w:t>Dep</w:t>
            </w:r>
            <w:r>
              <w:rPr>
                <w:rFonts w:ascii="Calibri" w:hAnsi="Calibri" w:cs="Calibri"/>
                <w:b/>
                <w:szCs w:val="22"/>
                <w:lang w:eastAsia="ja-JP"/>
              </w:rPr>
              <w:t>’</w:t>
            </w:r>
            <w:r w:rsidRPr="00517CEE">
              <w:rPr>
                <w:rFonts w:ascii="Calibri" w:hAnsi="Calibri" w:cs="Calibri"/>
                <w:b/>
                <w:szCs w:val="22"/>
                <w:lang w:eastAsia="ja-JP"/>
              </w:rPr>
              <w:t>mab</w:t>
            </w:r>
            <w:proofErr w:type="spellEnd"/>
          </w:p>
        </w:tc>
        <w:tc>
          <w:tcPr>
            <w:tcW w:w="559" w:type="pct"/>
            <w:tcBorders>
              <w:left w:val="double" w:sz="4" w:space="0" w:color="auto"/>
            </w:tcBorders>
            <w:shd w:val="clear" w:color="auto" w:fill="BFBFBF" w:themeFill="background1" w:themeFillShade="BF"/>
            <w:vAlign w:val="center"/>
          </w:tcPr>
          <w:p w14:paraId="3B261306"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Placebo</w:t>
            </w:r>
          </w:p>
        </w:tc>
        <w:tc>
          <w:tcPr>
            <w:tcW w:w="846" w:type="pct"/>
            <w:shd w:val="clear" w:color="auto" w:fill="BFBFBF" w:themeFill="background1" w:themeFillShade="BF"/>
            <w:vAlign w:val="center"/>
          </w:tcPr>
          <w:p w14:paraId="3EB4AC90" w14:textId="77777777" w:rsidR="00E501A3" w:rsidRPr="00517CEE" w:rsidRDefault="00E501A3">
            <w:pPr>
              <w:jc w:val="center"/>
              <w:rPr>
                <w:rFonts w:ascii="Calibri" w:hAnsi="Calibri" w:cs="Calibri"/>
                <w:b/>
                <w:bCs/>
                <w:szCs w:val="22"/>
                <w:lang w:eastAsia="ja-JP"/>
              </w:rPr>
            </w:pPr>
            <w:proofErr w:type="spellStart"/>
            <w:r w:rsidRPr="00517CEE">
              <w:rPr>
                <w:rFonts w:ascii="Calibri" w:hAnsi="Calibri" w:cs="Calibri"/>
                <w:b/>
                <w:szCs w:val="22"/>
                <w:lang w:eastAsia="ja-JP"/>
              </w:rPr>
              <w:t>Dep</w:t>
            </w:r>
            <w:r>
              <w:rPr>
                <w:rFonts w:ascii="Calibri" w:hAnsi="Calibri" w:cs="Calibri"/>
                <w:b/>
                <w:szCs w:val="22"/>
                <w:lang w:eastAsia="ja-JP"/>
              </w:rPr>
              <w:t>’</w:t>
            </w:r>
            <w:r w:rsidRPr="00517CEE">
              <w:rPr>
                <w:rFonts w:ascii="Calibri" w:hAnsi="Calibri" w:cs="Calibri"/>
                <w:b/>
                <w:szCs w:val="22"/>
                <w:lang w:eastAsia="ja-JP"/>
              </w:rPr>
              <w:t>mab</w:t>
            </w:r>
            <w:proofErr w:type="spellEnd"/>
          </w:p>
        </w:tc>
      </w:tr>
      <w:tr w:rsidR="00E501A3" w:rsidRPr="00C46B3D" w14:paraId="0B5E95B5" w14:textId="77777777">
        <w:trPr>
          <w:trHeight w:val="205"/>
        </w:trPr>
        <w:tc>
          <w:tcPr>
            <w:tcW w:w="5000" w:type="pct"/>
            <w:gridSpan w:val="5"/>
            <w:tcBorders>
              <w:right w:val="double" w:sz="4" w:space="0" w:color="auto"/>
            </w:tcBorders>
            <w:shd w:val="clear" w:color="auto" w:fill="D9D9D9" w:themeFill="background1" w:themeFillShade="D9"/>
          </w:tcPr>
          <w:p w14:paraId="070FFCB6" w14:textId="77777777" w:rsidR="00E501A3" w:rsidRPr="00C46B3D" w:rsidRDefault="00E501A3">
            <w:pPr>
              <w:rPr>
                <w:rFonts w:ascii="Calibri" w:hAnsi="Calibri" w:cs="Calibri"/>
                <w:b/>
                <w:bCs/>
                <w:sz w:val="20"/>
                <w:szCs w:val="20"/>
                <w:lang w:eastAsia="ja-JP"/>
              </w:rPr>
            </w:pPr>
            <w:r>
              <w:rPr>
                <w:rFonts w:ascii="Calibri" w:hAnsi="Calibri" w:cs="Calibri"/>
                <w:b/>
                <w:sz w:val="20"/>
                <w:szCs w:val="20"/>
                <w:lang w:eastAsia="ja-JP"/>
              </w:rPr>
              <w:t>FAS excluding participants from sites with GCP violation</w:t>
            </w:r>
          </w:p>
        </w:tc>
      </w:tr>
      <w:tr w:rsidR="00E501A3" w:rsidRPr="00C46B3D" w14:paraId="7AFEF54B" w14:textId="77777777">
        <w:trPr>
          <w:trHeight w:val="204"/>
        </w:trPr>
        <w:tc>
          <w:tcPr>
            <w:tcW w:w="2306" w:type="pct"/>
            <w:tcBorders>
              <w:right w:val="double" w:sz="4" w:space="0" w:color="auto"/>
            </w:tcBorders>
            <w:vAlign w:val="center"/>
          </w:tcPr>
          <w:p w14:paraId="46A1EE16" w14:textId="77777777" w:rsidR="00E501A3" w:rsidRPr="00C46B3D" w:rsidRDefault="00E501A3">
            <w:pPr>
              <w:jc w:val="both"/>
              <w:rPr>
                <w:rFonts w:ascii="Calibri" w:hAnsi="Calibri" w:cs="Calibri"/>
                <w:sz w:val="20"/>
                <w:szCs w:val="20"/>
                <w:lang w:eastAsia="ja-JP"/>
              </w:rPr>
            </w:pPr>
            <w:r>
              <w:rPr>
                <w:rFonts w:ascii="Calibri" w:hAnsi="Calibri" w:cs="Calibri"/>
                <w:sz w:val="20"/>
                <w:szCs w:val="20"/>
                <w:lang w:eastAsia="ja-JP"/>
              </w:rPr>
              <w:t>Received 1 dose of study treatment</w:t>
            </w:r>
          </w:p>
        </w:tc>
        <w:tc>
          <w:tcPr>
            <w:tcW w:w="539" w:type="pct"/>
            <w:tcBorders>
              <w:left w:val="double" w:sz="4" w:space="0" w:color="auto"/>
            </w:tcBorders>
          </w:tcPr>
          <w:p w14:paraId="4D3797B6"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132</w:t>
            </w:r>
          </w:p>
        </w:tc>
        <w:tc>
          <w:tcPr>
            <w:tcW w:w="750" w:type="pct"/>
            <w:tcBorders>
              <w:right w:val="double" w:sz="4" w:space="0" w:color="auto"/>
            </w:tcBorders>
          </w:tcPr>
          <w:p w14:paraId="68C3F329"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143</w:t>
            </w:r>
          </w:p>
        </w:tc>
        <w:tc>
          <w:tcPr>
            <w:tcW w:w="559" w:type="pct"/>
            <w:tcBorders>
              <w:left w:val="double" w:sz="4" w:space="0" w:color="auto"/>
            </w:tcBorders>
          </w:tcPr>
          <w:p w14:paraId="40546820" w14:textId="3723261D" w:rsidR="00E501A3" w:rsidRPr="00C46B3D" w:rsidRDefault="00623F48">
            <w:pPr>
              <w:jc w:val="center"/>
              <w:rPr>
                <w:rFonts w:ascii="Calibri" w:hAnsi="Calibri" w:cs="Calibri"/>
                <w:sz w:val="20"/>
                <w:szCs w:val="20"/>
                <w:lang w:eastAsia="ja-JP"/>
              </w:rPr>
            </w:pPr>
            <w:r>
              <w:rPr>
                <w:rFonts w:ascii="Calibri" w:hAnsi="Calibri" w:cs="Calibri"/>
                <w:sz w:val="20"/>
                <w:szCs w:val="20"/>
                <w:lang w:eastAsia="ja-JP"/>
              </w:rPr>
              <w:t>128</w:t>
            </w:r>
          </w:p>
        </w:tc>
        <w:tc>
          <w:tcPr>
            <w:tcW w:w="846" w:type="pct"/>
          </w:tcPr>
          <w:p w14:paraId="012B739D" w14:textId="5A79E819" w:rsidR="00E501A3" w:rsidRPr="00C46B3D" w:rsidRDefault="00623F48">
            <w:pPr>
              <w:jc w:val="center"/>
              <w:rPr>
                <w:rFonts w:ascii="Calibri" w:hAnsi="Calibri" w:cs="Calibri"/>
                <w:sz w:val="20"/>
                <w:szCs w:val="20"/>
                <w:lang w:eastAsia="ja-JP"/>
              </w:rPr>
            </w:pPr>
            <w:r>
              <w:rPr>
                <w:rFonts w:ascii="Calibri" w:hAnsi="Calibri" w:cs="Calibri"/>
                <w:sz w:val="20"/>
                <w:szCs w:val="20"/>
                <w:lang w:eastAsia="ja-JP"/>
              </w:rPr>
              <w:t>129</w:t>
            </w:r>
          </w:p>
        </w:tc>
      </w:tr>
      <w:tr w:rsidR="00E501A3" w:rsidRPr="00C46B3D" w14:paraId="322FAB0F" w14:textId="77777777">
        <w:trPr>
          <w:trHeight w:val="204"/>
        </w:trPr>
        <w:tc>
          <w:tcPr>
            <w:tcW w:w="2306" w:type="pct"/>
            <w:tcBorders>
              <w:right w:val="double" w:sz="4" w:space="0" w:color="auto"/>
            </w:tcBorders>
            <w:vAlign w:val="center"/>
          </w:tcPr>
          <w:p w14:paraId="22154558" w14:textId="77777777" w:rsidR="00E501A3" w:rsidRPr="00C46B3D" w:rsidRDefault="00E501A3">
            <w:pPr>
              <w:rPr>
                <w:rFonts w:ascii="Calibri" w:hAnsi="Calibri" w:cs="Calibri"/>
                <w:sz w:val="20"/>
                <w:szCs w:val="20"/>
                <w:lang w:eastAsia="ja-JP"/>
              </w:rPr>
            </w:pPr>
            <w:r>
              <w:rPr>
                <w:rFonts w:ascii="Calibri" w:hAnsi="Calibri" w:cs="Calibri"/>
                <w:sz w:val="20"/>
                <w:szCs w:val="20"/>
                <w:lang w:eastAsia="ja-JP"/>
              </w:rPr>
              <w:t>Completed study</w:t>
            </w:r>
          </w:p>
        </w:tc>
        <w:tc>
          <w:tcPr>
            <w:tcW w:w="539" w:type="pct"/>
            <w:tcBorders>
              <w:left w:val="double" w:sz="4" w:space="0" w:color="auto"/>
            </w:tcBorders>
          </w:tcPr>
          <w:p w14:paraId="2512132B"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115</w:t>
            </w:r>
          </w:p>
        </w:tc>
        <w:tc>
          <w:tcPr>
            <w:tcW w:w="750" w:type="pct"/>
            <w:tcBorders>
              <w:right w:val="double" w:sz="4" w:space="0" w:color="auto"/>
            </w:tcBorders>
          </w:tcPr>
          <w:p w14:paraId="41761610"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128</w:t>
            </w:r>
          </w:p>
        </w:tc>
        <w:tc>
          <w:tcPr>
            <w:tcW w:w="559" w:type="pct"/>
            <w:tcBorders>
              <w:left w:val="double" w:sz="4" w:space="0" w:color="auto"/>
            </w:tcBorders>
          </w:tcPr>
          <w:p w14:paraId="6A393B8D"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111</w:t>
            </w:r>
          </w:p>
        </w:tc>
        <w:tc>
          <w:tcPr>
            <w:tcW w:w="846" w:type="pct"/>
          </w:tcPr>
          <w:p w14:paraId="30AE84F6"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122</w:t>
            </w:r>
          </w:p>
        </w:tc>
      </w:tr>
      <w:tr w:rsidR="00E501A3" w:rsidRPr="00C46B3D" w14:paraId="05F5501E" w14:textId="77777777">
        <w:trPr>
          <w:trHeight w:hRule="exact" w:val="227"/>
        </w:trPr>
        <w:tc>
          <w:tcPr>
            <w:tcW w:w="2306" w:type="pct"/>
            <w:tcBorders>
              <w:right w:val="double" w:sz="4" w:space="0" w:color="auto"/>
            </w:tcBorders>
            <w:vAlign w:val="center"/>
          </w:tcPr>
          <w:p w14:paraId="69C2222F" w14:textId="77777777" w:rsidR="00E501A3" w:rsidRPr="00C46B3D" w:rsidRDefault="00E501A3">
            <w:pPr>
              <w:rPr>
                <w:rFonts w:ascii="Calibri" w:hAnsi="Calibri" w:cs="Calibri"/>
                <w:sz w:val="20"/>
                <w:szCs w:val="20"/>
                <w:lang w:eastAsia="ja-JP"/>
              </w:rPr>
            </w:pPr>
            <w:r>
              <w:rPr>
                <w:rFonts w:ascii="Calibri" w:hAnsi="Calibri" w:cs="Calibri"/>
                <w:sz w:val="20"/>
                <w:szCs w:val="20"/>
                <w:lang w:eastAsia="ja-JP"/>
              </w:rPr>
              <w:t>Withdrew from study</w:t>
            </w:r>
          </w:p>
        </w:tc>
        <w:tc>
          <w:tcPr>
            <w:tcW w:w="539" w:type="pct"/>
            <w:tcBorders>
              <w:left w:val="double" w:sz="4" w:space="0" w:color="auto"/>
            </w:tcBorders>
            <w:vAlign w:val="center"/>
          </w:tcPr>
          <w:p w14:paraId="57A646B4"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13</w:t>
            </w:r>
          </w:p>
        </w:tc>
        <w:tc>
          <w:tcPr>
            <w:tcW w:w="750" w:type="pct"/>
            <w:tcBorders>
              <w:right w:val="double" w:sz="4" w:space="0" w:color="auto"/>
            </w:tcBorders>
            <w:vAlign w:val="center"/>
          </w:tcPr>
          <w:p w14:paraId="20F35B3B"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15</w:t>
            </w:r>
          </w:p>
        </w:tc>
        <w:tc>
          <w:tcPr>
            <w:tcW w:w="559" w:type="pct"/>
            <w:tcBorders>
              <w:left w:val="double" w:sz="4" w:space="0" w:color="auto"/>
            </w:tcBorders>
            <w:vAlign w:val="center"/>
          </w:tcPr>
          <w:p w14:paraId="32FFB93B"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17</w:t>
            </w:r>
          </w:p>
        </w:tc>
        <w:tc>
          <w:tcPr>
            <w:tcW w:w="846" w:type="pct"/>
            <w:vAlign w:val="center"/>
          </w:tcPr>
          <w:p w14:paraId="1771DB43"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7</w:t>
            </w:r>
          </w:p>
        </w:tc>
      </w:tr>
      <w:tr w:rsidR="00E501A3" w:rsidRPr="00C46B3D" w14:paraId="2B575F9A" w14:textId="77777777">
        <w:trPr>
          <w:trHeight w:val="227"/>
        </w:trPr>
        <w:tc>
          <w:tcPr>
            <w:tcW w:w="2306" w:type="pct"/>
            <w:tcBorders>
              <w:right w:val="double" w:sz="4" w:space="0" w:color="auto"/>
            </w:tcBorders>
            <w:vAlign w:val="center"/>
          </w:tcPr>
          <w:p w14:paraId="2F0F39E9" w14:textId="77777777" w:rsidR="00E501A3" w:rsidRPr="00C46B3D" w:rsidRDefault="00E501A3">
            <w:pPr>
              <w:rPr>
                <w:rFonts w:ascii="Calibri" w:hAnsi="Calibri" w:cs="Calibri"/>
                <w:sz w:val="20"/>
                <w:szCs w:val="20"/>
                <w:lang w:eastAsia="ja-JP"/>
              </w:rPr>
            </w:pPr>
            <w:r>
              <w:rPr>
                <w:rFonts w:ascii="Calibri" w:hAnsi="Calibri" w:cs="Calibri"/>
                <w:sz w:val="20"/>
                <w:szCs w:val="20"/>
                <w:lang w:eastAsia="ja-JP"/>
              </w:rPr>
              <w:t>Completed study intervention</w:t>
            </w:r>
          </w:p>
        </w:tc>
        <w:tc>
          <w:tcPr>
            <w:tcW w:w="539" w:type="pct"/>
            <w:tcBorders>
              <w:left w:val="double" w:sz="4" w:space="0" w:color="auto"/>
            </w:tcBorders>
            <w:vAlign w:val="center"/>
          </w:tcPr>
          <w:p w14:paraId="762D5D28"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118</w:t>
            </w:r>
          </w:p>
        </w:tc>
        <w:tc>
          <w:tcPr>
            <w:tcW w:w="750" w:type="pct"/>
            <w:tcBorders>
              <w:right w:val="double" w:sz="4" w:space="0" w:color="auto"/>
            </w:tcBorders>
            <w:vAlign w:val="center"/>
          </w:tcPr>
          <w:p w14:paraId="455BCC9B"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130</w:t>
            </w:r>
          </w:p>
        </w:tc>
        <w:tc>
          <w:tcPr>
            <w:tcW w:w="559" w:type="pct"/>
            <w:tcBorders>
              <w:left w:val="double" w:sz="4" w:space="0" w:color="auto"/>
            </w:tcBorders>
            <w:vAlign w:val="center"/>
          </w:tcPr>
          <w:p w14:paraId="6DC5208F"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118</w:t>
            </w:r>
          </w:p>
        </w:tc>
        <w:tc>
          <w:tcPr>
            <w:tcW w:w="846" w:type="pct"/>
            <w:vAlign w:val="center"/>
          </w:tcPr>
          <w:p w14:paraId="3E7F0E60" w14:textId="59DD63D2" w:rsidR="00E501A3" w:rsidRPr="00C46B3D" w:rsidRDefault="009669E8">
            <w:pPr>
              <w:jc w:val="center"/>
              <w:rPr>
                <w:rFonts w:ascii="Calibri" w:hAnsi="Calibri" w:cs="Calibri"/>
                <w:sz w:val="20"/>
                <w:szCs w:val="20"/>
                <w:lang w:eastAsia="ja-JP"/>
              </w:rPr>
            </w:pPr>
            <w:r>
              <w:rPr>
                <w:rFonts w:ascii="Calibri" w:hAnsi="Calibri" w:cs="Calibri"/>
                <w:sz w:val="20"/>
                <w:szCs w:val="20"/>
                <w:lang w:eastAsia="ja-JP"/>
              </w:rPr>
              <w:t>121</w:t>
            </w:r>
          </w:p>
        </w:tc>
      </w:tr>
      <w:tr w:rsidR="00E501A3" w:rsidRPr="00C46B3D" w14:paraId="5992E6D5" w14:textId="77777777">
        <w:trPr>
          <w:trHeight w:hRule="exact" w:val="227"/>
        </w:trPr>
        <w:tc>
          <w:tcPr>
            <w:tcW w:w="2306" w:type="pct"/>
            <w:tcBorders>
              <w:right w:val="double" w:sz="4" w:space="0" w:color="auto"/>
            </w:tcBorders>
            <w:vAlign w:val="center"/>
          </w:tcPr>
          <w:p w14:paraId="51FB71E8" w14:textId="77777777" w:rsidR="00E501A3" w:rsidRPr="00C46B3D" w:rsidRDefault="00E501A3">
            <w:pPr>
              <w:rPr>
                <w:rFonts w:ascii="Calibri" w:hAnsi="Calibri" w:cs="Calibri"/>
                <w:sz w:val="20"/>
                <w:szCs w:val="20"/>
                <w:lang w:eastAsia="ja-JP"/>
              </w:rPr>
            </w:pPr>
            <w:r>
              <w:rPr>
                <w:rFonts w:ascii="Calibri" w:hAnsi="Calibri" w:cs="Calibri"/>
                <w:sz w:val="20"/>
                <w:szCs w:val="20"/>
                <w:lang w:eastAsia="ja-JP"/>
              </w:rPr>
              <w:t>Premature discontinuation of study treatment</w:t>
            </w:r>
          </w:p>
        </w:tc>
        <w:tc>
          <w:tcPr>
            <w:tcW w:w="539" w:type="pct"/>
            <w:tcBorders>
              <w:left w:val="double" w:sz="4" w:space="0" w:color="auto"/>
            </w:tcBorders>
            <w:vAlign w:val="center"/>
          </w:tcPr>
          <w:p w14:paraId="364DBEC1"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10</w:t>
            </w:r>
          </w:p>
        </w:tc>
        <w:tc>
          <w:tcPr>
            <w:tcW w:w="750" w:type="pct"/>
            <w:tcBorders>
              <w:right w:val="double" w:sz="4" w:space="0" w:color="auto"/>
            </w:tcBorders>
            <w:vAlign w:val="center"/>
          </w:tcPr>
          <w:p w14:paraId="5F9BB40C"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13</w:t>
            </w:r>
          </w:p>
        </w:tc>
        <w:tc>
          <w:tcPr>
            <w:tcW w:w="559" w:type="pct"/>
            <w:tcBorders>
              <w:left w:val="double" w:sz="4" w:space="0" w:color="auto"/>
            </w:tcBorders>
            <w:vAlign w:val="center"/>
          </w:tcPr>
          <w:p w14:paraId="73572A91"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10</w:t>
            </w:r>
          </w:p>
        </w:tc>
        <w:tc>
          <w:tcPr>
            <w:tcW w:w="846" w:type="pct"/>
            <w:vAlign w:val="center"/>
          </w:tcPr>
          <w:p w14:paraId="7208E054"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8</w:t>
            </w:r>
          </w:p>
        </w:tc>
      </w:tr>
      <w:tr w:rsidR="00E501A3" w:rsidRPr="00C46B3D" w14:paraId="030A62C9" w14:textId="77777777">
        <w:trPr>
          <w:trHeight w:hRule="exact" w:val="529"/>
        </w:trPr>
        <w:tc>
          <w:tcPr>
            <w:tcW w:w="2306" w:type="pct"/>
            <w:tcBorders>
              <w:right w:val="double" w:sz="4" w:space="0" w:color="auto"/>
            </w:tcBorders>
            <w:vAlign w:val="center"/>
          </w:tcPr>
          <w:p w14:paraId="73AE5E01" w14:textId="676071B3" w:rsidR="00E501A3" w:rsidRPr="00C46B3D" w:rsidRDefault="00E501A3">
            <w:pPr>
              <w:rPr>
                <w:rFonts w:ascii="Calibri" w:hAnsi="Calibri" w:cs="Calibri"/>
                <w:sz w:val="20"/>
                <w:szCs w:val="20"/>
                <w:lang w:eastAsia="ja-JP"/>
              </w:rPr>
            </w:pPr>
            <w:r>
              <w:rPr>
                <w:rFonts w:ascii="Calibri" w:hAnsi="Calibri" w:cs="Calibri"/>
                <w:sz w:val="20"/>
                <w:szCs w:val="20"/>
                <w:lang w:eastAsia="ja-JP"/>
              </w:rPr>
              <w:t>Premature discont</w:t>
            </w:r>
            <w:r w:rsidR="009B63E7">
              <w:rPr>
                <w:rFonts w:ascii="Calibri" w:hAnsi="Calibri" w:cs="Calibri"/>
                <w:sz w:val="20"/>
                <w:szCs w:val="20"/>
                <w:lang w:eastAsia="ja-JP"/>
              </w:rPr>
              <w:t>inuation</w:t>
            </w:r>
            <w:r>
              <w:rPr>
                <w:rFonts w:ascii="Calibri" w:hAnsi="Calibri" w:cs="Calibri"/>
                <w:sz w:val="20"/>
                <w:szCs w:val="20"/>
                <w:lang w:eastAsia="ja-JP"/>
              </w:rPr>
              <w:t xml:space="preserve"> of study treatment with follow up</w:t>
            </w:r>
          </w:p>
        </w:tc>
        <w:tc>
          <w:tcPr>
            <w:tcW w:w="539" w:type="pct"/>
            <w:tcBorders>
              <w:left w:val="double" w:sz="4" w:space="0" w:color="auto"/>
            </w:tcBorders>
            <w:vAlign w:val="center"/>
          </w:tcPr>
          <w:p w14:paraId="03594A66"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10</w:t>
            </w:r>
          </w:p>
        </w:tc>
        <w:tc>
          <w:tcPr>
            <w:tcW w:w="750" w:type="pct"/>
            <w:tcBorders>
              <w:right w:val="double" w:sz="4" w:space="0" w:color="auto"/>
            </w:tcBorders>
            <w:vAlign w:val="center"/>
          </w:tcPr>
          <w:p w14:paraId="1387CC40"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13</w:t>
            </w:r>
          </w:p>
        </w:tc>
        <w:tc>
          <w:tcPr>
            <w:tcW w:w="559" w:type="pct"/>
            <w:tcBorders>
              <w:left w:val="double" w:sz="4" w:space="0" w:color="auto"/>
            </w:tcBorders>
            <w:vAlign w:val="center"/>
          </w:tcPr>
          <w:p w14:paraId="5BB378A2"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10</w:t>
            </w:r>
          </w:p>
        </w:tc>
        <w:tc>
          <w:tcPr>
            <w:tcW w:w="846" w:type="pct"/>
            <w:vAlign w:val="center"/>
          </w:tcPr>
          <w:p w14:paraId="0F27C056" w14:textId="77777777" w:rsidR="00E501A3" w:rsidRPr="00C46B3D" w:rsidRDefault="00E501A3">
            <w:pPr>
              <w:jc w:val="center"/>
              <w:rPr>
                <w:rFonts w:ascii="Calibri" w:hAnsi="Calibri" w:cs="Calibri"/>
                <w:sz w:val="20"/>
                <w:szCs w:val="20"/>
                <w:lang w:eastAsia="ja-JP"/>
              </w:rPr>
            </w:pPr>
            <w:r>
              <w:rPr>
                <w:rFonts w:ascii="Calibri" w:hAnsi="Calibri" w:cs="Calibri"/>
                <w:sz w:val="20"/>
                <w:szCs w:val="20"/>
                <w:lang w:eastAsia="ja-JP"/>
              </w:rPr>
              <w:t>8</w:t>
            </w:r>
          </w:p>
        </w:tc>
      </w:tr>
    </w:tbl>
    <w:p w14:paraId="407C6DB2" w14:textId="3F832324" w:rsidR="00E501A3" w:rsidRPr="00D21B0B" w:rsidRDefault="00E501A3" w:rsidP="004A441A">
      <w:pPr>
        <w:pStyle w:val="Heading6"/>
      </w:pPr>
      <w:r w:rsidRPr="00D21B0B">
        <w:t>Major protocol violations/deviations</w:t>
      </w:r>
      <w:fldSimple w:instr="DOCVARIABLE vault_nd_d6dbd779-146d-4b70-b304-c88c724c8cd4 \* MERGEFORMAT">
        <w:r w:rsidR="008A6BD8">
          <w:t xml:space="preserve"> </w:t>
        </w:r>
      </w:fldSimple>
    </w:p>
    <w:p w14:paraId="008913BF" w14:textId="04287EFF" w:rsidR="00E501A3" w:rsidRDefault="00E501A3" w:rsidP="00E501A3">
      <w:pPr>
        <w:rPr>
          <w:rFonts w:cstheme="majorHAnsi"/>
          <w:lang w:eastAsia="ja-JP"/>
        </w:rPr>
      </w:pPr>
      <w:r w:rsidRPr="008476A6">
        <w:rPr>
          <w:rFonts w:cstheme="majorHAnsi"/>
          <w:lang w:eastAsia="ja-JP"/>
        </w:rPr>
        <w:t xml:space="preserve">Around 22% of the ANCHOR-1 study and 17% of the ANCHOR 2 study </w:t>
      </w:r>
      <w:r w:rsidR="00F75DA4">
        <w:rPr>
          <w:rFonts w:cstheme="majorHAnsi"/>
          <w:lang w:eastAsia="ja-JP"/>
        </w:rPr>
        <w:t xml:space="preserve">participants </w:t>
      </w:r>
      <w:r w:rsidRPr="008476A6">
        <w:rPr>
          <w:rFonts w:cstheme="majorHAnsi"/>
          <w:lang w:eastAsia="ja-JP"/>
        </w:rPr>
        <w:t xml:space="preserve">had important protocol deviations, mostly related to eligibility criteria and study procedures, in ANCHOR-1 and study procedures in ANCHOR-2.  </w:t>
      </w:r>
    </w:p>
    <w:p w14:paraId="029168AF" w14:textId="05136DA5" w:rsidR="00AB0223" w:rsidRDefault="00AB0223" w:rsidP="00AB0223">
      <w:pPr>
        <w:pStyle w:val="TableTitle"/>
        <w:rPr>
          <w:lang w:eastAsia="ja-JP"/>
        </w:rPr>
      </w:pPr>
      <w:bookmarkStart w:id="69" w:name="_Ref207286992"/>
      <w:bookmarkStart w:id="70" w:name="_Toc209166297"/>
      <w:bookmarkStart w:id="71" w:name="_Toc215565774"/>
      <w:r w:rsidRPr="00AB0223">
        <w:rPr>
          <w:lang w:eastAsia="ja-JP"/>
        </w:rPr>
        <w:t xml:space="preserve">Table </w:t>
      </w:r>
      <w:bookmarkEnd w:id="69"/>
      <w:r w:rsidRPr="00AB0223">
        <w:rPr>
          <w:lang w:eastAsia="ja-JP"/>
        </w:rPr>
        <w:t>8. Summary of important protocol deviations, FAS population, ANCHOR-1 study</w:t>
      </w:r>
      <w:bookmarkEnd w:id="70"/>
      <w:bookmarkEnd w:id="71"/>
    </w:p>
    <w:p w14:paraId="311C7F53" w14:textId="66E3014C" w:rsidR="00AB0223" w:rsidRPr="00AC50D4" w:rsidRDefault="00AB0223" w:rsidP="00D97C77">
      <w:pPr>
        <w:pStyle w:val="TableDescription"/>
        <w:rPr>
          <w:rFonts w:cstheme="majorHAnsi"/>
          <w:lang w:eastAsia="ja-JP"/>
        </w:rPr>
      </w:pPr>
      <w:r w:rsidRPr="009E151A">
        <w:rPr>
          <w:noProof/>
          <w:lang w:eastAsia="ja-JP"/>
        </w:rPr>
        <w:drawing>
          <wp:inline distT="0" distB="0" distL="0" distR="0" wp14:anchorId="1741CC2E" wp14:editId="496B5E00">
            <wp:extent cx="5759450" cy="1791419"/>
            <wp:effectExtent l="0" t="0" r="0" b="0"/>
            <wp:docPr id="1614992601" name="Picture 1" descr="Table 8. Summary of important protocol deviations, FAS population, ANCHOR-1 stu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992601" name="Picture 1" descr="Table 8. Summary of important protocol deviations, FAS population, ANCHOR-1 study. "/>
                    <pic:cNvPicPr/>
                  </pic:nvPicPr>
                  <pic:blipFill>
                    <a:blip r:embed="rId34"/>
                    <a:stretch>
                      <a:fillRect/>
                    </a:stretch>
                  </pic:blipFill>
                  <pic:spPr>
                    <a:xfrm>
                      <a:off x="0" y="0"/>
                      <a:ext cx="5759450" cy="1791419"/>
                    </a:xfrm>
                    <a:prstGeom prst="rect">
                      <a:avLst/>
                    </a:prstGeom>
                  </pic:spPr>
                </pic:pic>
              </a:graphicData>
            </a:graphic>
          </wp:inline>
        </w:drawing>
      </w:r>
      <w:r w:rsidRPr="00AB0223">
        <w:rPr>
          <w:lang w:eastAsia="ja-JP"/>
        </w:rPr>
        <w:t>Note: Participants can be counted in more than once category.</w:t>
      </w:r>
    </w:p>
    <w:p w14:paraId="011EDEBF" w14:textId="77777777" w:rsidR="00AC50D4" w:rsidRDefault="00564D02" w:rsidP="00AC50D4">
      <w:pPr>
        <w:pStyle w:val="TableTitle"/>
        <w:rPr>
          <w:lang w:eastAsia="ja-JP"/>
        </w:rPr>
      </w:pPr>
      <w:bookmarkStart w:id="72" w:name="_Ref207290598"/>
      <w:r w:rsidRPr="00564D02">
        <w:rPr>
          <w:lang w:eastAsia="ja-JP"/>
        </w:rPr>
        <w:lastRenderedPageBreak/>
        <w:t xml:space="preserve">Table </w:t>
      </w:r>
      <w:bookmarkEnd w:id="72"/>
      <w:r>
        <w:rPr>
          <w:lang w:eastAsia="ja-JP"/>
        </w:rPr>
        <w:t>9.</w:t>
      </w:r>
      <w:r w:rsidRPr="00564D02">
        <w:rPr>
          <w:lang w:eastAsia="ja-JP"/>
        </w:rPr>
        <w:t xml:space="preserve"> Summary of important protocol deviations, FAS population, ANCHOR-2 study</w:t>
      </w:r>
      <w:r>
        <w:rPr>
          <w:lang w:eastAsia="ja-JP"/>
        </w:rPr>
        <w:t>.</w:t>
      </w:r>
    </w:p>
    <w:p w14:paraId="28655C20" w14:textId="51248569" w:rsidR="0053349B" w:rsidRPr="00AC50D4" w:rsidRDefault="00E656A5" w:rsidP="00D97C77">
      <w:pPr>
        <w:rPr>
          <w:b/>
          <w:lang w:eastAsia="ja-JP"/>
        </w:rPr>
      </w:pPr>
      <w:r w:rsidRPr="00E656A5">
        <w:rPr>
          <w:noProof/>
          <w:lang w:eastAsia="ja-JP"/>
        </w:rPr>
        <w:drawing>
          <wp:inline distT="0" distB="0" distL="0" distR="0" wp14:anchorId="42F9093D" wp14:editId="44CDE48C">
            <wp:extent cx="5759450" cy="1958340"/>
            <wp:effectExtent l="0" t="0" r="0" b="3810"/>
            <wp:docPr id="842381420" name="Picture 1" descr="Table 9. Summary of important protocol deviations, FAS population, ANCHOR-2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81420" name="Picture 1" descr="Table 9. Summary of important protocol deviations, FAS population, ANCHOR-2 study."/>
                    <pic:cNvPicPr/>
                  </pic:nvPicPr>
                  <pic:blipFill>
                    <a:blip r:embed="rId35"/>
                    <a:stretch>
                      <a:fillRect/>
                    </a:stretch>
                  </pic:blipFill>
                  <pic:spPr>
                    <a:xfrm>
                      <a:off x="0" y="0"/>
                      <a:ext cx="5759450" cy="1958340"/>
                    </a:xfrm>
                    <a:prstGeom prst="rect">
                      <a:avLst/>
                    </a:prstGeom>
                  </pic:spPr>
                </pic:pic>
              </a:graphicData>
            </a:graphic>
          </wp:inline>
        </w:drawing>
      </w:r>
      <w:r w:rsidR="0053349B" w:rsidRPr="0053349B">
        <w:rPr>
          <w:lang w:eastAsia="ja-JP"/>
        </w:rPr>
        <w:t>Note: Participants can be counted in more than once category</w:t>
      </w:r>
    </w:p>
    <w:p w14:paraId="25C734D8" w14:textId="60CB44C5" w:rsidR="00E501A3" w:rsidRPr="00D21B0B" w:rsidRDefault="00E501A3" w:rsidP="00D21B0B">
      <w:pPr>
        <w:pStyle w:val="Heading6"/>
      </w:pPr>
      <w:r w:rsidRPr="00D21B0B">
        <w:t>Baseline data</w:t>
      </w:r>
      <w:fldSimple w:instr="DOCVARIABLE vault_nd_4cf5e8fc-8aaa-4117-a477-cd825e75e81b \* MERGEFORMAT">
        <w:r w:rsidR="008A6BD8">
          <w:t xml:space="preserve"> </w:t>
        </w:r>
      </w:fldSimple>
    </w:p>
    <w:p w14:paraId="66430D9F" w14:textId="127E178E" w:rsidR="00E501A3" w:rsidRPr="00517CEE" w:rsidRDefault="00E501A3" w:rsidP="00E501A3">
      <w:pPr>
        <w:rPr>
          <w:rFonts w:cstheme="majorHAnsi"/>
          <w:lang w:eastAsia="ja-JP"/>
        </w:rPr>
      </w:pPr>
      <w:r w:rsidRPr="00517CEE">
        <w:rPr>
          <w:rFonts w:cstheme="majorHAnsi"/>
          <w:lang w:eastAsia="ja-JP"/>
        </w:rPr>
        <w:t>Baseline demographics were generally similar between the depemokimab and placebo groups.</w:t>
      </w:r>
      <w:r>
        <w:rPr>
          <w:rFonts w:cstheme="majorHAnsi"/>
          <w:lang w:eastAsia="ja-JP"/>
        </w:rPr>
        <w:t xml:space="preserve"> The median age in ANCHOR-1 was 55.0 years in both groups, and 50.0 years in ANCHOR-2. In ANCHOR</w:t>
      </w:r>
      <w:r w:rsidR="00EA56E2">
        <w:rPr>
          <w:rFonts w:cstheme="majorHAnsi"/>
          <w:lang w:eastAsia="ja-JP"/>
        </w:rPr>
        <w:t>-</w:t>
      </w:r>
      <w:r>
        <w:rPr>
          <w:rFonts w:cstheme="majorHAnsi"/>
          <w:lang w:eastAsia="ja-JP"/>
        </w:rPr>
        <w:t xml:space="preserve">1, the median weight was 77.85 kg in the placebo group and 78.2 kg in the depemokimab group. In ANCHOR-2, the median weight was 76.90 kg in the placebo group and 77.0 kg in the depemokimab group. </w:t>
      </w:r>
    </w:p>
    <w:p w14:paraId="356E7939" w14:textId="33188EB3" w:rsidR="00E501A3" w:rsidRPr="00FC07D6" w:rsidRDefault="00E501A3" w:rsidP="00FC07D6">
      <w:pPr>
        <w:pStyle w:val="TableTitle"/>
      </w:pPr>
      <w:bookmarkStart w:id="73" w:name="_Ref207351874"/>
      <w:bookmarkStart w:id="74" w:name="_Toc209166299"/>
      <w:bookmarkStart w:id="75" w:name="_Toc215565776"/>
      <w:bookmarkStart w:id="76" w:name="_Ref211940468"/>
      <w:r w:rsidRPr="00FC07D6">
        <w:t xml:space="preserve">Table </w:t>
      </w:r>
      <w:bookmarkEnd w:id="73"/>
      <w:r w:rsidR="00EA56E2" w:rsidRPr="00FC07D6">
        <w:t xml:space="preserve">10. </w:t>
      </w:r>
      <w:r w:rsidRPr="00FC07D6">
        <w:t>Summary of baseline demographics</w:t>
      </w:r>
      <w:bookmarkEnd w:id="74"/>
      <w:bookmarkEnd w:id="75"/>
      <w:bookmarkEnd w:id="76"/>
      <w:r w:rsidRPr="00FC07D6">
        <w:t xml:space="preserve"> ANCHOR-1 and ANCHOR-2</w:t>
      </w:r>
      <w:r w:rsidR="00EA56E2" w:rsidRPr="00FC07D6">
        <w:t>.</w:t>
      </w:r>
    </w:p>
    <w:tbl>
      <w:tblPr>
        <w:tblStyle w:val="TableGrid"/>
        <w:tblW w:w="5004" w:type="pct"/>
        <w:tblLook w:val="04A0" w:firstRow="1" w:lastRow="0" w:firstColumn="1" w:lastColumn="0" w:noHBand="0" w:noVBand="1"/>
      </w:tblPr>
      <w:tblGrid>
        <w:gridCol w:w="1843"/>
        <w:gridCol w:w="1853"/>
        <w:gridCol w:w="1851"/>
        <w:gridCol w:w="1853"/>
        <w:gridCol w:w="1667"/>
      </w:tblGrid>
      <w:tr w:rsidR="00E501A3" w:rsidRPr="00517CEE" w14:paraId="6878EF84" w14:textId="77777777" w:rsidTr="00D63EF3">
        <w:tc>
          <w:tcPr>
            <w:tcW w:w="1016" w:type="pct"/>
            <w:vMerge w:val="restart"/>
            <w:tcBorders>
              <w:right w:val="double" w:sz="4" w:space="0" w:color="auto"/>
            </w:tcBorders>
            <w:shd w:val="clear" w:color="auto" w:fill="BFBFBF" w:themeFill="background1" w:themeFillShade="BF"/>
          </w:tcPr>
          <w:p w14:paraId="6A2D4371" w14:textId="77777777" w:rsidR="00E501A3" w:rsidRPr="00517CEE" w:rsidRDefault="00E501A3">
            <w:pPr>
              <w:rPr>
                <w:rFonts w:ascii="Calibri" w:hAnsi="Calibri" w:cs="Calibri"/>
                <w:b/>
                <w:bCs/>
                <w:szCs w:val="22"/>
                <w:lang w:eastAsia="ja-JP"/>
              </w:rPr>
            </w:pPr>
          </w:p>
        </w:tc>
        <w:tc>
          <w:tcPr>
            <w:tcW w:w="2043" w:type="pct"/>
            <w:gridSpan w:val="2"/>
            <w:tcBorders>
              <w:left w:val="double" w:sz="4" w:space="0" w:color="auto"/>
              <w:right w:val="double" w:sz="4" w:space="0" w:color="auto"/>
            </w:tcBorders>
            <w:shd w:val="clear" w:color="auto" w:fill="BFBFBF" w:themeFill="background1" w:themeFillShade="BF"/>
            <w:vAlign w:val="center"/>
          </w:tcPr>
          <w:p w14:paraId="658127AE"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ANCHOR-1</w:t>
            </w:r>
          </w:p>
        </w:tc>
        <w:tc>
          <w:tcPr>
            <w:tcW w:w="1942" w:type="pct"/>
            <w:gridSpan w:val="2"/>
            <w:tcBorders>
              <w:left w:val="double" w:sz="4" w:space="0" w:color="auto"/>
            </w:tcBorders>
            <w:shd w:val="clear" w:color="auto" w:fill="BFBFBF" w:themeFill="background1" w:themeFillShade="BF"/>
            <w:vAlign w:val="center"/>
          </w:tcPr>
          <w:p w14:paraId="26DC320D"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ANCHOR-2</w:t>
            </w:r>
          </w:p>
        </w:tc>
      </w:tr>
      <w:tr w:rsidR="00E501A3" w:rsidRPr="00517CEE" w14:paraId="7BE0F41C" w14:textId="77777777" w:rsidTr="00D63EF3">
        <w:tc>
          <w:tcPr>
            <w:tcW w:w="1016" w:type="pct"/>
            <w:vMerge/>
            <w:tcBorders>
              <w:right w:val="double" w:sz="4" w:space="0" w:color="auto"/>
            </w:tcBorders>
            <w:shd w:val="clear" w:color="auto" w:fill="BFBFBF" w:themeFill="background1" w:themeFillShade="BF"/>
          </w:tcPr>
          <w:p w14:paraId="02899025" w14:textId="77777777" w:rsidR="00E501A3" w:rsidRPr="00517CEE" w:rsidRDefault="00E501A3">
            <w:pPr>
              <w:rPr>
                <w:rFonts w:ascii="Calibri" w:hAnsi="Calibri" w:cs="Calibri"/>
                <w:b/>
                <w:bCs/>
                <w:szCs w:val="22"/>
                <w:lang w:eastAsia="ja-JP"/>
              </w:rPr>
            </w:pPr>
          </w:p>
        </w:tc>
        <w:tc>
          <w:tcPr>
            <w:tcW w:w="1022" w:type="pct"/>
            <w:tcBorders>
              <w:left w:val="double" w:sz="4" w:space="0" w:color="auto"/>
            </w:tcBorders>
            <w:shd w:val="clear" w:color="auto" w:fill="BFBFBF" w:themeFill="background1" w:themeFillShade="BF"/>
            <w:vAlign w:val="center"/>
          </w:tcPr>
          <w:p w14:paraId="726B9236"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Placebo</w:t>
            </w:r>
          </w:p>
        </w:tc>
        <w:tc>
          <w:tcPr>
            <w:tcW w:w="1021" w:type="pct"/>
            <w:tcBorders>
              <w:right w:val="double" w:sz="4" w:space="0" w:color="auto"/>
            </w:tcBorders>
            <w:shd w:val="clear" w:color="auto" w:fill="BFBFBF" w:themeFill="background1" w:themeFillShade="BF"/>
            <w:vAlign w:val="center"/>
          </w:tcPr>
          <w:p w14:paraId="23D5195B"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Depemokimab</w:t>
            </w:r>
          </w:p>
        </w:tc>
        <w:tc>
          <w:tcPr>
            <w:tcW w:w="1022" w:type="pct"/>
            <w:tcBorders>
              <w:left w:val="double" w:sz="4" w:space="0" w:color="auto"/>
            </w:tcBorders>
            <w:shd w:val="clear" w:color="auto" w:fill="BFBFBF" w:themeFill="background1" w:themeFillShade="BF"/>
            <w:vAlign w:val="center"/>
          </w:tcPr>
          <w:p w14:paraId="413A8CA7"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Placebo</w:t>
            </w:r>
          </w:p>
        </w:tc>
        <w:tc>
          <w:tcPr>
            <w:tcW w:w="920" w:type="pct"/>
            <w:shd w:val="clear" w:color="auto" w:fill="BFBFBF" w:themeFill="background1" w:themeFillShade="BF"/>
            <w:vAlign w:val="center"/>
          </w:tcPr>
          <w:p w14:paraId="7E32BF47" w14:textId="77777777" w:rsidR="00E501A3" w:rsidRPr="00517CEE" w:rsidRDefault="00E501A3">
            <w:pPr>
              <w:jc w:val="center"/>
              <w:rPr>
                <w:rFonts w:ascii="Calibri" w:hAnsi="Calibri" w:cs="Calibri"/>
                <w:b/>
                <w:bCs/>
                <w:szCs w:val="22"/>
                <w:lang w:eastAsia="ja-JP"/>
              </w:rPr>
            </w:pPr>
            <w:r w:rsidRPr="00517CEE">
              <w:rPr>
                <w:rFonts w:ascii="Calibri" w:hAnsi="Calibri" w:cs="Calibri"/>
                <w:b/>
                <w:szCs w:val="22"/>
                <w:lang w:eastAsia="ja-JP"/>
              </w:rPr>
              <w:t>Depemokimab</w:t>
            </w:r>
          </w:p>
        </w:tc>
      </w:tr>
      <w:tr w:rsidR="00E501A3" w:rsidRPr="00517CEE" w14:paraId="61A0F196" w14:textId="77777777" w:rsidTr="00D63EF3">
        <w:trPr>
          <w:trHeight w:val="205"/>
        </w:trPr>
        <w:tc>
          <w:tcPr>
            <w:tcW w:w="5000" w:type="pct"/>
            <w:gridSpan w:val="5"/>
            <w:tcBorders>
              <w:right w:val="double" w:sz="4" w:space="0" w:color="auto"/>
            </w:tcBorders>
            <w:shd w:val="clear" w:color="auto" w:fill="D9D9D9" w:themeFill="background1" w:themeFillShade="D9"/>
          </w:tcPr>
          <w:p w14:paraId="0001D6FA" w14:textId="77777777" w:rsidR="00E501A3" w:rsidRPr="00C46B3D" w:rsidRDefault="00E501A3">
            <w:pPr>
              <w:rPr>
                <w:rFonts w:ascii="Calibri" w:hAnsi="Calibri" w:cs="Calibri"/>
                <w:b/>
                <w:bCs/>
                <w:sz w:val="20"/>
                <w:szCs w:val="20"/>
                <w:lang w:eastAsia="ja-JP"/>
              </w:rPr>
            </w:pPr>
            <w:r w:rsidRPr="00C46B3D">
              <w:rPr>
                <w:rFonts w:ascii="Calibri" w:hAnsi="Calibri" w:cs="Calibri"/>
                <w:b/>
                <w:sz w:val="20"/>
                <w:szCs w:val="20"/>
                <w:lang w:eastAsia="ja-JP"/>
              </w:rPr>
              <w:t>Sex</w:t>
            </w:r>
          </w:p>
        </w:tc>
      </w:tr>
      <w:tr w:rsidR="00E501A3" w:rsidRPr="00517CEE" w14:paraId="0DEB3862" w14:textId="77777777" w:rsidTr="00D63EF3">
        <w:trPr>
          <w:trHeight w:val="204"/>
        </w:trPr>
        <w:tc>
          <w:tcPr>
            <w:tcW w:w="1016" w:type="pct"/>
            <w:tcBorders>
              <w:right w:val="double" w:sz="4" w:space="0" w:color="auto"/>
            </w:tcBorders>
            <w:vAlign w:val="center"/>
          </w:tcPr>
          <w:p w14:paraId="7660ED3E"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Female:</w:t>
            </w:r>
          </w:p>
        </w:tc>
        <w:tc>
          <w:tcPr>
            <w:tcW w:w="1022" w:type="pct"/>
            <w:tcBorders>
              <w:left w:val="double" w:sz="4" w:space="0" w:color="auto"/>
            </w:tcBorders>
          </w:tcPr>
          <w:p w14:paraId="7F7A64D9"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30%</w:t>
            </w:r>
          </w:p>
        </w:tc>
        <w:tc>
          <w:tcPr>
            <w:tcW w:w="1021" w:type="pct"/>
            <w:tcBorders>
              <w:right w:val="double" w:sz="4" w:space="0" w:color="auto"/>
            </w:tcBorders>
          </w:tcPr>
          <w:p w14:paraId="157BC674"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31%</w:t>
            </w:r>
          </w:p>
        </w:tc>
        <w:tc>
          <w:tcPr>
            <w:tcW w:w="1022" w:type="pct"/>
            <w:tcBorders>
              <w:left w:val="double" w:sz="4" w:space="0" w:color="auto"/>
            </w:tcBorders>
          </w:tcPr>
          <w:p w14:paraId="48792017"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31%</w:t>
            </w:r>
          </w:p>
        </w:tc>
        <w:tc>
          <w:tcPr>
            <w:tcW w:w="920" w:type="pct"/>
          </w:tcPr>
          <w:p w14:paraId="69D0E4ED"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31%</w:t>
            </w:r>
          </w:p>
        </w:tc>
      </w:tr>
      <w:tr w:rsidR="00E501A3" w:rsidRPr="00517CEE" w14:paraId="2B0675F8" w14:textId="77777777" w:rsidTr="00D63EF3">
        <w:trPr>
          <w:trHeight w:val="204"/>
        </w:trPr>
        <w:tc>
          <w:tcPr>
            <w:tcW w:w="1016" w:type="pct"/>
            <w:tcBorders>
              <w:right w:val="double" w:sz="4" w:space="0" w:color="auto"/>
            </w:tcBorders>
            <w:vAlign w:val="center"/>
          </w:tcPr>
          <w:p w14:paraId="13DECABE"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Male:</w:t>
            </w:r>
          </w:p>
        </w:tc>
        <w:tc>
          <w:tcPr>
            <w:tcW w:w="1022" w:type="pct"/>
            <w:tcBorders>
              <w:left w:val="double" w:sz="4" w:space="0" w:color="auto"/>
            </w:tcBorders>
          </w:tcPr>
          <w:p w14:paraId="651484E8"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70%</w:t>
            </w:r>
          </w:p>
        </w:tc>
        <w:tc>
          <w:tcPr>
            <w:tcW w:w="1021" w:type="pct"/>
            <w:tcBorders>
              <w:right w:val="double" w:sz="4" w:space="0" w:color="auto"/>
            </w:tcBorders>
          </w:tcPr>
          <w:p w14:paraId="5F3BA6B9"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69%</w:t>
            </w:r>
          </w:p>
        </w:tc>
        <w:tc>
          <w:tcPr>
            <w:tcW w:w="1022" w:type="pct"/>
            <w:tcBorders>
              <w:left w:val="double" w:sz="4" w:space="0" w:color="auto"/>
            </w:tcBorders>
          </w:tcPr>
          <w:p w14:paraId="0E77FD5F"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69%</w:t>
            </w:r>
          </w:p>
        </w:tc>
        <w:tc>
          <w:tcPr>
            <w:tcW w:w="920" w:type="pct"/>
          </w:tcPr>
          <w:p w14:paraId="2C3FEA26"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69%</w:t>
            </w:r>
          </w:p>
        </w:tc>
      </w:tr>
      <w:tr w:rsidR="00E501A3" w:rsidRPr="00517CEE" w14:paraId="3CBCDEFA" w14:textId="77777777" w:rsidTr="00D63EF3">
        <w:tc>
          <w:tcPr>
            <w:tcW w:w="5000" w:type="pct"/>
            <w:gridSpan w:val="5"/>
            <w:tcBorders>
              <w:right w:val="double" w:sz="4" w:space="0" w:color="auto"/>
            </w:tcBorders>
            <w:shd w:val="clear" w:color="auto" w:fill="D9D9D9" w:themeFill="background1" w:themeFillShade="D9"/>
          </w:tcPr>
          <w:p w14:paraId="31E86D7B" w14:textId="77777777" w:rsidR="00E501A3" w:rsidRPr="00C46B3D" w:rsidRDefault="00E501A3" w:rsidP="00B958FF">
            <w:pPr>
              <w:rPr>
                <w:rFonts w:ascii="Calibri" w:hAnsi="Calibri" w:cs="Calibri"/>
                <w:b/>
                <w:bCs/>
                <w:sz w:val="20"/>
                <w:szCs w:val="20"/>
                <w:lang w:eastAsia="ja-JP"/>
              </w:rPr>
            </w:pPr>
            <w:r w:rsidRPr="00C46B3D">
              <w:rPr>
                <w:rFonts w:ascii="Calibri" w:hAnsi="Calibri" w:cs="Calibri"/>
                <w:b/>
                <w:sz w:val="20"/>
                <w:szCs w:val="20"/>
                <w:lang w:eastAsia="ja-JP"/>
              </w:rPr>
              <w:t>Race</w:t>
            </w:r>
          </w:p>
        </w:tc>
      </w:tr>
      <w:tr w:rsidR="00E501A3" w:rsidRPr="00517CEE" w14:paraId="2B5E6915" w14:textId="77777777" w:rsidTr="00D63EF3">
        <w:trPr>
          <w:trHeight w:hRule="exact" w:val="227"/>
        </w:trPr>
        <w:tc>
          <w:tcPr>
            <w:tcW w:w="1016" w:type="pct"/>
            <w:tcBorders>
              <w:right w:val="double" w:sz="4" w:space="0" w:color="auto"/>
            </w:tcBorders>
            <w:vAlign w:val="center"/>
          </w:tcPr>
          <w:p w14:paraId="34C2E7C0"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Asian:</w:t>
            </w:r>
          </w:p>
        </w:tc>
        <w:tc>
          <w:tcPr>
            <w:tcW w:w="1022" w:type="pct"/>
            <w:tcBorders>
              <w:left w:val="double" w:sz="4" w:space="0" w:color="auto"/>
            </w:tcBorders>
            <w:vAlign w:val="center"/>
          </w:tcPr>
          <w:p w14:paraId="34417CCE"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24%</w:t>
            </w:r>
          </w:p>
        </w:tc>
        <w:tc>
          <w:tcPr>
            <w:tcW w:w="1021" w:type="pct"/>
            <w:tcBorders>
              <w:right w:val="double" w:sz="4" w:space="0" w:color="auto"/>
            </w:tcBorders>
            <w:vAlign w:val="center"/>
          </w:tcPr>
          <w:p w14:paraId="4F5DAC53"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27%</w:t>
            </w:r>
          </w:p>
        </w:tc>
        <w:tc>
          <w:tcPr>
            <w:tcW w:w="1022" w:type="pct"/>
            <w:tcBorders>
              <w:left w:val="double" w:sz="4" w:space="0" w:color="auto"/>
            </w:tcBorders>
            <w:vAlign w:val="center"/>
          </w:tcPr>
          <w:p w14:paraId="57A8BC8D"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20%</w:t>
            </w:r>
          </w:p>
        </w:tc>
        <w:tc>
          <w:tcPr>
            <w:tcW w:w="920" w:type="pct"/>
            <w:vAlign w:val="center"/>
          </w:tcPr>
          <w:p w14:paraId="7F56433D"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21%</w:t>
            </w:r>
          </w:p>
        </w:tc>
      </w:tr>
      <w:tr w:rsidR="00E501A3" w:rsidRPr="00C46B3D" w14:paraId="1465EDF4" w14:textId="77777777" w:rsidTr="00D63EF3">
        <w:trPr>
          <w:trHeight w:val="227"/>
        </w:trPr>
        <w:tc>
          <w:tcPr>
            <w:tcW w:w="1016" w:type="pct"/>
            <w:tcBorders>
              <w:right w:val="double" w:sz="4" w:space="0" w:color="auto"/>
            </w:tcBorders>
            <w:vAlign w:val="center"/>
          </w:tcPr>
          <w:p w14:paraId="5FF21016"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Black</w:t>
            </w:r>
          </w:p>
          <w:p w14:paraId="64600471"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African American:</w:t>
            </w:r>
          </w:p>
        </w:tc>
        <w:tc>
          <w:tcPr>
            <w:tcW w:w="1022" w:type="pct"/>
            <w:tcBorders>
              <w:left w:val="double" w:sz="4" w:space="0" w:color="auto"/>
            </w:tcBorders>
            <w:vAlign w:val="center"/>
          </w:tcPr>
          <w:p w14:paraId="529744D5"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w:t>
            </w:r>
          </w:p>
        </w:tc>
        <w:tc>
          <w:tcPr>
            <w:tcW w:w="1021" w:type="pct"/>
            <w:tcBorders>
              <w:right w:val="double" w:sz="4" w:space="0" w:color="auto"/>
            </w:tcBorders>
            <w:vAlign w:val="center"/>
          </w:tcPr>
          <w:p w14:paraId="10387ACB"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w:t>
            </w:r>
          </w:p>
        </w:tc>
        <w:tc>
          <w:tcPr>
            <w:tcW w:w="1022" w:type="pct"/>
            <w:tcBorders>
              <w:left w:val="double" w:sz="4" w:space="0" w:color="auto"/>
            </w:tcBorders>
            <w:vAlign w:val="center"/>
          </w:tcPr>
          <w:p w14:paraId="61CB884C"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w:t>
            </w:r>
          </w:p>
        </w:tc>
        <w:tc>
          <w:tcPr>
            <w:tcW w:w="920" w:type="pct"/>
            <w:vAlign w:val="center"/>
          </w:tcPr>
          <w:p w14:paraId="5838C18C"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w:t>
            </w:r>
          </w:p>
        </w:tc>
      </w:tr>
      <w:tr w:rsidR="00E501A3" w:rsidRPr="00C46B3D" w14:paraId="2A1A8B01" w14:textId="77777777" w:rsidTr="00D63EF3">
        <w:trPr>
          <w:trHeight w:hRule="exact" w:val="227"/>
        </w:trPr>
        <w:tc>
          <w:tcPr>
            <w:tcW w:w="1016" w:type="pct"/>
            <w:tcBorders>
              <w:right w:val="double" w:sz="4" w:space="0" w:color="auto"/>
            </w:tcBorders>
            <w:vAlign w:val="center"/>
          </w:tcPr>
          <w:p w14:paraId="2566782B"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White:</w:t>
            </w:r>
          </w:p>
        </w:tc>
        <w:tc>
          <w:tcPr>
            <w:tcW w:w="1022" w:type="pct"/>
            <w:tcBorders>
              <w:left w:val="double" w:sz="4" w:space="0" w:color="auto"/>
            </w:tcBorders>
            <w:vAlign w:val="center"/>
          </w:tcPr>
          <w:p w14:paraId="671CCAE2"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71%</w:t>
            </w:r>
          </w:p>
        </w:tc>
        <w:tc>
          <w:tcPr>
            <w:tcW w:w="1021" w:type="pct"/>
            <w:tcBorders>
              <w:right w:val="double" w:sz="4" w:space="0" w:color="auto"/>
            </w:tcBorders>
            <w:vAlign w:val="center"/>
          </w:tcPr>
          <w:p w14:paraId="56A021F5"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70%</w:t>
            </w:r>
          </w:p>
        </w:tc>
        <w:tc>
          <w:tcPr>
            <w:tcW w:w="1022" w:type="pct"/>
            <w:tcBorders>
              <w:left w:val="double" w:sz="4" w:space="0" w:color="auto"/>
            </w:tcBorders>
            <w:vAlign w:val="center"/>
          </w:tcPr>
          <w:p w14:paraId="58439662"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77%</w:t>
            </w:r>
          </w:p>
        </w:tc>
        <w:tc>
          <w:tcPr>
            <w:tcW w:w="920" w:type="pct"/>
            <w:vAlign w:val="center"/>
          </w:tcPr>
          <w:p w14:paraId="33ED1A66"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77%</w:t>
            </w:r>
          </w:p>
        </w:tc>
      </w:tr>
      <w:tr w:rsidR="00E501A3" w:rsidRPr="00C46B3D" w14:paraId="41AB8E39" w14:textId="77777777" w:rsidTr="00D63EF3">
        <w:trPr>
          <w:trHeight w:hRule="exact" w:val="227"/>
        </w:trPr>
        <w:tc>
          <w:tcPr>
            <w:tcW w:w="1016" w:type="pct"/>
            <w:tcBorders>
              <w:right w:val="double" w:sz="4" w:space="0" w:color="auto"/>
            </w:tcBorders>
            <w:vAlign w:val="center"/>
          </w:tcPr>
          <w:p w14:paraId="575377EF"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Other or unknown:</w:t>
            </w:r>
          </w:p>
        </w:tc>
        <w:tc>
          <w:tcPr>
            <w:tcW w:w="1022" w:type="pct"/>
            <w:tcBorders>
              <w:left w:val="double" w:sz="4" w:space="0" w:color="auto"/>
            </w:tcBorders>
            <w:vAlign w:val="center"/>
          </w:tcPr>
          <w:p w14:paraId="382CEC1C"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w:t>
            </w:r>
          </w:p>
        </w:tc>
        <w:tc>
          <w:tcPr>
            <w:tcW w:w="1021" w:type="pct"/>
            <w:tcBorders>
              <w:right w:val="double" w:sz="4" w:space="0" w:color="auto"/>
            </w:tcBorders>
            <w:vAlign w:val="center"/>
          </w:tcPr>
          <w:p w14:paraId="2E6AB14F"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&lt;1%</w:t>
            </w:r>
          </w:p>
        </w:tc>
        <w:tc>
          <w:tcPr>
            <w:tcW w:w="1022" w:type="pct"/>
            <w:tcBorders>
              <w:left w:val="double" w:sz="4" w:space="0" w:color="auto"/>
            </w:tcBorders>
            <w:vAlign w:val="center"/>
          </w:tcPr>
          <w:p w14:paraId="4E20F3F2"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&lt;1%</w:t>
            </w:r>
          </w:p>
        </w:tc>
        <w:tc>
          <w:tcPr>
            <w:tcW w:w="920" w:type="pct"/>
            <w:vAlign w:val="center"/>
          </w:tcPr>
          <w:p w14:paraId="613B795B"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&lt;1%</w:t>
            </w:r>
          </w:p>
        </w:tc>
      </w:tr>
      <w:tr w:rsidR="00E501A3" w:rsidRPr="00C46B3D" w14:paraId="451A2321" w14:textId="77777777" w:rsidTr="00D63EF3">
        <w:tc>
          <w:tcPr>
            <w:tcW w:w="5000" w:type="pct"/>
            <w:gridSpan w:val="5"/>
            <w:tcBorders>
              <w:right w:val="double" w:sz="4" w:space="0" w:color="auto"/>
            </w:tcBorders>
            <w:shd w:val="clear" w:color="auto" w:fill="D9D9D9" w:themeFill="background1" w:themeFillShade="D9"/>
          </w:tcPr>
          <w:p w14:paraId="6D7BE557" w14:textId="77777777" w:rsidR="00E501A3" w:rsidRPr="00C46B3D" w:rsidRDefault="00E501A3" w:rsidP="00B958FF">
            <w:pPr>
              <w:rPr>
                <w:rFonts w:ascii="Calibri" w:hAnsi="Calibri" w:cs="Calibri"/>
                <w:b/>
                <w:bCs/>
                <w:sz w:val="20"/>
                <w:szCs w:val="20"/>
                <w:lang w:eastAsia="ja-JP"/>
              </w:rPr>
            </w:pPr>
            <w:r w:rsidRPr="00C46B3D">
              <w:rPr>
                <w:rFonts w:ascii="Calibri" w:hAnsi="Calibri" w:cs="Calibri"/>
                <w:b/>
                <w:sz w:val="20"/>
                <w:szCs w:val="20"/>
                <w:lang w:eastAsia="ja-JP"/>
              </w:rPr>
              <w:t>Region</w:t>
            </w:r>
          </w:p>
        </w:tc>
      </w:tr>
      <w:tr w:rsidR="00E501A3" w:rsidRPr="00C46B3D" w14:paraId="177F0890" w14:textId="77777777" w:rsidTr="00D63EF3">
        <w:trPr>
          <w:trHeight w:hRule="exact" w:val="227"/>
        </w:trPr>
        <w:tc>
          <w:tcPr>
            <w:tcW w:w="1016" w:type="pct"/>
            <w:tcBorders>
              <w:right w:val="double" w:sz="4" w:space="0" w:color="auto"/>
            </w:tcBorders>
            <w:vAlign w:val="center"/>
          </w:tcPr>
          <w:p w14:paraId="16C291D1"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Europe</w:t>
            </w:r>
          </w:p>
        </w:tc>
        <w:tc>
          <w:tcPr>
            <w:tcW w:w="1022" w:type="pct"/>
            <w:tcBorders>
              <w:left w:val="double" w:sz="4" w:space="0" w:color="auto"/>
            </w:tcBorders>
            <w:vAlign w:val="center"/>
          </w:tcPr>
          <w:p w14:paraId="4160B6D3"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36%</w:t>
            </w:r>
          </w:p>
        </w:tc>
        <w:tc>
          <w:tcPr>
            <w:tcW w:w="1021" w:type="pct"/>
            <w:tcBorders>
              <w:right w:val="double" w:sz="4" w:space="0" w:color="auto"/>
            </w:tcBorders>
            <w:vAlign w:val="center"/>
          </w:tcPr>
          <w:p w14:paraId="36528376"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36%</w:t>
            </w:r>
          </w:p>
        </w:tc>
        <w:tc>
          <w:tcPr>
            <w:tcW w:w="1022" w:type="pct"/>
            <w:tcBorders>
              <w:left w:val="double" w:sz="4" w:space="0" w:color="auto"/>
            </w:tcBorders>
            <w:vAlign w:val="center"/>
          </w:tcPr>
          <w:p w14:paraId="168A124C"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65%</w:t>
            </w:r>
          </w:p>
        </w:tc>
        <w:tc>
          <w:tcPr>
            <w:tcW w:w="920" w:type="pct"/>
            <w:vAlign w:val="center"/>
          </w:tcPr>
          <w:p w14:paraId="49ECAB93"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64%</w:t>
            </w:r>
          </w:p>
        </w:tc>
      </w:tr>
      <w:tr w:rsidR="00E501A3" w:rsidRPr="00C46B3D" w14:paraId="0DA1BF73" w14:textId="77777777" w:rsidTr="00D63EF3">
        <w:trPr>
          <w:trHeight w:hRule="exact" w:val="227"/>
        </w:trPr>
        <w:tc>
          <w:tcPr>
            <w:tcW w:w="1016" w:type="pct"/>
            <w:tcBorders>
              <w:right w:val="double" w:sz="4" w:space="0" w:color="auto"/>
            </w:tcBorders>
            <w:vAlign w:val="center"/>
          </w:tcPr>
          <w:p w14:paraId="7F782DD6"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USA</w:t>
            </w:r>
          </w:p>
        </w:tc>
        <w:tc>
          <w:tcPr>
            <w:tcW w:w="1022" w:type="pct"/>
            <w:tcBorders>
              <w:left w:val="double" w:sz="4" w:space="0" w:color="auto"/>
            </w:tcBorders>
            <w:vAlign w:val="center"/>
          </w:tcPr>
          <w:p w14:paraId="40836D6B"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8%</w:t>
            </w:r>
          </w:p>
        </w:tc>
        <w:tc>
          <w:tcPr>
            <w:tcW w:w="1021" w:type="pct"/>
            <w:tcBorders>
              <w:right w:val="double" w:sz="4" w:space="0" w:color="auto"/>
            </w:tcBorders>
            <w:vAlign w:val="center"/>
          </w:tcPr>
          <w:p w14:paraId="0D097352"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8%</w:t>
            </w:r>
          </w:p>
        </w:tc>
        <w:tc>
          <w:tcPr>
            <w:tcW w:w="1022" w:type="pct"/>
            <w:tcBorders>
              <w:left w:val="double" w:sz="4" w:space="0" w:color="auto"/>
            </w:tcBorders>
            <w:vAlign w:val="center"/>
          </w:tcPr>
          <w:p w14:paraId="3E99D546"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8%</w:t>
            </w:r>
          </w:p>
        </w:tc>
        <w:tc>
          <w:tcPr>
            <w:tcW w:w="920" w:type="pct"/>
            <w:vAlign w:val="center"/>
          </w:tcPr>
          <w:p w14:paraId="2E97B905"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8%</w:t>
            </w:r>
          </w:p>
        </w:tc>
      </w:tr>
      <w:tr w:rsidR="00E501A3" w:rsidRPr="00C46B3D" w14:paraId="1C5C574D" w14:textId="77777777" w:rsidTr="00D63EF3">
        <w:trPr>
          <w:trHeight w:hRule="exact" w:val="227"/>
        </w:trPr>
        <w:tc>
          <w:tcPr>
            <w:tcW w:w="1016" w:type="pct"/>
            <w:tcBorders>
              <w:right w:val="double" w:sz="4" w:space="0" w:color="auto"/>
            </w:tcBorders>
            <w:vAlign w:val="center"/>
          </w:tcPr>
          <w:p w14:paraId="113A4EF6" w14:textId="77777777" w:rsidR="00E501A3" w:rsidRPr="00C46B3D" w:rsidRDefault="00E501A3" w:rsidP="00B958FF">
            <w:pPr>
              <w:rPr>
                <w:rFonts w:ascii="Calibri" w:hAnsi="Calibri" w:cs="Calibri"/>
                <w:sz w:val="20"/>
                <w:szCs w:val="20"/>
                <w:lang w:eastAsia="ja-JP"/>
              </w:rPr>
            </w:pPr>
            <w:r w:rsidRPr="00C46B3D">
              <w:rPr>
                <w:rFonts w:ascii="Calibri" w:hAnsi="Calibri" w:cs="Calibri"/>
                <w:sz w:val="20"/>
                <w:szCs w:val="20"/>
                <w:lang w:eastAsia="ja-JP"/>
              </w:rPr>
              <w:t xml:space="preserve">Rest of world </w:t>
            </w:r>
          </w:p>
        </w:tc>
        <w:tc>
          <w:tcPr>
            <w:tcW w:w="1022" w:type="pct"/>
            <w:tcBorders>
              <w:left w:val="double" w:sz="4" w:space="0" w:color="auto"/>
            </w:tcBorders>
            <w:vAlign w:val="center"/>
          </w:tcPr>
          <w:p w14:paraId="04F3DEFB"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56%</w:t>
            </w:r>
          </w:p>
        </w:tc>
        <w:tc>
          <w:tcPr>
            <w:tcW w:w="1021" w:type="pct"/>
            <w:tcBorders>
              <w:right w:val="double" w:sz="4" w:space="0" w:color="auto"/>
            </w:tcBorders>
            <w:vAlign w:val="center"/>
          </w:tcPr>
          <w:p w14:paraId="1ABDEBB9"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57%</w:t>
            </w:r>
          </w:p>
        </w:tc>
        <w:tc>
          <w:tcPr>
            <w:tcW w:w="1022" w:type="pct"/>
            <w:tcBorders>
              <w:left w:val="double" w:sz="4" w:space="0" w:color="auto"/>
            </w:tcBorders>
            <w:vAlign w:val="center"/>
          </w:tcPr>
          <w:p w14:paraId="0308D5F4"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27%</w:t>
            </w:r>
          </w:p>
        </w:tc>
        <w:tc>
          <w:tcPr>
            <w:tcW w:w="920" w:type="pct"/>
            <w:vAlign w:val="center"/>
          </w:tcPr>
          <w:p w14:paraId="05049888" w14:textId="77777777" w:rsidR="00E501A3" w:rsidRPr="00C46B3D" w:rsidRDefault="00E501A3">
            <w:pPr>
              <w:rPr>
                <w:rFonts w:ascii="Calibri" w:hAnsi="Calibri" w:cs="Calibri"/>
                <w:sz w:val="20"/>
                <w:szCs w:val="20"/>
                <w:lang w:eastAsia="ja-JP"/>
              </w:rPr>
            </w:pPr>
            <w:r w:rsidRPr="00C46B3D">
              <w:rPr>
                <w:rFonts w:ascii="Calibri" w:hAnsi="Calibri" w:cs="Calibri"/>
                <w:sz w:val="20"/>
                <w:szCs w:val="20"/>
                <w:lang w:eastAsia="ja-JP"/>
              </w:rPr>
              <w:t>28%</w:t>
            </w:r>
          </w:p>
        </w:tc>
      </w:tr>
    </w:tbl>
    <w:p w14:paraId="1D8DF0CB" w14:textId="0EFA6E33" w:rsidR="00E501A3" w:rsidRPr="00D55523" w:rsidRDefault="00E501A3" w:rsidP="00E501A3">
      <w:pPr>
        <w:pStyle w:val="Heading6"/>
        <w:rPr>
          <w:rFonts w:cstheme="majorHAnsi"/>
          <w:szCs w:val="22"/>
          <w:lang w:eastAsia="ja-JP"/>
        </w:rPr>
      </w:pPr>
      <w:r w:rsidRPr="00D55523">
        <w:rPr>
          <w:rFonts w:cstheme="majorHAnsi"/>
          <w:szCs w:val="22"/>
          <w:lang w:eastAsia="ja-JP"/>
        </w:rPr>
        <w:t>Baseline characteristics</w:t>
      </w:r>
      <w:r w:rsidR="008A6BD8">
        <w:rPr>
          <w:rFonts w:cstheme="majorHAnsi"/>
          <w:szCs w:val="22"/>
          <w:lang w:eastAsia="ja-JP"/>
        </w:rPr>
        <w:fldChar w:fldCharType="begin"/>
      </w:r>
      <w:r w:rsidR="008A6BD8">
        <w:rPr>
          <w:rFonts w:cstheme="majorHAnsi"/>
          <w:szCs w:val="22"/>
          <w:lang w:eastAsia="ja-JP"/>
        </w:rPr>
        <w:instrText xml:space="preserve"> DOCVARIABLE vault_nd_ef531794-63ac-49d0-889f-d8aa0ee2a949 \* MERGEFORMAT </w:instrText>
      </w:r>
      <w:r w:rsidR="008A6BD8">
        <w:rPr>
          <w:rFonts w:cstheme="majorHAnsi"/>
          <w:szCs w:val="22"/>
          <w:lang w:eastAsia="ja-JP"/>
        </w:rPr>
        <w:fldChar w:fldCharType="separate"/>
      </w:r>
      <w:r w:rsidR="008A6BD8">
        <w:rPr>
          <w:rFonts w:cstheme="majorHAnsi"/>
          <w:szCs w:val="22"/>
          <w:lang w:eastAsia="ja-JP"/>
        </w:rPr>
        <w:t xml:space="preserve"> </w:t>
      </w:r>
      <w:r w:rsidR="008A6BD8">
        <w:rPr>
          <w:rFonts w:cstheme="majorHAnsi"/>
          <w:szCs w:val="22"/>
          <w:lang w:eastAsia="ja-JP"/>
        </w:rPr>
        <w:fldChar w:fldCharType="end"/>
      </w:r>
    </w:p>
    <w:p w14:paraId="695B5F71" w14:textId="50E87B7C" w:rsidR="00E501A3" w:rsidRPr="00677DA5" w:rsidRDefault="00E501A3" w:rsidP="00A96789">
      <w:pPr>
        <w:rPr>
          <w:lang w:eastAsia="ja-JP"/>
        </w:rPr>
      </w:pPr>
      <w:r w:rsidRPr="00677DA5">
        <w:t>T</w:t>
      </w:r>
      <w:r w:rsidR="00A96789">
        <w:t>he table below (Table</w:t>
      </w:r>
      <w:r w:rsidR="001F1EF1">
        <w:t xml:space="preserve"> 11</w:t>
      </w:r>
      <w:r w:rsidR="00A96789">
        <w:t xml:space="preserve">) </w:t>
      </w:r>
      <w:r>
        <w:t>summarises participant b</w:t>
      </w:r>
      <w:r w:rsidRPr="00677DA5">
        <w:t>aseline disease characteristics</w:t>
      </w:r>
      <w:r w:rsidRPr="00677DA5">
        <w:rPr>
          <w:lang w:eastAsia="ja-JP"/>
        </w:rPr>
        <w:t xml:space="preserve"> in ANCHOR-1 and ANCHOR-2</w:t>
      </w:r>
      <w:r>
        <w:rPr>
          <w:lang w:eastAsia="ja-JP"/>
        </w:rPr>
        <w:t>.</w:t>
      </w:r>
    </w:p>
    <w:p w14:paraId="71696361" w14:textId="3AF8F5F8" w:rsidR="00E501A3" w:rsidRPr="00677DA5" w:rsidRDefault="00E501A3" w:rsidP="00A96789">
      <w:pPr>
        <w:pStyle w:val="TableTitle"/>
        <w:rPr>
          <w:lang w:eastAsia="ja-JP"/>
        </w:rPr>
      </w:pPr>
      <w:bookmarkStart w:id="77" w:name="_Ref207811513"/>
      <w:bookmarkStart w:id="78" w:name="_Toc209166300"/>
      <w:bookmarkStart w:id="79" w:name="_Toc215565777"/>
      <w:r w:rsidRPr="00677DA5">
        <w:t>Table</w:t>
      </w:r>
      <w:bookmarkEnd w:id="77"/>
      <w:r w:rsidR="001F1EF1">
        <w:t xml:space="preserve"> 11</w:t>
      </w:r>
      <w:r w:rsidR="00A96789">
        <w:t>.</w:t>
      </w:r>
      <w:r w:rsidRPr="00677DA5">
        <w:t xml:space="preserve"> </w:t>
      </w:r>
      <w:r w:rsidRPr="00677DA5">
        <w:rPr>
          <w:lang w:eastAsia="ja-JP"/>
        </w:rPr>
        <w:t xml:space="preserve">Summary of CRSwNP </w:t>
      </w:r>
      <w:r>
        <w:rPr>
          <w:lang w:eastAsia="ja-JP"/>
        </w:rPr>
        <w:t xml:space="preserve">and asthma </w:t>
      </w:r>
      <w:r w:rsidRPr="00677DA5">
        <w:rPr>
          <w:lang w:eastAsia="ja-JP"/>
        </w:rPr>
        <w:t>disease history and characteristics</w:t>
      </w:r>
      <w:bookmarkEnd w:id="78"/>
      <w:bookmarkEnd w:id="79"/>
      <w:r w:rsidR="001F1EF1">
        <w:rPr>
          <w:lang w:eastAsia="ja-JP"/>
        </w:rPr>
        <w:t>.</w:t>
      </w:r>
    </w:p>
    <w:tbl>
      <w:tblPr>
        <w:tblW w:w="0" w:type="auto"/>
        <w:tblInd w:w="-5" w:type="dxa"/>
        <w:tblCellMar>
          <w:left w:w="0" w:type="dxa"/>
          <w:right w:w="0" w:type="dxa"/>
        </w:tblCellMar>
        <w:tblLook w:val="0000" w:firstRow="0" w:lastRow="0" w:firstColumn="0" w:lastColumn="0" w:noHBand="0" w:noVBand="0"/>
      </w:tblPr>
      <w:tblGrid>
        <w:gridCol w:w="2694"/>
        <w:gridCol w:w="1417"/>
        <w:gridCol w:w="1843"/>
        <w:gridCol w:w="1417"/>
        <w:gridCol w:w="1650"/>
      </w:tblGrid>
      <w:tr w:rsidR="00E501A3" w:rsidRPr="00D124A7" w14:paraId="1F8199C6" w14:textId="77777777" w:rsidTr="00A327F8">
        <w:trPr>
          <w:trHeight w:val="266"/>
          <w:tblHeader/>
        </w:trPr>
        <w:tc>
          <w:tcPr>
            <w:tcW w:w="2694" w:type="dxa"/>
            <w:vMerge w:val="restart"/>
            <w:tcBorders>
              <w:top w:val="single" w:sz="4" w:space="0" w:color="000000"/>
              <w:left w:val="single" w:sz="4" w:space="0" w:color="000000"/>
              <w:right w:val="double" w:sz="4" w:space="0" w:color="auto"/>
            </w:tcBorders>
            <w:shd w:val="clear" w:color="auto" w:fill="D9D9D9" w:themeFill="background1" w:themeFillShade="D9"/>
          </w:tcPr>
          <w:p w14:paraId="731662FE" w14:textId="77777777" w:rsidR="00E501A3" w:rsidRPr="00D124A7" w:rsidRDefault="00E501A3">
            <w:pPr>
              <w:kinsoku w:val="0"/>
              <w:overflowPunct w:val="0"/>
              <w:autoSpaceDE w:val="0"/>
              <w:autoSpaceDN w:val="0"/>
              <w:adjustRightInd w:val="0"/>
              <w:spacing w:after="0" w:line="240" w:lineRule="auto"/>
              <w:rPr>
                <w:rFonts w:ascii="Calibri" w:hAnsi="Calibri" w:cs="Calibri"/>
              </w:rPr>
            </w:pPr>
          </w:p>
        </w:tc>
        <w:tc>
          <w:tcPr>
            <w:tcW w:w="3260"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tcPr>
          <w:p w14:paraId="3CE093B3"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rPr>
            </w:pPr>
            <w:r w:rsidRPr="00D124A7">
              <w:rPr>
                <w:rFonts w:ascii="Calibri" w:hAnsi="Calibri" w:cs="Calibri"/>
                <w:b/>
              </w:rPr>
              <w:t>ANCHOR-1</w:t>
            </w:r>
          </w:p>
        </w:tc>
        <w:tc>
          <w:tcPr>
            <w:tcW w:w="3067" w:type="dxa"/>
            <w:gridSpan w:val="2"/>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0E8F0363"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rPr>
            </w:pPr>
            <w:r w:rsidRPr="00D124A7">
              <w:rPr>
                <w:rFonts w:ascii="Calibri" w:hAnsi="Calibri" w:cs="Calibri"/>
                <w:b/>
              </w:rPr>
              <w:t>ANCHOR-2</w:t>
            </w:r>
          </w:p>
        </w:tc>
      </w:tr>
      <w:tr w:rsidR="00E501A3" w:rsidRPr="00D124A7" w14:paraId="1BED1F7D" w14:textId="77777777" w:rsidTr="00A327F8">
        <w:trPr>
          <w:trHeight w:val="564"/>
          <w:tblHeader/>
        </w:trPr>
        <w:tc>
          <w:tcPr>
            <w:tcW w:w="2694" w:type="dxa"/>
            <w:vMerge/>
            <w:tcBorders>
              <w:left w:val="single" w:sz="4" w:space="0" w:color="000000"/>
              <w:bottom w:val="single" w:sz="4" w:space="0" w:color="000000"/>
              <w:right w:val="double" w:sz="4" w:space="0" w:color="auto"/>
            </w:tcBorders>
            <w:shd w:val="clear" w:color="auto" w:fill="D9D9D9" w:themeFill="background1" w:themeFillShade="D9"/>
          </w:tcPr>
          <w:p w14:paraId="49F50C3B" w14:textId="77777777" w:rsidR="00E501A3" w:rsidRPr="00D124A7" w:rsidRDefault="00E501A3">
            <w:pPr>
              <w:kinsoku w:val="0"/>
              <w:overflowPunct w:val="0"/>
              <w:autoSpaceDE w:val="0"/>
              <w:autoSpaceDN w:val="0"/>
              <w:adjustRightInd w:val="0"/>
              <w:spacing w:after="0" w:line="240" w:lineRule="auto"/>
              <w:rPr>
                <w:rFonts w:ascii="Calibri" w:hAnsi="Calibri" w:cs="Calibri"/>
              </w:rPr>
            </w:pPr>
          </w:p>
        </w:tc>
        <w:tc>
          <w:tcPr>
            <w:tcW w:w="1417" w:type="dxa"/>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58E32254"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spacing w:val="-2"/>
              </w:rPr>
            </w:pPr>
            <w:bookmarkStart w:id="80" w:name="Table_8_Summary_of_CRSwNP_disease_histor"/>
            <w:bookmarkEnd w:id="80"/>
            <w:r w:rsidRPr="00D124A7">
              <w:rPr>
                <w:rFonts w:ascii="Calibri" w:hAnsi="Calibri" w:cs="Calibri"/>
                <w:b/>
                <w:spacing w:val="-2"/>
              </w:rPr>
              <w:t>Placebo (N=128)</w:t>
            </w:r>
          </w:p>
        </w:tc>
        <w:tc>
          <w:tcPr>
            <w:tcW w:w="1843" w:type="dxa"/>
            <w:tcBorders>
              <w:top w:val="single" w:sz="4" w:space="0" w:color="000000"/>
              <w:left w:val="single" w:sz="4" w:space="0" w:color="000000"/>
              <w:bottom w:val="single" w:sz="4" w:space="0" w:color="000000"/>
              <w:right w:val="double" w:sz="4" w:space="0" w:color="auto"/>
            </w:tcBorders>
            <w:shd w:val="clear" w:color="auto" w:fill="D9D9D9" w:themeFill="background1" w:themeFillShade="D9"/>
          </w:tcPr>
          <w:p w14:paraId="1CA8C3C3"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spacing w:val="-6"/>
              </w:rPr>
            </w:pPr>
            <w:r w:rsidRPr="00D124A7">
              <w:rPr>
                <w:rFonts w:ascii="Calibri" w:hAnsi="Calibri" w:cs="Calibri"/>
                <w:b/>
              </w:rPr>
              <w:t>Depemokimab</w:t>
            </w:r>
            <w:r w:rsidRPr="00D124A7">
              <w:rPr>
                <w:rFonts w:ascii="Calibri" w:hAnsi="Calibri" w:cs="Calibri"/>
                <w:b/>
                <w:spacing w:val="-11"/>
              </w:rPr>
              <w:t xml:space="preserve"> </w:t>
            </w:r>
          </w:p>
          <w:p w14:paraId="116AE21D" w14:textId="77777777" w:rsidR="00E501A3" w:rsidRPr="00D124A7" w:rsidRDefault="00E501A3">
            <w:pPr>
              <w:kinsoku w:val="0"/>
              <w:overflowPunct w:val="0"/>
              <w:autoSpaceDE w:val="0"/>
              <w:autoSpaceDN w:val="0"/>
              <w:adjustRightInd w:val="0"/>
              <w:spacing w:after="0" w:line="210" w:lineRule="exact"/>
              <w:ind w:left="79" w:right="69"/>
              <w:jc w:val="center"/>
              <w:rPr>
                <w:rFonts w:ascii="Calibri" w:hAnsi="Calibri" w:cs="Calibri"/>
                <w:b/>
                <w:bCs/>
                <w:spacing w:val="-2"/>
              </w:rPr>
            </w:pPr>
            <w:r w:rsidRPr="00D124A7">
              <w:rPr>
                <w:rFonts w:ascii="Calibri" w:hAnsi="Calibri" w:cs="Calibri"/>
                <w:b/>
                <w:spacing w:val="-2"/>
              </w:rPr>
              <w:t>(N=143)</w:t>
            </w:r>
          </w:p>
        </w:tc>
        <w:tc>
          <w:tcPr>
            <w:tcW w:w="1417" w:type="dxa"/>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4C7136F2"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rPr>
            </w:pPr>
            <w:r w:rsidRPr="00D124A7">
              <w:rPr>
                <w:rFonts w:ascii="Calibri" w:hAnsi="Calibri" w:cs="Calibri"/>
                <w:b/>
                <w:spacing w:val="-2"/>
              </w:rPr>
              <w:t>Placebo (N=128)</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55B589"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spacing w:val="-6"/>
              </w:rPr>
            </w:pPr>
            <w:r w:rsidRPr="00D124A7">
              <w:rPr>
                <w:rFonts w:ascii="Calibri" w:hAnsi="Calibri" w:cs="Calibri"/>
                <w:b/>
              </w:rPr>
              <w:t>Depemokimab</w:t>
            </w:r>
            <w:r w:rsidRPr="00D124A7">
              <w:rPr>
                <w:rFonts w:ascii="Calibri" w:hAnsi="Calibri" w:cs="Calibri"/>
                <w:b/>
                <w:spacing w:val="-11"/>
              </w:rPr>
              <w:t xml:space="preserve"> </w:t>
            </w:r>
          </w:p>
          <w:p w14:paraId="29221785" w14:textId="77777777" w:rsidR="00E501A3" w:rsidRPr="00D124A7" w:rsidRDefault="00E501A3">
            <w:pPr>
              <w:kinsoku w:val="0"/>
              <w:overflowPunct w:val="0"/>
              <w:autoSpaceDE w:val="0"/>
              <w:autoSpaceDN w:val="0"/>
              <w:adjustRightInd w:val="0"/>
              <w:spacing w:after="0" w:line="240" w:lineRule="auto"/>
              <w:ind w:left="79" w:right="68"/>
              <w:jc w:val="center"/>
              <w:rPr>
                <w:rFonts w:ascii="Calibri" w:hAnsi="Calibri" w:cs="Calibri"/>
                <w:b/>
                <w:bCs/>
                <w:spacing w:val="-6"/>
              </w:rPr>
            </w:pPr>
            <w:r w:rsidRPr="00D124A7">
              <w:rPr>
                <w:rFonts w:ascii="Calibri" w:hAnsi="Calibri" w:cs="Calibri"/>
                <w:b/>
                <w:spacing w:val="-6"/>
              </w:rPr>
              <w:t>(N=129)</w:t>
            </w:r>
          </w:p>
        </w:tc>
      </w:tr>
      <w:tr w:rsidR="00E501A3" w:rsidRPr="00D124A7" w14:paraId="3D576AA3" w14:textId="77777777">
        <w:trPr>
          <w:trHeight w:val="230"/>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72DDAD8A"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Duration of NP, years</w:t>
            </w:r>
          </w:p>
        </w:tc>
      </w:tr>
      <w:tr w:rsidR="00E501A3" w:rsidRPr="00D124A7" w14:paraId="7AF7A47C" w14:textId="77777777" w:rsidTr="00A327F8">
        <w:trPr>
          <w:trHeight w:val="227"/>
        </w:trPr>
        <w:tc>
          <w:tcPr>
            <w:tcW w:w="2694" w:type="dxa"/>
            <w:tcBorders>
              <w:top w:val="single" w:sz="4" w:space="0" w:color="000000"/>
              <w:left w:val="single" w:sz="4" w:space="0" w:color="000000"/>
              <w:bottom w:val="single" w:sz="4" w:space="0" w:color="000000"/>
              <w:right w:val="double" w:sz="4" w:space="0" w:color="auto"/>
            </w:tcBorders>
          </w:tcPr>
          <w:p w14:paraId="5DA2D172" w14:textId="77777777" w:rsidR="00E501A3" w:rsidRPr="004229B4" w:rsidRDefault="00E501A3" w:rsidP="00B958FF">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4A49E146"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0F5412A0"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275B2F96"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 xml:space="preserve">128 </w:t>
            </w:r>
          </w:p>
        </w:tc>
        <w:tc>
          <w:tcPr>
            <w:tcW w:w="1650" w:type="dxa"/>
            <w:tcBorders>
              <w:top w:val="single" w:sz="4" w:space="0" w:color="000000"/>
              <w:left w:val="single" w:sz="4" w:space="0" w:color="000000"/>
              <w:bottom w:val="single" w:sz="4" w:space="0" w:color="000000"/>
              <w:right w:val="single" w:sz="4" w:space="0" w:color="000000"/>
            </w:tcBorders>
          </w:tcPr>
          <w:p w14:paraId="703D4E74"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129</w:t>
            </w:r>
          </w:p>
        </w:tc>
      </w:tr>
      <w:tr w:rsidR="00E501A3" w:rsidRPr="00D124A7" w14:paraId="0875FD18" w14:textId="77777777" w:rsidTr="00A327F8">
        <w:trPr>
          <w:trHeight w:val="458"/>
        </w:trPr>
        <w:tc>
          <w:tcPr>
            <w:tcW w:w="2694" w:type="dxa"/>
            <w:tcBorders>
              <w:top w:val="single" w:sz="4" w:space="0" w:color="000000"/>
              <w:left w:val="single" w:sz="4" w:space="0" w:color="000000"/>
              <w:bottom w:val="single" w:sz="4" w:space="0" w:color="000000"/>
              <w:right w:val="double" w:sz="4" w:space="0" w:color="auto"/>
            </w:tcBorders>
          </w:tcPr>
          <w:p w14:paraId="096E1C11" w14:textId="77777777" w:rsidR="00E501A3" w:rsidRPr="004229B4" w:rsidRDefault="00E501A3" w:rsidP="00B958FF">
            <w:pPr>
              <w:kinsoku w:val="0"/>
              <w:overflowPunct w:val="0"/>
              <w:autoSpaceDE w:val="0"/>
              <w:autoSpaceDN w:val="0"/>
              <w:adjustRightInd w:val="0"/>
              <w:spacing w:before="113" w:after="0" w:line="240" w:lineRule="auto"/>
              <w:ind w:left="491"/>
              <w:rPr>
                <w:rFonts w:ascii="Calibri" w:hAnsi="Calibri" w:cs="Calibri"/>
                <w:sz w:val="20"/>
              </w:rPr>
            </w:pPr>
            <w:r w:rsidRPr="004229B4">
              <w:rPr>
                <w:rFonts w:ascii="Calibri" w:hAnsi="Calibri" w:cs="Calibri"/>
                <w:sz w:val="20"/>
              </w:rPr>
              <w:t>Mean (SD)</w:t>
            </w:r>
          </w:p>
        </w:tc>
        <w:tc>
          <w:tcPr>
            <w:tcW w:w="1417" w:type="dxa"/>
            <w:tcBorders>
              <w:top w:val="single" w:sz="4" w:space="0" w:color="000000"/>
              <w:left w:val="double" w:sz="4" w:space="0" w:color="auto"/>
              <w:bottom w:val="single" w:sz="4" w:space="0" w:color="000000"/>
              <w:right w:val="single" w:sz="4" w:space="0" w:color="000000"/>
            </w:tcBorders>
          </w:tcPr>
          <w:p w14:paraId="603764C2" w14:textId="77777777" w:rsidR="00E501A3" w:rsidRPr="004229B4"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12.344 (10.0857)</w:t>
            </w:r>
          </w:p>
        </w:tc>
        <w:tc>
          <w:tcPr>
            <w:tcW w:w="1843" w:type="dxa"/>
            <w:tcBorders>
              <w:top w:val="single" w:sz="4" w:space="0" w:color="000000"/>
              <w:left w:val="single" w:sz="4" w:space="0" w:color="000000"/>
              <w:bottom w:val="single" w:sz="4" w:space="0" w:color="000000"/>
              <w:right w:val="double" w:sz="4" w:space="0" w:color="auto"/>
            </w:tcBorders>
          </w:tcPr>
          <w:p w14:paraId="4821433D" w14:textId="77777777" w:rsidR="00E501A3" w:rsidRPr="004229B4" w:rsidRDefault="00E501A3">
            <w:pPr>
              <w:kinsoku w:val="0"/>
              <w:overflowPunct w:val="0"/>
              <w:autoSpaceDE w:val="0"/>
              <w:autoSpaceDN w:val="0"/>
              <w:adjustRightInd w:val="0"/>
              <w:spacing w:after="0" w:line="240" w:lineRule="auto"/>
              <w:ind w:left="402"/>
              <w:rPr>
                <w:rFonts w:ascii="Calibri" w:hAnsi="Calibri" w:cs="Calibri"/>
                <w:sz w:val="20"/>
              </w:rPr>
            </w:pPr>
            <w:r w:rsidRPr="004229B4">
              <w:rPr>
                <w:rFonts w:ascii="Calibri" w:hAnsi="Calibri" w:cs="Calibri"/>
                <w:sz w:val="20"/>
              </w:rPr>
              <w:t>13.451 (12.1230)</w:t>
            </w:r>
          </w:p>
        </w:tc>
        <w:tc>
          <w:tcPr>
            <w:tcW w:w="1417" w:type="dxa"/>
            <w:tcBorders>
              <w:top w:val="single" w:sz="4" w:space="0" w:color="000000"/>
              <w:left w:val="double" w:sz="4" w:space="0" w:color="auto"/>
              <w:bottom w:val="single" w:sz="4" w:space="0" w:color="000000"/>
              <w:right w:val="single" w:sz="4" w:space="0" w:color="000000"/>
            </w:tcBorders>
          </w:tcPr>
          <w:p w14:paraId="3F1D500E" w14:textId="77777777" w:rsidR="00E501A3" w:rsidRPr="004229B4" w:rsidRDefault="00E501A3">
            <w:pPr>
              <w:kinsoku w:val="0"/>
              <w:overflowPunct w:val="0"/>
              <w:autoSpaceDE w:val="0"/>
              <w:autoSpaceDN w:val="0"/>
              <w:adjustRightInd w:val="0"/>
              <w:spacing w:after="0" w:line="240" w:lineRule="auto"/>
              <w:ind w:left="402"/>
              <w:rPr>
                <w:rFonts w:ascii="Calibri" w:hAnsi="Calibri" w:cs="Calibri"/>
                <w:sz w:val="20"/>
              </w:rPr>
            </w:pPr>
            <w:r w:rsidRPr="004229B4">
              <w:rPr>
                <w:rFonts w:ascii="Calibri" w:hAnsi="Calibri" w:cs="Calibri"/>
                <w:sz w:val="20"/>
              </w:rPr>
              <w:t>11.020 (8.9764)</w:t>
            </w:r>
          </w:p>
        </w:tc>
        <w:tc>
          <w:tcPr>
            <w:tcW w:w="1650" w:type="dxa"/>
            <w:tcBorders>
              <w:top w:val="single" w:sz="4" w:space="0" w:color="000000"/>
              <w:left w:val="single" w:sz="4" w:space="0" w:color="000000"/>
              <w:bottom w:val="single" w:sz="4" w:space="0" w:color="000000"/>
              <w:right w:val="single" w:sz="4" w:space="0" w:color="000000"/>
            </w:tcBorders>
          </w:tcPr>
          <w:p w14:paraId="6294FB35" w14:textId="046AFDC0" w:rsidR="00E501A3" w:rsidRPr="004229B4" w:rsidRDefault="00E501A3">
            <w:pPr>
              <w:kinsoku w:val="0"/>
              <w:overflowPunct w:val="0"/>
              <w:autoSpaceDE w:val="0"/>
              <w:autoSpaceDN w:val="0"/>
              <w:adjustRightInd w:val="0"/>
              <w:spacing w:after="0" w:line="240" w:lineRule="auto"/>
              <w:ind w:left="402"/>
              <w:rPr>
                <w:rFonts w:ascii="Calibri" w:hAnsi="Calibri" w:cs="Calibri"/>
                <w:sz w:val="20"/>
              </w:rPr>
            </w:pPr>
            <w:r w:rsidRPr="004229B4">
              <w:rPr>
                <w:rFonts w:ascii="Calibri" w:hAnsi="Calibri" w:cs="Calibri"/>
                <w:sz w:val="20"/>
              </w:rPr>
              <w:t>11.245 (8.4786)</w:t>
            </w:r>
          </w:p>
        </w:tc>
      </w:tr>
      <w:tr w:rsidR="00E501A3" w:rsidRPr="00D124A7" w14:paraId="5F022D58" w14:textId="77777777">
        <w:trPr>
          <w:trHeight w:val="230"/>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317B3738" w14:textId="77777777" w:rsidR="00E501A3" w:rsidRPr="004229B4" w:rsidRDefault="00E501A3" w:rsidP="00B958FF">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Duration of CRS, years</w:t>
            </w:r>
          </w:p>
        </w:tc>
      </w:tr>
      <w:tr w:rsidR="00E501A3" w:rsidRPr="00D124A7" w14:paraId="776985A2"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7192662D" w14:textId="77777777" w:rsidR="00E501A3" w:rsidRPr="004229B4" w:rsidRDefault="00E501A3" w:rsidP="00B958FF">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1866CB0E" w14:textId="77777777" w:rsidR="00E501A3" w:rsidRPr="004229B4" w:rsidRDefault="00E501A3">
            <w:pPr>
              <w:kinsoku w:val="0"/>
              <w:overflowPunct w:val="0"/>
              <w:autoSpaceDE w:val="0"/>
              <w:autoSpaceDN w:val="0"/>
              <w:adjustRightInd w:val="0"/>
              <w:spacing w:after="0" w:line="210" w:lineRule="exact"/>
              <w:ind w:left="5"/>
              <w:jc w:val="center"/>
              <w:rPr>
                <w:rFonts w:ascii="Calibri" w:hAnsi="Calibri" w:cs="Calibri"/>
                <w:spacing w:val="-4"/>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3A88918E" w14:textId="77777777" w:rsidR="00E501A3" w:rsidRPr="004229B4" w:rsidRDefault="00E501A3">
            <w:pPr>
              <w:kinsoku w:val="0"/>
              <w:overflowPunct w:val="0"/>
              <w:autoSpaceDE w:val="0"/>
              <w:autoSpaceDN w:val="0"/>
              <w:adjustRightInd w:val="0"/>
              <w:spacing w:after="0" w:line="210" w:lineRule="exact"/>
              <w:ind w:left="79" w:right="71"/>
              <w:jc w:val="center"/>
              <w:rPr>
                <w:rFonts w:ascii="Calibri" w:hAnsi="Calibri" w:cs="Calibri"/>
                <w:spacing w:val="-4"/>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2444DAA4" w14:textId="77777777" w:rsidR="00E501A3" w:rsidRPr="004229B4" w:rsidRDefault="00E501A3">
            <w:pPr>
              <w:kinsoku w:val="0"/>
              <w:overflowPunct w:val="0"/>
              <w:autoSpaceDE w:val="0"/>
              <w:autoSpaceDN w:val="0"/>
              <w:adjustRightInd w:val="0"/>
              <w:spacing w:after="0" w:line="210" w:lineRule="exact"/>
              <w:ind w:left="79" w:right="71"/>
              <w:jc w:val="center"/>
              <w:rPr>
                <w:rFonts w:ascii="Calibri" w:hAnsi="Calibri" w:cs="Calibri"/>
                <w:spacing w:val="-4"/>
                <w:sz w:val="20"/>
              </w:rPr>
            </w:pPr>
            <w:r w:rsidRPr="004229B4">
              <w:rPr>
                <w:rFonts w:ascii="Calibri" w:hAnsi="Calibri" w:cs="Calibri"/>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00848832" w14:textId="77777777" w:rsidR="00E501A3" w:rsidRPr="004229B4" w:rsidRDefault="00E501A3">
            <w:pPr>
              <w:kinsoku w:val="0"/>
              <w:overflowPunct w:val="0"/>
              <w:autoSpaceDE w:val="0"/>
              <w:autoSpaceDN w:val="0"/>
              <w:adjustRightInd w:val="0"/>
              <w:spacing w:after="0" w:line="210" w:lineRule="exact"/>
              <w:ind w:left="79" w:right="71"/>
              <w:jc w:val="center"/>
              <w:rPr>
                <w:rFonts w:ascii="Calibri" w:hAnsi="Calibri" w:cs="Calibri"/>
                <w:spacing w:val="-4"/>
                <w:sz w:val="20"/>
              </w:rPr>
            </w:pPr>
            <w:r w:rsidRPr="004229B4">
              <w:rPr>
                <w:rFonts w:ascii="Calibri" w:hAnsi="Calibri" w:cs="Calibri"/>
                <w:sz w:val="20"/>
              </w:rPr>
              <w:t>129</w:t>
            </w:r>
          </w:p>
        </w:tc>
      </w:tr>
      <w:tr w:rsidR="00E501A3" w:rsidRPr="00D124A7" w14:paraId="5E948BE3" w14:textId="77777777" w:rsidTr="00A327F8">
        <w:trPr>
          <w:trHeight w:val="460"/>
        </w:trPr>
        <w:tc>
          <w:tcPr>
            <w:tcW w:w="2694" w:type="dxa"/>
            <w:tcBorders>
              <w:top w:val="single" w:sz="4" w:space="0" w:color="000000"/>
              <w:left w:val="single" w:sz="4" w:space="0" w:color="000000"/>
              <w:bottom w:val="single" w:sz="4" w:space="0" w:color="000000"/>
              <w:right w:val="double" w:sz="4" w:space="0" w:color="auto"/>
            </w:tcBorders>
          </w:tcPr>
          <w:p w14:paraId="26387CC8" w14:textId="77777777" w:rsidR="00E501A3" w:rsidRPr="004229B4" w:rsidRDefault="00E501A3" w:rsidP="00A327F8">
            <w:pPr>
              <w:kinsoku w:val="0"/>
              <w:overflowPunct w:val="0"/>
              <w:autoSpaceDE w:val="0"/>
              <w:autoSpaceDN w:val="0"/>
              <w:adjustRightInd w:val="0"/>
              <w:spacing w:before="114" w:after="0" w:line="240" w:lineRule="auto"/>
              <w:ind w:left="491"/>
              <w:rPr>
                <w:rFonts w:ascii="Calibri" w:hAnsi="Calibri" w:cs="Calibri"/>
                <w:sz w:val="20"/>
              </w:rPr>
            </w:pPr>
            <w:r w:rsidRPr="004229B4">
              <w:rPr>
                <w:rFonts w:ascii="Calibri" w:hAnsi="Calibri" w:cs="Calibri"/>
                <w:sz w:val="20"/>
              </w:rPr>
              <w:lastRenderedPageBreak/>
              <w:t>Mean (SD)</w:t>
            </w:r>
          </w:p>
        </w:tc>
        <w:tc>
          <w:tcPr>
            <w:tcW w:w="1417" w:type="dxa"/>
            <w:tcBorders>
              <w:top w:val="single" w:sz="4" w:space="0" w:color="000000"/>
              <w:left w:val="double" w:sz="4" w:space="0" w:color="auto"/>
              <w:bottom w:val="single" w:sz="4" w:space="0" w:color="000000"/>
              <w:right w:val="single" w:sz="4" w:space="0" w:color="000000"/>
            </w:tcBorders>
          </w:tcPr>
          <w:p w14:paraId="6017DD72" w14:textId="77777777" w:rsidR="00E501A3" w:rsidRPr="004229B4"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14.242</w:t>
            </w:r>
          </w:p>
          <w:p w14:paraId="0E97419F" w14:textId="77777777" w:rsidR="00E501A3" w:rsidRPr="004229B4" w:rsidRDefault="00E501A3">
            <w:pPr>
              <w:kinsoku w:val="0"/>
              <w:overflowPunct w:val="0"/>
              <w:autoSpaceDE w:val="0"/>
              <w:autoSpaceDN w:val="0"/>
              <w:adjustRightInd w:val="0"/>
              <w:spacing w:before="1" w:after="0" w:line="210" w:lineRule="exact"/>
              <w:ind w:left="261"/>
              <w:rPr>
                <w:rFonts w:ascii="Calibri" w:hAnsi="Calibri" w:cs="Calibri"/>
                <w:spacing w:val="-2"/>
                <w:sz w:val="20"/>
              </w:rPr>
            </w:pPr>
            <w:r w:rsidRPr="004229B4">
              <w:rPr>
                <w:rFonts w:ascii="Calibri" w:hAnsi="Calibri" w:cs="Calibri"/>
                <w:spacing w:val="-2"/>
                <w:sz w:val="20"/>
              </w:rPr>
              <w:t>(11.4867)</w:t>
            </w:r>
          </w:p>
        </w:tc>
        <w:tc>
          <w:tcPr>
            <w:tcW w:w="1843" w:type="dxa"/>
            <w:tcBorders>
              <w:top w:val="single" w:sz="4" w:space="0" w:color="000000"/>
              <w:left w:val="single" w:sz="4" w:space="0" w:color="000000"/>
              <w:bottom w:val="single" w:sz="4" w:space="0" w:color="000000"/>
              <w:right w:val="double" w:sz="4" w:space="0" w:color="auto"/>
            </w:tcBorders>
            <w:vAlign w:val="center"/>
          </w:tcPr>
          <w:p w14:paraId="07B98775" w14:textId="77777777" w:rsidR="00947F3F"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15.511</w:t>
            </w:r>
            <w:r w:rsidR="00947F3F">
              <w:rPr>
                <w:rFonts w:ascii="Calibri" w:hAnsi="Calibri" w:cs="Calibri"/>
                <w:spacing w:val="-2"/>
                <w:sz w:val="20"/>
              </w:rPr>
              <w:t xml:space="preserve"> </w:t>
            </w:r>
          </w:p>
          <w:p w14:paraId="5BBD371E" w14:textId="30FBF7FD" w:rsidR="00E501A3" w:rsidRPr="004229B4" w:rsidRDefault="00947F3F">
            <w:pPr>
              <w:kinsoku w:val="0"/>
              <w:overflowPunct w:val="0"/>
              <w:autoSpaceDE w:val="0"/>
              <w:autoSpaceDN w:val="0"/>
              <w:adjustRightInd w:val="0"/>
              <w:spacing w:after="0" w:line="229" w:lineRule="exact"/>
              <w:ind w:left="362"/>
              <w:rPr>
                <w:rFonts w:ascii="Calibri" w:hAnsi="Calibri" w:cs="Calibri"/>
                <w:spacing w:val="-2"/>
                <w:sz w:val="20"/>
              </w:rPr>
            </w:pPr>
            <w:r>
              <w:rPr>
                <w:rFonts w:ascii="Calibri" w:hAnsi="Calibri" w:cs="Calibri"/>
                <w:spacing w:val="-2"/>
                <w:sz w:val="20"/>
              </w:rPr>
              <w:t>(</w:t>
            </w:r>
            <w:r w:rsidR="00E501A3" w:rsidRPr="004229B4">
              <w:rPr>
                <w:rFonts w:ascii="Calibri" w:hAnsi="Calibri" w:cs="Calibri"/>
                <w:spacing w:val="-2"/>
                <w:sz w:val="20"/>
              </w:rPr>
              <w:t>14.1261</w:t>
            </w:r>
            <w:r w:rsidR="00494B48">
              <w:rPr>
                <w:rFonts w:ascii="Calibri" w:hAnsi="Calibri" w:cs="Calibri"/>
                <w:spacing w:val="-2"/>
                <w:sz w:val="20"/>
              </w:rPr>
              <w:t>)</w:t>
            </w:r>
          </w:p>
        </w:tc>
        <w:tc>
          <w:tcPr>
            <w:tcW w:w="1417" w:type="dxa"/>
            <w:tcBorders>
              <w:top w:val="single" w:sz="4" w:space="0" w:color="000000"/>
              <w:left w:val="double" w:sz="4" w:space="0" w:color="auto"/>
              <w:bottom w:val="single" w:sz="4" w:space="0" w:color="000000"/>
              <w:right w:val="single" w:sz="4" w:space="0" w:color="000000"/>
            </w:tcBorders>
          </w:tcPr>
          <w:p w14:paraId="04F8693F" w14:textId="77777777" w:rsidR="00E501A3" w:rsidRPr="004229B4"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12.153 (10.1405)</w:t>
            </w:r>
          </w:p>
        </w:tc>
        <w:tc>
          <w:tcPr>
            <w:tcW w:w="1650" w:type="dxa"/>
            <w:tcBorders>
              <w:top w:val="nil"/>
              <w:left w:val="single" w:sz="4" w:space="0" w:color="000000"/>
              <w:bottom w:val="single" w:sz="4" w:space="0" w:color="000000"/>
              <w:right w:val="single" w:sz="4" w:space="0" w:color="000000"/>
            </w:tcBorders>
          </w:tcPr>
          <w:p w14:paraId="31F14C31" w14:textId="77777777" w:rsidR="00947F3F"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11.623</w:t>
            </w:r>
          </w:p>
          <w:p w14:paraId="48EA4637" w14:textId="10CD603A" w:rsidR="00E501A3" w:rsidRPr="004229B4" w:rsidRDefault="00E501A3">
            <w:pPr>
              <w:kinsoku w:val="0"/>
              <w:overflowPunct w:val="0"/>
              <w:autoSpaceDE w:val="0"/>
              <w:autoSpaceDN w:val="0"/>
              <w:adjustRightInd w:val="0"/>
              <w:spacing w:after="0" w:line="229" w:lineRule="exact"/>
              <w:ind w:left="362"/>
              <w:rPr>
                <w:rFonts w:ascii="Calibri" w:hAnsi="Calibri" w:cs="Calibri"/>
                <w:spacing w:val="-2"/>
                <w:sz w:val="20"/>
              </w:rPr>
            </w:pPr>
            <w:r w:rsidRPr="004229B4">
              <w:rPr>
                <w:rFonts w:ascii="Calibri" w:hAnsi="Calibri" w:cs="Calibri"/>
                <w:spacing w:val="-2"/>
                <w:sz w:val="20"/>
              </w:rPr>
              <w:t xml:space="preserve"> </w:t>
            </w:r>
            <w:r w:rsidR="00947F3F">
              <w:rPr>
                <w:rFonts w:ascii="Calibri" w:hAnsi="Calibri" w:cs="Calibri"/>
                <w:spacing w:val="-2"/>
                <w:sz w:val="20"/>
              </w:rPr>
              <w:t>(</w:t>
            </w:r>
            <w:r w:rsidRPr="004229B4">
              <w:rPr>
                <w:rFonts w:ascii="Calibri" w:hAnsi="Calibri" w:cs="Calibri"/>
                <w:spacing w:val="-2"/>
                <w:sz w:val="20"/>
              </w:rPr>
              <w:t>8.5441)</w:t>
            </w:r>
          </w:p>
        </w:tc>
      </w:tr>
      <w:tr w:rsidR="00E501A3" w:rsidRPr="00D124A7" w14:paraId="153329E7" w14:textId="77777777">
        <w:trPr>
          <w:trHeight w:val="230"/>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03C7707D" w14:textId="77777777" w:rsidR="00E501A3" w:rsidRPr="004229B4" w:rsidRDefault="00E501A3" w:rsidP="00A327F8">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Number of previous surgeries for NP, n (%)</w:t>
            </w:r>
          </w:p>
        </w:tc>
      </w:tr>
      <w:tr w:rsidR="00E501A3" w:rsidRPr="00D124A7" w14:paraId="63C2D31E" w14:textId="77777777" w:rsidTr="00A327F8">
        <w:trPr>
          <w:trHeight w:val="227"/>
        </w:trPr>
        <w:tc>
          <w:tcPr>
            <w:tcW w:w="2694" w:type="dxa"/>
            <w:tcBorders>
              <w:top w:val="single" w:sz="4" w:space="0" w:color="000000"/>
              <w:left w:val="single" w:sz="4" w:space="0" w:color="000000"/>
              <w:bottom w:val="single" w:sz="4" w:space="0" w:color="000000"/>
              <w:right w:val="double" w:sz="4" w:space="0" w:color="auto"/>
            </w:tcBorders>
          </w:tcPr>
          <w:p w14:paraId="66DB4920" w14:textId="77777777" w:rsidR="00E501A3" w:rsidRPr="004229B4" w:rsidRDefault="00E501A3" w:rsidP="00A327F8">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05913209"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2E393BD8"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64B98643"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3C60AC68"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129</w:t>
            </w:r>
          </w:p>
        </w:tc>
      </w:tr>
      <w:tr w:rsidR="00E501A3" w:rsidRPr="00D124A7" w14:paraId="2F66DF45"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442A0EB9"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0</w:t>
            </w:r>
          </w:p>
        </w:tc>
        <w:tc>
          <w:tcPr>
            <w:tcW w:w="1417" w:type="dxa"/>
            <w:tcBorders>
              <w:top w:val="single" w:sz="4" w:space="0" w:color="000000"/>
              <w:left w:val="double" w:sz="4" w:space="0" w:color="auto"/>
              <w:bottom w:val="single" w:sz="4" w:space="0" w:color="000000"/>
              <w:right w:val="single" w:sz="4" w:space="0" w:color="000000"/>
            </w:tcBorders>
          </w:tcPr>
          <w:p w14:paraId="1C83AD78"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47 (37)</w:t>
            </w:r>
          </w:p>
        </w:tc>
        <w:tc>
          <w:tcPr>
            <w:tcW w:w="1843" w:type="dxa"/>
            <w:tcBorders>
              <w:top w:val="single" w:sz="4" w:space="0" w:color="000000"/>
              <w:left w:val="single" w:sz="4" w:space="0" w:color="000000"/>
              <w:bottom w:val="single" w:sz="4" w:space="0" w:color="000000"/>
              <w:right w:val="double" w:sz="4" w:space="0" w:color="auto"/>
            </w:tcBorders>
          </w:tcPr>
          <w:p w14:paraId="02A29B68"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53 (37)</w:t>
            </w:r>
          </w:p>
        </w:tc>
        <w:tc>
          <w:tcPr>
            <w:tcW w:w="1417" w:type="dxa"/>
            <w:tcBorders>
              <w:top w:val="single" w:sz="4" w:space="0" w:color="000000"/>
              <w:left w:val="double" w:sz="4" w:space="0" w:color="auto"/>
              <w:bottom w:val="single" w:sz="4" w:space="0" w:color="000000"/>
              <w:right w:val="single" w:sz="4" w:space="0" w:color="000000"/>
            </w:tcBorders>
          </w:tcPr>
          <w:p w14:paraId="33308AD9"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49 (38)</w:t>
            </w:r>
          </w:p>
        </w:tc>
        <w:tc>
          <w:tcPr>
            <w:tcW w:w="1650" w:type="dxa"/>
            <w:tcBorders>
              <w:top w:val="nil"/>
              <w:left w:val="single" w:sz="4" w:space="0" w:color="000000"/>
              <w:bottom w:val="single" w:sz="4" w:space="0" w:color="000000"/>
              <w:right w:val="single" w:sz="4" w:space="0" w:color="000000"/>
            </w:tcBorders>
          </w:tcPr>
          <w:p w14:paraId="684B64CC"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46 (36)</w:t>
            </w:r>
          </w:p>
        </w:tc>
      </w:tr>
      <w:tr w:rsidR="00E501A3" w:rsidRPr="00D124A7" w14:paraId="7A7ECB51"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189028E5"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1</w:t>
            </w:r>
          </w:p>
        </w:tc>
        <w:tc>
          <w:tcPr>
            <w:tcW w:w="1417" w:type="dxa"/>
            <w:tcBorders>
              <w:top w:val="single" w:sz="4" w:space="0" w:color="000000"/>
              <w:left w:val="double" w:sz="4" w:space="0" w:color="auto"/>
              <w:bottom w:val="single" w:sz="4" w:space="0" w:color="000000"/>
              <w:right w:val="single" w:sz="4" w:space="0" w:color="000000"/>
            </w:tcBorders>
          </w:tcPr>
          <w:p w14:paraId="6D7D8FF6"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47 (37)</w:t>
            </w:r>
          </w:p>
        </w:tc>
        <w:tc>
          <w:tcPr>
            <w:tcW w:w="1843" w:type="dxa"/>
            <w:tcBorders>
              <w:top w:val="single" w:sz="4" w:space="0" w:color="000000"/>
              <w:left w:val="single" w:sz="4" w:space="0" w:color="000000"/>
              <w:bottom w:val="single" w:sz="4" w:space="0" w:color="000000"/>
              <w:right w:val="double" w:sz="4" w:space="0" w:color="auto"/>
            </w:tcBorders>
          </w:tcPr>
          <w:p w14:paraId="0508C81B"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51 (36)</w:t>
            </w:r>
          </w:p>
        </w:tc>
        <w:tc>
          <w:tcPr>
            <w:tcW w:w="1417" w:type="dxa"/>
            <w:tcBorders>
              <w:top w:val="single" w:sz="4" w:space="0" w:color="000000"/>
              <w:left w:val="double" w:sz="4" w:space="0" w:color="auto"/>
              <w:bottom w:val="single" w:sz="4" w:space="0" w:color="000000"/>
              <w:right w:val="single" w:sz="4" w:space="0" w:color="000000"/>
            </w:tcBorders>
          </w:tcPr>
          <w:p w14:paraId="3CF1717A"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39 (30)</w:t>
            </w:r>
          </w:p>
        </w:tc>
        <w:tc>
          <w:tcPr>
            <w:tcW w:w="1650" w:type="dxa"/>
            <w:tcBorders>
              <w:top w:val="nil"/>
              <w:left w:val="single" w:sz="4" w:space="0" w:color="000000"/>
              <w:bottom w:val="single" w:sz="4" w:space="0" w:color="000000"/>
              <w:right w:val="single" w:sz="4" w:space="0" w:color="000000"/>
            </w:tcBorders>
          </w:tcPr>
          <w:p w14:paraId="159B1B9B"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38 (29)</w:t>
            </w:r>
          </w:p>
        </w:tc>
      </w:tr>
      <w:tr w:rsidR="00E501A3" w:rsidRPr="00D124A7" w14:paraId="13502016"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6D4AE39A"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2</w:t>
            </w:r>
          </w:p>
        </w:tc>
        <w:tc>
          <w:tcPr>
            <w:tcW w:w="1417" w:type="dxa"/>
            <w:tcBorders>
              <w:top w:val="single" w:sz="4" w:space="0" w:color="000000"/>
              <w:left w:val="double" w:sz="4" w:space="0" w:color="auto"/>
              <w:bottom w:val="single" w:sz="4" w:space="0" w:color="000000"/>
              <w:right w:val="single" w:sz="4" w:space="0" w:color="000000"/>
            </w:tcBorders>
          </w:tcPr>
          <w:p w14:paraId="6D0A6A7A" w14:textId="77777777" w:rsidR="00E501A3" w:rsidRPr="004229B4" w:rsidRDefault="00E501A3">
            <w:pPr>
              <w:kinsoku w:val="0"/>
              <w:overflowPunct w:val="0"/>
              <w:autoSpaceDE w:val="0"/>
              <w:autoSpaceDN w:val="0"/>
              <w:adjustRightInd w:val="0"/>
              <w:spacing w:after="0" w:line="210" w:lineRule="exact"/>
              <w:ind w:left="5" w:right="4"/>
              <w:jc w:val="center"/>
              <w:rPr>
                <w:rFonts w:ascii="Calibri" w:hAnsi="Calibri" w:cs="Calibri"/>
                <w:sz w:val="20"/>
              </w:rPr>
            </w:pPr>
            <w:r w:rsidRPr="004229B4">
              <w:rPr>
                <w:rFonts w:ascii="Calibri" w:hAnsi="Calibri" w:cs="Calibri"/>
                <w:sz w:val="20"/>
              </w:rPr>
              <w:t>13 (10)</w:t>
            </w:r>
          </w:p>
        </w:tc>
        <w:tc>
          <w:tcPr>
            <w:tcW w:w="1843" w:type="dxa"/>
            <w:tcBorders>
              <w:top w:val="single" w:sz="4" w:space="0" w:color="000000"/>
              <w:left w:val="single" w:sz="4" w:space="0" w:color="000000"/>
              <w:bottom w:val="single" w:sz="4" w:space="0" w:color="000000"/>
              <w:right w:val="double" w:sz="4" w:space="0" w:color="auto"/>
            </w:tcBorders>
          </w:tcPr>
          <w:p w14:paraId="43A3BAF0"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20 (14)</w:t>
            </w:r>
          </w:p>
        </w:tc>
        <w:tc>
          <w:tcPr>
            <w:tcW w:w="1417" w:type="dxa"/>
            <w:tcBorders>
              <w:top w:val="single" w:sz="4" w:space="0" w:color="000000"/>
              <w:left w:val="double" w:sz="4" w:space="0" w:color="auto"/>
              <w:bottom w:val="single" w:sz="4" w:space="0" w:color="000000"/>
              <w:right w:val="single" w:sz="4" w:space="0" w:color="000000"/>
            </w:tcBorders>
          </w:tcPr>
          <w:p w14:paraId="7B476353"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20 (16)</w:t>
            </w:r>
          </w:p>
        </w:tc>
        <w:tc>
          <w:tcPr>
            <w:tcW w:w="1650" w:type="dxa"/>
            <w:tcBorders>
              <w:top w:val="nil"/>
              <w:left w:val="single" w:sz="4" w:space="0" w:color="000000"/>
              <w:bottom w:val="single" w:sz="4" w:space="0" w:color="000000"/>
              <w:right w:val="single" w:sz="4" w:space="0" w:color="000000"/>
            </w:tcBorders>
          </w:tcPr>
          <w:p w14:paraId="7CBA54B2"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21 (16)</w:t>
            </w:r>
          </w:p>
        </w:tc>
      </w:tr>
      <w:tr w:rsidR="00E501A3" w:rsidRPr="00D124A7" w14:paraId="1B62C688"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03EBA35E"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3</w:t>
            </w:r>
          </w:p>
        </w:tc>
        <w:tc>
          <w:tcPr>
            <w:tcW w:w="1417" w:type="dxa"/>
            <w:tcBorders>
              <w:top w:val="single" w:sz="4" w:space="0" w:color="000000"/>
              <w:left w:val="double" w:sz="4" w:space="0" w:color="auto"/>
              <w:bottom w:val="single" w:sz="4" w:space="0" w:color="000000"/>
              <w:right w:val="single" w:sz="4" w:space="0" w:color="000000"/>
            </w:tcBorders>
          </w:tcPr>
          <w:p w14:paraId="01E7098B"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11 (9)</w:t>
            </w:r>
          </w:p>
        </w:tc>
        <w:tc>
          <w:tcPr>
            <w:tcW w:w="1843" w:type="dxa"/>
            <w:tcBorders>
              <w:top w:val="single" w:sz="4" w:space="0" w:color="000000"/>
              <w:left w:val="single" w:sz="4" w:space="0" w:color="000000"/>
              <w:bottom w:val="single" w:sz="4" w:space="0" w:color="000000"/>
              <w:right w:val="double" w:sz="4" w:space="0" w:color="auto"/>
            </w:tcBorders>
          </w:tcPr>
          <w:p w14:paraId="1765DC69"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 (8)</w:t>
            </w:r>
          </w:p>
        </w:tc>
        <w:tc>
          <w:tcPr>
            <w:tcW w:w="1417" w:type="dxa"/>
            <w:tcBorders>
              <w:top w:val="single" w:sz="4" w:space="0" w:color="000000"/>
              <w:left w:val="double" w:sz="4" w:space="0" w:color="auto"/>
              <w:bottom w:val="single" w:sz="4" w:space="0" w:color="000000"/>
              <w:right w:val="single" w:sz="4" w:space="0" w:color="000000"/>
            </w:tcBorders>
          </w:tcPr>
          <w:p w14:paraId="39C5637E"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13 (10)</w:t>
            </w:r>
          </w:p>
        </w:tc>
        <w:tc>
          <w:tcPr>
            <w:tcW w:w="1650" w:type="dxa"/>
            <w:tcBorders>
              <w:top w:val="nil"/>
              <w:left w:val="single" w:sz="4" w:space="0" w:color="000000"/>
              <w:bottom w:val="single" w:sz="4" w:space="0" w:color="000000"/>
              <w:right w:val="single" w:sz="4" w:space="0" w:color="000000"/>
            </w:tcBorders>
          </w:tcPr>
          <w:p w14:paraId="64869DDB"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13 (10)</w:t>
            </w:r>
          </w:p>
        </w:tc>
      </w:tr>
      <w:tr w:rsidR="00E501A3" w:rsidRPr="00D124A7" w14:paraId="65A52B95" w14:textId="77777777" w:rsidTr="00A327F8">
        <w:trPr>
          <w:trHeight w:val="227"/>
        </w:trPr>
        <w:tc>
          <w:tcPr>
            <w:tcW w:w="2694" w:type="dxa"/>
            <w:tcBorders>
              <w:top w:val="single" w:sz="4" w:space="0" w:color="000000"/>
              <w:left w:val="single" w:sz="4" w:space="0" w:color="000000"/>
              <w:bottom w:val="single" w:sz="4" w:space="0" w:color="000000"/>
              <w:right w:val="double" w:sz="4" w:space="0" w:color="auto"/>
            </w:tcBorders>
          </w:tcPr>
          <w:p w14:paraId="37671F6E" w14:textId="77777777" w:rsidR="00E501A3" w:rsidRPr="004229B4" w:rsidRDefault="00E501A3" w:rsidP="00A327F8">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4</w:t>
            </w:r>
          </w:p>
        </w:tc>
        <w:tc>
          <w:tcPr>
            <w:tcW w:w="1417" w:type="dxa"/>
            <w:tcBorders>
              <w:top w:val="single" w:sz="4" w:space="0" w:color="000000"/>
              <w:left w:val="double" w:sz="4" w:space="0" w:color="auto"/>
              <w:bottom w:val="single" w:sz="4" w:space="0" w:color="000000"/>
              <w:right w:val="single" w:sz="4" w:space="0" w:color="000000"/>
            </w:tcBorders>
          </w:tcPr>
          <w:p w14:paraId="0A2D9881" w14:textId="77777777" w:rsidR="00E501A3" w:rsidRPr="004229B4" w:rsidRDefault="00E501A3">
            <w:pPr>
              <w:kinsoku w:val="0"/>
              <w:overflowPunct w:val="0"/>
              <w:autoSpaceDE w:val="0"/>
              <w:autoSpaceDN w:val="0"/>
              <w:adjustRightInd w:val="0"/>
              <w:spacing w:after="0" w:line="208" w:lineRule="exact"/>
              <w:ind w:left="5" w:right="4"/>
              <w:jc w:val="center"/>
              <w:rPr>
                <w:rFonts w:ascii="Calibri" w:hAnsi="Calibri" w:cs="Calibri"/>
                <w:sz w:val="20"/>
              </w:rPr>
            </w:pPr>
            <w:r w:rsidRPr="004229B4">
              <w:rPr>
                <w:rFonts w:ascii="Calibri" w:hAnsi="Calibri" w:cs="Calibri"/>
                <w:sz w:val="20"/>
              </w:rPr>
              <w:t>6 (5)</w:t>
            </w:r>
          </w:p>
        </w:tc>
        <w:tc>
          <w:tcPr>
            <w:tcW w:w="1843" w:type="dxa"/>
            <w:tcBorders>
              <w:top w:val="single" w:sz="4" w:space="0" w:color="000000"/>
              <w:left w:val="single" w:sz="4" w:space="0" w:color="000000"/>
              <w:bottom w:val="single" w:sz="4" w:space="0" w:color="000000"/>
              <w:right w:val="double" w:sz="4" w:space="0" w:color="auto"/>
            </w:tcBorders>
          </w:tcPr>
          <w:p w14:paraId="124042AA"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2 (1)</w:t>
            </w:r>
          </w:p>
        </w:tc>
        <w:tc>
          <w:tcPr>
            <w:tcW w:w="1417" w:type="dxa"/>
            <w:tcBorders>
              <w:top w:val="single" w:sz="4" w:space="0" w:color="000000"/>
              <w:left w:val="double" w:sz="4" w:space="0" w:color="auto"/>
              <w:bottom w:val="single" w:sz="4" w:space="0" w:color="000000"/>
              <w:right w:val="single" w:sz="4" w:space="0" w:color="000000"/>
            </w:tcBorders>
          </w:tcPr>
          <w:p w14:paraId="464A3745"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 (&lt;1)</w:t>
            </w:r>
          </w:p>
        </w:tc>
        <w:tc>
          <w:tcPr>
            <w:tcW w:w="1650" w:type="dxa"/>
            <w:tcBorders>
              <w:top w:val="nil"/>
              <w:left w:val="single" w:sz="4" w:space="0" w:color="000000"/>
              <w:bottom w:val="single" w:sz="4" w:space="0" w:color="000000"/>
              <w:right w:val="single" w:sz="4" w:space="0" w:color="000000"/>
            </w:tcBorders>
          </w:tcPr>
          <w:p w14:paraId="28371ECB"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8 (6)</w:t>
            </w:r>
          </w:p>
        </w:tc>
      </w:tr>
      <w:tr w:rsidR="00E501A3" w:rsidRPr="00D124A7" w14:paraId="794C29E4"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0C85EB2B"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5</w:t>
            </w:r>
          </w:p>
        </w:tc>
        <w:tc>
          <w:tcPr>
            <w:tcW w:w="1417" w:type="dxa"/>
            <w:tcBorders>
              <w:top w:val="single" w:sz="4" w:space="0" w:color="000000"/>
              <w:left w:val="double" w:sz="4" w:space="0" w:color="auto"/>
              <w:bottom w:val="single" w:sz="4" w:space="0" w:color="000000"/>
              <w:right w:val="single" w:sz="4" w:space="0" w:color="000000"/>
            </w:tcBorders>
          </w:tcPr>
          <w:p w14:paraId="089B83A7" w14:textId="77777777" w:rsidR="00E501A3" w:rsidRPr="004229B4" w:rsidRDefault="00E501A3">
            <w:pPr>
              <w:kinsoku w:val="0"/>
              <w:overflowPunct w:val="0"/>
              <w:autoSpaceDE w:val="0"/>
              <w:autoSpaceDN w:val="0"/>
              <w:adjustRightInd w:val="0"/>
              <w:spacing w:after="0" w:line="210" w:lineRule="exact"/>
              <w:ind w:left="5" w:right="4"/>
              <w:jc w:val="center"/>
              <w:rPr>
                <w:rFonts w:ascii="Calibri" w:hAnsi="Calibri" w:cs="Calibri"/>
                <w:sz w:val="20"/>
              </w:rPr>
            </w:pPr>
            <w:r w:rsidRPr="004229B4">
              <w:rPr>
                <w:rFonts w:ascii="Calibri" w:hAnsi="Calibri" w:cs="Calibri"/>
                <w:sz w:val="20"/>
              </w:rPr>
              <w:t>3 (2)</w:t>
            </w:r>
          </w:p>
        </w:tc>
        <w:tc>
          <w:tcPr>
            <w:tcW w:w="1843" w:type="dxa"/>
            <w:tcBorders>
              <w:top w:val="single" w:sz="4" w:space="0" w:color="000000"/>
              <w:left w:val="single" w:sz="4" w:space="0" w:color="000000"/>
              <w:bottom w:val="single" w:sz="4" w:space="0" w:color="000000"/>
              <w:right w:val="double" w:sz="4" w:space="0" w:color="auto"/>
            </w:tcBorders>
          </w:tcPr>
          <w:p w14:paraId="51164587"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2 (1)</w:t>
            </w:r>
          </w:p>
        </w:tc>
        <w:tc>
          <w:tcPr>
            <w:tcW w:w="1417" w:type="dxa"/>
            <w:tcBorders>
              <w:top w:val="single" w:sz="4" w:space="0" w:color="000000"/>
              <w:left w:val="double" w:sz="4" w:space="0" w:color="auto"/>
              <w:bottom w:val="single" w:sz="4" w:space="0" w:color="000000"/>
              <w:right w:val="single" w:sz="4" w:space="0" w:color="000000"/>
            </w:tcBorders>
          </w:tcPr>
          <w:p w14:paraId="5E763E28"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 (&lt;1)</w:t>
            </w:r>
          </w:p>
        </w:tc>
        <w:tc>
          <w:tcPr>
            <w:tcW w:w="1650" w:type="dxa"/>
            <w:tcBorders>
              <w:top w:val="nil"/>
              <w:left w:val="single" w:sz="4" w:space="0" w:color="000000"/>
              <w:bottom w:val="single" w:sz="4" w:space="0" w:color="000000"/>
              <w:right w:val="single" w:sz="4" w:space="0" w:color="000000"/>
            </w:tcBorders>
          </w:tcPr>
          <w:p w14:paraId="793B76DE"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2 (2)</w:t>
            </w:r>
          </w:p>
        </w:tc>
      </w:tr>
      <w:tr w:rsidR="00E501A3" w:rsidRPr="00D124A7" w14:paraId="37C78888"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79F00AC8"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&gt;5</w:t>
            </w:r>
          </w:p>
        </w:tc>
        <w:tc>
          <w:tcPr>
            <w:tcW w:w="1417" w:type="dxa"/>
            <w:tcBorders>
              <w:top w:val="single" w:sz="4" w:space="0" w:color="000000"/>
              <w:left w:val="double" w:sz="4" w:space="0" w:color="auto"/>
              <w:bottom w:val="single" w:sz="4" w:space="0" w:color="000000"/>
              <w:right w:val="single" w:sz="4" w:space="0" w:color="000000"/>
            </w:tcBorders>
          </w:tcPr>
          <w:p w14:paraId="08DA9DB6" w14:textId="77777777" w:rsidR="00E501A3" w:rsidRPr="004229B4" w:rsidRDefault="00E501A3">
            <w:pPr>
              <w:kinsoku w:val="0"/>
              <w:overflowPunct w:val="0"/>
              <w:autoSpaceDE w:val="0"/>
              <w:autoSpaceDN w:val="0"/>
              <w:adjustRightInd w:val="0"/>
              <w:spacing w:after="0" w:line="210" w:lineRule="exact"/>
              <w:ind w:left="5"/>
              <w:jc w:val="center"/>
              <w:rPr>
                <w:rFonts w:ascii="Calibri" w:hAnsi="Calibri" w:cs="Calibri"/>
                <w:sz w:val="20"/>
              </w:rPr>
            </w:pPr>
            <w:r w:rsidRPr="004229B4">
              <w:rPr>
                <w:rFonts w:ascii="Calibri" w:hAnsi="Calibri" w:cs="Calibri"/>
                <w:sz w:val="20"/>
              </w:rPr>
              <w:t>1 (&lt;1)</w:t>
            </w:r>
          </w:p>
        </w:tc>
        <w:tc>
          <w:tcPr>
            <w:tcW w:w="1843" w:type="dxa"/>
            <w:tcBorders>
              <w:top w:val="single" w:sz="4" w:space="0" w:color="000000"/>
              <w:left w:val="single" w:sz="4" w:space="0" w:color="000000"/>
              <w:bottom w:val="single" w:sz="4" w:space="0" w:color="000000"/>
              <w:right w:val="double" w:sz="4" w:space="0" w:color="auto"/>
            </w:tcBorders>
          </w:tcPr>
          <w:p w14:paraId="45E0F6C1"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3 (2)</w:t>
            </w:r>
          </w:p>
        </w:tc>
        <w:tc>
          <w:tcPr>
            <w:tcW w:w="1417" w:type="dxa"/>
            <w:tcBorders>
              <w:top w:val="single" w:sz="4" w:space="0" w:color="000000"/>
              <w:left w:val="double" w:sz="4" w:space="0" w:color="auto"/>
              <w:bottom w:val="single" w:sz="4" w:space="0" w:color="000000"/>
              <w:right w:val="single" w:sz="4" w:space="0" w:color="000000"/>
            </w:tcBorders>
          </w:tcPr>
          <w:p w14:paraId="62672753"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5 (4)</w:t>
            </w:r>
          </w:p>
        </w:tc>
        <w:tc>
          <w:tcPr>
            <w:tcW w:w="1650" w:type="dxa"/>
            <w:tcBorders>
              <w:top w:val="nil"/>
              <w:left w:val="single" w:sz="4" w:space="0" w:color="000000"/>
              <w:bottom w:val="single" w:sz="4" w:space="0" w:color="000000"/>
              <w:right w:val="single" w:sz="4" w:space="0" w:color="000000"/>
            </w:tcBorders>
          </w:tcPr>
          <w:p w14:paraId="2A5C737F"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 (&lt;1)</w:t>
            </w:r>
          </w:p>
        </w:tc>
      </w:tr>
      <w:tr w:rsidR="00E501A3" w:rsidRPr="00D124A7" w14:paraId="78C5B081" w14:textId="77777777">
        <w:trPr>
          <w:trHeight w:val="230"/>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7CCDA87D" w14:textId="77777777" w:rsidR="00E501A3" w:rsidRPr="004229B4" w:rsidRDefault="00E501A3" w:rsidP="00A327F8">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Most recent nasal surgery procedure, n (%)</w:t>
            </w:r>
          </w:p>
        </w:tc>
      </w:tr>
      <w:tr w:rsidR="00E501A3" w:rsidRPr="00D124A7" w14:paraId="4F9930ED" w14:textId="77777777" w:rsidTr="00A327F8">
        <w:trPr>
          <w:trHeight w:val="227"/>
        </w:trPr>
        <w:tc>
          <w:tcPr>
            <w:tcW w:w="2694" w:type="dxa"/>
            <w:tcBorders>
              <w:top w:val="single" w:sz="4" w:space="0" w:color="000000"/>
              <w:left w:val="single" w:sz="4" w:space="0" w:color="000000"/>
              <w:bottom w:val="single" w:sz="4" w:space="0" w:color="000000"/>
              <w:right w:val="double" w:sz="4" w:space="0" w:color="auto"/>
            </w:tcBorders>
          </w:tcPr>
          <w:p w14:paraId="531130AF" w14:textId="77777777" w:rsidR="00E501A3" w:rsidRPr="004229B4" w:rsidRDefault="00E501A3" w:rsidP="00A327F8">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55859219"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6"/>
                <w:sz w:val="20"/>
              </w:rPr>
            </w:pPr>
            <w:r w:rsidRPr="004229B4">
              <w:rPr>
                <w:rFonts w:ascii="Calibri" w:hAnsi="Calibri" w:cs="Calibri"/>
                <w:spacing w:val="-6"/>
                <w:sz w:val="20"/>
              </w:rPr>
              <w:t>81</w:t>
            </w:r>
          </w:p>
        </w:tc>
        <w:tc>
          <w:tcPr>
            <w:tcW w:w="1843" w:type="dxa"/>
            <w:tcBorders>
              <w:top w:val="single" w:sz="4" w:space="0" w:color="000000"/>
              <w:left w:val="single" w:sz="4" w:space="0" w:color="000000"/>
              <w:bottom w:val="single" w:sz="4" w:space="0" w:color="000000"/>
              <w:right w:val="double" w:sz="4" w:space="0" w:color="auto"/>
            </w:tcBorders>
          </w:tcPr>
          <w:p w14:paraId="0042B1D6"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90</w:t>
            </w:r>
          </w:p>
        </w:tc>
        <w:tc>
          <w:tcPr>
            <w:tcW w:w="1417" w:type="dxa"/>
            <w:tcBorders>
              <w:top w:val="single" w:sz="4" w:space="0" w:color="000000"/>
              <w:left w:val="double" w:sz="4" w:space="0" w:color="auto"/>
              <w:bottom w:val="single" w:sz="4" w:space="0" w:color="000000"/>
              <w:right w:val="single" w:sz="4" w:space="0" w:color="000000"/>
            </w:tcBorders>
          </w:tcPr>
          <w:p w14:paraId="19AD0FAC"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79</w:t>
            </w:r>
          </w:p>
        </w:tc>
        <w:tc>
          <w:tcPr>
            <w:tcW w:w="1650" w:type="dxa"/>
            <w:tcBorders>
              <w:top w:val="single" w:sz="4" w:space="0" w:color="000000"/>
              <w:left w:val="single" w:sz="4" w:space="0" w:color="000000"/>
              <w:bottom w:val="single" w:sz="4" w:space="0" w:color="000000"/>
              <w:right w:val="single" w:sz="4" w:space="0" w:color="000000"/>
            </w:tcBorders>
          </w:tcPr>
          <w:p w14:paraId="1F3F046B"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83</w:t>
            </w:r>
          </w:p>
        </w:tc>
      </w:tr>
      <w:tr w:rsidR="00E501A3" w:rsidRPr="00D124A7" w14:paraId="7F4872DB"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42F6DF05" w14:textId="77777777" w:rsidR="00E501A3" w:rsidRPr="004229B4" w:rsidRDefault="00E501A3" w:rsidP="00A327F8">
            <w:pPr>
              <w:kinsoku w:val="0"/>
              <w:overflowPunct w:val="0"/>
              <w:autoSpaceDE w:val="0"/>
              <w:autoSpaceDN w:val="0"/>
              <w:adjustRightInd w:val="0"/>
              <w:spacing w:after="0" w:line="210" w:lineRule="exact"/>
              <w:rPr>
                <w:rFonts w:ascii="Calibri" w:hAnsi="Calibri" w:cs="Calibri"/>
                <w:sz w:val="20"/>
              </w:rPr>
            </w:pPr>
            <w:r w:rsidRPr="004229B4">
              <w:rPr>
                <w:rFonts w:ascii="Calibri" w:hAnsi="Calibri" w:cs="Calibri"/>
                <w:sz w:val="20"/>
              </w:rPr>
              <w:t>Nasal polypectomy with functional ESS</w:t>
            </w:r>
          </w:p>
        </w:tc>
        <w:tc>
          <w:tcPr>
            <w:tcW w:w="1417" w:type="dxa"/>
            <w:tcBorders>
              <w:top w:val="single" w:sz="4" w:space="0" w:color="000000"/>
              <w:left w:val="double" w:sz="4" w:space="0" w:color="auto"/>
              <w:bottom w:val="single" w:sz="4" w:space="0" w:color="000000"/>
              <w:right w:val="single" w:sz="4" w:space="0" w:color="000000"/>
            </w:tcBorders>
          </w:tcPr>
          <w:p w14:paraId="13D6A460"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53 (65)</w:t>
            </w:r>
          </w:p>
        </w:tc>
        <w:tc>
          <w:tcPr>
            <w:tcW w:w="1843" w:type="dxa"/>
            <w:tcBorders>
              <w:top w:val="single" w:sz="4" w:space="0" w:color="000000"/>
              <w:left w:val="single" w:sz="4" w:space="0" w:color="000000"/>
              <w:bottom w:val="single" w:sz="4" w:space="0" w:color="000000"/>
              <w:right w:val="double" w:sz="4" w:space="0" w:color="auto"/>
            </w:tcBorders>
          </w:tcPr>
          <w:p w14:paraId="2C6CBD62"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53 (59)</w:t>
            </w:r>
          </w:p>
        </w:tc>
        <w:tc>
          <w:tcPr>
            <w:tcW w:w="1417" w:type="dxa"/>
            <w:tcBorders>
              <w:top w:val="single" w:sz="4" w:space="0" w:color="000000"/>
              <w:left w:val="double" w:sz="4" w:space="0" w:color="auto"/>
              <w:bottom w:val="single" w:sz="4" w:space="0" w:color="000000"/>
              <w:right w:val="single" w:sz="4" w:space="0" w:color="000000"/>
            </w:tcBorders>
          </w:tcPr>
          <w:p w14:paraId="62AA2F84"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50 (63)</w:t>
            </w:r>
          </w:p>
        </w:tc>
        <w:tc>
          <w:tcPr>
            <w:tcW w:w="1650" w:type="dxa"/>
            <w:tcBorders>
              <w:top w:val="nil"/>
              <w:left w:val="single" w:sz="4" w:space="0" w:color="000000"/>
              <w:bottom w:val="single" w:sz="4" w:space="0" w:color="000000"/>
              <w:right w:val="single" w:sz="4" w:space="0" w:color="000000"/>
            </w:tcBorders>
          </w:tcPr>
          <w:p w14:paraId="35EDCFC4"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52 (63)</w:t>
            </w:r>
          </w:p>
        </w:tc>
      </w:tr>
      <w:tr w:rsidR="00E501A3" w:rsidRPr="00D124A7" w14:paraId="1E66AABF" w14:textId="77777777" w:rsidTr="00A327F8">
        <w:trPr>
          <w:trHeight w:val="460"/>
        </w:trPr>
        <w:tc>
          <w:tcPr>
            <w:tcW w:w="2694" w:type="dxa"/>
            <w:tcBorders>
              <w:top w:val="single" w:sz="4" w:space="0" w:color="000000"/>
              <w:left w:val="single" w:sz="4" w:space="0" w:color="000000"/>
              <w:bottom w:val="single" w:sz="4" w:space="0" w:color="000000"/>
              <w:right w:val="double" w:sz="4" w:space="0" w:color="auto"/>
            </w:tcBorders>
          </w:tcPr>
          <w:p w14:paraId="196B47E7" w14:textId="77777777" w:rsidR="00E501A3" w:rsidRPr="004229B4" w:rsidRDefault="00E501A3" w:rsidP="00A327F8">
            <w:pPr>
              <w:kinsoku w:val="0"/>
              <w:overflowPunct w:val="0"/>
              <w:autoSpaceDE w:val="0"/>
              <w:autoSpaceDN w:val="0"/>
              <w:adjustRightInd w:val="0"/>
              <w:spacing w:after="0" w:line="230" w:lineRule="exact"/>
              <w:ind w:right="114"/>
              <w:rPr>
                <w:rFonts w:ascii="Calibri" w:hAnsi="Calibri" w:cs="Calibri"/>
                <w:spacing w:val="-4"/>
                <w:sz w:val="20"/>
              </w:rPr>
            </w:pPr>
            <w:r w:rsidRPr="004229B4">
              <w:rPr>
                <w:rFonts w:ascii="Calibri" w:hAnsi="Calibri" w:cs="Calibri"/>
                <w:sz w:val="20"/>
              </w:rPr>
              <w:t>Nasal</w:t>
            </w:r>
            <w:r w:rsidRPr="004229B4">
              <w:rPr>
                <w:rFonts w:ascii="Calibri" w:hAnsi="Calibri" w:cs="Calibri"/>
                <w:spacing w:val="-8"/>
                <w:sz w:val="20"/>
              </w:rPr>
              <w:t xml:space="preserve"> </w:t>
            </w:r>
            <w:r w:rsidRPr="004229B4">
              <w:rPr>
                <w:rFonts w:ascii="Calibri" w:hAnsi="Calibri" w:cs="Calibri"/>
                <w:sz w:val="20"/>
              </w:rPr>
              <w:t>polypectomy</w:t>
            </w:r>
            <w:r w:rsidRPr="004229B4">
              <w:rPr>
                <w:rFonts w:ascii="Calibri" w:hAnsi="Calibri" w:cs="Calibri"/>
                <w:spacing w:val="-9"/>
                <w:sz w:val="20"/>
              </w:rPr>
              <w:t xml:space="preserve"> </w:t>
            </w:r>
            <w:r w:rsidRPr="004229B4">
              <w:rPr>
                <w:rFonts w:ascii="Calibri" w:hAnsi="Calibri" w:cs="Calibri"/>
                <w:sz w:val="20"/>
              </w:rPr>
              <w:t>(simple</w:t>
            </w:r>
            <w:r w:rsidRPr="004229B4">
              <w:rPr>
                <w:rFonts w:ascii="Calibri" w:hAnsi="Calibri" w:cs="Calibri"/>
                <w:spacing w:val="-9"/>
                <w:sz w:val="20"/>
              </w:rPr>
              <w:t xml:space="preserve"> </w:t>
            </w:r>
            <w:r w:rsidRPr="004229B4">
              <w:rPr>
                <w:rFonts w:ascii="Calibri" w:hAnsi="Calibri" w:cs="Calibri"/>
                <w:sz w:val="20"/>
              </w:rPr>
              <w:t>with</w:t>
            </w:r>
            <w:r w:rsidRPr="004229B4">
              <w:rPr>
                <w:rFonts w:ascii="Calibri" w:hAnsi="Calibri" w:cs="Calibri"/>
                <w:spacing w:val="-9"/>
                <w:sz w:val="20"/>
              </w:rPr>
              <w:t xml:space="preserve"> </w:t>
            </w:r>
            <w:r w:rsidRPr="004229B4">
              <w:rPr>
                <w:rFonts w:ascii="Calibri" w:hAnsi="Calibri" w:cs="Calibri"/>
                <w:sz w:val="20"/>
              </w:rPr>
              <w:t>no</w:t>
            </w:r>
            <w:r w:rsidRPr="004229B4">
              <w:rPr>
                <w:rFonts w:ascii="Calibri" w:hAnsi="Calibri" w:cs="Calibri"/>
                <w:spacing w:val="-9"/>
                <w:sz w:val="20"/>
              </w:rPr>
              <w:t xml:space="preserve"> </w:t>
            </w:r>
            <w:r w:rsidRPr="004229B4">
              <w:rPr>
                <w:rFonts w:ascii="Calibri" w:hAnsi="Calibri" w:cs="Calibri"/>
                <w:sz w:val="20"/>
              </w:rPr>
              <w:t xml:space="preserve">functional </w:t>
            </w:r>
            <w:r w:rsidRPr="004229B4">
              <w:rPr>
                <w:rFonts w:ascii="Calibri" w:hAnsi="Calibri" w:cs="Calibri"/>
                <w:spacing w:val="-4"/>
                <w:sz w:val="20"/>
              </w:rPr>
              <w:t>ESS)</w:t>
            </w:r>
          </w:p>
        </w:tc>
        <w:tc>
          <w:tcPr>
            <w:tcW w:w="1417" w:type="dxa"/>
            <w:tcBorders>
              <w:top w:val="single" w:sz="4" w:space="0" w:color="000000"/>
              <w:left w:val="double" w:sz="4" w:space="0" w:color="auto"/>
              <w:bottom w:val="single" w:sz="4" w:space="0" w:color="000000"/>
              <w:right w:val="single" w:sz="4" w:space="0" w:color="000000"/>
            </w:tcBorders>
          </w:tcPr>
          <w:p w14:paraId="43B224A3" w14:textId="77777777" w:rsidR="00E501A3" w:rsidRPr="004229B4" w:rsidRDefault="00E501A3">
            <w:pPr>
              <w:kinsoku w:val="0"/>
              <w:overflowPunct w:val="0"/>
              <w:autoSpaceDE w:val="0"/>
              <w:autoSpaceDN w:val="0"/>
              <w:adjustRightInd w:val="0"/>
              <w:spacing w:after="0" w:line="229" w:lineRule="exact"/>
              <w:ind w:left="5" w:right="5"/>
              <w:jc w:val="center"/>
              <w:rPr>
                <w:rFonts w:ascii="Calibri" w:hAnsi="Calibri" w:cs="Calibri"/>
                <w:sz w:val="20"/>
              </w:rPr>
            </w:pPr>
            <w:r w:rsidRPr="004229B4">
              <w:rPr>
                <w:rFonts w:ascii="Calibri" w:hAnsi="Calibri" w:cs="Calibri"/>
                <w:sz w:val="20"/>
              </w:rPr>
              <w:t>16 (20)</w:t>
            </w:r>
          </w:p>
        </w:tc>
        <w:tc>
          <w:tcPr>
            <w:tcW w:w="1843" w:type="dxa"/>
            <w:tcBorders>
              <w:top w:val="single" w:sz="4" w:space="0" w:color="000000"/>
              <w:left w:val="single" w:sz="4" w:space="0" w:color="000000"/>
              <w:bottom w:val="single" w:sz="4" w:space="0" w:color="000000"/>
              <w:right w:val="double" w:sz="4" w:space="0" w:color="auto"/>
            </w:tcBorders>
          </w:tcPr>
          <w:p w14:paraId="24345224" w14:textId="77777777" w:rsidR="00E501A3" w:rsidRPr="004229B4" w:rsidRDefault="00E501A3">
            <w:pPr>
              <w:kinsoku w:val="0"/>
              <w:overflowPunct w:val="0"/>
              <w:autoSpaceDE w:val="0"/>
              <w:autoSpaceDN w:val="0"/>
              <w:adjustRightInd w:val="0"/>
              <w:spacing w:after="0" w:line="229" w:lineRule="exact"/>
              <w:ind w:left="79" w:right="70"/>
              <w:jc w:val="center"/>
              <w:rPr>
                <w:rFonts w:ascii="Calibri" w:hAnsi="Calibri" w:cs="Calibri"/>
                <w:sz w:val="20"/>
              </w:rPr>
            </w:pPr>
            <w:r w:rsidRPr="004229B4">
              <w:rPr>
                <w:rFonts w:ascii="Calibri" w:hAnsi="Calibri" w:cs="Calibri"/>
                <w:sz w:val="20"/>
              </w:rPr>
              <w:t>17 (19)</w:t>
            </w:r>
          </w:p>
        </w:tc>
        <w:tc>
          <w:tcPr>
            <w:tcW w:w="1417" w:type="dxa"/>
            <w:tcBorders>
              <w:top w:val="single" w:sz="4" w:space="0" w:color="000000"/>
              <w:left w:val="double" w:sz="4" w:space="0" w:color="auto"/>
              <w:bottom w:val="single" w:sz="4" w:space="0" w:color="000000"/>
              <w:right w:val="single" w:sz="4" w:space="0" w:color="000000"/>
            </w:tcBorders>
          </w:tcPr>
          <w:p w14:paraId="063FE927"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17 (22)</w:t>
            </w:r>
          </w:p>
        </w:tc>
        <w:tc>
          <w:tcPr>
            <w:tcW w:w="1650" w:type="dxa"/>
            <w:tcBorders>
              <w:top w:val="nil"/>
              <w:left w:val="single" w:sz="4" w:space="0" w:color="000000"/>
              <w:bottom w:val="single" w:sz="4" w:space="0" w:color="000000"/>
              <w:right w:val="single" w:sz="4" w:space="0" w:color="000000"/>
            </w:tcBorders>
          </w:tcPr>
          <w:p w14:paraId="5CE027E0"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22 (27)</w:t>
            </w:r>
          </w:p>
        </w:tc>
      </w:tr>
      <w:tr w:rsidR="00E501A3" w:rsidRPr="00D124A7" w14:paraId="18AFEDD0" w14:textId="77777777" w:rsidTr="00A327F8">
        <w:trPr>
          <w:trHeight w:val="458"/>
        </w:trPr>
        <w:tc>
          <w:tcPr>
            <w:tcW w:w="2694" w:type="dxa"/>
            <w:tcBorders>
              <w:top w:val="single" w:sz="4" w:space="0" w:color="000000"/>
              <w:left w:val="single" w:sz="4" w:space="0" w:color="000000"/>
              <w:bottom w:val="single" w:sz="4" w:space="0" w:color="000000"/>
              <w:right w:val="double" w:sz="4" w:space="0" w:color="auto"/>
            </w:tcBorders>
          </w:tcPr>
          <w:p w14:paraId="63B12A37" w14:textId="77777777" w:rsidR="00E501A3" w:rsidRPr="004229B4" w:rsidRDefault="00E501A3" w:rsidP="00A327F8">
            <w:pPr>
              <w:kinsoku w:val="0"/>
              <w:overflowPunct w:val="0"/>
              <w:autoSpaceDE w:val="0"/>
              <w:autoSpaceDN w:val="0"/>
              <w:adjustRightInd w:val="0"/>
              <w:spacing w:after="0" w:line="230" w:lineRule="exact"/>
              <w:rPr>
                <w:rFonts w:ascii="Calibri" w:hAnsi="Calibri" w:cs="Calibri"/>
                <w:sz w:val="20"/>
              </w:rPr>
            </w:pPr>
            <w:r w:rsidRPr="004229B4">
              <w:rPr>
                <w:rFonts w:ascii="Calibri" w:hAnsi="Calibri" w:cs="Calibri"/>
                <w:sz w:val="20"/>
              </w:rPr>
              <w:t>Sinuplasty</w:t>
            </w:r>
            <w:r w:rsidRPr="004229B4">
              <w:rPr>
                <w:rFonts w:ascii="Calibri" w:hAnsi="Calibri" w:cs="Calibri"/>
                <w:spacing w:val="-8"/>
                <w:sz w:val="20"/>
              </w:rPr>
              <w:t xml:space="preserve"> </w:t>
            </w:r>
            <w:r w:rsidRPr="004229B4">
              <w:rPr>
                <w:rFonts w:ascii="Calibri" w:hAnsi="Calibri" w:cs="Calibri"/>
                <w:sz w:val="20"/>
              </w:rPr>
              <w:t>(no</w:t>
            </w:r>
            <w:r w:rsidRPr="004229B4">
              <w:rPr>
                <w:rFonts w:ascii="Calibri" w:hAnsi="Calibri" w:cs="Calibri"/>
                <w:spacing w:val="-8"/>
                <w:sz w:val="20"/>
              </w:rPr>
              <w:t xml:space="preserve"> </w:t>
            </w:r>
            <w:r w:rsidRPr="004229B4">
              <w:rPr>
                <w:rFonts w:ascii="Calibri" w:hAnsi="Calibri" w:cs="Calibri"/>
                <w:sz w:val="20"/>
              </w:rPr>
              <w:t>removal</w:t>
            </w:r>
            <w:r w:rsidRPr="004229B4">
              <w:rPr>
                <w:rFonts w:ascii="Calibri" w:hAnsi="Calibri" w:cs="Calibri"/>
                <w:spacing w:val="-8"/>
                <w:sz w:val="20"/>
              </w:rPr>
              <w:t xml:space="preserve"> </w:t>
            </w:r>
            <w:r w:rsidRPr="004229B4">
              <w:rPr>
                <w:rFonts w:ascii="Calibri" w:hAnsi="Calibri" w:cs="Calibri"/>
                <w:sz w:val="20"/>
              </w:rPr>
              <w:t>of</w:t>
            </w:r>
            <w:r w:rsidRPr="004229B4">
              <w:rPr>
                <w:rFonts w:ascii="Calibri" w:hAnsi="Calibri" w:cs="Calibri"/>
                <w:spacing w:val="-7"/>
                <w:sz w:val="20"/>
              </w:rPr>
              <w:t xml:space="preserve"> </w:t>
            </w:r>
            <w:r w:rsidRPr="004229B4">
              <w:rPr>
                <w:rFonts w:ascii="Calibri" w:hAnsi="Calibri" w:cs="Calibri"/>
                <w:sz w:val="20"/>
              </w:rPr>
              <w:t>tissue,</w:t>
            </w:r>
            <w:r w:rsidRPr="004229B4">
              <w:rPr>
                <w:rFonts w:ascii="Calibri" w:hAnsi="Calibri" w:cs="Calibri"/>
                <w:spacing w:val="-8"/>
                <w:sz w:val="20"/>
              </w:rPr>
              <w:t xml:space="preserve"> </w:t>
            </w:r>
            <w:r w:rsidRPr="004229B4">
              <w:rPr>
                <w:rFonts w:ascii="Calibri" w:hAnsi="Calibri" w:cs="Calibri"/>
                <w:sz w:val="20"/>
              </w:rPr>
              <w:t>example balloon sinuplasty)</w:t>
            </w:r>
          </w:p>
        </w:tc>
        <w:tc>
          <w:tcPr>
            <w:tcW w:w="1417" w:type="dxa"/>
            <w:tcBorders>
              <w:top w:val="single" w:sz="4" w:space="0" w:color="000000"/>
              <w:left w:val="double" w:sz="4" w:space="0" w:color="auto"/>
              <w:bottom w:val="single" w:sz="4" w:space="0" w:color="000000"/>
              <w:right w:val="single" w:sz="4" w:space="0" w:color="000000"/>
            </w:tcBorders>
          </w:tcPr>
          <w:p w14:paraId="1EAD6F1A" w14:textId="77777777" w:rsidR="00E501A3" w:rsidRPr="004229B4" w:rsidRDefault="00E501A3">
            <w:pPr>
              <w:kinsoku w:val="0"/>
              <w:overflowPunct w:val="0"/>
              <w:autoSpaceDE w:val="0"/>
              <w:autoSpaceDN w:val="0"/>
              <w:adjustRightInd w:val="0"/>
              <w:spacing w:after="0" w:line="227" w:lineRule="exact"/>
              <w:ind w:left="5" w:right="1"/>
              <w:jc w:val="center"/>
              <w:rPr>
                <w:rFonts w:ascii="Calibri" w:hAnsi="Calibri" w:cs="Calibri"/>
                <w:spacing w:val="-10"/>
                <w:sz w:val="20"/>
              </w:rPr>
            </w:pPr>
            <w:r w:rsidRPr="004229B4">
              <w:rPr>
                <w:rFonts w:ascii="Calibri" w:hAnsi="Calibri" w:cs="Calibri"/>
                <w:spacing w:val="-10"/>
                <w:sz w:val="20"/>
              </w:rPr>
              <w:t>0</w:t>
            </w:r>
          </w:p>
        </w:tc>
        <w:tc>
          <w:tcPr>
            <w:tcW w:w="1843" w:type="dxa"/>
            <w:tcBorders>
              <w:top w:val="single" w:sz="4" w:space="0" w:color="000000"/>
              <w:left w:val="single" w:sz="4" w:space="0" w:color="000000"/>
              <w:bottom w:val="single" w:sz="4" w:space="0" w:color="000000"/>
              <w:right w:val="double" w:sz="4" w:space="0" w:color="auto"/>
            </w:tcBorders>
          </w:tcPr>
          <w:p w14:paraId="7E8BFA3B" w14:textId="77777777" w:rsidR="00E501A3" w:rsidRPr="004229B4" w:rsidRDefault="00E501A3">
            <w:pPr>
              <w:kinsoku w:val="0"/>
              <w:overflowPunct w:val="0"/>
              <w:autoSpaceDE w:val="0"/>
              <w:autoSpaceDN w:val="0"/>
              <w:adjustRightInd w:val="0"/>
              <w:spacing w:after="0" w:line="227" w:lineRule="exact"/>
              <w:ind w:left="79" w:right="70"/>
              <w:jc w:val="center"/>
              <w:rPr>
                <w:rFonts w:ascii="Calibri" w:hAnsi="Calibri" w:cs="Calibri"/>
                <w:sz w:val="20"/>
              </w:rPr>
            </w:pPr>
            <w:r w:rsidRPr="004229B4">
              <w:rPr>
                <w:rFonts w:ascii="Calibri" w:hAnsi="Calibri" w:cs="Calibri"/>
                <w:sz w:val="20"/>
              </w:rPr>
              <w:t>1 (1)</w:t>
            </w:r>
          </w:p>
        </w:tc>
        <w:tc>
          <w:tcPr>
            <w:tcW w:w="1417" w:type="dxa"/>
            <w:tcBorders>
              <w:top w:val="single" w:sz="4" w:space="0" w:color="000000"/>
              <w:left w:val="double" w:sz="4" w:space="0" w:color="auto"/>
              <w:bottom w:val="single" w:sz="4" w:space="0" w:color="000000"/>
              <w:right w:val="single" w:sz="4" w:space="0" w:color="000000"/>
            </w:tcBorders>
          </w:tcPr>
          <w:p w14:paraId="5B0B95B4"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1 (1)</w:t>
            </w:r>
          </w:p>
        </w:tc>
        <w:tc>
          <w:tcPr>
            <w:tcW w:w="1650" w:type="dxa"/>
            <w:tcBorders>
              <w:top w:val="nil"/>
              <w:left w:val="single" w:sz="4" w:space="0" w:color="000000"/>
              <w:bottom w:val="single" w:sz="4" w:space="0" w:color="000000"/>
              <w:right w:val="single" w:sz="4" w:space="0" w:color="000000"/>
            </w:tcBorders>
          </w:tcPr>
          <w:p w14:paraId="667B065C"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0</w:t>
            </w:r>
          </w:p>
        </w:tc>
      </w:tr>
      <w:tr w:rsidR="00E501A3" w:rsidRPr="00D124A7" w14:paraId="38B5E2B6"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042F7BD" w14:textId="77777777" w:rsidR="00E501A3" w:rsidRPr="004229B4" w:rsidRDefault="00E501A3" w:rsidP="00A327F8">
            <w:pPr>
              <w:kinsoku w:val="0"/>
              <w:overflowPunct w:val="0"/>
              <w:autoSpaceDE w:val="0"/>
              <w:autoSpaceDN w:val="0"/>
              <w:adjustRightInd w:val="0"/>
              <w:spacing w:after="0" w:line="209" w:lineRule="exact"/>
              <w:rPr>
                <w:rFonts w:ascii="Calibri" w:hAnsi="Calibri" w:cs="Calibri"/>
                <w:sz w:val="20"/>
              </w:rPr>
            </w:pPr>
            <w:r w:rsidRPr="004229B4">
              <w:rPr>
                <w:rFonts w:ascii="Calibri" w:hAnsi="Calibri" w:cs="Calibri"/>
                <w:sz w:val="20"/>
              </w:rPr>
              <w:t>Other nasal surgery procedure</w:t>
            </w:r>
          </w:p>
        </w:tc>
        <w:tc>
          <w:tcPr>
            <w:tcW w:w="1417" w:type="dxa"/>
            <w:tcBorders>
              <w:top w:val="single" w:sz="4" w:space="0" w:color="000000"/>
              <w:left w:val="double" w:sz="4" w:space="0" w:color="auto"/>
              <w:bottom w:val="single" w:sz="4" w:space="0" w:color="000000"/>
              <w:right w:val="single" w:sz="4" w:space="0" w:color="000000"/>
            </w:tcBorders>
          </w:tcPr>
          <w:p w14:paraId="1426E9D3" w14:textId="77777777" w:rsidR="00E501A3" w:rsidRPr="004229B4" w:rsidRDefault="00E501A3">
            <w:pPr>
              <w:kinsoku w:val="0"/>
              <w:overflowPunct w:val="0"/>
              <w:autoSpaceDE w:val="0"/>
              <w:autoSpaceDN w:val="0"/>
              <w:adjustRightInd w:val="0"/>
              <w:spacing w:after="0" w:line="209" w:lineRule="exact"/>
              <w:ind w:left="5" w:right="4"/>
              <w:jc w:val="center"/>
              <w:rPr>
                <w:rFonts w:ascii="Calibri" w:hAnsi="Calibri" w:cs="Calibri"/>
                <w:sz w:val="20"/>
              </w:rPr>
            </w:pPr>
            <w:r w:rsidRPr="004229B4">
              <w:rPr>
                <w:rFonts w:ascii="Calibri" w:hAnsi="Calibri" w:cs="Calibri"/>
                <w:sz w:val="20"/>
              </w:rPr>
              <w:t>3 (4)</w:t>
            </w:r>
          </w:p>
        </w:tc>
        <w:tc>
          <w:tcPr>
            <w:tcW w:w="1843" w:type="dxa"/>
            <w:tcBorders>
              <w:top w:val="single" w:sz="4" w:space="0" w:color="000000"/>
              <w:left w:val="single" w:sz="4" w:space="0" w:color="000000"/>
              <w:bottom w:val="single" w:sz="4" w:space="0" w:color="000000"/>
              <w:right w:val="double" w:sz="4" w:space="0" w:color="auto"/>
            </w:tcBorders>
          </w:tcPr>
          <w:p w14:paraId="33E5072A" w14:textId="77777777" w:rsidR="00E501A3" w:rsidRPr="004229B4" w:rsidRDefault="00E501A3">
            <w:pPr>
              <w:kinsoku w:val="0"/>
              <w:overflowPunct w:val="0"/>
              <w:autoSpaceDE w:val="0"/>
              <w:autoSpaceDN w:val="0"/>
              <w:adjustRightInd w:val="0"/>
              <w:spacing w:after="0" w:line="209" w:lineRule="exact"/>
              <w:ind w:left="79" w:right="70"/>
              <w:jc w:val="center"/>
              <w:rPr>
                <w:rFonts w:ascii="Calibri" w:hAnsi="Calibri" w:cs="Calibri"/>
                <w:sz w:val="20"/>
              </w:rPr>
            </w:pPr>
            <w:r w:rsidRPr="004229B4">
              <w:rPr>
                <w:rFonts w:ascii="Calibri" w:hAnsi="Calibri" w:cs="Calibri"/>
                <w:sz w:val="20"/>
              </w:rPr>
              <w:t>5 (6)</w:t>
            </w:r>
          </w:p>
        </w:tc>
        <w:tc>
          <w:tcPr>
            <w:tcW w:w="1417" w:type="dxa"/>
            <w:tcBorders>
              <w:top w:val="single" w:sz="4" w:space="0" w:color="000000"/>
              <w:left w:val="double" w:sz="4" w:space="0" w:color="auto"/>
              <w:bottom w:val="single" w:sz="4" w:space="0" w:color="000000"/>
              <w:right w:val="single" w:sz="4" w:space="0" w:color="000000"/>
            </w:tcBorders>
          </w:tcPr>
          <w:p w14:paraId="7450A2FB"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3 (4)</w:t>
            </w:r>
          </w:p>
        </w:tc>
        <w:tc>
          <w:tcPr>
            <w:tcW w:w="1650" w:type="dxa"/>
            <w:tcBorders>
              <w:top w:val="nil"/>
              <w:left w:val="single" w:sz="4" w:space="0" w:color="000000"/>
              <w:bottom w:val="single" w:sz="4" w:space="0" w:color="000000"/>
              <w:right w:val="single" w:sz="4" w:space="0" w:color="000000"/>
            </w:tcBorders>
          </w:tcPr>
          <w:p w14:paraId="54897763"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2 (2)</w:t>
            </w:r>
          </w:p>
        </w:tc>
      </w:tr>
      <w:tr w:rsidR="00E501A3" w:rsidRPr="00D124A7" w14:paraId="3CA345AF"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34C7407A" w14:textId="77777777" w:rsidR="00E501A3" w:rsidRPr="004229B4" w:rsidRDefault="00E501A3" w:rsidP="00A327F8">
            <w:pPr>
              <w:kinsoku w:val="0"/>
              <w:overflowPunct w:val="0"/>
              <w:autoSpaceDE w:val="0"/>
              <w:autoSpaceDN w:val="0"/>
              <w:adjustRightInd w:val="0"/>
              <w:spacing w:after="0" w:line="210" w:lineRule="exact"/>
              <w:rPr>
                <w:rFonts w:ascii="Calibri" w:hAnsi="Calibri" w:cs="Calibri"/>
                <w:spacing w:val="-2"/>
                <w:sz w:val="20"/>
              </w:rPr>
            </w:pPr>
            <w:r w:rsidRPr="004229B4">
              <w:rPr>
                <w:rFonts w:ascii="Calibri" w:hAnsi="Calibri" w:cs="Calibri"/>
                <w:spacing w:val="-2"/>
                <w:sz w:val="20"/>
              </w:rPr>
              <w:t>Unknown</w:t>
            </w:r>
          </w:p>
        </w:tc>
        <w:tc>
          <w:tcPr>
            <w:tcW w:w="1417" w:type="dxa"/>
            <w:tcBorders>
              <w:top w:val="single" w:sz="4" w:space="0" w:color="000000"/>
              <w:left w:val="double" w:sz="4" w:space="0" w:color="auto"/>
              <w:bottom w:val="single" w:sz="4" w:space="0" w:color="000000"/>
              <w:right w:val="single" w:sz="4" w:space="0" w:color="000000"/>
            </w:tcBorders>
          </w:tcPr>
          <w:p w14:paraId="5B01526C"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9 (11)</w:t>
            </w:r>
          </w:p>
        </w:tc>
        <w:tc>
          <w:tcPr>
            <w:tcW w:w="1843" w:type="dxa"/>
            <w:tcBorders>
              <w:top w:val="single" w:sz="4" w:space="0" w:color="000000"/>
              <w:left w:val="single" w:sz="4" w:space="0" w:color="000000"/>
              <w:bottom w:val="single" w:sz="4" w:space="0" w:color="000000"/>
              <w:right w:val="double" w:sz="4" w:space="0" w:color="auto"/>
            </w:tcBorders>
          </w:tcPr>
          <w:p w14:paraId="5CC3EBB9"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14 (16)</w:t>
            </w:r>
          </w:p>
        </w:tc>
        <w:tc>
          <w:tcPr>
            <w:tcW w:w="1417" w:type="dxa"/>
            <w:tcBorders>
              <w:top w:val="single" w:sz="4" w:space="0" w:color="000000"/>
              <w:left w:val="double" w:sz="4" w:space="0" w:color="auto"/>
              <w:bottom w:val="single" w:sz="4" w:space="0" w:color="000000"/>
              <w:right w:val="single" w:sz="4" w:space="0" w:color="000000"/>
            </w:tcBorders>
          </w:tcPr>
          <w:p w14:paraId="63370706"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8 (10)</w:t>
            </w:r>
          </w:p>
        </w:tc>
        <w:tc>
          <w:tcPr>
            <w:tcW w:w="1650" w:type="dxa"/>
            <w:tcBorders>
              <w:top w:val="nil"/>
              <w:left w:val="single" w:sz="4" w:space="0" w:color="000000"/>
              <w:bottom w:val="single" w:sz="4" w:space="0" w:color="000000"/>
              <w:right w:val="single" w:sz="4" w:space="0" w:color="000000"/>
            </w:tcBorders>
          </w:tcPr>
          <w:p w14:paraId="511563D2"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6"/>
                <w:sz w:val="20"/>
              </w:rPr>
            </w:pPr>
            <w:r w:rsidRPr="004229B4">
              <w:rPr>
                <w:rFonts w:ascii="Calibri" w:hAnsi="Calibri" w:cs="Calibri"/>
                <w:spacing w:val="-6"/>
                <w:sz w:val="20"/>
              </w:rPr>
              <w:t>7 (8)</w:t>
            </w:r>
          </w:p>
        </w:tc>
      </w:tr>
      <w:tr w:rsidR="00E501A3" w:rsidRPr="00D124A7" w14:paraId="62FE4DD0" w14:textId="77777777">
        <w:trPr>
          <w:trHeight w:val="247"/>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5EB50E9C"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Number</w:t>
            </w:r>
            <w:r w:rsidRPr="004229B4">
              <w:rPr>
                <w:rFonts w:ascii="Calibri" w:hAnsi="Calibri" w:cs="Calibri"/>
                <w:spacing w:val="-5"/>
                <w:sz w:val="20"/>
              </w:rPr>
              <w:t xml:space="preserve"> </w:t>
            </w:r>
            <w:r w:rsidRPr="004229B4">
              <w:rPr>
                <w:rFonts w:ascii="Calibri" w:hAnsi="Calibri" w:cs="Calibri"/>
                <w:sz w:val="20"/>
              </w:rPr>
              <w:t>of</w:t>
            </w:r>
            <w:r w:rsidRPr="004229B4">
              <w:rPr>
                <w:rFonts w:ascii="Calibri" w:hAnsi="Calibri" w:cs="Calibri"/>
                <w:spacing w:val="-5"/>
                <w:sz w:val="20"/>
              </w:rPr>
              <w:t xml:space="preserve"> </w:t>
            </w:r>
            <w:r w:rsidRPr="004229B4">
              <w:rPr>
                <w:rFonts w:ascii="Calibri" w:hAnsi="Calibri" w:cs="Calibri"/>
                <w:sz w:val="20"/>
              </w:rPr>
              <w:t>courses</w:t>
            </w:r>
            <w:r w:rsidRPr="004229B4">
              <w:rPr>
                <w:rFonts w:ascii="Calibri" w:hAnsi="Calibri" w:cs="Calibri"/>
                <w:spacing w:val="-6"/>
                <w:sz w:val="20"/>
              </w:rPr>
              <w:t xml:space="preserve"> </w:t>
            </w:r>
            <w:r w:rsidRPr="004229B4">
              <w:rPr>
                <w:rFonts w:ascii="Calibri" w:hAnsi="Calibri" w:cs="Calibri"/>
                <w:sz w:val="20"/>
              </w:rPr>
              <w:t>of</w:t>
            </w:r>
            <w:r w:rsidRPr="004229B4">
              <w:rPr>
                <w:rFonts w:ascii="Calibri" w:hAnsi="Calibri" w:cs="Calibri"/>
                <w:spacing w:val="-4"/>
                <w:sz w:val="20"/>
              </w:rPr>
              <w:t xml:space="preserve"> </w:t>
            </w:r>
            <w:r w:rsidRPr="004229B4">
              <w:rPr>
                <w:rFonts w:ascii="Calibri" w:hAnsi="Calibri" w:cs="Calibri"/>
                <w:sz w:val="20"/>
              </w:rPr>
              <w:t>systemic</w:t>
            </w:r>
            <w:r w:rsidRPr="004229B4">
              <w:rPr>
                <w:rFonts w:ascii="Calibri" w:hAnsi="Calibri" w:cs="Calibri"/>
                <w:spacing w:val="-3"/>
                <w:sz w:val="20"/>
              </w:rPr>
              <w:t xml:space="preserve"> </w:t>
            </w:r>
            <w:r w:rsidRPr="004229B4">
              <w:rPr>
                <w:rFonts w:ascii="Calibri" w:hAnsi="Calibri" w:cs="Calibri"/>
                <w:sz w:val="20"/>
              </w:rPr>
              <w:t>CS</w:t>
            </w:r>
            <w:r w:rsidRPr="004229B4">
              <w:rPr>
                <w:rFonts w:ascii="Calibri" w:hAnsi="Calibri" w:cs="Calibri"/>
                <w:spacing w:val="-6"/>
                <w:sz w:val="20"/>
              </w:rPr>
              <w:t xml:space="preserve"> </w:t>
            </w:r>
            <w:r w:rsidRPr="004229B4">
              <w:rPr>
                <w:rFonts w:ascii="Calibri" w:hAnsi="Calibri" w:cs="Calibri"/>
                <w:sz w:val="20"/>
              </w:rPr>
              <w:t>for</w:t>
            </w:r>
            <w:r w:rsidRPr="004229B4">
              <w:rPr>
                <w:rFonts w:ascii="Calibri" w:hAnsi="Calibri" w:cs="Calibri"/>
                <w:spacing w:val="-5"/>
                <w:sz w:val="20"/>
              </w:rPr>
              <w:t xml:space="preserve"> </w:t>
            </w:r>
            <w:r w:rsidRPr="004229B4">
              <w:rPr>
                <w:rFonts w:ascii="Calibri" w:hAnsi="Calibri" w:cs="Calibri"/>
                <w:sz w:val="20"/>
              </w:rPr>
              <w:t>NP</w:t>
            </w:r>
            <w:r w:rsidRPr="004229B4">
              <w:rPr>
                <w:rFonts w:ascii="Calibri" w:hAnsi="Calibri" w:cs="Calibri"/>
                <w:spacing w:val="-6"/>
                <w:sz w:val="20"/>
              </w:rPr>
              <w:t xml:space="preserve"> </w:t>
            </w:r>
            <w:r w:rsidRPr="004229B4">
              <w:rPr>
                <w:rFonts w:ascii="Calibri" w:hAnsi="Calibri" w:cs="Calibri"/>
                <w:sz w:val="20"/>
              </w:rPr>
              <w:t>in</w:t>
            </w:r>
            <w:r w:rsidRPr="004229B4">
              <w:rPr>
                <w:rFonts w:ascii="Calibri" w:hAnsi="Calibri" w:cs="Calibri"/>
                <w:spacing w:val="-6"/>
                <w:sz w:val="20"/>
              </w:rPr>
              <w:t xml:space="preserve"> </w:t>
            </w:r>
            <w:r w:rsidRPr="004229B4">
              <w:rPr>
                <w:rFonts w:ascii="Calibri" w:hAnsi="Calibri" w:cs="Calibri"/>
                <w:sz w:val="20"/>
              </w:rPr>
              <w:t>the previous 12 months, n (%)</w:t>
            </w:r>
          </w:p>
        </w:tc>
      </w:tr>
      <w:tr w:rsidR="00E501A3" w:rsidRPr="00D124A7" w14:paraId="613A2F6C" w14:textId="77777777" w:rsidTr="00A327F8">
        <w:trPr>
          <w:trHeight w:val="228"/>
        </w:trPr>
        <w:tc>
          <w:tcPr>
            <w:tcW w:w="2694" w:type="dxa"/>
            <w:tcBorders>
              <w:top w:val="single" w:sz="4" w:space="0" w:color="000000"/>
              <w:left w:val="single" w:sz="4" w:space="0" w:color="000000"/>
              <w:bottom w:val="single" w:sz="4" w:space="0" w:color="000000"/>
              <w:right w:val="double" w:sz="4" w:space="0" w:color="auto"/>
            </w:tcBorders>
          </w:tcPr>
          <w:p w14:paraId="50FC07EB" w14:textId="77777777" w:rsidR="00E501A3" w:rsidRPr="004229B4" w:rsidRDefault="00E501A3" w:rsidP="00A327F8">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6FC896AA" w14:textId="77777777" w:rsidR="00E501A3" w:rsidRPr="004229B4" w:rsidRDefault="00E501A3">
            <w:pPr>
              <w:kinsoku w:val="0"/>
              <w:overflowPunct w:val="0"/>
              <w:autoSpaceDE w:val="0"/>
              <w:autoSpaceDN w:val="0"/>
              <w:adjustRightInd w:val="0"/>
              <w:spacing w:after="0" w:line="208" w:lineRule="exact"/>
              <w:ind w:left="5"/>
              <w:jc w:val="center"/>
              <w:rPr>
                <w:rFonts w:ascii="Calibri" w:hAnsi="Calibri" w:cs="Calibri"/>
                <w:spacing w:val="-4"/>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7D48DEDB"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6F9A755C"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139549BA" w14:textId="77777777" w:rsidR="00E501A3" w:rsidRPr="004229B4" w:rsidRDefault="00E501A3">
            <w:pPr>
              <w:kinsoku w:val="0"/>
              <w:overflowPunct w:val="0"/>
              <w:autoSpaceDE w:val="0"/>
              <w:autoSpaceDN w:val="0"/>
              <w:adjustRightInd w:val="0"/>
              <w:spacing w:after="0" w:line="208" w:lineRule="exact"/>
              <w:ind w:left="79" w:right="71"/>
              <w:jc w:val="center"/>
              <w:rPr>
                <w:rFonts w:ascii="Calibri" w:hAnsi="Calibri" w:cs="Calibri"/>
                <w:spacing w:val="-4"/>
                <w:sz w:val="20"/>
              </w:rPr>
            </w:pPr>
            <w:r w:rsidRPr="004229B4">
              <w:rPr>
                <w:rFonts w:ascii="Calibri" w:hAnsi="Calibri" w:cs="Calibri"/>
                <w:spacing w:val="-4"/>
                <w:sz w:val="20"/>
              </w:rPr>
              <w:t>129</w:t>
            </w:r>
          </w:p>
        </w:tc>
      </w:tr>
      <w:tr w:rsidR="00E501A3" w:rsidRPr="00D124A7" w14:paraId="6D8F519B"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103A2DAF"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0</w:t>
            </w:r>
          </w:p>
        </w:tc>
        <w:tc>
          <w:tcPr>
            <w:tcW w:w="1417" w:type="dxa"/>
            <w:tcBorders>
              <w:top w:val="single" w:sz="4" w:space="0" w:color="000000"/>
              <w:left w:val="double" w:sz="4" w:space="0" w:color="auto"/>
              <w:bottom w:val="single" w:sz="4" w:space="0" w:color="000000"/>
              <w:right w:val="single" w:sz="4" w:space="0" w:color="000000"/>
            </w:tcBorders>
          </w:tcPr>
          <w:p w14:paraId="22F7582F"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43 (34)</w:t>
            </w:r>
          </w:p>
        </w:tc>
        <w:tc>
          <w:tcPr>
            <w:tcW w:w="1843" w:type="dxa"/>
            <w:tcBorders>
              <w:top w:val="single" w:sz="4" w:space="0" w:color="000000"/>
              <w:left w:val="single" w:sz="4" w:space="0" w:color="000000"/>
              <w:bottom w:val="single" w:sz="4" w:space="0" w:color="000000"/>
              <w:right w:val="double" w:sz="4" w:space="0" w:color="auto"/>
            </w:tcBorders>
          </w:tcPr>
          <w:p w14:paraId="05FED31A"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38 (27)</w:t>
            </w:r>
          </w:p>
        </w:tc>
        <w:tc>
          <w:tcPr>
            <w:tcW w:w="1417" w:type="dxa"/>
            <w:tcBorders>
              <w:top w:val="single" w:sz="4" w:space="0" w:color="000000"/>
              <w:left w:val="double" w:sz="4" w:space="0" w:color="auto"/>
              <w:bottom w:val="single" w:sz="4" w:space="0" w:color="000000"/>
              <w:right w:val="single" w:sz="4" w:space="0" w:color="000000"/>
            </w:tcBorders>
          </w:tcPr>
          <w:p w14:paraId="1BF53FA0"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47 (37)</w:t>
            </w:r>
          </w:p>
        </w:tc>
        <w:tc>
          <w:tcPr>
            <w:tcW w:w="1650" w:type="dxa"/>
            <w:tcBorders>
              <w:top w:val="single" w:sz="4" w:space="0" w:color="000000"/>
              <w:left w:val="single" w:sz="4" w:space="0" w:color="000000"/>
              <w:bottom w:val="single" w:sz="4" w:space="0" w:color="000000"/>
              <w:right w:val="single" w:sz="4" w:space="0" w:color="000000"/>
            </w:tcBorders>
          </w:tcPr>
          <w:p w14:paraId="2A9692ED"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38 (29)</w:t>
            </w:r>
          </w:p>
        </w:tc>
      </w:tr>
      <w:tr w:rsidR="00E501A3" w:rsidRPr="00D124A7" w14:paraId="5CCF80A7" w14:textId="77777777" w:rsidTr="00A327F8">
        <w:trPr>
          <w:trHeight w:val="227"/>
        </w:trPr>
        <w:tc>
          <w:tcPr>
            <w:tcW w:w="2694" w:type="dxa"/>
            <w:tcBorders>
              <w:top w:val="single" w:sz="4" w:space="0" w:color="000000"/>
              <w:left w:val="single" w:sz="4" w:space="0" w:color="000000"/>
              <w:bottom w:val="single" w:sz="4" w:space="0" w:color="000000"/>
              <w:right w:val="double" w:sz="4" w:space="0" w:color="auto"/>
            </w:tcBorders>
          </w:tcPr>
          <w:p w14:paraId="2E3A9A66" w14:textId="77777777" w:rsidR="00E501A3" w:rsidRPr="004229B4" w:rsidRDefault="00E501A3" w:rsidP="00A327F8">
            <w:pPr>
              <w:kinsoku w:val="0"/>
              <w:overflowPunct w:val="0"/>
              <w:autoSpaceDE w:val="0"/>
              <w:autoSpaceDN w:val="0"/>
              <w:adjustRightInd w:val="0"/>
              <w:spacing w:after="0" w:line="208" w:lineRule="exact"/>
              <w:ind w:left="491"/>
              <w:rPr>
                <w:rFonts w:ascii="Calibri" w:hAnsi="Calibri" w:cs="Calibri"/>
                <w:spacing w:val="-10"/>
                <w:sz w:val="20"/>
              </w:rPr>
            </w:pPr>
            <w:r w:rsidRPr="004229B4">
              <w:rPr>
                <w:rFonts w:ascii="Calibri" w:hAnsi="Calibri" w:cs="Calibri"/>
                <w:spacing w:val="-10"/>
                <w:sz w:val="20"/>
              </w:rPr>
              <w:t>1</w:t>
            </w:r>
          </w:p>
        </w:tc>
        <w:tc>
          <w:tcPr>
            <w:tcW w:w="1417" w:type="dxa"/>
            <w:tcBorders>
              <w:top w:val="single" w:sz="4" w:space="0" w:color="000000"/>
              <w:left w:val="double" w:sz="4" w:space="0" w:color="auto"/>
              <w:bottom w:val="single" w:sz="4" w:space="0" w:color="000000"/>
              <w:right w:val="single" w:sz="4" w:space="0" w:color="000000"/>
            </w:tcBorders>
          </w:tcPr>
          <w:p w14:paraId="194214E5" w14:textId="77777777" w:rsidR="00E501A3" w:rsidRPr="004229B4" w:rsidRDefault="00E501A3">
            <w:pPr>
              <w:kinsoku w:val="0"/>
              <w:overflowPunct w:val="0"/>
              <w:autoSpaceDE w:val="0"/>
              <w:autoSpaceDN w:val="0"/>
              <w:adjustRightInd w:val="0"/>
              <w:spacing w:after="0" w:line="208" w:lineRule="exact"/>
              <w:ind w:left="5" w:right="5"/>
              <w:jc w:val="center"/>
              <w:rPr>
                <w:rFonts w:ascii="Calibri" w:hAnsi="Calibri" w:cs="Calibri"/>
                <w:sz w:val="20"/>
              </w:rPr>
            </w:pPr>
            <w:r w:rsidRPr="004229B4">
              <w:rPr>
                <w:rFonts w:ascii="Calibri" w:hAnsi="Calibri" w:cs="Calibri"/>
                <w:sz w:val="20"/>
              </w:rPr>
              <w:t>48 (38)</w:t>
            </w:r>
          </w:p>
        </w:tc>
        <w:tc>
          <w:tcPr>
            <w:tcW w:w="1843" w:type="dxa"/>
            <w:tcBorders>
              <w:top w:val="single" w:sz="4" w:space="0" w:color="000000"/>
              <w:left w:val="single" w:sz="4" w:space="0" w:color="000000"/>
              <w:bottom w:val="single" w:sz="4" w:space="0" w:color="000000"/>
              <w:right w:val="double" w:sz="4" w:space="0" w:color="auto"/>
            </w:tcBorders>
          </w:tcPr>
          <w:p w14:paraId="172866DE"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74 (52)</w:t>
            </w:r>
          </w:p>
        </w:tc>
        <w:tc>
          <w:tcPr>
            <w:tcW w:w="1417" w:type="dxa"/>
            <w:tcBorders>
              <w:top w:val="single" w:sz="4" w:space="0" w:color="000000"/>
              <w:left w:val="double" w:sz="4" w:space="0" w:color="auto"/>
              <w:bottom w:val="single" w:sz="4" w:space="0" w:color="000000"/>
              <w:right w:val="single" w:sz="4" w:space="0" w:color="000000"/>
            </w:tcBorders>
          </w:tcPr>
          <w:p w14:paraId="03FF05AE"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57 (45)</w:t>
            </w:r>
          </w:p>
        </w:tc>
        <w:tc>
          <w:tcPr>
            <w:tcW w:w="1650" w:type="dxa"/>
            <w:tcBorders>
              <w:top w:val="nil"/>
              <w:left w:val="single" w:sz="4" w:space="0" w:color="000000"/>
              <w:bottom w:val="single" w:sz="4" w:space="0" w:color="000000"/>
              <w:right w:val="single" w:sz="4" w:space="0" w:color="000000"/>
            </w:tcBorders>
          </w:tcPr>
          <w:p w14:paraId="69898C12"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62 (48)</w:t>
            </w:r>
          </w:p>
        </w:tc>
      </w:tr>
      <w:tr w:rsidR="00E501A3" w:rsidRPr="00D124A7" w14:paraId="0D8E1BA3" w14:textId="77777777" w:rsidTr="00A327F8">
        <w:trPr>
          <w:trHeight w:val="230"/>
        </w:trPr>
        <w:tc>
          <w:tcPr>
            <w:tcW w:w="2694" w:type="dxa"/>
            <w:tcBorders>
              <w:top w:val="single" w:sz="4" w:space="0" w:color="000000"/>
              <w:left w:val="single" w:sz="4" w:space="0" w:color="000000"/>
              <w:bottom w:val="single" w:sz="4" w:space="0" w:color="000000"/>
              <w:right w:val="double" w:sz="4" w:space="0" w:color="auto"/>
            </w:tcBorders>
          </w:tcPr>
          <w:p w14:paraId="1F877903"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2</w:t>
            </w:r>
          </w:p>
        </w:tc>
        <w:tc>
          <w:tcPr>
            <w:tcW w:w="1417" w:type="dxa"/>
            <w:tcBorders>
              <w:top w:val="single" w:sz="4" w:space="0" w:color="000000"/>
              <w:left w:val="double" w:sz="4" w:space="0" w:color="auto"/>
              <w:bottom w:val="single" w:sz="4" w:space="0" w:color="000000"/>
              <w:right w:val="single" w:sz="4" w:space="0" w:color="000000"/>
            </w:tcBorders>
          </w:tcPr>
          <w:p w14:paraId="2B3A229C"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18 (14)</w:t>
            </w:r>
          </w:p>
        </w:tc>
        <w:tc>
          <w:tcPr>
            <w:tcW w:w="1843" w:type="dxa"/>
            <w:tcBorders>
              <w:top w:val="single" w:sz="4" w:space="0" w:color="000000"/>
              <w:left w:val="single" w:sz="4" w:space="0" w:color="000000"/>
              <w:bottom w:val="single" w:sz="4" w:space="0" w:color="000000"/>
              <w:right w:val="double" w:sz="4" w:space="0" w:color="auto"/>
            </w:tcBorders>
          </w:tcPr>
          <w:p w14:paraId="704E8F30"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17 (12)</w:t>
            </w:r>
          </w:p>
        </w:tc>
        <w:tc>
          <w:tcPr>
            <w:tcW w:w="1417" w:type="dxa"/>
            <w:tcBorders>
              <w:top w:val="single" w:sz="4" w:space="0" w:color="000000"/>
              <w:left w:val="double" w:sz="4" w:space="0" w:color="auto"/>
              <w:bottom w:val="single" w:sz="4" w:space="0" w:color="000000"/>
              <w:right w:val="single" w:sz="4" w:space="0" w:color="000000"/>
            </w:tcBorders>
          </w:tcPr>
          <w:p w14:paraId="10D82072"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12 (9)</w:t>
            </w:r>
          </w:p>
        </w:tc>
        <w:tc>
          <w:tcPr>
            <w:tcW w:w="1650" w:type="dxa"/>
            <w:tcBorders>
              <w:top w:val="nil"/>
              <w:left w:val="single" w:sz="4" w:space="0" w:color="000000"/>
              <w:bottom w:val="single" w:sz="4" w:space="0" w:color="000000"/>
              <w:right w:val="single" w:sz="4" w:space="0" w:color="000000"/>
            </w:tcBorders>
          </w:tcPr>
          <w:p w14:paraId="4E618091"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13 (10)</w:t>
            </w:r>
          </w:p>
        </w:tc>
      </w:tr>
      <w:tr w:rsidR="00E501A3" w:rsidRPr="00D124A7" w14:paraId="74AB578C"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1FC6F157"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&gt;2</w:t>
            </w:r>
          </w:p>
        </w:tc>
        <w:tc>
          <w:tcPr>
            <w:tcW w:w="1417" w:type="dxa"/>
            <w:tcBorders>
              <w:top w:val="single" w:sz="4" w:space="0" w:color="000000"/>
              <w:left w:val="double" w:sz="4" w:space="0" w:color="auto"/>
              <w:bottom w:val="single" w:sz="4" w:space="0" w:color="000000"/>
              <w:right w:val="single" w:sz="4" w:space="0" w:color="000000"/>
            </w:tcBorders>
          </w:tcPr>
          <w:p w14:paraId="2E256821"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19 (15)</w:t>
            </w:r>
          </w:p>
        </w:tc>
        <w:tc>
          <w:tcPr>
            <w:tcW w:w="1843" w:type="dxa"/>
            <w:tcBorders>
              <w:top w:val="single" w:sz="4" w:space="0" w:color="000000"/>
              <w:left w:val="single" w:sz="4" w:space="0" w:color="000000"/>
              <w:bottom w:val="single" w:sz="4" w:space="0" w:color="000000"/>
              <w:right w:val="double" w:sz="4" w:space="0" w:color="auto"/>
            </w:tcBorders>
          </w:tcPr>
          <w:p w14:paraId="6C188570"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14 (10)</w:t>
            </w:r>
          </w:p>
        </w:tc>
        <w:tc>
          <w:tcPr>
            <w:tcW w:w="1417" w:type="dxa"/>
            <w:tcBorders>
              <w:top w:val="single" w:sz="4" w:space="0" w:color="000000"/>
              <w:left w:val="double" w:sz="4" w:space="0" w:color="auto"/>
              <w:bottom w:val="single" w:sz="4" w:space="0" w:color="000000"/>
              <w:right w:val="single" w:sz="4" w:space="0" w:color="000000"/>
            </w:tcBorders>
          </w:tcPr>
          <w:p w14:paraId="03C41686"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12 (9)</w:t>
            </w:r>
          </w:p>
        </w:tc>
        <w:tc>
          <w:tcPr>
            <w:tcW w:w="1650" w:type="dxa"/>
            <w:tcBorders>
              <w:top w:val="nil"/>
              <w:left w:val="single" w:sz="4" w:space="0" w:color="000000"/>
              <w:bottom w:val="single" w:sz="4" w:space="0" w:color="000000"/>
              <w:right w:val="single" w:sz="4" w:space="0" w:color="000000"/>
            </w:tcBorders>
          </w:tcPr>
          <w:p w14:paraId="14A0B779" w14:textId="77777777" w:rsidR="00E501A3" w:rsidRPr="004229B4" w:rsidRDefault="00E501A3">
            <w:pPr>
              <w:kinsoku w:val="0"/>
              <w:overflowPunct w:val="0"/>
              <w:autoSpaceDE w:val="0"/>
              <w:autoSpaceDN w:val="0"/>
              <w:adjustRightInd w:val="0"/>
              <w:spacing w:after="0" w:line="208" w:lineRule="exact"/>
              <w:ind w:left="79" w:right="70"/>
              <w:jc w:val="center"/>
              <w:rPr>
                <w:rFonts w:ascii="Calibri" w:hAnsi="Calibri" w:cs="Calibri"/>
                <w:sz w:val="20"/>
              </w:rPr>
            </w:pPr>
            <w:r w:rsidRPr="004229B4">
              <w:rPr>
                <w:rFonts w:ascii="Calibri" w:hAnsi="Calibri" w:cs="Calibri"/>
                <w:sz w:val="20"/>
              </w:rPr>
              <w:t>16 (12)</w:t>
            </w:r>
          </w:p>
        </w:tc>
      </w:tr>
      <w:tr w:rsidR="00E501A3" w:rsidRPr="00D124A7" w14:paraId="04AAF2B8"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6C4A97B5" w14:textId="77777777" w:rsidR="00E501A3" w:rsidRPr="004229B4" w:rsidRDefault="00E501A3" w:rsidP="00A327F8">
            <w:pPr>
              <w:kinsoku w:val="0"/>
              <w:overflowPunct w:val="0"/>
              <w:autoSpaceDE w:val="0"/>
              <w:autoSpaceDN w:val="0"/>
              <w:adjustRightInd w:val="0"/>
              <w:spacing w:after="0" w:line="210" w:lineRule="exact"/>
              <w:ind w:right="70"/>
              <w:rPr>
                <w:rFonts w:ascii="Calibri" w:hAnsi="Calibri" w:cs="Calibri"/>
                <w:sz w:val="20"/>
              </w:rPr>
            </w:pPr>
            <w:r w:rsidRPr="004229B4">
              <w:rPr>
                <w:rFonts w:ascii="Calibri" w:hAnsi="Calibri" w:cs="Calibri"/>
                <w:sz w:val="20"/>
              </w:rPr>
              <w:t>Participants</w:t>
            </w:r>
            <w:r w:rsidRPr="004229B4">
              <w:rPr>
                <w:rFonts w:ascii="Calibri" w:hAnsi="Calibri" w:cs="Calibri"/>
                <w:spacing w:val="-6"/>
                <w:sz w:val="20"/>
              </w:rPr>
              <w:t xml:space="preserve"> </w:t>
            </w:r>
            <w:r w:rsidRPr="004229B4">
              <w:rPr>
                <w:rFonts w:ascii="Calibri" w:hAnsi="Calibri" w:cs="Calibri"/>
                <w:sz w:val="20"/>
              </w:rPr>
              <w:t>used</w:t>
            </w:r>
            <w:r w:rsidRPr="004229B4">
              <w:rPr>
                <w:rFonts w:ascii="Calibri" w:hAnsi="Calibri" w:cs="Calibri"/>
                <w:spacing w:val="-7"/>
                <w:sz w:val="20"/>
              </w:rPr>
              <w:t xml:space="preserve"> </w:t>
            </w:r>
            <w:r w:rsidRPr="004229B4">
              <w:rPr>
                <w:rFonts w:ascii="Calibri" w:hAnsi="Calibri" w:cs="Calibri"/>
                <w:sz w:val="20"/>
              </w:rPr>
              <w:t>at</w:t>
            </w:r>
            <w:r w:rsidRPr="004229B4">
              <w:rPr>
                <w:rFonts w:ascii="Calibri" w:hAnsi="Calibri" w:cs="Calibri"/>
                <w:spacing w:val="-7"/>
                <w:sz w:val="20"/>
              </w:rPr>
              <w:t xml:space="preserve"> </w:t>
            </w:r>
            <w:r w:rsidRPr="004229B4">
              <w:rPr>
                <w:rFonts w:ascii="Calibri" w:hAnsi="Calibri" w:cs="Calibri"/>
                <w:sz w:val="20"/>
              </w:rPr>
              <w:t>least</w:t>
            </w:r>
            <w:r w:rsidRPr="004229B4">
              <w:rPr>
                <w:rFonts w:ascii="Calibri" w:hAnsi="Calibri" w:cs="Calibri"/>
                <w:spacing w:val="-6"/>
                <w:sz w:val="20"/>
              </w:rPr>
              <w:t xml:space="preserve"> </w:t>
            </w:r>
            <w:r w:rsidRPr="004229B4">
              <w:rPr>
                <w:rFonts w:ascii="Calibri" w:hAnsi="Calibri" w:cs="Calibri"/>
                <w:sz w:val="20"/>
              </w:rPr>
              <w:t>3</w:t>
            </w:r>
            <w:r w:rsidRPr="004229B4">
              <w:rPr>
                <w:rFonts w:ascii="Calibri" w:hAnsi="Calibri" w:cs="Calibri"/>
                <w:spacing w:val="-7"/>
                <w:sz w:val="20"/>
              </w:rPr>
              <w:t xml:space="preserve"> </w:t>
            </w:r>
            <w:r w:rsidRPr="004229B4">
              <w:rPr>
                <w:rFonts w:ascii="Calibri" w:hAnsi="Calibri" w:cs="Calibri"/>
                <w:sz w:val="20"/>
              </w:rPr>
              <w:t>consecutive</w:t>
            </w:r>
            <w:r w:rsidRPr="004229B4">
              <w:rPr>
                <w:rFonts w:ascii="Calibri" w:hAnsi="Calibri" w:cs="Calibri"/>
                <w:spacing w:val="-6"/>
                <w:sz w:val="20"/>
              </w:rPr>
              <w:t xml:space="preserve"> </w:t>
            </w:r>
            <w:r w:rsidRPr="004229B4">
              <w:rPr>
                <w:rFonts w:ascii="Calibri" w:hAnsi="Calibri" w:cs="Calibri"/>
                <w:sz w:val="20"/>
              </w:rPr>
              <w:t>days</w:t>
            </w:r>
            <w:r w:rsidRPr="004229B4">
              <w:rPr>
                <w:rFonts w:ascii="Calibri" w:hAnsi="Calibri" w:cs="Calibri"/>
                <w:spacing w:val="-7"/>
                <w:sz w:val="20"/>
              </w:rPr>
              <w:t xml:space="preserve"> </w:t>
            </w:r>
            <w:r w:rsidRPr="004229B4">
              <w:rPr>
                <w:rFonts w:ascii="Calibri" w:hAnsi="Calibri" w:cs="Calibri"/>
                <w:sz w:val="20"/>
              </w:rPr>
              <w:t>of systemic CS in the previous 2 years, n (%)</w:t>
            </w:r>
          </w:p>
        </w:tc>
      </w:tr>
      <w:tr w:rsidR="00E501A3" w:rsidRPr="00D124A7" w14:paraId="0F314C17"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D2E28FA"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5EE6D822"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58FE7DF8"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36338955"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127</w:t>
            </w:r>
          </w:p>
        </w:tc>
        <w:tc>
          <w:tcPr>
            <w:tcW w:w="1650" w:type="dxa"/>
            <w:tcBorders>
              <w:top w:val="single" w:sz="4" w:space="0" w:color="000000"/>
              <w:left w:val="single" w:sz="4" w:space="0" w:color="000000"/>
              <w:bottom w:val="single" w:sz="4" w:space="0" w:color="000000"/>
              <w:right w:val="single" w:sz="4" w:space="0" w:color="000000"/>
            </w:tcBorders>
          </w:tcPr>
          <w:p w14:paraId="72284D7B"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129</w:t>
            </w:r>
          </w:p>
        </w:tc>
      </w:tr>
      <w:tr w:rsidR="00E501A3" w:rsidRPr="00D124A7" w14:paraId="5083C484"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7140D11D"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4"/>
                <w:sz w:val="20"/>
              </w:rPr>
              <w:t>Yes</w:t>
            </w:r>
          </w:p>
        </w:tc>
        <w:tc>
          <w:tcPr>
            <w:tcW w:w="1417" w:type="dxa"/>
            <w:tcBorders>
              <w:top w:val="single" w:sz="4" w:space="0" w:color="000000"/>
              <w:left w:val="double" w:sz="4" w:space="0" w:color="auto"/>
              <w:bottom w:val="single" w:sz="4" w:space="0" w:color="000000"/>
              <w:right w:val="single" w:sz="4" w:space="0" w:color="000000"/>
            </w:tcBorders>
          </w:tcPr>
          <w:p w14:paraId="5EA33FAB"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96 (75)</w:t>
            </w:r>
          </w:p>
        </w:tc>
        <w:tc>
          <w:tcPr>
            <w:tcW w:w="1843" w:type="dxa"/>
            <w:tcBorders>
              <w:top w:val="single" w:sz="4" w:space="0" w:color="000000"/>
              <w:left w:val="single" w:sz="4" w:space="0" w:color="000000"/>
              <w:bottom w:val="single" w:sz="4" w:space="0" w:color="000000"/>
              <w:right w:val="double" w:sz="4" w:space="0" w:color="auto"/>
            </w:tcBorders>
          </w:tcPr>
          <w:p w14:paraId="37CE5FF5"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109 (76)</w:t>
            </w:r>
          </w:p>
        </w:tc>
        <w:tc>
          <w:tcPr>
            <w:tcW w:w="1417" w:type="dxa"/>
            <w:tcBorders>
              <w:top w:val="single" w:sz="4" w:space="0" w:color="000000"/>
              <w:left w:val="double" w:sz="4" w:space="0" w:color="auto"/>
              <w:bottom w:val="single" w:sz="4" w:space="0" w:color="000000"/>
              <w:right w:val="single" w:sz="4" w:space="0" w:color="000000"/>
            </w:tcBorders>
          </w:tcPr>
          <w:p w14:paraId="034415DF"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92 (72)</w:t>
            </w:r>
          </w:p>
        </w:tc>
        <w:tc>
          <w:tcPr>
            <w:tcW w:w="1650" w:type="dxa"/>
            <w:tcBorders>
              <w:top w:val="nil"/>
              <w:left w:val="single" w:sz="4" w:space="0" w:color="000000"/>
              <w:bottom w:val="single" w:sz="4" w:space="0" w:color="000000"/>
              <w:right w:val="single" w:sz="4" w:space="0" w:color="000000"/>
            </w:tcBorders>
          </w:tcPr>
          <w:p w14:paraId="6607B3A6"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97 (75)</w:t>
            </w:r>
          </w:p>
        </w:tc>
      </w:tr>
      <w:tr w:rsidR="00E501A3" w:rsidRPr="00D124A7" w14:paraId="5F1FF816"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6A16EB4B"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No</w:t>
            </w:r>
          </w:p>
        </w:tc>
        <w:tc>
          <w:tcPr>
            <w:tcW w:w="1417" w:type="dxa"/>
            <w:tcBorders>
              <w:top w:val="single" w:sz="4" w:space="0" w:color="000000"/>
              <w:left w:val="double" w:sz="4" w:space="0" w:color="auto"/>
              <w:bottom w:val="single" w:sz="4" w:space="0" w:color="000000"/>
              <w:right w:val="single" w:sz="4" w:space="0" w:color="000000"/>
            </w:tcBorders>
          </w:tcPr>
          <w:p w14:paraId="0C4D994E"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32 (25)</w:t>
            </w:r>
          </w:p>
        </w:tc>
        <w:tc>
          <w:tcPr>
            <w:tcW w:w="1843" w:type="dxa"/>
            <w:tcBorders>
              <w:top w:val="single" w:sz="4" w:space="0" w:color="000000"/>
              <w:left w:val="single" w:sz="4" w:space="0" w:color="000000"/>
              <w:bottom w:val="single" w:sz="4" w:space="0" w:color="000000"/>
              <w:right w:val="double" w:sz="4" w:space="0" w:color="auto"/>
            </w:tcBorders>
          </w:tcPr>
          <w:p w14:paraId="17FEFEE2"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34 (24)</w:t>
            </w:r>
          </w:p>
        </w:tc>
        <w:tc>
          <w:tcPr>
            <w:tcW w:w="1417" w:type="dxa"/>
            <w:tcBorders>
              <w:top w:val="single" w:sz="4" w:space="0" w:color="000000"/>
              <w:left w:val="double" w:sz="4" w:space="0" w:color="auto"/>
              <w:bottom w:val="single" w:sz="4" w:space="0" w:color="000000"/>
              <w:right w:val="single" w:sz="4" w:space="0" w:color="000000"/>
            </w:tcBorders>
          </w:tcPr>
          <w:p w14:paraId="2C84EAC3"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35 (28)</w:t>
            </w:r>
          </w:p>
        </w:tc>
        <w:tc>
          <w:tcPr>
            <w:tcW w:w="1650" w:type="dxa"/>
            <w:tcBorders>
              <w:top w:val="nil"/>
              <w:left w:val="single" w:sz="4" w:space="0" w:color="000000"/>
              <w:bottom w:val="single" w:sz="4" w:space="0" w:color="000000"/>
              <w:right w:val="single" w:sz="4" w:space="0" w:color="000000"/>
            </w:tcBorders>
          </w:tcPr>
          <w:p w14:paraId="022EF956"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32 (25)</w:t>
            </w:r>
          </w:p>
        </w:tc>
      </w:tr>
      <w:tr w:rsidR="00E501A3" w:rsidRPr="00D124A7" w14:paraId="28DC4FFE"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687D4566" w14:textId="77777777" w:rsidR="00E501A3" w:rsidRPr="004229B4" w:rsidRDefault="00E501A3" w:rsidP="00A327F8">
            <w:pPr>
              <w:kinsoku w:val="0"/>
              <w:overflowPunct w:val="0"/>
              <w:autoSpaceDE w:val="0"/>
              <w:autoSpaceDN w:val="0"/>
              <w:adjustRightInd w:val="0"/>
              <w:spacing w:after="0" w:line="210" w:lineRule="exact"/>
              <w:ind w:left="79" w:right="70"/>
              <w:rPr>
                <w:rFonts w:ascii="Calibri" w:hAnsi="Calibri" w:cs="Calibri"/>
                <w:sz w:val="20"/>
              </w:rPr>
            </w:pPr>
            <w:r w:rsidRPr="004229B4">
              <w:rPr>
                <w:rFonts w:ascii="Calibri" w:hAnsi="Calibri" w:cs="Calibri"/>
                <w:sz w:val="20"/>
              </w:rPr>
              <w:t>Participant</w:t>
            </w:r>
            <w:r w:rsidRPr="004229B4">
              <w:rPr>
                <w:rFonts w:ascii="Calibri" w:hAnsi="Calibri" w:cs="Calibri"/>
                <w:spacing w:val="-9"/>
                <w:sz w:val="20"/>
              </w:rPr>
              <w:t xml:space="preserve"> </w:t>
            </w:r>
            <w:r w:rsidRPr="004229B4">
              <w:rPr>
                <w:rFonts w:ascii="Calibri" w:hAnsi="Calibri" w:cs="Calibri"/>
                <w:sz w:val="20"/>
              </w:rPr>
              <w:t>medically</w:t>
            </w:r>
            <w:r w:rsidRPr="004229B4">
              <w:rPr>
                <w:rFonts w:ascii="Calibri" w:hAnsi="Calibri" w:cs="Calibri"/>
                <w:spacing w:val="-9"/>
                <w:sz w:val="20"/>
              </w:rPr>
              <w:t xml:space="preserve"> </w:t>
            </w:r>
            <w:r w:rsidRPr="004229B4">
              <w:rPr>
                <w:rFonts w:ascii="Calibri" w:hAnsi="Calibri" w:cs="Calibri"/>
                <w:sz w:val="20"/>
              </w:rPr>
              <w:t>unsuitable</w:t>
            </w:r>
            <w:r w:rsidRPr="004229B4">
              <w:rPr>
                <w:rFonts w:ascii="Calibri" w:hAnsi="Calibri" w:cs="Calibri"/>
                <w:spacing w:val="-9"/>
                <w:sz w:val="20"/>
              </w:rPr>
              <w:t xml:space="preserve"> </w:t>
            </w:r>
            <w:r w:rsidRPr="004229B4">
              <w:rPr>
                <w:rFonts w:ascii="Calibri" w:hAnsi="Calibri" w:cs="Calibri"/>
                <w:sz w:val="20"/>
              </w:rPr>
              <w:t>or</w:t>
            </w:r>
            <w:r w:rsidRPr="004229B4">
              <w:rPr>
                <w:rFonts w:ascii="Calibri" w:hAnsi="Calibri" w:cs="Calibri"/>
                <w:spacing w:val="-8"/>
                <w:sz w:val="20"/>
              </w:rPr>
              <w:t xml:space="preserve"> </w:t>
            </w:r>
            <w:r w:rsidRPr="004229B4">
              <w:rPr>
                <w:rFonts w:ascii="Calibri" w:hAnsi="Calibri" w:cs="Calibri"/>
                <w:sz w:val="20"/>
              </w:rPr>
              <w:t>intolerant</w:t>
            </w:r>
            <w:r w:rsidRPr="004229B4">
              <w:rPr>
                <w:rFonts w:ascii="Calibri" w:hAnsi="Calibri" w:cs="Calibri"/>
                <w:spacing w:val="-9"/>
                <w:sz w:val="20"/>
              </w:rPr>
              <w:t xml:space="preserve"> </w:t>
            </w:r>
            <w:r w:rsidRPr="004229B4">
              <w:rPr>
                <w:rFonts w:ascii="Calibri" w:hAnsi="Calibri" w:cs="Calibri"/>
                <w:sz w:val="20"/>
              </w:rPr>
              <w:t>to systemic CS, n (%)</w:t>
            </w:r>
          </w:p>
        </w:tc>
      </w:tr>
      <w:tr w:rsidR="00E501A3" w:rsidRPr="00D124A7" w14:paraId="50DCAF08"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6F5995E"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370979AD"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018DA31D"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31B74B08"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127</w:t>
            </w:r>
          </w:p>
        </w:tc>
        <w:tc>
          <w:tcPr>
            <w:tcW w:w="1650" w:type="dxa"/>
            <w:tcBorders>
              <w:top w:val="single" w:sz="4" w:space="0" w:color="000000"/>
              <w:left w:val="single" w:sz="4" w:space="0" w:color="000000"/>
              <w:bottom w:val="single" w:sz="4" w:space="0" w:color="000000"/>
              <w:right w:val="single" w:sz="4" w:space="0" w:color="000000"/>
            </w:tcBorders>
          </w:tcPr>
          <w:p w14:paraId="5FC62DEC"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129</w:t>
            </w:r>
          </w:p>
        </w:tc>
      </w:tr>
      <w:tr w:rsidR="00E501A3" w:rsidRPr="00D124A7" w14:paraId="552CD00B"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D33A477"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4"/>
                <w:sz w:val="20"/>
              </w:rPr>
              <w:t>Yes</w:t>
            </w:r>
          </w:p>
        </w:tc>
        <w:tc>
          <w:tcPr>
            <w:tcW w:w="1417" w:type="dxa"/>
            <w:tcBorders>
              <w:top w:val="single" w:sz="4" w:space="0" w:color="000000"/>
              <w:left w:val="double" w:sz="4" w:space="0" w:color="auto"/>
              <w:bottom w:val="single" w:sz="4" w:space="0" w:color="000000"/>
              <w:right w:val="single" w:sz="4" w:space="0" w:color="000000"/>
            </w:tcBorders>
          </w:tcPr>
          <w:p w14:paraId="01394BEA"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6 (5)</w:t>
            </w:r>
          </w:p>
        </w:tc>
        <w:tc>
          <w:tcPr>
            <w:tcW w:w="1843" w:type="dxa"/>
            <w:tcBorders>
              <w:top w:val="single" w:sz="4" w:space="0" w:color="000000"/>
              <w:left w:val="single" w:sz="4" w:space="0" w:color="000000"/>
              <w:bottom w:val="single" w:sz="4" w:space="0" w:color="000000"/>
              <w:right w:val="double" w:sz="4" w:space="0" w:color="auto"/>
            </w:tcBorders>
          </w:tcPr>
          <w:p w14:paraId="0E220BF4"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5 (3)</w:t>
            </w:r>
          </w:p>
        </w:tc>
        <w:tc>
          <w:tcPr>
            <w:tcW w:w="1417" w:type="dxa"/>
            <w:tcBorders>
              <w:top w:val="single" w:sz="4" w:space="0" w:color="000000"/>
              <w:left w:val="double" w:sz="4" w:space="0" w:color="auto"/>
              <w:bottom w:val="single" w:sz="4" w:space="0" w:color="000000"/>
              <w:right w:val="single" w:sz="4" w:space="0" w:color="000000"/>
            </w:tcBorders>
          </w:tcPr>
          <w:p w14:paraId="4B314F1B"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5 (4)</w:t>
            </w:r>
          </w:p>
        </w:tc>
        <w:tc>
          <w:tcPr>
            <w:tcW w:w="1650" w:type="dxa"/>
            <w:tcBorders>
              <w:top w:val="nil"/>
              <w:left w:val="single" w:sz="4" w:space="0" w:color="000000"/>
              <w:bottom w:val="single" w:sz="4" w:space="0" w:color="000000"/>
              <w:right w:val="single" w:sz="4" w:space="0" w:color="000000"/>
            </w:tcBorders>
          </w:tcPr>
          <w:p w14:paraId="3DB49E61"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8 (6)</w:t>
            </w:r>
          </w:p>
        </w:tc>
      </w:tr>
      <w:tr w:rsidR="00E501A3" w:rsidRPr="00D124A7" w14:paraId="7E80B98F"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33629E9"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No</w:t>
            </w:r>
          </w:p>
        </w:tc>
        <w:tc>
          <w:tcPr>
            <w:tcW w:w="1417" w:type="dxa"/>
            <w:tcBorders>
              <w:top w:val="single" w:sz="4" w:space="0" w:color="000000"/>
              <w:left w:val="double" w:sz="4" w:space="0" w:color="auto"/>
              <w:bottom w:val="single" w:sz="4" w:space="0" w:color="000000"/>
              <w:right w:val="single" w:sz="4" w:space="0" w:color="000000"/>
            </w:tcBorders>
          </w:tcPr>
          <w:p w14:paraId="3FF2A969"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122 (95)</w:t>
            </w:r>
          </w:p>
        </w:tc>
        <w:tc>
          <w:tcPr>
            <w:tcW w:w="1843" w:type="dxa"/>
            <w:tcBorders>
              <w:top w:val="single" w:sz="4" w:space="0" w:color="000000"/>
              <w:left w:val="single" w:sz="4" w:space="0" w:color="000000"/>
              <w:bottom w:val="single" w:sz="4" w:space="0" w:color="000000"/>
              <w:right w:val="double" w:sz="4" w:space="0" w:color="auto"/>
            </w:tcBorders>
          </w:tcPr>
          <w:p w14:paraId="5B59EBD9"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138 (97)</w:t>
            </w:r>
          </w:p>
        </w:tc>
        <w:tc>
          <w:tcPr>
            <w:tcW w:w="1417" w:type="dxa"/>
            <w:tcBorders>
              <w:top w:val="single" w:sz="4" w:space="0" w:color="000000"/>
              <w:left w:val="double" w:sz="4" w:space="0" w:color="auto"/>
              <w:bottom w:val="single" w:sz="4" w:space="0" w:color="000000"/>
              <w:right w:val="single" w:sz="4" w:space="0" w:color="000000"/>
            </w:tcBorders>
          </w:tcPr>
          <w:p w14:paraId="23B9C158"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122 (96)</w:t>
            </w:r>
          </w:p>
        </w:tc>
        <w:tc>
          <w:tcPr>
            <w:tcW w:w="1650" w:type="dxa"/>
            <w:tcBorders>
              <w:top w:val="nil"/>
              <w:left w:val="single" w:sz="4" w:space="0" w:color="000000"/>
              <w:bottom w:val="single" w:sz="4" w:space="0" w:color="000000"/>
              <w:right w:val="single" w:sz="4" w:space="0" w:color="000000"/>
            </w:tcBorders>
          </w:tcPr>
          <w:p w14:paraId="283B1AD2"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121 (94)</w:t>
            </w:r>
          </w:p>
        </w:tc>
      </w:tr>
      <w:tr w:rsidR="00E501A3" w:rsidRPr="00D124A7" w14:paraId="76919546"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2B5BA9E6" w14:textId="77777777" w:rsidR="00E501A3" w:rsidRPr="004229B4" w:rsidRDefault="00E501A3" w:rsidP="00A327F8">
            <w:pPr>
              <w:kinsoku w:val="0"/>
              <w:overflowPunct w:val="0"/>
              <w:autoSpaceDE w:val="0"/>
              <w:autoSpaceDN w:val="0"/>
              <w:adjustRightInd w:val="0"/>
              <w:spacing w:after="0" w:line="210" w:lineRule="exact"/>
              <w:ind w:left="79" w:right="70"/>
              <w:rPr>
                <w:rFonts w:ascii="Calibri" w:hAnsi="Calibri" w:cs="Calibri"/>
                <w:sz w:val="20"/>
              </w:rPr>
            </w:pPr>
            <w:r w:rsidRPr="004229B4">
              <w:rPr>
                <w:rFonts w:ascii="Calibri" w:hAnsi="Calibri" w:cs="Calibri"/>
                <w:sz w:val="20"/>
              </w:rPr>
              <w:t>Total IgE (U/mL)</w:t>
            </w:r>
          </w:p>
        </w:tc>
      </w:tr>
      <w:tr w:rsidR="00E501A3" w:rsidRPr="00D124A7" w14:paraId="60E523D6"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4A188B86"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2AAD7F81"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127</w:t>
            </w:r>
          </w:p>
        </w:tc>
        <w:tc>
          <w:tcPr>
            <w:tcW w:w="1843" w:type="dxa"/>
            <w:tcBorders>
              <w:top w:val="single" w:sz="4" w:space="0" w:color="000000"/>
              <w:left w:val="single" w:sz="4" w:space="0" w:color="000000"/>
              <w:bottom w:val="single" w:sz="4" w:space="0" w:color="000000"/>
              <w:right w:val="double" w:sz="4" w:space="0" w:color="auto"/>
            </w:tcBorders>
          </w:tcPr>
          <w:p w14:paraId="5D0139F3"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141</w:t>
            </w:r>
          </w:p>
        </w:tc>
        <w:tc>
          <w:tcPr>
            <w:tcW w:w="1417" w:type="dxa"/>
            <w:tcBorders>
              <w:top w:val="single" w:sz="4" w:space="0" w:color="000000"/>
              <w:left w:val="double" w:sz="4" w:space="0" w:color="auto"/>
              <w:bottom w:val="single" w:sz="4" w:space="0" w:color="000000"/>
              <w:right w:val="single" w:sz="4" w:space="0" w:color="000000"/>
            </w:tcBorders>
          </w:tcPr>
          <w:p w14:paraId="13190110"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126</w:t>
            </w:r>
          </w:p>
        </w:tc>
        <w:tc>
          <w:tcPr>
            <w:tcW w:w="1650" w:type="dxa"/>
            <w:tcBorders>
              <w:top w:val="single" w:sz="4" w:space="0" w:color="000000"/>
              <w:left w:val="single" w:sz="4" w:space="0" w:color="000000"/>
              <w:bottom w:val="single" w:sz="4" w:space="0" w:color="000000"/>
              <w:right w:val="single" w:sz="4" w:space="0" w:color="000000"/>
            </w:tcBorders>
          </w:tcPr>
          <w:p w14:paraId="414A77DD"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129</w:t>
            </w:r>
          </w:p>
        </w:tc>
      </w:tr>
      <w:tr w:rsidR="00E501A3" w:rsidRPr="00D124A7" w14:paraId="56D5E6DC"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519CBEAE"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z w:val="20"/>
              </w:rPr>
              <w:t>Geo. Mean (SD logs)</w:t>
            </w:r>
          </w:p>
        </w:tc>
        <w:tc>
          <w:tcPr>
            <w:tcW w:w="1417" w:type="dxa"/>
            <w:tcBorders>
              <w:top w:val="single" w:sz="4" w:space="0" w:color="000000"/>
              <w:left w:val="double" w:sz="4" w:space="0" w:color="auto"/>
              <w:bottom w:val="single" w:sz="4" w:space="0" w:color="000000"/>
              <w:right w:val="single" w:sz="4" w:space="0" w:color="000000"/>
            </w:tcBorders>
          </w:tcPr>
          <w:p w14:paraId="054BEF4F"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139.88 (1.265)</w:t>
            </w:r>
          </w:p>
        </w:tc>
        <w:tc>
          <w:tcPr>
            <w:tcW w:w="1843" w:type="dxa"/>
            <w:tcBorders>
              <w:top w:val="single" w:sz="4" w:space="0" w:color="000000"/>
              <w:left w:val="single" w:sz="4" w:space="0" w:color="000000"/>
              <w:bottom w:val="single" w:sz="4" w:space="0" w:color="000000"/>
              <w:right w:val="double" w:sz="4" w:space="0" w:color="auto"/>
            </w:tcBorders>
          </w:tcPr>
          <w:p w14:paraId="4D2851DC"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142.94 (1.491)</w:t>
            </w:r>
          </w:p>
        </w:tc>
        <w:tc>
          <w:tcPr>
            <w:tcW w:w="1417" w:type="dxa"/>
            <w:tcBorders>
              <w:top w:val="single" w:sz="4" w:space="0" w:color="000000"/>
              <w:left w:val="double" w:sz="4" w:space="0" w:color="auto"/>
              <w:bottom w:val="single" w:sz="4" w:space="0" w:color="000000"/>
              <w:right w:val="single" w:sz="4" w:space="0" w:color="000000"/>
            </w:tcBorders>
          </w:tcPr>
          <w:p w14:paraId="1ED94C8D"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116.28 (1.253)</w:t>
            </w:r>
          </w:p>
        </w:tc>
        <w:tc>
          <w:tcPr>
            <w:tcW w:w="1650" w:type="dxa"/>
            <w:tcBorders>
              <w:top w:val="nil"/>
              <w:left w:val="single" w:sz="4" w:space="0" w:color="000000"/>
              <w:bottom w:val="single" w:sz="4" w:space="0" w:color="000000"/>
              <w:right w:val="single" w:sz="4" w:space="0" w:color="000000"/>
            </w:tcBorders>
          </w:tcPr>
          <w:p w14:paraId="115A78B8"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114.58 (1.224)</w:t>
            </w:r>
          </w:p>
        </w:tc>
      </w:tr>
      <w:tr w:rsidR="00E501A3" w:rsidRPr="00D124A7" w14:paraId="7D6BCCCA"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670672B7" w14:textId="77777777" w:rsidR="00E501A3" w:rsidRPr="004229B4" w:rsidRDefault="00E501A3" w:rsidP="00A327F8">
            <w:pPr>
              <w:kinsoku w:val="0"/>
              <w:overflowPunct w:val="0"/>
              <w:autoSpaceDE w:val="0"/>
              <w:autoSpaceDN w:val="0"/>
              <w:adjustRightInd w:val="0"/>
              <w:spacing w:after="0" w:line="210" w:lineRule="exact"/>
              <w:ind w:left="79" w:right="70"/>
              <w:rPr>
                <w:rFonts w:ascii="Calibri" w:hAnsi="Calibri" w:cs="Calibri"/>
                <w:sz w:val="20"/>
              </w:rPr>
            </w:pPr>
            <w:r w:rsidRPr="004229B4">
              <w:rPr>
                <w:rFonts w:ascii="Calibri" w:hAnsi="Calibri" w:cs="Calibri"/>
                <w:sz w:val="20"/>
              </w:rPr>
              <w:t>Baseline eosinophils (GI/L)</w:t>
            </w:r>
          </w:p>
        </w:tc>
      </w:tr>
      <w:tr w:rsidR="00E501A3" w:rsidRPr="00D124A7" w14:paraId="1D45A9A2"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B9C5A52"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2841B5DC"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7BEA89FE"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6FBCC3A4"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37AA59D9"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129</w:t>
            </w:r>
          </w:p>
        </w:tc>
      </w:tr>
      <w:tr w:rsidR="00E501A3" w:rsidRPr="00D124A7" w14:paraId="01A99321"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1489707D"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z w:val="20"/>
              </w:rPr>
              <w:t>Geo. Mean (SD logs)</w:t>
            </w:r>
          </w:p>
        </w:tc>
        <w:tc>
          <w:tcPr>
            <w:tcW w:w="1417" w:type="dxa"/>
            <w:tcBorders>
              <w:top w:val="single" w:sz="4" w:space="0" w:color="000000"/>
              <w:left w:val="double" w:sz="4" w:space="0" w:color="auto"/>
              <w:bottom w:val="single" w:sz="4" w:space="0" w:color="000000"/>
              <w:right w:val="single" w:sz="4" w:space="0" w:color="000000"/>
            </w:tcBorders>
          </w:tcPr>
          <w:p w14:paraId="77AD2D92"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0.359 (0.8539)</w:t>
            </w:r>
          </w:p>
        </w:tc>
        <w:tc>
          <w:tcPr>
            <w:tcW w:w="1843" w:type="dxa"/>
            <w:tcBorders>
              <w:top w:val="single" w:sz="4" w:space="0" w:color="000000"/>
              <w:left w:val="single" w:sz="4" w:space="0" w:color="000000"/>
              <w:bottom w:val="single" w:sz="4" w:space="0" w:color="000000"/>
              <w:right w:val="double" w:sz="4" w:space="0" w:color="auto"/>
            </w:tcBorders>
          </w:tcPr>
          <w:p w14:paraId="49BA22CA"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0.319 (0.9233)</w:t>
            </w:r>
          </w:p>
        </w:tc>
        <w:tc>
          <w:tcPr>
            <w:tcW w:w="1417" w:type="dxa"/>
            <w:tcBorders>
              <w:top w:val="single" w:sz="4" w:space="0" w:color="000000"/>
              <w:left w:val="double" w:sz="4" w:space="0" w:color="auto"/>
              <w:bottom w:val="single" w:sz="4" w:space="0" w:color="000000"/>
              <w:right w:val="single" w:sz="4" w:space="0" w:color="000000"/>
            </w:tcBorders>
          </w:tcPr>
          <w:p w14:paraId="04D576D4"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0.288 (0.8215)</w:t>
            </w:r>
          </w:p>
        </w:tc>
        <w:tc>
          <w:tcPr>
            <w:tcW w:w="1650" w:type="dxa"/>
            <w:tcBorders>
              <w:top w:val="nil"/>
              <w:left w:val="single" w:sz="4" w:space="0" w:color="000000"/>
              <w:bottom w:val="single" w:sz="4" w:space="0" w:color="000000"/>
              <w:right w:val="single" w:sz="4" w:space="0" w:color="000000"/>
            </w:tcBorders>
          </w:tcPr>
          <w:p w14:paraId="0C3C5585"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0.375 (0.6571)</w:t>
            </w:r>
          </w:p>
        </w:tc>
      </w:tr>
      <w:tr w:rsidR="00E501A3" w:rsidRPr="00D124A7" w14:paraId="3DE7496D"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617E1B39" w14:textId="77777777" w:rsidR="00E501A3" w:rsidRPr="004229B4" w:rsidRDefault="00E501A3" w:rsidP="00A327F8">
            <w:pPr>
              <w:kinsoku w:val="0"/>
              <w:overflowPunct w:val="0"/>
              <w:autoSpaceDE w:val="0"/>
              <w:autoSpaceDN w:val="0"/>
              <w:adjustRightInd w:val="0"/>
              <w:spacing w:after="0" w:line="210" w:lineRule="exact"/>
              <w:ind w:left="79" w:right="70"/>
              <w:rPr>
                <w:rFonts w:ascii="Calibri" w:hAnsi="Calibri" w:cs="Calibri"/>
                <w:sz w:val="20"/>
              </w:rPr>
            </w:pPr>
            <w:r w:rsidRPr="004229B4">
              <w:rPr>
                <w:rFonts w:ascii="Calibri" w:hAnsi="Calibri" w:cs="Calibri"/>
                <w:sz w:val="20"/>
              </w:rPr>
              <w:t>INCS use, n (%)</w:t>
            </w:r>
          </w:p>
        </w:tc>
      </w:tr>
      <w:tr w:rsidR="00E501A3" w:rsidRPr="00D124A7" w14:paraId="18669B1D"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6CF8B93B"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1CE6F616"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637B61F6"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0F6A0E82"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72BB5988"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129</w:t>
            </w:r>
          </w:p>
        </w:tc>
      </w:tr>
      <w:tr w:rsidR="00E501A3" w:rsidRPr="00D124A7" w14:paraId="3E8624CB"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3595FCF"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4"/>
                <w:sz w:val="20"/>
              </w:rPr>
              <w:t>Yes</w:t>
            </w:r>
          </w:p>
        </w:tc>
        <w:tc>
          <w:tcPr>
            <w:tcW w:w="1417" w:type="dxa"/>
            <w:tcBorders>
              <w:top w:val="single" w:sz="4" w:space="0" w:color="000000"/>
              <w:left w:val="double" w:sz="4" w:space="0" w:color="auto"/>
              <w:bottom w:val="single" w:sz="4" w:space="0" w:color="000000"/>
              <w:right w:val="single" w:sz="4" w:space="0" w:color="000000"/>
            </w:tcBorders>
          </w:tcPr>
          <w:p w14:paraId="06BD4B7D"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126 (98)</w:t>
            </w:r>
          </w:p>
        </w:tc>
        <w:tc>
          <w:tcPr>
            <w:tcW w:w="1843" w:type="dxa"/>
            <w:tcBorders>
              <w:top w:val="single" w:sz="4" w:space="0" w:color="000000"/>
              <w:left w:val="single" w:sz="4" w:space="0" w:color="000000"/>
              <w:bottom w:val="single" w:sz="4" w:space="0" w:color="000000"/>
              <w:right w:val="double" w:sz="4" w:space="0" w:color="auto"/>
            </w:tcBorders>
          </w:tcPr>
          <w:p w14:paraId="2705B23C"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139 (97)</w:t>
            </w:r>
          </w:p>
        </w:tc>
        <w:tc>
          <w:tcPr>
            <w:tcW w:w="1417" w:type="dxa"/>
            <w:tcBorders>
              <w:top w:val="single" w:sz="4" w:space="0" w:color="000000"/>
              <w:left w:val="double" w:sz="4" w:space="0" w:color="auto"/>
              <w:bottom w:val="single" w:sz="4" w:space="0" w:color="000000"/>
              <w:right w:val="single" w:sz="4" w:space="0" w:color="000000"/>
            </w:tcBorders>
          </w:tcPr>
          <w:p w14:paraId="209367A3"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123 (96)</w:t>
            </w:r>
          </w:p>
        </w:tc>
        <w:tc>
          <w:tcPr>
            <w:tcW w:w="1650" w:type="dxa"/>
            <w:tcBorders>
              <w:top w:val="nil"/>
              <w:left w:val="single" w:sz="4" w:space="0" w:color="000000"/>
              <w:bottom w:val="single" w:sz="4" w:space="0" w:color="000000"/>
              <w:right w:val="single" w:sz="4" w:space="0" w:color="000000"/>
            </w:tcBorders>
          </w:tcPr>
          <w:p w14:paraId="51FBA8C3"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126 (98)</w:t>
            </w:r>
          </w:p>
        </w:tc>
      </w:tr>
      <w:tr w:rsidR="00E501A3" w:rsidRPr="00D124A7" w14:paraId="28F05817"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B3E656D"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No</w:t>
            </w:r>
          </w:p>
        </w:tc>
        <w:tc>
          <w:tcPr>
            <w:tcW w:w="1417" w:type="dxa"/>
            <w:tcBorders>
              <w:top w:val="single" w:sz="4" w:space="0" w:color="000000"/>
              <w:left w:val="double" w:sz="4" w:space="0" w:color="auto"/>
              <w:bottom w:val="single" w:sz="4" w:space="0" w:color="000000"/>
              <w:right w:val="single" w:sz="4" w:space="0" w:color="000000"/>
            </w:tcBorders>
          </w:tcPr>
          <w:p w14:paraId="63C5CCBB"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2 (2)</w:t>
            </w:r>
          </w:p>
        </w:tc>
        <w:tc>
          <w:tcPr>
            <w:tcW w:w="1843" w:type="dxa"/>
            <w:tcBorders>
              <w:top w:val="single" w:sz="4" w:space="0" w:color="000000"/>
              <w:left w:val="single" w:sz="4" w:space="0" w:color="000000"/>
              <w:bottom w:val="single" w:sz="4" w:space="0" w:color="000000"/>
              <w:right w:val="double" w:sz="4" w:space="0" w:color="auto"/>
            </w:tcBorders>
          </w:tcPr>
          <w:p w14:paraId="364BFC5F"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4 (3)</w:t>
            </w:r>
          </w:p>
        </w:tc>
        <w:tc>
          <w:tcPr>
            <w:tcW w:w="1417" w:type="dxa"/>
            <w:tcBorders>
              <w:top w:val="single" w:sz="4" w:space="0" w:color="000000"/>
              <w:left w:val="double" w:sz="4" w:space="0" w:color="auto"/>
              <w:bottom w:val="single" w:sz="4" w:space="0" w:color="000000"/>
              <w:right w:val="single" w:sz="4" w:space="0" w:color="000000"/>
            </w:tcBorders>
          </w:tcPr>
          <w:p w14:paraId="1C1DAB92"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5 (4)</w:t>
            </w:r>
          </w:p>
        </w:tc>
        <w:tc>
          <w:tcPr>
            <w:tcW w:w="1650" w:type="dxa"/>
            <w:tcBorders>
              <w:top w:val="nil"/>
              <w:left w:val="single" w:sz="4" w:space="0" w:color="000000"/>
              <w:bottom w:val="single" w:sz="4" w:space="0" w:color="000000"/>
              <w:right w:val="single" w:sz="4" w:space="0" w:color="000000"/>
            </w:tcBorders>
          </w:tcPr>
          <w:p w14:paraId="394BB876"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3 (2)</w:t>
            </w:r>
          </w:p>
        </w:tc>
      </w:tr>
      <w:tr w:rsidR="00E501A3" w:rsidRPr="00D124A7" w14:paraId="185F8A90" w14:textId="77777777">
        <w:trPr>
          <w:trHeight w:val="229"/>
        </w:trPr>
        <w:tc>
          <w:tcPr>
            <w:tcW w:w="0" w:type="auto"/>
            <w:gridSpan w:val="5"/>
            <w:tcBorders>
              <w:top w:val="single" w:sz="4" w:space="0" w:color="000000"/>
              <w:left w:val="double" w:sz="4" w:space="0" w:color="auto"/>
              <w:bottom w:val="single" w:sz="4" w:space="0" w:color="000000"/>
              <w:right w:val="single" w:sz="4" w:space="0" w:color="000000"/>
            </w:tcBorders>
            <w:shd w:val="clear" w:color="auto" w:fill="D9D9D9" w:themeFill="background1" w:themeFillShade="D9"/>
          </w:tcPr>
          <w:p w14:paraId="2770404D" w14:textId="77777777" w:rsidR="00E501A3" w:rsidRPr="004229B4" w:rsidRDefault="00E501A3" w:rsidP="00A327F8">
            <w:pPr>
              <w:kinsoku w:val="0"/>
              <w:overflowPunct w:val="0"/>
              <w:autoSpaceDE w:val="0"/>
              <w:autoSpaceDN w:val="0"/>
              <w:adjustRightInd w:val="0"/>
              <w:spacing w:after="0" w:line="210" w:lineRule="exact"/>
              <w:ind w:left="79" w:right="70"/>
              <w:rPr>
                <w:rFonts w:ascii="Calibri" w:hAnsi="Calibri" w:cs="Calibri"/>
                <w:sz w:val="20"/>
              </w:rPr>
            </w:pPr>
            <w:r w:rsidRPr="004229B4">
              <w:rPr>
                <w:rFonts w:ascii="Calibri" w:hAnsi="Calibri" w:cs="Calibri"/>
                <w:sz w:val="20"/>
              </w:rPr>
              <w:t>AERD, n (%)</w:t>
            </w:r>
          </w:p>
        </w:tc>
      </w:tr>
      <w:tr w:rsidR="00E501A3" w:rsidRPr="00D124A7" w14:paraId="1707D340"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4537FD2"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10"/>
                <w:sz w:val="20"/>
              </w:rPr>
              <w:t>n</w:t>
            </w:r>
          </w:p>
        </w:tc>
        <w:tc>
          <w:tcPr>
            <w:tcW w:w="1417" w:type="dxa"/>
            <w:tcBorders>
              <w:top w:val="single" w:sz="4" w:space="0" w:color="000000"/>
              <w:left w:val="double" w:sz="4" w:space="0" w:color="auto"/>
              <w:bottom w:val="single" w:sz="4" w:space="0" w:color="000000"/>
              <w:right w:val="single" w:sz="4" w:space="0" w:color="000000"/>
            </w:tcBorders>
          </w:tcPr>
          <w:p w14:paraId="325B5609"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pacing w:val="-4"/>
                <w:sz w:val="20"/>
              </w:rPr>
              <w:t>128</w:t>
            </w:r>
          </w:p>
        </w:tc>
        <w:tc>
          <w:tcPr>
            <w:tcW w:w="1843" w:type="dxa"/>
            <w:tcBorders>
              <w:top w:val="single" w:sz="4" w:space="0" w:color="000000"/>
              <w:left w:val="single" w:sz="4" w:space="0" w:color="000000"/>
              <w:bottom w:val="single" w:sz="4" w:space="0" w:color="000000"/>
              <w:right w:val="double" w:sz="4" w:space="0" w:color="auto"/>
            </w:tcBorders>
          </w:tcPr>
          <w:p w14:paraId="75005A54"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pacing w:val="-4"/>
                <w:sz w:val="20"/>
              </w:rPr>
              <w:t>143</w:t>
            </w:r>
          </w:p>
        </w:tc>
        <w:tc>
          <w:tcPr>
            <w:tcW w:w="1417" w:type="dxa"/>
            <w:tcBorders>
              <w:top w:val="single" w:sz="4" w:space="0" w:color="000000"/>
              <w:left w:val="double" w:sz="4" w:space="0" w:color="auto"/>
              <w:bottom w:val="single" w:sz="4" w:space="0" w:color="000000"/>
              <w:right w:val="single" w:sz="4" w:space="0" w:color="000000"/>
            </w:tcBorders>
          </w:tcPr>
          <w:p w14:paraId="29963829"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128</w:t>
            </w:r>
          </w:p>
        </w:tc>
        <w:tc>
          <w:tcPr>
            <w:tcW w:w="1650" w:type="dxa"/>
            <w:tcBorders>
              <w:top w:val="single" w:sz="4" w:space="0" w:color="000000"/>
              <w:left w:val="single" w:sz="4" w:space="0" w:color="000000"/>
              <w:bottom w:val="single" w:sz="4" w:space="0" w:color="000000"/>
              <w:right w:val="single" w:sz="4" w:space="0" w:color="000000"/>
            </w:tcBorders>
          </w:tcPr>
          <w:p w14:paraId="02F54940"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129</w:t>
            </w:r>
          </w:p>
        </w:tc>
      </w:tr>
      <w:tr w:rsidR="00E501A3" w:rsidRPr="00D124A7" w14:paraId="73B3DED2"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23FFE2B"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4"/>
                <w:sz w:val="20"/>
              </w:rPr>
              <w:t>Yes</w:t>
            </w:r>
          </w:p>
        </w:tc>
        <w:tc>
          <w:tcPr>
            <w:tcW w:w="1417" w:type="dxa"/>
            <w:tcBorders>
              <w:top w:val="single" w:sz="4" w:space="0" w:color="000000"/>
              <w:left w:val="double" w:sz="4" w:space="0" w:color="auto"/>
              <w:bottom w:val="single" w:sz="4" w:space="0" w:color="000000"/>
              <w:right w:val="single" w:sz="4" w:space="0" w:color="000000"/>
            </w:tcBorders>
          </w:tcPr>
          <w:p w14:paraId="0C067FC8"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17 (13)</w:t>
            </w:r>
          </w:p>
        </w:tc>
        <w:tc>
          <w:tcPr>
            <w:tcW w:w="1843" w:type="dxa"/>
            <w:tcBorders>
              <w:top w:val="single" w:sz="4" w:space="0" w:color="000000"/>
              <w:left w:val="single" w:sz="4" w:space="0" w:color="000000"/>
              <w:bottom w:val="single" w:sz="4" w:space="0" w:color="000000"/>
              <w:right w:val="double" w:sz="4" w:space="0" w:color="auto"/>
            </w:tcBorders>
          </w:tcPr>
          <w:p w14:paraId="7060CC0F"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26 (18)</w:t>
            </w:r>
          </w:p>
        </w:tc>
        <w:tc>
          <w:tcPr>
            <w:tcW w:w="1417" w:type="dxa"/>
            <w:tcBorders>
              <w:top w:val="single" w:sz="4" w:space="0" w:color="000000"/>
              <w:left w:val="double" w:sz="4" w:space="0" w:color="auto"/>
              <w:bottom w:val="single" w:sz="4" w:space="0" w:color="000000"/>
              <w:right w:val="single" w:sz="4" w:space="0" w:color="000000"/>
            </w:tcBorders>
          </w:tcPr>
          <w:p w14:paraId="4C814253"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19 (15)</w:t>
            </w:r>
          </w:p>
        </w:tc>
        <w:tc>
          <w:tcPr>
            <w:tcW w:w="1650" w:type="dxa"/>
            <w:tcBorders>
              <w:top w:val="nil"/>
              <w:left w:val="single" w:sz="4" w:space="0" w:color="000000"/>
              <w:bottom w:val="single" w:sz="4" w:space="0" w:color="000000"/>
              <w:right w:val="single" w:sz="4" w:space="0" w:color="000000"/>
            </w:tcBorders>
          </w:tcPr>
          <w:p w14:paraId="15DA5321"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23 (18)</w:t>
            </w:r>
          </w:p>
        </w:tc>
      </w:tr>
      <w:tr w:rsidR="00E501A3" w:rsidRPr="00D124A7" w14:paraId="6DD26D13"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56780337"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pacing w:val="-6"/>
                <w:sz w:val="20"/>
              </w:rPr>
            </w:pPr>
            <w:r w:rsidRPr="004229B4">
              <w:rPr>
                <w:rFonts w:ascii="Calibri" w:hAnsi="Calibri" w:cs="Calibri"/>
                <w:spacing w:val="-6"/>
                <w:sz w:val="20"/>
              </w:rPr>
              <w:t>No</w:t>
            </w:r>
          </w:p>
        </w:tc>
        <w:tc>
          <w:tcPr>
            <w:tcW w:w="1417" w:type="dxa"/>
            <w:tcBorders>
              <w:top w:val="single" w:sz="4" w:space="0" w:color="000000"/>
              <w:left w:val="double" w:sz="4" w:space="0" w:color="auto"/>
              <w:bottom w:val="single" w:sz="4" w:space="0" w:color="000000"/>
              <w:right w:val="single" w:sz="4" w:space="0" w:color="000000"/>
            </w:tcBorders>
          </w:tcPr>
          <w:p w14:paraId="55204898"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110 (86)</w:t>
            </w:r>
          </w:p>
        </w:tc>
        <w:tc>
          <w:tcPr>
            <w:tcW w:w="1843" w:type="dxa"/>
            <w:tcBorders>
              <w:top w:val="single" w:sz="4" w:space="0" w:color="000000"/>
              <w:left w:val="single" w:sz="4" w:space="0" w:color="000000"/>
              <w:bottom w:val="single" w:sz="4" w:space="0" w:color="000000"/>
              <w:right w:val="double" w:sz="4" w:space="0" w:color="auto"/>
            </w:tcBorders>
          </w:tcPr>
          <w:p w14:paraId="528DD379"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115 (80)</w:t>
            </w:r>
          </w:p>
        </w:tc>
        <w:tc>
          <w:tcPr>
            <w:tcW w:w="1417" w:type="dxa"/>
            <w:tcBorders>
              <w:top w:val="single" w:sz="4" w:space="0" w:color="000000"/>
              <w:left w:val="double" w:sz="4" w:space="0" w:color="auto"/>
              <w:bottom w:val="single" w:sz="4" w:space="0" w:color="000000"/>
              <w:right w:val="single" w:sz="4" w:space="0" w:color="000000"/>
            </w:tcBorders>
          </w:tcPr>
          <w:p w14:paraId="25F6A426"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108 (84)</w:t>
            </w:r>
          </w:p>
        </w:tc>
        <w:tc>
          <w:tcPr>
            <w:tcW w:w="1650" w:type="dxa"/>
            <w:tcBorders>
              <w:top w:val="nil"/>
              <w:left w:val="single" w:sz="4" w:space="0" w:color="000000"/>
              <w:bottom w:val="single" w:sz="4" w:space="0" w:color="000000"/>
              <w:right w:val="single" w:sz="4" w:space="0" w:color="000000"/>
            </w:tcBorders>
          </w:tcPr>
          <w:p w14:paraId="0203FB75"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106 (82)</w:t>
            </w:r>
          </w:p>
        </w:tc>
      </w:tr>
      <w:tr w:rsidR="00E501A3" w:rsidRPr="00D124A7" w14:paraId="647A8CBB"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CAF6D3D" w14:textId="77777777" w:rsidR="00E501A3" w:rsidRPr="004229B4" w:rsidRDefault="00E501A3" w:rsidP="00A327F8">
            <w:pPr>
              <w:kinsoku w:val="0"/>
              <w:overflowPunct w:val="0"/>
              <w:autoSpaceDE w:val="0"/>
              <w:autoSpaceDN w:val="0"/>
              <w:adjustRightInd w:val="0"/>
              <w:spacing w:after="0" w:line="210" w:lineRule="exact"/>
              <w:ind w:left="491"/>
              <w:rPr>
                <w:rFonts w:ascii="Calibri" w:hAnsi="Calibri" w:cs="Calibri"/>
                <w:sz w:val="20"/>
              </w:rPr>
            </w:pPr>
            <w:r w:rsidRPr="004229B4">
              <w:rPr>
                <w:rFonts w:ascii="Calibri" w:hAnsi="Calibri" w:cs="Calibri"/>
                <w:sz w:val="20"/>
              </w:rPr>
              <w:t>Not assessed</w:t>
            </w:r>
          </w:p>
        </w:tc>
        <w:tc>
          <w:tcPr>
            <w:tcW w:w="1417" w:type="dxa"/>
            <w:tcBorders>
              <w:top w:val="single" w:sz="4" w:space="0" w:color="000000"/>
              <w:left w:val="double" w:sz="4" w:space="0" w:color="auto"/>
              <w:bottom w:val="single" w:sz="4" w:space="0" w:color="000000"/>
              <w:right w:val="single" w:sz="4" w:space="0" w:color="000000"/>
            </w:tcBorders>
          </w:tcPr>
          <w:p w14:paraId="30FE86F7"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z w:val="20"/>
              </w:rPr>
            </w:pPr>
            <w:r w:rsidRPr="004229B4">
              <w:rPr>
                <w:rFonts w:ascii="Calibri" w:hAnsi="Calibri" w:cs="Calibri"/>
                <w:sz w:val="20"/>
              </w:rPr>
              <w:t>1 (&lt;1)</w:t>
            </w:r>
          </w:p>
        </w:tc>
        <w:tc>
          <w:tcPr>
            <w:tcW w:w="1843" w:type="dxa"/>
            <w:tcBorders>
              <w:top w:val="single" w:sz="4" w:space="0" w:color="000000"/>
              <w:left w:val="single" w:sz="4" w:space="0" w:color="000000"/>
              <w:bottom w:val="single" w:sz="4" w:space="0" w:color="000000"/>
              <w:right w:val="double" w:sz="4" w:space="0" w:color="auto"/>
            </w:tcBorders>
          </w:tcPr>
          <w:p w14:paraId="2F8C8859" w14:textId="77777777" w:rsidR="00E501A3" w:rsidRPr="004229B4" w:rsidRDefault="00E501A3">
            <w:pPr>
              <w:kinsoku w:val="0"/>
              <w:overflowPunct w:val="0"/>
              <w:autoSpaceDE w:val="0"/>
              <w:autoSpaceDN w:val="0"/>
              <w:adjustRightInd w:val="0"/>
              <w:spacing w:after="0" w:line="210" w:lineRule="exact"/>
              <w:ind w:left="79" w:right="70"/>
              <w:jc w:val="center"/>
              <w:rPr>
                <w:rFonts w:ascii="Calibri" w:hAnsi="Calibri" w:cs="Calibri"/>
                <w:sz w:val="20"/>
              </w:rPr>
            </w:pPr>
            <w:r w:rsidRPr="004229B4">
              <w:rPr>
                <w:rFonts w:ascii="Calibri" w:hAnsi="Calibri" w:cs="Calibri"/>
                <w:sz w:val="20"/>
              </w:rPr>
              <w:t>2 (1)</w:t>
            </w:r>
          </w:p>
        </w:tc>
        <w:tc>
          <w:tcPr>
            <w:tcW w:w="1417" w:type="dxa"/>
            <w:tcBorders>
              <w:top w:val="single" w:sz="4" w:space="0" w:color="000000"/>
              <w:left w:val="double" w:sz="4" w:space="0" w:color="auto"/>
              <w:bottom w:val="single" w:sz="4" w:space="0" w:color="000000"/>
              <w:right w:val="single" w:sz="4" w:space="0" w:color="000000"/>
            </w:tcBorders>
          </w:tcPr>
          <w:p w14:paraId="3D579746"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1 (&lt;1)</w:t>
            </w:r>
          </w:p>
        </w:tc>
        <w:tc>
          <w:tcPr>
            <w:tcW w:w="1650" w:type="dxa"/>
            <w:tcBorders>
              <w:top w:val="nil"/>
              <w:left w:val="single" w:sz="4" w:space="0" w:color="000000"/>
              <w:bottom w:val="single" w:sz="4" w:space="0" w:color="000000"/>
              <w:right w:val="single" w:sz="4" w:space="0" w:color="000000"/>
            </w:tcBorders>
          </w:tcPr>
          <w:p w14:paraId="64532335" w14:textId="77777777" w:rsidR="00E501A3" w:rsidRPr="004229B4" w:rsidRDefault="00E501A3">
            <w:pPr>
              <w:kinsoku w:val="0"/>
              <w:overflowPunct w:val="0"/>
              <w:autoSpaceDE w:val="0"/>
              <w:autoSpaceDN w:val="0"/>
              <w:adjustRightInd w:val="0"/>
              <w:spacing w:after="0" w:line="210" w:lineRule="exact"/>
              <w:ind w:left="5" w:right="5"/>
              <w:jc w:val="center"/>
              <w:rPr>
                <w:rFonts w:ascii="Calibri" w:hAnsi="Calibri" w:cs="Calibri"/>
                <w:spacing w:val="-4"/>
                <w:sz w:val="20"/>
              </w:rPr>
            </w:pPr>
            <w:r w:rsidRPr="004229B4">
              <w:rPr>
                <w:rFonts w:ascii="Calibri" w:hAnsi="Calibri" w:cs="Calibri"/>
                <w:spacing w:val="-4"/>
                <w:sz w:val="20"/>
              </w:rPr>
              <w:t>0</w:t>
            </w:r>
          </w:p>
        </w:tc>
      </w:tr>
      <w:tr w:rsidR="00E501A3" w:rsidRPr="00D124A7" w14:paraId="5F072631" w14:textId="77777777">
        <w:trPr>
          <w:trHeight w:val="229"/>
        </w:trPr>
        <w:tc>
          <w:tcPr>
            <w:tcW w:w="9021" w:type="dxa"/>
            <w:gridSpan w:val="5"/>
            <w:tcBorders>
              <w:top w:val="single" w:sz="4" w:space="0" w:color="000000"/>
              <w:left w:val="single" w:sz="4" w:space="0" w:color="000000"/>
              <w:bottom w:val="single" w:sz="4" w:space="0" w:color="000000"/>
              <w:right w:val="single" w:sz="4" w:space="0" w:color="000000"/>
            </w:tcBorders>
          </w:tcPr>
          <w:p w14:paraId="4C75D207" w14:textId="77777777" w:rsidR="00E501A3" w:rsidRPr="004229B4" w:rsidRDefault="00E501A3">
            <w:pPr>
              <w:kinsoku w:val="0"/>
              <w:overflowPunct w:val="0"/>
              <w:autoSpaceDE w:val="0"/>
              <w:autoSpaceDN w:val="0"/>
              <w:adjustRightInd w:val="0"/>
              <w:spacing w:after="0" w:line="210" w:lineRule="exact"/>
              <w:ind w:left="5" w:right="5"/>
              <w:rPr>
                <w:rFonts w:ascii="Calibri" w:hAnsi="Calibri" w:cs="Calibri"/>
                <w:spacing w:val="-4"/>
                <w:sz w:val="20"/>
              </w:rPr>
            </w:pPr>
            <w:r w:rsidRPr="00E8055D">
              <w:rPr>
                <w:rFonts w:ascii="Calibri" w:hAnsi="Calibri" w:cs="Calibri"/>
                <w:sz w:val="20"/>
                <w:highlight w:val="lightGray"/>
              </w:rPr>
              <w:t>Baseline Asthma characteristics</w:t>
            </w:r>
          </w:p>
        </w:tc>
      </w:tr>
      <w:tr w:rsidR="00E501A3" w:rsidRPr="00D124A7" w14:paraId="22BA4CD0"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305102DD" w14:textId="77777777" w:rsidR="00E501A3" w:rsidRPr="00E8055D" w:rsidRDefault="00E501A3" w:rsidP="00A327F8">
            <w:pPr>
              <w:kinsoku w:val="0"/>
              <w:overflowPunct w:val="0"/>
              <w:autoSpaceDE w:val="0"/>
              <w:autoSpaceDN w:val="0"/>
              <w:adjustRightInd w:val="0"/>
              <w:spacing w:after="0" w:line="210" w:lineRule="exact"/>
              <w:rPr>
                <w:rFonts w:ascii="Calibri" w:hAnsi="Calibri" w:cs="Calibri"/>
                <w:sz w:val="20"/>
                <w:highlight w:val="lightGray"/>
              </w:rPr>
            </w:pPr>
            <w:r w:rsidRPr="00BE557D">
              <w:rPr>
                <w:rFonts w:ascii="Calibri" w:hAnsi="Calibri" w:cs="Calibri"/>
                <w:sz w:val="20"/>
                <w:lang w:eastAsia="ja-JP"/>
              </w:rPr>
              <w:t>Participants with asthma (%)</w:t>
            </w:r>
          </w:p>
        </w:tc>
        <w:tc>
          <w:tcPr>
            <w:tcW w:w="1417" w:type="dxa"/>
            <w:tcBorders>
              <w:top w:val="single" w:sz="4" w:space="0" w:color="000000"/>
              <w:left w:val="double" w:sz="4" w:space="0" w:color="auto"/>
              <w:bottom w:val="single" w:sz="4" w:space="0" w:color="000000"/>
              <w:right w:val="single" w:sz="4" w:space="0" w:color="000000"/>
            </w:tcBorders>
            <w:vAlign w:val="center"/>
          </w:tcPr>
          <w:p w14:paraId="2EE7A2B1" w14:textId="20EEDBCA" w:rsidR="00E501A3" w:rsidRPr="004229B4" w:rsidRDefault="000516B9">
            <w:pPr>
              <w:kinsoku w:val="0"/>
              <w:overflowPunct w:val="0"/>
              <w:autoSpaceDE w:val="0"/>
              <w:autoSpaceDN w:val="0"/>
              <w:adjustRightInd w:val="0"/>
              <w:spacing w:after="0" w:line="210" w:lineRule="exact"/>
              <w:ind w:left="5" w:right="5"/>
              <w:jc w:val="center"/>
              <w:rPr>
                <w:rFonts w:ascii="Calibri" w:hAnsi="Calibri" w:cs="Calibri"/>
                <w:sz w:val="20"/>
              </w:rPr>
            </w:pPr>
            <w:r>
              <w:rPr>
                <w:rFonts w:ascii="Calibri" w:hAnsi="Calibri" w:cs="Calibri"/>
                <w:sz w:val="20"/>
                <w:lang w:eastAsia="ja-JP"/>
              </w:rPr>
              <w:t>62</w:t>
            </w:r>
          </w:p>
        </w:tc>
        <w:tc>
          <w:tcPr>
            <w:tcW w:w="1843" w:type="dxa"/>
            <w:tcBorders>
              <w:top w:val="single" w:sz="4" w:space="0" w:color="000000"/>
              <w:left w:val="single" w:sz="4" w:space="0" w:color="000000"/>
              <w:bottom w:val="single" w:sz="4" w:space="0" w:color="000000"/>
              <w:right w:val="double" w:sz="4" w:space="0" w:color="auto"/>
            </w:tcBorders>
            <w:vAlign w:val="center"/>
          </w:tcPr>
          <w:p w14:paraId="075921F1" w14:textId="06729B1E" w:rsidR="00E501A3" w:rsidRPr="004229B4" w:rsidRDefault="000516B9">
            <w:pPr>
              <w:kinsoku w:val="0"/>
              <w:overflowPunct w:val="0"/>
              <w:autoSpaceDE w:val="0"/>
              <w:autoSpaceDN w:val="0"/>
              <w:adjustRightInd w:val="0"/>
              <w:spacing w:after="0" w:line="210" w:lineRule="exact"/>
              <w:ind w:left="79" w:right="70"/>
              <w:jc w:val="center"/>
              <w:rPr>
                <w:rFonts w:ascii="Calibri" w:hAnsi="Calibri" w:cs="Calibri"/>
                <w:sz w:val="20"/>
              </w:rPr>
            </w:pPr>
            <w:r>
              <w:rPr>
                <w:rFonts w:ascii="Calibri" w:hAnsi="Calibri" w:cs="Calibri"/>
                <w:sz w:val="20"/>
                <w:lang w:eastAsia="ja-JP"/>
              </w:rPr>
              <w:t>57</w:t>
            </w:r>
          </w:p>
        </w:tc>
        <w:tc>
          <w:tcPr>
            <w:tcW w:w="1417" w:type="dxa"/>
            <w:tcBorders>
              <w:top w:val="single" w:sz="4" w:space="0" w:color="000000"/>
              <w:left w:val="double" w:sz="4" w:space="0" w:color="auto"/>
              <w:bottom w:val="single" w:sz="4" w:space="0" w:color="000000"/>
              <w:right w:val="single" w:sz="4" w:space="0" w:color="000000"/>
            </w:tcBorders>
            <w:vAlign w:val="center"/>
          </w:tcPr>
          <w:p w14:paraId="0177D287" w14:textId="75B5935B" w:rsidR="00E501A3" w:rsidRPr="004229B4" w:rsidRDefault="000516B9">
            <w:pPr>
              <w:kinsoku w:val="0"/>
              <w:overflowPunct w:val="0"/>
              <w:autoSpaceDE w:val="0"/>
              <w:autoSpaceDN w:val="0"/>
              <w:adjustRightInd w:val="0"/>
              <w:spacing w:after="0" w:line="210" w:lineRule="exact"/>
              <w:ind w:left="5" w:right="5"/>
              <w:jc w:val="center"/>
              <w:rPr>
                <w:rFonts w:ascii="Calibri" w:hAnsi="Calibri" w:cs="Calibri"/>
                <w:spacing w:val="-4"/>
                <w:sz w:val="20"/>
              </w:rPr>
            </w:pPr>
            <w:r>
              <w:rPr>
                <w:rFonts w:ascii="Calibri" w:hAnsi="Calibri" w:cs="Calibri"/>
                <w:sz w:val="20"/>
                <w:lang w:eastAsia="ja-JP"/>
              </w:rPr>
              <w:t>49</w:t>
            </w:r>
          </w:p>
        </w:tc>
        <w:tc>
          <w:tcPr>
            <w:tcW w:w="1650" w:type="dxa"/>
            <w:tcBorders>
              <w:top w:val="nil"/>
              <w:left w:val="single" w:sz="4" w:space="0" w:color="000000"/>
              <w:bottom w:val="single" w:sz="4" w:space="0" w:color="000000"/>
              <w:right w:val="single" w:sz="4" w:space="0" w:color="000000"/>
            </w:tcBorders>
            <w:vAlign w:val="center"/>
          </w:tcPr>
          <w:p w14:paraId="6CD42C74" w14:textId="51E2F282" w:rsidR="00E501A3" w:rsidRPr="004229B4" w:rsidRDefault="000516B9">
            <w:pPr>
              <w:kinsoku w:val="0"/>
              <w:overflowPunct w:val="0"/>
              <w:autoSpaceDE w:val="0"/>
              <w:autoSpaceDN w:val="0"/>
              <w:adjustRightInd w:val="0"/>
              <w:spacing w:after="0" w:line="210" w:lineRule="exact"/>
              <w:ind w:left="5" w:right="5"/>
              <w:jc w:val="center"/>
              <w:rPr>
                <w:rFonts w:ascii="Calibri" w:hAnsi="Calibri" w:cs="Calibri"/>
                <w:spacing w:val="-4"/>
                <w:sz w:val="20"/>
              </w:rPr>
            </w:pPr>
            <w:r>
              <w:rPr>
                <w:rFonts w:ascii="Calibri" w:hAnsi="Calibri" w:cs="Calibri"/>
                <w:sz w:val="20"/>
                <w:lang w:eastAsia="ja-JP"/>
              </w:rPr>
              <w:t>53</w:t>
            </w:r>
          </w:p>
        </w:tc>
      </w:tr>
      <w:tr w:rsidR="00E501A3" w:rsidRPr="00D124A7" w14:paraId="78CB157D"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60219184" w14:textId="77777777" w:rsidR="00E501A3" w:rsidRPr="00BE557D" w:rsidRDefault="00E501A3" w:rsidP="00A327F8">
            <w:pPr>
              <w:kinsoku w:val="0"/>
              <w:overflowPunct w:val="0"/>
              <w:autoSpaceDE w:val="0"/>
              <w:autoSpaceDN w:val="0"/>
              <w:adjustRightInd w:val="0"/>
              <w:spacing w:after="0" w:line="210" w:lineRule="exact"/>
              <w:rPr>
                <w:rFonts w:ascii="Calibri" w:hAnsi="Calibri" w:cs="Calibri"/>
                <w:sz w:val="20"/>
                <w:lang w:eastAsia="ja-JP"/>
              </w:rPr>
            </w:pPr>
            <w:r w:rsidRPr="00BE557D">
              <w:rPr>
                <w:rFonts w:ascii="Calibri" w:hAnsi="Calibri" w:cs="Calibri"/>
                <w:sz w:val="20"/>
              </w:rPr>
              <w:t>Asthma exacerbation in past year (%)</w:t>
            </w:r>
          </w:p>
        </w:tc>
        <w:tc>
          <w:tcPr>
            <w:tcW w:w="1417" w:type="dxa"/>
            <w:tcBorders>
              <w:top w:val="single" w:sz="4" w:space="0" w:color="000000"/>
              <w:left w:val="double" w:sz="4" w:space="0" w:color="auto"/>
              <w:bottom w:val="single" w:sz="4" w:space="0" w:color="000000"/>
              <w:right w:val="single" w:sz="4" w:space="0" w:color="000000"/>
            </w:tcBorders>
            <w:vAlign w:val="center"/>
          </w:tcPr>
          <w:p w14:paraId="02D85983" w14:textId="767B6F07" w:rsidR="00E501A3" w:rsidRPr="00BE557D" w:rsidRDefault="000516B9">
            <w:pPr>
              <w:kinsoku w:val="0"/>
              <w:overflowPunct w:val="0"/>
              <w:autoSpaceDE w:val="0"/>
              <w:autoSpaceDN w:val="0"/>
              <w:adjustRightInd w:val="0"/>
              <w:spacing w:after="0" w:line="210" w:lineRule="exact"/>
              <w:ind w:left="5" w:right="5"/>
              <w:jc w:val="center"/>
              <w:rPr>
                <w:rFonts w:ascii="Calibri" w:hAnsi="Calibri" w:cs="Calibri"/>
                <w:sz w:val="20"/>
                <w:lang w:eastAsia="ja-JP"/>
              </w:rPr>
            </w:pPr>
            <w:r>
              <w:rPr>
                <w:rFonts w:ascii="Calibri" w:hAnsi="Calibri" w:cs="Calibri"/>
                <w:sz w:val="20"/>
                <w:lang w:eastAsia="ja-JP"/>
              </w:rPr>
              <w:t>8</w:t>
            </w:r>
          </w:p>
        </w:tc>
        <w:tc>
          <w:tcPr>
            <w:tcW w:w="1843" w:type="dxa"/>
            <w:tcBorders>
              <w:top w:val="single" w:sz="4" w:space="0" w:color="000000"/>
              <w:left w:val="single" w:sz="4" w:space="0" w:color="000000"/>
              <w:bottom w:val="single" w:sz="4" w:space="0" w:color="000000"/>
              <w:right w:val="double" w:sz="4" w:space="0" w:color="auto"/>
            </w:tcBorders>
            <w:vAlign w:val="center"/>
          </w:tcPr>
          <w:p w14:paraId="40EEA0ED" w14:textId="785F61D7" w:rsidR="00E501A3" w:rsidRPr="00BE557D" w:rsidRDefault="000516B9">
            <w:pPr>
              <w:kinsoku w:val="0"/>
              <w:overflowPunct w:val="0"/>
              <w:autoSpaceDE w:val="0"/>
              <w:autoSpaceDN w:val="0"/>
              <w:adjustRightInd w:val="0"/>
              <w:spacing w:after="0" w:line="210" w:lineRule="exact"/>
              <w:ind w:left="79" w:right="70"/>
              <w:jc w:val="center"/>
              <w:rPr>
                <w:rFonts w:ascii="Calibri" w:hAnsi="Calibri" w:cs="Calibri"/>
                <w:sz w:val="20"/>
                <w:lang w:eastAsia="ja-JP"/>
              </w:rPr>
            </w:pPr>
            <w:r>
              <w:rPr>
                <w:rFonts w:ascii="Calibri" w:hAnsi="Calibri" w:cs="Calibri"/>
                <w:sz w:val="20"/>
                <w:lang w:eastAsia="ja-JP"/>
              </w:rPr>
              <w:t>17</w:t>
            </w:r>
          </w:p>
        </w:tc>
        <w:tc>
          <w:tcPr>
            <w:tcW w:w="1417" w:type="dxa"/>
            <w:tcBorders>
              <w:top w:val="single" w:sz="4" w:space="0" w:color="000000"/>
              <w:left w:val="double" w:sz="4" w:space="0" w:color="auto"/>
              <w:bottom w:val="single" w:sz="4" w:space="0" w:color="000000"/>
              <w:right w:val="single" w:sz="4" w:space="0" w:color="000000"/>
            </w:tcBorders>
            <w:vAlign w:val="center"/>
          </w:tcPr>
          <w:p w14:paraId="1DA06FA1" w14:textId="5BE661D8" w:rsidR="00E501A3" w:rsidRPr="00BE557D" w:rsidRDefault="000516B9">
            <w:pPr>
              <w:kinsoku w:val="0"/>
              <w:overflowPunct w:val="0"/>
              <w:autoSpaceDE w:val="0"/>
              <w:autoSpaceDN w:val="0"/>
              <w:adjustRightInd w:val="0"/>
              <w:spacing w:after="0" w:line="210" w:lineRule="exact"/>
              <w:ind w:left="5" w:right="5"/>
              <w:jc w:val="center"/>
              <w:rPr>
                <w:rFonts w:ascii="Calibri" w:hAnsi="Calibri" w:cs="Calibri"/>
                <w:sz w:val="20"/>
                <w:lang w:eastAsia="ja-JP"/>
              </w:rPr>
            </w:pPr>
            <w:r>
              <w:rPr>
                <w:rFonts w:ascii="Calibri" w:hAnsi="Calibri" w:cs="Calibri"/>
                <w:sz w:val="20"/>
                <w:lang w:eastAsia="ja-JP"/>
              </w:rPr>
              <w:t>14</w:t>
            </w:r>
            <w:r w:rsidR="00974C22">
              <w:rPr>
                <w:rFonts w:ascii="Calibri" w:hAnsi="Calibri" w:cs="Calibri"/>
                <w:sz w:val="20"/>
                <w:lang w:eastAsia="ja-JP"/>
              </w:rPr>
              <w:t>.3</w:t>
            </w:r>
          </w:p>
        </w:tc>
        <w:tc>
          <w:tcPr>
            <w:tcW w:w="1650" w:type="dxa"/>
            <w:tcBorders>
              <w:top w:val="nil"/>
              <w:left w:val="single" w:sz="4" w:space="0" w:color="000000"/>
              <w:bottom w:val="single" w:sz="4" w:space="0" w:color="000000"/>
              <w:right w:val="single" w:sz="4" w:space="0" w:color="000000"/>
            </w:tcBorders>
            <w:vAlign w:val="center"/>
          </w:tcPr>
          <w:p w14:paraId="2EE74191" w14:textId="679E569B" w:rsidR="00E501A3" w:rsidRPr="00BE557D" w:rsidRDefault="00EB70B0">
            <w:pPr>
              <w:kinsoku w:val="0"/>
              <w:overflowPunct w:val="0"/>
              <w:autoSpaceDE w:val="0"/>
              <w:autoSpaceDN w:val="0"/>
              <w:adjustRightInd w:val="0"/>
              <w:spacing w:after="0" w:line="210" w:lineRule="exact"/>
              <w:ind w:left="5" w:right="5"/>
              <w:jc w:val="center"/>
              <w:rPr>
                <w:rFonts w:ascii="Calibri" w:hAnsi="Calibri" w:cs="Calibri"/>
                <w:sz w:val="20"/>
                <w:lang w:eastAsia="ja-JP"/>
              </w:rPr>
            </w:pPr>
            <w:r>
              <w:rPr>
                <w:rFonts w:ascii="Calibri" w:hAnsi="Calibri" w:cs="Calibri"/>
                <w:sz w:val="20"/>
                <w:lang w:eastAsia="ja-JP"/>
              </w:rPr>
              <w:t>14.7</w:t>
            </w:r>
          </w:p>
        </w:tc>
      </w:tr>
      <w:tr w:rsidR="00E501A3" w:rsidRPr="00D124A7" w14:paraId="2929645F" w14:textId="77777777" w:rsidTr="00A327F8">
        <w:trPr>
          <w:trHeight w:val="229"/>
        </w:trPr>
        <w:tc>
          <w:tcPr>
            <w:tcW w:w="2694" w:type="dxa"/>
            <w:tcBorders>
              <w:top w:val="single" w:sz="4" w:space="0" w:color="000000"/>
              <w:left w:val="single" w:sz="4" w:space="0" w:color="000000"/>
              <w:bottom w:val="single" w:sz="4" w:space="0" w:color="000000"/>
              <w:right w:val="double" w:sz="4" w:space="0" w:color="auto"/>
            </w:tcBorders>
          </w:tcPr>
          <w:p w14:paraId="220456FF" w14:textId="77777777" w:rsidR="00E501A3" w:rsidRPr="00BE557D" w:rsidRDefault="00E501A3" w:rsidP="00A327F8">
            <w:pPr>
              <w:kinsoku w:val="0"/>
              <w:overflowPunct w:val="0"/>
              <w:autoSpaceDE w:val="0"/>
              <w:autoSpaceDN w:val="0"/>
              <w:adjustRightInd w:val="0"/>
              <w:spacing w:after="0" w:line="210" w:lineRule="exact"/>
              <w:rPr>
                <w:rFonts w:ascii="Calibri" w:hAnsi="Calibri" w:cs="Calibri"/>
                <w:sz w:val="20"/>
              </w:rPr>
            </w:pPr>
            <w:r w:rsidRPr="00BE557D">
              <w:rPr>
                <w:rFonts w:ascii="Calibri" w:hAnsi="Calibri" w:cs="Calibri"/>
                <w:sz w:val="20"/>
              </w:rPr>
              <w:t>Partially or not well controlled (%)</w:t>
            </w:r>
          </w:p>
        </w:tc>
        <w:tc>
          <w:tcPr>
            <w:tcW w:w="1417" w:type="dxa"/>
            <w:tcBorders>
              <w:top w:val="single" w:sz="4" w:space="0" w:color="000000"/>
              <w:left w:val="double" w:sz="4" w:space="0" w:color="auto"/>
              <w:bottom w:val="single" w:sz="4" w:space="0" w:color="000000"/>
              <w:right w:val="single" w:sz="4" w:space="0" w:color="000000"/>
            </w:tcBorders>
            <w:vAlign w:val="center"/>
          </w:tcPr>
          <w:p w14:paraId="1B8A2E69" w14:textId="10A997D4" w:rsidR="00E501A3" w:rsidRPr="00BE557D" w:rsidRDefault="00E501A3">
            <w:pPr>
              <w:kinsoku w:val="0"/>
              <w:overflowPunct w:val="0"/>
              <w:autoSpaceDE w:val="0"/>
              <w:autoSpaceDN w:val="0"/>
              <w:adjustRightInd w:val="0"/>
              <w:spacing w:after="0" w:line="210" w:lineRule="exact"/>
              <w:ind w:left="5" w:right="5"/>
              <w:jc w:val="center"/>
              <w:rPr>
                <w:rFonts w:ascii="Calibri" w:hAnsi="Calibri" w:cs="Calibri"/>
                <w:sz w:val="20"/>
                <w:lang w:eastAsia="ja-JP"/>
              </w:rPr>
            </w:pPr>
            <w:r w:rsidRPr="00BE557D">
              <w:rPr>
                <w:rFonts w:ascii="Calibri" w:hAnsi="Calibri" w:cs="Calibri"/>
                <w:sz w:val="20"/>
                <w:lang w:eastAsia="ja-JP"/>
              </w:rPr>
              <w:t>7</w:t>
            </w:r>
            <w:r w:rsidR="000516B9">
              <w:rPr>
                <w:rFonts w:ascii="Calibri" w:hAnsi="Calibri" w:cs="Calibri"/>
                <w:sz w:val="20"/>
                <w:lang w:eastAsia="ja-JP"/>
              </w:rPr>
              <w:t>6</w:t>
            </w:r>
          </w:p>
        </w:tc>
        <w:tc>
          <w:tcPr>
            <w:tcW w:w="1843" w:type="dxa"/>
            <w:tcBorders>
              <w:top w:val="single" w:sz="4" w:space="0" w:color="000000"/>
              <w:left w:val="single" w:sz="4" w:space="0" w:color="000000"/>
              <w:bottom w:val="single" w:sz="4" w:space="0" w:color="000000"/>
              <w:right w:val="double" w:sz="4" w:space="0" w:color="auto"/>
            </w:tcBorders>
            <w:vAlign w:val="center"/>
          </w:tcPr>
          <w:p w14:paraId="1F232759" w14:textId="55326ADE" w:rsidR="00E501A3" w:rsidRPr="00BE557D" w:rsidRDefault="00E501A3">
            <w:pPr>
              <w:kinsoku w:val="0"/>
              <w:overflowPunct w:val="0"/>
              <w:autoSpaceDE w:val="0"/>
              <w:autoSpaceDN w:val="0"/>
              <w:adjustRightInd w:val="0"/>
              <w:spacing w:after="0" w:line="210" w:lineRule="exact"/>
              <w:ind w:left="79" w:right="70"/>
              <w:jc w:val="center"/>
              <w:rPr>
                <w:rFonts w:ascii="Calibri" w:hAnsi="Calibri" w:cs="Calibri"/>
                <w:sz w:val="20"/>
                <w:lang w:eastAsia="ja-JP"/>
              </w:rPr>
            </w:pPr>
            <w:r w:rsidRPr="00BE557D">
              <w:rPr>
                <w:rFonts w:ascii="Calibri" w:hAnsi="Calibri" w:cs="Calibri"/>
                <w:sz w:val="20"/>
                <w:lang w:eastAsia="ja-JP"/>
              </w:rPr>
              <w:t>7</w:t>
            </w:r>
            <w:r w:rsidR="000516B9">
              <w:rPr>
                <w:rFonts w:ascii="Calibri" w:hAnsi="Calibri" w:cs="Calibri"/>
                <w:sz w:val="20"/>
                <w:lang w:eastAsia="ja-JP"/>
              </w:rPr>
              <w:t>2</w:t>
            </w:r>
          </w:p>
        </w:tc>
        <w:tc>
          <w:tcPr>
            <w:tcW w:w="1417" w:type="dxa"/>
            <w:tcBorders>
              <w:top w:val="single" w:sz="4" w:space="0" w:color="000000"/>
              <w:left w:val="double" w:sz="4" w:space="0" w:color="auto"/>
              <w:bottom w:val="single" w:sz="4" w:space="0" w:color="000000"/>
              <w:right w:val="single" w:sz="4" w:space="0" w:color="000000"/>
            </w:tcBorders>
            <w:vAlign w:val="center"/>
          </w:tcPr>
          <w:p w14:paraId="22A93376" w14:textId="0A3AB219" w:rsidR="00E501A3" w:rsidRPr="00BE557D" w:rsidRDefault="000516B9">
            <w:pPr>
              <w:kinsoku w:val="0"/>
              <w:overflowPunct w:val="0"/>
              <w:autoSpaceDE w:val="0"/>
              <w:autoSpaceDN w:val="0"/>
              <w:adjustRightInd w:val="0"/>
              <w:spacing w:after="0" w:line="210" w:lineRule="exact"/>
              <w:ind w:left="5" w:right="5"/>
              <w:jc w:val="center"/>
              <w:rPr>
                <w:rFonts w:ascii="Calibri" w:hAnsi="Calibri" w:cs="Calibri"/>
                <w:sz w:val="20"/>
                <w:lang w:eastAsia="ja-JP"/>
              </w:rPr>
            </w:pPr>
            <w:r>
              <w:rPr>
                <w:rFonts w:ascii="Calibri" w:hAnsi="Calibri" w:cs="Calibri"/>
                <w:sz w:val="20"/>
                <w:lang w:eastAsia="ja-JP"/>
              </w:rPr>
              <w:t>77</w:t>
            </w:r>
          </w:p>
        </w:tc>
        <w:tc>
          <w:tcPr>
            <w:tcW w:w="1650" w:type="dxa"/>
            <w:tcBorders>
              <w:top w:val="nil"/>
              <w:left w:val="single" w:sz="4" w:space="0" w:color="000000"/>
              <w:bottom w:val="single" w:sz="4" w:space="0" w:color="000000"/>
              <w:right w:val="single" w:sz="4" w:space="0" w:color="000000"/>
            </w:tcBorders>
            <w:vAlign w:val="center"/>
          </w:tcPr>
          <w:p w14:paraId="5027FD33" w14:textId="08CF2EB2" w:rsidR="00E501A3" w:rsidRPr="00BE557D" w:rsidRDefault="000516B9">
            <w:pPr>
              <w:kinsoku w:val="0"/>
              <w:overflowPunct w:val="0"/>
              <w:autoSpaceDE w:val="0"/>
              <w:autoSpaceDN w:val="0"/>
              <w:adjustRightInd w:val="0"/>
              <w:spacing w:after="0" w:line="210" w:lineRule="exact"/>
              <w:ind w:left="5" w:right="5"/>
              <w:jc w:val="center"/>
              <w:rPr>
                <w:rFonts w:ascii="Calibri" w:hAnsi="Calibri" w:cs="Calibri"/>
                <w:sz w:val="20"/>
                <w:lang w:eastAsia="ja-JP"/>
              </w:rPr>
            </w:pPr>
            <w:r>
              <w:rPr>
                <w:rFonts w:ascii="Calibri" w:hAnsi="Calibri" w:cs="Calibri"/>
                <w:sz w:val="20"/>
                <w:lang w:eastAsia="ja-JP"/>
              </w:rPr>
              <w:t>73</w:t>
            </w:r>
          </w:p>
        </w:tc>
      </w:tr>
    </w:tbl>
    <w:p w14:paraId="33FC57FF" w14:textId="77777777" w:rsidR="00E501A3" w:rsidRPr="00D124A7" w:rsidRDefault="00E501A3" w:rsidP="00D97C77">
      <w:pPr>
        <w:pStyle w:val="TableDescription"/>
        <w:rPr>
          <w:lang w:eastAsia="ja-JP"/>
        </w:rPr>
      </w:pPr>
      <w:r w:rsidRPr="00D124A7">
        <w:rPr>
          <w:lang w:eastAsia="ja-JP"/>
        </w:rPr>
        <w:lastRenderedPageBreak/>
        <w:t>Note: Percentages are calculated based on “n”.</w:t>
      </w:r>
      <w:r>
        <w:rPr>
          <w:lang w:eastAsia="ja-JP"/>
        </w:rPr>
        <w:t xml:space="preserve">  </w:t>
      </w:r>
      <w:r w:rsidRPr="00D124A7">
        <w:rPr>
          <w:lang w:eastAsia="ja-JP"/>
        </w:rPr>
        <w:t>Baseline eosinophil values of 0GI/L are imputed with a value of 0.005GI/L.</w:t>
      </w:r>
    </w:p>
    <w:p w14:paraId="72C8900D" w14:textId="48E33769" w:rsidR="00E501A3" w:rsidRPr="00A96789" w:rsidRDefault="00E501A3" w:rsidP="00A96789">
      <w:pPr>
        <w:pStyle w:val="Heading6"/>
      </w:pPr>
      <w:r w:rsidRPr="00A96789">
        <w:t>Primary endpoints</w:t>
      </w:r>
      <w:fldSimple w:instr="DOCVARIABLE vault_nd_8a034664-33fe-428e-9213-c69eb680a55f \* MERGEFORMAT">
        <w:r w:rsidR="008A6BD8">
          <w:t xml:space="preserve"> </w:t>
        </w:r>
      </w:fldSimple>
    </w:p>
    <w:p w14:paraId="134B2854" w14:textId="11B75CF5" w:rsidR="00E501A3" w:rsidRDefault="00E501A3" w:rsidP="00E501A3">
      <w:pPr>
        <w:rPr>
          <w:rFonts w:cstheme="majorHAnsi"/>
        </w:rPr>
      </w:pPr>
      <w:r w:rsidRPr="008113FC">
        <w:rPr>
          <w:rFonts w:cstheme="majorHAnsi"/>
        </w:rPr>
        <w:t xml:space="preserve">The co-primary endpoints were change from baseline in the total endoscopic NP score at Week 52, and the change from baseline in the nasal obstruction VRS mean score over week 49 to Week 52. </w:t>
      </w:r>
      <w:r>
        <w:rPr>
          <w:rFonts w:cstheme="majorHAnsi"/>
        </w:rPr>
        <w:t>Efficacy</w:t>
      </w:r>
      <w:r w:rsidRPr="001600EA">
        <w:rPr>
          <w:rFonts w:cstheme="majorHAnsi"/>
        </w:rPr>
        <w:t xml:space="preserve"> outcomes endpoints in ANCHOR-1 and ANCHOR-2 are </w:t>
      </w:r>
      <w:r>
        <w:rPr>
          <w:rFonts w:cstheme="majorHAnsi"/>
        </w:rPr>
        <w:t>summarised below</w:t>
      </w:r>
      <w:r w:rsidR="00695BA2">
        <w:rPr>
          <w:rFonts w:cstheme="majorHAnsi"/>
        </w:rPr>
        <w:t xml:space="preserve"> (Table 12)</w:t>
      </w:r>
      <w:r>
        <w:rPr>
          <w:rFonts w:cstheme="majorHAnsi"/>
        </w:rPr>
        <w:t>.</w:t>
      </w:r>
      <w:r w:rsidRPr="001600EA">
        <w:rPr>
          <w:rFonts w:cstheme="majorHAnsi"/>
        </w:rPr>
        <w:t xml:space="preserve"> </w:t>
      </w:r>
    </w:p>
    <w:p w14:paraId="4556DDAE" w14:textId="4B09FBB7" w:rsidR="00E501A3" w:rsidRDefault="00E501A3" w:rsidP="00653C40">
      <w:pPr>
        <w:pStyle w:val="TableTitle"/>
        <w:rPr>
          <w:rFonts w:cstheme="majorHAnsi"/>
        </w:rPr>
      </w:pPr>
      <w:r>
        <w:t xml:space="preserve">Table </w:t>
      </w:r>
      <w:r w:rsidR="00695BA2">
        <w:t>12.</w:t>
      </w:r>
      <w:r>
        <w:t xml:space="preserve"> Summary of co-primary and secondary outcomes, ANCHOR-1 and ANCHOR-2 studies.</w:t>
      </w:r>
    </w:p>
    <w:tbl>
      <w:tblPr>
        <w:tblW w:w="5118" w:type="pct"/>
        <w:jc w:val="center"/>
        <w:tblLayout w:type="fixed"/>
        <w:tblCellMar>
          <w:left w:w="0" w:type="dxa"/>
          <w:right w:w="0" w:type="dxa"/>
        </w:tblCellMar>
        <w:tblLook w:val="0000" w:firstRow="0" w:lastRow="0" w:firstColumn="0" w:lastColumn="0" w:noHBand="0" w:noVBand="0"/>
      </w:tblPr>
      <w:tblGrid>
        <w:gridCol w:w="2852"/>
        <w:gridCol w:w="1826"/>
        <w:gridCol w:w="1718"/>
        <w:gridCol w:w="1308"/>
        <w:gridCol w:w="1570"/>
      </w:tblGrid>
      <w:tr w:rsidR="00E501A3" w:rsidRPr="00D124A7" w14:paraId="43762EA1" w14:textId="77777777" w:rsidTr="0024041D">
        <w:trPr>
          <w:trHeight w:val="310"/>
          <w:jc w:val="center"/>
        </w:trPr>
        <w:tc>
          <w:tcPr>
            <w:tcW w:w="2851" w:type="dxa"/>
            <w:vMerge w:val="restart"/>
            <w:tcBorders>
              <w:top w:val="single" w:sz="4" w:space="0" w:color="000000" w:themeColor="text1"/>
              <w:left w:val="single" w:sz="4" w:space="0" w:color="000000" w:themeColor="text1"/>
              <w:right w:val="double" w:sz="4" w:space="0" w:color="auto"/>
            </w:tcBorders>
            <w:shd w:val="clear" w:color="auto" w:fill="D9D9D9" w:themeFill="background1" w:themeFillShade="D9"/>
          </w:tcPr>
          <w:p w14:paraId="30833AC6"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35727A3F" w14:textId="77777777" w:rsidR="00E501A3" w:rsidRPr="004229B4" w:rsidRDefault="00E501A3">
            <w:pPr>
              <w:kinsoku w:val="0"/>
              <w:overflowPunct w:val="0"/>
              <w:autoSpaceDE w:val="0"/>
              <w:autoSpaceDN w:val="0"/>
              <w:adjustRightInd w:val="0"/>
              <w:spacing w:after="0" w:line="228" w:lineRule="exact"/>
              <w:ind w:left="787" w:hanging="707"/>
              <w:jc w:val="center"/>
              <w:rPr>
                <w:rFonts w:ascii="Calibri" w:hAnsi="Calibri" w:cs="Calibri"/>
                <w:b/>
                <w:bCs/>
                <w:spacing w:val="-2"/>
                <w:sz w:val="20"/>
              </w:rPr>
            </w:pPr>
            <w:r w:rsidRPr="004229B4">
              <w:rPr>
                <w:rFonts w:ascii="Calibri" w:hAnsi="Calibri" w:cs="Calibri"/>
                <w:b/>
                <w:spacing w:val="-2"/>
                <w:sz w:val="20"/>
              </w:rPr>
              <w:t>ANCHOR-1</w:t>
            </w:r>
          </w:p>
        </w:tc>
        <w:tc>
          <w:tcPr>
            <w:tcW w:w="2876" w:type="dxa"/>
            <w:gridSpan w:val="2"/>
            <w:tcBorders>
              <w:top w:val="single" w:sz="4" w:space="0" w:color="000000" w:themeColor="text1"/>
              <w:left w:val="double" w:sz="4" w:space="0" w:color="auto"/>
              <w:bottom w:val="single" w:sz="4" w:space="0" w:color="000000" w:themeColor="text1"/>
              <w:right w:val="single" w:sz="4" w:space="0" w:color="000000" w:themeColor="text1"/>
            </w:tcBorders>
            <w:shd w:val="clear" w:color="auto" w:fill="D9D9D9" w:themeFill="background1" w:themeFillShade="D9"/>
            <w:vAlign w:val="center"/>
          </w:tcPr>
          <w:p w14:paraId="03C8A532" w14:textId="77777777" w:rsidR="00E501A3" w:rsidRPr="004229B4" w:rsidRDefault="00E501A3">
            <w:pPr>
              <w:kinsoku w:val="0"/>
              <w:overflowPunct w:val="0"/>
              <w:autoSpaceDE w:val="0"/>
              <w:autoSpaceDN w:val="0"/>
              <w:adjustRightInd w:val="0"/>
              <w:spacing w:after="0" w:line="228" w:lineRule="exact"/>
              <w:jc w:val="center"/>
              <w:rPr>
                <w:rFonts w:ascii="Calibri" w:hAnsi="Calibri" w:cs="Calibri"/>
                <w:b/>
                <w:bCs/>
                <w:spacing w:val="-2"/>
                <w:sz w:val="20"/>
              </w:rPr>
            </w:pPr>
            <w:r w:rsidRPr="004229B4">
              <w:rPr>
                <w:rFonts w:ascii="Calibri" w:hAnsi="Calibri" w:cs="Calibri"/>
                <w:b/>
                <w:spacing w:val="-2"/>
                <w:sz w:val="20"/>
              </w:rPr>
              <w:t>ANCHOR-2</w:t>
            </w:r>
          </w:p>
        </w:tc>
      </w:tr>
      <w:tr w:rsidR="00E501A3" w:rsidRPr="00D124A7" w14:paraId="2C3CE31E" w14:textId="77777777" w:rsidTr="0024041D">
        <w:trPr>
          <w:trHeight w:val="458"/>
          <w:jc w:val="center"/>
        </w:trPr>
        <w:tc>
          <w:tcPr>
            <w:tcW w:w="2851" w:type="dxa"/>
            <w:vMerge/>
          </w:tcPr>
          <w:p w14:paraId="27E7AA8F"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shd w:val="clear" w:color="auto" w:fill="D9D9D9" w:themeFill="background1" w:themeFillShade="D9"/>
          </w:tcPr>
          <w:p w14:paraId="7D870224" w14:textId="77777777" w:rsidR="00E501A3" w:rsidRPr="004229B4" w:rsidRDefault="00E501A3">
            <w:pPr>
              <w:kinsoku w:val="0"/>
              <w:overflowPunct w:val="0"/>
              <w:autoSpaceDE w:val="0"/>
              <w:autoSpaceDN w:val="0"/>
              <w:adjustRightInd w:val="0"/>
              <w:spacing w:after="0" w:line="228" w:lineRule="exact"/>
              <w:ind w:left="470" w:right="459"/>
              <w:jc w:val="center"/>
              <w:rPr>
                <w:rFonts w:ascii="Calibri" w:hAnsi="Calibri" w:cs="Calibri"/>
                <w:b/>
                <w:bCs/>
                <w:spacing w:val="-2"/>
                <w:sz w:val="20"/>
              </w:rPr>
            </w:pPr>
            <w:bookmarkStart w:id="81" w:name="Table_9_Summary_of_baseline_scores_for_c"/>
            <w:bookmarkEnd w:id="81"/>
            <w:r w:rsidRPr="004229B4">
              <w:rPr>
                <w:rFonts w:ascii="Calibri" w:hAnsi="Calibri" w:cs="Calibri"/>
                <w:b/>
                <w:spacing w:val="-2"/>
                <w:sz w:val="20"/>
              </w:rPr>
              <w:t>Placebo (N=128)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shd w:val="clear" w:color="auto" w:fill="D9D9D9" w:themeFill="background1" w:themeFillShade="D9"/>
          </w:tcPr>
          <w:p w14:paraId="3F6A293F" w14:textId="77777777" w:rsidR="00E501A3" w:rsidRPr="004229B4" w:rsidRDefault="00E501A3">
            <w:pPr>
              <w:kinsoku w:val="0"/>
              <w:overflowPunct w:val="0"/>
              <w:autoSpaceDE w:val="0"/>
              <w:autoSpaceDN w:val="0"/>
              <w:adjustRightInd w:val="0"/>
              <w:spacing w:after="0" w:line="228" w:lineRule="exact"/>
              <w:ind w:left="787" w:hanging="707"/>
              <w:jc w:val="center"/>
              <w:rPr>
                <w:rFonts w:ascii="Calibri" w:hAnsi="Calibri" w:cs="Calibri"/>
                <w:b/>
                <w:bCs/>
                <w:spacing w:val="-2"/>
                <w:sz w:val="20"/>
              </w:rPr>
            </w:pPr>
            <w:r w:rsidRPr="004229B4">
              <w:rPr>
                <w:rFonts w:ascii="Calibri" w:hAnsi="Calibri" w:cs="Calibri"/>
                <w:b/>
                <w:spacing w:val="-2"/>
                <w:sz w:val="20"/>
              </w:rPr>
              <w:t>Depemokimab</w:t>
            </w:r>
          </w:p>
          <w:p w14:paraId="66BD2DA0" w14:textId="77777777" w:rsidR="00E501A3" w:rsidRPr="004229B4" w:rsidRDefault="00E501A3">
            <w:pPr>
              <w:kinsoku w:val="0"/>
              <w:overflowPunct w:val="0"/>
              <w:autoSpaceDE w:val="0"/>
              <w:autoSpaceDN w:val="0"/>
              <w:adjustRightInd w:val="0"/>
              <w:spacing w:after="0" w:line="228" w:lineRule="exact"/>
              <w:ind w:left="787" w:hanging="707"/>
              <w:jc w:val="center"/>
              <w:rPr>
                <w:rFonts w:ascii="Calibri" w:hAnsi="Calibri" w:cs="Calibri"/>
                <w:b/>
                <w:bCs/>
                <w:spacing w:val="-2"/>
                <w:sz w:val="20"/>
              </w:rPr>
            </w:pPr>
            <w:r w:rsidRPr="004229B4">
              <w:rPr>
                <w:rFonts w:ascii="Calibri" w:hAnsi="Calibri" w:cs="Calibri"/>
                <w:b/>
                <w:spacing w:val="-2"/>
                <w:sz w:val="20"/>
              </w:rPr>
              <w:t>(N=143)</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shd w:val="clear" w:color="auto" w:fill="D9D9D9" w:themeFill="background1" w:themeFillShade="D9"/>
          </w:tcPr>
          <w:p w14:paraId="028C47DE" w14:textId="77777777" w:rsidR="00E501A3" w:rsidRPr="004229B4" w:rsidRDefault="00E501A3">
            <w:pPr>
              <w:kinsoku w:val="0"/>
              <w:overflowPunct w:val="0"/>
              <w:autoSpaceDE w:val="0"/>
              <w:autoSpaceDN w:val="0"/>
              <w:adjustRightInd w:val="0"/>
              <w:spacing w:after="0" w:line="228" w:lineRule="exact"/>
              <w:ind w:left="787" w:hanging="707"/>
              <w:jc w:val="center"/>
              <w:rPr>
                <w:rFonts w:ascii="Calibri" w:hAnsi="Calibri" w:cs="Calibri"/>
                <w:b/>
                <w:bCs/>
                <w:spacing w:val="-2"/>
                <w:sz w:val="20"/>
              </w:rPr>
            </w:pPr>
            <w:r w:rsidRPr="004229B4">
              <w:rPr>
                <w:rFonts w:ascii="Calibri" w:hAnsi="Calibri" w:cs="Calibri"/>
                <w:b/>
                <w:spacing w:val="-2"/>
                <w:sz w:val="20"/>
              </w:rPr>
              <w:t>Placebo</w:t>
            </w:r>
          </w:p>
          <w:p w14:paraId="5AADC2F9" w14:textId="77777777" w:rsidR="00E501A3" w:rsidRPr="004229B4" w:rsidRDefault="00E501A3">
            <w:pPr>
              <w:kinsoku w:val="0"/>
              <w:overflowPunct w:val="0"/>
              <w:autoSpaceDE w:val="0"/>
              <w:autoSpaceDN w:val="0"/>
              <w:adjustRightInd w:val="0"/>
              <w:spacing w:after="0" w:line="228" w:lineRule="exact"/>
              <w:ind w:left="787" w:hanging="707"/>
              <w:jc w:val="center"/>
              <w:rPr>
                <w:rFonts w:ascii="Calibri" w:hAnsi="Calibri" w:cs="Calibri"/>
                <w:b/>
                <w:bCs/>
                <w:spacing w:val="-2"/>
                <w:sz w:val="20"/>
              </w:rPr>
            </w:pPr>
            <w:r w:rsidRPr="004229B4">
              <w:rPr>
                <w:rFonts w:ascii="Calibri" w:hAnsi="Calibri" w:cs="Calibri"/>
                <w:b/>
                <w:spacing w:val="-2"/>
                <w:sz w:val="20"/>
              </w:rPr>
              <w:t>(N=128)</w:t>
            </w:r>
          </w:p>
        </w:tc>
        <w:tc>
          <w:tcPr>
            <w:tcW w:w="15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1DB48F" w14:textId="77777777" w:rsidR="00E501A3" w:rsidRPr="004229B4" w:rsidRDefault="00E501A3">
            <w:pPr>
              <w:kinsoku w:val="0"/>
              <w:overflowPunct w:val="0"/>
              <w:autoSpaceDE w:val="0"/>
              <w:autoSpaceDN w:val="0"/>
              <w:adjustRightInd w:val="0"/>
              <w:spacing w:after="0" w:line="228" w:lineRule="exact"/>
              <w:jc w:val="center"/>
              <w:rPr>
                <w:rFonts w:ascii="Calibri" w:hAnsi="Calibri" w:cs="Calibri"/>
                <w:b/>
                <w:bCs/>
                <w:spacing w:val="-2"/>
                <w:sz w:val="20"/>
              </w:rPr>
            </w:pPr>
            <w:r w:rsidRPr="004229B4">
              <w:rPr>
                <w:rFonts w:ascii="Calibri" w:hAnsi="Calibri" w:cs="Calibri"/>
                <w:b/>
                <w:spacing w:val="-2"/>
                <w:sz w:val="20"/>
              </w:rPr>
              <w:t>Depemokimab</w:t>
            </w:r>
          </w:p>
          <w:p w14:paraId="29A4A439" w14:textId="77777777" w:rsidR="00E501A3" w:rsidRPr="004229B4" w:rsidRDefault="00E501A3">
            <w:pPr>
              <w:kinsoku w:val="0"/>
              <w:overflowPunct w:val="0"/>
              <w:autoSpaceDE w:val="0"/>
              <w:autoSpaceDN w:val="0"/>
              <w:adjustRightInd w:val="0"/>
              <w:spacing w:after="0" w:line="228" w:lineRule="exact"/>
              <w:ind w:left="707" w:hanging="707"/>
              <w:jc w:val="center"/>
              <w:rPr>
                <w:rFonts w:ascii="Calibri" w:hAnsi="Calibri" w:cs="Calibri"/>
                <w:b/>
                <w:bCs/>
                <w:spacing w:val="-2"/>
                <w:sz w:val="20"/>
              </w:rPr>
            </w:pPr>
            <w:r w:rsidRPr="004229B4">
              <w:rPr>
                <w:rFonts w:ascii="Calibri" w:hAnsi="Calibri" w:cs="Calibri"/>
                <w:b/>
                <w:spacing w:val="-2"/>
                <w:sz w:val="20"/>
              </w:rPr>
              <w:t>(N=129)</w:t>
            </w:r>
          </w:p>
        </w:tc>
      </w:tr>
      <w:tr w:rsidR="00E501A3" w:rsidRPr="00D124A7" w14:paraId="0EFCC212" w14:textId="77777777" w:rsidTr="0024041D">
        <w:trPr>
          <w:trHeight w:val="2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36E1C985" w14:textId="77777777" w:rsidR="00E501A3" w:rsidRPr="000F51D0" w:rsidRDefault="00E501A3">
            <w:pPr>
              <w:kinsoku w:val="0"/>
              <w:overflowPunct w:val="0"/>
              <w:autoSpaceDE w:val="0"/>
              <w:autoSpaceDN w:val="0"/>
              <w:adjustRightInd w:val="0"/>
              <w:spacing w:after="0" w:line="240" w:lineRule="auto"/>
              <w:rPr>
                <w:rFonts w:ascii="Calibri" w:hAnsi="Calibri" w:cs="Calibri"/>
                <w:b/>
                <w:bCs/>
                <w:sz w:val="20"/>
              </w:rPr>
            </w:pPr>
            <w:r w:rsidRPr="000F51D0">
              <w:rPr>
                <w:rFonts w:ascii="Calibri" w:hAnsi="Calibri" w:cs="Calibri"/>
                <w:b/>
                <w:bCs/>
                <w:sz w:val="20"/>
              </w:rPr>
              <w:t>Total endoscopic</w:t>
            </w:r>
            <w:r>
              <w:rPr>
                <w:rFonts w:ascii="Calibri" w:hAnsi="Calibri" w:cs="Calibri"/>
                <w:b/>
                <w:bCs/>
                <w:sz w:val="20"/>
              </w:rPr>
              <w:t xml:space="preserve"> nasal polyp</w:t>
            </w:r>
            <w:r w:rsidRPr="000F51D0">
              <w:rPr>
                <w:rFonts w:ascii="Calibri" w:hAnsi="Calibri" w:cs="Calibri"/>
                <w:b/>
                <w:bCs/>
                <w:sz w:val="20"/>
              </w:rPr>
              <w:t xml:space="preserve"> score </w:t>
            </w:r>
            <w:r>
              <w:rPr>
                <w:rFonts w:ascii="Calibri" w:hAnsi="Calibri" w:cs="Calibri"/>
                <w:b/>
                <w:bCs/>
                <w:sz w:val="20"/>
              </w:rPr>
              <w:t xml:space="preserve">at Week 52 </w:t>
            </w:r>
            <w:r w:rsidRPr="000F51D0">
              <w:rPr>
                <w:rFonts w:ascii="Calibri" w:hAnsi="Calibri" w:cs="Calibri"/>
                <w:b/>
                <w:bCs/>
                <w:sz w:val="20"/>
              </w:rPr>
              <w:t>(co-primary)</w:t>
            </w:r>
          </w:p>
        </w:tc>
      </w:tr>
      <w:tr w:rsidR="00E501A3" w:rsidRPr="00D124A7" w14:paraId="56FC7A4B"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1ADDC59"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4229B4">
              <w:rPr>
                <w:rFonts w:ascii="Calibri" w:hAnsi="Calibri" w:cs="Calibri"/>
                <w:spacing w:val="-4"/>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5EAF176"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313E1F60"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143</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74661BE"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222094E3"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129</w:t>
            </w:r>
          </w:p>
        </w:tc>
      </w:tr>
      <w:tr w:rsidR="00E501A3" w:rsidRPr="00D124A7" w14:paraId="2B9E4F41"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EEC6112" w14:textId="3E607689" w:rsidR="00E501A3" w:rsidRPr="004229B4" w:rsidRDefault="1F943C02" w:rsidP="00ED7FCC">
            <w:pPr>
              <w:kinsoku w:val="0"/>
              <w:overflowPunct w:val="0"/>
              <w:autoSpaceDE w:val="0"/>
              <w:autoSpaceDN w:val="0"/>
              <w:adjustRightInd w:val="0"/>
              <w:spacing w:after="0" w:line="210" w:lineRule="exact"/>
              <w:ind w:left="491"/>
              <w:rPr>
                <w:rFonts w:ascii="Calibri" w:hAnsi="Calibri" w:cs="Calibri"/>
                <w:spacing w:val="-4"/>
                <w:sz w:val="20"/>
              </w:rPr>
            </w:pPr>
            <w:r w:rsidRPr="4E01C885">
              <w:rPr>
                <w:rFonts w:ascii="Calibri" w:hAnsi="Calibri" w:cs="Calibri"/>
                <w:sz w:val="20"/>
              </w:rPr>
              <w:t xml:space="preserve">Baseline </w:t>
            </w:r>
            <w:r w:rsidR="00966810" w:rsidRPr="4E01C885">
              <w:rPr>
                <w:rFonts w:ascii="Calibri" w:hAnsi="Calibri" w:cs="Calibri"/>
                <w:sz w:val="20"/>
              </w:rPr>
              <w:t xml:space="preserve">mean </w:t>
            </w:r>
            <w:r w:rsidR="00E501A3" w:rsidRPr="4E01C885">
              <w:rPr>
                <w:rFonts w:ascii="Calibri" w:hAnsi="Calibri" w:cs="Calibri"/>
                <w:spacing w:val="-4"/>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D54B081"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6.0 (1.37)</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5040AD8"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5.9 (1.34)</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3720F356" w14:textId="7BFAD094"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5.8 (1.37)</w:t>
            </w:r>
          </w:p>
        </w:tc>
        <w:tc>
          <w:tcPr>
            <w:tcW w:w="1569" w:type="dxa"/>
            <w:tcBorders>
              <w:top w:val="nil"/>
              <w:left w:val="nil"/>
              <w:bottom w:val="single" w:sz="4" w:space="0" w:color="000000" w:themeColor="text1"/>
              <w:right w:val="single" w:sz="4" w:space="0" w:color="000000" w:themeColor="text1"/>
            </w:tcBorders>
            <w:vAlign w:val="center"/>
          </w:tcPr>
          <w:p w14:paraId="0623EF41" w14:textId="4F5BE2AC"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5.9 (1.21)</w:t>
            </w:r>
          </w:p>
        </w:tc>
      </w:tr>
      <w:tr w:rsidR="00E501A3" w:rsidRPr="00D124A7" w14:paraId="633F95BA"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35344C1"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C819FA4"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0.2 (0.15)</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3D63669"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0F51D0">
              <w:rPr>
                <w:rFonts w:ascii="Calibri" w:hAnsi="Calibri" w:cs="Calibri"/>
                <w:spacing w:val="-4"/>
                <w:sz w:val="20"/>
              </w:rPr>
              <w:t>0.6 (0.14)</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7BF24032"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0.1 (0.15)</w:t>
            </w:r>
          </w:p>
        </w:tc>
        <w:tc>
          <w:tcPr>
            <w:tcW w:w="1569" w:type="dxa"/>
            <w:tcBorders>
              <w:top w:val="nil"/>
              <w:left w:val="nil"/>
              <w:bottom w:val="single" w:sz="4" w:space="0" w:color="000000" w:themeColor="text1"/>
              <w:right w:val="single" w:sz="4" w:space="0" w:color="000000" w:themeColor="text1"/>
            </w:tcBorders>
            <w:vAlign w:val="center"/>
          </w:tcPr>
          <w:p w14:paraId="1795A74B"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0F51D0">
              <w:rPr>
                <w:rFonts w:ascii="Calibri" w:hAnsi="Calibri" w:cs="Calibri"/>
                <w:spacing w:val="-4"/>
                <w:sz w:val="20"/>
              </w:rPr>
              <w:t>0.</w:t>
            </w:r>
            <w:r>
              <w:rPr>
                <w:rFonts w:ascii="Calibri" w:hAnsi="Calibri" w:cs="Calibri"/>
                <w:spacing w:val="-4"/>
                <w:sz w:val="20"/>
              </w:rPr>
              <w:t>5</w:t>
            </w:r>
            <w:r w:rsidRPr="000F51D0">
              <w:rPr>
                <w:rFonts w:ascii="Calibri" w:hAnsi="Calibri" w:cs="Calibri"/>
                <w:spacing w:val="-4"/>
                <w:sz w:val="20"/>
              </w:rPr>
              <w:t xml:space="preserve"> (0.14)</w:t>
            </w:r>
          </w:p>
        </w:tc>
      </w:tr>
      <w:tr w:rsidR="00E501A3" w:rsidRPr="00D124A7" w14:paraId="58469236" w14:textId="77777777" w:rsidTr="0024041D">
        <w:trPr>
          <w:trHeight w:hRule="exact" w:val="454"/>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95FE43A"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Adj. mean diff (95% CI), p value</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0EC34EE1"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 xml:space="preserve">-0.7 </w:t>
            </w:r>
            <w:r w:rsidRPr="000F51D0">
              <w:rPr>
                <w:rFonts w:ascii="Calibri" w:hAnsi="Calibri" w:cs="Calibri"/>
                <w:spacing w:val="-4"/>
                <w:sz w:val="20"/>
              </w:rPr>
              <w:t>(-1.1, -0.3)</w:t>
            </w:r>
            <w:r>
              <w:rPr>
                <w:rFonts w:ascii="Calibri" w:hAnsi="Calibri" w:cs="Calibri"/>
                <w:spacing w:val="-4"/>
                <w:sz w:val="20"/>
              </w:rPr>
              <w:t>, &lt;0.001</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75B5BDFD"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 xml:space="preserve">-0.6 </w:t>
            </w:r>
            <w:r w:rsidRPr="000F51D0">
              <w:rPr>
                <w:rFonts w:ascii="Calibri" w:hAnsi="Calibri" w:cs="Calibri"/>
                <w:spacing w:val="-4"/>
                <w:sz w:val="20"/>
              </w:rPr>
              <w:t>(-1.</w:t>
            </w:r>
            <w:r>
              <w:rPr>
                <w:rFonts w:ascii="Calibri" w:hAnsi="Calibri" w:cs="Calibri"/>
                <w:spacing w:val="-4"/>
                <w:sz w:val="20"/>
              </w:rPr>
              <w:t>0</w:t>
            </w:r>
            <w:r w:rsidRPr="000F51D0">
              <w:rPr>
                <w:rFonts w:ascii="Calibri" w:hAnsi="Calibri" w:cs="Calibri"/>
                <w:spacing w:val="-4"/>
                <w:sz w:val="20"/>
              </w:rPr>
              <w:t>, -0.</w:t>
            </w:r>
            <w:r>
              <w:rPr>
                <w:rFonts w:ascii="Calibri" w:hAnsi="Calibri" w:cs="Calibri"/>
                <w:spacing w:val="-4"/>
                <w:sz w:val="20"/>
              </w:rPr>
              <w:t>2</w:t>
            </w:r>
            <w:r w:rsidRPr="000F51D0">
              <w:rPr>
                <w:rFonts w:ascii="Calibri" w:hAnsi="Calibri" w:cs="Calibri"/>
                <w:spacing w:val="-4"/>
                <w:sz w:val="20"/>
              </w:rPr>
              <w:t>)</w:t>
            </w:r>
            <w:r>
              <w:rPr>
                <w:rFonts w:ascii="Calibri" w:hAnsi="Calibri" w:cs="Calibri"/>
                <w:spacing w:val="-4"/>
                <w:sz w:val="20"/>
              </w:rPr>
              <w:t>, 0.004</w:t>
            </w:r>
          </w:p>
        </w:tc>
      </w:tr>
      <w:tr w:rsidR="00E501A3" w:rsidRPr="00D124A7" w14:paraId="75054C25" w14:textId="77777777" w:rsidTr="0024041D">
        <w:trPr>
          <w:trHeight w:val="20"/>
          <w:jc w:val="center"/>
        </w:trPr>
        <w:tc>
          <w:tcPr>
            <w:tcW w:w="2852"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66412D6" w14:textId="77777777" w:rsidR="00E501A3" w:rsidRDefault="00E501A3" w:rsidP="0024041D">
            <w:pPr>
              <w:kinsoku w:val="0"/>
              <w:overflowPunct w:val="0"/>
              <w:autoSpaceDE w:val="0"/>
              <w:autoSpaceDN w:val="0"/>
              <w:adjustRightInd w:val="0"/>
              <w:spacing w:after="0" w:line="210" w:lineRule="exact"/>
              <w:rPr>
                <w:rFonts w:ascii="Calibri" w:hAnsi="Calibri" w:cs="Calibri"/>
                <w:spacing w:val="-4"/>
                <w:sz w:val="20"/>
              </w:rPr>
            </w:pPr>
            <w:r w:rsidRPr="00C70EDF">
              <w:rPr>
                <w:rFonts w:ascii="Calibri" w:hAnsi="Calibri" w:cs="Calibri"/>
                <w:sz w:val="20"/>
                <w:lang w:eastAsia="ja-JP"/>
              </w:rPr>
              <w:t>Supplementary estimand analysis</w:t>
            </w:r>
            <w:r>
              <w:rPr>
                <w:rFonts w:ascii="Calibri" w:hAnsi="Calibri" w:cs="Calibri"/>
                <w:sz w:val="20"/>
                <w:lang w:eastAsia="ja-JP"/>
              </w:rPr>
              <w:t xml:space="preserve"> </w:t>
            </w:r>
            <w:r>
              <w:rPr>
                <w:rFonts w:ascii="Calibri" w:hAnsi="Calibri" w:cs="Calibri"/>
                <w:spacing w:val="-4"/>
                <w:sz w:val="20"/>
              </w:rPr>
              <w:t>(95%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683360D3"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-0.8 (-1.2 to -0.4)</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16166AA0"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-0.5 (-0.9 to -0.1)</w:t>
            </w:r>
          </w:p>
        </w:tc>
      </w:tr>
      <w:tr w:rsidR="00E501A3" w:rsidRPr="00D124A7" w14:paraId="3B9E12E7" w14:textId="77777777" w:rsidTr="0024041D">
        <w:trPr>
          <w:trHeight w:val="20"/>
          <w:jc w:val="center"/>
        </w:trPr>
        <w:tc>
          <w:tcPr>
            <w:tcW w:w="2852"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67472758" w14:textId="77777777" w:rsidR="00E501A3" w:rsidRDefault="00E501A3" w:rsidP="0024041D">
            <w:pPr>
              <w:kinsoku w:val="0"/>
              <w:overflowPunct w:val="0"/>
              <w:autoSpaceDE w:val="0"/>
              <w:autoSpaceDN w:val="0"/>
              <w:adjustRightInd w:val="0"/>
              <w:spacing w:after="0" w:line="210" w:lineRule="exact"/>
              <w:rPr>
                <w:rFonts w:ascii="Calibri" w:hAnsi="Calibri" w:cs="Calibri"/>
                <w:spacing w:val="-4"/>
                <w:sz w:val="20"/>
              </w:rPr>
            </w:pPr>
            <w:r w:rsidRPr="00C70EDF">
              <w:rPr>
                <w:rFonts w:ascii="Calibri" w:hAnsi="Calibri" w:cs="Calibri"/>
                <w:sz w:val="20"/>
                <w:lang w:eastAsia="ja-JP"/>
              </w:rPr>
              <w:t>Jump to reference sensitivity analysis</w:t>
            </w:r>
            <w:r>
              <w:rPr>
                <w:rFonts w:ascii="Calibri" w:hAnsi="Calibri" w:cs="Calibri"/>
                <w:sz w:val="20"/>
                <w:lang w:eastAsia="ja-JP"/>
              </w:rPr>
              <w:t xml:space="preserve"> </w:t>
            </w:r>
            <w:r>
              <w:rPr>
                <w:rFonts w:ascii="Calibri" w:hAnsi="Calibri" w:cs="Calibri"/>
                <w:spacing w:val="-4"/>
                <w:sz w:val="20"/>
              </w:rPr>
              <w:t>(95%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2FBD3735"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-0.7 (-1.1 to -0.3)</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08FBB6BC"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-0.6 (-1.0 to -0.2)</w:t>
            </w:r>
          </w:p>
        </w:tc>
      </w:tr>
      <w:tr w:rsidR="00E501A3" w:rsidRPr="00D124A7" w14:paraId="7786A080" w14:textId="77777777" w:rsidTr="0024041D">
        <w:trPr>
          <w:trHeight w:val="2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3A480222" w14:textId="77777777" w:rsidR="00E501A3" w:rsidRPr="000F51D0" w:rsidRDefault="00E501A3" w:rsidP="00ED7FCC">
            <w:pPr>
              <w:kinsoku w:val="0"/>
              <w:overflowPunct w:val="0"/>
              <w:autoSpaceDE w:val="0"/>
              <w:autoSpaceDN w:val="0"/>
              <w:adjustRightInd w:val="0"/>
              <w:spacing w:after="0" w:line="240" w:lineRule="auto"/>
              <w:rPr>
                <w:rFonts w:ascii="Calibri" w:hAnsi="Calibri" w:cs="Calibri"/>
                <w:b/>
                <w:bCs/>
                <w:sz w:val="20"/>
              </w:rPr>
            </w:pPr>
            <w:r w:rsidRPr="000F51D0">
              <w:rPr>
                <w:rFonts w:ascii="Calibri" w:hAnsi="Calibri" w:cs="Calibri"/>
                <w:b/>
                <w:bCs/>
                <w:sz w:val="20"/>
              </w:rPr>
              <w:t>Nasal obstruction VRS mean score</w:t>
            </w:r>
            <w:r>
              <w:rPr>
                <w:rFonts w:ascii="Calibri" w:hAnsi="Calibri" w:cs="Calibri"/>
                <w:b/>
                <w:bCs/>
                <w:sz w:val="20"/>
              </w:rPr>
              <w:t xml:space="preserve"> Week 49 to 52</w:t>
            </w:r>
            <w:r w:rsidRPr="000F51D0">
              <w:rPr>
                <w:rFonts w:ascii="Calibri" w:hAnsi="Calibri" w:cs="Calibri"/>
                <w:b/>
                <w:bCs/>
                <w:sz w:val="20"/>
              </w:rPr>
              <w:t xml:space="preserve"> (co-primary)</w:t>
            </w:r>
          </w:p>
        </w:tc>
      </w:tr>
      <w:tr w:rsidR="00E501A3" w:rsidRPr="00D124A7" w14:paraId="10643C2F"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02C839A7"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4229B4">
              <w:rPr>
                <w:rFonts w:ascii="Calibri" w:hAnsi="Calibri" w:cs="Calibri"/>
                <w:spacing w:val="-4"/>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658658D"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83CC0AC"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143</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6DB846EC"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5185ADAA"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129</w:t>
            </w:r>
          </w:p>
        </w:tc>
      </w:tr>
      <w:tr w:rsidR="00E501A3" w:rsidRPr="00D124A7" w14:paraId="457D2384"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065A05A" w14:textId="2542F852" w:rsidR="00E501A3" w:rsidRPr="004229B4" w:rsidRDefault="38AC6F01" w:rsidP="00ED7FCC">
            <w:pPr>
              <w:kinsoku w:val="0"/>
              <w:overflowPunct w:val="0"/>
              <w:autoSpaceDE w:val="0"/>
              <w:autoSpaceDN w:val="0"/>
              <w:adjustRightInd w:val="0"/>
              <w:spacing w:after="0" w:line="210" w:lineRule="exact"/>
              <w:ind w:left="491"/>
              <w:rPr>
                <w:rFonts w:ascii="Calibri" w:hAnsi="Calibri" w:cs="Calibri"/>
                <w:spacing w:val="-4"/>
                <w:sz w:val="20"/>
              </w:rPr>
            </w:pPr>
            <w:r w:rsidRPr="4E01C885">
              <w:rPr>
                <w:rFonts w:ascii="Calibri" w:hAnsi="Calibri" w:cs="Calibri"/>
                <w:sz w:val="20"/>
              </w:rPr>
              <w:t>Baseline</w:t>
            </w:r>
            <w:r w:rsidR="6B707ECE" w:rsidRPr="4E01C885">
              <w:rPr>
                <w:rFonts w:ascii="Calibri" w:hAnsi="Calibri" w:cs="Calibri"/>
                <w:sz w:val="20"/>
              </w:rPr>
              <w:t xml:space="preserve"> </w:t>
            </w:r>
            <w:r w:rsidR="00966810" w:rsidRPr="4E01C885">
              <w:rPr>
                <w:rFonts w:ascii="Calibri" w:hAnsi="Calibri" w:cs="Calibri"/>
                <w:sz w:val="20"/>
              </w:rPr>
              <w:t xml:space="preserve">mean </w:t>
            </w:r>
            <w:r w:rsidR="00E501A3" w:rsidRPr="4E01C885">
              <w:rPr>
                <w:rFonts w:ascii="Calibri" w:hAnsi="Calibri" w:cs="Calibri"/>
                <w:spacing w:val="-4"/>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05C58F44"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2.53 (0.472)</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0715CCD8"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2.55 (0.487)</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6A60233A" w14:textId="06A92579"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2.57 (0.418)</w:t>
            </w:r>
          </w:p>
        </w:tc>
        <w:tc>
          <w:tcPr>
            <w:tcW w:w="1569" w:type="dxa"/>
            <w:tcBorders>
              <w:top w:val="nil"/>
              <w:left w:val="nil"/>
              <w:bottom w:val="single" w:sz="4" w:space="0" w:color="000000" w:themeColor="text1"/>
              <w:right w:val="single" w:sz="4" w:space="0" w:color="000000" w:themeColor="text1"/>
            </w:tcBorders>
            <w:vAlign w:val="center"/>
          </w:tcPr>
          <w:p w14:paraId="05346115" w14:textId="1C98AA7D"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2.62 (0.426)</w:t>
            </w:r>
          </w:p>
        </w:tc>
      </w:tr>
      <w:tr w:rsidR="00E501A3" w:rsidRPr="00D124A7" w14:paraId="26897C88"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6CC86454"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EBDE180"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AF185B">
              <w:rPr>
                <w:rFonts w:ascii="Calibri" w:hAnsi="Calibri" w:cs="Calibri"/>
                <w:spacing w:val="-4"/>
                <w:sz w:val="20"/>
              </w:rPr>
              <w:t>0.53 (0.083)</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3580D66C"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0F51D0">
              <w:rPr>
                <w:rFonts w:ascii="Calibri" w:hAnsi="Calibri" w:cs="Calibri"/>
                <w:spacing w:val="-4"/>
                <w:sz w:val="20"/>
              </w:rPr>
              <w:t>0.</w:t>
            </w:r>
            <w:r>
              <w:rPr>
                <w:rFonts w:ascii="Calibri" w:hAnsi="Calibri" w:cs="Calibri"/>
                <w:spacing w:val="-4"/>
                <w:sz w:val="20"/>
              </w:rPr>
              <w:t>7</w:t>
            </w:r>
            <w:r w:rsidRPr="000F51D0">
              <w:rPr>
                <w:rFonts w:ascii="Calibri" w:hAnsi="Calibri" w:cs="Calibri"/>
                <w:spacing w:val="-4"/>
                <w:sz w:val="20"/>
              </w:rPr>
              <w:t>6 (0.</w:t>
            </w:r>
            <w:r>
              <w:rPr>
                <w:rFonts w:ascii="Calibri" w:hAnsi="Calibri" w:cs="Calibri"/>
                <w:spacing w:val="-4"/>
                <w:sz w:val="20"/>
              </w:rPr>
              <w:t>079</w:t>
            </w:r>
            <w:r w:rsidRPr="000F51D0">
              <w:rPr>
                <w:rFonts w:ascii="Calibri" w:hAnsi="Calibri" w:cs="Calibri"/>
                <w:spacing w:val="-4"/>
                <w:sz w:val="20"/>
              </w:rPr>
              <w:t>)</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2AAECECB"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AF185B">
              <w:rPr>
                <w:rFonts w:ascii="Calibri" w:hAnsi="Calibri" w:cs="Calibri"/>
                <w:spacing w:val="-4"/>
                <w:sz w:val="20"/>
              </w:rPr>
              <w:t>0.53 (0.0</w:t>
            </w:r>
            <w:r>
              <w:rPr>
                <w:rFonts w:ascii="Calibri" w:hAnsi="Calibri" w:cs="Calibri"/>
                <w:spacing w:val="-4"/>
                <w:sz w:val="20"/>
              </w:rPr>
              <w:t>78</w:t>
            </w:r>
            <w:r w:rsidRPr="00AF185B">
              <w:rPr>
                <w:rFonts w:ascii="Calibri" w:hAnsi="Calibri" w:cs="Calibri"/>
                <w:spacing w:val="-4"/>
                <w:sz w:val="20"/>
              </w:rPr>
              <w:t>)</w:t>
            </w:r>
          </w:p>
        </w:tc>
        <w:tc>
          <w:tcPr>
            <w:tcW w:w="1569" w:type="dxa"/>
            <w:tcBorders>
              <w:top w:val="nil"/>
              <w:left w:val="nil"/>
              <w:bottom w:val="single" w:sz="4" w:space="0" w:color="000000" w:themeColor="text1"/>
              <w:right w:val="single" w:sz="4" w:space="0" w:color="000000" w:themeColor="text1"/>
            </w:tcBorders>
            <w:vAlign w:val="center"/>
          </w:tcPr>
          <w:p w14:paraId="0F400842"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AF185B">
              <w:rPr>
                <w:rFonts w:ascii="Calibri" w:hAnsi="Calibri" w:cs="Calibri"/>
                <w:spacing w:val="-4"/>
                <w:sz w:val="20"/>
              </w:rPr>
              <w:t>0.77 (0.076)</w:t>
            </w:r>
          </w:p>
        </w:tc>
      </w:tr>
      <w:tr w:rsidR="00E501A3" w:rsidRPr="00D124A7" w14:paraId="6EDC3902" w14:textId="77777777" w:rsidTr="0024041D">
        <w:trPr>
          <w:trHeight w:hRule="exact" w:val="454"/>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037B3BDC"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Adj. mean diff (95% CI), p value</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29B42138"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AF185B">
              <w:rPr>
                <w:rFonts w:ascii="Calibri" w:hAnsi="Calibri" w:cs="Calibri"/>
                <w:spacing w:val="-4"/>
                <w:sz w:val="20"/>
              </w:rPr>
              <w:t>0.23 (-0.46, 0.00)</w:t>
            </w:r>
            <w:r>
              <w:rPr>
                <w:rFonts w:ascii="Calibri" w:hAnsi="Calibri" w:cs="Calibri"/>
                <w:spacing w:val="-4"/>
                <w:sz w:val="20"/>
              </w:rPr>
              <w:t>, p=0.047</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7E6B20F4"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AF185B">
              <w:rPr>
                <w:rFonts w:ascii="Calibri" w:hAnsi="Calibri" w:cs="Calibri"/>
                <w:spacing w:val="-4"/>
                <w:sz w:val="20"/>
              </w:rPr>
              <w:t>0.25 (-0.46, -0.03)</w:t>
            </w:r>
            <w:r>
              <w:rPr>
                <w:rFonts w:ascii="Calibri" w:hAnsi="Calibri" w:cs="Calibri"/>
                <w:spacing w:val="-4"/>
                <w:sz w:val="20"/>
              </w:rPr>
              <w:t>, p=0.025</w:t>
            </w:r>
          </w:p>
        </w:tc>
      </w:tr>
      <w:tr w:rsidR="00E501A3" w:rsidRPr="00D124A7" w14:paraId="41813427"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183F20C" w14:textId="77777777" w:rsidR="00E501A3"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C70EDF">
              <w:rPr>
                <w:rFonts w:ascii="Calibri" w:hAnsi="Calibri" w:cs="Calibri"/>
                <w:sz w:val="20"/>
                <w:lang w:eastAsia="ja-JP"/>
              </w:rPr>
              <w:t>Supplementary estimand analysis</w:t>
            </w:r>
            <w:r>
              <w:rPr>
                <w:rFonts w:ascii="Calibri" w:hAnsi="Calibri" w:cs="Calibri"/>
                <w:sz w:val="20"/>
                <w:lang w:eastAsia="ja-JP"/>
              </w:rPr>
              <w:t xml:space="preserve"> </w:t>
            </w:r>
            <w:r>
              <w:rPr>
                <w:rFonts w:ascii="Calibri" w:hAnsi="Calibri" w:cs="Calibri"/>
                <w:spacing w:val="-4"/>
                <w:sz w:val="20"/>
              </w:rPr>
              <w:t>(95%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0DE974A1"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-0.25 (-0.48 to -0.03)</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502BF5CA"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-0.20 (-0.42 to 0.01)</w:t>
            </w:r>
          </w:p>
        </w:tc>
      </w:tr>
      <w:tr w:rsidR="00E501A3" w:rsidRPr="00D124A7" w14:paraId="6D765462"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4BA99FB" w14:textId="77777777" w:rsidR="00E501A3"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8C0F3F">
              <w:rPr>
                <w:rFonts w:ascii="Calibri" w:hAnsi="Calibri" w:cs="Calibri"/>
                <w:color w:val="000000" w:themeColor="text1"/>
                <w:sz w:val="20"/>
                <w:lang w:eastAsia="ja-JP"/>
              </w:rPr>
              <w:t xml:space="preserve">Jump to reference sensitivity analysis </w:t>
            </w:r>
            <w:r w:rsidRPr="008C0F3F">
              <w:rPr>
                <w:rFonts w:ascii="Calibri" w:hAnsi="Calibri" w:cs="Calibri"/>
                <w:color w:val="000000" w:themeColor="text1"/>
                <w:spacing w:val="-4"/>
                <w:sz w:val="20"/>
              </w:rPr>
              <w:t>(95%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55B1F58B"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-0.22 (-0.44 to 0.00)</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2725BAA7" w14:textId="77777777" w:rsidR="00E501A3"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C70EDF">
              <w:rPr>
                <w:rFonts w:ascii="Calibri" w:hAnsi="Calibri" w:cs="Calibri"/>
                <w:sz w:val="20"/>
                <w:lang w:eastAsia="ja-JP"/>
              </w:rPr>
              <w:t>-0.25 (-0.46 to -0.04)</w:t>
            </w:r>
          </w:p>
        </w:tc>
      </w:tr>
      <w:tr w:rsidR="00E501A3" w:rsidRPr="00D124A7" w14:paraId="08CA26E7" w14:textId="77777777" w:rsidTr="0024041D">
        <w:trPr>
          <w:trHeight w:val="2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6F902AE3" w14:textId="77777777" w:rsidR="00E501A3" w:rsidRPr="000F51D0" w:rsidRDefault="00E501A3" w:rsidP="00ED7FCC">
            <w:pPr>
              <w:kinsoku w:val="0"/>
              <w:overflowPunct w:val="0"/>
              <w:autoSpaceDE w:val="0"/>
              <w:autoSpaceDN w:val="0"/>
              <w:adjustRightInd w:val="0"/>
              <w:spacing w:after="0" w:line="240" w:lineRule="auto"/>
              <w:rPr>
                <w:rFonts w:ascii="Calibri" w:hAnsi="Calibri" w:cs="Calibri"/>
                <w:b/>
                <w:bCs/>
                <w:sz w:val="20"/>
              </w:rPr>
            </w:pPr>
            <w:r w:rsidRPr="000F51D0">
              <w:rPr>
                <w:rFonts w:ascii="Calibri" w:hAnsi="Calibri" w:cs="Calibri"/>
                <w:b/>
                <w:bCs/>
                <w:sz w:val="20"/>
              </w:rPr>
              <w:t>Secondary endpoints</w:t>
            </w:r>
          </w:p>
        </w:tc>
      </w:tr>
      <w:tr w:rsidR="00E501A3" w:rsidRPr="00D124A7" w14:paraId="7ECAC65D" w14:textId="77777777" w:rsidTr="0024041D">
        <w:trPr>
          <w:trHeight w:val="2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4E4316B4" w14:textId="77777777" w:rsidR="00E501A3" w:rsidRPr="004229B4" w:rsidRDefault="00E501A3" w:rsidP="00ED7FCC">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 xml:space="preserve">Rhinorrhoea (runny nose) VRS mean score </w:t>
            </w:r>
          </w:p>
        </w:tc>
      </w:tr>
      <w:tr w:rsidR="00E501A3" w:rsidRPr="00D124A7" w14:paraId="5F2867FA"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4428C8DC"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4229B4">
              <w:rPr>
                <w:rFonts w:ascii="Calibri" w:hAnsi="Calibri" w:cs="Calibri"/>
                <w:spacing w:val="-4"/>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6BAE6920"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D03DC39"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143</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8244A41"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63416765"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129</w:t>
            </w:r>
          </w:p>
        </w:tc>
      </w:tr>
      <w:tr w:rsidR="00E501A3" w:rsidRPr="00D124A7" w14:paraId="57082574"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C29DD4E" w14:textId="6060CD51" w:rsidR="00E501A3" w:rsidRPr="004229B4" w:rsidRDefault="46774D5B" w:rsidP="00ED7FCC">
            <w:pPr>
              <w:kinsoku w:val="0"/>
              <w:overflowPunct w:val="0"/>
              <w:autoSpaceDE w:val="0"/>
              <w:autoSpaceDN w:val="0"/>
              <w:adjustRightInd w:val="0"/>
              <w:spacing w:after="0" w:line="210" w:lineRule="exact"/>
              <w:ind w:left="491"/>
              <w:rPr>
                <w:rFonts w:ascii="Calibri" w:hAnsi="Calibri" w:cs="Calibri"/>
                <w:spacing w:val="-4"/>
                <w:sz w:val="20"/>
              </w:rPr>
            </w:pPr>
            <w:r w:rsidRPr="4E01C885">
              <w:rPr>
                <w:rFonts w:ascii="Calibri" w:hAnsi="Calibri" w:cs="Calibri"/>
                <w:sz w:val="20"/>
              </w:rPr>
              <w:t>Baseline</w:t>
            </w:r>
            <w:r w:rsidR="00CC1431" w:rsidRPr="4E01C885">
              <w:rPr>
                <w:rFonts w:ascii="Calibri" w:hAnsi="Calibri" w:cs="Calibri"/>
                <w:sz w:val="20"/>
              </w:rPr>
              <w:t xml:space="preserve"> </w:t>
            </w:r>
            <w:r w:rsidR="00966810" w:rsidRPr="4E01C885">
              <w:rPr>
                <w:rFonts w:ascii="Calibri" w:hAnsi="Calibri" w:cs="Calibri"/>
                <w:sz w:val="20"/>
              </w:rPr>
              <w:t>m</w:t>
            </w:r>
            <w:r w:rsidR="00E501A3" w:rsidRPr="4E01C885">
              <w:rPr>
                <w:rFonts w:ascii="Calibri" w:hAnsi="Calibri" w:cs="Calibri"/>
                <w:spacing w:val="-4"/>
                <w:sz w:val="20"/>
              </w:rPr>
              <w:t>ean (SD)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D1BB9FF"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2.18 (0.711)</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0BBB627A"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2.16 (0.697)</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2EBD98F2" w14:textId="0A976938"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2.27 (0.648)</w:t>
            </w:r>
          </w:p>
        </w:tc>
        <w:tc>
          <w:tcPr>
            <w:tcW w:w="1569" w:type="dxa"/>
            <w:tcBorders>
              <w:top w:val="nil"/>
              <w:left w:val="nil"/>
              <w:bottom w:val="single" w:sz="4" w:space="0" w:color="000000" w:themeColor="text1"/>
              <w:right w:val="single" w:sz="4" w:space="0" w:color="000000" w:themeColor="text1"/>
            </w:tcBorders>
            <w:vAlign w:val="center"/>
          </w:tcPr>
          <w:p w14:paraId="3AA13F5A" w14:textId="604700BA"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2.25 (0.689)</w:t>
            </w:r>
          </w:p>
        </w:tc>
      </w:tr>
      <w:tr w:rsidR="00E501A3" w:rsidRPr="00D124A7" w14:paraId="14201D70"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6E91B119"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664403BE"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rPr>
                <w:rFonts w:ascii="Calibri" w:hAnsi="Calibri" w:cs="Calibri"/>
                <w:spacing w:val="-4"/>
                <w:sz w:val="20"/>
              </w:rPr>
              <w:t>0.49 (0.087)</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5A506D02"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rPr>
                <w:rFonts w:ascii="Calibri" w:hAnsi="Calibri" w:cs="Calibri"/>
                <w:spacing w:val="-4"/>
                <w:sz w:val="20"/>
              </w:rPr>
              <w:t>0.71 (0.084)</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5A72CF86"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t xml:space="preserve"> </w:t>
            </w:r>
            <w:r w:rsidRPr="00386466">
              <w:rPr>
                <w:rFonts w:ascii="Calibri" w:hAnsi="Calibri" w:cs="Calibri"/>
                <w:spacing w:val="-4"/>
                <w:sz w:val="20"/>
              </w:rPr>
              <w:t>0.54 (0.082)</w:t>
            </w:r>
          </w:p>
        </w:tc>
        <w:tc>
          <w:tcPr>
            <w:tcW w:w="1569" w:type="dxa"/>
            <w:tcBorders>
              <w:top w:val="nil"/>
              <w:left w:val="nil"/>
              <w:bottom w:val="single" w:sz="4" w:space="0" w:color="000000" w:themeColor="text1"/>
              <w:right w:val="single" w:sz="4" w:space="0" w:color="000000" w:themeColor="text1"/>
            </w:tcBorders>
            <w:vAlign w:val="center"/>
          </w:tcPr>
          <w:p w14:paraId="019033CE"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t xml:space="preserve"> </w:t>
            </w:r>
            <w:r w:rsidRPr="00386466">
              <w:rPr>
                <w:rFonts w:ascii="Calibri" w:hAnsi="Calibri" w:cs="Calibri"/>
                <w:spacing w:val="-4"/>
                <w:sz w:val="20"/>
              </w:rPr>
              <w:t>0.72 (0.080)</w:t>
            </w:r>
          </w:p>
        </w:tc>
      </w:tr>
      <w:tr w:rsidR="00E501A3" w:rsidRPr="00D124A7" w14:paraId="567EECA2"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F15FCA0"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Adj. mean diff (95% CI), p value</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7989482C"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rPr>
                <w:rFonts w:ascii="Calibri" w:hAnsi="Calibri" w:cs="Calibri"/>
                <w:spacing w:val="-4"/>
                <w:sz w:val="20"/>
              </w:rPr>
              <w:t>0.22 (-0.46, 0.02)</w:t>
            </w:r>
            <w:r>
              <w:rPr>
                <w:rFonts w:ascii="Calibri" w:hAnsi="Calibri" w:cs="Calibri"/>
                <w:spacing w:val="-4"/>
                <w:sz w:val="20"/>
              </w:rPr>
              <w:t>, p=0.074</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22A2B177"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386466">
              <w:t xml:space="preserve"> </w:t>
            </w:r>
            <w:r w:rsidRPr="00386466">
              <w:rPr>
                <w:rFonts w:ascii="Calibri" w:hAnsi="Calibri" w:cs="Calibri"/>
                <w:spacing w:val="-4"/>
                <w:sz w:val="20"/>
              </w:rPr>
              <w:t>0.18 (-0.40, 0.05)</w:t>
            </w:r>
            <w:r>
              <w:rPr>
                <w:rFonts w:ascii="Calibri" w:hAnsi="Calibri" w:cs="Calibri"/>
                <w:spacing w:val="-4"/>
                <w:sz w:val="20"/>
              </w:rPr>
              <w:t>, p=0.125</w:t>
            </w:r>
          </w:p>
        </w:tc>
      </w:tr>
      <w:tr w:rsidR="00E501A3" w:rsidRPr="00D124A7" w14:paraId="2E668B88" w14:textId="77777777" w:rsidTr="0024041D">
        <w:trPr>
          <w:trHeight w:val="2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5E48EADA" w14:textId="77777777" w:rsidR="00E501A3" w:rsidRPr="004229B4" w:rsidRDefault="00E501A3" w:rsidP="00ED7FCC">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 xml:space="preserve">Loss of smell VRS mean score </w:t>
            </w:r>
            <w:r>
              <w:rPr>
                <w:rFonts w:ascii="Calibri" w:hAnsi="Calibri" w:cs="Calibri"/>
                <w:sz w:val="20"/>
              </w:rPr>
              <w:t>Week 49 to Week 52</w:t>
            </w:r>
          </w:p>
        </w:tc>
      </w:tr>
      <w:tr w:rsidR="00E501A3" w:rsidRPr="00D124A7" w14:paraId="2E179165"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F03AE2F" w14:textId="77777777" w:rsidR="00E501A3" w:rsidRPr="004229B4" w:rsidRDefault="00E501A3" w:rsidP="00ED7FCC">
            <w:pPr>
              <w:kinsoku w:val="0"/>
              <w:overflowPunct w:val="0"/>
              <w:autoSpaceDE w:val="0"/>
              <w:autoSpaceDN w:val="0"/>
              <w:adjustRightInd w:val="0"/>
              <w:spacing w:after="0" w:line="210" w:lineRule="exact"/>
              <w:ind w:left="491"/>
              <w:rPr>
                <w:rFonts w:ascii="Calibri" w:hAnsi="Calibri" w:cs="Calibri"/>
                <w:spacing w:val="-4"/>
                <w:sz w:val="20"/>
              </w:rPr>
            </w:pPr>
            <w:r w:rsidRPr="004229B4">
              <w:rPr>
                <w:rFonts w:ascii="Calibri" w:hAnsi="Calibri" w:cs="Calibri"/>
                <w:spacing w:val="-4"/>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B3E0961"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55FAB2F1"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143</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0DAFA630"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268742BA"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129</w:t>
            </w:r>
          </w:p>
        </w:tc>
      </w:tr>
      <w:tr w:rsidR="00E501A3" w:rsidRPr="00D124A7" w14:paraId="08A91762"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59318F87" w14:textId="34B6569A" w:rsidR="00E501A3" w:rsidRPr="004229B4" w:rsidRDefault="7BA11594" w:rsidP="00ED7FCC">
            <w:pPr>
              <w:kinsoku w:val="0"/>
              <w:overflowPunct w:val="0"/>
              <w:autoSpaceDE w:val="0"/>
              <w:autoSpaceDN w:val="0"/>
              <w:adjustRightInd w:val="0"/>
              <w:spacing w:after="0" w:line="210" w:lineRule="exact"/>
              <w:ind w:left="491"/>
              <w:rPr>
                <w:rFonts w:ascii="Calibri" w:hAnsi="Calibri" w:cs="Calibri"/>
                <w:spacing w:val="-4"/>
                <w:sz w:val="20"/>
              </w:rPr>
            </w:pPr>
            <w:r w:rsidRPr="4E01C885">
              <w:rPr>
                <w:rFonts w:ascii="Calibri" w:hAnsi="Calibri" w:cs="Calibri"/>
                <w:sz w:val="20"/>
              </w:rPr>
              <w:t>Baseline</w:t>
            </w:r>
            <w:r w:rsidR="00CC1431" w:rsidRPr="4E01C885">
              <w:rPr>
                <w:rFonts w:ascii="Calibri" w:hAnsi="Calibri" w:cs="Calibri"/>
                <w:sz w:val="20"/>
              </w:rPr>
              <w:t xml:space="preserve"> </w:t>
            </w:r>
            <w:r w:rsidR="00966810" w:rsidRPr="4E01C885">
              <w:rPr>
                <w:rFonts w:ascii="Calibri" w:hAnsi="Calibri" w:cs="Calibri"/>
                <w:sz w:val="20"/>
              </w:rPr>
              <w:t xml:space="preserve">mean </w:t>
            </w:r>
            <w:r w:rsidR="00E501A3" w:rsidRPr="4E01C885">
              <w:rPr>
                <w:rFonts w:ascii="Calibri" w:hAnsi="Calibri" w:cs="Calibri"/>
                <w:spacing w:val="-4"/>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D5C24F4"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2.74 (0.564)</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33028899"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2.70 (0.547)</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033F14E7" w14:textId="0C766F70"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2.77 (0.421)</w:t>
            </w:r>
          </w:p>
        </w:tc>
        <w:tc>
          <w:tcPr>
            <w:tcW w:w="1569" w:type="dxa"/>
            <w:tcBorders>
              <w:top w:val="nil"/>
              <w:left w:val="nil"/>
              <w:bottom w:val="single" w:sz="4" w:space="0" w:color="000000" w:themeColor="text1"/>
              <w:right w:val="single" w:sz="4" w:space="0" w:color="000000" w:themeColor="text1"/>
            </w:tcBorders>
            <w:vAlign w:val="center"/>
          </w:tcPr>
          <w:p w14:paraId="261181B1" w14:textId="6B4359C2"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4229B4">
              <w:rPr>
                <w:rFonts w:ascii="Calibri" w:hAnsi="Calibri" w:cs="Calibri"/>
                <w:spacing w:val="-4"/>
                <w:sz w:val="20"/>
              </w:rPr>
              <w:t>2.85 (0.388)</w:t>
            </w:r>
          </w:p>
        </w:tc>
      </w:tr>
      <w:tr w:rsidR="00E501A3" w:rsidRPr="00D124A7" w14:paraId="7B832F30"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59F2B7EF"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4F87218B"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9E6BCC">
              <w:t xml:space="preserve"> </w:t>
            </w:r>
            <w:r w:rsidRPr="009E6BCC">
              <w:rPr>
                <w:rFonts w:ascii="Calibri" w:hAnsi="Calibri" w:cs="Calibri"/>
                <w:spacing w:val="-4"/>
                <w:sz w:val="20"/>
              </w:rPr>
              <w:t>0.29 (0.072)</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0E1EA38C"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9E6BCC">
              <w:rPr>
                <w:rFonts w:ascii="Calibri" w:hAnsi="Calibri" w:cs="Calibri"/>
                <w:spacing w:val="-4"/>
                <w:sz w:val="20"/>
              </w:rPr>
              <w:t>-0.48 (0.069)</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4874E15D"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EB5009">
              <w:rPr>
                <w:rFonts w:ascii="Calibri" w:hAnsi="Calibri" w:cs="Calibri"/>
                <w:spacing w:val="-4"/>
                <w:sz w:val="20"/>
              </w:rPr>
              <w:t>-0.30 (0.068)</w:t>
            </w:r>
          </w:p>
        </w:tc>
        <w:tc>
          <w:tcPr>
            <w:tcW w:w="1569" w:type="dxa"/>
            <w:tcBorders>
              <w:top w:val="nil"/>
              <w:left w:val="nil"/>
              <w:bottom w:val="single" w:sz="4" w:space="0" w:color="000000" w:themeColor="text1"/>
              <w:right w:val="single" w:sz="4" w:space="0" w:color="000000" w:themeColor="text1"/>
            </w:tcBorders>
            <w:vAlign w:val="center"/>
          </w:tcPr>
          <w:p w14:paraId="46F68CC5"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0.56 (0.066)</w:t>
            </w:r>
          </w:p>
        </w:tc>
      </w:tr>
      <w:tr w:rsidR="00E501A3" w:rsidRPr="00D124A7" w14:paraId="5A3ECF38" w14:textId="77777777" w:rsidTr="0024041D">
        <w:trPr>
          <w:trHeight w:val="2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2B64B88"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pacing w:val="-4"/>
                <w:sz w:val="20"/>
              </w:rPr>
            </w:pPr>
            <w:r>
              <w:rPr>
                <w:rFonts w:ascii="Calibri" w:hAnsi="Calibri" w:cs="Calibri"/>
                <w:spacing w:val="-4"/>
                <w:sz w:val="20"/>
              </w:rPr>
              <w:t>Adj. mean diff (95%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567C8D6D" w14:textId="77777777"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9E6BCC">
              <w:rPr>
                <w:rFonts w:ascii="Calibri" w:hAnsi="Calibri" w:cs="Calibri"/>
                <w:spacing w:val="-4"/>
                <w:sz w:val="20"/>
              </w:rPr>
              <w:t>-0.19 (-0.39, 0.00)</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034A7388" w14:textId="5470AB9B" w:rsidR="00E501A3" w:rsidRPr="004229B4" w:rsidRDefault="00E501A3">
            <w:pPr>
              <w:kinsoku w:val="0"/>
              <w:overflowPunct w:val="0"/>
              <w:autoSpaceDE w:val="0"/>
              <w:autoSpaceDN w:val="0"/>
              <w:adjustRightInd w:val="0"/>
              <w:spacing w:after="0" w:line="208" w:lineRule="exact"/>
              <w:ind w:left="8"/>
              <w:jc w:val="center"/>
              <w:rPr>
                <w:rFonts w:ascii="Calibri" w:hAnsi="Calibri" w:cs="Calibri"/>
                <w:spacing w:val="-4"/>
                <w:sz w:val="20"/>
              </w:rPr>
            </w:pPr>
            <w:r w:rsidRPr="00EB5009">
              <w:rPr>
                <w:rFonts w:ascii="Calibri" w:hAnsi="Calibri" w:cs="Calibri"/>
                <w:spacing w:val="-4"/>
                <w:sz w:val="20"/>
              </w:rPr>
              <w:t>-0.26 (-0.45,</w:t>
            </w:r>
            <w:r>
              <w:rPr>
                <w:rFonts w:ascii="Calibri" w:hAnsi="Calibri" w:cs="Calibri"/>
                <w:spacing w:val="-4"/>
                <w:sz w:val="20"/>
              </w:rPr>
              <w:t xml:space="preserve"> </w:t>
            </w:r>
            <w:r w:rsidRPr="00EB5009">
              <w:rPr>
                <w:rFonts w:ascii="Calibri" w:hAnsi="Calibri" w:cs="Calibri"/>
                <w:spacing w:val="-4"/>
                <w:sz w:val="20"/>
              </w:rPr>
              <w:t>-0.07)</w:t>
            </w:r>
          </w:p>
        </w:tc>
      </w:tr>
      <w:tr w:rsidR="00E501A3" w:rsidRPr="00D124A7" w14:paraId="44A73ACD" w14:textId="77777777" w:rsidTr="0024041D">
        <w:trPr>
          <w:trHeight w:val="23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36A074A2"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 xml:space="preserve">Lund Mackay CT score </w:t>
            </w:r>
            <w:r>
              <w:rPr>
                <w:rFonts w:ascii="Calibri" w:hAnsi="Calibri" w:cs="Calibri"/>
                <w:sz w:val="20"/>
              </w:rPr>
              <w:t>at Week 52</w:t>
            </w:r>
          </w:p>
        </w:tc>
      </w:tr>
      <w:tr w:rsidR="00E501A3" w:rsidRPr="00D124A7" w14:paraId="0D3A7925"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5E879D0B"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13A08F48"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127</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1A5804C"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139</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15378D7F"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0F3C0939"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129</w:t>
            </w:r>
          </w:p>
        </w:tc>
      </w:tr>
      <w:tr w:rsidR="00E501A3" w:rsidRPr="00D124A7" w14:paraId="0C3B46EC" w14:textId="77777777" w:rsidTr="0024041D">
        <w:trPr>
          <w:trHeight w:val="227"/>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17464514" w14:textId="2553C83D" w:rsidR="00E501A3" w:rsidRPr="004229B4" w:rsidRDefault="1728A7C1">
            <w:pPr>
              <w:kinsoku w:val="0"/>
              <w:overflowPunct w:val="0"/>
              <w:autoSpaceDE w:val="0"/>
              <w:autoSpaceDN w:val="0"/>
              <w:adjustRightInd w:val="0"/>
              <w:spacing w:after="0" w:line="208" w:lineRule="exact"/>
              <w:ind w:left="491"/>
              <w:rPr>
                <w:rFonts w:ascii="Calibri" w:hAnsi="Calibri" w:cs="Calibri"/>
                <w:sz w:val="20"/>
              </w:rPr>
            </w:pPr>
            <w:r w:rsidRPr="4E01C885">
              <w:rPr>
                <w:rFonts w:ascii="Calibri" w:hAnsi="Calibri" w:cs="Calibri"/>
                <w:sz w:val="20"/>
              </w:rPr>
              <w:t>Baseline</w:t>
            </w:r>
            <w:r w:rsidR="00CC1431" w:rsidRPr="4E01C885">
              <w:rPr>
                <w:rFonts w:ascii="Calibri" w:hAnsi="Calibri" w:cs="Calibri"/>
                <w:sz w:val="20"/>
              </w:rPr>
              <w:t xml:space="preserve"> </w:t>
            </w:r>
            <w:r w:rsidR="00966810" w:rsidRPr="4E01C885">
              <w:rPr>
                <w:rFonts w:ascii="Calibri" w:hAnsi="Calibri" w:cs="Calibri"/>
                <w:sz w:val="20"/>
              </w:rPr>
              <w:t xml:space="preserve">mean </w:t>
            </w:r>
            <w:r w:rsidR="00E501A3" w:rsidRPr="4E01C885">
              <w:rPr>
                <w:rFonts w:ascii="Calibri" w:hAnsi="Calibri" w:cs="Calibri"/>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7DD4D26D"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19.0 (3.99)</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68998858" w14:textId="1560632D"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 xml:space="preserve">18.4 </w:t>
            </w:r>
            <w:r w:rsidR="00821F11">
              <w:rPr>
                <w:rFonts w:ascii="Calibri" w:hAnsi="Calibri" w:cs="Calibri"/>
                <w:spacing w:val="-4"/>
                <w:sz w:val="20"/>
              </w:rPr>
              <w:t>(</w:t>
            </w:r>
            <w:r w:rsidRPr="004229B4">
              <w:rPr>
                <w:rFonts w:ascii="Calibri" w:hAnsi="Calibri" w:cs="Calibri"/>
                <w:spacing w:val="-4"/>
                <w:sz w:val="20"/>
              </w:rPr>
              <w:t>4.15)</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651095C5" w14:textId="2CDFC6D2"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18.2 (4.51)</w:t>
            </w:r>
          </w:p>
        </w:tc>
        <w:tc>
          <w:tcPr>
            <w:tcW w:w="1569" w:type="dxa"/>
            <w:tcBorders>
              <w:top w:val="nil"/>
              <w:left w:val="nil"/>
              <w:bottom w:val="single" w:sz="4" w:space="0" w:color="000000" w:themeColor="text1"/>
              <w:right w:val="single" w:sz="4" w:space="0" w:color="000000" w:themeColor="text1"/>
            </w:tcBorders>
            <w:vAlign w:val="center"/>
          </w:tcPr>
          <w:p w14:paraId="484EA5CB" w14:textId="16F45281"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19.6 (3.75)</w:t>
            </w:r>
          </w:p>
        </w:tc>
      </w:tr>
      <w:tr w:rsidR="00E501A3" w:rsidRPr="00D124A7" w14:paraId="2D8EDE91" w14:textId="77777777" w:rsidTr="0024041D">
        <w:trPr>
          <w:trHeight w:val="227"/>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591C8DF8" w14:textId="77777777" w:rsidR="00E501A3" w:rsidRPr="004229B4" w:rsidRDefault="00E501A3">
            <w:pPr>
              <w:kinsoku w:val="0"/>
              <w:overflowPunct w:val="0"/>
              <w:autoSpaceDE w:val="0"/>
              <w:autoSpaceDN w:val="0"/>
              <w:adjustRightInd w:val="0"/>
              <w:spacing w:after="0" w:line="208" w:lineRule="exact"/>
              <w:ind w:left="491"/>
              <w:rPr>
                <w:rFonts w:ascii="Calibri" w:hAnsi="Calibri" w:cs="Calibri"/>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77F52D0"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0.8 (0.46)</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2A98C8BC"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2.8 (0.45)</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42599F9A"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0.3 (0.44)</w:t>
            </w:r>
          </w:p>
        </w:tc>
        <w:tc>
          <w:tcPr>
            <w:tcW w:w="1569" w:type="dxa"/>
            <w:tcBorders>
              <w:top w:val="nil"/>
              <w:left w:val="nil"/>
              <w:bottom w:val="single" w:sz="4" w:space="0" w:color="000000" w:themeColor="text1"/>
              <w:right w:val="single" w:sz="4" w:space="0" w:color="000000" w:themeColor="text1"/>
            </w:tcBorders>
            <w:vAlign w:val="center"/>
          </w:tcPr>
          <w:p w14:paraId="034C9F7B"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3.5 (0.42)</w:t>
            </w:r>
          </w:p>
        </w:tc>
      </w:tr>
      <w:tr w:rsidR="00E501A3" w:rsidRPr="00D124A7" w14:paraId="58F7D835" w14:textId="77777777" w:rsidTr="0024041D">
        <w:trPr>
          <w:trHeight w:val="227"/>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5CFD32F3" w14:textId="77777777" w:rsidR="00E501A3" w:rsidRPr="004229B4" w:rsidRDefault="00E501A3">
            <w:pPr>
              <w:kinsoku w:val="0"/>
              <w:overflowPunct w:val="0"/>
              <w:autoSpaceDE w:val="0"/>
              <w:autoSpaceDN w:val="0"/>
              <w:adjustRightInd w:val="0"/>
              <w:spacing w:after="0" w:line="208" w:lineRule="exact"/>
              <w:ind w:left="491"/>
              <w:rPr>
                <w:rFonts w:ascii="Calibri" w:hAnsi="Calibri" w:cs="Calibri"/>
                <w:sz w:val="20"/>
              </w:rPr>
            </w:pPr>
            <w:r>
              <w:rPr>
                <w:rFonts w:ascii="Calibri" w:hAnsi="Calibri" w:cs="Calibri"/>
                <w:spacing w:val="-4"/>
                <w:sz w:val="20"/>
              </w:rPr>
              <w:t>Adj. mean diff (95%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78986FB0"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2.0 (-3.3, -0.8)</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0B01A3DC"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3.2 (-4.4, -2.0)</w:t>
            </w:r>
          </w:p>
        </w:tc>
      </w:tr>
      <w:tr w:rsidR="00E501A3" w:rsidRPr="00D124A7" w14:paraId="054C5BD5" w14:textId="77777777" w:rsidTr="0024041D">
        <w:trPr>
          <w:trHeight w:val="23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372E4651"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sidRPr="004229B4">
              <w:rPr>
                <w:rFonts w:ascii="Calibri" w:hAnsi="Calibri" w:cs="Calibri"/>
                <w:sz w:val="20"/>
              </w:rPr>
              <w:t xml:space="preserve">SNOT-22 total score </w:t>
            </w:r>
            <w:r>
              <w:rPr>
                <w:rFonts w:ascii="Calibri" w:hAnsi="Calibri" w:cs="Calibri"/>
                <w:sz w:val="20"/>
              </w:rPr>
              <w:t>at Week 52</w:t>
            </w:r>
          </w:p>
        </w:tc>
      </w:tr>
      <w:tr w:rsidR="00E501A3" w:rsidRPr="00D124A7" w14:paraId="27122212"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5D6BBC04"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pacing w:val="-10"/>
                <w:sz w:val="20"/>
              </w:rPr>
            </w:pPr>
            <w:r w:rsidRPr="004229B4">
              <w:rPr>
                <w:rFonts w:ascii="Calibri" w:hAnsi="Calibri" w:cs="Calibri"/>
                <w:spacing w:val="-10"/>
                <w:sz w:val="20"/>
              </w:rPr>
              <w:t>n</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0918C3CB"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125</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161BEA29"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140</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47F2EF33"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126</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4DCF5C3B"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126</w:t>
            </w:r>
          </w:p>
        </w:tc>
      </w:tr>
      <w:tr w:rsidR="00E501A3" w:rsidRPr="00D124A7" w14:paraId="7A3B1E2B"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7DB1CFD2" w14:textId="392DE9F7" w:rsidR="00E501A3" w:rsidRPr="004229B4" w:rsidRDefault="593FAFF0">
            <w:pPr>
              <w:kinsoku w:val="0"/>
              <w:overflowPunct w:val="0"/>
              <w:autoSpaceDE w:val="0"/>
              <w:autoSpaceDN w:val="0"/>
              <w:adjustRightInd w:val="0"/>
              <w:spacing w:after="0" w:line="210" w:lineRule="exact"/>
              <w:ind w:left="491"/>
              <w:rPr>
                <w:rFonts w:ascii="Calibri" w:hAnsi="Calibri" w:cs="Calibri"/>
                <w:sz w:val="20"/>
              </w:rPr>
            </w:pPr>
            <w:r w:rsidRPr="4E01C885">
              <w:rPr>
                <w:rFonts w:ascii="Calibri" w:hAnsi="Calibri" w:cs="Calibri"/>
                <w:sz w:val="20"/>
              </w:rPr>
              <w:t>Baseline</w:t>
            </w:r>
            <w:r w:rsidR="00CC1431" w:rsidRPr="4E01C885">
              <w:rPr>
                <w:rFonts w:ascii="Calibri" w:hAnsi="Calibri" w:cs="Calibri"/>
                <w:sz w:val="20"/>
              </w:rPr>
              <w:t xml:space="preserve"> </w:t>
            </w:r>
            <w:r w:rsidR="00966810" w:rsidRPr="4E01C885">
              <w:rPr>
                <w:rFonts w:ascii="Calibri" w:hAnsi="Calibri" w:cs="Calibri"/>
                <w:sz w:val="20"/>
              </w:rPr>
              <w:t xml:space="preserve">mean </w:t>
            </w:r>
            <w:r w:rsidR="00E501A3" w:rsidRPr="4E01C885">
              <w:rPr>
                <w:rFonts w:ascii="Calibri" w:hAnsi="Calibri" w:cs="Calibri"/>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297EAFD7"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56.6 (21.70)</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C2C8B04"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58.2 (22.60)</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53DE1655"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60.1 (18.34)</w:t>
            </w:r>
          </w:p>
        </w:tc>
        <w:tc>
          <w:tcPr>
            <w:tcW w:w="1569" w:type="dxa"/>
            <w:tcBorders>
              <w:top w:val="nil"/>
              <w:left w:val="nil"/>
              <w:bottom w:val="single" w:sz="4" w:space="0" w:color="000000" w:themeColor="text1"/>
              <w:right w:val="single" w:sz="4" w:space="0" w:color="000000" w:themeColor="text1"/>
            </w:tcBorders>
            <w:vAlign w:val="center"/>
          </w:tcPr>
          <w:p w14:paraId="0A0B9AB7"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004229B4">
              <w:rPr>
                <w:rFonts w:ascii="Calibri" w:hAnsi="Calibri" w:cs="Calibri"/>
                <w:spacing w:val="-4"/>
                <w:sz w:val="20"/>
              </w:rPr>
              <w:t>60.1 (21.51)</w:t>
            </w:r>
          </w:p>
        </w:tc>
      </w:tr>
      <w:tr w:rsidR="00E501A3" w:rsidRPr="00D124A7" w14:paraId="0F4F09B8"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49014098"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z w:val="20"/>
              </w:rPr>
            </w:pPr>
            <w:r>
              <w:rPr>
                <w:rFonts w:ascii="Calibri" w:hAnsi="Calibri" w:cs="Calibri"/>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017F37D"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6.5 (3.08)</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41E4EE4F"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13.3 (2.96)</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069715C2" w14:textId="364918E0"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4E01C885">
              <w:rPr>
                <w:rFonts w:ascii="Calibri" w:hAnsi="Calibri" w:cs="Calibri"/>
                <w:sz w:val="20"/>
              </w:rPr>
              <w:t>-</w:t>
            </w:r>
            <w:r w:rsidRPr="00EB5009">
              <w:t xml:space="preserve"> </w:t>
            </w:r>
            <w:r w:rsidRPr="4E01C885">
              <w:rPr>
                <w:rFonts w:ascii="Calibri" w:hAnsi="Calibri" w:cs="Calibri"/>
                <w:sz w:val="20"/>
              </w:rPr>
              <w:t>15.9</w:t>
            </w:r>
            <w:r w:rsidRPr="00EB5009">
              <w:rPr>
                <w:rFonts w:ascii="Calibri" w:hAnsi="Calibri" w:cs="Calibri"/>
                <w:spacing w:val="-4"/>
                <w:sz w:val="20"/>
              </w:rPr>
              <w:t xml:space="preserve"> (</w:t>
            </w:r>
            <w:r w:rsidRPr="4E01C885">
              <w:rPr>
                <w:rFonts w:ascii="Calibri" w:hAnsi="Calibri" w:cs="Calibri"/>
                <w:sz w:val="20"/>
              </w:rPr>
              <w:t>2.83</w:t>
            </w:r>
            <w:r w:rsidRPr="00EB5009">
              <w:rPr>
                <w:rFonts w:ascii="Calibri" w:hAnsi="Calibri" w:cs="Calibri"/>
                <w:spacing w:val="-4"/>
                <w:sz w:val="20"/>
              </w:rPr>
              <w:t>)</w:t>
            </w:r>
          </w:p>
        </w:tc>
        <w:tc>
          <w:tcPr>
            <w:tcW w:w="1569" w:type="dxa"/>
            <w:tcBorders>
              <w:top w:val="nil"/>
              <w:left w:val="nil"/>
              <w:bottom w:val="single" w:sz="4" w:space="0" w:color="000000" w:themeColor="text1"/>
              <w:right w:val="single" w:sz="4" w:space="0" w:color="000000" w:themeColor="text1"/>
            </w:tcBorders>
            <w:vAlign w:val="center"/>
          </w:tcPr>
          <w:p w14:paraId="6D2A6AC5" w14:textId="526C26C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sidRPr="4E01C885">
              <w:rPr>
                <w:rFonts w:ascii="Calibri" w:hAnsi="Calibri" w:cs="Calibri"/>
                <w:sz w:val="20"/>
              </w:rPr>
              <w:t>-</w:t>
            </w:r>
            <w:r w:rsidRPr="00EB5009">
              <w:t xml:space="preserve"> </w:t>
            </w:r>
            <w:r w:rsidRPr="4E01C885">
              <w:rPr>
                <w:rFonts w:ascii="Calibri" w:hAnsi="Calibri" w:cs="Calibri"/>
                <w:sz w:val="20"/>
              </w:rPr>
              <w:t>6.0</w:t>
            </w:r>
            <w:r w:rsidRPr="00EB5009">
              <w:rPr>
                <w:rFonts w:ascii="Calibri" w:hAnsi="Calibri" w:cs="Calibri"/>
                <w:spacing w:val="-4"/>
                <w:sz w:val="20"/>
              </w:rPr>
              <w:t xml:space="preserve"> (2.</w:t>
            </w:r>
            <w:r w:rsidRPr="4E01C885">
              <w:rPr>
                <w:rFonts w:ascii="Calibri" w:hAnsi="Calibri" w:cs="Calibri"/>
                <w:sz w:val="20"/>
              </w:rPr>
              <w:t>87</w:t>
            </w:r>
            <w:r w:rsidRPr="00EB5009">
              <w:rPr>
                <w:rFonts w:ascii="Calibri" w:hAnsi="Calibri" w:cs="Calibri"/>
                <w:spacing w:val="-4"/>
                <w:sz w:val="20"/>
              </w:rPr>
              <w:t>)</w:t>
            </w:r>
          </w:p>
        </w:tc>
      </w:tr>
      <w:tr w:rsidR="00E501A3" w:rsidRPr="00D124A7" w14:paraId="6EBC1953"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66349EF3" w14:textId="77777777" w:rsidR="00E501A3" w:rsidRPr="004229B4" w:rsidRDefault="00E501A3">
            <w:pPr>
              <w:kinsoku w:val="0"/>
              <w:overflowPunct w:val="0"/>
              <w:autoSpaceDE w:val="0"/>
              <w:autoSpaceDN w:val="0"/>
              <w:adjustRightInd w:val="0"/>
              <w:spacing w:after="0" w:line="210" w:lineRule="exact"/>
              <w:ind w:left="491"/>
              <w:rPr>
                <w:rFonts w:ascii="Calibri" w:hAnsi="Calibri" w:cs="Calibri"/>
                <w:sz w:val="20"/>
              </w:rPr>
            </w:pPr>
            <w:r>
              <w:rPr>
                <w:rFonts w:ascii="Calibri" w:hAnsi="Calibri" w:cs="Calibri"/>
                <w:spacing w:val="-4"/>
                <w:sz w:val="20"/>
              </w:rPr>
              <w:t>Adj. mean diff (95%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0BC2B895"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rPr>
                <w:rFonts w:ascii="Calibri" w:hAnsi="Calibri" w:cs="Calibri"/>
                <w:spacing w:val="-4"/>
                <w:sz w:val="20"/>
              </w:rPr>
              <w:t>6.8 (-15.2, 1.6)</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482FD99C" w14:textId="77777777" w:rsidR="00E501A3" w:rsidRPr="004229B4" w:rsidRDefault="00E501A3">
            <w:pPr>
              <w:kinsoku w:val="0"/>
              <w:overflowPunct w:val="0"/>
              <w:autoSpaceDE w:val="0"/>
              <w:autoSpaceDN w:val="0"/>
              <w:adjustRightInd w:val="0"/>
              <w:spacing w:after="0" w:line="210" w:lineRule="exact"/>
              <w:ind w:left="8"/>
              <w:jc w:val="center"/>
              <w:rPr>
                <w:rFonts w:ascii="Calibri" w:hAnsi="Calibri" w:cs="Calibri"/>
                <w:spacing w:val="-4"/>
                <w:sz w:val="20"/>
              </w:rPr>
            </w:pPr>
            <w:r>
              <w:rPr>
                <w:rFonts w:ascii="Calibri" w:hAnsi="Calibri" w:cs="Calibri"/>
                <w:spacing w:val="-4"/>
                <w:sz w:val="20"/>
              </w:rPr>
              <w:t>-</w:t>
            </w:r>
            <w:r w:rsidRPr="00EB5009">
              <w:t xml:space="preserve"> </w:t>
            </w:r>
            <w:r w:rsidRPr="00EB5009">
              <w:rPr>
                <w:rFonts w:ascii="Calibri" w:hAnsi="Calibri" w:cs="Calibri"/>
                <w:spacing w:val="-4"/>
                <w:sz w:val="20"/>
              </w:rPr>
              <w:t>9.9 (-17.9, -2.0)</w:t>
            </w:r>
          </w:p>
        </w:tc>
      </w:tr>
      <w:tr w:rsidR="00E501A3" w:rsidRPr="00D124A7" w14:paraId="2EB5A17C" w14:textId="77777777" w:rsidTr="0024041D">
        <w:trPr>
          <w:trHeight w:val="23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41247552"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Pr>
                <w:rFonts w:ascii="Calibri" w:hAnsi="Calibri" w:cs="Calibri"/>
                <w:sz w:val="20"/>
              </w:rPr>
              <w:t>Nasal obstruction VRS mean score Week 21 to 24</w:t>
            </w:r>
          </w:p>
        </w:tc>
      </w:tr>
      <w:tr w:rsidR="00E501A3" w:rsidRPr="00D124A7" w14:paraId="501D3943"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0900CB98" w14:textId="4A8BB7EF" w:rsidR="00E501A3" w:rsidRPr="00386466" w:rsidRDefault="49DA64A8">
            <w:pPr>
              <w:kinsoku w:val="0"/>
              <w:overflowPunct w:val="0"/>
              <w:autoSpaceDE w:val="0"/>
              <w:autoSpaceDN w:val="0"/>
              <w:adjustRightInd w:val="0"/>
              <w:spacing w:after="0" w:line="210" w:lineRule="exact"/>
              <w:ind w:left="491"/>
              <w:rPr>
                <w:rFonts w:ascii="Calibri" w:hAnsi="Calibri" w:cs="Calibri"/>
                <w:color w:val="7030A0"/>
                <w:spacing w:val="-10"/>
                <w:sz w:val="20"/>
              </w:rPr>
            </w:pPr>
            <w:r w:rsidRPr="4E01C885">
              <w:rPr>
                <w:rFonts w:ascii="Calibri" w:hAnsi="Calibri" w:cs="Calibri"/>
                <w:sz w:val="20"/>
              </w:rPr>
              <w:t>Baseline</w:t>
            </w:r>
            <w:r w:rsidR="00CC1431" w:rsidRPr="4E01C885">
              <w:rPr>
                <w:rFonts w:ascii="Calibri" w:hAnsi="Calibri" w:cs="Calibri"/>
                <w:sz w:val="20"/>
              </w:rPr>
              <w:t xml:space="preserve"> </w:t>
            </w:r>
            <w:r w:rsidR="00966810" w:rsidRPr="4E01C885">
              <w:rPr>
                <w:rFonts w:ascii="Calibri" w:hAnsi="Calibri" w:cs="Calibri"/>
                <w:color w:val="000000" w:themeColor="text1"/>
                <w:sz w:val="20"/>
              </w:rPr>
              <w:t xml:space="preserve">mean </w:t>
            </w:r>
            <w:r w:rsidR="00E501A3" w:rsidRPr="4E01C885">
              <w:rPr>
                <w:rFonts w:ascii="Calibri" w:hAnsi="Calibri" w:cs="Calibri"/>
                <w:color w:val="000000" w:themeColor="text1"/>
                <w:spacing w:val="-10"/>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7E8F4CDF"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2.53 (0.472)</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5A85123A"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2.55 (0.487)</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3E1927CB"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2.57 (0.418)</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66185FB9"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2.62 (0.426)</w:t>
            </w:r>
          </w:p>
        </w:tc>
      </w:tr>
      <w:tr w:rsidR="00E501A3" w:rsidRPr="00D124A7" w14:paraId="1CE8B804" w14:textId="77777777" w:rsidTr="0024041D">
        <w:trPr>
          <w:trHeight w:val="283"/>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0C2A9F40" w14:textId="77777777" w:rsidR="00E501A3" w:rsidRPr="00EB5009" w:rsidRDefault="00E501A3">
            <w:pPr>
              <w:kinsoku w:val="0"/>
              <w:overflowPunct w:val="0"/>
              <w:autoSpaceDE w:val="0"/>
              <w:autoSpaceDN w:val="0"/>
              <w:adjustRightInd w:val="0"/>
              <w:spacing w:after="0" w:line="210" w:lineRule="exact"/>
              <w:ind w:left="491"/>
              <w:rPr>
                <w:rFonts w:ascii="Calibri" w:hAnsi="Calibri" w:cs="Calibri"/>
                <w:color w:val="000000" w:themeColor="text1"/>
                <w:spacing w:val="-10"/>
                <w:sz w:val="20"/>
              </w:rPr>
            </w:pPr>
            <w:r w:rsidRPr="00EB5009">
              <w:rPr>
                <w:rFonts w:ascii="Calibri" w:hAnsi="Calibri" w:cs="Calibri"/>
                <w:color w:val="000000" w:themeColor="text1"/>
                <w:spacing w:val="-4"/>
                <w:sz w:val="20"/>
              </w:rPr>
              <w:lastRenderedPageBreak/>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A2C20E8"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4310AE">
              <w:rPr>
                <w:rFonts w:ascii="Calibri" w:hAnsi="Calibri" w:cs="Calibri"/>
                <w:color w:val="000000" w:themeColor="text1"/>
                <w:spacing w:val="-10"/>
                <w:sz w:val="20"/>
              </w:rPr>
              <w:t>-0.57 (0.074)</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69F74922"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4310AE">
              <w:rPr>
                <w:rFonts w:ascii="Calibri" w:hAnsi="Calibri" w:cs="Calibri"/>
                <w:color w:val="000000" w:themeColor="text1"/>
                <w:spacing w:val="-10"/>
                <w:sz w:val="20"/>
              </w:rPr>
              <w:t>-</w:t>
            </w:r>
            <w:r w:rsidRPr="004310AE">
              <w:rPr>
                <w:color w:val="000000" w:themeColor="text1"/>
              </w:rPr>
              <w:t xml:space="preserve"> </w:t>
            </w:r>
            <w:r w:rsidRPr="004310AE">
              <w:rPr>
                <w:rFonts w:ascii="Calibri" w:hAnsi="Calibri" w:cs="Calibri"/>
                <w:color w:val="000000" w:themeColor="text1"/>
                <w:spacing w:val="-10"/>
                <w:sz w:val="20"/>
              </w:rPr>
              <w:t>0.74 (0.071)</w:t>
            </w:r>
          </w:p>
        </w:tc>
        <w:tc>
          <w:tcPr>
            <w:tcW w:w="1307"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4EBD89EC"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w:t>
            </w:r>
            <w:r w:rsidRPr="00EB5009">
              <w:rPr>
                <w:color w:val="000000" w:themeColor="text1"/>
              </w:rPr>
              <w:t xml:space="preserve"> </w:t>
            </w:r>
            <w:r w:rsidRPr="00EB5009">
              <w:rPr>
                <w:rFonts w:ascii="Calibri" w:hAnsi="Calibri" w:cs="Calibri"/>
                <w:color w:val="000000" w:themeColor="text1"/>
                <w:spacing w:val="-10"/>
                <w:sz w:val="20"/>
              </w:rPr>
              <w:t>0.54 (0.069)</w:t>
            </w:r>
          </w:p>
        </w:tc>
        <w:tc>
          <w:tcPr>
            <w:tcW w:w="1569" w:type="dxa"/>
            <w:tcBorders>
              <w:top w:val="single" w:sz="4" w:space="0" w:color="000000" w:themeColor="text1"/>
              <w:left w:val="nil"/>
              <w:bottom w:val="single" w:sz="4" w:space="0" w:color="000000" w:themeColor="text1"/>
              <w:right w:val="single" w:sz="4" w:space="0" w:color="000000" w:themeColor="text1"/>
            </w:tcBorders>
            <w:vAlign w:val="center"/>
          </w:tcPr>
          <w:p w14:paraId="58610424"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10"/>
                <w:sz w:val="20"/>
              </w:rPr>
            </w:pPr>
            <w:r w:rsidRPr="00EB5009">
              <w:rPr>
                <w:rFonts w:ascii="Calibri" w:hAnsi="Calibri" w:cs="Calibri"/>
                <w:color w:val="000000" w:themeColor="text1"/>
                <w:spacing w:val="-10"/>
                <w:sz w:val="20"/>
              </w:rPr>
              <w:t>-0.78 (0.068)</w:t>
            </w:r>
          </w:p>
        </w:tc>
      </w:tr>
      <w:tr w:rsidR="00E501A3" w:rsidRPr="00D124A7" w14:paraId="77E422A4"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26E82A40" w14:textId="77777777" w:rsidR="00E501A3" w:rsidRPr="00EB5009" w:rsidRDefault="00E501A3">
            <w:pPr>
              <w:kinsoku w:val="0"/>
              <w:overflowPunct w:val="0"/>
              <w:autoSpaceDE w:val="0"/>
              <w:autoSpaceDN w:val="0"/>
              <w:adjustRightInd w:val="0"/>
              <w:spacing w:after="0" w:line="210" w:lineRule="exact"/>
              <w:ind w:left="491"/>
              <w:rPr>
                <w:rFonts w:ascii="Calibri" w:hAnsi="Calibri" w:cs="Calibri"/>
                <w:color w:val="000000" w:themeColor="text1"/>
                <w:spacing w:val="-10"/>
                <w:sz w:val="20"/>
              </w:rPr>
            </w:pPr>
            <w:r w:rsidRPr="00EB5009">
              <w:rPr>
                <w:rFonts w:ascii="Calibri" w:hAnsi="Calibri" w:cs="Calibri"/>
                <w:color w:val="000000" w:themeColor="text1"/>
                <w:spacing w:val="-4"/>
                <w:sz w:val="20"/>
              </w:rPr>
              <w:t>Adj. mean diff (95%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33A9A6F4" w14:textId="77777777" w:rsidR="00E501A3" w:rsidRPr="00386466" w:rsidRDefault="00E501A3">
            <w:pPr>
              <w:kinsoku w:val="0"/>
              <w:overflowPunct w:val="0"/>
              <w:autoSpaceDE w:val="0"/>
              <w:autoSpaceDN w:val="0"/>
              <w:adjustRightInd w:val="0"/>
              <w:spacing w:after="0" w:line="208" w:lineRule="exact"/>
              <w:ind w:left="8"/>
              <w:jc w:val="center"/>
              <w:rPr>
                <w:rFonts w:ascii="Calibri" w:hAnsi="Calibri" w:cs="Calibri"/>
                <w:color w:val="7030A0"/>
                <w:spacing w:val="-10"/>
                <w:sz w:val="20"/>
              </w:rPr>
            </w:pPr>
            <w:r w:rsidRPr="004310AE">
              <w:rPr>
                <w:rFonts w:ascii="Calibri" w:hAnsi="Calibri" w:cs="Calibri"/>
                <w:color w:val="000000" w:themeColor="text1"/>
                <w:spacing w:val="-10"/>
                <w:sz w:val="20"/>
              </w:rPr>
              <w:t>-</w:t>
            </w:r>
            <w:r w:rsidRPr="004310AE">
              <w:rPr>
                <w:color w:val="000000" w:themeColor="text1"/>
              </w:rPr>
              <w:t xml:space="preserve"> </w:t>
            </w:r>
            <w:r w:rsidRPr="004310AE">
              <w:rPr>
                <w:rFonts w:ascii="Calibri" w:hAnsi="Calibri" w:cs="Calibri"/>
                <w:color w:val="000000" w:themeColor="text1"/>
                <w:spacing w:val="-10"/>
                <w:sz w:val="20"/>
              </w:rPr>
              <w:t>0.17 (-0.37, 0.03)</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0E769FFB" w14:textId="77777777" w:rsidR="00E501A3" w:rsidRPr="00386466" w:rsidRDefault="00E501A3">
            <w:pPr>
              <w:kinsoku w:val="0"/>
              <w:overflowPunct w:val="0"/>
              <w:autoSpaceDE w:val="0"/>
              <w:autoSpaceDN w:val="0"/>
              <w:adjustRightInd w:val="0"/>
              <w:spacing w:after="0" w:line="208" w:lineRule="exact"/>
              <w:ind w:left="8"/>
              <w:jc w:val="center"/>
              <w:rPr>
                <w:rFonts w:ascii="Calibri" w:hAnsi="Calibri" w:cs="Calibri"/>
                <w:color w:val="7030A0"/>
                <w:spacing w:val="-10"/>
                <w:sz w:val="20"/>
              </w:rPr>
            </w:pPr>
            <w:r>
              <w:rPr>
                <w:rFonts w:ascii="Calibri" w:hAnsi="Calibri" w:cs="Calibri"/>
                <w:color w:val="000000" w:themeColor="text1"/>
                <w:spacing w:val="-10"/>
                <w:sz w:val="20"/>
              </w:rPr>
              <w:t>-</w:t>
            </w:r>
            <w:r w:rsidRPr="00EB5009">
              <w:rPr>
                <w:rFonts w:ascii="Calibri" w:hAnsi="Calibri" w:cs="Calibri"/>
                <w:color w:val="000000" w:themeColor="text1"/>
                <w:spacing w:val="-10"/>
                <w:sz w:val="20"/>
              </w:rPr>
              <w:t>0.24 (-0.43, -0.04)</w:t>
            </w:r>
          </w:p>
        </w:tc>
      </w:tr>
      <w:tr w:rsidR="00E501A3" w:rsidRPr="004229B4" w14:paraId="79857BD8" w14:textId="77777777" w:rsidTr="0024041D">
        <w:trPr>
          <w:trHeight w:val="230"/>
          <w:jc w:val="center"/>
        </w:trPr>
        <w:tc>
          <w:tcPr>
            <w:tcW w:w="9269" w:type="dxa"/>
            <w:gridSpan w:val="5"/>
            <w:tcBorders>
              <w:top w:val="single" w:sz="4" w:space="0" w:color="000000" w:themeColor="text1"/>
              <w:left w:val="double" w:sz="4" w:space="0" w:color="auto"/>
              <w:bottom w:val="single" w:sz="4" w:space="0" w:color="000000" w:themeColor="text1"/>
              <w:right w:val="double" w:sz="4" w:space="0" w:color="auto"/>
            </w:tcBorders>
            <w:shd w:val="clear" w:color="auto" w:fill="D9D9D9" w:themeFill="background1" w:themeFillShade="D9"/>
            <w:vAlign w:val="center"/>
          </w:tcPr>
          <w:p w14:paraId="0611F234" w14:textId="77777777" w:rsidR="00E501A3" w:rsidRPr="004229B4" w:rsidRDefault="00E501A3">
            <w:pPr>
              <w:kinsoku w:val="0"/>
              <w:overflowPunct w:val="0"/>
              <w:autoSpaceDE w:val="0"/>
              <w:autoSpaceDN w:val="0"/>
              <w:adjustRightInd w:val="0"/>
              <w:spacing w:after="0" w:line="240" w:lineRule="auto"/>
              <w:rPr>
                <w:rFonts w:ascii="Calibri" w:hAnsi="Calibri" w:cs="Calibri"/>
                <w:sz w:val="20"/>
              </w:rPr>
            </w:pPr>
            <w:r>
              <w:rPr>
                <w:rFonts w:ascii="Calibri" w:hAnsi="Calibri" w:cs="Calibri"/>
                <w:sz w:val="20"/>
              </w:rPr>
              <w:t>Total endoscopic nasal polyp score at Week 26</w:t>
            </w:r>
          </w:p>
        </w:tc>
      </w:tr>
      <w:tr w:rsidR="00E501A3" w:rsidRPr="004229B4" w14:paraId="7A5E441A"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10ED0E33" w14:textId="4186C56B" w:rsidR="00E501A3" w:rsidRPr="00EB5009" w:rsidRDefault="74D6FC87">
            <w:pPr>
              <w:kinsoku w:val="0"/>
              <w:overflowPunct w:val="0"/>
              <w:autoSpaceDE w:val="0"/>
              <w:autoSpaceDN w:val="0"/>
              <w:adjustRightInd w:val="0"/>
              <w:spacing w:after="0" w:line="210" w:lineRule="exact"/>
              <w:ind w:left="491"/>
              <w:rPr>
                <w:rFonts w:ascii="Calibri" w:hAnsi="Calibri" w:cs="Calibri"/>
                <w:color w:val="000000" w:themeColor="text1"/>
                <w:sz w:val="20"/>
              </w:rPr>
            </w:pPr>
            <w:r w:rsidRPr="4E01C885">
              <w:rPr>
                <w:rFonts w:ascii="Calibri" w:hAnsi="Calibri" w:cs="Calibri"/>
                <w:sz w:val="20"/>
              </w:rPr>
              <w:t xml:space="preserve">Baseline </w:t>
            </w:r>
            <w:r w:rsidR="00966810" w:rsidRPr="4E01C885">
              <w:rPr>
                <w:rFonts w:ascii="Calibri" w:hAnsi="Calibri" w:cs="Calibri"/>
                <w:color w:val="000000" w:themeColor="text1"/>
                <w:sz w:val="20"/>
              </w:rPr>
              <w:t xml:space="preserve">mean </w:t>
            </w:r>
            <w:r w:rsidR="00E501A3" w:rsidRPr="4E01C885">
              <w:rPr>
                <w:rFonts w:ascii="Calibri" w:hAnsi="Calibri" w:cs="Calibri"/>
                <w:color w:val="000000" w:themeColor="text1"/>
                <w:sz w:val="20"/>
              </w:rPr>
              <w:t>(SD)</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71467066"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6.0 (1.37)</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3652E9E6"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5.9 (1.34)</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25E3E550"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5.8 (1.37)</w:t>
            </w:r>
          </w:p>
        </w:tc>
        <w:tc>
          <w:tcPr>
            <w:tcW w:w="1569" w:type="dxa"/>
            <w:tcBorders>
              <w:top w:val="nil"/>
              <w:left w:val="nil"/>
              <w:bottom w:val="single" w:sz="4" w:space="0" w:color="000000" w:themeColor="text1"/>
              <w:right w:val="single" w:sz="4" w:space="0" w:color="000000" w:themeColor="text1"/>
            </w:tcBorders>
            <w:vAlign w:val="center"/>
          </w:tcPr>
          <w:p w14:paraId="32E0EFDA"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5.9 (1.21)</w:t>
            </w:r>
          </w:p>
        </w:tc>
      </w:tr>
      <w:tr w:rsidR="00E501A3" w:rsidRPr="004229B4" w14:paraId="4BB127FC"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0D678558" w14:textId="77777777" w:rsidR="00E501A3" w:rsidRPr="00EB5009" w:rsidRDefault="00E501A3">
            <w:pPr>
              <w:kinsoku w:val="0"/>
              <w:overflowPunct w:val="0"/>
              <w:autoSpaceDE w:val="0"/>
              <w:autoSpaceDN w:val="0"/>
              <w:adjustRightInd w:val="0"/>
              <w:spacing w:after="0" w:line="210" w:lineRule="exact"/>
              <w:ind w:left="491"/>
              <w:rPr>
                <w:rFonts w:ascii="Calibri" w:hAnsi="Calibri" w:cs="Calibri"/>
                <w:color w:val="000000" w:themeColor="text1"/>
                <w:sz w:val="20"/>
              </w:rPr>
            </w:pPr>
            <w:r w:rsidRPr="00EB5009">
              <w:rPr>
                <w:rFonts w:ascii="Calibri" w:hAnsi="Calibri" w:cs="Calibri"/>
                <w:color w:val="000000" w:themeColor="text1"/>
                <w:spacing w:val="-4"/>
                <w:sz w:val="20"/>
              </w:rPr>
              <w:t>LS mean change (SE)</w:t>
            </w:r>
          </w:p>
        </w:tc>
        <w:tc>
          <w:tcPr>
            <w:tcW w:w="1825" w:type="dxa"/>
            <w:tcBorders>
              <w:top w:val="single" w:sz="4" w:space="0" w:color="000000" w:themeColor="text1"/>
              <w:left w:val="double" w:sz="4" w:space="0" w:color="auto"/>
              <w:bottom w:val="single" w:sz="4" w:space="0" w:color="000000" w:themeColor="text1"/>
              <w:right w:val="single" w:sz="4" w:space="0" w:color="000000" w:themeColor="text1"/>
            </w:tcBorders>
            <w:vAlign w:val="center"/>
          </w:tcPr>
          <w:p w14:paraId="57734A06"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0.1 (0.13)</w:t>
            </w:r>
          </w:p>
        </w:tc>
        <w:tc>
          <w:tcPr>
            <w:tcW w:w="1717" w:type="dxa"/>
            <w:tcBorders>
              <w:top w:val="single" w:sz="4" w:space="0" w:color="000000" w:themeColor="text1"/>
              <w:left w:val="single" w:sz="4" w:space="0" w:color="000000" w:themeColor="text1"/>
              <w:bottom w:val="single" w:sz="4" w:space="0" w:color="000000" w:themeColor="text1"/>
              <w:right w:val="double" w:sz="4" w:space="0" w:color="auto"/>
            </w:tcBorders>
            <w:vAlign w:val="center"/>
          </w:tcPr>
          <w:p w14:paraId="7CEBA5D6"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w:t>
            </w:r>
            <w:r w:rsidRPr="004310AE">
              <w:rPr>
                <w:color w:val="000000" w:themeColor="text1"/>
              </w:rPr>
              <w:t xml:space="preserve"> </w:t>
            </w:r>
            <w:r w:rsidRPr="004310AE">
              <w:rPr>
                <w:rFonts w:ascii="Calibri" w:hAnsi="Calibri" w:cs="Calibri"/>
                <w:color w:val="000000" w:themeColor="text1"/>
                <w:spacing w:val="-4"/>
                <w:sz w:val="20"/>
              </w:rPr>
              <w:t>0.6 (0.13)</w:t>
            </w:r>
          </w:p>
        </w:tc>
        <w:tc>
          <w:tcPr>
            <w:tcW w:w="1307" w:type="dxa"/>
            <w:tcBorders>
              <w:top w:val="nil"/>
              <w:left w:val="double" w:sz="4" w:space="0" w:color="auto"/>
              <w:bottom w:val="single" w:sz="4" w:space="0" w:color="000000" w:themeColor="text1"/>
              <w:right w:val="single" w:sz="4" w:space="0" w:color="000000" w:themeColor="text1"/>
            </w:tcBorders>
            <w:vAlign w:val="center"/>
          </w:tcPr>
          <w:p w14:paraId="774604E4"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w:t>
            </w:r>
            <w:r w:rsidRPr="004310AE">
              <w:rPr>
                <w:color w:val="000000" w:themeColor="text1"/>
              </w:rPr>
              <w:t xml:space="preserve"> </w:t>
            </w:r>
            <w:r w:rsidRPr="004310AE">
              <w:rPr>
                <w:rFonts w:ascii="Calibri" w:hAnsi="Calibri" w:cs="Calibri"/>
                <w:color w:val="000000" w:themeColor="text1"/>
                <w:spacing w:val="-4"/>
                <w:sz w:val="20"/>
              </w:rPr>
              <w:t>0.1 (0.12)</w:t>
            </w:r>
          </w:p>
        </w:tc>
        <w:tc>
          <w:tcPr>
            <w:tcW w:w="1569" w:type="dxa"/>
            <w:tcBorders>
              <w:top w:val="nil"/>
              <w:left w:val="nil"/>
              <w:bottom w:val="single" w:sz="4" w:space="0" w:color="000000" w:themeColor="text1"/>
              <w:right w:val="single" w:sz="4" w:space="0" w:color="000000" w:themeColor="text1"/>
            </w:tcBorders>
            <w:vAlign w:val="center"/>
          </w:tcPr>
          <w:p w14:paraId="54368C4C"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-0.5 (0.12)</w:t>
            </w:r>
          </w:p>
        </w:tc>
      </w:tr>
      <w:tr w:rsidR="00E501A3" w:rsidRPr="004229B4" w14:paraId="62EA902B" w14:textId="77777777" w:rsidTr="0024041D">
        <w:trPr>
          <w:trHeight w:val="230"/>
          <w:jc w:val="center"/>
        </w:trPr>
        <w:tc>
          <w:tcPr>
            <w:tcW w:w="2851" w:type="dxa"/>
            <w:tcBorders>
              <w:top w:val="single" w:sz="4" w:space="0" w:color="000000" w:themeColor="text1"/>
              <w:left w:val="single" w:sz="4" w:space="0" w:color="000000" w:themeColor="text1"/>
              <w:bottom w:val="single" w:sz="4" w:space="0" w:color="000000" w:themeColor="text1"/>
              <w:right w:val="double" w:sz="4" w:space="0" w:color="auto"/>
            </w:tcBorders>
          </w:tcPr>
          <w:p w14:paraId="6657C95C" w14:textId="77777777" w:rsidR="00E501A3" w:rsidRPr="00EB5009" w:rsidRDefault="00E501A3">
            <w:pPr>
              <w:kinsoku w:val="0"/>
              <w:overflowPunct w:val="0"/>
              <w:autoSpaceDE w:val="0"/>
              <w:autoSpaceDN w:val="0"/>
              <w:adjustRightInd w:val="0"/>
              <w:spacing w:after="0" w:line="210" w:lineRule="exact"/>
              <w:ind w:left="491"/>
              <w:rPr>
                <w:rFonts w:ascii="Calibri" w:hAnsi="Calibri" w:cs="Calibri"/>
                <w:color w:val="000000" w:themeColor="text1"/>
                <w:sz w:val="20"/>
              </w:rPr>
            </w:pPr>
            <w:r w:rsidRPr="00EB5009">
              <w:rPr>
                <w:rFonts w:ascii="Calibri" w:hAnsi="Calibri" w:cs="Calibri"/>
                <w:color w:val="000000" w:themeColor="text1"/>
                <w:spacing w:val="-4"/>
                <w:sz w:val="20"/>
              </w:rPr>
              <w:t>Adj. mean diff (95% CI)</w:t>
            </w:r>
          </w:p>
        </w:tc>
        <w:tc>
          <w:tcPr>
            <w:tcW w:w="3542" w:type="dxa"/>
            <w:gridSpan w:val="2"/>
            <w:tcBorders>
              <w:top w:val="single" w:sz="4" w:space="0" w:color="000000" w:themeColor="text1"/>
              <w:left w:val="double" w:sz="4" w:space="0" w:color="auto"/>
              <w:bottom w:val="single" w:sz="4" w:space="0" w:color="000000" w:themeColor="text1"/>
              <w:right w:val="double" w:sz="4" w:space="0" w:color="auto"/>
            </w:tcBorders>
            <w:vAlign w:val="center"/>
          </w:tcPr>
          <w:p w14:paraId="50D4ADF4"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-0.8 (-1.1, -0.4)</w:t>
            </w:r>
          </w:p>
        </w:tc>
        <w:tc>
          <w:tcPr>
            <w:tcW w:w="2876" w:type="dxa"/>
            <w:gridSpan w:val="2"/>
            <w:tcBorders>
              <w:top w:val="nil"/>
              <w:left w:val="double" w:sz="4" w:space="0" w:color="auto"/>
              <w:bottom w:val="single" w:sz="4" w:space="0" w:color="000000" w:themeColor="text1"/>
              <w:right w:val="single" w:sz="4" w:space="0" w:color="000000" w:themeColor="text1"/>
            </w:tcBorders>
            <w:vAlign w:val="center"/>
          </w:tcPr>
          <w:p w14:paraId="0A225A30" w14:textId="77777777" w:rsidR="00E501A3" w:rsidRPr="00386466" w:rsidRDefault="00E501A3">
            <w:pPr>
              <w:kinsoku w:val="0"/>
              <w:overflowPunct w:val="0"/>
              <w:autoSpaceDE w:val="0"/>
              <w:autoSpaceDN w:val="0"/>
              <w:adjustRightInd w:val="0"/>
              <w:spacing w:after="0" w:line="210" w:lineRule="exact"/>
              <w:ind w:left="8"/>
              <w:jc w:val="center"/>
              <w:rPr>
                <w:rFonts w:ascii="Calibri" w:hAnsi="Calibri" w:cs="Calibri"/>
                <w:color w:val="7030A0"/>
                <w:spacing w:val="-4"/>
                <w:sz w:val="20"/>
              </w:rPr>
            </w:pPr>
            <w:r w:rsidRPr="004310AE">
              <w:rPr>
                <w:rFonts w:ascii="Calibri" w:hAnsi="Calibri" w:cs="Calibri"/>
                <w:color w:val="000000" w:themeColor="text1"/>
                <w:spacing w:val="-4"/>
                <w:sz w:val="20"/>
              </w:rPr>
              <w:t>-</w:t>
            </w:r>
            <w:r w:rsidRPr="004310AE">
              <w:rPr>
                <w:color w:val="000000" w:themeColor="text1"/>
              </w:rPr>
              <w:t xml:space="preserve"> </w:t>
            </w:r>
            <w:r w:rsidRPr="004310AE">
              <w:rPr>
                <w:rFonts w:ascii="Calibri" w:hAnsi="Calibri" w:cs="Calibri"/>
                <w:color w:val="000000" w:themeColor="text1"/>
                <w:spacing w:val="-4"/>
                <w:sz w:val="20"/>
              </w:rPr>
              <w:t>0.3 (-0.7, 0.0)</w:t>
            </w:r>
          </w:p>
        </w:tc>
      </w:tr>
    </w:tbl>
    <w:p w14:paraId="5BA9AC51" w14:textId="77777777" w:rsidR="00E501A3" w:rsidRPr="002F0EBF" w:rsidRDefault="00E501A3" w:rsidP="00695BA2">
      <w:pPr>
        <w:pStyle w:val="TableDescription"/>
        <w:rPr>
          <w:lang w:eastAsia="ja-JP"/>
        </w:rPr>
      </w:pPr>
      <w:bookmarkStart w:id="82" w:name="_Ref271037188"/>
      <w:bookmarkStart w:id="83" w:name="_Ref271037210"/>
      <w:bookmarkStart w:id="84" w:name="_Toc272414655"/>
      <w:bookmarkStart w:id="85" w:name="_Toc290888503"/>
      <w:bookmarkStart w:id="86" w:name="_Toc416353719"/>
      <w:bookmarkStart w:id="87" w:name="_Toc421005270"/>
      <w:bookmarkStart w:id="88" w:name="_Toc432079152"/>
      <w:bookmarkStart w:id="89" w:name="_Toc432080725"/>
      <w:bookmarkStart w:id="90" w:name="_Toc241374311"/>
      <w:bookmarkStart w:id="91" w:name="_Ref243294291"/>
      <w:r w:rsidRPr="002F0EBF">
        <w:t xml:space="preserve">No secondary endpoints were statistically significant due to hierarchical testing constraints. </w:t>
      </w:r>
    </w:p>
    <w:bookmarkEnd w:id="82"/>
    <w:bookmarkEnd w:id="83"/>
    <w:bookmarkEnd w:id="84"/>
    <w:bookmarkEnd w:id="85"/>
    <w:bookmarkEnd w:id="86"/>
    <w:bookmarkEnd w:id="87"/>
    <w:bookmarkEnd w:id="88"/>
    <w:bookmarkEnd w:id="89"/>
    <w:bookmarkEnd w:id="90"/>
    <w:bookmarkEnd w:id="91"/>
    <w:p w14:paraId="17449272" w14:textId="09CA9310" w:rsidR="00E501A3" w:rsidRPr="004B6802" w:rsidRDefault="00E501A3" w:rsidP="00E501A3">
      <w:pPr>
        <w:pStyle w:val="Heading6"/>
        <w:rPr>
          <w:rFonts w:cstheme="majorHAnsi"/>
          <w:szCs w:val="22"/>
        </w:rPr>
      </w:pPr>
      <w:r w:rsidRPr="004B6802">
        <w:rPr>
          <w:rFonts w:cstheme="majorHAnsi"/>
          <w:szCs w:val="22"/>
        </w:rPr>
        <w:t xml:space="preserve">Endoscopic </w:t>
      </w:r>
      <w:r w:rsidR="00D97C77" w:rsidRPr="004B6802">
        <w:rPr>
          <w:rFonts w:cstheme="majorHAnsi"/>
          <w:szCs w:val="22"/>
        </w:rPr>
        <w:t>n</w:t>
      </w:r>
      <w:r w:rsidR="00D97C77">
        <w:rPr>
          <w:rFonts w:cstheme="majorHAnsi"/>
          <w:szCs w:val="22"/>
        </w:rPr>
        <w:t xml:space="preserve">asal </w:t>
      </w:r>
      <w:r w:rsidR="00D97C77" w:rsidRPr="004B6802">
        <w:rPr>
          <w:rFonts w:cstheme="majorHAnsi"/>
          <w:szCs w:val="22"/>
        </w:rPr>
        <w:t>p</w:t>
      </w:r>
      <w:r w:rsidR="00E42E2D">
        <w:rPr>
          <w:rFonts w:cstheme="majorHAnsi"/>
          <w:szCs w:val="22"/>
        </w:rPr>
        <w:t>olyp</w:t>
      </w:r>
      <w:r w:rsidRPr="004B6802">
        <w:rPr>
          <w:rFonts w:cstheme="majorHAnsi"/>
          <w:szCs w:val="22"/>
        </w:rPr>
        <w:t xml:space="preserve"> score – additional analyses</w:t>
      </w:r>
      <w:r w:rsidR="008A6BD8">
        <w:rPr>
          <w:rFonts w:cstheme="majorHAnsi"/>
          <w:szCs w:val="22"/>
        </w:rPr>
        <w:fldChar w:fldCharType="begin"/>
      </w:r>
      <w:r w:rsidR="008A6BD8">
        <w:rPr>
          <w:rFonts w:cstheme="majorHAnsi"/>
          <w:szCs w:val="22"/>
        </w:rPr>
        <w:instrText xml:space="preserve"> DOCVARIABLE vault_nd_30fbd0ed-3e6b-4b13-ab9a-bd33f88d0009 \* MERGEFORMAT </w:instrText>
      </w:r>
      <w:r w:rsidR="008A6BD8">
        <w:rPr>
          <w:rFonts w:cstheme="majorHAnsi"/>
          <w:szCs w:val="22"/>
        </w:rPr>
        <w:fldChar w:fldCharType="separate"/>
      </w:r>
      <w:r w:rsidR="008A6BD8">
        <w:rPr>
          <w:rFonts w:cstheme="majorHAnsi"/>
          <w:szCs w:val="22"/>
        </w:rPr>
        <w:t xml:space="preserve"> </w:t>
      </w:r>
      <w:r w:rsidR="008A6BD8">
        <w:rPr>
          <w:rFonts w:cstheme="majorHAnsi"/>
          <w:szCs w:val="22"/>
        </w:rPr>
        <w:fldChar w:fldCharType="end"/>
      </w:r>
    </w:p>
    <w:p w14:paraId="3245F287" w14:textId="23B529E5" w:rsidR="00E501A3" w:rsidRPr="00310006" w:rsidRDefault="00E501A3" w:rsidP="00E501A3">
      <w:pPr>
        <w:rPr>
          <w:rFonts w:cstheme="majorHAnsi"/>
        </w:rPr>
      </w:pPr>
      <w:r w:rsidRPr="00D721BD">
        <w:rPr>
          <w:rFonts w:cstheme="majorHAnsi"/>
        </w:rPr>
        <w:t xml:space="preserve">In both studies results of the change from baseline in the total endoscopic NP score at week 52 based on the supplementary estimand were consistent with those of the primary estimand. </w:t>
      </w:r>
      <w:r w:rsidRPr="00310006">
        <w:rPr>
          <w:rFonts w:cstheme="majorHAnsi"/>
        </w:rPr>
        <w:t xml:space="preserve">Two sensitivity analyses </w:t>
      </w:r>
      <w:r>
        <w:rPr>
          <w:rFonts w:cstheme="majorHAnsi"/>
        </w:rPr>
        <w:t xml:space="preserve">to understand the impact of missing data </w:t>
      </w:r>
      <w:r w:rsidRPr="00310006">
        <w:rPr>
          <w:rFonts w:cstheme="majorHAnsi"/>
        </w:rPr>
        <w:t>were conducted for the endoscopic NP score</w:t>
      </w:r>
      <w:r>
        <w:rPr>
          <w:rFonts w:cstheme="majorHAnsi"/>
        </w:rPr>
        <w:t>.</w:t>
      </w:r>
    </w:p>
    <w:p w14:paraId="4075FE0F" w14:textId="77777777" w:rsidR="00E501A3" w:rsidRPr="00435963" w:rsidRDefault="00E501A3" w:rsidP="00E501A3">
      <w:pPr>
        <w:rPr>
          <w:rFonts w:cstheme="majorHAnsi"/>
        </w:rPr>
      </w:pPr>
      <w:r>
        <w:rPr>
          <w:rFonts w:cstheme="majorHAnsi"/>
        </w:rPr>
        <w:t>A J</w:t>
      </w:r>
      <w:r w:rsidRPr="00435963">
        <w:rPr>
          <w:rFonts w:cstheme="majorHAnsi"/>
        </w:rPr>
        <w:t>ump to reference sensitivity analysis using the placebo group’s response to impute a response for participants in the depemokimab group with missing data after study withdrawal was conducted:</w:t>
      </w:r>
    </w:p>
    <w:p w14:paraId="09A05733" w14:textId="77777777" w:rsidR="00E501A3" w:rsidRPr="00310006" w:rsidRDefault="00E501A3" w:rsidP="00653C40">
      <w:pPr>
        <w:pStyle w:val="ListBullet"/>
      </w:pPr>
      <w:r w:rsidRPr="00310006">
        <w:t xml:space="preserve">ANCHOR-1 treatment difference at Week 52:  -0.7 (95% CI: -1.1 to -0.3; </w:t>
      </w:r>
      <w:r>
        <w:t xml:space="preserve">nominal </w:t>
      </w:r>
      <w:r w:rsidRPr="00310006">
        <w:t>p &lt;0.001)</w:t>
      </w:r>
    </w:p>
    <w:p w14:paraId="673DF985" w14:textId="77777777" w:rsidR="00E501A3" w:rsidRPr="0026060E" w:rsidRDefault="00E501A3" w:rsidP="00653C40">
      <w:pPr>
        <w:pStyle w:val="ListBullet"/>
      </w:pPr>
      <w:r w:rsidRPr="00310006">
        <w:t xml:space="preserve">ANCHOR-2 treatment difference at Week 52: -0.6 (95% CI: -1.0 to -0.2; </w:t>
      </w:r>
      <w:r>
        <w:t>nominal</w:t>
      </w:r>
      <w:r w:rsidRPr="00310006">
        <w:t xml:space="preserve"> p= 0.004)</w:t>
      </w:r>
    </w:p>
    <w:p w14:paraId="4F9A53C8" w14:textId="77777777" w:rsidR="00E501A3" w:rsidRPr="00375AA1" w:rsidRDefault="00E501A3" w:rsidP="00E501A3">
      <w:pPr>
        <w:rPr>
          <w:rFonts w:cstheme="majorHAnsi"/>
          <w:color w:val="000000" w:themeColor="text1"/>
        </w:rPr>
      </w:pPr>
      <w:r w:rsidRPr="00C804A9">
        <w:rPr>
          <w:rFonts w:cstheme="majorHAnsi"/>
          <w:color w:val="000000" w:themeColor="text1"/>
        </w:rPr>
        <w:t xml:space="preserve">A tipping point sensitivity analysis was also conducted. For each treatment group, the imputed values varied separately by a value of delta, where delta represented a change in endoscopic NP score for each imputed timepoint. </w:t>
      </w:r>
      <w:r w:rsidRPr="00375AA1">
        <w:rPr>
          <w:rFonts w:cstheme="majorHAnsi"/>
          <w:color w:val="000000" w:themeColor="text1"/>
        </w:rPr>
        <w:t>The delta values evaluated ranged from -3 to 3 by a 1-point increment. In both studies, results showed that for the conclusions of statistical significance to no longer hold, there must be a large difference between the assumed imputed values of missing NP score data from the depemokimab group compared with the placebo group.</w:t>
      </w:r>
    </w:p>
    <w:p w14:paraId="6E8D1225" w14:textId="77777777" w:rsidR="00E501A3" w:rsidRPr="00BC33A3" w:rsidRDefault="00E501A3" w:rsidP="00E501A3">
      <w:pPr>
        <w:rPr>
          <w:rFonts w:cstheme="majorHAnsi"/>
          <w:color w:val="000000" w:themeColor="text1"/>
          <w:lang w:eastAsia="ja-JP"/>
        </w:rPr>
      </w:pPr>
      <w:r w:rsidRPr="00BC33A3">
        <w:rPr>
          <w:rFonts w:cstheme="majorHAnsi"/>
          <w:color w:val="000000" w:themeColor="text1"/>
          <w:lang w:eastAsia="ja-JP"/>
        </w:rPr>
        <w:t xml:space="preserve">The subgroup analyses of the total endoscopic NP Score at Week 52 were consistent with those of the overall population in both studies </w:t>
      </w:r>
      <w:r>
        <w:rPr>
          <w:rFonts w:cstheme="majorHAnsi"/>
          <w:color w:val="000000" w:themeColor="text1"/>
          <w:lang w:eastAsia="ja-JP"/>
        </w:rPr>
        <w:t>except for</w:t>
      </w:r>
      <w:r w:rsidRPr="00BC33A3">
        <w:rPr>
          <w:rFonts w:cstheme="majorHAnsi"/>
          <w:color w:val="000000" w:themeColor="text1"/>
          <w:lang w:eastAsia="ja-JP"/>
        </w:rPr>
        <w:t xml:space="preserve"> the overall population except for the subgroup of participants aged ≥65 years in the ANCHOR-2 study</w:t>
      </w:r>
    </w:p>
    <w:p w14:paraId="34FE0443" w14:textId="650DCE38" w:rsidR="00E501A3" w:rsidRPr="00653C40" w:rsidRDefault="00E501A3" w:rsidP="00653C40">
      <w:pPr>
        <w:pStyle w:val="Heading6"/>
      </w:pPr>
      <w:r w:rsidRPr="00653C40">
        <w:t xml:space="preserve">Nasal obstruction </w:t>
      </w:r>
      <w:r w:rsidR="00424958">
        <w:t>VRS</w:t>
      </w:r>
      <w:r w:rsidRPr="00653C40">
        <w:t xml:space="preserve"> mean score – additional analyses</w:t>
      </w:r>
      <w:fldSimple w:instr="DOCVARIABLE vault_nd_469b6701-a715-421f-89ba-d9bd0a751916 \* MERGEFORMAT">
        <w:r w:rsidR="008A6BD8">
          <w:t xml:space="preserve"> </w:t>
        </w:r>
      </w:fldSimple>
    </w:p>
    <w:p w14:paraId="0FF64AB2" w14:textId="77777777" w:rsidR="00E501A3" w:rsidRPr="00BD52E4" w:rsidRDefault="00E501A3" w:rsidP="00E501A3">
      <w:pPr>
        <w:rPr>
          <w:rFonts w:cstheme="majorHAnsi"/>
          <w:lang w:eastAsia="ja-JP"/>
        </w:rPr>
      </w:pPr>
      <w:r>
        <w:rPr>
          <w:rFonts w:cstheme="majorHAnsi"/>
          <w:lang w:eastAsia="ja-JP"/>
        </w:rPr>
        <w:t xml:space="preserve">The </w:t>
      </w:r>
      <w:r w:rsidRPr="00BD52E4">
        <w:rPr>
          <w:rFonts w:cstheme="majorHAnsi"/>
          <w:lang w:eastAsia="ja-JP"/>
        </w:rPr>
        <w:t>results of the analysis on change from baseline in the nasal obstruction VRS mean score over Week 49 to Week 52 based on the supplementary estimand were:</w:t>
      </w:r>
    </w:p>
    <w:p w14:paraId="769C45A9" w14:textId="77777777" w:rsidR="00E501A3" w:rsidRPr="00B40B81" w:rsidRDefault="00E501A3" w:rsidP="00653C40">
      <w:pPr>
        <w:pStyle w:val="ListBullet"/>
      </w:pPr>
      <w:r w:rsidRPr="00B40B81">
        <w:t>ANCHOR-1: -0.25 (95% CI: -0.48 to -0.03; nominal p=0.028)</w:t>
      </w:r>
    </w:p>
    <w:p w14:paraId="64294AAB" w14:textId="77777777" w:rsidR="00E501A3" w:rsidRPr="00B40B81" w:rsidRDefault="00E501A3" w:rsidP="00653C40">
      <w:pPr>
        <w:pStyle w:val="ListBullet"/>
      </w:pPr>
      <w:r w:rsidRPr="00B40B81">
        <w:t>ANCHOR-2: -0.20 (95% CI: -0.42 to 0.01; nominal p=0.063)</w:t>
      </w:r>
    </w:p>
    <w:p w14:paraId="1F228014" w14:textId="77777777" w:rsidR="00E501A3" w:rsidRPr="00BB1116" w:rsidRDefault="00E501A3" w:rsidP="00E501A3">
      <w:pPr>
        <w:rPr>
          <w:rFonts w:cstheme="majorHAnsi"/>
          <w:color w:val="000000" w:themeColor="text1"/>
        </w:rPr>
      </w:pPr>
      <w:r w:rsidRPr="00BB1116">
        <w:rPr>
          <w:rFonts w:cstheme="majorHAnsi"/>
          <w:color w:val="000000" w:themeColor="text1"/>
        </w:rPr>
        <w:t>Two sensitivity analyses to understand the impact of missing data</w:t>
      </w:r>
      <w:r>
        <w:rPr>
          <w:rFonts w:cstheme="majorHAnsi"/>
          <w:color w:val="000000" w:themeColor="text1"/>
        </w:rPr>
        <w:t xml:space="preserve"> were conducted</w:t>
      </w:r>
      <w:r w:rsidRPr="00BB1116">
        <w:rPr>
          <w:rFonts w:cstheme="majorHAnsi"/>
          <w:color w:val="000000" w:themeColor="text1"/>
        </w:rPr>
        <w:t xml:space="preserve"> for the n</w:t>
      </w:r>
      <w:r w:rsidRPr="00BB1116">
        <w:rPr>
          <w:rFonts w:cstheme="majorHAnsi"/>
          <w:color w:val="000000" w:themeColor="text1"/>
          <w:lang w:eastAsia="ja-JP"/>
        </w:rPr>
        <w:t>asal obstruction VRS mean score.</w:t>
      </w:r>
    </w:p>
    <w:p w14:paraId="09983FB5" w14:textId="77777777" w:rsidR="00E501A3" w:rsidRPr="00241E32" w:rsidRDefault="00E501A3" w:rsidP="00E501A3">
      <w:pPr>
        <w:rPr>
          <w:rFonts w:cstheme="majorHAnsi"/>
          <w:color w:val="000000" w:themeColor="text1"/>
        </w:rPr>
      </w:pPr>
      <w:r w:rsidRPr="00241E32">
        <w:rPr>
          <w:rFonts w:cstheme="majorHAnsi"/>
          <w:color w:val="000000" w:themeColor="text1"/>
        </w:rPr>
        <w:t>A Jump to reference sensitivity analysis using the placebo group’s response to impute a response for participants in the depemokimab group with missing data after study withdrawal was conducted:</w:t>
      </w:r>
    </w:p>
    <w:p w14:paraId="30D0BE53" w14:textId="77777777" w:rsidR="00E501A3" w:rsidRPr="00241E32" w:rsidRDefault="00E501A3" w:rsidP="00653C40">
      <w:pPr>
        <w:pStyle w:val="ListBullet"/>
      </w:pPr>
      <w:r w:rsidRPr="00241E32">
        <w:t>ANCHOR-1: -0.22 (95% CI: -0.44 to 0.00; p=0.049)</w:t>
      </w:r>
    </w:p>
    <w:p w14:paraId="53223923" w14:textId="77777777" w:rsidR="00E501A3" w:rsidRPr="00241E32" w:rsidRDefault="00E501A3" w:rsidP="00653C40">
      <w:pPr>
        <w:pStyle w:val="ListBullet"/>
      </w:pPr>
      <w:r w:rsidRPr="00241E32">
        <w:t>ANCHOR-2: -0.25 (95% CI: -0.46 to -0.04; p=0.020)</w:t>
      </w:r>
    </w:p>
    <w:p w14:paraId="62F6DC63" w14:textId="77777777" w:rsidR="00E501A3" w:rsidRPr="00BE66D9" w:rsidRDefault="00E501A3" w:rsidP="00E501A3">
      <w:pPr>
        <w:rPr>
          <w:rFonts w:cstheme="majorHAnsi"/>
          <w:color w:val="000000" w:themeColor="text1"/>
        </w:rPr>
      </w:pPr>
      <w:r w:rsidRPr="00BE66D9">
        <w:rPr>
          <w:rFonts w:cstheme="majorHAnsi"/>
          <w:color w:val="000000" w:themeColor="text1"/>
        </w:rPr>
        <w:t xml:space="preserve">A tipping point sensitivity analysis conducted for both studies to investigate the impact of missing data used a multiple imputation step approach under a missing at random assumption. Imputed values for each treatment group varied separately by a value of delta, where delta represented a change in VRS mean score over a 4-week interval covering a range from -1.5 to 1.5 </w:t>
      </w:r>
      <w:r w:rsidRPr="00BE66D9">
        <w:rPr>
          <w:rFonts w:cstheme="majorHAnsi"/>
          <w:color w:val="000000" w:themeColor="text1"/>
        </w:rPr>
        <w:lastRenderedPageBreak/>
        <w:t xml:space="preserve">by 0.5-point increments. The nasal obstruction VRS mean score imputed values from 0 to 3. </w:t>
      </w:r>
      <w:r>
        <w:rPr>
          <w:rFonts w:cstheme="majorHAnsi"/>
          <w:color w:val="000000" w:themeColor="text1"/>
        </w:rPr>
        <w:t>Findings supported the findings of the primary endpoint.</w:t>
      </w:r>
    </w:p>
    <w:p w14:paraId="3371B8A7" w14:textId="77777777" w:rsidR="00E501A3" w:rsidRPr="00CD3E6F" w:rsidRDefault="00E501A3" w:rsidP="00E501A3">
      <w:pPr>
        <w:rPr>
          <w:rFonts w:cstheme="majorHAnsi"/>
          <w:color w:val="000000" w:themeColor="text1"/>
        </w:rPr>
      </w:pPr>
      <w:r w:rsidRPr="00CD3E6F">
        <w:rPr>
          <w:rFonts w:cstheme="majorHAnsi"/>
          <w:color w:val="000000" w:themeColor="text1"/>
          <w:lang w:eastAsia="ja-JP"/>
        </w:rPr>
        <w:t>Results of the subgroup analyses of the nasal obstruction VRS mean score Week 49 to Week 52 were consistent with those of the overall population except for</w:t>
      </w:r>
      <w:r>
        <w:rPr>
          <w:rFonts w:cstheme="majorHAnsi"/>
          <w:color w:val="000000" w:themeColor="text1"/>
          <w:lang w:eastAsia="ja-JP"/>
        </w:rPr>
        <w:t xml:space="preserve"> participants </w:t>
      </w:r>
      <w:r w:rsidRPr="00CD3E6F">
        <w:rPr>
          <w:rFonts w:cstheme="majorHAnsi"/>
          <w:color w:val="000000" w:themeColor="text1"/>
        </w:rPr>
        <w:t>with 2 previous surgeries</w:t>
      </w:r>
      <w:r>
        <w:rPr>
          <w:rFonts w:cstheme="majorHAnsi"/>
          <w:color w:val="000000" w:themeColor="text1"/>
        </w:rPr>
        <w:t xml:space="preserve"> in the ANCHOR-1 study and </w:t>
      </w:r>
      <w:r w:rsidRPr="00CD3E6F">
        <w:rPr>
          <w:rFonts w:cstheme="majorHAnsi"/>
          <w:color w:val="000000" w:themeColor="text1"/>
        </w:rPr>
        <w:t>participants from US, and participants without asthma</w:t>
      </w:r>
      <w:r>
        <w:rPr>
          <w:rFonts w:cstheme="majorHAnsi"/>
          <w:color w:val="000000" w:themeColor="text1"/>
        </w:rPr>
        <w:t xml:space="preserve"> in the ANCHOR-2 study.</w:t>
      </w:r>
      <w:r w:rsidRPr="00CD3E6F">
        <w:rPr>
          <w:rFonts w:cstheme="majorHAnsi"/>
          <w:color w:val="000000" w:themeColor="text1"/>
        </w:rPr>
        <w:t xml:space="preserve"> </w:t>
      </w:r>
    </w:p>
    <w:p w14:paraId="4A37CDD4" w14:textId="3D6A2B3B" w:rsidR="002767BE" w:rsidRPr="00653C40" w:rsidRDefault="002767BE" w:rsidP="00653C40">
      <w:pPr>
        <w:pStyle w:val="Heading5"/>
      </w:pPr>
      <w:bookmarkStart w:id="92" w:name="_Ref271126605"/>
      <w:bookmarkStart w:id="93" w:name="_Toc272414657"/>
      <w:bookmarkStart w:id="94" w:name="_Toc290888508"/>
      <w:bookmarkStart w:id="95" w:name="_Toc416353724"/>
      <w:bookmarkStart w:id="96" w:name="_Toc421005272"/>
      <w:bookmarkStart w:id="97" w:name="_Toc432079154"/>
      <w:bookmarkStart w:id="98" w:name="_Toc432080727"/>
      <w:r w:rsidRPr="00653C40">
        <w:t>Pooled efficacy analysis</w:t>
      </w:r>
      <w:fldSimple w:instr="DOCVARIABLE vault_nd_d26f63b6-107d-4e4e-a954-dd733e4a4e6a \* MERGEFORMAT">
        <w:r w:rsidR="008A6BD8">
          <w:t xml:space="preserve"> </w:t>
        </w:r>
      </w:fldSimple>
    </w:p>
    <w:p w14:paraId="59E01634" w14:textId="77777777" w:rsidR="002767BE" w:rsidRPr="00D33A76" w:rsidRDefault="002767BE" w:rsidP="002767BE">
      <w:pPr>
        <w:rPr>
          <w:rFonts w:cstheme="majorHAnsi"/>
          <w:lang w:eastAsia="ja-JP"/>
        </w:rPr>
      </w:pPr>
      <w:r w:rsidRPr="00D33A76">
        <w:rPr>
          <w:rFonts w:cstheme="majorHAnsi"/>
          <w:lang w:eastAsia="ja-JP"/>
        </w:rPr>
        <w:t>The ANCHOR-1 and ANCHOR-2 studies did not enrol enough participants to reliably evaluate the impact of depemokimab on reducing the need for nasal polyp surgery, systemic corticosteroid use, and improving asthma control. Therefore, efficacy analyses for these endpoints were pre-specified to be conducted using pooled data from both studies.</w:t>
      </w:r>
      <w:r>
        <w:rPr>
          <w:rFonts w:cstheme="majorHAnsi"/>
          <w:lang w:eastAsia="ja-JP"/>
        </w:rPr>
        <w:t xml:space="preserve"> The pooled analysis identified 2 populations: the randomised population comprising the 275 participants from the depemokimab arms and 265 participants from the placebo arms of the studies, plus the FAS population comprising 272 participants from the depemokimab arms and 256 participants from the placebo arms of the studies.</w:t>
      </w:r>
    </w:p>
    <w:p w14:paraId="04C0C114" w14:textId="77777777" w:rsidR="002767BE" w:rsidRPr="00F80690" w:rsidRDefault="002767BE" w:rsidP="002767BE">
      <w:pPr>
        <w:rPr>
          <w:rFonts w:cstheme="majorHAnsi"/>
        </w:rPr>
      </w:pPr>
      <w:r w:rsidRPr="00F80690">
        <w:rPr>
          <w:rFonts w:cstheme="majorHAnsi"/>
        </w:rPr>
        <w:t>The pooled analyses were pre-specified and conducted after both studies were completed and had achieved statistical significance for their co-primary endpoints. Four key secondary endpoints were tested using a closed-testing procedure based on a predefined hierarchy at a significance level of 4.75% (α – α</w:t>
      </w:r>
      <w:r w:rsidRPr="00F80690">
        <w:rPr>
          <w:rFonts w:cstheme="majorHAnsi"/>
          <w:vertAlign w:val="superscript"/>
        </w:rPr>
        <w:t>2</w:t>
      </w:r>
      <w:r w:rsidRPr="00F80690">
        <w:rPr>
          <w:rFonts w:cstheme="majorHAnsi"/>
        </w:rPr>
        <w:t>). If all four reached significance, additional pre-specified pooled efficacy endpoints were tested at the same level without further multiplicity adjustment.</w:t>
      </w:r>
    </w:p>
    <w:p w14:paraId="71BBDD3A" w14:textId="77777777" w:rsidR="002767BE" w:rsidRPr="00682634" w:rsidRDefault="002767BE" w:rsidP="002767BE">
      <w:pPr>
        <w:rPr>
          <w:rFonts w:cstheme="majorHAnsi"/>
        </w:rPr>
      </w:pPr>
      <w:r w:rsidRPr="00F80690">
        <w:rPr>
          <w:rFonts w:cstheme="majorHAnsi"/>
        </w:rPr>
        <w:t xml:space="preserve">Assuming a true population HR of 0.38 the pooled analysis had &gt;90% power to observe statistical significance at the 2-sided 4.75% level. </w:t>
      </w:r>
      <w:r>
        <w:rPr>
          <w:rFonts w:cstheme="majorHAnsi"/>
        </w:rPr>
        <w:t>The</w:t>
      </w:r>
      <w:r w:rsidRPr="00F80690">
        <w:rPr>
          <w:rFonts w:cstheme="majorHAnsi"/>
        </w:rPr>
        <w:t xml:space="preserve"> smallest observed effect predicted to result in a statistically significant difference between the two treatment groups was a HR of 0.64 for the risk of surgery. The pre-specified pooled analysis of time to first surgery (actual or entry on waiting list) or disease-modulating medication for CRSwNP had &gt;90% to detect differences.</w:t>
      </w:r>
      <w:r w:rsidRPr="00AF32B7">
        <w:rPr>
          <w:rFonts w:cstheme="majorHAnsi"/>
        </w:rPr>
        <w:t xml:space="preserve"> </w:t>
      </w:r>
    </w:p>
    <w:p w14:paraId="4F22E66B" w14:textId="6D253642" w:rsidR="002767BE" w:rsidRPr="00AF32B7" w:rsidRDefault="002767BE" w:rsidP="002767BE">
      <w:pPr>
        <w:rPr>
          <w:rFonts w:cstheme="majorHAnsi"/>
          <w:lang w:eastAsia="ja-JP"/>
        </w:rPr>
      </w:pPr>
      <w:r w:rsidRPr="00AF32B7">
        <w:rPr>
          <w:rFonts w:cstheme="majorHAnsi"/>
          <w:lang w:eastAsia="ja-JP"/>
        </w:rPr>
        <w:t>The pooled analys</w:t>
      </w:r>
      <w:r>
        <w:rPr>
          <w:rFonts w:cstheme="majorHAnsi"/>
          <w:lang w:eastAsia="ja-JP"/>
        </w:rPr>
        <w:t>e</w:t>
      </w:r>
      <w:r w:rsidRPr="00AF32B7">
        <w:rPr>
          <w:rFonts w:cstheme="majorHAnsi"/>
          <w:lang w:eastAsia="ja-JP"/>
        </w:rPr>
        <w:t xml:space="preserve">s of the secondary efficacy endpoints </w:t>
      </w:r>
      <w:r>
        <w:rPr>
          <w:rFonts w:cstheme="majorHAnsi"/>
          <w:lang w:eastAsia="ja-JP"/>
        </w:rPr>
        <w:t>results are tabulated below</w:t>
      </w:r>
      <w:r w:rsidR="00761FB2">
        <w:rPr>
          <w:rFonts w:cstheme="majorHAnsi"/>
          <w:lang w:eastAsia="ja-JP"/>
        </w:rPr>
        <w:t xml:space="preserve"> (Table 13)</w:t>
      </w:r>
      <w:r>
        <w:rPr>
          <w:rFonts w:cstheme="majorHAnsi"/>
          <w:lang w:eastAsia="ja-JP"/>
        </w:rPr>
        <w:t xml:space="preserve">. </w:t>
      </w:r>
    </w:p>
    <w:p w14:paraId="08EE6387" w14:textId="1AB5D359" w:rsidR="002767BE" w:rsidRPr="00AF32B7" w:rsidRDefault="002767BE" w:rsidP="00653C40">
      <w:pPr>
        <w:pStyle w:val="TableTitle"/>
      </w:pPr>
      <w:bookmarkStart w:id="99" w:name="_Ref208483556"/>
      <w:bookmarkStart w:id="100" w:name="_Toc209166309"/>
      <w:bookmarkStart w:id="101" w:name="_Toc215565786"/>
      <w:r w:rsidRPr="00AF32B7">
        <w:t xml:space="preserve">Table </w:t>
      </w:r>
      <w:bookmarkEnd w:id="99"/>
      <w:r w:rsidR="00761FB2">
        <w:t xml:space="preserve">13. </w:t>
      </w:r>
      <w:r w:rsidRPr="00AF32B7">
        <w:t>Secondary endpoints (pooled analyses)</w:t>
      </w:r>
      <w:bookmarkEnd w:id="100"/>
      <w:bookmarkEnd w:id="101"/>
      <w:r>
        <w:t xml:space="preserve"> </w:t>
      </w:r>
      <w:r w:rsidR="00D97C77">
        <w:t>full analysis se</w:t>
      </w:r>
      <w:r>
        <w:t>t</w:t>
      </w:r>
      <w:r w:rsidR="00761FB2">
        <w:t>.</w:t>
      </w:r>
    </w:p>
    <w:tbl>
      <w:tblPr>
        <w:tblStyle w:val="TableGrid"/>
        <w:tblW w:w="0" w:type="auto"/>
        <w:tblLook w:val="04A0" w:firstRow="1" w:lastRow="0" w:firstColumn="1" w:lastColumn="0" w:noHBand="0" w:noVBand="1"/>
      </w:tblPr>
      <w:tblGrid>
        <w:gridCol w:w="4508"/>
        <w:gridCol w:w="4508"/>
      </w:tblGrid>
      <w:tr w:rsidR="002767BE" w:rsidRPr="00AF32B7" w14:paraId="37A29D04" w14:textId="77777777">
        <w:tc>
          <w:tcPr>
            <w:tcW w:w="9016" w:type="dxa"/>
            <w:gridSpan w:val="2"/>
          </w:tcPr>
          <w:p w14:paraId="3C6CDE8D" w14:textId="77777777" w:rsidR="002767BE" w:rsidRPr="00AF32B7" w:rsidRDefault="002767BE">
            <w:pPr>
              <w:rPr>
                <w:rFonts w:ascii="Calibri" w:hAnsi="Calibri" w:cs="Calibri"/>
                <w:szCs w:val="22"/>
              </w:rPr>
            </w:pPr>
            <w:r w:rsidRPr="00AF32B7">
              <w:rPr>
                <w:rFonts w:ascii="Calibri" w:hAnsi="Calibri" w:cs="Calibri"/>
                <w:b/>
                <w:szCs w:val="22"/>
              </w:rPr>
              <w:t>Time</w:t>
            </w:r>
            <w:r w:rsidRPr="00AF32B7">
              <w:rPr>
                <w:rFonts w:ascii="Calibri" w:hAnsi="Calibri" w:cs="Calibri"/>
                <w:b/>
                <w:spacing w:val="-4"/>
                <w:szCs w:val="22"/>
              </w:rPr>
              <w:t xml:space="preserve"> </w:t>
            </w:r>
            <w:r w:rsidRPr="00AF32B7">
              <w:rPr>
                <w:rFonts w:ascii="Calibri" w:hAnsi="Calibri" w:cs="Calibri"/>
                <w:b/>
                <w:szCs w:val="22"/>
              </w:rPr>
              <w:t>to</w:t>
            </w:r>
            <w:r w:rsidRPr="00AF32B7">
              <w:rPr>
                <w:rFonts w:ascii="Calibri" w:hAnsi="Calibri" w:cs="Calibri"/>
                <w:b/>
                <w:spacing w:val="-3"/>
                <w:szCs w:val="22"/>
              </w:rPr>
              <w:t xml:space="preserve"> </w:t>
            </w:r>
            <w:r w:rsidRPr="00AF32B7">
              <w:rPr>
                <w:rFonts w:ascii="Calibri" w:hAnsi="Calibri" w:cs="Calibri"/>
                <w:b/>
                <w:szCs w:val="22"/>
              </w:rPr>
              <w:t>first</w:t>
            </w:r>
            <w:r w:rsidRPr="00AF32B7">
              <w:rPr>
                <w:rFonts w:ascii="Calibri" w:hAnsi="Calibri" w:cs="Calibri"/>
                <w:b/>
                <w:spacing w:val="-3"/>
                <w:szCs w:val="22"/>
              </w:rPr>
              <w:t xml:space="preserve"> </w:t>
            </w:r>
            <w:r w:rsidRPr="00AF32B7">
              <w:rPr>
                <w:rFonts w:ascii="Calibri" w:hAnsi="Calibri" w:cs="Calibri"/>
                <w:b/>
                <w:szCs w:val="22"/>
              </w:rPr>
              <w:t>NP</w:t>
            </w:r>
            <w:r w:rsidRPr="00AF32B7">
              <w:rPr>
                <w:rFonts w:ascii="Calibri" w:hAnsi="Calibri" w:cs="Calibri"/>
                <w:b/>
                <w:spacing w:val="-4"/>
                <w:szCs w:val="22"/>
              </w:rPr>
              <w:t xml:space="preserve"> </w:t>
            </w:r>
            <w:r w:rsidRPr="00AF32B7">
              <w:rPr>
                <w:rFonts w:ascii="Calibri" w:hAnsi="Calibri" w:cs="Calibri"/>
                <w:b/>
                <w:szCs w:val="22"/>
              </w:rPr>
              <w:t>surgery</w:t>
            </w:r>
            <w:r w:rsidRPr="00AF32B7">
              <w:rPr>
                <w:rFonts w:ascii="Calibri" w:hAnsi="Calibri" w:cs="Calibri"/>
                <w:b/>
                <w:spacing w:val="-4"/>
                <w:szCs w:val="22"/>
              </w:rPr>
              <w:t xml:space="preserve"> </w:t>
            </w:r>
            <w:r w:rsidRPr="00AF32B7">
              <w:rPr>
                <w:rFonts w:ascii="Calibri" w:hAnsi="Calibri" w:cs="Calibri"/>
                <w:b/>
                <w:szCs w:val="22"/>
              </w:rPr>
              <w:t>(actual</w:t>
            </w:r>
            <w:r w:rsidRPr="00AF32B7">
              <w:rPr>
                <w:rFonts w:ascii="Calibri" w:hAnsi="Calibri" w:cs="Calibri"/>
                <w:b/>
                <w:spacing w:val="-4"/>
                <w:szCs w:val="22"/>
              </w:rPr>
              <w:t xml:space="preserve"> </w:t>
            </w:r>
            <w:r w:rsidRPr="00AF32B7">
              <w:rPr>
                <w:rFonts w:ascii="Calibri" w:hAnsi="Calibri" w:cs="Calibri"/>
                <w:b/>
                <w:szCs w:val="22"/>
              </w:rPr>
              <w:t>or entry</w:t>
            </w:r>
            <w:r w:rsidRPr="00AF32B7">
              <w:rPr>
                <w:rFonts w:ascii="Calibri" w:hAnsi="Calibri" w:cs="Calibri"/>
                <w:b/>
                <w:spacing w:val="-4"/>
                <w:szCs w:val="22"/>
              </w:rPr>
              <w:t xml:space="preserve"> </w:t>
            </w:r>
            <w:r w:rsidRPr="00AF32B7">
              <w:rPr>
                <w:rFonts w:ascii="Calibri" w:hAnsi="Calibri" w:cs="Calibri"/>
                <w:b/>
                <w:szCs w:val="22"/>
              </w:rPr>
              <w:t>on</w:t>
            </w:r>
            <w:r w:rsidRPr="00AF32B7">
              <w:rPr>
                <w:rFonts w:ascii="Calibri" w:hAnsi="Calibri" w:cs="Calibri"/>
                <w:b/>
                <w:spacing w:val="-3"/>
                <w:szCs w:val="22"/>
              </w:rPr>
              <w:t xml:space="preserve"> </w:t>
            </w:r>
            <w:r w:rsidRPr="00AF32B7">
              <w:rPr>
                <w:rFonts w:ascii="Calibri" w:hAnsi="Calibri" w:cs="Calibri"/>
                <w:b/>
                <w:szCs w:val="22"/>
              </w:rPr>
              <w:t>waiting</w:t>
            </w:r>
            <w:r w:rsidRPr="00AF32B7">
              <w:rPr>
                <w:rFonts w:ascii="Calibri" w:hAnsi="Calibri" w:cs="Calibri"/>
                <w:b/>
                <w:spacing w:val="-3"/>
                <w:szCs w:val="22"/>
              </w:rPr>
              <w:t xml:space="preserve"> </w:t>
            </w:r>
            <w:r w:rsidRPr="00AF32B7">
              <w:rPr>
                <w:rFonts w:ascii="Calibri" w:hAnsi="Calibri" w:cs="Calibri"/>
                <w:b/>
                <w:szCs w:val="22"/>
              </w:rPr>
              <w:t>list)</w:t>
            </w:r>
            <w:r w:rsidRPr="00AF32B7">
              <w:rPr>
                <w:rFonts w:ascii="Calibri" w:hAnsi="Calibri" w:cs="Calibri"/>
                <w:b/>
                <w:spacing w:val="-3"/>
                <w:szCs w:val="22"/>
              </w:rPr>
              <w:t xml:space="preserve"> </w:t>
            </w:r>
            <w:r w:rsidRPr="00AF32B7">
              <w:rPr>
                <w:rFonts w:ascii="Calibri" w:hAnsi="Calibri" w:cs="Calibri"/>
                <w:b/>
                <w:szCs w:val="22"/>
              </w:rPr>
              <w:t>or</w:t>
            </w:r>
            <w:r w:rsidRPr="00AF32B7">
              <w:rPr>
                <w:rFonts w:ascii="Calibri" w:hAnsi="Calibri" w:cs="Calibri"/>
                <w:b/>
                <w:spacing w:val="-3"/>
                <w:szCs w:val="22"/>
              </w:rPr>
              <w:t xml:space="preserve"> </w:t>
            </w:r>
            <w:r w:rsidRPr="00AF32B7">
              <w:rPr>
                <w:rFonts w:ascii="Calibri" w:hAnsi="Calibri" w:cs="Calibri"/>
                <w:b/>
                <w:szCs w:val="22"/>
              </w:rPr>
              <w:t>disease-modulating</w:t>
            </w:r>
            <w:r w:rsidRPr="00AF32B7">
              <w:rPr>
                <w:rFonts w:ascii="Calibri" w:hAnsi="Calibri" w:cs="Calibri"/>
                <w:b/>
                <w:spacing w:val="-3"/>
                <w:szCs w:val="22"/>
              </w:rPr>
              <w:t xml:space="preserve"> </w:t>
            </w:r>
            <w:r w:rsidRPr="00AF32B7">
              <w:rPr>
                <w:rFonts w:ascii="Calibri" w:hAnsi="Calibri" w:cs="Calibri"/>
                <w:b/>
                <w:szCs w:val="22"/>
              </w:rPr>
              <w:t>medication</w:t>
            </w:r>
            <w:r w:rsidRPr="00AF32B7">
              <w:rPr>
                <w:rFonts w:ascii="Calibri" w:hAnsi="Calibri" w:cs="Calibri"/>
                <w:b/>
                <w:spacing w:val="-3"/>
                <w:szCs w:val="22"/>
              </w:rPr>
              <w:t xml:space="preserve"> </w:t>
            </w:r>
            <w:r w:rsidRPr="00AF32B7">
              <w:rPr>
                <w:rFonts w:ascii="Calibri" w:hAnsi="Calibri" w:cs="Calibri"/>
                <w:b/>
                <w:szCs w:val="22"/>
              </w:rPr>
              <w:t>for</w:t>
            </w:r>
            <w:r w:rsidRPr="00AF32B7">
              <w:rPr>
                <w:rFonts w:ascii="Calibri" w:hAnsi="Calibri" w:cs="Calibri"/>
                <w:b/>
                <w:spacing w:val="-4"/>
                <w:szCs w:val="22"/>
              </w:rPr>
              <w:t xml:space="preserve"> </w:t>
            </w:r>
            <w:r w:rsidRPr="00AF32B7">
              <w:rPr>
                <w:rFonts w:ascii="Calibri" w:hAnsi="Calibri" w:cs="Calibri"/>
                <w:b/>
                <w:szCs w:val="22"/>
              </w:rPr>
              <w:t>CRSwNP</w:t>
            </w:r>
            <w:r w:rsidRPr="00AF32B7">
              <w:rPr>
                <w:rFonts w:ascii="Calibri" w:hAnsi="Calibri" w:cs="Calibri"/>
                <w:b/>
                <w:spacing w:val="-4"/>
                <w:szCs w:val="22"/>
              </w:rPr>
              <w:t xml:space="preserve"> </w:t>
            </w:r>
            <w:r w:rsidRPr="00AF32B7">
              <w:rPr>
                <w:rFonts w:ascii="Calibri" w:hAnsi="Calibri" w:cs="Calibri"/>
                <w:b/>
                <w:szCs w:val="22"/>
              </w:rPr>
              <w:t>up to Week 52</w:t>
            </w:r>
          </w:p>
        </w:tc>
      </w:tr>
      <w:tr w:rsidR="002767BE" w:rsidRPr="00AF32B7" w14:paraId="4845F60A" w14:textId="77777777">
        <w:tc>
          <w:tcPr>
            <w:tcW w:w="4508" w:type="dxa"/>
          </w:tcPr>
          <w:p w14:paraId="746E7B77" w14:textId="3230F236" w:rsidR="002767BE" w:rsidRPr="009F3034" w:rsidRDefault="002767BE">
            <w:pPr>
              <w:rPr>
                <w:rFonts w:ascii="Calibri" w:hAnsi="Calibri" w:cs="Calibri"/>
                <w:sz w:val="20"/>
                <w:szCs w:val="20"/>
              </w:rPr>
            </w:pPr>
            <w:r w:rsidRPr="009F3034">
              <w:rPr>
                <w:rFonts w:ascii="Calibri" w:hAnsi="Calibri" w:cs="Calibri"/>
                <w:sz w:val="20"/>
                <w:szCs w:val="20"/>
              </w:rPr>
              <w:t>Hazard ratio (95% CI); p-value</w:t>
            </w:r>
          </w:p>
        </w:tc>
        <w:tc>
          <w:tcPr>
            <w:tcW w:w="4508" w:type="dxa"/>
          </w:tcPr>
          <w:p w14:paraId="4D837C57" w14:textId="16265F17" w:rsidR="002767BE" w:rsidRPr="009F3034" w:rsidRDefault="002767BE">
            <w:pPr>
              <w:rPr>
                <w:rFonts w:ascii="Calibri" w:hAnsi="Calibri" w:cs="Calibri"/>
                <w:sz w:val="20"/>
                <w:szCs w:val="20"/>
              </w:rPr>
            </w:pPr>
            <w:r w:rsidRPr="009F3034">
              <w:rPr>
                <w:rFonts w:ascii="Calibri" w:hAnsi="Calibri" w:cs="Calibri"/>
                <w:sz w:val="20"/>
                <w:szCs w:val="20"/>
              </w:rPr>
              <w:t>0.735 (0.495, 1.092);</w:t>
            </w:r>
            <w:r w:rsidR="00653C40">
              <w:rPr>
                <w:rFonts w:ascii="Calibri" w:hAnsi="Calibri" w:cs="Calibri"/>
                <w:sz w:val="20"/>
                <w:szCs w:val="20"/>
              </w:rPr>
              <w:t xml:space="preserve"> </w:t>
            </w:r>
            <w:r>
              <w:rPr>
                <w:rFonts w:ascii="Calibri" w:hAnsi="Calibri" w:cs="Calibri"/>
                <w:sz w:val="20"/>
                <w:szCs w:val="20"/>
              </w:rPr>
              <w:t>p=</w:t>
            </w:r>
            <w:r w:rsidRPr="009F3034">
              <w:rPr>
                <w:rFonts w:ascii="Calibri" w:hAnsi="Calibri" w:cs="Calibri"/>
                <w:sz w:val="20"/>
                <w:szCs w:val="20"/>
              </w:rPr>
              <w:t xml:space="preserve"> 0.128</w:t>
            </w:r>
          </w:p>
        </w:tc>
      </w:tr>
      <w:tr w:rsidR="002767BE" w:rsidRPr="00AF32B7" w14:paraId="7EC71DC2" w14:textId="77777777">
        <w:tc>
          <w:tcPr>
            <w:tcW w:w="9016" w:type="dxa"/>
            <w:gridSpan w:val="2"/>
          </w:tcPr>
          <w:p w14:paraId="3EFCAEB5" w14:textId="77777777" w:rsidR="002767BE" w:rsidRPr="00AF32B7" w:rsidRDefault="002767BE">
            <w:pPr>
              <w:rPr>
                <w:rFonts w:ascii="Calibri" w:hAnsi="Calibri" w:cs="Calibri"/>
                <w:szCs w:val="22"/>
              </w:rPr>
            </w:pPr>
            <w:r w:rsidRPr="00AF32B7">
              <w:rPr>
                <w:rFonts w:ascii="Calibri" w:hAnsi="Calibri" w:cs="Calibri"/>
                <w:b/>
                <w:szCs w:val="22"/>
              </w:rPr>
              <w:t>Time to first NP surgery (actual) or disease-modulating medication for CRSwNP up to Week 52</w:t>
            </w:r>
          </w:p>
        </w:tc>
      </w:tr>
      <w:tr w:rsidR="002767BE" w:rsidRPr="00AF32B7" w14:paraId="36955950" w14:textId="77777777">
        <w:tc>
          <w:tcPr>
            <w:tcW w:w="4508" w:type="dxa"/>
          </w:tcPr>
          <w:p w14:paraId="37CD8AAC" w14:textId="6D2FD977" w:rsidR="002767BE" w:rsidRPr="009F3034" w:rsidRDefault="002767BE">
            <w:pPr>
              <w:rPr>
                <w:rFonts w:ascii="Calibri" w:hAnsi="Calibri" w:cs="Calibri"/>
                <w:sz w:val="20"/>
                <w:szCs w:val="20"/>
              </w:rPr>
            </w:pPr>
            <w:r w:rsidRPr="009F3034">
              <w:rPr>
                <w:rFonts w:ascii="Calibri" w:hAnsi="Calibri" w:cs="Calibri"/>
                <w:sz w:val="20"/>
                <w:szCs w:val="20"/>
              </w:rPr>
              <w:t>Hazard ratio (95% CI); p-value</w:t>
            </w:r>
          </w:p>
        </w:tc>
        <w:tc>
          <w:tcPr>
            <w:tcW w:w="4508" w:type="dxa"/>
          </w:tcPr>
          <w:p w14:paraId="634DB13D" w14:textId="60481672" w:rsidR="002767BE" w:rsidRPr="009F3034" w:rsidRDefault="002767BE">
            <w:pPr>
              <w:rPr>
                <w:rFonts w:ascii="Calibri" w:hAnsi="Calibri" w:cs="Calibri"/>
                <w:sz w:val="20"/>
                <w:szCs w:val="20"/>
              </w:rPr>
            </w:pPr>
            <w:r w:rsidRPr="009F3034">
              <w:rPr>
                <w:rFonts w:ascii="Calibri" w:hAnsi="Calibri" w:cs="Calibri"/>
                <w:sz w:val="20"/>
                <w:szCs w:val="20"/>
              </w:rPr>
              <w:t xml:space="preserve">0.713 (0.453, 1.124); </w:t>
            </w:r>
            <w:r>
              <w:rPr>
                <w:rFonts w:ascii="Calibri" w:hAnsi="Calibri" w:cs="Calibri"/>
                <w:sz w:val="20"/>
                <w:szCs w:val="20"/>
              </w:rPr>
              <w:t>p=</w:t>
            </w:r>
            <w:r w:rsidRPr="009F3034">
              <w:rPr>
                <w:rFonts w:ascii="Calibri" w:hAnsi="Calibri" w:cs="Calibri"/>
                <w:sz w:val="20"/>
                <w:szCs w:val="20"/>
              </w:rPr>
              <w:t>0.146</w:t>
            </w:r>
          </w:p>
        </w:tc>
      </w:tr>
      <w:tr w:rsidR="002767BE" w:rsidRPr="00AF32B7" w14:paraId="24F470FE" w14:textId="77777777">
        <w:tc>
          <w:tcPr>
            <w:tcW w:w="9016" w:type="dxa"/>
            <w:gridSpan w:val="2"/>
          </w:tcPr>
          <w:p w14:paraId="1A9017F9" w14:textId="77777777" w:rsidR="002767BE" w:rsidRPr="00AF32B7" w:rsidRDefault="002767BE">
            <w:pPr>
              <w:rPr>
                <w:rFonts w:ascii="Calibri" w:hAnsi="Calibri" w:cs="Calibri"/>
                <w:szCs w:val="22"/>
              </w:rPr>
            </w:pPr>
            <w:r w:rsidRPr="00AF32B7">
              <w:rPr>
                <w:rFonts w:ascii="Calibri" w:hAnsi="Calibri" w:cs="Calibri"/>
                <w:b/>
                <w:szCs w:val="22"/>
              </w:rPr>
              <w:t>Requiring</w:t>
            </w:r>
            <w:r w:rsidRPr="00AF32B7">
              <w:rPr>
                <w:rFonts w:ascii="Calibri" w:hAnsi="Calibri" w:cs="Calibri"/>
                <w:b/>
                <w:spacing w:val="-3"/>
                <w:szCs w:val="22"/>
              </w:rPr>
              <w:t xml:space="preserve"> </w:t>
            </w:r>
            <w:r w:rsidRPr="00AF32B7">
              <w:rPr>
                <w:rFonts w:ascii="Calibri" w:hAnsi="Calibri" w:cs="Calibri"/>
                <w:b/>
                <w:szCs w:val="22"/>
              </w:rPr>
              <w:t>at</w:t>
            </w:r>
            <w:r w:rsidRPr="00AF32B7">
              <w:rPr>
                <w:rFonts w:ascii="Calibri" w:hAnsi="Calibri" w:cs="Calibri"/>
                <w:b/>
                <w:spacing w:val="-2"/>
                <w:szCs w:val="22"/>
              </w:rPr>
              <w:t xml:space="preserve"> </w:t>
            </w:r>
            <w:r w:rsidRPr="00AF32B7">
              <w:rPr>
                <w:rFonts w:ascii="Calibri" w:hAnsi="Calibri" w:cs="Calibri"/>
                <w:b/>
                <w:szCs w:val="22"/>
              </w:rPr>
              <w:t>least</w:t>
            </w:r>
            <w:r w:rsidRPr="00AF32B7">
              <w:rPr>
                <w:rFonts w:ascii="Calibri" w:hAnsi="Calibri" w:cs="Calibri"/>
                <w:b/>
                <w:spacing w:val="-3"/>
                <w:szCs w:val="22"/>
              </w:rPr>
              <w:t xml:space="preserve"> </w:t>
            </w:r>
            <w:r w:rsidRPr="00AF32B7">
              <w:rPr>
                <w:rFonts w:ascii="Calibri" w:hAnsi="Calibri" w:cs="Calibri"/>
                <w:b/>
                <w:szCs w:val="22"/>
              </w:rPr>
              <w:t>1</w:t>
            </w:r>
            <w:r w:rsidRPr="00AF32B7">
              <w:rPr>
                <w:rFonts w:ascii="Calibri" w:hAnsi="Calibri" w:cs="Calibri"/>
                <w:b/>
                <w:spacing w:val="-3"/>
                <w:szCs w:val="22"/>
              </w:rPr>
              <w:t xml:space="preserve"> </w:t>
            </w:r>
            <w:r w:rsidRPr="00AF32B7">
              <w:rPr>
                <w:rFonts w:ascii="Calibri" w:hAnsi="Calibri" w:cs="Calibri"/>
                <w:b/>
                <w:szCs w:val="22"/>
              </w:rPr>
              <w:t>course</w:t>
            </w:r>
            <w:r w:rsidRPr="00AF32B7">
              <w:rPr>
                <w:rFonts w:ascii="Calibri" w:hAnsi="Calibri" w:cs="Calibri"/>
                <w:b/>
                <w:spacing w:val="-5"/>
                <w:szCs w:val="22"/>
              </w:rPr>
              <w:t xml:space="preserve"> </w:t>
            </w:r>
            <w:r w:rsidRPr="00AF32B7">
              <w:rPr>
                <w:rFonts w:ascii="Calibri" w:hAnsi="Calibri" w:cs="Calibri"/>
                <w:b/>
                <w:szCs w:val="22"/>
              </w:rPr>
              <w:t>of</w:t>
            </w:r>
            <w:r w:rsidRPr="00AF32B7">
              <w:rPr>
                <w:rFonts w:ascii="Calibri" w:hAnsi="Calibri" w:cs="Calibri"/>
                <w:b/>
                <w:spacing w:val="-3"/>
                <w:szCs w:val="22"/>
              </w:rPr>
              <w:t xml:space="preserve"> </w:t>
            </w:r>
            <w:r w:rsidRPr="00AF32B7">
              <w:rPr>
                <w:rFonts w:ascii="Calibri" w:hAnsi="Calibri" w:cs="Calibri"/>
                <w:b/>
                <w:szCs w:val="22"/>
              </w:rPr>
              <w:t>systemic</w:t>
            </w:r>
            <w:r w:rsidRPr="00AF32B7">
              <w:rPr>
                <w:rFonts w:ascii="Calibri" w:hAnsi="Calibri" w:cs="Calibri"/>
                <w:b/>
                <w:spacing w:val="-3"/>
                <w:szCs w:val="22"/>
              </w:rPr>
              <w:t xml:space="preserve"> </w:t>
            </w:r>
            <w:r w:rsidRPr="00AF32B7">
              <w:rPr>
                <w:rFonts w:ascii="Calibri" w:hAnsi="Calibri" w:cs="Calibri"/>
                <w:b/>
                <w:szCs w:val="22"/>
              </w:rPr>
              <w:t>CS</w:t>
            </w:r>
            <w:r w:rsidRPr="00AF32B7">
              <w:rPr>
                <w:rFonts w:ascii="Calibri" w:hAnsi="Calibri" w:cs="Calibri"/>
                <w:b/>
                <w:spacing w:val="-5"/>
                <w:szCs w:val="22"/>
              </w:rPr>
              <w:t xml:space="preserve"> </w:t>
            </w:r>
            <w:r w:rsidRPr="00AF32B7">
              <w:rPr>
                <w:rFonts w:ascii="Calibri" w:hAnsi="Calibri" w:cs="Calibri"/>
                <w:b/>
                <w:szCs w:val="22"/>
              </w:rPr>
              <w:t>or</w:t>
            </w:r>
            <w:r w:rsidRPr="00AF32B7">
              <w:rPr>
                <w:rFonts w:ascii="Calibri" w:hAnsi="Calibri" w:cs="Calibri"/>
                <w:b/>
                <w:spacing w:val="-3"/>
                <w:szCs w:val="22"/>
              </w:rPr>
              <w:t xml:space="preserve"> </w:t>
            </w:r>
            <w:r w:rsidRPr="00AF32B7">
              <w:rPr>
                <w:rFonts w:ascii="Calibri" w:hAnsi="Calibri" w:cs="Calibri"/>
                <w:b/>
                <w:szCs w:val="22"/>
              </w:rPr>
              <w:t>disease-modulating</w:t>
            </w:r>
            <w:r w:rsidRPr="00AF32B7">
              <w:rPr>
                <w:rFonts w:ascii="Calibri" w:hAnsi="Calibri" w:cs="Calibri"/>
                <w:b/>
                <w:spacing w:val="-3"/>
                <w:szCs w:val="22"/>
              </w:rPr>
              <w:t xml:space="preserve"> </w:t>
            </w:r>
            <w:r w:rsidRPr="00AF32B7">
              <w:rPr>
                <w:rFonts w:ascii="Calibri" w:hAnsi="Calibri" w:cs="Calibri"/>
                <w:b/>
                <w:szCs w:val="22"/>
              </w:rPr>
              <w:t>medication</w:t>
            </w:r>
            <w:r w:rsidRPr="00AF32B7">
              <w:rPr>
                <w:rFonts w:ascii="Calibri" w:hAnsi="Calibri" w:cs="Calibri"/>
                <w:b/>
                <w:spacing w:val="-3"/>
                <w:szCs w:val="22"/>
              </w:rPr>
              <w:t xml:space="preserve"> </w:t>
            </w:r>
            <w:r w:rsidRPr="00AF32B7">
              <w:rPr>
                <w:rFonts w:ascii="Calibri" w:hAnsi="Calibri" w:cs="Calibri"/>
                <w:b/>
                <w:szCs w:val="22"/>
              </w:rPr>
              <w:t>for</w:t>
            </w:r>
            <w:r w:rsidRPr="00AF32B7">
              <w:rPr>
                <w:rFonts w:ascii="Calibri" w:hAnsi="Calibri" w:cs="Calibri"/>
                <w:b/>
                <w:spacing w:val="-3"/>
                <w:szCs w:val="22"/>
              </w:rPr>
              <w:t xml:space="preserve"> </w:t>
            </w:r>
            <w:r w:rsidRPr="00AF32B7">
              <w:rPr>
                <w:rFonts w:ascii="Calibri" w:hAnsi="Calibri" w:cs="Calibri"/>
                <w:b/>
                <w:szCs w:val="22"/>
              </w:rPr>
              <w:t>CRSwNP</w:t>
            </w:r>
            <w:r w:rsidRPr="00AF32B7">
              <w:rPr>
                <w:rFonts w:ascii="Calibri" w:hAnsi="Calibri" w:cs="Calibri"/>
                <w:b/>
                <w:spacing w:val="-5"/>
                <w:szCs w:val="22"/>
              </w:rPr>
              <w:t xml:space="preserve"> </w:t>
            </w:r>
            <w:r w:rsidRPr="00AF32B7">
              <w:rPr>
                <w:rFonts w:ascii="Calibri" w:hAnsi="Calibri" w:cs="Calibri"/>
                <w:b/>
                <w:szCs w:val="22"/>
              </w:rPr>
              <w:t>or</w:t>
            </w:r>
            <w:r w:rsidRPr="00AF32B7">
              <w:rPr>
                <w:rFonts w:ascii="Calibri" w:hAnsi="Calibri" w:cs="Calibri"/>
                <w:b/>
                <w:spacing w:val="-3"/>
                <w:szCs w:val="22"/>
              </w:rPr>
              <w:t xml:space="preserve"> </w:t>
            </w:r>
            <w:r w:rsidRPr="00AF32B7">
              <w:rPr>
                <w:rFonts w:ascii="Calibri" w:hAnsi="Calibri" w:cs="Calibri"/>
                <w:b/>
                <w:szCs w:val="22"/>
              </w:rPr>
              <w:t>NP</w:t>
            </w:r>
            <w:r w:rsidRPr="00AF32B7">
              <w:rPr>
                <w:rFonts w:ascii="Calibri" w:hAnsi="Calibri" w:cs="Calibri"/>
                <w:b/>
                <w:spacing w:val="-5"/>
                <w:szCs w:val="22"/>
              </w:rPr>
              <w:t xml:space="preserve"> </w:t>
            </w:r>
            <w:r w:rsidRPr="00AF32B7">
              <w:rPr>
                <w:rFonts w:ascii="Calibri" w:hAnsi="Calibri" w:cs="Calibri"/>
                <w:b/>
                <w:szCs w:val="22"/>
              </w:rPr>
              <w:t>surgery (actual) during the 52-week treatment period</w:t>
            </w:r>
          </w:p>
        </w:tc>
      </w:tr>
      <w:tr w:rsidR="002767BE" w:rsidRPr="00AF32B7" w14:paraId="06F24F23" w14:textId="77777777">
        <w:tc>
          <w:tcPr>
            <w:tcW w:w="4508" w:type="dxa"/>
          </w:tcPr>
          <w:p w14:paraId="509F8954" w14:textId="77777777" w:rsidR="002767BE" w:rsidRPr="009F3034" w:rsidRDefault="002767BE">
            <w:pPr>
              <w:rPr>
                <w:rFonts w:ascii="Calibri" w:hAnsi="Calibri" w:cs="Calibri"/>
                <w:sz w:val="20"/>
                <w:szCs w:val="20"/>
              </w:rPr>
            </w:pPr>
            <w:r w:rsidRPr="009F3034">
              <w:rPr>
                <w:rFonts w:ascii="Calibri" w:hAnsi="Calibri" w:cs="Calibri"/>
                <w:sz w:val="20"/>
                <w:szCs w:val="20"/>
              </w:rPr>
              <w:t xml:space="preserve">Odds ratio (95% CI); </w:t>
            </w:r>
            <w:r>
              <w:rPr>
                <w:rFonts w:ascii="Calibri" w:hAnsi="Calibri" w:cs="Calibri"/>
                <w:sz w:val="20"/>
                <w:szCs w:val="20"/>
              </w:rPr>
              <w:t xml:space="preserve">nominal </w:t>
            </w:r>
            <w:r w:rsidRPr="009F3034">
              <w:rPr>
                <w:rFonts w:ascii="Calibri" w:hAnsi="Calibri" w:cs="Calibri"/>
                <w:sz w:val="20"/>
                <w:szCs w:val="20"/>
              </w:rPr>
              <w:t>p-value</w:t>
            </w:r>
          </w:p>
        </w:tc>
        <w:tc>
          <w:tcPr>
            <w:tcW w:w="4508" w:type="dxa"/>
          </w:tcPr>
          <w:p w14:paraId="1364392E" w14:textId="1BEE44EC" w:rsidR="002767BE" w:rsidRPr="009F3034" w:rsidRDefault="002767BE">
            <w:pPr>
              <w:rPr>
                <w:rFonts w:ascii="Calibri" w:hAnsi="Calibri" w:cs="Calibri"/>
                <w:sz w:val="20"/>
                <w:szCs w:val="20"/>
              </w:rPr>
            </w:pPr>
            <w:r w:rsidRPr="009F3034">
              <w:rPr>
                <w:rFonts w:ascii="Calibri" w:hAnsi="Calibri" w:cs="Calibri"/>
                <w:sz w:val="20"/>
                <w:szCs w:val="20"/>
              </w:rPr>
              <w:t>0.58 (0.40, 0.86);</w:t>
            </w:r>
            <w:r>
              <w:rPr>
                <w:rFonts w:ascii="Calibri" w:hAnsi="Calibri" w:cs="Calibri"/>
                <w:sz w:val="20"/>
                <w:szCs w:val="20"/>
              </w:rPr>
              <w:t xml:space="preserve"> p =</w:t>
            </w:r>
            <w:r w:rsidRPr="009F3034">
              <w:rPr>
                <w:rFonts w:ascii="Calibri" w:hAnsi="Calibri" w:cs="Calibri"/>
                <w:sz w:val="20"/>
                <w:szCs w:val="20"/>
              </w:rPr>
              <w:t xml:space="preserve"> 0.006</w:t>
            </w:r>
            <w:r w:rsidR="007E2DB6" w:rsidRPr="00E12770">
              <w:rPr>
                <w:rFonts w:ascii="Calibri" w:hAnsi="Calibri" w:cs="Calibri"/>
                <w:sz w:val="20"/>
                <w:szCs w:val="20"/>
                <w:vertAlign w:val="superscript"/>
              </w:rPr>
              <w:t>1</w:t>
            </w:r>
          </w:p>
        </w:tc>
      </w:tr>
      <w:tr w:rsidR="002767BE" w:rsidRPr="00AF32B7" w14:paraId="670658B7" w14:textId="77777777">
        <w:tc>
          <w:tcPr>
            <w:tcW w:w="9016" w:type="dxa"/>
            <w:gridSpan w:val="2"/>
          </w:tcPr>
          <w:p w14:paraId="18D2B8C0" w14:textId="77777777" w:rsidR="002767BE" w:rsidRPr="00AF32B7" w:rsidRDefault="002767BE">
            <w:pPr>
              <w:rPr>
                <w:rFonts w:ascii="Calibri" w:hAnsi="Calibri" w:cs="Calibri"/>
                <w:szCs w:val="22"/>
              </w:rPr>
            </w:pPr>
            <w:r w:rsidRPr="00AF32B7">
              <w:rPr>
                <w:rFonts w:ascii="Calibri" w:hAnsi="Calibri" w:cs="Calibri"/>
                <w:b/>
                <w:szCs w:val="22"/>
              </w:rPr>
              <w:t>Change from baseline in ACQ-5 score at Week 52 in participants with partially or not well-controlled asthma</w:t>
            </w:r>
          </w:p>
        </w:tc>
      </w:tr>
      <w:tr w:rsidR="002767BE" w:rsidRPr="00AF32B7" w14:paraId="3D5F7616" w14:textId="77777777">
        <w:tc>
          <w:tcPr>
            <w:tcW w:w="4508" w:type="dxa"/>
          </w:tcPr>
          <w:p w14:paraId="798662CE" w14:textId="77777777" w:rsidR="002767BE" w:rsidRPr="009F3034" w:rsidRDefault="002767BE">
            <w:pPr>
              <w:rPr>
                <w:rFonts w:ascii="Calibri" w:hAnsi="Calibri" w:cs="Calibri"/>
                <w:sz w:val="20"/>
                <w:szCs w:val="20"/>
              </w:rPr>
            </w:pPr>
            <w:r w:rsidRPr="009F3034">
              <w:rPr>
                <w:rFonts w:ascii="Calibri" w:hAnsi="Calibri" w:cs="Calibri"/>
                <w:sz w:val="20"/>
                <w:szCs w:val="20"/>
              </w:rPr>
              <w:t xml:space="preserve">Difference (depemokimab - placebo) (95% CI); </w:t>
            </w:r>
            <w:r>
              <w:rPr>
                <w:rFonts w:ascii="Calibri" w:hAnsi="Calibri" w:cs="Calibri"/>
                <w:sz w:val="20"/>
                <w:szCs w:val="20"/>
              </w:rPr>
              <w:t xml:space="preserve">nomina </w:t>
            </w:r>
            <w:r w:rsidRPr="009F3034">
              <w:rPr>
                <w:rFonts w:ascii="Calibri" w:hAnsi="Calibri" w:cs="Calibri"/>
                <w:sz w:val="20"/>
                <w:szCs w:val="20"/>
              </w:rPr>
              <w:t>p-value</w:t>
            </w:r>
          </w:p>
        </w:tc>
        <w:tc>
          <w:tcPr>
            <w:tcW w:w="4508" w:type="dxa"/>
          </w:tcPr>
          <w:p w14:paraId="3389827B" w14:textId="4BAFFB11" w:rsidR="002767BE" w:rsidRPr="009F3034" w:rsidRDefault="002767BE">
            <w:pPr>
              <w:rPr>
                <w:rFonts w:ascii="Calibri" w:hAnsi="Calibri" w:cs="Calibri"/>
                <w:sz w:val="20"/>
                <w:szCs w:val="20"/>
              </w:rPr>
            </w:pPr>
            <w:r w:rsidRPr="009F3034">
              <w:rPr>
                <w:rFonts w:ascii="Calibri" w:hAnsi="Calibri" w:cs="Calibri"/>
                <w:sz w:val="20"/>
                <w:szCs w:val="20"/>
              </w:rPr>
              <w:t>-0.75 (-1.26, -0.25);</w:t>
            </w:r>
            <w:r>
              <w:rPr>
                <w:rFonts w:ascii="Calibri" w:hAnsi="Calibri" w:cs="Calibri"/>
                <w:sz w:val="20"/>
                <w:szCs w:val="20"/>
              </w:rPr>
              <w:t xml:space="preserve"> p=</w:t>
            </w:r>
            <w:r w:rsidRPr="009F3034">
              <w:rPr>
                <w:rFonts w:ascii="Calibri" w:hAnsi="Calibri" w:cs="Calibri"/>
                <w:sz w:val="20"/>
                <w:szCs w:val="20"/>
              </w:rPr>
              <w:t>0.004</w:t>
            </w:r>
            <w:r w:rsidR="007E2DB6" w:rsidRPr="007E2DB6">
              <w:rPr>
                <w:rFonts w:ascii="Calibri" w:hAnsi="Calibri" w:cs="Calibri"/>
                <w:sz w:val="20"/>
                <w:szCs w:val="20"/>
                <w:vertAlign w:val="superscript"/>
              </w:rPr>
              <w:t>1</w:t>
            </w:r>
          </w:p>
        </w:tc>
      </w:tr>
    </w:tbl>
    <w:bookmarkEnd w:id="92"/>
    <w:bookmarkEnd w:id="93"/>
    <w:bookmarkEnd w:id="94"/>
    <w:bookmarkEnd w:id="95"/>
    <w:bookmarkEnd w:id="96"/>
    <w:bookmarkEnd w:id="97"/>
    <w:bookmarkEnd w:id="98"/>
    <w:p w14:paraId="6BF94E09" w14:textId="0BABE3C9" w:rsidR="009A6227" w:rsidRPr="00AC65B5" w:rsidRDefault="009A6227" w:rsidP="007E2DB6">
      <w:pPr>
        <w:pStyle w:val="TableDescription"/>
        <w:numPr>
          <w:ilvl w:val="0"/>
          <w:numId w:val="29"/>
        </w:numPr>
      </w:pPr>
      <w:r w:rsidRPr="00AC65B5">
        <w:t>Nominal significance (i.e., p&lt;0.05 without multiplicity control) was achieved. However, statistical significance</w:t>
      </w:r>
      <w:r w:rsidRPr="00AC65B5">
        <w:rPr>
          <w:spacing w:val="-1"/>
        </w:rPr>
        <w:t xml:space="preserve"> </w:t>
      </w:r>
      <w:r w:rsidRPr="00AC65B5">
        <w:t>was not achieved due to a break in the multiplicity-controlled testing hierarchy.</w:t>
      </w:r>
    </w:p>
    <w:p w14:paraId="39FFCA4F" w14:textId="34DE9462" w:rsidR="00880715" w:rsidRPr="00880715" w:rsidRDefault="00880715" w:rsidP="00970152">
      <w:pPr>
        <w:pStyle w:val="Heading4"/>
      </w:pPr>
      <w:bookmarkStart w:id="102" w:name="_Toc241481382"/>
      <w:r w:rsidRPr="00880715">
        <w:t>Safety</w:t>
      </w:r>
      <w:bookmarkEnd w:id="61"/>
      <w:r w:rsidR="002767BE">
        <w:t xml:space="preserve"> - Asthma</w:t>
      </w:r>
      <w:fldSimple w:instr=" DOCVARIABLE vault_nd_c347c239-38da-42e1-b2df-7117e2c76bd9 \* MERGEFORMAT ">
        <w:r w:rsidR="008A6BD8">
          <w:t xml:space="preserve"> </w:t>
        </w:r>
      </w:fldSimple>
      <w:r w:rsidR="00345785">
        <w:t>studies</w:t>
      </w:r>
      <w:bookmarkEnd w:id="102"/>
    </w:p>
    <w:p w14:paraId="369579C5" w14:textId="1722E6FC" w:rsidR="00880715" w:rsidRPr="00880715" w:rsidRDefault="00880715" w:rsidP="00880715">
      <w:r w:rsidRPr="00880715">
        <w:t xml:space="preserve">Across the </w:t>
      </w:r>
      <w:r w:rsidR="00DC6201">
        <w:t>p</w:t>
      </w:r>
      <w:r w:rsidRPr="00880715">
        <w:t xml:space="preserve">hase 3 asthma studies in the submission, 1247 participants with severe asthma received ≥1 100 mg SC dose of depemokimab. The safety comprised safety set data from 9 participants with mild to moderate asthma, 150 healthy volunteers and 272 participants with </w:t>
      </w:r>
      <w:r w:rsidRPr="00880715">
        <w:lastRenderedPageBreak/>
        <w:t>CRSwNP. Specifically related to the asthma population, the SWIFT studies were pooled, and safety was also reported for the AGILE study, and the interim analysis of the NIMBLE study.</w:t>
      </w:r>
    </w:p>
    <w:p w14:paraId="1F6D47AC" w14:textId="39EB03B8" w:rsidR="00880715" w:rsidRPr="00880715" w:rsidRDefault="00880715" w:rsidP="00A13FBC">
      <w:pPr>
        <w:pStyle w:val="Heading5"/>
      </w:pPr>
      <w:r w:rsidRPr="00880715">
        <w:t>SWIFT 1+2 pool</w:t>
      </w:r>
      <w:fldSimple w:instr="DOCVARIABLE vault_nd_d6a519b4-88f0-40ec-8759-5d3b0b7ec900 \* MERGEFORMAT">
        <w:r w:rsidR="008A6BD8">
          <w:t xml:space="preserve"> </w:t>
        </w:r>
      </w:fldSimple>
    </w:p>
    <w:p w14:paraId="3E634170" w14:textId="77777777" w:rsidR="00880715" w:rsidRPr="00880715" w:rsidRDefault="00880715" w:rsidP="00880715">
      <w:r w:rsidRPr="00880715">
        <w:t xml:space="preserve">In the SWIFT pool (n=762), 501 participants received ≥ 1 dose of depemokimab 100 mg SC + SoC, 261 participants received placebo + SoC, and 92% of each group completed treatment and 52 weeks follow up. The mean (SD) exposure was 11.7 (1.4) months for the depemokimab group and 11.8 (1.2) months for the placebo group. </w:t>
      </w:r>
    </w:p>
    <w:p w14:paraId="00D2491F" w14:textId="0103BFE8" w:rsidR="00880715" w:rsidRPr="00880715" w:rsidRDefault="00880715" w:rsidP="00A13FBC">
      <w:pPr>
        <w:pStyle w:val="Heading5"/>
      </w:pPr>
      <w:r w:rsidRPr="00880715">
        <w:t>AGILE</w:t>
      </w:r>
      <w:fldSimple w:instr="DOCVARIABLE VAULT_ND_3b03b9b8-7e18-4713-b04a-069471b46bf9 \* MERGEFORMAT">
        <w:r w:rsidR="008A6BD8">
          <w:t xml:space="preserve"> </w:t>
        </w:r>
      </w:fldSimple>
    </w:p>
    <w:p w14:paraId="1E4BDF2A" w14:textId="77777777" w:rsidR="00880715" w:rsidRPr="00880715" w:rsidRDefault="00880715" w:rsidP="00880715">
      <w:r w:rsidRPr="00880715">
        <w:t xml:space="preserve">At the final analysis, 419 participants had received depemokimab 100 mg SC + SoC, and 210 had received placebo + SoC in a SWIFT study. At the end of the study 409 participants had received 4 doses of depemokimab and 104 weeks of follow up. The overall median exposure was 364 days. </w:t>
      </w:r>
    </w:p>
    <w:p w14:paraId="5FBD0AE0" w14:textId="59822CDD" w:rsidR="00880715" w:rsidRPr="00880715" w:rsidRDefault="00880715" w:rsidP="00A13FBC">
      <w:pPr>
        <w:pStyle w:val="Heading5"/>
      </w:pPr>
      <w:r w:rsidRPr="00880715">
        <w:t>NIMBLE</w:t>
      </w:r>
      <w:r w:rsidR="00925B3A">
        <w:t xml:space="preserve"> </w:t>
      </w:r>
    </w:p>
    <w:p w14:paraId="725716B1" w14:textId="2EB68772" w:rsidR="00880715" w:rsidRPr="00880715" w:rsidRDefault="00880715" w:rsidP="00880715">
      <w:r w:rsidRPr="00880715">
        <w:t xml:space="preserve">At the data cut-off for </w:t>
      </w:r>
      <w:r w:rsidR="001973B7">
        <w:t>interim analysis (</w:t>
      </w:r>
      <w:r w:rsidRPr="00880715">
        <w:t>IA</w:t>
      </w:r>
      <w:r w:rsidR="001973B7">
        <w:t>)</w:t>
      </w:r>
      <w:r w:rsidRPr="00880715">
        <w:t xml:space="preserve"> (15 July 2024) the NIMBLE safety population included 1076 participants. Of those, 536 received depemokimab 100 mg SC + SoC and 536 received mepolizumab/</w:t>
      </w:r>
      <w:proofErr w:type="spellStart"/>
      <w:r w:rsidRPr="00880715">
        <w:t>benralizumab</w:t>
      </w:r>
      <w:proofErr w:type="spellEnd"/>
      <w:r w:rsidRPr="00880715">
        <w:t xml:space="preserve"> +</w:t>
      </w:r>
      <w:proofErr w:type="spellStart"/>
      <w:r w:rsidRPr="00880715">
        <w:t>SoC.</w:t>
      </w:r>
      <w:proofErr w:type="spellEnd"/>
      <w:r w:rsidRPr="00880715">
        <w:t xml:space="preserve"> Two patients from each group only received placebo matching or unknown doses. At the IA, 87% (n=468) of the depemokimab group had completed 2 doses of depemokimab 52 weeks of follow up. At the </w:t>
      </w:r>
      <w:r w:rsidR="00847362">
        <w:t>interim analysis</w:t>
      </w:r>
      <w:r w:rsidRPr="00880715">
        <w:t>, 89% (n=479) of the mepolizumab/benralizumab group completed treatment and for 52 weeks of the study. The total mean (SD) treatment exposure was 11.6 (1.7) months for the depemokimab group and 11.8 (2.5) months for the mepolizumab/benralizumab group.</w:t>
      </w:r>
    </w:p>
    <w:p w14:paraId="120E6842" w14:textId="75A2EE4C" w:rsidR="00880715" w:rsidRPr="00880715" w:rsidRDefault="00880715" w:rsidP="00E65C29">
      <w:pPr>
        <w:pStyle w:val="Heading5"/>
      </w:pPr>
      <w:r w:rsidRPr="00880715">
        <w:t xml:space="preserve">Treatment </w:t>
      </w:r>
      <w:r w:rsidR="00D97C77" w:rsidRPr="00880715">
        <w:t>emergent adverse eve</w:t>
      </w:r>
      <w:r w:rsidRPr="00880715">
        <w:t>nts</w:t>
      </w:r>
      <w:fldSimple w:instr="DOCVARIABLE vault_nd_03927b3c-5896-4107-9552-d88c8f018502 \* MERGEFORMAT">
        <w:r w:rsidR="008A6BD8">
          <w:t xml:space="preserve"> </w:t>
        </w:r>
      </w:fldSimple>
    </w:p>
    <w:p w14:paraId="4DC26B71" w14:textId="362728BD" w:rsidR="00880715" w:rsidRPr="00880715" w:rsidRDefault="00880715" w:rsidP="00E65C29">
      <w:pPr>
        <w:pStyle w:val="Heading6"/>
      </w:pPr>
      <w:r w:rsidRPr="00880715">
        <w:t xml:space="preserve">SWIFT-1 and SWIFT-2 Pool </w:t>
      </w:r>
      <w:fldSimple w:instr="DOCVARIABLE vault_nd_de5fbf86-f9ea-4e71-bf0d-5851e119de24 \* MERGEFORMAT">
        <w:r w:rsidR="008A6BD8">
          <w:t xml:space="preserve"> </w:t>
        </w:r>
      </w:fldSimple>
    </w:p>
    <w:p w14:paraId="5BEE1DCC" w14:textId="77777777" w:rsidR="00EB783A" w:rsidRPr="00EB783A" w:rsidRDefault="00EB783A" w:rsidP="00EB783A">
      <w:bookmarkStart w:id="103" w:name="_Toc215565791"/>
      <w:r w:rsidRPr="00EB783A">
        <w:t xml:space="preserve">The most frequently reported AEs (&gt;3% of participants in any given treatment group), were comparable between groups (Table 14). </w:t>
      </w:r>
      <w:proofErr w:type="gramStart"/>
      <w:r w:rsidRPr="00EB783A">
        <w:t>Most commonly reported</w:t>
      </w:r>
      <w:proofErr w:type="gramEnd"/>
      <w:r w:rsidRPr="00EB783A">
        <w:t xml:space="preserve"> (≥10% participants in either group) were COVID-19 (17.6% depemokimab, 18.4% placebo) and nasopharyngitis </w:t>
      </w:r>
      <w:r w:rsidRPr="00EB783A">
        <w:tab/>
        <w:t>(12.4% depemokimab, 19.9% placebo). There was no notable difference in the AE profile over time for either the depemokimab or placebo group.</w:t>
      </w:r>
    </w:p>
    <w:p w14:paraId="4B785175" w14:textId="66DD7169" w:rsidR="00880715" w:rsidRPr="00880715" w:rsidRDefault="00880715" w:rsidP="00AC4541">
      <w:pPr>
        <w:pStyle w:val="TableTitle"/>
      </w:pPr>
      <w:r w:rsidRPr="008607E9">
        <w:t>Table</w:t>
      </w:r>
      <w:r w:rsidR="008607E9">
        <w:t xml:space="preserve"> 14</w:t>
      </w:r>
      <w:r w:rsidR="00960C6A">
        <w:t>.</w:t>
      </w:r>
      <w:r w:rsidRPr="008607E9">
        <w:t xml:space="preserve"> Overview</w:t>
      </w:r>
      <w:r w:rsidRPr="00880715">
        <w:t xml:space="preserve"> of all on-treatment AEs (SWIFT 1+2 pool)</w:t>
      </w:r>
      <w:bookmarkEnd w:id="103"/>
      <w:r w:rsidR="00960C6A">
        <w:t>.</w:t>
      </w:r>
      <w:r w:rsidRPr="00880715">
        <w:t xml:space="preserve"> </w:t>
      </w:r>
      <w:r w:rsidRPr="00880715">
        <w:rPr>
          <w:noProof/>
        </w:rPr>
        <w:drawing>
          <wp:inline distT="0" distB="0" distL="0" distR="0" wp14:anchorId="50A0905E" wp14:editId="34722FD9">
            <wp:extent cx="5893026" cy="1571625"/>
            <wp:effectExtent l="0" t="0" r="0" b="0"/>
            <wp:docPr id="2123572619"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72619" name="Picture 1" descr="A white sheet with black text&#10;&#10;AI-generated content may be incorrect."/>
                    <pic:cNvPicPr/>
                  </pic:nvPicPr>
                  <pic:blipFill>
                    <a:blip r:embed="rId36"/>
                    <a:stretch>
                      <a:fillRect/>
                    </a:stretch>
                  </pic:blipFill>
                  <pic:spPr>
                    <a:xfrm>
                      <a:off x="0" y="0"/>
                      <a:ext cx="5907267" cy="1575423"/>
                    </a:xfrm>
                    <a:prstGeom prst="rect">
                      <a:avLst/>
                    </a:prstGeom>
                  </pic:spPr>
                </pic:pic>
              </a:graphicData>
            </a:graphic>
          </wp:inline>
        </w:drawing>
      </w:r>
    </w:p>
    <w:p w14:paraId="61D9D94F" w14:textId="2E79182A" w:rsidR="00880715" w:rsidRPr="00880715" w:rsidRDefault="00880715" w:rsidP="006754B9">
      <w:pPr>
        <w:pStyle w:val="TableDescription"/>
      </w:pPr>
      <w:r w:rsidRPr="00880715">
        <w:t>Note: Rate is incidence rate per 1000 subject-years, calculated as: (total number of subjects with AE)/</w:t>
      </w:r>
      <w:r w:rsidR="006754B9">
        <w:t xml:space="preserve"> </w:t>
      </w:r>
      <w:r w:rsidRPr="00880715">
        <w:t>(total exposure duration/365.25)</w:t>
      </w:r>
      <w:r w:rsidR="006754B9">
        <w:t xml:space="preserve"> </w:t>
      </w:r>
      <w:r w:rsidRPr="00880715">
        <w:t xml:space="preserve">*1000. If an AE belonging to the category being summarized occurs during the exposure period, then that subject's exposure ends at the start of the first occurrence of the AE. </w:t>
      </w:r>
    </w:p>
    <w:p w14:paraId="2D29546D" w14:textId="77777777" w:rsidR="00880715" w:rsidRPr="00880715" w:rsidRDefault="00880715" w:rsidP="00880715">
      <w:r w:rsidRPr="00880715">
        <w:t xml:space="preserve">Most participants in either treatment group had an AE with a maximum intensity of mild (27% vs 27%) or moderate (42% vs 41%), for the depemokimab vs placebo groups, respectively. </w:t>
      </w:r>
    </w:p>
    <w:p w14:paraId="2598B370" w14:textId="77777777" w:rsidR="00880715" w:rsidRPr="00880715" w:rsidRDefault="00880715" w:rsidP="00880715">
      <w:r w:rsidRPr="00880715">
        <w:lastRenderedPageBreak/>
        <w:t>Severe AEs were reported for 3% depemokimab and 8% placebo groups, with the most frequently reported (≥1% in either treatment arm) being pneumonia (&lt;1% depemokimab and 1% placebo) and asthma (&lt;1% depemokimab and 3% placebo).</w:t>
      </w:r>
    </w:p>
    <w:p w14:paraId="6E28A15B" w14:textId="47EFEE3E" w:rsidR="00880715" w:rsidRPr="00880715" w:rsidRDefault="00880715" w:rsidP="00AC4541">
      <w:pPr>
        <w:pStyle w:val="Heading6"/>
      </w:pPr>
      <w:r w:rsidRPr="00880715">
        <w:t xml:space="preserve">AGILE </w:t>
      </w:r>
      <w:r w:rsidR="00D97C77">
        <w:t>s</w:t>
      </w:r>
      <w:r w:rsidR="00E25F6B">
        <w:t>tudy</w:t>
      </w:r>
      <w:fldSimple w:instr="DOCVARIABLE vault_nd_0455de85-22e6-4b06-9cef-a8136f4069a6 \* MERGEFORMAT">
        <w:r w:rsidR="008A6BD8">
          <w:t xml:space="preserve"> </w:t>
        </w:r>
      </w:fldSimple>
    </w:p>
    <w:p w14:paraId="27C31FD0" w14:textId="5C646C13" w:rsidR="00880715" w:rsidRPr="00880715" w:rsidRDefault="00880715" w:rsidP="00E2348E">
      <w:r w:rsidRPr="00880715">
        <w:t xml:space="preserve">At the time of the final analysis, the proportion of participants with AEs was 71%, and was similar between previous placebo (70%) and previous depemokimab (72%) groups. The </w:t>
      </w:r>
      <w:proofErr w:type="gramStart"/>
      <w:r w:rsidRPr="00880715">
        <w:t xml:space="preserve">most </w:t>
      </w:r>
      <w:r w:rsidR="00E2348E">
        <w:t>c</w:t>
      </w:r>
      <w:r w:rsidRPr="00880715">
        <w:t>ommonly reported</w:t>
      </w:r>
      <w:proofErr w:type="gramEnd"/>
      <w:r w:rsidRPr="00880715">
        <w:t xml:space="preserve"> treatment - emergent AEs across the study were nasopharyngitis (13%), URTI (11%), COVID-19 (7%) and bronchitis 5%. </w:t>
      </w:r>
    </w:p>
    <w:p w14:paraId="03A83CDE" w14:textId="783EBE24" w:rsidR="00880715" w:rsidRPr="00880715" w:rsidRDefault="00880715" w:rsidP="00AC4541">
      <w:pPr>
        <w:pStyle w:val="Heading6"/>
      </w:pPr>
      <w:r w:rsidRPr="00880715">
        <w:t xml:space="preserve">NIMBLE </w:t>
      </w:r>
      <w:r w:rsidR="00D97C77">
        <w:t>s</w:t>
      </w:r>
      <w:r w:rsidR="00E25F6B">
        <w:t>tudy</w:t>
      </w:r>
      <w:r w:rsidR="004E4653">
        <w:t xml:space="preserve"> - </w:t>
      </w:r>
      <w:r w:rsidR="004E4653" w:rsidRPr="004E4653">
        <w:t xml:space="preserve">Interim </w:t>
      </w:r>
      <w:r w:rsidR="00D97C77">
        <w:t>a</w:t>
      </w:r>
      <w:r w:rsidR="004E4653" w:rsidRPr="004E4653">
        <w:t>nalysis</w:t>
      </w:r>
      <w:fldSimple w:instr="DOCVARIABLE vault_nd_1d8ea2a8-2cff-463e-8b90-51221d5cfe15 \* MERGEFORMAT">
        <w:r w:rsidR="008A6BD8">
          <w:t xml:space="preserve"> </w:t>
        </w:r>
      </w:fldSimple>
    </w:p>
    <w:p w14:paraId="6833BD01" w14:textId="4629B659" w:rsidR="00880715" w:rsidRPr="00880715" w:rsidRDefault="00880715" w:rsidP="00880715">
      <w:r w:rsidRPr="00880715">
        <w:t>At the time of the</w:t>
      </w:r>
      <w:r w:rsidR="004E4653" w:rsidRPr="004E4653">
        <w:t xml:space="preserve"> </w:t>
      </w:r>
      <w:r w:rsidR="004E4653">
        <w:t>i</w:t>
      </w:r>
      <w:r w:rsidR="004E4653" w:rsidRPr="004E4653">
        <w:t xml:space="preserve">nterim </w:t>
      </w:r>
      <w:r w:rsidR="004E4653">
        <w:t>a</w:t>
      </w:r>
      <w:r w:rsidR="004E4653" w:rsidRPr="004E4653">
        <w:t>nalysis</w:t>
      </w:r>
      <w:r w:rsidRPr="00880715">
        <w:t xml:space="preserve"> </w:t>
      </w:r>
      <w:r w:rsidR="004E4653">
        <w:t>(</w:t>
      </w:r>
      <w:r w:rsidRPr="00880715">
        <w:t>IA</w:t>
      </w:r>
      <w:r w:rsidR="004E4653">
        <w:t>)</w:t>
      </w:r>
      <w:r w:rsidRPr="00880715">
        <w:t xml:space="preserve"> (data cut-off July 2024), the safety profile of depemokimab in NIMBLE was generally similar to that observed in the SWIFT studies, and </w:t>
      </w:r>
      <w:proofErr w:type="gramStart"/>
      <w:r w:rsidRPr="00880715">
        <w:t>similar to</w:t>
      </w:r>
      <w:proofErr w:type="gramEnd"/>
      <w:r w:rsidRPr="00880715">
        <w:t xml:space="preserve"> the safety profile of continued treatment with either mepolizumab or benralizumab</w:t>
      </w:r>
      <w:r w:rsidR="003E37CE">
        <w:t xml:space="preserve"> (Table 15)</w:t>
      </w:r>
      <w:r w:rsidRPr="00880715">
        <w:t xml:space="preserve">. </w:t>
      </w:r>
    </w:p>
    <w:p w14:paraId="23E6BD96" w14:textId="4CD56629" w:rsidR="00880715" w:rsidRPr="00880715" w:rsidRDefault="00BC3986" w:rsidP="00DB6D11">
      <w:pPr>
        <w:pStyle w:val="TableTitle"/>
      </w:pPr>
      <w:bookmarkStart w:id="104" w:name="_Ref214959706"/>
      <w:bookmarkStart w:id="105" w:name="_Toc214959740"/>
      <w:r w:rsidRPr="00CF0834">
        <w:t>Table 15</w:t>
      </w:r>
      <w:r w:rsidR="00960C6A" w:rsidRPr="00CF0834">
        <w:t xml:space="preserve">. </w:t>
      </w:r>
      <w:r w:rsidR="00880715" w:rsidRPr="00CF0834">
        <w:t>NIMBLE IA: Overview of on-treatment A</w:t>
      </w:r>
      <w:r w:rsidR="00D5726F">
        <w:t xml:space="preserve">dverse </w:t>
      </w:r>
      <w:r w:rsidR="00880715" w:rsidRPr="00CF0834">
        <w:t>E</w:t>
      </w:r>
      <w:r w:rsidR="00D5726F">
        <w:t>vents</w:t>
      </w:r>
      <w:r w:rsidR="00D5726F" w:rsidRPr="00880715">
        <w:rPr>
          <w:noProof/>
        </w:rPr>
        <w:drawing>
          <wp:inline distT="0" distB="0" distL="0" distR="0" wp14:anchorId="413CF34B" wp14:editId="61BDF8C4">
            <wp:extent cx="5759450" cy="2052148"/>
            <wp:effectExtent l="0" t="0" r="0" b="5715"/>
            <wp:docPr id="1368356881" name="Picture 1" descr="Table 15. NIMBLE IA: Overview of on-treatment Adverse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56881" name="Picture 1" descr="Table 15. NIMBLE IA: Overview of on-treatment Adverse Events."/>
                    <pic:cNvPicPr/>
                  </pic:nvPicPr>
                  <pic:blipFill>
                    <a:blip r:embed="rId37"/>
                    <a:stretch>
                      <a:fillRect/>
                    </a:stretch>
                  </pic:blipFill>
                  <pic:spPr>
                    <a:xfrm>
                      <a:off x="0" y="0"/>
                      <a:ext cx="5759450" cy="2052148"/>
                    </a:xfrm>
                    <a:prstGeom prst="rect">
                      <a:avLst/>
                    </a:prstGeom>
                  </pic:spPr>
                </pic:pic>
              </a:graphicData>
            </a:graphic>
          </wp:inline>
        </w:drawing>
      </w:r>
      <w:bookmarkEnd w:id="104"/>
      <w:bookmarkEnd w:id="105"/>
    </w:p>
    <w:p w14:paraId="6603DE62" w14:textId="1E304CB1" w:rsidR="00880715" w:rsidRPr="00880715" w:rsidRDefault="00244657" w:rsidP="00880715">
      <w:r>
        <w:t>Standard of care</w:t>
      </w:r>
      <w:r w:rsidR="00880715" w:rsidRPr="00880715">
        <w:t xml:space="preserve"> proportions of events were similar between the </w:t>
      </w:r>
      <w:proofErr w:type="spellStart"/>
      <w:r w:rsidR="00880715" w:rsidRPr="00880715">
        <w:t>depemokimab</w:t>
      </w:r>
      <w:proofErr w:type="spellEnd"/>
      <w:r w:rsidR="00880715" w:rsidRPr="00880715">
        <w:t xml:space="preserve"> and mepolizumab</w:t>
      </w:r>
      <w:r w:rsidR="00F70A86">
        <w:t xml:space="preserve"> </w:t>
      </w:r>
      <w:r w:rsidR="00880715" w:rsidRPr="00880715">
        <w:t>/</w:t>
      </w:r>
      <w:proofErr w:type="spellStart"/>
      <w:r w:rsidR="00880715" w:rsidRPr="00880715">
        <w:t>benralizumb</w:t>
      </w:r>
      <w:proofErr w:type="spellEnd"/>
      <w:r w:rsidR="00880715" w:rsidRPr="00880715">
        <w:t xml:space="preserve"> arms. Most AEs were mild (34% and 36%) or moderate (42% and 38%) for the depemokimab and comparator groups, respectively. Severe AEs were reported in 7% of both groups, but the only severe AE occurring in ≥1% was asthma (2% depemokimab group, 1% the comparator group). </w:t>
      </w:r>
    </w:p>
    <w:p w14:paraId="3D774CF6" w14:textId="2A7FD0CD" w:rsidR="00880715" w:rsidRPr="00880715" w:rsidRDefault="00880715" w:rsidP="00DB6D11">
      <w:pPr>
        <w:pStyle w:val="Heading5"/>
      </w:pPr>
      <w:r w:rsidRPr="00880715">
        <w:t>Treatment related adverse events</w:t>
      </w:r>
      <w:fldSimple w:instr="DOCVARIABLE vault_nd_65e10b91-3bd0-4959-947b-492354ac4fce \* MERGEFORMAT">
        <w:r w:rsidR="008A6BD8">
          <w:t xml:space="preserve"> </w:t>
        </w:r>
      </w:fldSimple>
    </w:p>
    <w:p w14:paraId="24D060C5" w14:textId="32327D7C" w:rsidR="00880715" w:rsidRPr="00880715" w:rsidRDefault="00880715" w:rsidP="00880715">
      <w:r w:rsidRPr="00880715">
        <w:t xml:space="preserve">In the SWIFT 1+2 pool 4% vs 2% of the depemokimab vs placebo groups had treatment-related AEs. No individual event was reported for ≥1% of participants. In the AGILE study 3% had adverse events considered </w:t>
      </w:r>
      <w:r w:rsidR="00DB6D11" w:rsidRPr="00880715">
        <w:t>treatment related</w:t>
      </w:r>
      <w:r w:rsidRPr="00880715">
        <w:t>.</w:t>
      </w:r>
    </w:p>
    <w:p w14:paraId="691D3284" w14:textId="77777777" w:rsidR="00880715" w:rsidRPr="00880715" w:rsidRDefault="00880715" w:rsidP="00880715">
      <w:r w:rsidRPr="00880715">
        <w:t xml:space="preserve">In the NIMBLE study, treatment related AEs were reported in similar proportions of each group, The </w:t>
      </w:r>
      <w:proofErr w:type="gramStart"/>
      <w:r w:rsidRPr="00880715">
        <w:t>most commonly reported</w:t>
      </w:r>
      <w:proofErr w:type="gramEnd"/>
      <w:r w:rsidRPr="00880715">
        <w:t xml:space="preserve"> was injection site reaction (2% in both groups).</w:t>
      </w:r>
    </w:p>
    <w:p w14:paraId="2027E0B3" w14:textId="29E01462" w:rsidR="00880715" w:rsidRPr="00880715" w:rsidRDefault="00880715" w:rsidP="00DB6D11">
      <w:pPr>
        <w:pStyle w:val="Heading5"/>
      </w:pPr>
      <w:r w:rsidRPr="00880715">
        <w:t xml:space="preserve">Serious </w:t>
      </w:r>
      <w:r w:rsidR="00D97C77" w:rsidRPr="00880715">
        <w:t>adverse ev</w:t>
      </w:r>
      <w:r w:rsidRPr="00880715">
        <w:t>ents</w:t>
      </w:r>
      <w:fldSimple w:instr="DOCVARIABLE vault_nd_2b815d8e-af12-4958-a205-1123ea1dfa2c \* MERGEFORMAT">
        <w:r w:rsidR="008A6BD8">
          <w:t xml:space="preserve"> </w:t>
        </w:r>
      </w:fldSimple>
    </w:p>
    <w:p w14:paraId="34E3F856" w14:textId="4D8952E6" w:rsidR="00880715" w:rsidRPr="00880715" w:rsidRDefault="00880715" w:rsidP="00880715">
      <w:r w:rsidRPr="00880715">
        <w:t xml:space="preserve">In the SWIFT 1+2 pool the proportion of participants with </w:t>
      </w:r>
      <w:r w:rsidRPr="00D222DE">
        <w:t xml:space="preserve">a </w:t>
      </w:r>
      <w:r w:rsidR="00D149F8">
        <w:t>s</w:t>
      </w:r>
      <w:r w:rsidR="00D222DE" w:rsidRPr="00D222DE">
        <w:t xml:space="preserve">erious </w:t>
      </w:r>
      <w:r w:rsidR="00D149F8">
        <w:t>a</w:t>
      </w:r>
      <w:r w:rsidR="00D222DE" w:rsidRPr="00D222DE">
        <w:t xml:space="preserve">dverse </w:t>
      </w:r>
      <w:r w:rsidR="00D149F8">
        <w:t>e</w:t>
      </w:r>
      <w:r w:rsidR="00D222DE" w:rsidRPr="00D222DE">
        <w:t>vent</w:t>
      </w:r>
      <w:r w:rsidR="00D149F8">
        <w:t xml:space="preserve"> (</w:t>
      </w:r>
      <w:r w:rsidRPr="00880715">
        <w:t>SAE</w:t>
      </w:r>
      <w:r w:rsidR="00D149F8">
        <w:t>)</w:t>
      </w:r>
      <w:r w:rsidRPr="00880715">
        <w:t xml:space="preserve"> was lower in the depemokimab vs placebo group (7% vs 13%), with asthma (&lt;1% vs 3%) and pneumonia (&lt;1% vs 1%) being the most common. None of the events were considered treatment related. </w:t>
      </w:r>
    </w:p>
    <w:p w14:paraId="28BAD5C2" w14:textId="77777777" w:rsidR="00880715" w:rsidRPr="00880715" w:rsidRDefault="00880715" w:rsidP="00880715">
      <w:r w:rsidRPr="00880715">
        <w:t>In the AGILE study, 9% of the depemokimab-depemokimab group and 10% of the placebo – depemokimab group reported SAEs. The most common event was asthma. None of the SAEs were considered related to the study treatment. There were no post treatment SAEs.</w:t>
      </w:r>
    </w:p>
    <w:p w14:paraId="22A73724" w14:textId="77777777" w:rsidR="00880715" w:rsidRPr="00880715" w:rsidRDefault="00880715" w:rsidP="00880715">
      <w:r w:rsidRPr="00880715">
        <w:rPr>
          <w:bCs/>
        </w:rPr>
        <w:lastRenderedPageBreak/>
        <w:t>In the NIMBLE safety set, SAEs</w:t>
      </w:r>
      <w:r w:rsidRPr="00880715">
        <w:rPr>
          <w:b/>
        </w:rPr>
        <w:t xml:space="preserve"> </w:t>
      </w:r>
      <w:r w:rsidRPr="00880715">
        <w:t>were reported for 9% vs 8% of the depemokimab and comparator groups, respectively. The SAE occurring at ≥2% was asthma: 2% in both groups.</w:t>
      </w:r>
      <w:r w:rsidRPr="00880715">
        <w:rPr>
          <w:bCs/>
        </w:rPr>
        <w:t xml:space="preserve"> </w:t>
      </w:r>
      <w:r w:rsidRPr="00880715">
        <w:t>No SAEs were considered related to depemokimab; and 2 SAEs were deemed treatment-related in the comparator group: thunderclap headache and atrial fibrillation.</w:t>
      </w:r>
    </w:p>
    <w:p w14:paraId="03FB1462" w14:textId="10531454" w:rsidR="00880715" w:rsidRPr="00880715" w:rsidRDefault="00880715" w:rsidP="00DB6D11">
      <w:pPr>
        <w:pStyle w:val="Heading5"/>
      </w:pPr>
      <w:r w:rsidRPr="00880715">
        <w:t>Deaths</w:t>
      </w:r>
      <w:fldSimple w:instr="DOCVARIABLE vault_nd_85414b1a-8131-4a62-ac65-5b01394d719d \* MERGEFORMAT">
        <w:r w:rsidR="008A6BD8">
          <w:t xml:space="preserve"> </w:t>
        </w:r>
      </w:fldSimple>
    </w:p>
    <w:p w14:paraId="52499ED6" w14:textId="395E9BCC" w:rsidR="00880715" w:rsidRPr="00880715" w:rsidRDefault="00880715" w:rsidP="00880715">
      <w:r w:rsidRPr="00880715">
        <w:t xml:space="preserve">There were no deaths in the SWIFT 1+2 pool or the AGILE data during treatment. One death in the AGILE study, </w:t>
      </w:r>
      <w:r w:rsidR="00C87C21">
        <w:t>diagno</w:t>
      </w:r>
      <w:r w:rsidR="00EC138E">
        <w:t>sed with</w:t>
      </w:r>
      <w:r w:rsidRPr="00880715">
        <w:t xml:space="preserve"> </w:t>
      </w:r>
      <w:proofErr w:type="spellStart"/>
      <w:r w:rsidRPr="00880715">
        <w:t>hypokalemia</w:t>
      </w:r>
      <w:proofErr w:type="spellEnd"/>
      <w:r w:rsidRPr="00880715">
        <w:t>, cerebral infarction and COVID-19 in the post-treatment period, died of COVID-19 after withdrawal from the study.</w:t>
      </w:r>
    </w:p>
    <w:p w14:paraId="6D5F4A29" w14:textId="77777777" w:rsidR="00880715" w:rsidRPr="00880715" w:rsidRDefault="00880715" w:rsidP="00880715">
      <w:pPr>
        <w:rPr>
          <w:bCs/>
        </w:rPr>
      </w:pPr>
      <w:r w:rsidRPr="00880715">
        <w:rPr>
          <w:bCs/>
        </w:rPr>
        <w:t>In the interim analysis of the NIMBLE study</w:t>
      </w:r>
      <w:r w:rsidRPr="00880715">
        <w:t xml:space="preserve">, one fatal SAE of metastatic melanoma in the comparator group was reported in the post-treatment period. This was assessed as unrelated to study treatment. There were no other fatal SAEs. </w:t>
      </w:r>
    </w:p>
    <w:p w14:paraId="7BACFF9A" w14:textId="76D629A0" w:rsidR="00880715" w:rsidRPr="00880715" w:rsidRDefault="00880715" w:rsidP="00A01376">
      <w:pPr>
        <w:pStyle w:val="Heading5"/>
      </w:pPr>
      <w:r w:rsidRPr="00880715">
        <w:t xml:space="preserve">Adverse </w:t>
      </w:r>
      <w:r w:rsidR="00D97C77">
        <w:t>e</w:t>
      </w:r>
      <w:r w:rsidRPr="00880715">
        <w:t xml:space="preserve">vents of </w:t>
      </w:r>
      <w:r w:rsidR="00D97C77">
        <w:t>s</w:t>
      </w:r>
      <w:r w:rsidRPr="00880715">
        <w:t>pecial Interest</w:t>
      </w:r>
      <w:fldSimple w:instr="DOCVARIABLE vault_nd_7834ce24-9942-4262-84ec-c872a6d6277d \* MERGEFORMAT">
        <w:r w:rsidR="008A6BD8">
          <w:t xml:space="preserve"> </w:t>
        </w:r>
      </w:fldSimple>
    </w:p>
    <w:p w14:paraId="36D6A8C3" w14:textId="77777777" w:rsidR="00880715" w:rsidRPr="00880715" w:rsidRDefault="00880715" w:rsidP="00880715">
      <w:r w:rsidRPr="00880715">
        <w:t xml:space="preserve">In the SWIFT 1+2 pool, local injection site reactions were reported for 1% of the depemokimab group and &lt;1% of the placebo group. Other systemic reactions (other than type I or type III hypersensitivity) were reported for 2% of the depemokimab group and &lt;1% of the placebo group. </w:t>
      </w:r>
    </w:p>
    <w:p w14:paraId="64151761" w14:textId="77777777" w:rsidR="00880715" w:rsidRPr="00880715" w:rsidRDefault="00880715" w:rsidP="00880715">
      <w:r w:rsidRPr="00880715">
        <w:t>In the AGILE study, one participant (previous placebo group)</w:t>
      </w:r>
      <w:r w:rsidRPr="00880715">
        <w:rPr>
          <w:b/>
        </w:rPr>
        <w:t xml:space="preserve"> </w:t>
      </w:r>
      <w:r w:rsidRPr="00880715">
        <w:t>had a Type I hypersensitivity reaction of pruritus which was assessed as mild, non-serious, related to study treatment. There were no reports of anaphylaxis, or type III hypersensitivity reactions. Mild, non-serious local injection site reactions were reported in 6 participants, all in the previous depemokimab group. The QTc prolongation reported in 1 participant was not deemed related to the study treatment.</w:t>
      </w:r>
    </w:p>
    <w:p w14:paraId="182EDC93" w14:textId="77777777" w:rsidR="00880715" w:rsidRPr="00880715" w:rsidRDefault="00880715" w:rsidP="00880715">
      <w:pPr>
        <w:rPr>
          <w:b/>
          <w:bCs/>
        </w:rPr>
      </w:pPr>
      <w:r w:rsidRPr="00880715">
        <w:t>In the NIMBLE study, all adverse events of special interest were non-serious. Type I hypersensitivity events were reported in</w:t>
      </w:r>
      <w:r w:rsidRPr="00880715">
        <w:rPr>
          <w:b/>
        </w:rPr>
        <w:t xml:space="preserve"> </w:t>
      </w:r>
      <w:r w:rsidRPr="00880715">
        <w:t>&lt;1% in depemokimab group, none in the comparator group. There were no events of anaphylaxis, type III hypersensitivity or QTc prolongation. The local injection site reactions reported in 3% depemokimab group, and 4% comparator group, were all either mild or moderate.</w:t>
      </w:r>
    </w:p>
    <w:p w14:paraId="58D0C24D" w14:textId="1ADFFDB1" w:rsidR="00880715" w:rsidRPr="00880715" w:rsidRDefault="00880715" w:rsidP="00D46196">
      <w:pPr>
        <w:pStyle w:val="Heading6"/>
      </w:pPr>
      <w:r w:rsidRPr="00880715">
        <w:t>Adverse events leading to treatment interruption or discontinuation</w:t>
      </w:r>
      <w:fldSimple w:instr="DOCVARIABLE vault_nd_41e1b702-1d4c-44f5-91a2-a2cf72231590 \* MERGEFORMAT">
        <w:r w:rsidR="008A6BD8">
          <w:t xml:space="preserve"> </w:t>
        </w:r>
      </w:fldSimple>
    </w:p>
    <w:p w14:paraId="5BBAE813" w14:textId="77777777" w:rsidR="00880715" w:rsidRPr="00880715" w:rsidRDefault="00880715" w:rsidP="00880715">
      <w:r w:rsidRPr="00880715">
        <w:t xml:space="preserve">In the AGILE study, 4 participants (&lt;1%) reported AEs leading to treatment discontinuation or study withdrawal: humerus fracture, prostate cancer and cerebral infarction (2 events), none of which was considered related to the study treatment. </w:t>
      </w:r>
    </w:p>
    <w:p w14:paraId="2C661485" w14:textId="77777777" w:rsidR="00880715" w:rsidRDefault="00880715" w:rsidP="00936509">
      <w:r w:rsidRPr="00880715">
        <w:t>In the NIMBLE study, around 1% of the depemokimab group and of the 2% comparator group had AEs leading to discontinuation or withdrawal. Events in the depemokimab included rash, Bell’s palsy, and cough. Events in the comparator group included ecchymosis, atrial fibrillation, peripheral oedema, and increased blood urea.</w:t>
      </w:r>
    </w:p>
    <w:p w14:paraId="5BA57C81" w14:textId="77777777" w:rsidR="00077669" w:rsidRPr="00077669" w:rsidRDefault="00077669" w:rsidP="009E0A24">
      <w:pPr>
        <w:pStyle w:val="Heading5"/>
      </w:pPr>
      <w:r w:rsidRPr="00077669">
        <w:t>Participants aged 12 to 17 years</w:t>
      </w:r>
      <w:fldSimple w:instr="DOCVARIABLE vault_nd_6dc873ff-d017-4666-9fde-2874ecaac97b \* MERGEFORMAT">
        <w:r w:rsidRPr="00077669">
          <w:t xml:space="preserve"> </w:t>
        </w:r>
      </w:fldSimple>
    </w:p>
    <w:p w14:paraId="76A65885" w14:textId="77777777" w:rsidR="00077669" w:rsidRPr="00077669" w:rsidRDefault="00077669" w:rsidP="00077669">
      <w:r w:rsidRPr="00077669">
        <w:t>SWIFT-1 included 8 participants and SWIFT-2 included 22 participants aged 12 – 17 years. Of those, 15 received depemokimab. Eleven of the depemokimab recipients had AEs, although only 1 was considered treatment related and none resulted in discontinuation. One depemokimab participant in this analysis had one SAE.</w:t>
      </w:r>
    </w:p>
    <w:p w14:paraId="7342BED8" w14:textId="77777777" w:rsidR="00EC60F0" w:rsidRPr="00EC60F0" w:rsidRDefault="00EC60F0" w:rsidP="00EC60F0">
      <w:pPr>
        <w:pStyle w:val="Heading5"/>
      </w:pPr>
      <w:r w:rsidRPr="00EC60F0">
        <w:t>Laboratory testing results (including vital signs)</w:t>
      </w:r>
    </w:p>
    <w:p w14:paraId="0AA20E98" w14:textId="170A5696" w:rsidR="00723603" w:rsidRPr="00723603" w:rsidRDefault="00723603" w:rsidP="00723603">
      <w:r w:rsidRPr="00723603">
        <w:t xml:space="preserve">Overall, mean changes from baseline clinical laboratory results, ECG and vital signs were minimal over the course of the study, other than the expected decline in </w:t>
      </w:r>
      <w:r w:rsidR="0017709D">
        <w:t>b</w:t>
      </w:r>
      <w:r w:rsidR="0017709D" w:rsidRPr="0017709D">
        <w:t xml:space="preserve">lood </w:t>
      </w:r>
      <w:r w:rsidR="0017709D">
        <w:t>e</w:t>
      </w:r>
      <w:r w:rsidR="0017709D" w:rsidRPr="0017709D">
        <w:t xml:space="preserve">osinophil </w:t>
      </w:r>
      <w:r w:rsidR="0017709D">
        <w:t>c</w:t>
      </w:r>
      <w:r w:rsidR="0017709D" w:rsidRPr="0017709D">
        <w:t xml:space="preserve">ount </w:t>
      </w:r>
      <w:r w:rsidR="0017709D">
        <w:t>(</w:t>
      </w:r>
      <w:r w:rsidRPr="00723603">
        <w:t>BEC</w:t>
      </w:r>
      <w:r w:rsidR="0017709D">
        <w:t>)</w:t>
      </w:r>
      <w:r w:rsidRPr="00723603">
        <w:t>.</w:t>
      </w:r>
    </w:p>
    <w:p w14:paraId="632DF035" w14:textId="7C23203F" w:rsidR="00880715" w:rsidRPr="00880715" w:rsidRDefault="00880715" w:rsidP="00D46196">
      <w:pPr>
        <w:pStyle w:val="Heading6"/>
      </w:pPr>
      <w:r w:rsidRPr="00880715">
        <w:lastRenderedPageBreak/>
        <w:t>Hepatic events</w:t>
      </w:r>
      <w:fldSimple w:instr="DOCVARIABLE vault_nd_c37f78a4-0bff-4b95-ade0-17faf922f628 \* MERGEFORMAT">
        <w:r w:rsidR="008A6BD8">
          <w:t xml:space="preserve"> </w:t>
        </w:r>
      </w:fldSimple>
    </w:p>
    <w:p w14:paraId="7464FC70" w14:textId="54F87E4C" w:rsidR="00880715" w:rsidRDefault="00880715" w:rsidP="00880715">
      <w:r w:rsidRPr="00880715">
        <w:t>In the AGILE study, 4 participants met the liver cessation criteria. These included one participant with a biopsy</w:t>
      </w:r>
      <w:r w:rsidRPr="00880715">
        <w:noBreakHyphen/>
        <w:t>confirmed autoimmune hepatitis</w:t>
      </w:r>
      <w:r w:rsidR="004B525F">
        <w:t xml:space="preserve"> judged treatment</w:t>
      </w:r>
      <w:r w:rsidR="00AA136A">
        <w:t>-</w:t>
      </w:r>
      <w:r w:rsidR="004B525F">
        <w:t xml:space="preserve"> unrelated</w:t>
      </w:r>
      <w:r w:rsidRPr="00880715">
        <w:t>, and a highly elevated severe ALT/AST elevation judged treatment</w:t>
      </w:r>
      <w:r w:rsidRPr="00880715">
        <w:noBreakHyphen/>
        <w:t>related, and two participants with persistent transaminitis/</w:t>
      </w:r>
      <w:r w:rsidR="00EB5FA2">
        <w:t xml:space="preserve"> </w:t>
      </w:r>
      <w:r w:rsidRPr="00880715">
        <w:t>steatosis.</w:t>
      </w:r>
    </w:p>
    <w:p w14:paraId="5E2F587E" w14:textId="5962C7EB" w:rsidR="003822A3" w:rsidRDefault="003822A3" w:rsidP="003822A3">
      <w:pPr>
        <w:pStyle w:val="Heading6"/>
      </w:pPr>
      <w:r w:rsidRPr="003822A3">
        <w:t>Electrocardiograph findings and cardiovascular safety</w:t>
      </w:r>
      <w:fldSimple w:instr=" DOCVARIABLE vault_nd_15307436-497b-484e-86a4-c5c0136fffe1 \* MERGEFORMAT ">
        <w:r w:rsidRPr="003822A3">
          <w:t xml:space="preserve"> </w:t>
        </w:r>
      </w:fldSimple>
    </w:p>
    <w:p w14:paraId="204E3431" w14:textId="0A10A3AA" w:rsidR="004E1FD2" w:rsidRPr="004E1FD2" w:rsidRDefault="004E1FD2" w:rsidP="004E1FD2">
      <w:r w:rsidRPr="004E1FD2">
        <w:t>In the AGILE study, one participant</w:t>
      </w:r>
      <w:r w:rsidR="00285BBC">
        <w:t xml:space="preserve"> </w:t>
      </w:r>
      <w:r w:rsidR="00285BBC" w:rsidRPr="00285BBC">
        <w:t>experienced QTc prolongation which was not deemed related to the study treatment.</w:t>
      </w:r>
    </w:p>
    <w:p w14:paraId="1399AE23" w14:textId="2DBBEAC3" w:rsidR="00FB3866" w:rsidRPr="00FB3866" w:rsidRDefault="00996D1B" w:rsidP="00FB3866">
      <w:pPr>
        <w:pStyle w:val="Heading6"/>
      </w:pPr>
      <w:r w:rsidRPr="00996D1B">
        <w:t>Immunogenicity and immunological events</w:t>
      </w:r>
    </w:p>
    <w:p w14:paraId="09BA36CE" w14:textId="77777777" w:rsidR="00FB3866" w:rsidRPr="00FB3866" w:rsidRDefault="00FB3866" w:rsidP="00FB3866">
      <w:r w:rsidRPr="00FB3866">
        <w:t xml:space="preserve">Around 10% of the SWIFT- and SWIFT-2 study participants who received ≥1 dose of depemokimab developed treatment-emergent anti-drug antibodies (ADAs), and of those, 6% were positive for neutralising antibodies. </w:t>
      </w:r>
    </w:p>
    <w:p w14:paraId="47D53841" w14:textId="77777777" w:rsidR="00FB3866" w:rsidRPr="00FB3866" w:rsidRDefault="00FB3866" w:rsidP="00FB3866">
      <w:r w:rsidRPr="00FB3866">
        <w:t>Low levels of ADAs, generally close to the lower limit of quantitation were observed in the study of Chinese participants. Because of the low frequency in early studies, neutralising antibodies were not studied further.</w:t>
      </w:r>
    </w:p>
    <w:p w14:paraId="59DBF106" w14:textId="77777777" w:rsidR="00FB3866" w:rsidRPr="00FB3866" w:rsidRDefault="00FB3866" w:rsidP="00FB3866">
      <w:r w:rsidRPr="00FB3866">
        <w:t>In the AGILE study, 9% of the participants developed ADAs with generally low titres. Of those, 5 participants developed neutralising antibodies (Nab). On-treatment AEs were reported by 84% of the 55 ADA positive participants and 70% of the 567 ADA negative participants.</w:t>
      </w:r>
    </w:p>
    <w:p w14:paraId="65BA6418" w14:textId="77777777" w:rsidR="00FB3866" w:rsidRPr="00FB3866" w:rsidRDefault="00FB3866" w:rsidP="00FB3866">
      <w:r w:rsidRPr="00FB3866">
        <w:t>There was no apparent increased risk of safety events or pharmacology differences among participants who developed ADA.</w:t>
      </w:r>
    </w:p>
    <w:p w14:paraId="507686B8" w14:textId="5C48896E" w:rsidR="00880715" w:rsidRPr="00880715" w:rsidRDefault="00880715" w:rsidP="009E0A24">
      <w:pPr>
        <w:pStyle w:val="Heading5"/>
      </w:pPr>
      <w:bookmarkStart w:id="106" w:name="_Toc233817457"/>
      <w:r w:rsidRPr="00880715">
        <w:t>Other (e.g. companion diagnostic considerations, drug delivery device)</w:t>
      </w:r>
      <w:bookmarkEnd w:id="106"/>
      <w:r w:rsidR="008A6BD8">
        <w:fldChar w:fldCharType="begin"/>
      </w:r>
      <w:r w:rsidR="008A6BD8">
        <w:instrText xml:space="preserve"> DOCVARIABLE vault_nd_75d12a48-d39d-4f4d-8e85-4920c1c74625 \* MERGEFORMAT </w:instrText>
      </w:r>
      <w:r w:rsidR="008A6BD8">
        <w:fldChar w:fldCharType="separate"/>
      </w:r>
      <w:r w:rsidR="008A6BD8">
        <w:t xml:space="preserve"> </w:t>
      </w:r>
      <w:r w:rsidR="008A6BD8">
        <w:fldChar w:fldCharType="end"/>
      </w:r>
    </w:p>
    <w:p w14:paraId="6E1B19EE" w14:textId="77777777" w:rsidR="00880715" w:rsidRPr="00880715" w:rsidRDefault="00880715" w:rsidP="00936509">
      <w:r w:rsidRPr="00880715">
        <w:t>Depemokimab is proposed for delivery via a prefilled safety syringe or an autoinjector. No adverse events were reported relating to the use of the devices.</w:t>
      </w:r>
    </w:p>
    <w:p w14:paraId="20BEBE8B" w14:textId="77777777" w:rsidR="00880715" w:rsidRPr="00880715" w:rsidRDefault="00880715" w:rsidP="00936509">
      <w:pPr>
        <w:rPr>
          <w:i/>
          <w:iCs/>
        </w:rPr>
      </w:pPr>
      <w:r w:rsidRPr="00880715">
        <w:t>Patient experience in the form of patient related outcomes, questionnaires and reportage of symptoms forms part of the submission in endpoints described above and in the Clinical Evaluation Report. No data from non-conventional studies were included in the submission.</w:t>
      </w:r>
    </w:p>
    <w:p w14:paraId="3D79ACF7" w14:textId="7D34B049" w:rsidR="00FC5AD1" w:rsidRDefault="00D76710" w:rsidP="00FC5AD1">
      <w:pPr>
        <w:pStyle w:val="Heading4"/>
      </w:pPr>
      <w:bookmarkStart w:id="107" w:name="_Toc241481383"/>
      <w:bookmarkStart w:id="108" w:name="_Toc314842514"/>
      <w:r>
        <w:t>S</w:t>
      </w:r>
      <w:r w:rsidR="00FC5AD1" w:rsidRPr="00AA53F4">
        <w:t>afety</w:t>
      </w:r>
      <w:r w:rsidR="00FC5AD1">
        <w:t xml:space="preserve"> - </w:t>
      </w:r>
      <w:r w:rsidR="00FC5AD1" w:rsidRPr="00FC5AD1">
        <w:t>CRSwNP</w:t>
      </w:r>
      <w:fldSimple w:instr=" DOCVARIABLE vault_nd_00cdb042-da00-42ae-a64e-0dacf474f543 \* MERGEFORMAT ">
        <w:r w:rsidR="008A6BD8">
          <w:t xml:space="preserve"> </w:t>
        </w:r>
      </w:fldSimple>
      <w:r w:rsidR="00345785">
        <w:t>studies</w:t>
      </w:r>
      <w:bookmarkEnd w:id="107"/>
    </w:p>
    <w:p w14:paraId="7FED457C" w14:textId="77777777" w:rsidR="00FC5AD1" w:rsidRDefault="00FC5AD1" w:rsidP="00936509">
      <w:r>
        <w:t>The safety of depemokimab in the CRSwNP indication was investigated in studies ANCHOR-1 and ANCHOR-2, and because of the similarity of the studies a pooled safety analysis was presented.</w:t>
      </w:r>
    </w:p>
    <w:p w14:paraId="4C8FAA5F" w14:textId="6BC76072" w:rsidR="00FC5AD1" w:rsidRDefault="00FC5AD1" w:rsidP="00936509">
      <w:r>
        <w:t>In the ANCHOR study pool, 272 participants received ≥1 dose of depemokimab 100 mg SC Q26W in addition to standard of care and 256 participants received placebo. Of those, 92% of the depemokimab group and 87% of the placebo group completed</w:t>
      </w:r>
      <w:r w:rsidR="00FA6C93">
        <w:t xml:space="preserve"> stud</w:t>
      </w:r>
      <w:r w:rsidR="00AA76CB">
        <w:t>y treatment</w:t>
      </w:r>
      <w:r>
        <w:t>. The mean exposure was 11.6 months in each arm.</w:t>
      </w:r>
    </w:p>
    <w:p w14:paraId="3E87CFF6" w14:textId="7A935996" w:rsidR="00FC5AD1" w:rsidRPr="006F5F14" w:rsidRDefault="00FC5AD1" w:rsidP="00D97C77">
      <w:pPr>
        <w:pStyle w:val="TableTitle"/>
        <w:pageBreakBefore/>
        <w:rPr>
          <w:bCs/>
        </w:rPr>
      </w:pPr>
      <w:bookmarkStart w:id="109" w:name="_Ref208498374"/>
      <w:bookmarkStart w:id="110" w:name="_Toc209166312"/>
      <w:bookmarkStart w:id="111" w:name="_Toc215565800"/>
      <w:bookmarkStart w:id="112" w:name="_Ref272333567"/>
      <w:bookmarkStart w:id="113" w:name="_Toc272414665"/>
      <w:bookmarkStart w:id="114" w:name="_Toc290888529"/>
      <w:bookmarkStart w:id="115" w:name="_Toc416353745"/>
      <w:bookmarkStart w:id="116" w:name="_Toc421005288"/>
      <w:bookmarkStart w:id="117" w:name="_Toc432079165"/>
      <w:bookmarkStart w:id="118" w:name="_Toc432080738"/>
      <w:r w:rsidRPr="006F5F14">
        <w:lastRenderedPageBreak/>
        <w:t xml:space="preserve">Table </w:t>
      </w:r>
      <w:bookmarkEnd w:id="109"/>
      <w:r w:rsidR="00D65AB7">
        <w:t>16.</w:t>
      </w:r>
      <w:r w:rsidRPr="006F5F14">
        <w:t xml:space="preserve"> </w:t>
      </w:r>
      <w:r>
        <w:t>Summary adverse events</w:t>
      </w:r>
      <w:r w:rsidRPr="006F5F14">
        <w:t xml:space="preserve"> from ANCHOR-1 and ANCHOR-2 &amp; pooled data</w:t>
      </w:r>
      <w:bookmarkEnd w:id="110"/>
      <w:bookmarkEnd w:id="111"/>
      <w:r w:rsidR="00D65AB7">
        <w:t>.</w:t>
      </w:r>
    </w:p>
    <w:tbl>
      <w:tblPr>
        <w:tblStyle w:val="TableGrid"/>
        <w:tblW w:w="9017" w:type="dxa"/>
        <w:tblLayout w:type="fixed"/>
        <w:tblLook w:val="04A0" w:firstRow="1" w:lastRow="0" w:firstColumn="1" w:lastColumn="0" w:noHBand="0" w:noVBand="1"/>
      </w:tblPr>
      <w:tblGrid>
        <w:gridCol w:w="1980"/>
        <w:gridCol w:w="992"/>
        <w:gridCol w:w="1134"/>
        <w:gridCol w:w="1133"/>
        <w:gridCol w:w="1254"/>
        <w:gridCol w:w="1157"/>
        <w:gridCol w:w="1367"/>
      </w:tblGrid>
      <w:tr w:rsidR="00FC5AD1" w:rsidRPr="006F5F14" w14:paraId="2CB67CB2" w14:textId="77777777">
        <w:trPr>
          <w:trHeight w:val="318"/>
        </w:trPr>
        <w:tc>
          <w:tcPr>
            <w:tcW w:w="1980" w:type="dxa"/>
            <w:tcBorders>
              <w:right w:val="double" w:sz="4" w:space="0" w:color="auto"/>
            </w:tcBorders>
            <w:shd w:val="clear" w:color="auto" w:fill="BFBFBF" w:themeFill="background1" w:themeFillShade="BF"/>
          </w:tcPr>
          <w:p w14:paraId="7B41D4D9" w14:textId="77777777" w:rsidR="00FC5AD1" w:rsidRPr="006F5F14" w:rsidRDefault="00FC5AD1">
            <w:pPr>
              <w:rPr>
                <w:rFonts w:ascii="Calibri" w:hAnsi="Calibri" w:cs="Calibri"/>
                <w:szCs w:val="22"/>
                <w:lang w:eastAsia="ja-JP"/>
              </w:rPr>
            </w:pPr>
          </w:p>
        </w:tc>
        <w:tc>
          <w:tcPr>
            <w:tcW w:w="2126" w:type="dxa"/>
            <w:gridSpan w:val="2"/>
            <w:tcBorders>
              <w:left w:val="double" w:sz="4" w:space="0" w:color="auto"/>
              <w:right w:val="double" w:sz="4" w:space="0" w:color="auto"/>
            </w:tcBorders>
            <w:shd w:val="clear" w:color="auto" w:fill="BFBFBF" w:themeFill="background1" w:themeFillShade="BF"/>
          </w:tcPr>
          <w:p w14:paraId="278F89C9" w14:textId="77777777" w:rsidR="00FC5AD1" w:rsidRPr="006F5F14" w:rsidRDefault="00FC5AD1">
            <w:pPr>
              <w:jc w:val="center"/>
              <w:rPr>
                <w:rFonts w:ascii="Calibri" w:hAnsi="Calibri" w:cs="Calibri"/>
                <w:b/>
                <w:bCs/>
                <w:szCs w:val="22"/>
                <w:lang w:eastAsia="ja-JP"/>
              </w:rPr>
            </w:pPr>
            <w:r w:rsidRPr="006F5F14">
              <w:rPr>
                <w:rFonts w:ascii="Calibri" w:hAnsi="Calibri" w:cs="Calibri"/>
                <w:b/>
                <w:szCs w:val="22"/>
                <w:lang w:eastAsia="ja-JP"/>
              </w:rPr>
              <w:t>ANCHOR-1</w:t>
            </w:r>
          </w:p>
        </w:tc>
        <w:tc>
          <w:tcPr>
            <w:tcW w:w="2387" w:type="dxa"/>
            <w:gridSpan w:val="2"/>
            <w:tcBorders>
              <w:left w:val="double" w:sz="4" w:space="0" w:color="auto"/>
            </w:tcBorders>
            <w:shd w:val="clear" w:color="auto" w:fill="BFBFBF" w:themeFill="background1" w:themeFillShade="BF"/>
          </w:tcPr>
          <w:p w14:paraId="48A5AEB9" w14:textId="77777777" w:rsidR="00FC5AD1" w:rsidRPr="006F5F14" w:rsidRDefault="00FC5AD1">
            <w:pPr>
              <w:jc w:val="center"/>
              <w:rPr>
                <w:rFonts w:ascii="Calibri" w:hAnsi="Calibri" w:cs="Calibri"/>
                <w:b/>
                <w:bCs/>
                <w:szCs w:val="22"/>
                <w:lang w:eastAsia="ja-JP"/>
              </w:rPr>
            </w:pPr>
            <w:r w:rsidRPr="006F5F14">
              <w:rPr>
                <w:rFonts w:ascii="Calibri" w:hAnsi="Calibri" w:cs="Calibri"/>
                <w:b/>
                <w:szCs w:val="22"/>
                <w:lang w:eastAsia="ja-JP"/>
              </w:rPr>
              <w:t>ANCHOR-2</w:t>
            </w:r>
          </w:p>
        </w:tc>
        <w:tc>
          <w:tcPr>
            <w:tcW w:w="2524" w:type="dxa"/>
            <w:gridSpan w:val="2"/>
            <w:tcBorders>
              <w:left w:val="double" w:sz="4" w:space="0" w:color="auto"/>
            </w:tcBorders>
            <w:shd w:val="clear" w:color="auto" w:fill="BFBFBF" w:themeFill="background1" w:themeFillShade="BF"/>
          </w:tcPr>
          <w:p w14:paraId="172CCCB8" w14:textId="77777777" w:rsidR="00FC5AD1" w:rsidRPr="006F5F14" w:rsidRDefault="00FC5AD1">
            <w:pPr>
              <w:jc w:val="center"/>
              <w:rPr>
                <w:rFonts w:ascii="Calibri" w:hAnsi="Calibri" w:cs="Calibri"/>
                <w:b/>
                <w:bCs/>
                <w:szCs w:val="22"/>
                <w:lang w:eastAsia="ja-JP"/>
              </w:rPr>
            </w:pPr>
            <w:r w:rsidRPr="006F5F14">
              <w:rPr>
                <w:rFonts w:ascii="Calibri" w:hAnsi="Calibri" w:cs="Calibri"/>
                <w:b/>
                <w:szCs w:val="22"/>
                <w:lang w:eastAsia="ja-JP"/>
              </w:rPr>
              <w:t>POOLED</w:t>
            </w:r>
          </w:p>
        </w:tc>
      </w:tr>
      <w:tr w:rsidR="00FC5AD1" w:rsidRPr="006F5F14" w14:paraId="031F838F" w14:textId="77777777">
        <w:trPr>
          <w:trHeight w:val="510"/>
        </w:trPr>
        <w:tc>
          <w:tcPr>
            <w:tcW w:w="1980" w:type="dxa"/>
            <w:vMerge w:val="restart"/>
            <w:tcBorders>
              <w:right w:val="double" w:sz="4" w:space="0" w:color="auto"/>
            </w:tcBorders>
            <w:shd w:val="clear" w:color="auto" w:fill="BFBFBF" w:themeFill="background1" w:themeFillShade="BF"/>
            <w:hideMark/>
          </w:tcPr>
          <w:p w14:paraId="6FDA87F0" w14:textId="77777777" w:rsidR="00FC5AD1" w:rsidRPr="006F5F14" w:rsidRDefault="00FC5AD1">
            <w:pPr>
              <w:rPr>
                <w:rFonts w:ascii="Calibri" w:hAnsi="Calibri" w:cs="Calibri"/>
                <w:szCs w:val="22"/>
                <w:lang w:eastAsia="ja-JP"/>
              </w:rPr>
            </w:pPr>
            <w:r w:rsidRPr="006F5F14">
              <w:rPr>
                <w:rFonts w:ascii="Calibri" w:hAnsi="Calibri" w:cs="Calibri"/>
                <w:szCs w:val="22"/>
                <w:lang w:eastAsia="ja-JP"/>
              </w:rPr>
              <w:t> </w:t>
            </w:r>
          </w:p>
        </w:tc>
        <w:tc>
          <w:tcPr>
            <w:tcW w:w="992" w:type="dxa"/>
            <w:tcBorders>
              <w:left w:val="double" w:sz="4" w:space="0" w:color="auto"/>
            </w:tcBorders>
            <w:shd w:val="clear" w:color="auto" w:fill="BFBFBF" w:themeFill="background1" w:themeFillShade="BF"/>
            <w:hideMark/>
          </w:tcPr>
          <w:p w14:paraId="2D9DE2C6"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Placebo (N=128)</w:t>
            </w:r>
          </w:p>
        </w:tc>
        <w:tc>
          <w:tcPr>
            <w:tcW w:w="1134" w:type="dxa"/>
            <w:tcBorders>
              <w:right w:val="double" w:sz="4" w:space="0" w:color="auto"/>
            </w:tcBorders>
            <w:shd w:val="clear" w:color="auto" w:fill="BFBFBF" w:themeFill="background1" w:themeFillShade="BF"/>
            <w:hideMark/>
          </w:tcPr>
          <w:p w14:paraId="1D117EA7" w14:textId="77777777" w:rsidR="00FC5AD1" w:rsidRPr="006F5F14" w:rsidRDefault="00FC5AD1">
            <w:pPr>
              <w:rPr>
                <w:rFonts w:ascii="Calibri" w:hAnsi="Calibri" w:cs="Calibri"/>
                <w:b/>
                <w:bCs/>
                <w:szCs w:val="22"/>
                <w:lang w:eastAsia="ja-JP"/>
              </w:rPr>
            </w:pPr>
            <w:proofErr w:type="spellStart"/>
            <w:r w:rsidRPr="006F5F14">
              <w:rPr>
                <w:rFonts w:ascii="Calibri" w:hAnsi="Calibri" w:cs="Calibri"/>
                <w:b/>
                <w:szCs w:val="22"/>
                <w:lang w:eastAsia="ja-JP"/>
              </w:rPr>
              <w:t>Dep’mab</w:t>
            </w:r>
            <w:proofErr w:type="spellEnd"/>
            <w:r w:rsidRPr="006F5F14">
              <w:rPr>
                <w:rFonts w:ascii="Calibri" w:hAnsi="Calibri" w:cs="Calibri"/>
                <w:b/>
                <w:szCs w:val="22"/>
                <w:lang w:eastAsia="ja-JP"/>
              </w:rPr>
              <w:t xml:space="preserve"> (N=143)</w:t>
            </w:r>
          </w:p>
        </w:tc>
        <w:tc>
          <w:tcPr>
            <w:tcW w:w="1133" w:type="dxa"/>
            <w:tcBorders>
              <w:left w:val="double" w:sz="4" w:space="0" w:color="auto"/>
            </w:tcBorders>
            <w:shd w:val="clear" w:color="auto" w:fill="BFBFBF" w:themeFill="background1" w:themeFillShade="BF"/>
            <w:hideMark/>
          </w:tcPr>
          <w:p w14:paraId="43349367"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Placebo (N=128)</w:t>
            </w:r>
          </w:p>
        </w:tc>
        <w:tc>
          <w:tcPr>
            <w:tcW w:w="1254" w:type="dxa"/>
            <w:tcBorders>
              <w:right w:val="double" w:sz="4" w:space="0" w:color="auto"/>
            </w:tcBorders>
            <w:shd w:val="clear" w:color="auto" w:fill="BFBFBF" w:themeFill="background1" w:themeFillShade="BF"/>
            <w:hideMark/>
          </w:tcPr>
          <w:p w14:paraId="53079BE0" w14:textId="77777777" w:rsidR="00FC5AD1" w:rsidRPr="006F5F14" w:rsidRDefault="00FC5AD1">
            <w:pPr>
              <w:rPr>
                <w:rFonts w:ascii="Calibri" w:hAnsi="Calibri" w:cs="Calibri"/>
                <w:b/>
                <w:bCs/>
                <w:szCs w:val="22"/>
                <w:lang w:eastAsia="ja-JP"/>
              </w:rPr>
            </w:pPr>
            <w:proofErr w:type="spellStart"/>
            <w:r w:rsidRPr="006F5F14">
              <w:rPr>
                <w:rFonts w:ascii="Calibri" w:hAnsi="Calibri" w:cs="Calibri"/>
                <w:b/>
                <w:szCs w:val="22"/>
                <w:lang w:eastAsia="ja-JP"/>
              </w:rPr>
              <w:t>Dep’mab</w:t>
            </w:r>
            <w:proofErr w:type="spellEnd"/>
            <w:r w:rsidRPr="006F5F14">
              <w:rPr>
                <w:rFonts w:ascii="Calibri" w:hAnsi="Calibri" w:cs="Calibri"/>
                <w:b/>
                <w:szCs w:val="22"/>
                <w:lang w:eastAsia="ja-JP"/>
              </w:rPr>
              <w:t xml:space="preserve"> (N=129)</w:t>
            </w:r>
          </w:p>
        </w:tc>
        <w:tc>
          <w:tcPr>
            <w:tcW w:w="1157" w:type="dxa"/>
            <w:tcBorders>
              <w:left w:val="double" w:sz="4" w:space="0" w:color="auto"/>
            </w:tcBorders>
            <w:shd w:val="clear" w:color="auto" w:fill="BFBFBF" w:themeFill="background1" w:themeFillShade="BF"/>
          </w:tcPr>
          <w:p w14:paraId="65F3C8D3"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Placebo</w:t>
            </w:r>
          </w:p>
          <w:p w14:paraId="546C286F"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(N=256)</w:t>
            </w:r>
          </w:p>
        </w:tc>
        <w:tc>
          <w:tcPr>
            <w:tcW w:w="1367" w:type="dxa"/>
            <w:shd w:val="clear" w:color="auto" w:fill="BFBFBF" w:themeFill="background1" w:themeFillShade="BF"/>
          </w:tcPr>
          <w:p w14:paraId="545805BC" w14:textId="77777777" w:rsidR="00FC5AD1" w:rsidRPr="006F5F14" w:rsidRDefault="00FC5AD1">
            <w:pPr>
              <w:rPr>
                <w:rFonts w:ascii="Calibri" w:hAnsi="Calibri" w:cs="Calibri"/>
                <w:b/>
                <w:bCs/>
                <w:szCs w:val="22"/>
                <w:lang w:eastAsia="ja-JP"/>
              </w:rPr>
            </w:pPr>
            <w:proofErr w:type="spellStart"/>
            <w:r w:rsidRPr="006F5F14">
              <w:rPr>
                <w:rFonts w:ascii="Calibri" w:hAnsi="Calibri" w:cs="Calibri"/>
                <w:b/>
                <w:szCs w:val="22"/>
                <w:lang w:eastAsia="ja-JP"/>
              </w:rPr>
              <w:t>Dep’mab</w:t>
            </w:r>
            <w:proofErr w:type="spellEnd"/>
          </w:p>
          <w:p w14:paraId="4FE0EE37"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(N=272)</w:t>
            </w:r>
          </w:p>
        </w:tc>
      </w:tr>
      <w:tr w:rsidR="00FC5AD1" w:rsidRPr="006F5F14" w14:paraId="588081BE" w14:textId="77777777" w:rsidTr="282F550F">
        <w:trPr>
          <w:trHeight w:val="263"/>
        </w:trPr>
        <w:tc>
          <w:tcPr>
            <w:tcW w:w="1980" w:type="dxa"/>
            <w:vMerge/>
            <w:hideMark/>
          </w:tcPr>
          <w:p w14:paraId="6B06B4AD" w14:textId="77777777" w:rsidR="00FC5AD1" w:rsidRPr="006F5F14" w:rsidRDefault="00FC5AD1">
            <w:pPr>
              <w:rPr>
                <w:rFonts w:ascii="Calibri" w:hAnsi="Calibri" w:cs="Calibri"/>
                <w:szCs w:val="22"/>
                <w:lang w:eastAsia="ja-JP"/>
              </w:rPr>
            </w:pPr>
          </w:p>
        </w:tc>
        <w:tc>
          <w:tcPr>
            <w:tcW w:w="992" w:type="dxa"/>
            <w:tcBorders>
              <w:left w:val="double" w:sz="4" w:space="0" w:color="auto"/>
              <w:bottom w:val="single" w:sz="4" w:space="0" w:color="auto"/>
            </w:tcBorders>
            <w:shd w:val="clear" w:color="auto" w:fill="BFBFBF" w:themeFill="background1" w:themeFillShade="BF"/>
            <w:vAlign w:val="center"/>
            <w:hideMark/>
          </w:tcPr>
          <w:p w14:paraId="7B4E45BC"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c>
          <w:tcPr>
            <w:tcW w:w="1134" w:type="dxa"/>
            <w:tcBorders>
              <w:bottom w:val="single" w:sz="4" w:space="0" w:color="auto"/>
              <w:right w:val="double" w:sz="4" w:space="0" w:color="auto"/>
            </w:tcBorders>
            <w:shd w:val="clear" w:color="auto" w:fill="BFBFBF" w:themeFill="background1" w:themeFillShade="BF"/>
            <w:vAlign w:val="center"/>
            <w:hideMark/>
          </w:tcPr>
          <w:p w14:paraId="04D63C01"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c>
          <w:tcPr>
            <w:tcW w:w="1133" w:type="dxa"/>
            <w:tcBorders>
              <w:left w:val="double" w:sz="4" w:space="0" w:color="auto"/>
              <w:bottom w:val="single" w:sz="4" w:space="0" w:color="auto"/>
            </w:tcBorders>
            <w:shd w:val="clear" w:color="auto" w:fill="BFBFBF" w:themeFill="background1" w:themeFillShade="BF"/>
            <w:vAlign w:val="center"/>
            <w:hideMark/>
          </w:tcPr>
          <w:p w14:paraId="29C8ABD6"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c>
          <w:tcPr>
            <w:tcW w:w="1254" w:type="dxa"/>
            <w:tcBorders>
              <w:bottom w:val="single" w:sz="4" w:space="0" w:color="auto"/>
              <w:right w:val="double" w:sz="4" w:space="0" w:color="auto"/>
            </w:tcBorders>
            <w:shd w:val="clear" w:color="auto" w:fill="BFBFBF" w:themeFill="background1" w:themeFillShade="BF"/>
            <w:vAlign w:val="center"/>
            <w:hideMark/>
          </w:tcPr>
          <w:p w14:paraId="1274F06F"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c>
          <w:tcPr>
            <w:tcW w:w="1157" w:type="dxa"/>
            <w:tcBorders>
              <w:left w:val="double" w:sz="4" w:space="0" w:color="auto"/>
              <w:bottom w:val="single" w:sz="4" w:space="0" w:color="auto"/>
            </w:tcBorders>
            <w:shd w:val="clear" w:color="auto" w:fill="BFBFBF" w:themeFill="background1" w:themeFillShade="BF"/>
            <w:vAlign w:val="center"/>
          </w:tcPr>
          <w:p w14:paraId="2B3894F0"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c>
          <w:tcPr>
            <w:tcW w:w="1367" w:type="dxa"/>
            <w:tcBorders>
              <w:bottom w:val="single" w:sz="4" w:space="0" w:color="auto"/>
            </w:tcBorders>
            <w:shd w:val="clear" w:color="auto" w:fill="BFBFBF" w:themeFill="background1" w:themeFillShade="BF"/>
            <w:vAlign w:val="center"/>
          </w:tcPr>
          <w:p w14:paraId="34B68106" w14:textId="77777777" w:rsidR="00FC5AD1" w:rsidRPr="006F5F14" w:rsidRDefault="00FC5AD1">
            <w:pPr>
              <w:rPr>
                <w:rFonts w:ascii="Calibri" w:hAnsi="Calibri" w:cs="Calibri"/>
                <w:b/>
                <w:bCs/>
                <w:szCs w:val="22"/>
                <w:lang w:eastAsia="ja-JP"/>
              </w:rPr>
            </w:pPr>
            <w:r w:rsidRPr="006F5F14">
              <w:rPr>
                <w:rFonts w:ascii="Calibri" w:hAnsi="Calibri" w:cs="Calibri"/>
                <w:b/>
                <w:szCs w:val="22"/>
                <w:lang w:eastAsia="ja-JP"/>
              </w:rPr>
              <w:t>n (%)</w:t>
            </w:r>
          </w:p>
        </w:tc>
      </w:tr>
      <w:tr w:rsidR="00FC5AD1" w:rsidRPr="00E65B5C" w14:paraId="3A58F699" w14:textId="77777777">
        <w:trPr>
          <w:trHeight w:val="377"/>
        </w:trPr>
        <w:tc>
          <w:tcPr>
            <w:tcW w:w="9017" w:type="dxa"/>
            <w:gridSpan w:val="7"/>
            <w:tcBorders>
              <w:left w:val="single" w:sz="4" w:space="0" w:color="auto"/>
              <w:right w:val="single" w:sz="4" w:space="0" w:color="auto"/>
            </w:tcBorders>
            <w:shd w:val="clear" w:color="auto" w:fill="D9D9D9" w:themeFill="background1" w:themeFillShade="D9"/>
            <w:hideMark/>
          </w:tcPr>
          <w:p w14:paraId="54FE4990"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On- and post-treatment</w:t>
            </w:r>
          </w:p>
        </w:tc>
      </w:tr>
      <w:tr w:rsidR="00FC5AD1" w:rsidRPr="00E65B5C" w14:paraId="5A1A6951" w14:textId="77777777">
        <w:trPr>
          <w:trHeight w:val="193"/>
        </w:trPr>
        <w:tc>
          <w:tcPr>
            <w:tcW w:w="1980" w:type="dxa"/>
            <w:tcBorders>
              <w:right w:val="double" w:sz="4" w:space="0" w:color="auto"/>
            </w:tcBorders>
            <w:hideMark/>
          </w:tcPr>
          <w:p w14:paraId="01F92AE5"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Any AE (%)</w:t>
            </w:r>
          </w:p>
        </w:tc>
        <w:tc>
          <w:tcPr>
            <w:tcW w:w="992" w:type="dxa"/>
            <w:tcBorders>
              <w:left w:val="double" w:sz="4" w:space="0" w:color="auto"/>
            </w:tcBorders>
            <w:hideMark/>
          </w:tcPr>
          <w:p w14:paraId="4EEF4877"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101 (79)</w:t>
            </w:r>
          </w:p>
        </w:tc>
        <w:tc>
          <w:tcPr>
            <w:tcW w:w="1134" w:type="dxa"/>
            <w:tcBorders>
              <w:right w:val="double" w:sz="4" w:space="0" w:color="auto"/>
            </w:tcBorders>
            <w:hideMark/>
          </w:tcPr>
          <w:p w14:paraId="4CBBDCB1"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106 (74)</w:t>
            </w:r>
          </w:p>
        </w:tc>
        <w:tc>
          <w:tcPr>
            <w:tcW w:w="1133" w:type="dxa"/>
            <w:tcBorders>
              <w:left w:val="double" w:sz="4" w:space="0" w:color="auto"/>
            </w:tcBorders>
            <w:hideMark/>
          </w:tcPr>
          <w:p w14:paraId="5E0E4C83"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102 (80)</w:t>
            </w:r>
          </w:p>
        </w:tc>
        <w:tc>
          <w:tcPr>
            <w:tcW w:w="1254" w:type="dxa"/>
            <w:tcBorders>
              <w:right w:val="double" w:sz="4" w:space="0" w:color="auto"/>
            </w:tcBorders>
            <w:hideMark/>
          </w:tcPr>
          <w:p w14:paraId="659A321A"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98 (76)</w:t>
            </w:r>
          </w:p>
        </w:tc>
        <w:tc>
          <w:tcPr>
            <w:tcW w:w="2524" w:type="dxa"/>
            <w:gridSpan w:val="2"/>
            <w:vMerge w:val="restart"/>
            <w:tcBorders>
              <w:left w:val="double" w:sz="4" w:space="0" w:color="auto"/>
            </w:tcBorders>
            <w:vAlign w:val="center"/>
          </w:tcPr>
          <w:p w14:paraId="6780FA97"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No data provided</w:t>
            </w:r>
          </w:p>
        </w:tc>
      </w:tr>
      <w:tr w:rsidR="00FC5AD1" w:rsidRPr="00E65B5C" w14:paraId="38276EB5" w14:textId="77777777" w:rsidTr="282F550F">
        <w:trPr>
          <w:trHeight w:val="250"/>
        </w:trPr>
        <w:tc>
          <w:tcPr>
            <w:tcW w:w="1980" w:type="dxa"/>
            <w:tcBorders>
              <w:right w:val="double" w:sz="4" w:space="0" w:color="auto"/>
            </w:tcBorders>
            <w:hideMark/>
          </w:tcPr>
          <w:p w14:paraId="424728EF" w14:textId="77777777" w:rsidR="00FC5AD1" w:rsidRPr="00977A54" w:rsidRDefault="00FC5AD1">
            <w:pPr>
              <w:rPr>
                <w:rFonts w:ascii="Calibri" w:hAnsi="Calibri" w:cs="Calibri"/>
                <w:sz w:val="20"/>
                <w:szCs w:val="20"/>
                <w:lang w:eastAsia="ja-JP"/>
              </w:rPr>
            </w:pPr>
            <w:r w:rsidRPr="00977A54">
              <w:rPr>
                <w:rFonts w:ascii="Calibri" w:hAnsi="Calibri" w:cs="Calibri"/>
                <w:sz w:val="20"/>
                <w:szCs w:val="20"/>
                <w:lang w:eastAsia="ja-JP"/>
              </w:rPr>
              <w:t>AEs related to study treatment</w:t>
            </w:r>
          </w:p>
        </w:tc>
        <w:tc>
          <w:tcPr>
            <w:tcW w:w="992" w:type="dxa"/>
            <w:tcBorders>
              <w:left w:val="double" w:sz="4" w:space="0" w:color="auto"/>
            </w:tcBorders>
            <w:hideMark/>
          </w:tcPr>
          <w:p w14:paraId="3EFA30DE"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3 (2)</w:t>
            </w:r>
          </w:p>
        </w:tc>
        <w:tc>
          <w:tcPr>
            <w:tcW w:w="1134" w:type="dxa"/>
            <w:tcBorders>
              <w:right w:val="double" w:sz="4" w:space="0" w:color="auto"/>
            </w:tcBorders>
            <w:hideMark/>
          </w:tcPr>
          <w:p w14:paraId="1F317889"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9 (6)</w:t>
            </w:r>
          </w:p>
        </w:tc>
        <w:tc>
          <w:tcPr>
            <w:tcW w:w="1133" w:type="dxa"/>
            <w:tcBorders>
              <w:left w:val="double" w:sz="4" w:space="0" w:color="auto"/>
            </w:tcBorders>
            <w:hideMark/>
          </w:tcPr>
          <w:p w14:paraId="47E9E8F9"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6 (5)</w:t>
            </w:r>
          </w:p>
        </w:tc>
        <w:tc>
          <w:tcPr>
            <w:tcW w:w="1254" w:type="dxa"/>
            <w:tcBorders>
              <w:right w:val="double" w:sz="4" w:space="0" w:color="auto"/>
            </w:tcBorders>
            <w:hideMark/>
          </w:tcPr>
          <w:p w14:paraId="739B840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8 (6)</w:t>
            </w:r>
          </w:p>
        </w:tc>
        <w:tc>
          <w:tcPr>
            <w:tcW w:w="2524" w:type="dxa"/>
            <w:gridSpan w:val="2"/>
            <w:vMerge/>
          </w:tcPr>
          <w:p w14:paraId="3025E0A2" w14:textId="77777777" w:rsidR="00FC5AD1" w:rsidRPr="00977A54" w:rsidRDefault="00FC5AD1">
            <w:pPr>
              <w:jc w:val="center"/>
              <w:rPr>
                <w:rFonts w:ascii="Calibri" w:hAnsi="Calibri" w:cs="Calibri"/>
                <w:sz w:val="20"/>
                <w:szCs w:val="20"/>
                <w:lang w:eastAsia="ja-JP"/>
              </w:rPr>
            </w:pPr>
          </w:p>
        </w:tc>
      </w:tr>
      <w:tr w:rsidR="00FC5AD1" w:rsidRPr="00E65B5C" w14:paraId="78B23D61" w14:textId="77777777" w:rsidTr="00FD1E90">
        <w:trPr>
          <w:trHeight w:val="825"/>
        </w:trPr>
        <w:tc>
          <w:tcPr>
            <w:tcW w:w="1980" w:type="dxa"/>
            <w:tcBorders>
              <w:right w:val="double" w:sz="4" w:space="0" w:color="auto"/>
            </w:tcBorders>
            <w:hideMark/>
          </w:tcPr>
          <w:p w14:paraId="5BCEF702" w14:textId="77777777" w:rsidR="00FC5AD1" w:rsidRPr="00977A54" w:rsidRDefault="00FC5AD1">
            <w:pPr>
              <w:rPr>
                <w:rFonts w:ascii="Calibri" w:hAnsi="Calibri" w:cs="Calibri"/>
                <w:sz w:val="20"/>
                <w:szCs w:val="20"/>
                <w:lang w:eastAsia="ja-JP"/>
              </w:rPr>
            </w:pPr>
            <w:r w:rsidRPr="00977A54">
              <w:rPr>
                <w:rFonts w:ascii="Calibri" w:hAnsi="Calibri" w:cs="Calibri"/>
                <w:sz w:val="20"/>
                <w:szCs w:val="20"/>
                <w:lang w:eastAsia="ja-JP"/>
              </w:rPr>
              <w:t>AEs leading to permanent treatment discontinuation or study withdrawal</w:t>
            </w:r>
          </w:p>
        </w:tc>
        <w:tc>
          <w:tcPr>
            <w:tcW w:w="992" w:type="dxa"/>
            <w:tcBorders>
              <w:left w:val="double" w:sz="4" w:space="0" w:color="auto"/>
            </w:tcBorders>
            <w:hideMark/>
          </w:tcPr>
          <w:p w14:paraId="2DE6FF17"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2 (2)</w:t>
            </w:r>
          </w:p>
        </w:tc>
        <w:tc>
          <w:tcPr>
            <w:tcW w:w="1134" w:type="dxa"/>
            <w:tcBorders>
              <w:right w:val="double" w:sz="4" w:space="0" w:color="auto"/>
            </w:tcBorders>
            <w:hideMark/>
          </w:tcPr>
          <w:p w14:paraId="11D4D66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3" w:type="dxa"/>
            <w:tcBorders>
              <w:left w:val="double" w:sz="4" w:space="0" w:color="auto"/>
            </w:tcBorders>
            <w:hideMark/>
          </w:tcPr>
          <w:p w14:paraId="2D31ADA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 (&lt;1)</w:t>
            </w:r>
          </w:p>
        </w:tc>
        <w:tc>
          <w:tcPr>
            <w:tcW w:w="1254" w:type="dxa"/>
            <w:tcBorders>
              <w:right w:val="double" w:sz="4" w:space="0" w:color="auto"/>
            </w:tcBorders>
            <w:hideMark/>
          </w:tcPr>
          <w:p w14:paraId="65DF5B52"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2 (2)</w:t>
            </w:r>
            <w:r w:rsidRPr="00977A54">
              <w:rPr>
                <w:rFonts w:ascii="Calibri" w:hAnsi="Calibri" w:cs="Calibri"/>
                <w:sz w:val="20"/>
                <w:szCs w:val="20"/>
                <w:vertAlign w:val="superscript"/>
                <w:lang w:eastAsia="ja-JP"/>
              </w:rPr>
              <w:t>1</w:t>
            </w:r>
          </w:p>
        </w:tc>
        <w:tc>
          <w:tcPr>
            <w:tcW w:w="2524" w:type="dxa"/>
            <w:gridSpan w:val="2"/>
            <w:vMerge/>
          </w:tcPr>
          <w:p w14:paraId="44BF4476" w14:textId="77777777" w:rsidR="00FC5AD1" w:rsidRPr="00977A54" w:rsidRDefault="00FC5AD1">
            <w:pPr>
              <w:jc w:val="center"/>
              <w:rPr>
                <w:rFonts w:ascii="Calibri" w:hAnsi="Calibri" w:cs="Calibri"/>
                <w:sz w:val="20"/>
                <w:szCs w:val="20"/>
                <w:lang w:eastAsia="ja-JP"/>
              </w:rPr>
            </w:pPr>
          </w:p>
        </w:tc>
      </w:tr>
      <w:tr w:rsidR="00FC5AD1" w:rsidRPr="00E65B5C" w14:paraId="04BE5A79" w14:textId="77777777" w:rsidTr="282F550F">
        <w:trPr>
          <w:trHeight w:val="205"/>
        </w:trPr>
        <w:tc>
          <w:tcPr>
            <w:tcW w:w="1980" w:type="dxa"/>
            <w:tcBorders>
              <w:right w:val="double" w:sz="4" w:space="0" w:color="auto"/>
            </w:tcBorders>
            <w:hideMark/>
          </w:tcPr>
          <w:p w14:paraId="68E99C42" w14:textId="77777777" w:rsidR="00FC5AD1" w:rsidRPr="00977A54" w:rsidRDefault="00FC5AD1" w:rsidP="00894E73">
            <w:pPr>
              <w:jc w:val="both"/>
              <w:rPr>
                <w:rFonts w:ascii="Calibri" w:hAnsi="Calibri" w:cs="Calibri"/>
                <w:sz w:val="20"/>
                <w:szCs w:val="20"/>
                <w:lang w:eastAsia="ja-JP"/>
              </w:rPr>
            </w:pPr>
            <w:r w:rsidRPr="00977A54">
              <w:rPr>
                <w:rFonts w:ascii="Calibri" w:hAnsi="Calibri" w:cs="Calibri"/>
                <w:sz w:val="20"/>
                <w:szCs w:val="20"/>
                <w:lang w:eastAsia="ja-JP"/>
              </w:rPr>
              <w:t>AEs leading to dose interruption/delay</w:t>
            </w:r>
          </w:p>
        </w:tc>
        <w:tc>
          <w:tcPr>
            <w:tcW w:w="992" w:type="dxa"/>
            <w:tcBorders>
              <w:left w:val="double" w:sz="4" w:space="0" w:color="auto"/>
            </w:tcBorders>
            <w:hideMark/>
          </w:tcPr>
          <w:p w14:paraId="651C9113"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4" w:type="dxa"/>
            <w:tcBorders>
              <w:right w:val="double" w:sz="4" w:space="0" w:color="auto"/>
            </w:tcBorders>
            <w:hideMark/>
          </w:tcPr>
          <w:p w14:paraId="13F684D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3" w:type="dxa"/>
            <w:tcBorders>
              <w:left w:val="double" w:sz="4" w:space="0" w:color="auto"/>
            </w:tcBorders>
            <w:hideMark/>
          </w:tcPr>
          <w:p w14:paraId="7352ADA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 (&lt;1)</w:t>
            </w:r>
          </w:p>
        </w:tc>
        <w:tc>
          <w:tcPr>
            <w:tcW w:w="1254" w:type="dxa"/>
            <w:tcBorders>
              <w:right w:val="double" w:sz="4" w:space="0" w:color="auto"/>
            </w:tcBorders>
            <w:noWrap/>
            <w:hideMark/>
          </w:tcPr>
          <w:p w14:paraId="45DDBEEF"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2524" w:type="dxa"/>
            <w:gridSpan w:val="2"/>
            <w:vMerge/>
          </w:tcPr>
          <w:p w14:paraId="66F29EAE" w14:textId="77777777" w:rsidR="00FC5AD1" w:rsidRPr="00977A54" w:rsidRDefault="00FC5AD1">
            <w:pPr>
              <w:jc w:val="center"/>
              <w:rPr>
                <w:rFonts w:ascii="Calibri" w:hAnsi="Calibri" w:cs="Calibri"/>
                <w:sz w:val="20"/>
                <w:szCs w:val="20"/>
                <w:lang w:eastAsia="ja-JP"/>
              </w:rPr>
            </w:pPr>
          </w:p>
        </w:tc>
      </w:tr>
      <w:tr w:rsidR="00FC5AD1" w:rsidRPr="00E65B5C" w14:paraId="0D5099F5" w14:textId="77777777" w:rsidTr="282F550F">
        <w:trPr>
          <w:trHeight w:val="315"/>
        </w:trPr>
        <w:tc>
          <w:tcPr>
            <w:tcW w:w="1980" w:type="dxa"/>
            <w:tcBorders>
              <w:right w:val="double" w:sz="4" w:space="0" w:color="auto"/>
            </w:tcBorders>
            <w:hideMark/>
          </w:tcPr>
          <w:p w14:paraId="15A17E98"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Any SAE</w:t>
            </w:r>
          </w:p>
        </w:tc>
        <w:tc>
          <w:tcPr>
            <w:tcW w:w="992" w:type="dxa"/>
            <w:tcBorders>
              <w:left w:val="double" w:sz="4" w:space="0" w:color="auto"/>
            </w:tcBorders>
            <w:hideMark/>
          </w:tcPr>
          <w:p w14:paraId="6F824E41"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6 (5)</w:t>
            </w:r>
          </w:p>
        </w:tc>
        <w:tc>
          <w:tcPr>
            <w:tcW w:w="1134" w:type="dxa"/>
            <w:tcBorders>
              <w:right w:val="double" w:sz="4" w:space="0" w:color="auto"/>
            </w:tcBorders>
            <w:hideMark/>
          </w:tcPr>
          <w:p w14:paraId="750106ED"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5 (3)</w:t>
            </w:r>
          </w:p>
        </w:tc>
        <w:tc>
          <w:tcPr>
            <w:tcW w:w="1133" w:type="dxa"/>
            <w:tcBorders>
              <w:left w:val="double" w:sz="4" w:space="0" w:color="auto"/>
            </w:tcBorders>
            <w:hideMark/>
          </w:tcPr>
          <w:p w14:paraId="4373A0EB"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10 (8)</w:t>
            </w:r>
          </w:p>
        </w:tc>
        <w:tc>
          <w:tcPr>
            <w:tcW w:w="1254" w:type="dxa"/>
            <w:tcBorders>
              <w:right w:val="double" w:sz="4" w:space="0" w:color="auto"/>
            </w:tcBorders>
            <w:hideMark/>
          </w:tcPr>
          <w:p w14:paraId="45F123B9" w14:textId="77777777" w:rsidR="00FC5AD1" w:rsidRPr="00977A54" w:rsidRDefault="00FC5AD1">
            <w:pPr>
              <w:jc w:val="center"/>
              <w:rPr>
                <w:rFonts w:ascii="Calibri" w:hAnsi="Calibri" w:cs="Calibri"/>
                <w:b/>
                <w:bCs/>
                <w:sz w:val="20"/>
                <w:szCs w:val="20"/>
                <w:lang w:eastAsia="ja-JP"/>
              </w:rPr>
            </w:pPr>
            <w:r w:rsidRPr="00977A54">
              <w:rPr>
                <w:rFonts w:ascii="Calibri" w:hAnsi="Calibri" w:cs="Calibri"/>
                <w:b/>
                <w:sz w:val="20"/>
                <w:szCs w:val="20"/>
                <w:lang w:eastAsia="ja-JP"/>
              </w:rPr>
              <w:t>6 (5)</w:t>
            </w:r>
          </w:p>
        </w:tc>
        <w:tc>
          <w:tcPr>
            <w:tcW w:w="2524" w:type="dxa"/>
            <w:gridSpan w:val="2"/>
            <w:vMerge/>
          </w:tcPr>
          <w:p w14:paraId="4EF44D91" w14:textId="77777777" w:rsidR="00FC5AD1" w:rsidRPr="00977A54" w:rsidRDefault="00FC5AD1">
            <w:pPr>
              <w:jc w:val="center"/>
              <w:rPr>
                <w:rFonts w:ascii="Calibri" w:hAnsi="Calibri" w:cs="Calibri"/>
                <w:b/>
                <w:bCs/>
                <w:sz w:val="20"/>
                <w:szCs w:val="20"/>
                <w:lang w:eastAsia="ja-JP"/>
              </w:rPr>
            </w:pPr>
          </w:p>
        </w:tc>
      </w:tr>
      <w:tr w:rsidR="00FC5AD1" w:rsidRPr="00E65B5C" w14:paraId="50CFE590" w14:textId="77777777" w:rsidTr="282F550F">
        <w:trPr>
          <w:trHeight w:hRule="exact" w:val="340"/>
        </w:trPr>
        <w:tc>
          <w:tcPr>
            <w:tcW w:w="1980" w:type="dxa"/>
            <w:tcBorders>
              <w:right w:val="double" w:sz="4" w:space="0" w:color="auto"/>
            </w:tcBorders>
            <w:hideMark/>
          </w:tcPr>
          <w:p w14:paraId="682EFD28" w14:textId="77777777" w:rsidR="00FC5AD1" w:rsidRPr="00977A54" w:rsidRDefault="00FC5AD1">
            <w:pPr>
              <w:ind w:left="174"/>
              <w:rPr>
                <w:rFonts w:ascii="Calibri" w:hAnsi="Calibri" w:cs="Calibri"/>
                <w:sz w:val="20"/>
                <w:szCs w:val="20"/>
                <w:lang w:eastAsia="ja-JP"/>
              </w:rPr>
            </w:pPr>
            <w:r w:rsidRPr="00977A54">
              <w:rPr>
                <w:rFonts w:ascii="Calibri" w:hAnsi="Calibri" w:cs="Calibri"/>
                <w:sz w:val="20"/>
                <w:szCs w:val="20"/>
                <w:lang w:eastAsia="ja-JP"/>
              </w:rPr>
              <w:t xml:space="preserve">TRSAEs </w:t>
            </w:r>
          </w:p>
          <w:p w14:paraId="6DB2C75D" w14:textId="77777777" w:rsidR="00FC5AD1" w:rsidRPr="00977A54" w:rsidRDefault="00FC5AD1">
            <w:pPr>
              <w:ind w:left="174"/>
              <w:rPr>
                <w:rFonts w:ascii="Calibri" w:hAnsi="Calibri" w:cs="Calibri"/>
                <w:sz w:val="20"/>
                <w:szCs w:val="20"/>
                <w:lang w:eastAsia="ja-JP"/>
              </w:rPr>
            </w:pPr>
            <w:r w:rsidRPr="00977A54">
              <w:rPr>
                <w:rFonts w:ascii="Calibri" w:hAnsi="Calibri" w:cs="Calibri"/>
                <w:sz w:val="20"/>
                <w:szCs w:val="20"/>
                <w:lang w:eastAsia="ja-JP"/>
              </w:rPr>
              <w:t xml:space="preserve"> </w:t>
            </w:r>
          </w:p>
        </w:tc>
        <w:tc>
          <w:tcPr>
            <w:tcW w:w="992" w:type="dxa"/>
            <w:tcBorders>
              <w:left w:val="double" w:sz="4" w:space="0" w:color="auto"/>
            </w:tcBorders>
            <w:hideMark/>
          </w:tcPr>
          <w:p w14:paraId="7E9720D6"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4" w:type="dxa"/>
            <w:tcBorders>
              <w:right w:val="double" w:sz="4" w:space="0" w:color="auto"/>
            </w:tcBorders>
            <w:hideMark/>
          </w:tcPr>
          <w:p w14:paraId="06D39ADF"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3" w:type="dxa"/>
            <w:tcBorders>
              <w:left w:val="double" w:sz="4" w:space="0" w:color="auto"/>
            </w:tcBorders>
            <w:noWrap/>
            <w:hideMark/>
          </w:tcPr>
          <w:p w14:paraId="7EE90A7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254" w:type="dxa"/>
            <w:tcBorders>
              <w:right w:val="double" w:sz="4" w:space="0" w:color="auto"/>
            </w:tcBorders>
            <w:noWrap/>
            <w:hideMark/>
          </w:tcPr>
          <w:p w14:paraId="4D44676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2524" w:type="dxa"/>
            <w:gridSpan w:val="2"/>
            <w:vMerge/>
          </w:tcPr>
          <w:p w14:paraId="5440B0EA" w14:textId="77777777" w:rsidR="00FC5AD1" w:rsidRPr="00977A54" w:rsidRDefault="00FC5AD1">
            <w:pPr>
              <w:jc w:val="center"/>
              <w:rPr>
                <w:rFonts w:ascii="Calibri" w:hAnsi="Calibri" w:cs="Calibri"/>
                <w:sz w:val="20"/>
                <w:szCs w:val="20"/>
                <w:lang w:eastAsia="ja-JP"/>
              </w:rPr>
            </w:pPr>
          </w:p>
        </w:tc>
      </w:tr>
      <w:tr w:rsidR="00FC5AD1" w:rsidRPr="00E65B5C" w14:paraId="0E8B96A1" w14:textId="77777777">
        <w:trPr>
          <w:trHeight w:val="315"/>
        </w:trPr>
        <w:tc>
          <w:tcPr>
            <w:tcW w:w="4106" w:type="dxa"/>
            <w:gridSpan w:val="3"/>
            <w:tcBorders>
              <w:left w:val="single" w:sz="4" w:space="0" w:color="auto"/>
              <w:right w:val="single" w:sz="4" w:space="0" w:color="auto"/>
            </w:tcBorders>
            <w:shd w:val="clear" w:color="auto" w:fill="D9D9D9" w:themeFill="background1" w:themeFillShade="D9"/>
          </w:tcPr>
          <w:p w14:paraId="52A69602" w14:textId="38459575" w:rsidR="00FC5AD1" w:rsidRPr="00977A54" w:rsidRDefault="0ABE57D3">
            <w:pPr>
              <w:rPr>
                <w:rFonts w:ascii="Calibri" w:hAnsi="Calibri" w:cs="Calibri"/>
                <w:b/>
                <w:bCs/>
                <w:sz w:val="20"/>
                <w:szCs w:val="20"/>
                <w:lang w:eastAsia="ja-JP"/>
              </w:rPr>
            </w:pPr>
            <w:r w:rsidRPr="282F550F">
              <w:rPr>
                <w:rFonts w:ascii="Calibri" w:hAnsi="Calibri" w:cs="Calibri"/>
                <w:b/>
                <w:bCs/>
                <w:sz w:val="20"/>
                <w:szCs w:val="20"/>
                <w:lang w:eastAsia="ja-JP"/>
              </w:rPr>
              <w:t>On treatment</w:t>
            </w:r>
          </w:p>
        </w:tc>
        <w:tc>
          <w:tcPr>
            <w:tcW w:w="2387" w:type="dxa"/>
            <w:gridSpan w:val="2"/>
            <w:tcBorders>
              <w:left w:val="single" w:sz="4" w:space="0" w:color="auto"/>
              <w:right w:val="single" w:sz="4" w:space="0" w:color="auto"/>
            </w:tcBorders>
            <w:shd w:val="clear" w:color="auto" w:fill="D9D9D9" w:themeFill="background1" w:themeFillShade="D9"/>
          </w:tcPr>
          <w:p w14:paraId="5BD5BC9E" w14:textId="1F55CA64" w:rsidR="00FC5AD1" w:rsidRPr="00977A54" w:rsidRDefault="00FC5AD1">
            <w:pPr>
              <w:rPr>
                <w:rFonts w:ascii="Calibri" w:hAnsi="Calibri" w:cs="Calibri"/>
                <w:b/>
                <w:bCs/>
                <w:sz w:val="20"/>
                <w:szCs w:val="20"/>
                <w:lang w:eastAsia="ja-JP"/>
              </w:rPr>
            </w:pPr>
          </w:p>
        </w:tc>
        <w:tc>
          <w:tcPr>
            <w:tcW w:w="2524" w:type="dxa"/>
            <w:gridSpan w:val="2"/>
            <w:tcBorders>
              <w:left w:val="single" w:sz="4" w:space="0" w:color="auto"/>
              <w:right w:val="single" w:sz="4" w:space="0" w:color="auto"/>
            </w:tcBorders>
            <w:shd w:val="clear" w:color="auto" w:fill="D9D9D9" w:themeFill="background1" w:themeFillShade="D9"/>
          </w:tcPr>
          <w:p w14:paraId="31B1D6D6" w14:textId="31C99EF2" w:rsidR="00FC5AD1" w:rsidRPr="00977A54" w:rsidRDefault="00FC5AD1">
            <w:pPr>
              <w:rPr>
                <w:rFonts w:ascii="Calibri" w:hAnsi="Calibri" w:cs="Calibri"/>
                <w:b/>
                <w:bCs/>
                <w:sz w:val="20"/>
                <w:szCs w:val="20"/>
                <w:lang w:eastAsia="ja-JP"/>
              </w:rPr>
            </w:pPr>
          </w:p>
        </w:tc>
      </w:tr>
      <w:tr w:rsidR="282F550F" w14:paraId="408D06D0" w14:textId="77777777" w:rsidTr="282F550F">
        <w:trPr>
          <w:trHeight w:val="315"/>
        </w:trPr>
        <w:tc>
          <w:tcPr>
            <w:tcW w:w="1980" w:type="dxa"/>
            <w:tcBorders>
              <w:left w:val="single" w:sz="4" w:space="0" w:color="auto"/>
              <w:right w:val="single" w:sz="4" w:space="0" w:color="auto"/>
            </w:tcBorders>
            <w:shd w:val="clear" w:color="auto" w:fill="D9D9D9" w:themeFill="background1" w:themeFillShade="D9"/>
          </w:tcPr>
          <w:p w14:paraId="2205508D" w14:textId="497B40BA" w:rsidR="282F550F" w:rsidRDefault="282F550F" w:rsidP="282F550F">
            <w:pPr>
              <w:rPr>
                <w:rFonts w:ascii="Calibri" w:hAnsi="Calibri" w:cs="Calibri"/>
                <w:b/>
                <w:bCs/>
                <w:sz w:val="20"/>
                <w:szCs w:val="20"/>
                <w:lang w:eastAsia="ja-JP"/>
              </w:rPr>
            </w:pPr>
          </w:p>
        </w:tc>
        <w:tc>
          <w:tcPr>
            <w:tcW w:w="2126" w:type="dxa"/>
            <w:gridSpan w:val="2"/>
            <w:tcBorders>
              <w:left w:val="single" w:sz="4" w:space="0" w:color="auto"/>
              <w:right w:val="single" w:sz="4" w:space="0" w:color="auto"/>
            </w:tcBorders>
            <w:shd w:val="clear" w:color="auto" w:fill="D9D9D9" w:themeFill="background1" w:themeFillShade="D9"/>
          </w:tcPr>
          <w:p w14:paraId="2E8E3539" w14:textId="063DF28B" w:rsidR="226BD0FB" w:rsidRDefault="226BD0FB" w:rsidP="282F550F">
            <w:pPr>
              <w:rPr>
                <w:rFonts w:ascii="Calibri" w:hAnsi="Calibri" w:cs="Calibri"/>
                <w:b/>
                <w:bCs/>
                <w:sz w:val="20"/>
                <w:szCs w:val="20"/>
                <w:lang w:eastAsia="ja-JP"/>
              </w:rPr>
            </w:pPr>
            <w:r w:rsidRPr="282F550F">
              <w:rPr>
                <w:rFonts w:ascii="Calibri" w:hAnsi="Calibri" w:cs="Calibri"/>
                <w:b/>
                <w:bCs/>
                <w:sz w:val="20"/>
                <w:szCs w:val="20"/>
                <w:lang w:eastAsia="ja-JP"/>
              </w:rPr>
              <w:t>ANCHOR-1</w:t>
            </w:r>
          </w:p>
        </w:tc>
        <w:tc>
          <w:tcPr>
            <w:tcW w:w="2387" w:type="dxa"/>
            <w:gridSpan w:val="2"/>
            <w:tcBorders>
              <w:left w:val="single" w:sz="4" w:space="0" w:color="auto"/>
              <w:right w:val="single" w:sz="4" w:space="0" w:color="auto"/>
            </w:tcBorders>
            <w:shd w:val="clear" w:color="auto" w:fill="D9D9D9" w:themeFill="background1" w:themeFillShade="D9"/>
          </w:tcPr>
          <w:p w14:paraId="4F7E9518" w14:textId="77777777" w:rsidR="0C43C081" w:rsidRDefault="0C43C081" w:rsidP="282F550F">
            <w:pPr>
              <w:rPr>
                <w:rFonts w:ascii="Calibri" w:hAnsi="Calibri" w:cs="Calibri"/>
                <w:b/>
                <w:bCs/>
                <w:sz w:val="20"/>
                <w:szCs w:val="20"/>
                <w:lang w:eastAsia="ja-JP"/>
              </w:rPr>
            </w:pPr>
            <w:r w:rsidRPr="282F550F">
              <w:rPr>
                <w:rFonts w:ascii="Calibri" w:hAnsi="Calibri" w:cs="Calibri"/>
                <w:b/>
                <w:bCs/>
                <w:sz w:val="20"/>
                <w:szCs w:val="20"/>
                <w:lang w:eastAsia="ja-JP"/>
              </w:rPr>
              <w:t>ANCHOR-2</w:t>
            </w:r>
          </w:p>
          <w:p w14:paraId="7D28974A" w14:textId="56BF896F" w:rsidR="282F550F" w:rsidRDefault="282F550F" w:rsidP="282F550F">
            <w:pPr>
              <w:rPr>
                <w:rFonts w:ascii="Calibri" w:hAnsi="Calibri" w:cs="Calibri"/>
                <w:b/>
                <w:bCs/>
                <w:sz w:val="20"/>
                <w:szCs w:val="20"/>
                <w:lang w:eastAsia="ja-JP"/>
              </w:rPr>
            </w:pPr>
          </w:p>
        </w:tc>
        <w:tc>
          <w:tcPr>
            <w:tcW w:w="2524" w:type="dxa"/>
            <w:gridSpan w:val="2"/>
            <w:tcBorders>
              <w:left w:val="single" w:sz="4" w:space="0" w:color="auto"/>
              <w:right w:val="single" w:sz="4" w:space="0" w:color="auto"/>
            </w:tcBorders>
            <w:shd w:val="clear" w:color="auto" w:fill="D9D9D9" w:themeFill="background1" w:themeFillShade="D9"/>
          </w:tcPr>
          <w:p w14:paraId="41F51848" w14:textId="2F0498B0" w:rsidR="0C43C081" w:rsidRDefault="0C43C081" w:rsidP="282F550F">
            <w:r w:rsidRPr="282F550F">
              <w:rPr>
                <w:rFonts w:ascii="Calibri" w:hAnsi="Calibri" w:cs="Calibri"/>
                <w:b/>
                <w:bCs/>
                <w:sz w:val="20"/>
                <w:szCs w:val="20"/>
                <w:lang w:eastAsia="ja-JP"/>
              </w:rPr>
              <w:t>POOLED</w:t>
            </w:r>
          </w:p>
        </w:tc>
      </w:tr>
      <w:tr w:rsidR="00FC5AD1" w:rsidRPr="00E65B5C" w14:paraId="56F40848" w14:textId="77777777">
        <w:trPr>
          <w:trHeight w:val="369"/>
        </w:trPr>
        <w:tc>
          <w:tcPr>
            <w:tcW w:w="1980" w:type="dxa"/>
            <w:tcBorders>
              <w:right w:val="double" w:sz="4" w:space="0" w:color="auto"/>
            </w:tcBorders>
            <w:hideMark/>
          </w:tcPr>
          <w:p w14:paraId="1C1E4B86"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Any AE (%)</w:t>
            </w:r>
          </w:p>
        </w:tc>
        <w:tc>
          <w:tcPr>
            <w:tcW w:w="992" w:type="dxa"/>
            <w:tcBorders>
              <w:left w:val="double" w:sz="4" w:space="0" w:color="auto"/>
            </w:tcBorders>
            <w:vAlign w:val="center"/>
            <w:hideMark/>
          </w:tcPr>
          <w:p w14:paraId="51440D86"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101 (79)</w:t>
            </w:r>
          </w:p>
        </w:tc>
        <w:tc>
          <w:tcPr>
            <w:tcW w:w="1134" w:type="dxa"/>
            <w:tcBorders>
              <w:right w:val="double" w:sz="4" w:space="0" w:color="auto"/>
            </w:tcBorders>
            <w:vAlign w:val="center"/>
            <w:hideMark/>
          </w:tcPr>
          <w:p w14:paraId="3AC7B036"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105 (73)</w:t>
            </w:r>
          </w:p>
        </w:tc>
        <w:tc>
          <w:tcPr>
            <w:tcW w:w="1133" w:type="dxa"/>
            <w:tcBorders>
              <w:left w:val="double" w:sz="4" w:space="0" w:color="auto"/>
            </w:tcBorders>
            <w:vAlign w:val="center"/>
            <w:hideMark/>
          </w:tcPr>
          <w:p w14:paraId="19BFDBF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102 (80)</w:t>
            </w:r>
          </w:p>
        </w:tc>
        <w:tc>
          <w:tcPr>
            <w:tcW w:w="1254" w:type="dxa"/>
            <w:tcBorders>
              <w:right w:val="double" w:sz="4" w:space="0" w:color="auto"/>
            </w:tcBorders>
            <w:vAlign w:val="center"/>
            <w:hideMark/>
          </w:tcPr>
          <w:p w14:paraId="7067409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98 (76)</w:t>
            </w:r>
          </w:p>
        </w:tc>
        <w:tc>
          <w:tcPr>
            <w:tcW w:w="1157" w:type="dxa"/>
            <w:tcBorders>
              <w:left w:val="double" w:sz="4" w:space="0" w:color="auto"/>
            </w:tcBorders>
            <w:vAlign w:val="center"/>
          </w:tcPr>
          <w:p w14:paraId="4426C0B8"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203 (79)</w:t>
            </w:r>
          </w:p>
        </w:tc>
        <w:tc>
          <w:tcPr>
            <w:tcW w:w="1367" w:type="dxa"/>
            <w:vAlign w:val="center"/>
          </w:tcPr>
          <w:p w14:paraId="1DBC2C16"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203 (75)</w:t>
            </w:r>
          </w:p>
        </w:tc>
      </w:tr>
      <w:tr w:rsidR="00FC5AD1" w:rsidRPr="00E65B5C" w14:paraId="346EAA53" w14:textId="77777777">
        <w:trPr>
          <w:trHeight w:val="163"/>
        </w:trPr>
        <w:tc>
          <w:tcPr>
            <w:tcW w:w="1980" w:type="dxa"/>
            <w:tcBorders>
              <w:right w:val="double" w:sz="4" w:space="0" w:color="auto"/>
            </w:tcBorders>
            <w:hideMark/>
          </w:tcPr>
          <w:p w14:paraId="6AEE8626" w14:textId="77777777" w:rsidR="00FC5AD1" w:rsidRPr="00977A54" w:rsidRDefault="00FC5AD1">
            <w:pPr>
              <w:rPr>
                <w:rFonts w:ascii="Calibri" w:hAnsi="Calibri" w:cs="Calibri"/>
                <w:sz w:val="20"/>
                <w:szCs w:val="20"/>
                <w:lang w:eastAsia="ja-JP"/>
              </w:rPr>
            </w:pPr>
            <w:r w:rsidRPr="00977A54">
              <w:rPr>
                <w:rFonts w:ascii="Calibri" w:hAnsi="Calibri" w:cs="Calibri"/>
                <w:sz w:val="20"/>
                <w:szCs w:val="20"/>
                <w:lang w:eastAsia="ja-JP"/>
              </w:rPr>
              <w:t xml:space="preserve">TRAEs </w:t>
            </w:r>
          </w:p>
        </w:tc>
        <w:tc>
          <w:tcPr>
            <w:tcW w:w="992" w:type="dxa"/>
            <w:tcBorders>
              <w:left w:val="double" w:sz="4" w:space="0" w:color="auto"/>
            </w:tcBorders>
            <w:vAlign w:val="center"/>
            <w:hideMark/>
          </w:tcPr>
          <w:p w14:paraId="5B9D516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3 (2)</w:t>
            </w:r>
          </w:p>
        </w:tc>
        <w:tc>
          <w:tcPr>
            <w:tcW w:w="1134" w:type="dxa"/>
            <w:tcBorders>
              <w:right w:val="double" w:sz="4" w:space="0" w:color="auto"/>
            </w:tcBorders>
            <w:vAlign w:val="center"/>
            <w:hideMark/>
          </w:tcPr>
          <w:p w14:paraId="3D48779E"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9 (6)</w:t>
            </w:r>
          </w:p>
        </w:tc>
        <w:tc>
          <w:tcPr>
            <w:tcW w:w="1133" w:type="dxa"/>
            <w:tcBorders>
              <w:left w:val="double" w:sz="4" w:space="0" w:color="auto"/>
            </w:tcBorders>
            <w:vAlign w:val="center"/>
            <w:hideMark/>
          </w:tcPr>
          <w:p w14:paraId="2021BFC4"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6 (5)</w:t>
            </w:r>
          </w:p>
        </w:tc>
        <w:tc>
          <w:tcPr>
            <w:tcW w:w="1254" w:type="dxa"/>
            <w:tcBorders>
              <w:right w:val="double" w:sz="4" w:space="0" w:color="auto"/>
            </w:tcBorders>
            <w:vAlign w:val="center"/>
            <w:hideMark/>
          </w:tcPr>
          <w:p w14:paraId="49C69419"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8 (6)</w:t>
            </w:r>
          </w:p>
        </w:tc>
        <w:tc>
          <w:tcPr>
            <w:tcW w:w="1157" w:type="dxa"/>
            <w:tcBorders>
              <w:left w:val="double" w:sz="4" w:space="0" w:color="auto"/>
            </w:tcBorders>
            <w:vAlign w:val="center"/>
          </w:tcPr>
          <w:p w14:paraId="622C7160"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9 (4)</w:t>
            </w:r>
          </w:p>
        </w:tc>
        <w:tc>
          <w:tcPr>
            <w:tcW w:w="1367" w:type="dxa"/>
          </w:tcPr>
          <w:p w14:paraId="5E065819"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17 (6)</w:t>
            </w:r>
          </w:p>
        </w:tc>
      </w:tr>
      <w:tr w:rsidR="00FC5AD1" w:rsidRPr="00E65B5C" w14:paraId="6AEB5662" w14:textId="77777777">
        <w:trPr>
          <w:trHeight w:val="479"/>
        </w:trPr>
        <w:tc>
          <w:tcPr>
            <w:tcW w:w="1980" w:type="dxa"/>
            <w:tcBorders>
              <w:right w:val="double" w:sz="4" w:space="0" w:color="auto"/>
            </w:tcBorders>
            <w:hideMark/>
          </w:tcPr>
          <w:p w14:paraId="1488F391" w14:textId="77777777" w:rsidR="00FC5AD1" w:rsidRPr="00977A54" w:rsidRDefault="00FC5AD1">
            <w:pPr>
              <w:rPr>
                <w:rFonts w:ascii="Calibri" w:hAnsi="Calibri" w:cs="Calibri"/>
                <w:sz w:val="20"/>
                <w:szCs w:val="20"/>
                <w:lang w:eastAsia="ja-JP"/>
              </w:rPr>
            </w:pPr>
            <w:r w:rsidRPr="00977A54">
              <w:rPr>
                <w:rFonts w:ascii="Calibri" w:hAnsi="Calibri" w:cs="Calibri"/>
                <w:sz w:val="20"/>
                <w:szCs w:val="20"/>
                <w:lang w:eastAsia="ja-JP"/>
              </w:rPr>
              <w:t xml:space="preserve">AEs leading to perm. </w:t>
            </w:r>
            <w:proofErr w:type="spellStart"/>
            <w:r w:rsidRPr="00977A54">
              <w:rPr>
                <w:rFonts w:ascii="Calibri" w:hAnsi="Calibri" w:cs="Calibri"/>
                <w:sz w:val="20"/>
                <w:szCs w:val="20"/>
                <w:lang w:eastAsia="ja-JP"/>
              </w:rPr>
              <w:t>discont</w:t>
            </w:r>
            <w:proofErr w:type="spellEnd"/>
            <w:r w:rsidRPr="00977A54">
              <w:rPr>
                <w:rFonts w:ascii="Calibri" w:hAnsi="Calibri" w:cs="Calibri"/>
                <w:sz w:val="20"/>
                <w:szCs w:val="20"/>
                <w:lang w:eastAsia="ja-JP"/>
              </w:rPr>
              <w:t>. or study withdrawal</w:t>
            </w:r>
          </w:p>
        </w:tc>
        <w:tc>
          <w:tcPr>
            <w:tcW w:w="992" w:type="dxa"/>
            <w:tcBorders>
              <w:left w:val="double" w:sz="4" w:space="0" w:color="auto"/>
            </w:tcBorders>
            <w:hideMark/>
          </w:tcPr>
          <w:p w14:paraId="64F4CB1B"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2 (2)</w:t>
            </w:r>
          </w:p>
        </w:tc>
        <w:tc>
          <w:tcPr>
            <w:tcW w:w="1134" w:type="dxa"/>
            <w:tcBorders>
              <w:right w:val="double" w:sz="4" w:space="0" w:color="auto"/>
            </w:tcBorders>
            <w:hideMark/>
          </w:tcPr>
          <w:p w14:paraId="1E20A4F3"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3" w:type="dxa"/>
            <w:tcBorders>
              <w:left w:val="double" w:sz="4" w:space="0" w:color="auto"/>
            </w:tcBorders>
            <w:hideMark/>
          </w:tcPr>
          <w:p w14:paraId="6564C57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 (&lt;1)</w:t>
            </w:r>
          </w:p>
        </w:tc>
        <w:tc>
          <w:tcPr>
            <w:tcW w:w="1254" w:type="dxa"/>
            <w:tcBorders>
              <w:right w:val="double" w:sz="4" w:space="0" w:color="auto"/>
            </w:tcBorders>
            <w:noWrap/>
            <w:hideMark/>
          </w:tcPr>
          <w:p w14:paraId="65F808C5"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57" w:type="dxa"/>
            <w:tcBorders>
              <w:left w:val="double" w:sz="4" w:space="0" w:color="auto"/>
            </w:tcBorders>
          </w:tcPr>
          <w:p w14:paraId="777563A6"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3 (1)</w:t>
            </w:r>
          </w:p>
        </w:tc>
        <w:tc>
          <w:tcPr>
            <w:tcW w:w="1367" w:type="dxa"/>
          </w:tcPr>
          <w:p w14:paraId="6D7CE1B2"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r>
      <w:tr w:rsidR="00FC5AD1" w:rsidRPr="00E65B5C" w14:paraId="0564B2B0" w14:textId="77777777">
        <w:trPr>
          <w:trHeight w:val="273"/>
        </w:trPr>
        <w:tc>
          <w:tcPr>
            <w:tcW w:w="1980" w:type="dxa"/>
            <w:tcBorders>
              <w:right w:val="double" w:sz="4" w:space="0" w:color="auto"/>
            </w:tcBorders>
            <w:hideMark/>
          </w:tcPr>
          <w:p w14:paraId="615DDD05" w14:textId="77777777" w:rsidR="00FC5AD1" w:rsidRPr="00977A54" w:rsidRDefault="00FC5AD1">
            <w:pPr>
              <w:rPr>
                <w:rFonts w:ascii="Calibri" w:hAnsi="Calibri" w:cs="Calibri"/>
                <w:sz w:val="20"/>
                <w:szCs w:val="20"/>
                <w:lang w:eastAsia="ja-JP"/>
              </w:rPr>
            </w:pPr>
            <w:r w:rsidRPr="00977A54">
              <w:rPr>
                <w:rFonts w:ascii="Calibri" w:hAnsi="Calibri" w:cs="Calibri"/>
                <w:sz w:val="20"/>
                <w:szCs w:val="20"/>
                <w:lang w:eastAsia="ja-JP"/>
              </w:rPr>
              <w:t>AEs leading to dose interruption or delay</w:t>
            </w:r>
          </w:p>
        </w:tc>
        <w:tc>
          <w:tcPr>
            <w:tcW w:w="992" w:type="dxa"/>
            <w:tcBorders>
              <w:left w:val="double" w:sz="4" w:space="0" w:color="auto"/>
            </w:tcBorders>
            <w:hideMark/>
          </w:tcPr>
          <w:p w14:paraId="68F4E68D"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4" w:type="dxa"/>
            <w:tcBorders>
              <w:right w:val="double" w:sz="4" w:space="0" w:color="auto"/>
            </w:tcBorders>
            <w:hideMark/>
          </w:tcPr>
          <w:p w14:paraId="163D91FB"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33" w:type="dxa"/>
            <w:tcBorders>
              <w:left w:val="double" w:sz="4" w:space="0" w:color="auto"/>
            </w:tcBorders>
            <w:hideMark/>
          </w:tcPr>
          <w:p w14:paraId="53160D18"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 (&lt;1)</w:t>
            </w:r>
          </w:p>
        </w:tc>
        <w:tc>
          <w:tcPr>
            <w:tcW w:w="1254" w:type="dxa"/>
            <w:tcBorders>
              <w:right w:val="double" w:sz="4" w:space="0" w:color="auto"/>
            </w:tcBorders>
            <w:noWrap/>
            <w:hideMark/>
          </w:tcPr>
          <w:p w14:paraId="1001336E"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c>
          <w:tcPr>
            <w:tcW w:w="1157" w:type="dxa"/>
            <w:tcBorders>
              <w:left w:val="double" w:sz="4" w:space="0" w:color="auto"/>
            </w:tcBorders>
          </w:tcPr>
          <w:p w14:paraId="191EB10B"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1 (&lt;1)</w:t>
            </w:r>
          </w:p>
        </w:tc>
        <w:tc>
          <w:tcPr>
            <w:tcW w:w="1367" w:type="dxa"/>
          </w:tcPr>
          <w:p w14:paraId="497AC1AC" w14:textId="77777777" w:rsidR="00FC5AD1" w:rsidRPr="00977A54" w:rsidRDefault="00FC5AD1">
            <w:pPr>
              <w:jc w:val="center"/>
              <w:rPr>
                <w:rFonts w:ascii="Calibri" w:hAnsi="Calibri" w:cs="Calibri"/>
                <w:sz w:val="20"/>
                <w:szCs w:val="20"/>
                <w:lang w:eastAsia="ja-JP"/>
              </w:rPr>
            </w:pPr>
            <w:r w:rsidRPr="00977A54">
              <w:rPr>
                <w:rFonts w:ascii="Calibri" w:hAnsi="Calibri" w:cs="Calibri"/>
                <w:sz w:val="20"/>
                <w:szCs w:val="20"/>
                <w:lang w:eastAsia="ja-JP"/>
              </w:rPr>
              <w:t>0</w:t>
            </w:r>
          </w:p>
        </w:tc>
      </w:tr>
      <w:tr w:rsidR="00FC5AD1" w:rsidRPr="00E65B5C" w14:paraId="0EA2F661" w14:textId="77777777">
        <w:trPr>
          <w:trHeight w:val="255"/>
        </w:trPr>
        <w:tc>
          <w:tcPr>
            <w:tcW w:w="1980" w:type="dxa"/>
            <w:tcBorders>
              <w:right w:val="double" w:sz="4" w:space="0" w:color="auto"/>
            </w:tcBorders>
            <w:hideMark/>
          </w:tcPr>
          <w:p w14:paraId="0327BD31"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Any SAE</w:t>
            </w:r>
          </w:p>
        </w:tc>
        <w:tc>
          <w:tcPr>
            <w:tcW w:w="992" w:type="dxa"/>
            <w:tcBorders>
              <w:left w:val="double" w:sz="4" w:space="0" w:color="auto"/>
            </w:tcBorders>
            <w:vAlign w:val="center"/>
            <w:hideMark/>
          </w:tcPr>
          <w:p w14:paraId="2691BD92"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6 (5)</w:t>
            </w:r>
          </w:p>
        </w:tc>
        <w:tc>
          <w:tcPr>
            <w:tcW w:w="1134" w:type="dxa"/>
            <w:tcBorders>
              <w:right w:val="double" w:sz="4" w:space="0" w:color="auto"/>
            </w:tcBorders>
            <w:vAlign w:val="center"/>
            <w:hideMark/>
          </w:tcPr>
          <w:p w14:paraId="4022496E"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5 (3)</w:t>
            </w:r>
          </w:p>
        </w:tc>
        <w:tc>
          <w:tcPr>
            <w:tcW w:w="1133" w:type="dxa"/>
            <w:tcBorders>
              <w:left w:val="double" w:sz="4" w:space="0" w:color="auto"/>
            </w:tcBorders>
            <w:vAlign w:val="center"/>
            <w:hideMark/>
          </w:tcPr>
          <w:p w14:paraId="7E67E510"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10 (8)</w:t>
            </w:r>
          </w:p>
        </w:tc>
        <w:tc>
          <w:tcPr>
            <w:tcW w:w="1254" w:type="dxa"/>
            <w:tcBorders>
              <w:right w:val="double" w:sz="4" w:space="0" w:color="auto"/>
            </w:tcBorders>
            <w:vAlign w:val="center"/>
            <w:hideMark/>
          </w:tcPr>
          <w:p w14:paraId="72CB8A6D"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4 (3)</w:t>
            </w:r>
          </w:p>
        </w:tc>
        <w:tc>
          <w:tcPr>
            <w:tcW w:w="1157" w:type="dxa"/>
            <w:tcBorders>
              <w:left w:val="double" w:sz="4" w:space="0" w:color="auto"/>
            </w:tcBorders>
            <w:vAlign w:val="center"/>
          </w:tcPr>
          <w:p w14:paraId="058A5BEE"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16 (6)</w:t>
            </w:r>
          </w:p>
        </w:tc>
        <w:tc>
          <w:tcPr>
            <w:tcW w:w="1367" w:type="dxa"/>
            <w:vAlign w:val="center"/>
          </w:tcPr>
          <w:p w14:paraId="27F57555" w14:textId="77777777" w:rsidR="00FC5AD1" w:rsidRPr="00977A54" w:rsidRDefault="00FC5AD1">
            <w:pPr>
              <w:rPr>
                <w:rFonts w:ascii="Calibri" w:hAnsi="Calibri" w:cs="Calibri"/>
                <w:b/>
                <w:bCs/>
                <w:sz w:val="20"/>
                <w:szCs w:val="20"/>
                <w:lang w:eastAsia="ja-JP"/>
              </w:rPr>
            </w:pPr>
            <w:r w:rsidRPr="00977A54">
              <w:rPr>
                <w:rFonts w:ascii="Calibri" w:hAnsi="Calibri" w:cs="Calibri"/>
                <w:b/>
                <w:sz w:val="20"/>
                <w:szCs w:val="20"/>
                <w:lang w:eastAsia="ja-JP"/>
              </w:rPr>
              <w:t>9 (3)</w:t>
            </w:r>
          </w:p>
        </w:tc>
      </w:tr>
    </w:tbl>
    <w:p w14:paraId="1CD29911" w14:textId="77777777" w:rsidR="00FC5AD1" w:rsidRDefault="00FC5AD1" w:rsidP="00FC5AD1">
      <w:pPr>
        <w:autoSpaceDE w:val="0"/>
        <w:autoSpaceDN w:val="0"/>
        <w:adjustRightInd w:val="0"/>
        <w:spacing w:after="0" w:line="240" w:lineRule="auto"/>
        <w:rPr>
          <w:rFonts w:cstheme="majorHAnsi"/>
        </w:rPr>
      </w:pPr>
    </w:p>
    <w:p w14:paraId="5646F2FF" w14:textId="77777777" w:rsidR="00FC5AD1" w:rsidRDefault="00FC5AD1" w:rsidP="00101C35">
      <w:pPr>
        <w:rPr>
          <w:lang w:eastAsia="ja-JP"/>
        </w:rPr>
      </w:pPr>
      <w:r w:rsidRPr="004F3B2A">
        <w:t>The most frequently reported AEs (≥10% participants in either treatment group) were nasopharyngitis [18.0% (depemokimab group), 14.8% (placebo group)] and upper respiratory tract infection [10.3% (depemokimab group), 11.3% (placebo group)].</w:t>
      </w:r>
      <w:r w:rsidRPr="00367A8C">
        <w:rPr>
          <w:lang w:eastAsia="ja-JP"/>
        </w:rPr>
        <w:t xml:space="preserve"> </w:t>
      </w:r>
      <w:r w:rsidRPr="00093D3B">
        <w:rPr>
          <w:lang w:eastAsia="ja-JP"/>
        </w:rPr>
        <w:t xml:space="preserve">There were no statistically significant differences in the proportion of participants of who experienced common AEs between the groups, except for influenza which was more common in the placebo group. </w:t>
      </w:r>
    </w:p>
    <w:p w14:paraId="2D11BD22" w14:textId="5D906C68" w:rsidR="00FC5AD1" w:rsidRDefault="00FC5AD1" w:rsidP="00101C35">
      <w:pPr>
        <w:rPr>
          <w:rFonts w:cstheme="majorHAnsi"/>
        </w:rPr>
      </w:pPr>
      <w:r w:rsidRPr="00EC4B7E">
        <w:rPr>
          <w:rFonts w:cstheme="majorHAnsi"/>
        </w:rPr>
        <w:t xml:space="preserve">Two participants in the depemokimab group experienced AEs leading to permanent treatment discontinuation of study treatment or withdrawal from study after 182 days of the last dose date of study intervention. </w:t>
      </w:r>
    </w:p>
    <w:p w14:paraId="1C91943A" w14:textId="77777777" w:rsidR="00FC5AD1" w:rsidRDefault="00FC5AD1" w:rsidP="00101C35">
      <w:pPr>
        <w:rPr>
          <w:rFonts w:cstheme="majorHAnsi"/>
        </w:rPr>
      </w:pPr>
      <w:r>
        <w:rPr>
          <w:rFonts w:cstheme="majorHAnsi"/>
        </w:rPr>
        <w:t>Most of the events were mild or moderate severity. Severe events were reported for 4% of the depemokimab group and 9% of the placebo group.</w:t>
      </w:r>
    </w:p>
    <w:p w14:paraId="36D67B76" w14:textId="720D5864" w:rsidR="00FC5AD1" w:rsidRDefault="00FC5AD1" w:rsidP="00101C35">
      <w:pPr>
        <w:rPr>
          <w:rFonts w:cstheme="majorHAnsi"/>
        </w:rPr>
      </w:pPr>
      <w:r>
        <w:rPr>
          <w:rFonts w:cstheme="majorHAnsi"/>
        </w:rPr>
        <w:t xml:space="preserve">Serious adverse events </w:t>
      </w:r>
      <w:r w:rsidR="005D1807">
        <w:rPr>
          <w:rFonts w:cstheme="majorHAnsi"/>
        </w:rPr>
        <w:t xml:space="preserve">(SAEs) </w:t>
      </w:r>
      <w:r>
        <w:rPr>
          <w:rFonts w:cstheme="majorHAnsi"/>
        </w:rPr>
        <w:t>were reported in 3% of the depemokimab group and 6% of the placebo group</w:t>
      </w:r>
      <w:r w:rsidR="00580784">
        <w:rPr>
          <w:rFonts w:cstheme="majorHAnsi"/>
        </w:rPr>
        <w:t>,</w:t>
      </w:r>
      <w:r w:rsidR="00580784" w:rsidRPr="00580784">
        <w:rPr>
          <w:rFonts w:cstheme="majorHAnsi"/>
        </w:rPr>
        <w:t xml:space="preserve"> as summarised </w:t>
      </w:r>
      <w:r w:rsidR="00C72FA3">
        <w:rPr>
          <w:rFonts w:cstheme="majorHAnsi"/>
        </w:rPr>
        <w:t xml:space="preserve">in </w:t>
      </w:r>
      <w:r w:rsidR="00580784" w:rsidRPr="00580784">
        <w:rPr>
          <w:rFonts w:cstheme="majorHAnsi"/>
        </w:rPr>
        <w:t xml:space="preserve">Table </w:t>
      </w:r>
      <w:r w:rsidR="00CB29FF">
        <w:rPr>
          <w:rFonts w:cstheme="majorHAnsi"/>
        </w:rPr>
        <w:t>16</w:t>
      </w:r>
      <w:r w:rsidR="00C72FA3">
        <w:rPr>
          <w:rFonts w:cstheme="majorHAnsi"/>
        </w:rPr>
        <w:t xml:space="preserve"> and Table </w:t>
      </w:r>
      <w:r w:rsidR="00580784" w:rsidRPr="00580784">
        <w:rPr>
          <w:rFonts w:cstheme="majorHAnsi"/>
        </w:rPr>
        <w:t xml:space="preserve">17. </w:t>
      </w:r>
      <w:r>
        <w:rPr>
          <w:rFonts w:cstheme="majorHAnsi"/>
        </w:rPr>
        <w:t xml:space="preserve"> </w:t>
      </w:r>
      <w:r w:rsidRPr="006129F3">
        <w:rPr>
          <w:rFonts w:cstheme="majorHAnsi"/>
        </w:rPr>
        <w:t>None of the SAEs were considered related</w:t>
      </w:r>
      <w:r w:rsidR="00454B2C">
        <w:rPr>
          <w:rFonts w:cstheme="majorHAnsi"/>
        </w:rPr>
        <w:t xml:space="preserve"> t</w:t>
      </w:r>
      <w:r w:rsidR="00D61200">
        <w:rPr>
          <w:rFonts w:cstheme="majorHAnsi"/>
        </w:rPr>
        <w:t>o study treatment</w:t>
      </w:r>
      <w:r w:rsidRPr="006129F3">
        <w:rPr>
          <w:rFonts w:cstheme="majorHAnsi"/>
        </w:rPr>
        <w:t xml:space="preserve">, and there were no fatal events. </w:t>
      </w:r>
    </w:p>
    <w:p w14:paraId="50AF3BB0" w14:textId="04242C6E" w:rsidR="00A46457" w:rsidRDefault="00FC5AD1" w:rsidP="001E46C8">
      <w:pPr>
        <w:pStyle w:val="TableTitle"/>
        <w:rPr>
          <w:noProof/>
        </w:rPr>
      </w:pPr>
      <w:bookmarkStart w:id="119" w:name="_Ref208500397"/>
      <w:bookmarkStart w:id="120" w:name="_Toc209166314"/>
      <w:bookmarkStart w:id="121" w:name="_Toc215565801"/>
      <w:r w:rsidRPr="002405AF">
        <w:lastRenderedPageBreak/>
        <w:t xml:space="preserve">Table </w:t>
      </w:r>
      <w:bookmarkEnd w:id="119"/>
      <w:r w:rsidR="00C62B0D" w:rsidRPr="002405AF">
        <w:t>17</w:t>
      </w:r>
      <w:r w:rsidR="001E46C8" w:rsidRPr="002405AF">
        <w:t>.</w:t>
      </w:r>
      <w:r w:rsidRPr="002405AF">
        <w:t xml:space="preserve"> Pooled on</w:t>
      </w:r>
      <w:r w:rsidRPr="001E46C8">
        <w:t>-treatment SAEs, AESIs, Incidence (CMH-adjusted) RR and Risk Difference</w:t>
      </w:r>
      <w:bookmarkEnd w:id="120"/>
      <w:bookmarkEnd w:id="121"/>
      <w:r w:rsidR="00C62B0D">
        <w:t>.</w:t>
      </w:r>
    </w:p>
    <w:p w14:paraId="5536C3B8" w14:textId="46C50021" w:rsidR="002405AF" w:rsidRDefault="002405AF" w:rsidP="00D97C77">
      <w:r w:rsidRPr="007C3308">
        <w:rPr>
          <w:noProof/>
        </w:rPr>
        <w:drawing>
          <wp:inline distT="0" distB="0" distL="0" distR="0" wp14:anchorId="0EA2CD8E" wp14:editId="74157757">
            <wp:extent cx="5731510" cy="1721485"/>
            <wp:effectExtent l="0" t="0" r="2540" b="0"/>
            <wp:docPr id="1161860352" name="Picture 1" descr="Table 17. Pooled on-treatment SAEs, AESIs, Incidence (CMH-adjusted) RR and Risk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60352" name="Picture 1" descr="Table 17. Pooled on-treatment SAEs, AESIs, Incidence (CMH-adjusted) RR and Risk Difference."/>
                    <pic:cNvPicPr/>
                  </pic:nvPicPr>
                  <pic:blipFill>
                    <a:blip r:embed="rId38"/>
                    <a:stretch>
                      <a:fillRect/>
                    </a:stretch>
                  </pic:blipFill>
                  <pic:spPr>
                    <a:xfrm>
                      <a:off x="0" y="0"/>
                      <a:ext cx="5731510" cy="1721485"/>
                    </a:xfrm>
                    <a:prstGeom prst="rect">
                      <a:avLst/>
                    </a:prstGeom>
                  </pic:spPr>
                </pic:pic>
              </a:graphicData>
            </a:graphic>
          </wp:inline>
        </w:drawing>
      </w:r>
    </w:p>
    <w:p w14:paraId="4FC42E4B" w14:textId="77777777" w:rsidR="00FC5AD1" w:rsidRPr="00C407FE" w:rsidRDefault="00FC5AD1" w:rsidP="00FC5AD1">
      <w:pPr>
        <w:spacing w:after="0" w:line="240" w:lineRule="auto"/>
        <w:rPr>
          <w:rFonts w:cstheme="majorHAnsi"/>
          <w:sz w:val="16"/>
          <w:szCs w:val="16"/>
          <w:lang w:eastAsia="ja-JP"/>
        </w:rPr>
      </w:pPr>
      <w:r w:rsidRPr="00C407FE">
        <w:rPr>
          <w:rFonts w:cstheme="majorHAnsi"/>
          <w:sz w:val="16"/>
          <w:szCs w:val="16"/>
          <w:lang w:eastAsia="ja-JP"/>
        </w:rPr>
        <w:t>AESI=adverse event of special interest; CMH=Cochran-Mantel-Haenszel; non-est=non-estimated; RR=relative risk; SAE=serious adverse event.</w:t>
      </w:r>
    </w:p>
    <w:p w14:paraId="3430DF85" w14:textId="56DA37EE" w:rsidR="00FC5AD1" w:rsidRPr="001E46C8" w:rsidRDefault="00FC5AD1" w:rsidP="001E46C8">
      <w:pPr>
        <w:pStyle w:val="Heading5"/>
      </w:pPr>
      <w:r w:rsidRPr="001E46C8">
        <w:t>Treatment related adverse events (adverse drug reactions)</w:t>
      </w:r>
      <w:bookmarkEnd w:id="112"/>
      <w:bookmarkEnd w:id="113"/>
      <w:bookmarkEnd w:id="114"/>
      <w:bookmarkEnd w:id="115"/>
      <w:bookmarkEnd w:id="116"/>
      <w:bookmarkEnd w:id="117"/>
      <w:bookmarkEnd w:id="118"/>
      <w:r w:rsidR="008A6BD8">
        <w:fldChar w:fldCharType="begin"/>
      </w:r>
      <w:r w:rsidR="008A6BD8">
        <w:instrText xml:space="preserve"> DOCVARIABLE vault_nd_ce71d95e-a2ac-4384-acd9-ec4625f626aa \* MERGEFORMAT </w:instrText>
      </w:r>
      <w:r w:rsidR="008A6BD8">
        <w:fldChar w:fldCharType="separate"/>
      </w:r>
      <w:r w:rsidR="008A6BD8">
        <w:t xml:space="preserve"> </w:t>
      </w:r>
      <w:r w:rsidR="008A6BD8">
        <w:fldChar w:fldCharType="end"/>
      </w:r>
    </w:p>
    <w:p w14:paraId="51FBB6D9" w14:textId="77777777" w:rsidR="00FC5AD1" w:rsidRPr="002F2B0E" w:rsidRDefault="00FC5AD1" w:rsidP="00FC5AD1">
      <w:pPr>
        <w:rPr>
          <w:rFonts w:cstheme="majorHAnsi"/>
          <w:lang w:eastAsia="ja-JP"/>
        </w:rPr>
      </w:pPr>
      <w:bookmarkStart w:id="122" w:name="_Toc241374320"/>
      <w:bookmarkStart w:id="123" w:name="_Ref272333507"/>
      <w:bookmarkStart w:id="124" w:name="_Toc272414666"/>
      <w:bookmarkStart w:id="125" w:name="_Toc290888530"/>
      <w:bookmarkStart w:id="126" w:name="_Toc416353746"/>
      <w:bookmarkStart w:id="127" w:name="_Toc421005289"/>
      <w:bookmarkStart w:id="128" w:name="_Toc432079166"/>
      <w:bookmarkStart w:id="129" w:name="_Toc432080739"/>
      <w:r w:rsidRPr="002F2B0E">
        <w:rPr>
          <w:rFonts w:cstheme="majorHAnsi"/>
          <w:lang w:eastAsia="ja-JP"/>
        </w:rPr>
        <w:t>TRAEs were reported in 6% in the depemokimab group and 4% in the placebo group. No individual PT was reported for ≥1% of participants and there was no apparent pattern based on SOC.</w:t>
      </w:r>
    </w:p>
    <w:p w14:paraId="40A29240" w14:textId="14F2163E" w:rsidR="00FC5AD1" w:rsidRDefault="00FC5AD1" w:rsidP="00FC5AD1">
      <w:pPr>
        <w:rPr>
          <w:rFonts w:cstheme="majorHAnsi"/>
          <w:lang w:eastAsia="ja-JP"/>
        </w:rPr>
      </w:pPr>
      <w:r w:rsidRPr="002F2B0E">
        <w:rPr>
          <w:rFonts w:cstheme="majorHAnsi"/>
          <w:lang w:eastAsia="ja-JP"/>
        </w:rPr>
        <w:t>The most commonly reported TRAEs SOCs (those with ≥10% participants in the depemokimab/placebo groups) were infections/infestations (48%/53%), respiratory, thoracic and mediastinal (24%/26%), musculoskeletal/CT (9%/14%), nervous system (10%/13%), gastrointestinal (12%/10%), injury, poisoning, procedural complications (7%/11%)</w:t>
      </w:r>
      <w:r w:rsidR="00095638">
        <w:rPr>
          <w:rFonts w:cstheme="majorHAnsi"/>
          <w:lang w:eastAsia="ja-JP"/>
        </w:rPr>
        <w:t xml:space="preserve"> (Table 18</w:t>
      </w:r>
      <w:r w:rsidR="00392AB3">
        <w:rPr>
          <w:rFonts w:cstheme="majorHAnsi"/>
          <w:lang w:eastAsia="ja-JP"/>
        </w:rPr>
        <w:t>)</w:t>
      </w:r>
      <w:r w:rsidRPr="002F2B0E">
        <w:rPr>
          <w:rFonts w:cstheme="majorHAnsi"/>
          <w:lang w:eastAsia="ja-JP"/>
        </w:rPr>
        <w:t>.</w:t>
      </w:r>
      <w:r>
        <w:rPr>
          <w:rFonts w:cstheme="majorHAnsi"/>
          <w:lang w:eastAsia="ja-JP"/>
        </w:rPr>
        <w:t xml:space="preserve"> </w:t>
      </w:r>
    </w:p>
    <w:p w14:paraId="37D17EE9" w14:textId="77777777" w:rsidR="00FC5AD1" w:rsidRDefault="00FC5AD1" w:rsidP="00FC5AD1">
      <w:pPr>
        <w:rPr>
          <w:rFonts w:cstheme="majorHAnsi"/>
          <w:lang w:eastAsia="ja-JP"/>
        </w:rPr>
      </w:pPr>
      <w:r>
        <w:rPr>
          <w:rFonts w:cstheme="majorHAnsi"/>
          <w:lang w:eastAsia="ja-JP"/>
        </w:rPr>
        <w:t xml:space="preserve">Five events in three participants in the depemokimab group and 2 events in 2 participants in the placebo group were local injection site reactions that were considered study treatment related. </w:t>
      </w:r>
    </w:p>
    <w:p w14:paraId="22068797" w14:textId="77777777" w:rsidR="00D97C77" w:rsidRDefault="001D2EA4" w:rsidP="00B508A9">
      <w:pPr>
        <w:pStyle w:val="TableTitle"/>
        <w:rPr>
          <w:lang w:eastAsia="ja-JP"/>
        </w:rPr>
      </w:pPr>
      <w:bookmarkStart w:id="130" w:name="_Ref208500312"/>
      <w:bookmarkStart w:id="131" w:name="_Toc209166313"/>
      <w:bookmarkStart w:id="132" w:name="_Toc215565803"/>
      <w:r w:rsidRPr="001D2EA4">
        <w:rPr>
          <w:lang w:eastAsia="ja-JP"/>
        </w:rPr>
        <w:lastRenderedPageBreak/>
        <w:t>Table</w:t>
      </w:r>
      <w:r>
        <w:rPr>
          <w:lang w:eastAsia="ja-JP"/>
        </w:rPr>
        <w:t xml:space="preserve"> 1</w:t>
      </w:r>
      <w:bookmarkEnd w:id="130"/>
      <w:r>
        <w:rPr>
          <w:lang w:eastAsia="ja-JP"/>
        </w:rPr>
        <w:t>8.</w:t>
      </w:r>
      <w:r w:rsidRPr="001D2EA4">
        <w:rPr>
          <w:lang w:eastAsia="ja-JP"/>
        </w:rPr>
        <w:t xml:space="preserve"> Summary of on-treatment drug-related A</w:t>
      </w:r>
      <w:r w:rsidR="008210A8">
        <w:rPr>
          <w:lang w:eastAsia="ja-JP"/>
        </w:rPr>
        <w:t>dverse Events</w:t>
      </w:r>
      <w:r w:rsidRPr="001D2EA4">
        <w:rPr>
          <w:lang w:eastAsia="ja-JP"/>
        </w:rPr>
        <w:t xml:space="preserve"> by SOC and PT (ANCHOR 1+2 pool) </w:t>
      </w:r>
      <w:bookmarkEnd w:id="131"/>
      <w:bookmarkEnd w:id="132"/>
    </w:p>
    <w:p w14:paraId="2817E52C" w14:textId="529F001F" w:rsidR="00FC5AD1" w:rsidRPr="00E65B5C" w:rsidRDefault="001D2EA4" w:rsidP="00FC5AD1">
      <w:pPr>
        <w:rPr>
          <w:rFonts w:cstheme="majorHAnsi"/>
          <w:color w:val="7030A0"/>
          <w:lang w:eastAsia="ja-JP"/>
        </w:rPr>
      </w:pPr>
      <w:r w:rsidRPr="00E65B5C">
        <w:rPr>
          <w:noProof/>
          <w:lang w:eastAsia="ja-JP"/>
        </w:rPr>
        <w:drawing>
          <wp:inline distT="0" distB="0" distL="0" distR="0" wp14:anchorId="51887357" wp14:editId="0E22F1C6">
            <wp:extent cx="5904269" cy="5534025"/>
            <wp:effectExtent l="0" t="0" r="1270" b="0"/>
            <wp:docPr id="1909275580" name="Picture 1" descr="Table 18. Summary of on-treatment drug-related Adverse Events by SOC and PT (ANCHOR 1+2 p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75580" name="Picture 1" descr="Table 18. Summary of on-treatment drug-related Adverse Events by SOC and PT (ANCHOR 1+2 pool) "/>
                    <pic:cNvPicPr/>
                  </pic:nvPicPr>
                  <pic:blipFill>
                    <a:blip r:embed="rId39"/>
                    <a:stretch>
                      <a:fillRect/>
                    </a:stretch>
                  </pic:blipFill>
                  <pic:spPr>
                    <a:xfrm>
                      <a:off x="0" y="0"/>
                      <a:ext cx="5907568" cy="5537117"/>
                    </a:xfrm>
                    <a:prstGeom prst="rect">
                      <a:avLst/>
                    </a:prstGeom>
                  </pic:spPr>
                </pic:pic>
              </a:graphicData>
            </a:graphic>
          </wp:inline>
        </w:drawing>
      </w:r>
      <w:r w:rsidR="00FC5AD1" w:rsidRPr="00E65B5C">
        <w:rPr>
          <w:rFonts w:cstheme="majorHAnsi"/>
          <w:noProof/>
          <w:color w:val="7030A0"/>
          <w:lang w:eastAsia="ja-JP"/>
        </w:rPr>
        <w:drawing>
          <wp:inline distT="0" distB="0" distL="0" distR="0" wp14:anchorId="45ACFCD8" wp14:editId="2F76D1ED">
            <wp:extent cx="5915771" cy="2905821"/>
            <wp:effectExtent l="0" t="0" r="8890" b="8890"/>
            <wp:docPr id="1977706935" name="Picture 1" descr="Table 18. Summary of on-treatment drug-related Adverse Events by SOC and PT (ANCHOR 1+2 p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6935" name="Picture 1" descr="Table 18. Summary of on-treatment drug-related Adverse Events by SOC and PT (ANCHOR 1+2 pool) "/>
                    <pic:cNvPicPr/>
                  </pic:nvPicPr>
                  <pic:blipFill>
                    <a:blip r:embed="rId40"/>
                    <a:stretch>
                      <a:fillRect/>
                    </a:stretch>
                  </pic:blipFill>
                  <pic:spPr>
                    <a:xfrm>
                      <a:off x="0" y="0"/>
                      <a:ext cx="5942679" cy="2919038"/>
                    </a:xfrm>
                    <a:prstGeom prst="rect">
                      <a:avLst/>
                    </a:prstGeom>
                  </pic:spPr>
                </pic:pic>
              </a:graphicData>
            </a:graphic>
          </wp:inline>
        </w:drawing>
      </w:r>
    </w:p>
    <w:p w14:paraId="37BF8826" w14:textId="77777777" w:rsidR="00FC5AD1" w:rsidRPr="006B3E93" w:rsidRDefault="00FC5AD1" w:rsidP="00D97C77">
      <w:pPr>
        <w:pStyle w:val="TableDescription"/>
        <w:rPr>
          <w:lang w:eastAsia="ja-JP"/>
        </w:rPr>
      </w:pPr>
      <w:r w:rsidRPr="006B3E93">
        <w:rPr>
          <w:lang w:eastAsia="ja-JP"/>
        </w:rPr>
        <w:lastRenderedPageBreak/>
        <w:t>Note: Rate is incidence rate per 1000 subject-years, calculated as: (total number of subjects with AE)</w:t>
      </w:r>
      <w:proofErr w:type="gramStart"/>
      <w:r w:rsidRPr="006B3E93">
        <w:rPr>
          <w:lang w:eastAsia="ja-JP"/>
        </w:rPr>
        <w:t>/(</w:t>
      </w:r>
      <w:proofErr w:type="gramEnd"/>
      <w:r w:rsidRPr="006B3E93">
        <w:rPr>
          <w:lang w:eastAsia="ja-JP"/>
        </w:rPr>
        <w:t>total exposure duration/365.</w:t>
      </w:r>
      <w:proofErr w:type="gramStart"/>
      <w:r w:rsidRPr="006B3E93">
        <w:rPr>
          <w:lang w:eastAsia="ja-JP"/>
        </w:rPr>
        <w:t>25)*</w:t>
      </w:r>
      <w:proofErr w:type="gramEnd"/>
      <w:r w:rsidRPr="006B3E93">
        <w:rPr>
          <w:lang w:eastAsia="ja-JP"/>
        </w:rPr>
        <w:t>1000. If an AE belonging to the category being summarised occurs during the exposure period, then that subject's exposure ends at the start of the first occurrence of the AE.</w:t>
      </w:r>
    </w:p>
    <w:p w14:paraId="49D6F85D" w14:textId="102B40FD" w:rsidR="00FC5AD1" w:rsidRPr="001E46C8" w:rsidRDefault="00FC5AD1" w:rsidP="001E46C8">
      <w:pPr>
        <w:pStyle w:val="Heading5"/>
      </w:pPr>
      <w:bookmarkStart w:id="133" w:name="_Toc241374325"/>
      <w:bookmarkStart w:id="134" w:name="_Ref272333477"/>
      <w:bookmarkStart w:id="135" w:name="_Toc272414667"/>
      <w:bookmarkStart w:id="136" w:name="_Toc290888531"/>
      <w:bookmarkStart w:id="137" w:name="_Toc416353747"/>
      <w:bookmarkStart w:id="138" w:name="_Toc421005290"/>
      <w:bookmarkStart w:id="139" w:name="_Toc432079167"/>
      <w:bookmarkStart w:id="140" w:name="_Toc432080740"/>
      <w:bookmarkEnd w:id="122"/>
      <w:bookmarkEnd w:id="123"/>
      <w:bookmarkEnd w:id="124"/>
      <w:bookmarkEnd w:id="125"/>
      <w:bookmarkEnd w:id="126"/>
      <w:bookmarkEnd w:id="127"/>
      <w:bookmarkEnd w:id="128"/>
      <w:bookmarkEnd w:id="129"/>
      <w:r w:rsidRPr="001E46C8">
        <w:t>Discontinuations due to adverse events</w:t>
      </w:r>
      <w:bookmarkEnd w:id="133"/>
      <w:bookmarkEnd w:id="134"/>
      <w:bookmarkEnd w:id="135"/>
      <w:bookmarkEnd w:id="136"/>
      <w:bookmarkEnd w:id="137"/>
      <w:bookmarkEnd w:id="138"/>
      <w:bookmarkEnd w:id="139"/>
      <w:bookmarkEnd w:id="140"/>
      <w:r w:rsidR="008A6BD8">
        <w:fldChar w:fldCharType="begin"/>
      </w:r>
      <w:r w:rsidR="008A6BD8">
        <w:instrText xml:space="preserve"> DOCVARIABLE vault_nd_ab63410b-4e74-49af-9d2f-1350bfed10a7 \* MERGEFORMAT </w:instrText>
      </w:r>
      <w:r w:rsidR="008A6BD8">
        <w:fldChar w:fldCharType="separate"/>
      </w:r>
      <w:r w:rsidR="008A6BD8">
        <w:t xml:space="preserve"> </w:t>
      </w:r>
      <w:r w:rsidR="008A6BD8">
        <w:fldChar w:fldCharType="end"/>
      </w:r>
    </w:p>
    <w:p w14:paraId="127FA29A" w14:textId="37141AA6" w:rsidR="00FC5AD1" w:rsidRDefault="00FC5AD1" w:rsidP="00FC5AD1">
      <w:pPr>
        <w:autoSpaceDE w:val="0"/>
        <w:autoSpaceDN w:val="0"/>
        <w:adjustRightInd w:val="0"/>
        <w:spacing w:after="0" w:line="240" w:lineRule="auto"/>
        <w:rPr>
          <w:rFonts w:cstheme="majorHAnsi"/>
          <w:color w:val="7030A0"/>
        </w:rPr>
      </w:pPr>
      <w:r w:rsidRPr="00487A68">
        <w:rPr>
          <w:rFonts w:cstheme="majorHAnsi"/>
        </w:rPr>
        <w:t xml:space="preserve">None of the depemokimab group and 1% in the placebo group discontinued the study drug due to AEs. </w:t>
      </w:r>
      <w:bookmarkStart w:id="141" w:name="_Toc203460619"/>
      <w:bookmarkStart w:id="142" w:name="_Toc203969102"/>
      <w:bookmarkStart w:id="143" w:name="_Toc241374321"/>
      <w:bookmarkStart w:id="144" w:name="_Ref271044780"/>
      <w:bookmarkStart w:id="145" w:name="_Ref271196640"/>
      <w:bookmarkStart w:id="146" w:name="_Ref272333085"/>
      <w:bookmarkStart w:id="147" w:name="_Toc272414668"/>
      <w:bookmarkStart w:id="148" w:name="_Toc290888532"/>
      <w:bookmarkStart w:id="149" w:name="_Toc416353748"/>
      <w:bookmarkStart w:id="150" w:name="_Toc421005291"/>
      <w:bookmarkStart w:id="151" w:name="_Toc432079168"/>
      <w:bookmarkStart w:id="152" w:name="_Toc432080741"/>
      <w:r>
        <w:rPr>
          <w:rFonts w:cstheme="majorHAnsi"/>
        </w:rPr>
        <w:t>No rebound of symptoms was observed after treatment discontinuation.</w:t>
      </w:r>
    </w:p>
    <w:p w14:paraId="3FCDF9E5" w14:textId="77777777" w:rsidR="00972621" w:rsidRPr="00972621" w:rsidRDefault="00972621" w:rsidP="00972621">
      <w:pPr>
        <w:pStyle w:val="Heading5"/>
        <w:rPr>
          <w:lang w:eastAsia="ja-JP"/>
        </w:rPr>
      </w:pPr>
      <w:bookmarkStart w:id="153" w:name="_Toc272414670"/>
      <w:bookmarkStart w:id="154" w:name="_Toc290888534"/>
      <w:bookmarkStart w:id="155" w:name="_Toc416353750"/>
      <w:bookmarkStart w:id="156" w:name="_Toc421005293"/>
      <w:bookmarkStart w:id="157" w:name="_Toc432079170"/>
      <w:bookmarkStart w:id="158" w:name="_Toc432080743"/>
      <w:bookmarkEnd w:id="141"/>
      <w:bookmarkEnd w:id="142"/>
      <w:bookmarkEnd w:id="143"/>
      <w:bookmarkEnd w:id="144"/>
      <w:bookmarkEnd w:id="145"/>
      <w:bookmarkEnd w:id="146"/>
      <w:bookmarkEnd w:id="147"/>
      <w:bookmarkEnd w:id="148"/>
      <w:bookmarkEnd w:id="149"/>
      <w:bookmarkEnd w:id="150"/>
      <w:bookmarkEnd w:id="151"/>
      <w:bookmarkEnd w:id="152"/>
      <w:r w:rsidRPr="00972621">
        <w:rPr>
          <w:lang w:eastAsia="ja-JP"/>
        </w:rPr>
        <w:t>Laboratory testing results (including vital signs)</w:t>
      </w:r>
    </w:p>
    <w:p w14:paraId="1A77CE29" w14:textId="274ACC33" w:rsidR="00AB217B" w:rsidRDefault="0066443C" w:rsidP="00972621">
      <w:pPr>
        <w:pStyle w:val="Heading6"/>
        <w:rPr>
          <w:lang w:eastAsia="ja-JP"/>
        </w:rPr>
      </w:pPr>
      <w:r>
        <w:rPr>
          <w:lang w:eastAsia="ja-JP"/>
        </w:rPr>
        <w:t xml:space="preserve">Hepatic </w:t>
      </w:r>
      <w:r w:rsidR="00AB217B">
        <w:rPr>
          <w:lang w:eastAsia="ja-JP"/>
        </w:rPr>
        <w:t>e</w:t>
      </w:r>
      <w:r>
        <w:rPr>
          <w:lang w:eastAsia="ja-JP"/>
        </w:rPr>
        <w:t>vents</w:t>
      </w:r>
    </w:p>
    <w:p w14:paraId="649927DD" w14:textId="27CDBA7B" w:rsidR="00FC5AD1" w:rsidRDefault="00FC5AD1" w:rsidP="00FC5AD1">
      <w:pPr>
        <w:rPr>
          <w:rFonts w:cstheme="majorHAnsi"/>
        </w:rPr>
      </w:pPr>
      <w:r w:rsidRPr="001270DD">
        <w:rPr>
          <w:rFonts w:cstheme="majorHAnsi"/>
          <w:lang w:eastAsia="ja-JP"/>
        </w:rPr>
        <w:t>In the</w:t>
      </w:r>
      <w:r w:rsidRPr="001270DD">
        <w:rPr>
          <w:rFonts w:cstheme="majorHAnsi"/>
        </w:rPr>
        <w:t xml:space="preserve"> pooled study no participants met the biochemical Hy’s Law criteria. </w:t>
      </w:r>
      <w:r w:rsidRPr="00D52C07">
        <w:rPr>
          <w:rFonts w:cstheme="majorHAnsi"/>
        </w:rPr>
        <w:t xml:space="preserve">Serum ALT levels (≥3×ULN) were observed in 1.5% of the depemokimab group and 0.8% of the placebo group. </w:t>
      </w:r>
      <w:r>
        <w:rPr>
          <w:rFonts w:cstheme="majorHAnsi"/>
        </w:rPr>
        <w:t>T</w:t>
      </w:r>
      <w:r w:rsidRPr="001270DD">
        <w:rPr>
          <w:rFonts w:cstheme="majorHAnsi"/>
        </w:rPr>
        <w:t>wo participants in the depemokimab group met the protocol-defined liver stopping criteria, 2 from each group required increased liver monitoring, but none</w:t>
      </w:r>
      <w:r>
        <w:rPr>
          <w:rFonts w:cstheme="majorHAnsi"/>
        </w:rPr>
        <w:t xml:space="preserve"> of the events were d</w:t>
      </w:r>
      <w:r w:rsidRPr="001270DD">
        <w:rPr>
          <w:rFonts w:cstheme="majorHAnsi"/>
        </w:rPr>
        <w:t>eemed treatment related.</w:t>
      </w:r>
      <w:r>
        <w:rPr>
          <w:rFonts w:cstheme="majorHAnsi"/>
        </w:rPr>
        <w:t xml:space="preserve"> </w:t>
      </w:r>
      <w:r w:rsidRPr="001270DD">
        <w:rPr>
          <w:rFonts w:cstheme="majorHAnsi"/>
        </w:rPr>
        <w:t xml:space="preserve">One participant met the ALT ≥8×ULN criterion based on local lab results, and another met the ALT ≥5×ULN but &lt;8×ULN criterion without sufficient weekly monitoring. </w:t>
      </w:r>
    </w:p>
    <w:p w14:paraId="629B2D16" w14:textId="26D45D4B" w:rsidR="00FC5AD1" w:rsidRPr="004B7BE2" w:rsidRDefault="00FC5AD1" w:rsidP="009E0A24">
      <w:pPr>
        <w:pStyle w:val="Heading6"/>
      </w:pPr>
      <w:bookmarkStart w:id="159" w:name="_Toc272414675"/>
      <w:bookmarkStart w:id="160" w:name="_Toc290888539"/>
      <w:bookmarkStart w:id="161" w:name="_Toc416353754"/>
      <w:bookmarkStart w:id="162" w:name="_Toc421005297"/>
      <w:bookmarkStart w:id="163" w:name="_Toc432079174"/>
      <w:bookmarkStart w:id="164" w:name="_Toc432080747"/>
      <w:bookmarkEnd w:id="153"/>
      <w:bookmarkEnd w:id="154"/>
      <w:bookmarkEnd w:id="155"/>
      <w:bookmarkEnd w:id="156"/>
      <w:bookmarkEnd w:id="157"/>
      <w:bookmarkEnd w:id="158"/>
      <w:r w:rsidRPr="004B7BE2">
        <w:t>Electrocardiograph</w:t>
      </w:r>
      <w:bookmarkEnd w:id="159"/>
      <w:bookmarkEnd w:id="160"/>
      <w:bookmarkEnd w:id="161"/>
      <w:bookmarkEnd w:id="162"/>
      <w:r w:rsidRPr="004B7BE2">
        <w:t xml:space="preserve"> findings and cardiovascular safety</w:t>
      </w:r>
      <w:bookmarkEnd w:id="163"/>
      <w:bookmarkEnd w:id="164"/>
      <w:r w:rsidR="008A6BD8">
        <w:fldChar w:fldCharType="begin"/>
      </w:r>
      <w:r w:rsidR="008A6BD8">
        <w:instrText xml:space="preserve"> DOCVARIABLE vault_nd_15307436-497b-484e-86a4-c5c0136fffe1 \* MERGEFORMAT </w:instrText>
      </w:r>
      <w:r w:rsidR="008A6BD8">
        <w:fldChar w:fldCharType="separate"/>
      </w:r>
      <w:r w:rsidR="008A6BD8">
        <w:t xml:space="preserve"> </w:t>
      </w:r>
      <w:r w:rsidR="008A6BD8">
        <w:fldChar w:fldCharType="end"/>
      </w:r>
    </w:p>
    <w:p w14:paraId="6E87077F" w14:textId="6D6215D9" w:rsidR="00AF5879" w:rsidRPr="00AF5879" w:rsidRDefault="003A6BEB" w:rsidP="00AF5879">
      <w:bookmarkStart w:id="165" w:name="_Toc272414676"/>
      <w:bookmarkStart w:id="166" w:name="_Toc290888540"/>
      <w:bookmarkStart w:id="167" w:name="_Toc416353755"/>
      <w:bookmarkStart w:id="168" w:name="_Toc421005298"/>
      <w:bookmarkStart w:id="169" w:name="_Toc432079175"/>
      <w:bookmarkStart w:id="170" w:name="_Toc432080748"/>
      <w:r>
        <w:t>A</w:t>
      </w:r>
      <w:r w:rsidR="00320EF5">
        <w:t xml:space="preserve">s </w:t>
      </w:r>
      <w:r>
        <w:t>identified in the A</w:t>
      </w:r>
      <w:r w:rsidR="00320EF5">
        <w:t>NCHOR-1 and ANCHOR-2</w:t>
      </w:r>
      <w:r w:rsidR="0093386C">
        <w:t xml:space="preserve"> studies</w:t>
      </w:r>
      <w:r w:rsidR="00320EF5">
        <w:t xml:space="preserve"> </w:t>
      </w:r>
      <w:r w:rsidR="00B44421">
        <w:t xml:space="preserve">to meet the safety objective, </w:t>
      </w:r>
      <w:r w:rsidR="00320EF5">
        <w:t>m</w:t>
      </w:r>
      <w:r w:rsidR="00FC5AD1" w:rsidRPr="001270DD">
        <w:t xml:space="preserve">ean changes from baseline in ECG parameters, including QTcF, were similar between treatment groups over time. No participants </w:t>
      </w:r>
      <w:r w:rsidR="00FC5AD1">
        <w:t xml:space="preserve">in the depemokimab arm </w:t>
      </w:r>
      <w:r w:rsidR="00FC5AD1" w:rsidRPr="001270DD">
        <w:t xml:space="preserve">exceeded protocol-defined stopping criteria: </w:t>
      </w:r>
      <w:proofErr w:type="spellStart"/>
      <w:r w:rsidR="00FC5AD1" w:rsidRPr="001270DD">
        <w:t>QTcF</w:t>
      </w:r>
      <w:proofErr w:type="spellEnd"/>
      <w:r w:rsidR="00FC5AD1" w:rsidRPr="001270DD">
        <w:t xml:space="preserve"> &gt;500 </w:t>
      </w:r>
      <w:proofErr w:type="spellStart"/>
      <w:r w:rsidR="00FC5AD1" w:rsidRPr="001270DD">
        <w:t>ms</w:t>
      </w:r>
      <w:proofErr w:type="spellEnd"/>
      <w:r w:rsidR="00FC5AD1" w:rsidRPr="001270DD">
        <w:t xml:space="preserve"> or uncorrected QTc &gt;600 </w:t>
      </w:r>
      <w:proofErr w:type="spellStart"/>
      <w:r w:rsidR="00FC5AD1" w:rsidRPr="001270DD">
        <w:t>ms</w:t>
      </w:r>
      <w:proofErr w:type="spellEnd"/>
      <w:r w:rsidR="00FC5AD1" w:rsidRPr="001270DD">
        <w:t xml:space="preserve">. </w:t>
      </w:r>
      <w:r w:rsidR="00AF5879" w:rsidRPr="00AF5879">
        <w:t xml:space="preserve">Maximum QTcF increases from baseline were ≤30 </w:t>
      </w:r>
      <w:proofErr w:type="spellStart"/>
      <w:r w:rsidR="00AF5879" w:rsidRPr="00AF5879">
        <w:t>ms</w:t>
      </w:r>
      <w:proofErr w:type="spellEnd"/>
      <w:r w:rsidR="00AF5879" w:rsidRPr="00AF5879">
        <w:t xml:space="preserve"> for most participants (72% in depemokimab group, 67% in placebo). </w:t>
      </w:r>
    </w:p>
    <w:p w14:paraId="230D2AA4" w14:textId="77777777" w:rsidR="006E3FDD" w:rsidRPr="006E3FDD" w:rsidRDefault="00FC5AD1" w:rsidP="006E3FDD">
      <w:r w:rsidRPr="001270DD">
        <w:t xml:space="preserve">The MedDRA SMQ Broad “Torsade de pointes/QT Prolongation” AEs reported in 2 participants (&lt;1%) in the placebo group were deemed </w:t>
      </w:r>
      <w:r>
        <w:t xml:space="preserve">unrelated to the </w:t>
      </w:r>
      <w:r w:rsidRPr="001270DD">
        <w:t xml:space="preserve">study treatment.  </w:t>
      </w:r>
      <w:r w:rsidR="006E3FDD" w:rsidRPr="006E3FDD">
        <w:t>No notable differences were seen between treatment groups in ECG parameters over time (QTc, heart rate, QRS duration, PR interval).</w:t>
      </w:r>
    </w:p>
    <w:p w14:paraId="6A06C474" w14:textId="53F2885D" w:rsidR="00FC5AD1" w:rsidRPr="00D05843" w:rsidRDefault="00FC5AD1" w:rsidP="009E0A24">
      <w:pPr>
        <w:pStyle w:val="Heading6"/>
      </w:pPr>
      <w:bookmarkStart w:id="171" w:name="_Toc432079176"/>
      <w:bookmarkStart w:id="172" w:name="_Toc432080749"/>
      <w:bookmarkEnd w:id="165"/>
      <w:bookmarkEnd w:id="166"/>
      <w:bookmarkEnd w:id="167"/>
      <w:bookmarkEnd w:id="168"/>
      <w:bookmarkEnd w:id="169"/>
      <w:bookmarkEnd w:id="170"/>
      <w:r w:rsidRPr="00D05843">
        <w:t>Immunogenicity and immunological events</w:t>
      </w:r>
      <w:bookmarkEnd w:id="171"/>
      <w:bookmarkEnd w:id="172"/>
      <w:r w:rsidR="008A6BD8">
        <w:fldChar w:fldCharType="begin"/>
      </w:r>
      <w:r w:rsidR="008A6BD8">
        <w:instrText xml:space="preserve"> DOCVARIABLE vault_nd_2efe9d59-ea02-499c-8bdd-a5ebc8aa53ae \* MERGEFORMAT </w:instrText>
      </w:r>
      <w:r w:rsidR="008A6BD8">
        <w:fldChar w:fldCharType="separate"/>
      </w:r>
      <w:r w:rsidR="008A6BD8">
        <w:t xml:space="preserve"> </w:t>
      </w:r>
      <w:r w:rsidR="008A6BD8">
        <w:fldChar w:fldCharType="end"/>
      </w:r>
    </w:p>
    <w:p w14:paraId="20AB9658" w14:textId="77777777" w:rsidR="00FC5AD1" w:rsidRPr="00D05843" w:rsidRDefault="00FC5AD1" w:rsidP="00524FA2">
      <w:bookmarkStart w:id="173" w:name="_Toc432079177"/>
      <w:bookmarkStart w:id="174" w:name="_Toc432080750"/>
      <w:r>
        <w:t xml:space="preserve">No participants were reported to have a Type I hypersensitivity or anaphylactic reaction. One participant had a fixed drug eruption considered related to the treatment. </w:t>
      </w:r>
      <w:r w:rsidRPr="00D05843">
        <w:t>Similar on-treatment AEs were reported for participants with or without anti-drug antibodies (ADA), and no impact of immunogenicity on safety. Of the 272 participants with a post-baseline ADA assay result in the depemokimab group:</w:t>
      </w:r>
    </w:p>
    <w:p w14:paraId="71B37FA3" w14:textId="77777777" w:rsidR="00FC5AD1" w:rsidRPr="00D05843" w:rsidRDefault="00FC5AD1" w:rsidP="00917496">
      <w:pPr>
        <w:pStyle w:val="ListBullet"/>
      </w:pPr>
      <w:r w:rsidRPr="00D05843">
        <w:t>21 participants were ADA-positive and 15 (71%) had ≥ 1 AE.</w:t>
      </w:r>
    </w:p>
    <w:p w14:paraId="0E348FF9" w14:textId="77777777" w:rsidR="00FC5AD1" w:rsidRPr="00D05843" w:rsidRDefault="00FC5AD1" w:rsidP="00917496">
      <w:pPr>
        <w:pStyle w:val="ListBullet"/>
      </w:pPr>
      <w:r w:rsidRPr="00D05843">
        <w:t>251 were ADA-negative and 188 (75%) had ≥ 1 AE.</w:t>
      </w:r>
    </w:p>
    <w:p w14:paraId="14B52E5E" w14:textId="6318C70A" w:rsidR="00FC5AD1" w:rsidRPr="00D05843" w:rsidRDefault="00FC5AD1" w:rsidP="00524FA2">
      <w:r w:rsidRPr="00D05843">
        <w:t>The most frequently reported SOC was Infections and infestations, with AEs being</w:t>
      </w:r>
      <w:r w:rsidR="00524FA2">
        <w:t xml:space="preserve"> </w:t>
      </w:r>
      <w:r w:rsidRPr="00D05843">
        <w:t>reported more by a greater proportion of ADA-positive participants (62%, 13/21) than ADA-negative participants (47%, 117/251).  The most common AEs overall (≥10% participants in either ADA category) by PT are summarised in</w:t>
      </w:r>
      <w:r w:rsidR="00524FA2">
        <w:t xml:space="preserve"> Table 19</w:t>
      </w:r>
      <w:r w:rsidRPr="00D05843">
        <w:t>, below.</w:t>
      </w:r>
    </w:p>
    <w:p w14:paraId="460981FE" w14:textId="5D445B22" w:rsidR="00FC5AD1" w:rsidRPr="00D05843" w:rsidRDefault="00FC5AD1" w:rsidP="00FC5AD1">
      <w:pPr>
        <w:pStyle w:val="TableTitle"/>
        <w:rPr>
          <w:rFonts w:cstheme="majorHAnsi"/>
        </w:rPr>
      </w:pPr>
      <w:bookmarkStart w:id="175" w:name="_Ref215058867"/>
      <w:bookmarkStart w:id="176" w:name="_Toc215565805"/>
      <w:r w:rsidRPr="00D05843">
        <w:t>Table</w:t>
      </w:r>
      <w:bookmarkEnd w:id="175"/>
      <w:r w:rsidR="00524FA2">
        <w:t xml:space="preserve"> 19.</w:t>
      </w:r>
      <w:r w:rsidRPr="00D05843">
        <w:t xml:space="preserve"> Most common AEs related to ADA class</w:t>
      </w:r>
      <w:bookmarkEnd w:id="176"/>
      <w:r w:rsidR="00524FA2">
        <w:t>.</w:t>
      </w:r>
    </w:p>
    <w:tbl>
      <w:tblPr>
        <w:tblStyle w:val="TableGrid"/>
        <w:tblW w:w="0" w:type="auto"/>
        <w:tblLook w:val="04A0" w:firstRow="1" w:lastRow="0" w:firstColumn="1" w:lastColumn="0" w:noHBand="0" w:noVBand="1"/>
      </w:tblPr>
      <w:tblGrid>
        <w:gridCol w:w="3529"/>
        <w:gridCol w:w="2052"/>
        <w:gridCol w:w="2337"/>
      </w:tblGrid>
      <w:tr w:rsidR="00FC5AD1" w:rsidRPr="00D05843" w14:paraId="6C9A5BBC" w14:textId="77777777" w:rsidTr="00D97C77">
        <w:trPr>
          <w:tblHeader/>
        </w:trPr>
        <w:tc>
          <w:tcPr>
            <w:tcW w:w="3529" w:type="dxa"/>
            <w:vAlign w:val="center"/>
          </w:tcPr>
          <w:p w14:paraId="75CCD4AC" w14:textId="77777777" w:rsidR="00FC5AD1" w:rsidRPr="00D05843" w:rsidRDefault="00FC5AD1">
            <w:pPr>
              <w:autoSpaceDE w:val="0"/>
              <w:autoSpaceDN w:val="0"/>
              <w:adjustRightInd w:val="0"/>
              <w:rPr>
                <w:rFonts w:ascii="Segoe UI Symbol" w:hAnsi="Segoe UI Symbol" w:cstheme="majorHAnsi"/>
                <w:b/>
                <w:bCs/>
              </w:rPr>
            </w:pPr>
            <w:r w:rsidRPr="00D05843">
              <w:rPr>
                <w:rFonts w:ascii="Segoe UI Symbol" w:hAnsi="Segoe UI Symbol" w:cstheme="majorHAnsi"/>
                <w:b/>
              </w:rPr>
              <w:t>SOC</w:t>
            </w:r>
          </w:p>
        </w:tc>
        <w:tc>
          <w:tcPr>
            <w:tcW w:w="2052" w:type="dxa"/>
            <w:vAlign w:val="center"/>
          </w:tcPr>
          <w:p w14:paraId="4E07BDCC" w14:textId="77777777" w:rsidR="00FC5AD1" w:rsidRPr="00D05843" w:rsidRDefault="00FC5AD1">
            <w:pPr>
              <w:autoSpaceDE w:val="0"/>
              <w:autoSpaceDN w:val="0"/>
              <w:adjustRightInd w:val="0"/>
              <w:rPr>
                <w:rFonts w:ascii="Segoe UI Symbol" w:hAnsi="Segoe UI Symbol" w:cstheme="majorHAnsi"/>
                <w:b/>
                <w:bCs/>
                <w:szCs w:val="22"/>
              </w:rPr>
            </w:pPr>
            <w:r w:rsidRPr="00D05843">
              <w:rPr>
                <w:rFonts w:ascii="Segoe UI Symbol" w:hAnsi="Segoe UI Symbol" w:cstheme="majorHAnsi"/>
                <w:b/>
                <w:szCs w:val="22"/>
              </w:rPr>
              <w:t>ADA-positive (%)</w:t>
            </w:r>
          </w:p>
        </w:tc>
        <w:tc>
          <w:tcPr>
            <w:tcW w:w="2337" w:type="dxa"/>
            <w:vAlign w:val="center"/>
          </w:tcPr>
          <w:p w14:paraId="1A0929EE" w14:textId="77777777" w:rsidR="00FC5AD1" w:rsidRPr="00D05843" w:rsidRDefault="00FC5AD1">
            <w:pPr>
              <w:autoSpaceDE w:val="0"/>
              <w:autoSpaceDN w:val="0"/>
              <w:adjustRightInd w:val="0"/>
              <w:rPr>
                <w:rFonts w:ascii="Segoe UI Symbol" w:hAnsi="Segoe UI Symbol" w:cstheme="majorHAnsi"/>
                <w:b/>
                <w:bCs/>
                <w:szCs w:val="22"/>
              </w:rPr>
            </w:pPr>
            <w:r w:rsidRPr="00D05843">
              <w:rPr>
                <w:rFonts w:ascii="Segoe UI Symbol" w:hAnsi="Segoe UI Symbol" w:cstheme="majorHAnsi"/>
                <w:b/>
                <w:szCs w:val="22"/>
              </w:rPr>
              <w:t>ADA-negative (%)</w:t>
            </w:r>
          </w:p>
        </w:tc>
      </w:tr>
      <w:tr w:rsidR="00FC5AD1" w:rsidRPr="00D05843" w14:paraId="31734589" w14:textId="77777777">
        <w:tc>
          <w:tcPr>
            <w:tcW w:w="3529" w:type="dxa"/>
            <w:vAlign w:val="center"/>
          </w:tcPr>
          <w:p w14:paraId="78BE380D"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Upper respiratory tract infection</w:t>
            </w:r>
          </w:p>
        </w:tc>
        <w:tc>
          <w:tcPr>
            <w:tcW w:w="2052" w:type="dxa"/>
            <w:vAlign w:val="center"/>
          </w:tcPr>
          <w:p w14:paraId="34793532" w14:textId="77777777" w:rsidR="00FC5AD1" w:rsidRPr="00D05843" w:rsidRDefault="00FC5AD1">
            <w:pPr>
              <w:autoSpaceDE w:val="0"/>
              <w:autoSpaceDN w:val="0"/>
              <w:adjustRightInd w:val="0"/>
              <w:rPr>
                <w:rFonts w:ascii="Calibri" w:hAnsi="Calibri" w:cs="Calibri"/>
              </w:rPr>
            </w:pPr>
            <w:r w:rsidRPr="00D05843">
              <w:rPr>
                <w:rFonts w:ascii="Calibri" w:hAnsi="Calibri" w:cs="Calibri"/>
              </w:rPr>
              <w:t>29</w:t>
            </w:r>
          </w:p>
        </w:tc>
        <w:tc>
          <w:tcPr>
            <w:tcW w:w="2337" w:type="dxa"/>
            <w:vAlign w:val="center"/>
          </w:tcPr>
          <w:p w14:paraId="28FA9D5A" w14:textId="77777777" w:rsidR="00FC5AD1" w:rsidRPr="00D05843" w:rsidRDefault="00FC5AD1">
            <w:pPr>
              <w:autoSpaceDE w:val="0"/>
              <w:autoSpaceDN w:val="0"/>
              <w:adjustRightInd w:val="0"/>
              <w:rPr>
                <w:rFonts w:ascii="Calibri" w:hAnsi="Calibri" w:cs="Calibri"/>
              </w:rPr>
            </w:pPr>
            <w:r w:rsidRPr="00D05843">
              <w:rPr>
                <w:rFonts w:ascii="Calibri" w:hAnsi="Calibri" w:cs="Calibri"/>
              </w:rPr>
              <w:t>9</w:t>
            </w:r>
          </w:p>
        </w:tc>
      </w:tr>
      <w:tr w:rsidR="00FC5AD1" w:rsidRPr="00D05843" w14:paraId="7C917F80" w14:textId="77777777">
        <w:tc>
          <w:tcPr>
            <w:tcW w:w="3529" w:type="dxa"/>
            <w:vAlign w:val="center"/>
          </w:tcPr>
          <w:p w14:paraId="2E3F6952"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Nasopharyngitis</w:t>
            </w:r>
          </w:p>
        </w:tc>
        <w:tc>
          <w:tcPr>
            <w:tcW w:w="2052" w:type="dxa"/>
            <w:vAlign w:val="center"/>
          </w:tcPr>
          <w:p w14:paraId="51B82C61"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218B6AEB"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19</w:t>
            </w:r>
          </w:p>
        </w:tc>
      </w:tr>
      <w:tr w:rsidR="00FC5AD1" w:rsidRPr="00D05843" w14:paraId="16343F81" w14:textId="77777777">
        <w:tc>
          <w:tcPr>
            <w:tcW w:w="3529" w:type="dxa"/>
            <w:vAlign w:val="center"/>
          </w:tcPr>
          <w:p w14:paraId="74D5524D"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Diarrhea</w:t>
            </w:r>
          </w:p>
        </w:tc>
        <w:tc>
          <w:tcPr>
            <w:tcW w:w="2052" w:type="dxa"/>
            <w:vAlign w:val="center"/>
          </w:tcPr>
          <w:p w14:paraId="36C3371B"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14</w:t>
            </w:r>
          </w:p>
        </w:tc>
        <w:tc>
          <w:tcPr>
            <w:tcW w:w="2337" w:type="dxa"/>
            <w:vAlign w:val="center"/>
          </w:tcPr>
          <w:p w14:paraId="7A25C645" w14:textId="77777777" w:rsidR="00FC5AD1" w:rsidRPr="00D05843" w:rsidRDefault="00FC5AD1">
            <w:pPr>
              <w:autoSpaceDE w:val="0"/>
              <w:autoSpaceDN w:val="0"/>
              <w:adjustRightInd w:val="0"/>
              <w:rPr>
                <w:rFonts w:ascii="Calibri" w:hAnsi="Calibri" w:cs="Calibri"/>
              </w:rPr>
            </w:pPr>
            <w:r w:rsidRPr="00D05843">
              <w:rPr>
                <w:rFonts w:ascii="Calibri" w:hAnsi="Calibri" w:cs="Calibri"/>
              </w:rPr>
              <w:t>2</w:t>
            </w:r>
          </w:p>
        </w:tc>
      </w:tr>
      <w:tr w:rsidR="00FC5AD1" w:rsidRPr="00D05843" w14:paraId="143D37C4" w14:textId="77777777">
        <w:tc>
          <w:tcPr>
            <w:tcW w:w="3529" w:type="dxa"/>
            <w:vAlign w:val="center"/>
          </w:tcPr>
          <w:p w14:paraId="6D74E3D8"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Bronchitis</w:t>
            </w:r>
          </w:p>
        </w:tc>
        <w:tc>
          <w:tcPr>
            <w:tcW w:w="2052" w:type="dxa"/>
            <w:vAlign w:val="center"/>
          </w:tcPr>
          <w:p w14:paraId="3855C736"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4DC83244" w14:textId="77777777" w:rsidR="00FC5AD1" w:rsidRPr="00D05843" w:rsidRDefault="00FC5AD1">
            <w:pPr>
              <w:autoSpaceDE w:val="0"/>
              <w:autoSpaceDN w:val="0"/>
              <w:adjustRightInd w:val="0"/>
              <w:rPr>
                <w:rFonts w:ascii="Calibri" w:hAnsi="Calibri" w:cs="Calibri"/>
              </w:rPr>
            </w:pPr>
            <w:r w:rsidRPr="00D05843">
              <w:rPr>
                <w:rFonts w:ascii="Calibri" w:hAnsi="Calibri" w:cs="Calibri"/>
              </w:rPr>
              <w:t>3</w:t>
            </w:r>
          </w:p>
        </w:tc>
      </w:tr>
      <w:tr w:rsidR="00FC5AD1" w:rsidRPr="00D05843" w14:paraId="42544E0C" w14:textId="77777777">
        <w:tc>
          <w:tcPr>
            <w:tcW w:w="3529" w:type="dxa"/>
            <w:vAlign w:val="center"/>
          </w:tcPr>
          <w:p w14:paraId="0B91249C"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Epistaxis</w:t>
            </w:r>
          </w:p>
        </w:tc>
        <w:tc>
          <w:tcPr>
            <w:tcW w:w="2052" w:type="dxa"/>
            <w:vAlign w:val="center"/>
          </w:tcPr>
          <w:p w14:paraId="5A36364F"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6CCE5308" w14:textId="77777777" w:rsidR="00FC5AD1" w:rsidRPr="00D05843" w:rsidRDefault="00FC5AD1">
            <w:pPr>
              <w:autoSpaceDE w:val="0"/>
              <w:autoSpaceDN w:val="0"/>
              <w:adjustRightInd w:val="0"/>
              <w:rPr>
                <w:rFonts w:ascii="Calibri" w:hAnsi="Calibri" w:cs="Calibri"/>
              </w:rPr>
            </w:pPr>
            <w:r w:rsidRPr="00D05843">
              <w:rPr>
                <w:rFonts w:ascii="Calibri" w:hAnsi="Calibri" w:cs="Calibri"/>
              </w:rPr>
              <w:t>4</w:t>
            </w:r>
          </w:p>
        </w:tc>
      </w:tr>
      <w:tr w:rsidR="00FC5AD1" w:rsidRPr="00D05843" w14:paraId="0464518F" w14:textId="77777777">
        <w:tc>
          <w:tcPr>
            <w:tcW w:w="3529" w:type="dxa"/>
            <w:vAlign w:val="center"/>
          </w:tcPr>
          <w:p w14:paraId="3742EAD1"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lastRenderedPageBreak/>
              <w:t>Cough</w:t>
            </w:r>
          </w:p>
        </w:tc>
        <w:tc>
          <w:tcPr>
            <w:tcW w:w="2052" w:type="dxa"/>
            <w:vAlign w:val="center"/>
          </w:tcPr>
          <w:p w14:paraId="1D372035"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66DB4148" w14:textId="77777777" w:rsidR="00FC5AD1" w:rsidRPr="00D05843" w:rsidRDefault="00FC5AD1">
            <w:pPr>
              <w:autoSpaceDE w:val="0"/>
              <w:autoSpaceDN w:val="0"/>
              <w:adjustRightInd w:val="0"/>
              <w:rPr>
                <w:rFonts w:ascii="Calibri" w:hAnsi="Calibri" w:cs="Calibri"/>
              </w:rPr>
            </w:pPr>
            <w:r w:rsidRPr="00D05843">
              <w:rPr>
                <w:rFonts w:ascii="Calibri" w:hAnsi="Calibri" w:cs="Calibri"/>
              </w:rPr>
              <w:t>2</w:t>
            </w:r>
          </w:p>
        </w:tc>
      </w:tr>
      <w:tr w:rsidR="00FC5AD1" w:rsidRPr="00D05843" w14:paraId="4C8DE481" w14:textId="77777777">
        <w:tc>
          <w:tcPr>
            <w:tcW w:w="3529" w:type="dxa"/>
            <w:vAlign w:val="center"/>
          </w:tcPr>
          <w:p w14:paraId="17998BBB" w14:textId="77777777" w:rsidR="00FC5AD1" w:rsidRPr="00D05843" w:rsidRDefault="00FC5AD1">
            <w:pPr>
              <w:autoSpaceDE w:val="0"/>
              <w:autoSpaceDN w:val="0"/>
              <w:adjustRightInd w:val="0"/>
              <w:rPr>
                <w:rFonts w:ascii="Calibri" w:hAnsi="Calibri" w:cs="Calibri"/>
                <w:b/>
                <w:bCs/>
                <w:szCs w:val="22"/>
              </w:rPr>
            </w:pPr>
            <w:r w:rsidRPr="00D05843">
              <w:rPr>
                <w:rFonts w:ascii="Calibri" w:hAnsi="Calibri" w:cs="Calibri"/>
                <w:b/>
                <w:szCs w:val="22"/>
              </w:rPr>
              <w:t>Pyrexia</w:t>
            </w:r>
          </w:p>
        </w:tc>
        <w:tc>
          <w:tcPr>
            <w:tcW w:w="2052" w:type="dxa"/>
            <w:vAlign w:val="center"/>
          </w:tcPr>
          <w:p w14:paraId="789241EC"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1DF7F565"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w:t>
            </w:r>
          </w:p>
        </w:tc>
      </w:tr>
      <w:tr w:rsidR="00FC5AD1" w:rsidRPr="00D05843" w14:paraId="506BE55B" w14:textId="77777777">
        <w:tc>
          <w:tcPr>
            <w:tcW w:w="3529" w:type="dxa"/>
            <w:vAlign w:val="center"/>
          </w:tcPr>
          <w:p w14:paraId="7A840745" w14:textId="77777777" w:rsidR="00FC5AD1" w:rsidRPr="00D05843" w:rsidRDefault="00FC5AD1">
            <w:pPr>
              <w:autoSpaceDE w:val="0"/>
              <w:autoSpaceDN w:val="0"/>
              <w:adjustRightInd w:val="0"/>
              <w:rPr>
                <w:rFonts w:ascii="Calibri" w:hAnsi="Calibri" w:cs="Calibri"/>
                <w:b/>
                <w:bCs/>
              </w:rPr>
            </w:pPr>
            <w:r w:rsidRPr="00D05843">
              <w:rPr>
                <w:rFonts w:ascii="Calibri" w:hAnsi="Calibri" w:cs="Calibri"/>
                <w:b/>
                <w:szCs w:val="22"/>
              </w:rPr>
              <w:t>Oropharyngeal pain</w:t>
            </w:r>
          </w:p>
        </w:tc>
        <w:tc>
          <w:tcPr>
            <w:tcW w:w="2052" w:type="dxa"/>
            <w:vAlign w:val="center"/>
          </w:tcPr>
          <w:p w14:paraId="3617DD2D" w14:textId="77777777" w:rsidR="00FC5AD1" w:rsidRPr="00D05843" w:rsidRDefault="00FC5AD1">
            <w:pPr>
              <w:autoSpaceDE w:val="0"/>
              <w:autoSpaceDN w:val="0"/>
              <w:adjustRightInd w:val="0"/>
              <w:rPr>
                <w:rFonts w:ascii="Calibri" w:hAnsi="Calibri" w:cs="Calibri"/>
              </w:rPr>
            </w:pPr>
            <w:r w:rsidRPr="00D05843">
              <w:rPr>
                <w:rFonts w:ascii="Calibri" w:hAnsi="Calibri" w:cs="Calibri"/>
              </w:rPr>
              <w:t>10</w:t>
            </w:r>
          </w:p>
        </w:tc>
        <w:tc>
          <w:tcPr>
            <w:tcW w:w="2337" w:type="dxa"/>
            <w:vAlign w:val="center"/>
          </w:tcPr>
          <w:p w14:paraId="4C8CCB9B" w14:textId="77777777" w:rsidR="00FC5AD1" w:rsidRPr="00D05843" w:rsidRDefault="00FC5AD1">
            <w:pPr>
              <w:autoSpaceDE w:val="0"/>
              <w:autoSpaceDN w:val="0"/>
              <w:adjustRightInd w:val="0"/>
              <w:rPr>
                <w:rFonts w:ascii="Calibri" w:hAnsi="Calibri" w:cs="Calibri"/>
              </w:rPr>
            </w:pPr>
            <w:r w:rsidRPr="00D05843">
              <w:rPr>
                <w:rFonts w:ascii="Calibri" w:hAnsi="Calibri" w:cs="Calibri"/>
              </w:rPr>
              <w:t>2</w:t>
            </w:r>
          </w:p>
        </w:tc>
      </w:tr>
    </w:tbl>
    <w:p w14:paraId="17002C9E" w14:textId="3A090B9D" w:rsidR="00FC5AD1" w:rsidRPr="009E0A24" w:rsidRDefault="00FC5AD1" w:rsidP="009E0A24">
      <w:pPr>
        <w:pStyle w:val="Heading5"/>
      </w:pPr>
      <w:bookmarkStart w:id="177" w:name="_Toc233817471"/>
      <w:bookmarkEnd w:id="173"/>
      <w:bookmarkEnd w:id="174"/>
      <w:r w:rsidRPr="009E0A24">
        <w:t>Other (e.g. companion diagnostic considerations, drug delivery device)</w:t>
      </w:r>
      <w:bookmarkEnd w:id="177"/>
      <w:r w:rsidR="008A6BD8" w:rsidRPr="009E0A24">
        <w:fldChar w:fldCharType="begin"/>
      </w:r>
      <w:r w:rsidR="008A6BD8" w:rsidRPr="009E0A24">
        <w:instrText xml:space="preserve"> DOCVARIABLE vault_nd_7711f14d-259b-4bfc-a5d5-f6fe97c9379d \* MERGEFORMAT </w:instrText>
      </w:r>
      <w:r w:rsidR="008A6BD8" w:rsidRPr="009E0A24">
        <w:fldChar w:fldCharType="separate"/>
      </w:r>
      <w:r w:rsidR="008A6BD8" w:rsidRPr="009E0A24">
        <w:t xml:space="preserve"> </w:t>
      </w:r>
      <w:r w:rsidR="008A6BD8" w:rsidRPr="009E0A24">
        <w:fldChar w:fldCharType="end"/>
      </w:r>
    </w:p>
    <w:p w14:paraId="7CBC6962" w14:textId="59EF1DB1" w:rsidR="00FC5AD1" w:rsidRDefault="00FC5AD1" w:rsidP="00FC5AD1">
      <w:r>
        <w:t xml:space="preserve">No companion diagnostics were assessed or required for patient selection in this study series. Real World Evidence or </w:t>
      </w:r>
      <w:r w:rsidR="00B87552">
        <w:t>Real-World</w:t>
      </w:r>
      <w:r>
        <w:t xml:space="preserve"> Data were not included in the submission. Patient reported outcomes were included in the dossier to support efficacy and are described in the relevant sections of this document. </w:t>
      </w:r>
    </w:p>
    <w:p w14:paraId="1698DDC9" w14:textId="77777777" w:rsidR="00E730FA" w:rsidRPr="009E0A24" w:rsidRDefault="00E730FA" w:rsidP="009E0A24">
      <w:pPr>
        <w:pStyle w:val="Heading6"/>
      </w:pPr>
      <w:bookmarkStart w:id="178" w:name="_Toc233817470"/>
      <w:r w:rsidRPr="009E0A24">
        <w:t>Pregnancy outcomes</w:t>
      </w:r>
      <w:bookmarkEnd w:id="178"/>
      <w:r w:rsidRPr="009E0A24">
        <w:fldChar w:fldCharType="begin"/>
      </w:r>
      <w:r w:rsidRPr="009E0A24">
        <w:instrText xml:space="preserve"> DOCVARIABLE vault_nd_b27bdb3f-bbae-44fe-bdec-c76e8c3bf84c \* MERGEFORMAT </w:instrText>
      </w:r>
      <w:r w:rsidRPr="009E0A24">
        <w:fldChar w:fldCharType="separate"/>
      </w:r>
      <w:r w:rsidRPr="009E0A24">
        <w:t xml:space="preserve"> </w:t>
      </w:r>
      <w:r w:rsidRPr="009E0A24">
        <w:fldChar w:fldCharType="end"/>
      </w:r>
    </w:p>
    <w:p w14:paraId="018137E6" w14:textId="77777777" w:rsidR="00E730FA" w:rsidRPr="00E730FA" w:rsidRDefault="00E730FA" w:rsidP="00E730FA">
      <w:r w:rsidRPr="00E730FA">
        <w:t>Seven pregnancies of the total 11 pregnancies reported in the data set were reported in participants receiving depemokimab. Of these the outcomes were 1 live birth, 2 elective terminations, 1 spontaneous abortion at ≤ 22 weeks gestation, 2 reports of spontaneous abortion within approximately 1 month and one ongoing pregnancy. No congenital anomalies were reported. The partner of a male participant reported a live birth without apparent congenital anomaly.</w:t>
      </w:r>
    </w:p>
    <w:p w14:paraId="2858B006" w14:textId="15B95FC7" w:rsidR="00C22214" w:rsidRDefault="00C22214" w:rsidP="00C22214">
      <w:pPr>
        <w:pStyle w:val="Heading3"/>
        <w:rPr>
          <w:lang w:eastAsia="en-AU"/>
        </w:rPr>
      </w:pPr>
      <w:bookmarkStart w:id="179" w:name="_Toc103679298"/>
      <w:bookmarkStart w:id="180" w:name="_Toc241481384"/>
      <w:r>
        <w:rPr>
          <w:lang w:eastAsia="en-AU"/>
        </w:rPr>
        <w:t>Risk management plan</w:t>
      </w:r>
      <w:bookmarkEnd w:id="108"/>
      <w:bookmarkEnd w:id="179"/>
      <w:bookmarkEnd w:id="180"/>
      <w:r w:rsidR="008A6BD8">
        <w:rPr>
          <w:lang w:eastAsia="en-AU"/>
        </w:rPr>
        <w:fldChar w:fldCharType="begin"/>
      </w:r>
      <w:r w:rsidR="008A6BD8">
        <w:rPr>
          <w:lang w:eastAsia="en-AU"/>
        </w:rPr>
        <w:instrText xml:space="preserve"> DOCVARIABLE vault_nd_a9ded5c9-0587-4ad4-8c60-4eca1282919b \* MERGEFORMAT </w:instrText>
      </w:r>
      <w:r w:rsidR="008A6BD8">
        <w:rPr>
          <w:lang w:eastAsia="en-AU"/>
        </w:rPr>
        <w:fldChar w:fldCharType="separate"/>
      </w:r>
      <w:r w:rsidR="008A6BD8">
        <w:rPr>
          <w:lang w:eastAsia="en-AU"/>
        </w:rPr>
        <w:t xml:space="preserve"> </w:t>
      </w:r>
      <w:r w:rsidR="008A6BD8">
        <w:rPr>
          <w:lang w:eastAsia="en-AU"/>
        </w:rPr>
        <w:fldChar w:fldCharType="end"/>
      </w:r>
    </w:p>
    <w:p w14:paraId="06464E6E" w14:textId="523B9758" w:rsidR="00F11452" w:rsidRDefault="00F11452" w:rsidP="001F2DC3">
      <w:pPr>
        <w:rPr>
          <w:szCs w:val="22"/>
        </w:rPr>
      </w:pPr>
      <w:bookmarkStart w:id="181" w:name="_Toc247691531"/>
      <w:bookmarkStart w:id="182" w:name="_Toc314842515"/>
      <w:r w:rsidRPr="00F11452">
        <w:rPr>
          <w:szCs w:val="22"/>
        </w:rPr>
        <w:t>The submitted RMP covers both proposed indications in the submission.</w:t>
      </w:r>
    </w:p>
    <w:p w14:paraId="6D3F1A8A" w14:textId="1E7B966B" w:rsidR="001F2DC3" w:rsidRPr="001F2DC3" w:rsidRDefault="001F2DC3" w:rsidP="001F2DC3">
      <w:pPr>
        <w:rPr>
          <w:szCs w:val="22"/>
        </w:rPr>
      </w:pPr>
      <w:r w:rsidRPr="001F2DC3">
        <w:rPr>
          <w:szCs w:val="22"/>
        </w:rPr>
        <w:t xml:space="preserve">The RMP evaluator evaluated EU-RMP version 0.1 (dated 16 December 2024; DLP 20 September 2024) and ASA version 1.0 (dated 04 April 2025) </w:t>
      </w:r>
      <w:bookmarkStart w:id="183" w:name="_Hlk219114751"/>
      <w:r w:rsidRPr="001F2DC3">
        <w:rPr>
          <w:szCs w:val="22"/>
        </w:rPr>
        <w:t xml:space="preserve">and EU-RMP version 1.0 (dated 04 December 2025; DLP 20 September 2024) associated with an ASA version 1.1 (dated 19 December 2025). </w:t>
      </w:r>
      <w:bookmarkEnd w:id="183"/>
      <w:r w:rsidRPr="001F2DC3">
        <w:rPr>
          <w:szCs w:val="22"/>
        </w:rPr>
        <w:t>The evaluator has accepted the most recent versions of each of these documents.</w:t>
      </w:r>
    </w:p>
    <w:p w14:paraId="39F3CD1D" w14:textId="287DDF81" w:rsidR="0072003B" w:rsidRPr="00BD5DBD" w:rsidRDefault="00C22214" w:rsidP="00C22214">
      <w:pPr>
        <w:rPr>
          <w:szCs w:val="22"/>
        </w:rPr>
      </w:pPr>
      <w:r w:rsidRPr="00BD5DBD">
        <w:rPr>
          <w:szCs w:val="22"/>
        </w:rPr>
        <w:t>The summary of safety concerns and their associated risk monitoring and mitigation strategies are summarised in</w:t>
      </w:r>
      <w:r w:rsidR="003B149C">
        <w:rPr>
          <w:szCs w:val="22"/>
        </w:rPr>
        <w:t xml:space="preserve"> </w:t>
      </w:r>
      <w:r w:rsidR="003B149C" w:rsidRPr="003B149C">
        <w:rPr>
          <w:szCs w:val="22"/>
        </w:rPr>
        <w:fldChar w:fldCharType="begin"/>
      </w:r>
      <w:r w:rsidR="003B149C" w:rsidRPr="003B149C">
        <w:rPr>
          <w:szCs w:val="22"/>
        </w:rPr>
        <w:instrText xml:space="preserve"> REF _Ref97629131 \h </w:instrText>
      </w:r>
      <w:r w:rsidR="003B149C">
        <w:rPr>
          <w:szCs w:val="22"/>
        </w:rPr>
        <w:instrText xml:space="preserve"> \* MERGEFORMAT </w:instrText>
      </w:r>
      <w:r w:rsidR="003B149C" w:rsidRPr="003B149C">
        <w:rPr>
          <w:szCs w:val="22"/>
        </w:rPr>
      </w:r>
      <w:r w:rsidR="003B149C" w:rsidRPr="003B149C">
        <w:rPr>
          <w:szCs w:val="22"/>
        </w:rPr>
        <w:fldChar w:fldCharType="separate"/>
      </w:r>
      <w:r w:rsidR="008B1CB5" w:rsidRPr="008B1CB5">
        <w:rPr>
          <w:szCs w:val="22"/>
        </w:rPr>
        <w:t xml:space="preserve">Table </w:t>
      </w:r>
      <w:r w:rsidR="003B149C" w:rsidRPr="003B149C">
        <w:rPr>
          <w:szCs w:val="22"/>
        </w:rPr>
        <w:fldChar w:fldCharType="end"/>
      </w:r>
      <w:r w:rsidR="00381EA9">
        <w:rPr>
          <w:szCs w:val="22"/>
        </w:rPr>
        <w:t>20</w:t>
      </w:r>
      <w:r w:rsidR="008C49C6" w:rsidRPr="003B149C">
        <w:rPr>
          <w:szCs w:val="22"/>
        </w:rPr>
        <w:t>.</w:t>
      </w:r>
      <w:r w:rsidR="0072003B" w:rsidRPr="00BD5DBD">
        <w:rPr>
          <w:szCs w:val="22"/>
        </w:rPr>
        <w:t xml:space="preserve"> </w:t>
      </w:r>
    </w:p>
    <w:p w14:paraId="56B51A93" w14:textId="55E2064A" w:rsidR="006A277A" w:rsidRDefault="00C22214" w:rsidP="00C22214">
      <w:pPr>
        <w:pStyle w:val="TableTitle"/>
      </w:pPr>
      <w:bookmarkStart w:id="184" w:name="_Ref97629131"/>
      <w:r>
        <w:t>Table</w:t>
      </w:r>
      <w:bookmarkEnd w:id="184"/>
      <w:r w:rsidR="00381EA9">
        <w:t xml:space="preserve"> 20.</w:t>
      </w:r>
      <w:r>
        <w:t xml:space="preserve"> Summary of safety concerns</w:t>
      </w:r>
      <w:r w:rsidR="009C7D7F">
        <w:t xml:space="preserve"> for Exdensur</w:t>
      </w:r>
      <w:r w:rsidR="00381EA9">
        <w:t>.</w:t>
      </w:r>
    </w:p>
    <w:tbl>
      <w:tblPr>
        <w:tblStyle w:val="TableTGAblue2023"/>
        <w:tblW w:w="9067" w:type="dxa"/>
        <w:tblLayout w:type="fixed"/>
        <w:tblLook w:val="04A0" w:firstRow="1" w:lastRow="0" w:firstColumn="1" w:lastColumn="0" w:noHBand="0" w:noVBand="1"/>
      </w:tblPr>
      <w:tblGrid>
        <w:gridCol w:w="2263"/>
        <w:gridCol w:w="1560"/>
        <w:gridCol w:w="1275"/>
        <w:gridCol w:w="1418"/>
        <w:gridCol w:w="1134"/>
        <w:gridCol w:w="1417"/>
      </w:tblGrid>
      <w:tr w:rsidR="00127A74" w:rsidRPr="007A1992" w14:paraId="359A0C59" w14:textId="77777777" w:rsidTr="002C1815">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823" w:type="dxa"/>
            <w:gridSpan w:val="2"/>
            <w:vMerge w:val="restart"/>
          </w:tcPr>
          <w:p w14:paraId="24B1F090" w14:textId="77777777" w:rsidR="00127A74" w:rsidRPr="00127A74" w:rsidRDefault="00127A74" w:rsidP="00127A74">
            <w:r w:rsidRPr="00127A74">
              <w:t>Summary of safety concerns</w:t>
            </w:r>
          </w:p>
        </w:tc>
        <w:tc>
          <w:tcPr>
            <w:tcW w:w="2693" w:type="dxa"/>
            <w:gridSpan w:val="2"/>
          </w:tcPr>
          <w:p w14:paraId="596694C9"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Pharmacovigilance</w:t>
            </w:r>
          </w:p>
        </w:tc>
        <w:tc>
          <w:tcPr>
            <w:tcW w:w="2551" w:type="dxa"/>
            <w:gridSpan w:val="2"/>
          </w:tcPr>
          <w:p w14:paraId="4F66CB82"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Risk minimisation</w:t>
            </w:r>
          </w:p>
        </w:tc>
      </w:tr>
      <w:tr w:rsidR="00127A74" w:rsidRPr="007A1992" w14:paraId="12411E68" w14:textId="77777777" w:rsidTr="002C1815">
        <w:trPr>
          <w:trHeight w:val="150"/>
        </w:trPr>
        <w:tc>
          <w:tcPr>
            <w:cnfStyle w:val="001000000000" w:firstRow="0" w:lastRow="0" w:firstColumn="1" w:lastColumn="0" w:oddVBand="0" w:evenVBand="0" w:oddHBand="0" w:evenHBand="0" w:firstRowFirstColumn="0" w:firstRowLastColumn="0" w:lastRowFirstColumn="0" w:lastRowLastColumn="0"/>
            <w:tcW w:w="3823" w:type="dxa"/>
            <w:gridSpan w:val="2"/>
            <w:vMerge/>
          </w:tcPr>
          <w:p w14:paraId="71D88F2A" w14:textId="77777777" w:rsidR="00127A74" w:rsidRPr="00127A74" w:rsidRDefault="00127A74" w:rsidP="00127A74"/>
        </w:tc>
        <w:tc>
          <w:tcPr>
            <w:tcW w:w="1275" w:type="dxa"/>
            <w:shd w:val="clear" w:color="auto" w:fill="DEEAF6"/>
          </w:tcPr>
          <w:p w14:paraId="1BF9407C"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8" w:type="dxa"/>
            <w:shd w:val="clear" w:color="auto" w:fill="DEEAF6"/>
          </w:tcPr>
          <w:p w14:paraId="442BA332"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c>
          <w:tcPr>
            <w:tcW w:w="1134" w:type="dxa"/>
            <w:shd w:val="clear" w:color="auto" w:fill="DEEAF6"/>
          </w:tcPr>
          <w:p w14:paraId="5920A04F"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7" w:type="dxa"/>
            <w:shd w:val="clear" w:color="auto" w:fill="DEEAF6"/>
          </w:tcPr>
          <w:p w14:paraId="53B2ED29"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r>
      <w:tr w:rsidR="00127A74" w:rsidRPr="007A1992" w14:paraId="05599231" w14:textId="77777777" w:rsidTr="002C1815">
        <w:trPr>
          <w:trHeight w:val="137"/>
        </w:trPr>
        <w:tc>
          <w:tcPr>
            <w:cnfStyle w:val="001000000000" w:firstRow="0" w:lastRow="0" w:firstColumn="1" w:lastColumn="0" w:oddVBand="0" w:evenVBand="0" w:oddHBand="0" w:evenHBand="0" w:firstRowFirstColumn="0" w:firstRowLastColumn="0" w:lastRowFirstColumn="0" w:lastRowLastColumn="0"/>
            <w:tcW w:w="2263" w:type="dxa"/>
          </w:tcPr>
          <w:p w14:paraId="67382D75" w14:textId="77777777" w:rsidR="00127A74" w:rsidRPr="00127A74" w:rsidRDefault="00127A74" w:rsidP="00127A74">
            <w:pPr>
              <w:rPr>
                <w:b/>
                <w:bCs/>
              </w:rPr>
            </w:pPr>
            <w:r w:rsidRPr="00127A74">
              <w:rPr>
                <w:b/>
                <w:bCs/>
              </w:rPr>
              <w:t>Important identified risks</w:t>
            </w:r>
          </w:p>
        </w:tc>
        <w:tc>
          <w:tcPr>
            <w:tcW w:w="1560" w:type="dxa"/>
          </w:tcPr>
          <w:p w14:paraId="7134CBC0" w14:textId="38E115EE" w:rsidR="00127A74" w:rsidRPr="00127A74" w:rsidRDefault="002C2EDB" w:rsidP="00127A74">
            <w:pPr>
              <w:cnfStyle w:val="000000000000" w:firstRow="0" w:lastRow="0" w:firstColumn="0" w:lastColumn="0" w:oddVBand="0" w:evenVBand="0" w:oddHBand="0" w:evenHBand="0" w:firstRowFirstColumn="0" w:firstRowLastColumn="0" w:lastRowFirstColumn="0" w:lastRowLastColumn="0"/>
            </w:pPr>
            <w:r>
              <w:t>None</w:t>
            </w:r>
          </w:p>
        </w:tc>
        <w:tc>
          <w:tcPr>
            <w:tcW w:w="1275" w:type="dxa"/>
          </w:tcPr>
          <w:p w14:paraId="11797452" w14:textId="2E132214"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418" w:type="dxa"/>
          </w:tcPr>
          <w:p w14:paraId="7B703318" w14:textId="2F0F3235"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134" w:type="dxa"/>
          </w:tcPr>
          <w:p w14:paraId="1A652099" w14:textId="7505E608"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417" w:type="dxa"/>
          </w:tcPr>
          <w:p w14:paraId="34A0513E" w14:textId="7E56A562"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r>
      <w:tr w:rsidR="00127A74" w:rsidRPr="007A1992" w14:paraId="176B93B3" w14:textId="77777777" w:rsidTr="002C1815">
        <w:trPr>
          <w:trHeight w:val="159"/>
        </w:trPr>
        <w:tc>
          <w:tcPr>
            <w:cnfStyle w:val="001000000000" w:firstRow="0" w:lastRow="0" w:firstColumn="1" w:lastColumn="0" w:oddVBand="0" w:evenVBand="0" w:oddHBand="0" w:evenHBand="0" w:firstRowFirstColumn="0" w:firstRowLastColumn="0" w:lastRowFirstColumn="0" w:lastRowLastColumn="0"/>
            <w:tcW w:w="2263" w:type="dxa"/>
          </w:tcPr>
          <w:p w14:paraId="77F0DB3E" w14:textId="77777777" w:rsidR="00127A74" w:rsidRPr="00127A74" w:rsidRDefault="00127A74" w:rsidP="00127A74">
            <w:pPr>
              <w:rPr>
                <w:b/>
                <w:bCs/>
              </w:rPr>
            </w:pPr>
            <w:r w:rsidRPr="00127A74">
              <w:rPr>
                <w:b/>
                <w:bCs/>
              </w:rPr>
              <w:t>Important potential risks</w:t>
            </w:r>
          </w:p>
        </w:tc>
        <w:tc>
          <w:tcPr>
            <w:tcW w:w="1560" w:type="dxa"/>
          </w:tcPr>
          <w:p w14:paraId="6E17E14A" w14:textId="3148B2D8" w:rsidR="00127A74" w:rsidRPr="00127A74" w:rsidRDefault="002C2EDB" w:rsidP="00127A74">
            <w:pPr>
              <w:cnfStyle w:val="000000000000" w:firstRow="0" w:lastRow="0" w:firstColumn="0" w:lastColumn="0" w:oddVBand="0" w:evenVBand="0" w:oddHBand="0" w:evenHBand="0" w:firstRowFirstColumn="0" w:firstRowLastColumn="0" w:lastRowFirstColumn="0" w:lastRowLastColumn="0"/>
            </w:pPr>
            <w:r>
              <w:t>None</w:t>
            </w:r>
          </w:p>
        </w:tc>
        <w:tc>
          <w:tcPr>
            <w:tcW w:w="1275" w:type="dxa"/>
          </w:tcPr>
          <w:p w14:paraId="252AD92F" w14:textId="4D01C4EF"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418" w:type="dxa"/>
          </w:tcPr>
          <w:p w14:paraId="77DA98F1" w14:textId="57ECF511"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134" w:type="dxa"/>
          </w:tcPr>
          <w:p w14:paraId="182A5096" w14:textId="38826AC3"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c>
          <w:tcPr>
            <w:tcW w:w="1417" w:type="dxa"/>
          </w:tcPr>
          <w:p w14:paraId="2A6247DC" w14:textId="7E468FA8" w:rsidR="00127A74" w:rsidRPr="00127A74" w:rsidRDefault="002C2EDB" w:rsidP="002C2EDB">
            <w:pPr>
              <w:jc w:val="center"/>
              <w:cnfStyle w:val="000000000000" w:firstRow="0" w:lastRow="0" w:firstColumn="0" w:lastColumn="0" w:oddVBand="0" w:evenVBand="0" w:oddHBand="0" w:evenHBand="0" w:firstRowFirstColumn="0" w:firstRowLastColumn="0" w:lastRowFirstColumn="0" w:lastRowLastColumn="0"/>
            </w:pPr>
            <w:r>
              <w:t>-</w:t>
            </w:r>
          </w:p>
        </w:tc>
      </w:tr>
      <w:tr w:rsidR="00127A74" w:rsidRPr="007A1992" w14:paraId="74C5E610" w14:textId="77777777" w:rsidTr="002C1815">
        <w:trPr>
          <w:trHeight w:val="178"/>
        </w:trPr>
        <w:tc>
          <w:tcPr>
            <w:cnfStyle w:val="001000000000" w:firstRow="0" w:lastRow="0" w:firstColumn="1" w:lastColumn="0" w:oddVBand="0" w:evenVBand="0" w:oddHBand="0" w:evenHBand="0" w:firstRowFirstColumn="0" w:firstRowLastColumn="0" w:lastRowFirstColumn="0" w:lastRowLastColumn="0"/>
            <w:tcW w:w="2263" w:type="dxa"/>
          </w:tcPr>
          <w:p w14:paraId="262C65E3" w14:textId="77777777" w:rsidR="00127A74" w:rsidRPr="00127A74" w:rsidRDefault="00127A74" w:rsidP="00127A74">
            <w:pPr>
              <w:rPr>
                <w:b/>
                <w:bCs/>
              </w:rPr>
            </w:pPr>
            <w:r w:rsidRPr="00127A74">
              <w:rPr>
                <w:b/>
                <w:bCs/>
              </w:rPr>
              <w:t>Missing information</w:t>
            </w:r>
          </w:p>
        </w:tc>
        <w:tc>
          <w:tcPr>
            <w:tcW w:w="1560" w:type="dxa"/>
          </w:tcPr>
          <w:p w14:paraId="104D79CD" w14:textId="69E4ECBE" w:rsidR="00127A74" w:rsidRPr="00127A74" w:rsidRDefault="00361A35" w:rsidP="00127A74">
            <w:pPr>
              <w:cnfStyle w:val="000000000000" w:firstRow="0" w:lastRow="0" w:firstColumn="0" w:lastColumn="0" w:oddVBand="0" w:evenVBand="0" w:oddHBand="0" w:evenHBand="0" w:firstRowFirstColumn="0" w:firstRowLastColumn="0" w:lastRowFirstColumn="0" w:lastRowLastColumn="0"/>
            </w:pPr>
            <w:r w:rsidRPr="00361A35">
              <w:t>Use in pregnant patients</w:t>
            </w:r>
          </w:p>
        </w:tc>
        <w:tc>
          <w:tcPr>
            <w:tcW w:w="1275" w:type="dxa"/>
          </w:tcPr>
          <w:p w14:paraId="017A432B" w14:textId="77777777" w:rsidR="00BF0E7F" w:rsidRDefault="00BF0E7F" w:rsidP="002C1815">
            <w:pPr>
              <w:jc w:val="center"/>
              <w:cnfStyle w:val="000000000000" w:firstRow="0" w:lastRow="0" w:firstColumn="0" w:lastColumn="0" w:oddVBand="0" w:evenVBand="0" w:oddHBand="0" w:evenHBand="0" w:firstRowFirstColumn="0" w:firstRowLastColumn="0" w:lastRowFirstColumn="0" w:lastRowLastColumn="0"/>
            </w:pPr>
          </w:p>
          <w:p w14:paraId="07467A21" w14:textId="4879BDFC" w:rsidR="00127A74" w:rsidRPr="00127A74" w:rsidRDefault="002C1815" w:rsidP="002C1815">
            <w:pPr>
              <w:jc w:val="center"/>
              <w:cnfStyle w:val="000000000000" w:firstRow="0" w:lastRow="0" w:firstColumn="0" w:lastColumn="0" w:oddVBand="0" w:evenVBand="0" w:oddHBand="0" w:evenHBand="0" w:firstRowFirstColumn="0" w:firstRowLastColumn="0" w:lastRowFirstColumn="0" w:lastRowLastColumn="0"/>
            </w:pPr>
            <w:r w:rsidRPr="005007D6">
              <w:rPr>
                <w:rFonts w:ascii="Wingdings" w:eastAsia="Wingdings" w:hAnsi="Wingdings" w:cs="Wingdings"/>
              </w:rPr>
              <w:t>ü</w:t>
            </w:r>
          </w:p>
        </w:tc>
        <w:tc>
          <w:tcPr>
            <w:tcW w:w="1418" w:type="dxa"/>
          </w:tcPr>
          <w:p w14:paraId="31D61E4F" w14:textId="77777777" w:rsidR="00BF0E7F" w:rsidRDefault="00BF0E7F" w:rsidP="002C1815">
            <w:pPr>
              <w:jc w:val="center"/>
              <w:cnfStyle w:val="000000000000" w:firstRow="0" w:lastRow="0" w:firstColumn="0" w:lastColumn="0" w:oddVBand="0" w:evenVBand="0" w:oddHBand="0" w:evenHBand="0" w:firstRowFirstColumn="0" w:firstRowLastColumn="0" w:lastRowFirstColumn="0" w:lastRowLastColumn="0"/>
            </w:pPr>
          </w:p>
          <w:p w14:paraId="35C7F07F" w14:textId="4A6F7B33" w:rsidR="00127A74" w:rsidRPr="00127A74" w:rsidRDefault="002C1815" w:rsidP="002C1815">
            <w:pPr>
              <w:jc w:val="center"/>
              <w:cnfStyle w:val="000000000000" w:firstRow="0" w:lastRow="0" w:firstColumn="0" w:lastColumn="0" w:oddVBand="0" w:evenVBand="0" w:oddHBand="0" w:evenHBand="0" w:firstRowFirstColumn="0" w:firstRowLastColumn="0" w:lastRowFirstColumn="0" w:lastRowLastColumn="0"/>
            </w:pPr>
            <w:r>
              <w:t>-</w:t>
            </w:r>
          </w:p>
        </w:tc>
        <w:tc>
          <w:tcPr>
            <w:tcW w:w="1134" w:type="dxa"/>
          </w:tcPr>
          <w:p w14:paraId="320D39DF" w14:textId="77777777" w:rsidR="00BF0E7F" w:rsidRDefault="00BF0E7F" w:rsidP="002C1815">
            <w:pPr>
              <w:jc w:val="center"/>
              <w:cnfStyle w:val="000000000000" w:firstRow="0" w:lastRow="0" w:firstColumn="0" w:lastColumn="0" w:oddVBand="0" w:evenVBand="0" w:oddHBand="0" w:evenHBand="0" w:firstRowFirstColumn="0" w:firstRowLastColumn="0" w:lastRowFirstColumn="0" w:lastRowLastColumn="0"/>
            </w:pPr>
          </w:p>
          <w:p w14:paraId="52620DEE" w14:textId="7E558646" w:rsidR="00127A74" w:rsidRPr="00127A74" w:rsidRDefault="002C1815" w:rsidP="002C1815">
            <w:pPr>
              <w:jc w:val="center"/>
              <w:cnfStyle w:val="000000000000" w:firstRow="0" w:lastRow="0" w:firstColumn="0" w:lastColumn="0" w:oddVBand="0" w:evenVBand="0" w:oddHBand="0" w:evenHBand="0" w:firstRowFirstColumn="0" w:firstRowLastColumn="0" w:lastRowFirstColumn="0" w:lastRowLastColumn="0"/>
            </w:pPr>
            <w:r w:rsidRPr="005007D6">
              <w:rPr>
                <w:rFonts w:ascii="Wingdings" w:eastAsia="Wingdings" w:hAnsi="Wingdings" w:cs="Wingdings"/>
              </w:rPr>
              <w:t>ü</w:t>
            </w:r>
          </w:p>
        </w:tc>
        <w:tc>
          <w:tcPr>
            <w:tcW w:w="1417" w:type="dxa"/>
          </w:tcPr>
          <w:p w14:paraId="6B85E02A" w14:textId="77777777" w:rsidR="00BF0E7F" w:rsidRDefault="00BF0E7F" w:rsidP="002C1815">
            <w:pPr>
              <w:jc w:val="center"/>
              <w:cnfStyle w:val="000000000000" w:firstRow="0" w:lastRow="0" w:firstColumn="0" w:lastColumn="0" w:oddVBand="0" w:evenVBand="0" w:oddHBand="0" w:evenHBand="0" w:firstRowFirstColumn="0" w:firstRowLastColumn="0" w:lastRowFirstColumn="0" w:lastRowLastColumn="0"/>
            </w:pPr>
          </w:p>
          <w:p w14:paraId="16BD3C7B" w14:textId="4071DF07" w:rsidR="00127A74" w:rsidRPr="00127A74" w:rsidRDefault="002C1815" w:rsidP="002C1815">
            <w:pPr>
              <w:jc w:val="center"/>
              <w:cnfStyle w:val="000000000000" w:firstRow="0" w:lastRow="0" w:firstColumn="0" w:lastColumn="0" w:oddVBand="0" w:evenVBand="0" w:oddHBand="0" w:evenHBand="0" w:firstRowFirstColumn="0" w:firstRowLastColumn="0" w:lastRowFirstColumn="0" w:lastRowLastColumn="0"/>
            </w:pPr>
            <w:r>
              <w:t>-</w:t>
            </w:r>
          </w:p>
        </w:tc>
      </w:tr>
    </w:tbl>
    <w:p w14:paraId="57496BB5" w14:textId="77777777" w:rsidR="00706612" w:rsidRPr="00706612" w:rsidRDefault="00706612" w:rsidP="00706612">
      <w:pPr>
        <w:rPr>
          <w:iCs/>
        </w:rPr>
      </w:pPr>
      <w:r w:rsidRPr="00706612">
        <w:rPr>
          <w:iCs/>
        </w:rPr>
        <w:t>The RMP evaluator was not satisfied with all the safety information in the Exdensur PI and has referred several alignments with the Exdensur SmPC for inclusion in the decision-making phase.</w:t>
      </w:r>
    </w:p>
    <w:p w14:paraId="16E5DFAA" w14:textId="77170501" w:rsidR="00032A0F" w:rsidRDefault="00032A0F" w:rsidP="003B149C">
      <w:pPr>
        <w:rPr>
          <w:rFonts w:eastAsia="Cambria" w:cs="Times New Roman"/>
          <w:i/>
          <w:color w:val="007099"/>
          <w:szCs w:val="22"/>
        </w:rPr>
      </w:pPr>
      <w:r>
        <w:t xml:space="preserve">The RMP evaluation recommended conditions of registration relating to the versions of the risk management plan, requirement for periodic safety update reports, and inclusion of the medicine </w:t>
      </w:r>
      <w:r w:rsidRPr="002B3581">
        <w:t>in the Black Triangle Scheme.</w:t>
      </w:r>
      <w:r w:rsidRPr="00663544">
        <w:rPr>
          <w:rFonts w:eastAsia="Cambria" w:cs="Times New Roman"/>
          <w:i/>
          <w:color w:val="007099"/>
          <w:szCs w:val="22"/>
        </w:rPr>
        <w:t xml:space="preserve"> </w:t>
      </w:r>
    </w:p>
    <w:p w14:paraId="456C7934" w14:textId="0EE61E49" w:rsidR="00FA1BC9" w:rsidRDefault="00FA1BC9" w:rsidP="00FA1BC9">
      <w:pPr>
        <w:rPr>
          <w:szCs w:val="22"/>
        </w:rPr>
      </w:pPr>
      <w:bookmarkStart w:id="185" w:name="_Toc103679299"/>
      <w:r w:rsidRPr="00BD5DBD">
        <w:rPr>
          <w:szCs w:val="22"/>
        </w:rPr>
        <w:t xml:space="preserve">The TGA may request an updated RMP at any stage of a product's </w:t>
      </w:r>
      <w:r w:rsidR="0034008A" w:rsidRPr="00BD5DBD">
        <w:rPr>
          <w:szCs w:val="22"/>
        </w:rPr>
        <w:t>life cycle</w:t>
      </w:r>
      <w:r w:rsidRPr="00BD5DBD">
        <w:rPr>
          <w:szCs w:val="22"/>
        </w:rPr>
        <w:t xml:space="preserve">, during both the pre-approval and post-approval phases. Further information regarding the TGA’s risk management </w:t>
      </w:r>
      <w:r w:rsidRPr="00BD5DBD">
        <w:rPr>
          <w:szCs w:val="22"/>
        </w:rPr>
        <w:lastRenderedPageBreak/>
        <w:t xml:space="preserve">approach can be found in </w:t>
      </w:r>
      <w:hyperlink r:id="rId41" w:history="1">
        <w:r w:rsidRPr="00BD5DBD">
          <w:rPr>
            <w:rStyle w:val="Hyperlink"/>
            <w:szCs w:val="22"/>
          </w:rPr>
          <w:t>risk management plans for medicines and biologicals</w:t>
        </w:r>
      </w:hyperlink>
      <w:r w:rsidRPr="00BD5DBD">
        <w:rPr>
          <w:szCs w:val="22"/>
        </w:rPr>
        <w:t xml:space="preserve"> and </w:t>
      </w:r>
      <w:hyperlink r:id="rId42" w:history="1">
        <w:r w:rsidRPr="00BD5DBD">
          <w:rPr>
            <w:rStyle w:val="Hyperlink"/>
            <w:szCs w:val="22"/>
          </w:rPr>
          <w:t>the TGA's risk management approach</w:t>
        </w:r>
      </w:hyperlink>
      <w:r w:rsidRPr="00BD5DBD">
        <w:rPr>
          <w:szCs w:val="22"/>
        </w:rPr>
        <w:t xml:space="preserve">. Information on the </w:t>
      </w:r>
      <w:hyperlink r:id="rId43" w:history="1">
        <w:r w:rsidRPr="00BD5DBD">
          <w:rPr>
            <w:rStyle w:val="Hyperlink"/>
            <w:szCs w:val="22"/>
          </w:rPr>
          <w:t>Australia</w:t>
        </w:r>
        <w:r w:rsidR="00C57CEA">
          <w:rPr>
            <w:rStyle w:val="Hyperlink"/>
            <w:szCs w:val="22"/>
          </w:rPr>
          <w:t>-</w:t>
        </w:r>
        <w:r w:rsidRPr="00BD5DBD">
          <w:rPr>
            <w:rStyle w:val="Hyperlink"/>
            <w:szCs w:val="22"/>
          </w:rPr>
          <w:t>specific annex</w:t>
        </w:r>
      </w:hyperlink>
      <w:r w:rsidRPr="00BD5DBD">
        <w:rPr>
          <w:szCs w:val="22"/>
        </w:rPr>
        <w:t xml:space="preserve"> (</w:t>
      </w:r>
      <w:hyperlink r:id="rId44" w:history="1">
        <w:r w:rsidRPr="00BD5DBD">
          <w:rPr>
            <w:rStyle w:val="Hyperlink"/>
            <w:szCs w:val="22"/>
          </w:rPr>
          <w:t>ASA</w:t>
        </w:r>
      </w:hyperlink>
      <w:r w:rsidRPr="00BD5DBD">
        <w:rPr>
          <w:szCs w:val="22"/>
        </w:rPr>
        <w:t>) can be found on the TGA website.</w:t>
      </w:r>
    </w:p>
    <w:p w14:paraId="74A4F87F" w14:textId="3DE2DB9E" w:rsidR="00C22214" w:rsidRDefault="00C22214" w:rsidP="00C22214">
      <w:pPr>
        <w:pStyle w:val="Heading3"/>
      </w:pPr>
      <w:bookmarkStart w:id="186" w:name="_Toc241481385"/>
      <w:r>
        <w:t>Risk-benefit analysis</w:t>
      </w:r>
      <w:bookmarkEnd w:id="181"/>
      <w:bookmarkEnd w:id="182"/>
      <w:bookmarkEnd w:id="185"/>
      <w:bookmarkEnd w:id="186"/>
      <w:r w:rsidR="008A6BD8">
        <w:fldChar w:fldCharType="begin"/>
      </w:r>
      <w:r w:rsidR="008A6BD8">
        <w:instrText xml:space="preserve"> DOCVARIABLE vault_nd_9e007853-6c1f-45ca-ae0b-dac86d3f42cd \* MERGEFORMAT </w:instrText>
      </w:r>
      <w:r w:rsidR="008A6BD8">
        <w:fldChar w:fldCharType="separate"/>
      </w:r>
      <w:r w:rsidR="008A6BD8">
        <w:t xml:space="preserve"> </w:t>
      </w:r>
      <w:r w:rsidR="008A6BD8">
        <w:fldChar w:fldCharType="end"/>
      </w:r>
    </w:p>
    <w:p w14:paraId="77DE2655" w14:textId="2E40E55A" w:rsidR="00C22214" w:rsidRDefault="00C22214" w:rsidP="00C22214">
      <w:pPr>
        <w:pStyle w:val="Heading4"/>
      </w:pPr>
      <w:bookmarkStart w:id="187" w:name="_Toc98931932"/>
      <w:bookmarkStart w:id="188" w:name="_Toc241481386"/>
      <w:r>
        <w:t>Delegate’s considerations</w:t>
      </w:r>
      <w:bookmarkEnd w:id="187"/>
      <w:r w:rsidR="00BC0E7E">
        <w:t xml:space="preserve"> - Asthma</w:t>
      </w:r>
      <w:bookmarkEnd w:id="188"/>
      <w:r w:rsidR="008A6BD8">
        <w:fldChar w:fldCharType="begin"/>
      </w:r>
      <w:r w:rsidR="008A6BD8">
        <w:instrText xml:space="preserve"> DOCVARIABLE vault_nd_433a38f1-287c-4b93-9315-70aa979d5bec \* MERGEFORMAT </w:instrText>
      </w:r>
      <w:r w:rsidR="008A6BD8">
        <w:fldChar w:fldCharType="separate"/>
      </w:r>
      <w:r w:rsidR="008A6BD8">
        <w:t xml:space="preserve"> </w:t>
      </w:r>
      <w:r w:rsidR="008A6BD8">
        <w:fldChar w:fldCharType="end"/>
      </w:r>
    </w:p>
    <w:p w14:paraId="26B429A2" w14:textId="3FFD7095" w:rsidR="00713CC3" w:rsidRPr="00472536" w:rsidRDefault="00713CC3" w:rsidP="00713CC3">
      <w:pPr>
        <w:rPr>
          <w:lang w:eastAsia="ja-JP"/>
        </w:rPr>
      </w:pPr>
      <w:r w:rsidRPr="00472536">
        <w:rPr>
          <w:lang w:eastAsia="ja-JP"/>
        </w:rPr>
        <w:t xml:space="preserve">Depemokimab is an IL-5 inhibitor with specific structural engineering features that result in a longer </w:t>
      </w:r>
      <w:r w:rsidR="00E40FD1" w:rsidRPr="00472536">
        <w:rPr>
          <w:lang w:eastAsia="ja-JP"/>
        </w:rPr>
        <w:t>half-life</w:t>
      </w:r>
      <w:r w:rsidRPr="00472536">
        <w:rPr>
          <w:lang w:eastAsia="ja-JP"/>
        </w:rPr>
        <w:t xml:space="preserve"> than other medicines in the class. The </w:t>
      </w:r>
      <w:r w:rsidR="00E40FD1" w:rsidRPr="00472536">
        <w:rPr>
          <w:lang w:eastAsia="ja-JP"/>
        </w:rPr>
        <w:t>26-week</w:t>
      </w:r>
      <w:r w:rsidRPr="00472536">
        <w:rPr>
          <w:lang w:eastAsia="ja-JP"/>
        </w:rPr>
        <w:t xml:space="preserve"> dosing interval this allows sets it apart from shorter acting molecules. </w:t>
      </w:r>
    </w:p>
    <w:p w14:paraId="68ADEE3C" w14:textId="77777777" w:rsidR="00713CC3" w:rsidRPr="00472536" w:rsidRDefault="00713CC3" w:rsidP="00713CC3">
      <w:pPr>
        <w:rPr>
          <w:lang w:eastAsia="ja-JP"/>
        </w:rPr>
      </w:pPr>
      <w:r w:rsidRPr="00472536">
        <w:rPr>
          <w:lang w:eastAsia="ja-JP"/>
        </w:rPr>
        <w:t>The exposure response relationships do not demonstrate a lower response rate based on PK or eosinophil suppression quintile. A</w:t>
      </w:r>
      <w:r>
        <w:rPr>
          <w:lang w:eastAsia="ja-JP"/>
        </w:rPr>
        <w:t>lthough a</w:t>
      </w:r>
      <w:r w:rsidRPr="00472536">
        <w:rPr>
          <w:lang w:eastAsia="ja-JP"/>
        </w:rPr>
        <w:t xml:space="preserve"> concern may be potential tapering of efficacy toward the end of the dosing interval</w:t>
      </w:r>
      <w:r>
        <w:rPr>
          <w:lang w:eastAsia="ja-JP"/>
        </w:rPr>
        <w:t>, t</w:t>
      </w:r>
      <w:r w:rsidRPr="00472536">
        <w:rPr>
          <w:lang w:eastAsia="ja-JP"/>
        </w:rPr>
        <w:t xml:space="preserve">his has not been demonstrated in the studies in the submission. </w:t>
      </w:r>
    </w:p>
    <w:p w14:paraId="73997173" w14:textId="5D7A15EE" w:rsidR="00713CC3" w:rsidRPr="00CB075C" w:rsidRDefault="00713CC3" w:rsidP="00A25812">
      <w:pPr>
        <w:pStyle w:val="Heading5"/>
      </w:pPr>
      <w:r w:rsidRPr="00CB075C">
        <w:t>Efficacy</w:t>
      </w:r>
      <w:fldSimple w:instr="DOCVARIABLE vault_nd_2e63d9b9-eacc-40bc-a5f1-9df92ab4a7de \* MERGEFORMAT">
        <w:r w:rsidR="008A6BD8">
          <w:t xml:space="preserve"> </w:t>
        </w:r>
      </w:fldSimple>
    </w:p>
    <w:p w14:paraId="60A23A11" w14:textId="7D33E652" w:rsidR="00713CC3" w:rsidRDefault="00713CC3" w:rsidP="00BC0E7E">
      <w:r>
        <w:t xml:space="preserve">The efficacy of depemokimab was derived primarily from the SWIFT studies: </w:t>
      </w:r>
      <w:r w:rsidR="000774EF">
        <w:t>52-week</w:t>
      </w:r>
      <w:r>
        <w:t>, replicate, double-blind, randomised, parallel group comparing depemokimab with placebo in adults and adolescents from age 12 years, as add-on therapy to standard of care in patients with asthma with an eosinophilic profile.</w:t>
      </w:r>
    </w:p>
    <w:p w14:paraId="4A9A9097" w14:textId="77777777" w:rsidR="00713CC3" w:rsidRPr="001B5013" w:rsidRDefault="00713CC3" w:rsidP="00713CC3">
      <w:r w:rsidRPr="001B5013">
        <w:t xml:space="preserve">Patients were sufficiently representative of potential Australian patients.  </w:t>
      </w:r>
    </w:p>
    <w:p w14:paraId="26A9D8B5" w14:textId="73F18AC4" w:rsidR="00713CC3" w:rsidRPr="001B5013" w:rsidRDefault="00713CC3" w:rsidP="00713CC3">
      <w:r w:rsidRPr="001B5013">
        <w:t xml:space="preserve">In both SWIFT studies the primary endpoint was met. The annualised rate showed some improvement in both groups, </w:t>
      </w:r>
      <w:r>
        <w:t xml:space="preserve">and </w:t>
      </w:r>
      <w:r w:rsidRPr="001B5013">
        <w:t>the magnitude of benefit in terms of risk reduction was similar in both studies. Sensitivity analyses were consistent with the main analysis.</w:t>
      </w:r>
      <w:r>
        <w:t xml:space="preserve"> The Delegate found these findings persuasive from an efficacy perspective. </w:t>
      </w:r>
    </w:p>
    <w:p w14:paraId="5CEB6827" w14:textId="20F6E969" w:rsidR="00713CC3" w:rsidRPr="001B5013" w:rsidRDefault="00713CC3" w:rsidP="00713CC3">
      <w:r w:rsidRPr="001B5013">
        <w:t xml:space="preserve">Secondary </w:t>
      </w:r>
      <w:r w:rsidR="00A70EDC" w:rsidRPr="001B5013">
        <w:t>endpoints,</w:t>
      </w:r>
      <w:r w:rsidRPr="001B5013">
        <w:t xml:space="preserve"> however, are less compelling</w:t>
      </w:r>
      <w:r>
        <w:t xml:space="preserve"> and did not reach statistical significance</w:t>
      </w:r>
      <w:r w:rsidRPr="001B5013">
        <w:t xml:space="preserve">. Although the proportions of affected patients </w:t>
      </w:r>
      <w:r>
        <w:t xml:space="preserve">were </w:t>
      </w:r>
      <w:r w:rsidRPr="001B5013">
        <w:t xml:space="preserve">small, the annualised rate of exacerbation requiring hospitalisation or an </w:t>
      </w:r>
      <w:r w:rsidR="00D33D0F">
        <w:t>emergency department (</w:t>
      </w:r>
      <w:r w:rsidRPr="001B5013">
        <w:t>ED</w:t>
      </w:r>
      <w:r w:rsidR="00D33D0F">
        <w:t>)</w:t>
      </w:r>
      <w:r w:rsidRPr="001B5013">
        <w:t xml:space="preserve"> visit was in favour of depemokimab.</w:t>
      </w:r>
    </w:p>
    <w:p w14:paraId="4E07762F" w14:textId="77777777" w:rsidR="00713CC3" w:rsidRDefault="00713CC3" w:rsidP="00713CC3">
      <w:pPr>
        <w:spacing w:after="0" w:line="240" w:lineRule="auto"/>
        <w:rPr>
          <w:bCs/>
        </w:rPr>
      </w:pPr>
      <w:r w:rsidRPr="008C6634">
        <w:rPr>
          <w:bCs/>
        </w:rPr>
        <w:t>The findings of the SWIFT studies are supported by the AGILE study results.</w:t>
      </w:r>
      <w:r w:rsidRPr="008C6634">
        <w:t xml:space="preserve"> </w:t>
      </w:r>
      <w:r w:rsidRPr="008C6634">
        <w:rPr>
          <w:bCs/>
        </w:rPr>
        <w:t>The annualised clinically significant exacerbation rate overall was 0.56 (95% CI: 0.49, 0.65); with a rate of 0.58 (95% CI: 0.45, 0.73) in the prior placebo group and 0.55 (95% CI: 0.47, 0.66) in the prior depemokimab group. Around 66% of participants were free of exacerbations, 5% had an exacerbation requiring hospitalisation or an ED visit, and 1% were hospitalised</w:t>
      </w:r>
      <w:r>
        <w:rPr>
          <w:bCs/>
        </w:rPr>
        <w:t>.</w:t>
      </w:r>
    </w:p>
    <w:p w14:paraId="0F4DD6FF" w14:textId="77777777" w:rsidR="00713CC3" w:rsidRDefault="00713CC3" w:rsidP="00713CC3">
      <w:pPr>
        <w:spacing w:after="0" w:line="240" w:lineRule="auto"/>
        <w:rPr>
          <w:bCs/>
        </w:rPr>
      </w:pPr>
    </w:p>
    <w:p w14:paraId="2D8FAB71" w14:textId="77777777" w:rsidR="00A45A16" w:rsidRDefault="00713CC3" w:rsidP="00A45A16">
      <w:pPr>
        <w:spacing w:after="0" w:line="240" w:lineRule="auto"/>
        <w:rPr>
          <w:bCs/>
        </w:rPr>
      </w:pPr>
      <w:r>
        <w:rPr>
          <w:bCs/>
        </w:rPr>
        <w:t>While acknowledging the uncertainties that arise due to the findings for the secondary endpoints in the SWIFT studies</w:t>
      </w:r>
      <w:r w:rsidR="00A45A16">
        <w:rPr>
          <w:bCs/>
        </w:rPr>
        <w:t xml:space="preserve">, </w:t>
      </w:r>
      <w:r>
        <w:rPr>
          <w:bCs/>
        </w:rPr>
        <w:t xml:space="preserve">the </w:t>
      </w:r>
      <w:r w:rsidRPr="008C6634">
        <w:rPr>
          <w:bCs/>
        </w:rPr>
        <w:t xml:space="preserve">Delegate considers </w:t>
      </w:r>
      <w:r>
        <w:rPr>
          <w:bCs/>
        </w:rPr>
        <w:t>the findings for the primary endpoint clinically meaningful in addition to their statistical significance. There is support of efficacy and its durability from the AGILE study. Overall</w:t>
      </w:r>
      <w:r w:rsidR="00A45A16">
        <w:rPr>
          <w:bCs/>
        </w:rPr>
        <w:t>,</w:t>
      </w:r>
      <w:r>
        <w:rPr>
          <w:bCs/>
        </w:rPr>
        <w:t xml:space="preserve"> the Delegate concludes</w:t>
      </w:r>
      <w:r w:rsidRPr="008C6634">
        <w:rPr>
          <w:bCs/>
        </w:rPr>
        <w:t xml:space="preserve"> sufficient evidence </w:t>
      </w:r>
      <w:r>
        <w:rPr>
          <w:bCs/>
        </w:rPr>
        <w:t xml:space="preserve">has been </w:t>
      </w:r>
      <w:r w:rsidRPr="008C6634">
        <w:rPr>
          <w:bCs/>
        </w:rPr>
        <w:t xml:space="preserve">to establish the efficacy of depemokimab for the proposed use. </w:t>
      </w:r>
    </w:p>
    <w:p w14:paraId="3316334D" w14:textId="46B000F4" w:rsidR="00713CC3" w:rsidRPr="00CB075C" w:rsidRDefault="00713CC3" w:rsidP="00A25812">
      <w:pPr>
        <w:pStyle w:val="Heading5"/>
      </w:pPr>
      <w:r w:rsidRPr="00CB075C">
        <w:t>Safety</w:t>
      </w:r>
      <w:fldSimple w:instr="DOCVARIABLE vault_nd_579a79db-b473-4b11-91e6-8cc2b96f0597 \* MERGEFORMAT">
        <w:r w:rsidR="008A6BD8">
          <w:t xml:space="preserve"> </w:t>
        </w:r>
      </w:fldSimple>
    </w:p>
    <w:p w14:paraId="75BAD082" w14:textId="77777777" w:rsidR="00713CC3" w:rsidRDefault="00713CC3" w:rsidP="00713CC3">
      <w:r>
        <w:t xml:space="preserve">The safety data set is of sufficient size to draw regulatory conclusions. </w:t>
      </w:r>
    </w:p>
    <w:p w14:paraId="1ADE0CA1" w14:textId="77777777" w:rsidR="00713CC3" w:rsidRDefault="00713CC3" w:rsidP="00713CC3">
      <w:r>
        <w:t xml:space="preserve">Similar proportions of adverse events occurred in each of the depemokimab and placebo groups. The Delegate notes both groups were also exposed to the same standard of care, and each group had a similar severity of disease at baseline. </w:t>
      </w:r>
    </w:p>
    <w:p w14:paraId="53974AA3" w14:textId="77777777" w:rsidR="00713CC3" w:rsidRDefault="00713CC3" w:rsidP="00713CC3">
      <w:r>
        <w:t xml:space="preserve">Most events were mild or moderate. Common events included nasopharyngitis, upper respiratory tract infection, COVID-19 and bronchitis. Severe AEs and SAEs included pneumonia </w:t>
      </w:r>
      <w:r>
        <w:lastRenderedPageBreak/>
        <w:t>and asthma. There were no deaths in the main study, but there was a death post treatment in the AGILE study, described in the main body of the Delegate’s Overview. In the NIMBLE study, the SAEs of note were single events of thunderclap headache and atrial fibrillation.</w:t>
      </w:r>
    </w:p>
    <w:p w14:paraId="6E173A5C" w14:textId="77777777" w:rsidR="00713CC3" w:rsidRDefault="00713CC3" w:rsidP="00713CC3">
      <w:r>
        <w:t>Hypersensitivity reactions were adverse events of special interest. Local injection site reactions occurred in around 1% of participants, and other hypersensitivity events occurred in similar or lower proportions of participants. There were no reports of anaphylaxis or type III hypersensitivity reactions.</w:t>
      </w:r>
    </w:p>
    <w:p w14:paraId="0C26D1E3" w14:textId="3560F63A" w:rsidR="00713CC3" w:rsidRDefault="00713CC3" w:rsidP="00713CC3">
      <w:r>
        <w:t>A potential signal for hepatic events is suggested from 4 events in the AGILE study</w:t>
      </w:r>
      <w:r w:rsidR="00314EAD">
        <w:t xml:space="preserve"> requiring further characterisation as </w:t>
      </w:r>
      <w:r w:rsidR="008B7301">
        <w:t xml:space="preserve">clinical trials and </w:t>
      </w:r>
      <w:r w:rsidR="00314EAD">
        <w:t>post-marketing experience accrues</w:t>
      </w:r>
      <w:r>
        <w:t xml:space="preserve">. This is an uncertainty for the </w:t>
      </w:r>
      <w:r w:rsidR="008B7301">
        <w:t xml:space="preserve">current </w:t>
      </w:r>
      <w:r>
        <w:t>submission.</w:t>
      </w:r>
    </w:p>
    <w:p w14:paraId="484EABAF" w14:textId="2937DF13" w:rsidR="00713CC3" w:rsidRDefault="00713CC3" w:rsidP="00713CC3">
      <w:r>
        <w:t xml:space="preserve">An assessment of the safety set from participants aged 12 to 17 years did not reveal any new safety concerns compared with </w:t>
      </w:r>
      <w:r w:rsidR="00F8087E">
        <w:t>adults;</w:t>
      </w:r>
      <w:r w:rsidR="00A25812">
        <w:t xml:space="preserve"> however</w:t>
      </w:r>
      <w:r w:rsidR="00F8087E">
        <w:t>,</w:t>
      </w:r>
      <w:r>
        <w:t xml:space="preserve"> the safety set is very small, and only the most common of events are likely to be detected. The safety from adults is extrapolated to the adolescent population.</w:t>
      </w:r>
    </w:p>
    <w:p w14:paraId="0D1D3796" w14:textId="77777777" w:rsidR="00713CC3" w:rsidRDefault="00713CC3" w:rsidP="00713CC3">
      <w:r>
        <w:t>There are long term safety uncertainties in the adult and adolescent population. The Delegate acknowledges there are some data from patients exposed to depemokimab for up to 104 weeks in the safety data and that this duration of exposure is acceptable to support the safety of a medicine proposed for long term use.</w:t>
      </w:r>
    </w:p>
    <w:p w14:paraId="34EA3542" w14:textId="77777777" w:rsidR="00713CC3" w:rsidRDefault="00713CC3" w:rsidP="00713CC3">
      <w:r>
        <w:t>Overall, the Delegate considers there is sufficient evidence to establish the safety of the medicine for the proposed use and populations</w:t>
      </w:r>
    </w:p>
    <w:p w14:paraId="1809EE8F" w14:textId="29BE136A" w:rsidR="00713CC3" w:rsidRPr="00A45A16" w:rsidRDefault="00713CC3" w:rsidP="00A25812">
      <w:pPr>
        <w:pStyle w:val="Heading5"/>
      </w:pPr>
      <w:r w:rsidRPr="00A45A16">
        <w:t>Quality</w:t>
      </w:r>
      <w:fldSimple w:instr="DOCVARIABLE vault_nd_0d2ea673-53cd-4b0e-ac5b-87f5122b8f59 \* MERGEFORMAT">
        <w:r w:rsidR="008A6BD8">
          <w:t xml:space="preserve"> </w:t>
        </w:r>
      </w:fldSimple>
    </w:p>
    <w:p w14:paraId="5011A5A9" w14:textId="77777777" w:rsidR="00713CC3" w:rsidRDefault="00713CC3" w:rsidP="00713CC3">
      <w:r>
        <w:t>Based on the quality assessment the Delegate concludes there is sufficient information to establish the quality of depemokimab.</w:t>
      </w:r>
    </w:p>
    <w:p w14:paraId="500D29B2" w14:textId="4C80AB78" w:rsidR="00713CC3" w:rsidRPr="00A45A16" w:rsidRDefault="00713CC3" w:rsidP="00A25812">
      <w:pPr>
        <w:pStyle w:val="Heading6"/>
      </w:pPr>
      <w:r w:rsidRPr="00A45A16">
        <w:t>Use in adolescents</w:t>
      </w:r>
      <w:fldSimple w:instr="DOCVARIABLE vault_nd_10eb9ff1-4a28-4592-9a30-844ee6b752f4 \* MERGEFORMAT">
        <w:r w:rsidR="008A6BD8">
          <w:t xml:space="preserve"> </w:t>
        </w:r>
      </w:fldSimple>
    </w:p>
    <w:p w14:paraId="240581AF" w14:textId="77777777" w:rsidR="00713CC3" w:rsidRDefault="00713CC3" w:rsidP="00713CC3">
      <w:r>
        <w:t xml:space="preserve">The proposed indication is no longer age agnostic. Patients aged 12 years and older were included in the submission. Inclusion of adolescents was planned for the SWIFT studies and across the studies 30 participants in this age group were randomised to the depemokimab group. </w:t>
      </w:r>
    </w:p>
    <w:p w14:paraId="024CDF42" w14:textId="77777777" w:rsidR="00713CC3" w:rsidRDefault="00713CC3" w:rsidP="00713CC3">
      <w:r>
        <w:t xml:space="preserve">Data from these patients, population pharmacokinetic and pharmacodynamics, modelling and simulation contributed to an extrapolation exercise consistent with the approach of ICH-E11A to support the specific inclusion of patients in the indication. The Delegate notes that in the pooled SWIFT study data the point estimate of the rate ratio annualised clinically significant exacerbations of 0.57 was </w:t>
      </w:r>
      <w:proofErr w:type="gramStart"/>
      <w:r>
        <w:t>similar to</w:t>
      </w:r>
      <w:proofErr w:type="gramEnd"/>
      <w:r>
        <w:t xml:space="preserve"> the adult population. The Delegate considers the mechanism of disease is likely to be sufficiently similar in both age groups to support this approach</w:t>
      </w:r>
    </w:p>
    <w:p w14:paraId="5A1DA1CB" w14:textId="77777777" w:rsidR="00713CC3" w:rsidRDefault="00713CC3" w:rsidP="00713CC3">
      <w:pPr>
        <w:spacing w:after="0" w:line="240" w:lineRule="auto"/>
        <w:rPr>
          <w:bCs/>
        </w:rPr>
      </w:pPr>
      <w:r>
        <w:rPr>
          <w:bCs/>
        </w:rPr>
        <w:t xml:space="preserve">A challenge for the submission is that the </w:t>
      </w:r>
      <w:r w:rsidRPr="00C00F8D">
        <w:rPr>
          <w:bCs/>
        </w:rPr>
        <w:t xml:space="preserve">adolescent sample is small, </w:t>
      </w:r>
      <w:r>
        <w:rPr>
          <w:bCs/>
        </w:rPr>
        <w:t xml:space="preserve">however, </w:t>
      </w:r>
      <w:r w:rsidRPr="00C00F8D">
        <w:rPr>
          <w:bCs/>
        </w:rPr>
        <w:t xml:space="preserve">the extrapolation strategy is </w:t>
      </w:r>
      <w:r>
        <w:rPr>
          <w:bCs/>
        </w:rPr>
        <w:t xml:space="preserve">sound, </w:t>
      </w:r>
      <w:r w:rsidRPr="00C00F8D">
        <w:rPr>
          <w:bCs/>
        </w:rPr>
        <w:t>compliant with ICH E11A</w:t>
      </w:r>
      <w:r>
        <w:rPr>
          <w:bCs/>
        </w:rPr>
        <w:t xml:space="preserve"> and consistent</w:t>
      </w:r>
      <w:r w:rsidRPr="0040730C">
        <w:rPr>
          <w:bCs/>
        </w:rPr>
        <w:t xml:space="preserve"> </w:t>
      </w:r>
      <w:r w:rsidRPr="0021354A">
        <w:rPr>
          <w:bCs/>
        </w:rPr>
        <w:t>with current regulatory practice</w:t>
      </w:r>
      <w:r>
        <w:rPr>
          <w:bCs/>
        </w:rPr>
        <w:t>.</w:t>
      </w:r>
      <w:r w:rsidRPr="00C00F8D">
        <w:rPr>
          <w:bCs/>
        </w:rPr>
        <w:t xml:space="preserve"> The limited adolescent numbers do not preclude approval for the 12–17-year age group within the asthma indication.</w:t>
      </w:r>
    </w:p>
    <w:p w14:paraId="3DD4D924" w14:textId="44EF357D" w:rsidR="00713CC3" w:rsidRPr="00A45A16" w:rsidRDefault="00713CC3" w:rsidP="00BF6688">
      <w:pPr>
        <w:pStyle w:val="Heading5"/>
      </w:pPr>
      <w:r w:rsidRPr="00A45A16">
        <w:t>Indication</w:t>
      </w:r>
      <w:fldSimple w:instr="DOCVARIABLE vault_nd_f29f95cb-4022-45d5-bfa5-5ada3d1a6093 \* MERGEFORMAT">
        <w:r w:rsidR="008A6BD8">
          <w:t xml:space="preserve"> </w:t>
        </w:r>
      </w:fldSimple>
    </w:p>
    <w:p w14:paraId="299B163E" w14:textId="35254668" w:rsidR="00713CC3" w:rsidRDefault="00713CC3" w:rsidP="00713CC3">
      <w:r>
        <w:t xml:space="preserve">In considering the indication the Delegate has worked through the descriptor of the patient population in a </w:t>
      </w:r>
      <w:r w:rsidR="00756B64">
        <w:t>stepwise</w:t>
      </w:r>
      <w:r>
        <w:t xml:space="preserve"> fashion.</w:t>
      </w:r>
    </w:p>
    <w:p w14:paraId="3DB10C09" w14:textId="0238AB4E" w:rsidR="00713CC3" w:rsidRDefault="00713CC3" w:rsidP="00713CC3">
      <w:r>
        <w:lastRenderedPageBreak/>
        <w:t xml:space="preserve">It is agreed the medicine should be added on to maintenance treatment. All the patients in the SWIFT studies had at least one background therapy, and almost all were receiving </w:t>
      </w:r>
      <w:r w:rsidR="00C92E00">
        <w:t>ICS,</w:t>
      </w:r>
      <w:r>
        <w:t xml:space="preserve"> and almost all were receiving a LABA.</w:t>
      </w:r>
    </w:p>
    <w:p w14:paraId="4C2781FF" w14:textId="77777777" w:rsidR="00713CC3" w:rsidRDefault="00713CC3" w:rsidP="00713CC3">
      <w:r>
        <w:t>All patients had an eosinophilic phenotype.</w:t>
      </w:r>
    </w:p>
    <w:p w14:paraId="22B2ED7A" w14:textId="77777777" w:rsidR="00713CC3" w:rsidRDefault="00713CC3" w:rsidP="00713CC3">
      <w:r>
        <w:t>The main question for the Delegate is whether only patients with severe asthma should be included in the indication. The evaluator has outlined some of the challenges in the evaluation report. The delegate has concluded the patient population should be only those with severe asthma for the following reasons.</w:t>
      </w:r>
    </w:p>
    <w:p w14:paraId="454D32FE" w14:textId="77777777" w:rsidR="00713CC3" w:rsidRDefault="00713CC3" w:rsidP="00713CC3">
      <w:r>
        <w:t xml:space="preserve">The current GINA guidelines note the guidelines’ ongoing support the definition of severe asthma as asthma that remains uncontrolled despite optimised treatment with high-dose ICS-LABA, or that requires high-dose ICS-LABA or biologic therapy to prevent it from becoming uncontrolled. </w:t>
      </w:r>
    </w:p>
    <w:p w14:paraId="3DAA13AA" w14:textId="77777777" w:rsidR="00713CC3" w:rsidRDefault="00713CC3" w:rsidP="00713CC3">
      <w:r>
        <w:t xml:space="preserve">There is also a distinction between difficult to treat asthma and severe asthma. The concepts differ due to the presence of modifiable factors such as inhaler technique, treatment compliance or comorbidities whose management could be optimised in patients with difficult to treat asthma. Taking such measures could bring asthma under control. </w:t>
      </w:r>
    </w:p>
    <w:p w14:paraId="40C12EFC" w14:textId="77777777" w:rsidR="00713CC3" w:rsidRDefault="00713CC3" w:rsidP="00713CC3">
      <w:r>
        <w:t xml:space="preserve">The Delegate considers optimising existing therapies and managing cofactors prior to adding a depemokimab is the preferable approach. While benefits and harms for depemokimab have been characterised in the submission, there are uncertainties, and additional evidence is being collected. The Delegate is concerned that to describe the patient population as uncontrolled, rather than severe, potentially lowers the threshold for considering this medicine in the treatment algorithm, and that might not be adequately justified by the strength of the evidence in the submission. </w:t>
      </w:r>
    </w:p>
    <w:p w14:paraId="4E34454D" w14:textId="77777777" w:rsidR="00713CC3" w:rsidRDefault="00713CC3" w:rsidP="00713CC3">
      <w:r>
        <w:t xml:space="preserve">The Delegate is also mindful of aspects of regulatory consistency. While prior decisions are not binding future decisions, in Australia, other IL-5/IL-5R inhibitors are limited to severe asthma. There are no data in the submission that support depemokimab as a treatment to be used in preference to the existing IL-5/IL-5R inhibitors in asthma with an eosinophilic phenotype. This could be a potential effect of allowing an indication in inadequately controlled asthma, which is a broader and less stringently defined group. The NIMBLE study will provide information about the use of depemokimab in patients transitioning from an IL-5/IL-5R inhibitor compared with continuing that activity, but it will not clarify where among biological therapies depemokimab should be placed. </w:t>
      </w:r>
    </w:p>
    <w:p w14:paraId="465366F3" w14:textId="77777777" w:rsidR="00713CC3" w:rsidRDefault="00713CC3" w:rsidP="00713CC3">
      <w:r>
        <w:t>Taking the above into consideration the Delegate’s preferred indication</w:t>
      </w:r>
    </w:p>
    <w:p w14:paraId="08A1592A" w14:textId="77777777" w:rsidR="00713CC3" w:rsidRPr="00114B1F" w:rsidRDefault="00713CC3" w:rsidP="00524EA4">
      <w:pPr>
        <w:ind w:left="720"/>
        <w:rPr>
          <w:rFonts w:cstheme="majorHAnsi"/>
          <w:i/>
          <w:iCs/>
          <w:lang w:eastAsia="ja-JP"/>
        </w:rPr>
      </w:pPr>
      <w:r>
        <w:rPr>
          <w:rFonts w:cstheme="majorHAnsi"/>
          <w:i/>
          <w:iCs/>
          <w:lang w:eastAsia="ja-JP"/>
        </w:rPr>
        <w:t>As add-on maintenance therapy of severe asthma in patients aged 12 years and older with type 2 inflammation characterised by an eosinophilic phenotype (see Section 5.1 PHARMACODYNAMIC PROPERTIES, Clinical Trials).</w:t>
      </w:r>
    </w:p>
    <w:p w14:paraId="30E64E6A" w14:textId="77777777" w:rsidR="00713CC3" w:rsidRDefault="00713CC3" w:rsidP="00713CC3">
      <w:r>
        <w:t>The Delegate usually prefers the indication is self-contained and complete, but in this instance agrees with the evaluator’s suggestion to include more detail than usual in the Clinical Trials description.  This will also assist in future-proofing the indication, as descriptors and classifications of disease severity and/or control in international guidelines can change over time.</w:t>
      </w:r>
    </w:p>
    <w:p w14:paraId="0E5B0E27" w14:textId="35CEFD1D" w:rsidR="00713CC3" w:rsidRPr="00524EA4" w:rsidRDefault="00713CC3" w:rsidP="00436377">
      <w:pPr>
        <w:pStyle w:val="Heading5"/>
      </w:pPr>
      <w:r w:rsidRPr="00524EA4">
        <w:t>Dose</w:t>
      </w:r>
      <w:fldSimple w:instr="DOCVARIABLE vault_nd_b3d99bc8-1412-4cb3-a6a9-f4a0d0c33e6b \* MERGEFORMAT">
        <w:r w:rsidR="008A6BD8">
          <w:t xml:space="preserve"> </w:t>
        </w:r>
      </w:fldSimple>
    </w:p>
    <w:p w14:paraId="563AB93F" w14:textId="77777777" w:rsidR="00713CC3" w:rsidRDefault="00713CC3" w:rsidP="00986DB0">
      <w:r>
        <w:t xml:space="preserve">The dose is supported by PD findings of suppression of eosinophils, with no clear exposure response relationship. The dose is further supported by the efficacy data from the SWIFT and AGILE studies. The Delegate proposes to approve </w:t>
      </w:r>
      <w:r w:rsidRPr="00341EA9">
        <w:t xml:space="preserve">a dose of 100 mg SC </w:t>
      </w:r>
      <w:r>
        <w:t>Q</w:t>
      </w:r>
      <w:r w:rsidRPr="00341EA9">
        <w:t>26W</w:t>
      </w:r>
      <w:r>
        <w:t>.</w:t>
      </w:r>
    </w:p>
    <w:p w14:paraId="25E17FE1" w14:textId="77777777" w:rsidR="00713CC3" w:rsidRPr="00126ECC" w:rsidRDefault="00713CC3" w:rsidP="00524EA4">
      <w:r>
        <w:lastRenderedPageBreak/>
        <w:t xml:space="preserve">The Delegate notes a six-monthly injection is a potentially attractive regimen for patients taking numerous medicines. Whether will assist with compliance is uncertain. </w:t>
      </w:r>
    </w:p>
    <w:p w14:paraId="23F85544" w14:textId="4953B490" w:rsidR="00BC0E7E" w:rsidRPr="00BC0E7E" w:rsidRDefault="00BC0E7E" w:rsidP="00714FD5">
      <w:pPr>
        <w:pStyle w:val="Heading4"/>
      </w:pPr>
      <w:bookmarkStart w:id="189" w:name="_Toc241481387"/>
      <w:r w:rsidRPr="00BC0E7E">
        <w:t>Delegate’s considerations -</w:t>
      </w:r>
      <w:r>
        <w:t xml:space="preserve"> </w:t>
      </w:r>
      <w:proofErr w:type="spellStart"/>
      <w:r>
        <w:t>CRSwNP</w:t>
      </w:r>
      <w:bookmarkEnd w:id="189"/>
      <w:proofErr w:type="spellEnd"/>
      <w:r w:rsidR="008A6BD8">
        <w:fldChar w:fldCharType="begin"/>
      </w:r>
      <w:r w:rsidR="008A6BD8">
        <w:instrText xml:space="preserve"> DOCVARIABLE vault_nd_30b1e78c-d595-404d-a169-13a820787e06 \* MERGEFORMAT </w:instrText>
      </w:r>
      <w:r w:rsidR="008A6BD8">
        <w:fldChar w:fldCharType="separate"/>
      </w:r>
      <w:r w:rsidR="008A6BD8">
        <w:t xml:space="preserve"> </w:t>
      </w:r>
      <w:r w:rsidR="008A6BD8">
        <w:fldChar w:fldCharType="end"/>
      </w:r>
    </w:p>
    <w:p w14:paraId="6F09513D" w14:textId="5346F47F" w:rsidR="006667AF" w:rsidRDefault="006667AF" w:rsidP="006667AF">
      <w:r>
        <w:t xml:space="preserve">The submission includes two replicate Phase </w:t>
      </w:r>
      <w:r w:rsidR="00DC6201">
        <w:t>3</w:t>
      </w:r>
      <w:r>
        <w:t xml:space="preserve"> studies conducted at a similar time. These are global, multicentre studies. The sponsor has addressed issues with the conduct of the studies by a clinical research organisation operating at a limited number of sites by removing the results of the trial participants at those sites from the analysis. The small number of patients involved is unlikely to have materially affected the outcomes, and the matter is considered resolved.</w:t>
      </w:r>
    </w:p>
    <w:p w14:paraId="537E8C31" w14:textId="6FA42C43" w:rsidR="006667AF" w:rsidRDefault="006667AF" w:rsidP="006667AF">
      <w:r>
        <w:t xml:space="preserve">Both studies enrolled participants who had significant disease. The inclusion criteria required either previous nasal surgery for polyp removal or at least a short course of systemic corticosteroids in the previous 2 years or steroid intolerance. For most </w:t>
      </w:r>
      <w:r w:rsidR="008D6110">
        <w:t>patients’</w:t>
      </w:r>
      <w:r>
        <w:t xml:space="preserve"> standard of care included intranasal steroid and saline washing/douching. Depemokimab was assessed as an add-on to this standard of care.</w:t>
      </w:r>
    </w:p>
    <w:p w14:paraId="38D51788" w14:textId="77777777" w:rsidR="006667AF" w:rsidRDefault="006667AF" w:rsidP="006667AF">
      <w:r>
        <w:t xml:space="preserve">The studies were conducted in Asia, Europe and the United States. The Delegate considers these settings would suggest participant baseline characteristics are likely to be sufficiently similar to Australian patients to allow extrapolation of the findings. </w:t>
      </w:r>
    </w:p>
    <w:p w14:paraId="61F48D2D" w14:textId="4FCA533A" w:rsidR="006667AF" w:rsidRDefault="006667AF" w:rsidP="006667AF">
      <w:r>
        <w:t xml:space="preserve">The dose of depemokimab was 100 mg SC Q26W, the same for both ANCHOR studies. Dose selection for the studies was based on eosinophil suppression. The </w:t>
      </w:r>
      <w:proofErr w:type="spellStart"/>
      <w:r>
        <w:t>popPK</w:t>
      </w:r>
      <w:proofErr w:type="spellEnd"/>
      <w:r>
        <w:t xml:space="preserve"> evaluator suggested a dose of 200 mg SC Q26 may have been preferable based on </w:t>
      </w:r>
      <w:proofErr w:type="spellStart"/>
      <w:r>
        <w:t>C</w:t>
      </w:r>
      <w:r w:rsidRPr="00584E77">
        <w:rPr>
          <w:vertAlign w:val="subscript"/>
        </w:rPr>
        <w:t>trough</w:t>
      </w:r>
      <w:proofErr w:type="spellEnd"/>
      <w:r>
        <w:t xml:space="preserve">. No dose escalation study in this condition was provided in the dossier. The optimal dose has not been defined in the </w:t>
      </w:r>
      <w:r w:rsidR="00366EB8">
        <w:t>submission and</w:t>
      </w:r>
      <w:r>
        <w:t xml:space="preserve"> is an uncertainty for this indication.</w:t>
      </w:r>
    </w:p>
    <w:p w14:paraId="7DD8F034" w14:textId="77777777" w:rsidR="006667AF" w:rsidRDefault="006667AF" w:rsidP="006667AF">
      <w:r>
        <w:t xml:space="preserve">Each ANCHOR study had co-primary endpoints. Both endpoints had to be met for each study for the findings to be considered favourable for depemokimab. </w:t>
      </w:r>
    </w:p>
    <w:p w14:paraId="0683FA92" w14:textId="77777777" w:rsidR="006667AF" w:rsidRDefault="006667AF" w:rsidP="006667AF">
      <w:r>
        <w:t>The first co-primary outcome was total endoscopic NP score. The outcomes were statistically significant and were not sensitive to the alternative assumptions and techniques used in the supplementary estimand analysis and the Jump to reference analysis. Although the evaluator had concerns about the multidirectional tipping point approach, large differences from the observed trial results would have been needed in the population for the findings not to be upheld.</w:t>
      </w:r>
    </w:p>
    <w:p w14:paraId="10307A4D" w14:textId="77777777" w:rsidR="006667AF" w:rsidRDefault="006667AF" w:rsidP="006667AF">
      <w:r>
        <w:t xml:space="preserve">The second co-primary outcome was the nasal obstruction verbal response score from Weeks 49 to 52. The results for this endpoint were less compelling, which is important because the studies were designed to require statistically significant two co-primary endpoints. The adjusted mean baseline adjusted difference for the two treatments in each study was between -0.2 to -0.25. In the ANCHOR-1 study, the upper bound of the 95% CI for the endpoint is very close to zero and is reported as zero to 2 decimal places for this endpoint in the main analysis and in the Jump to reference sensitivity analysis. The study does just reach statistical significance. </w:t>
      </w:r>
    </w:p>
    <w:p w14:paraId="2ED0857C" w14:textId="77777777" w:rsidR="006667AF" w:rsidRDefault="006667AF" w:rsidP="006667AF">
      <w:r>
        <w:t xml:space="preserve">In the ANCHOR-2 study the 95% confidence interval for the supplementary estimand analysis of the nasal obstruction VRS mean score using alternative assumptions to the main analysis includes zero (no difference). </w:t>
      </w:r>
    </w:p>
    <w:p w14:paraId="109DB1A7" w14:textId="77777777" w:rsidR="006667AF" w:rsidRDefault="006667AF" w:rsidP="006667AF">
      <w:r>
        <w:t xml:space="preserve">The minimum clinically important difference for the nasal obstruction VRS score administered by </w:t>
      </w:r>
      <w:proofErr w:type="spellStart"/>
      <w:r>
        <w:t>eDiary</w:t>
      </w:r>
      <w:proofErr w:type="spellEnd"/>
      <w:r>
        <w:t xml:space="preserve"> is unclear. The ACM’s assistance in interpreting the overall robustness of the evidence and the clinical meaningfulness of the findings for this endpoint is requested.</w:t>
      </w:r>
    </w:p>
    <w:p w14:paraId="0CB511B6" w14:textId="77777777" w:rsidR="006667AF" w:rsidRDefault="006667AF" w:rsidP="006667AF">
      <w:r>
        <w:t xml:space="preserve">There is no difference between the treatment arms in either ANCHOR study for rhinorrhoea mean score. There are differences in other scores trending towards a benefit for depemokimab. However, time to event endpoints using pooled data from both studies did not demonstrate a </w:t>
      </w:r>
      <w:r>
        <w:lastRenderedPageBreak/>
        <w:t>benefit for time to first NP surgery (actual, or actual/on waiting list) or disease modulating medicine up to Week 52. There was a trend toward a benefit for a reduced odds of requiring at least one course of systemic corticosteroids or disease-modulating medicine for CRSwNP or NP surgery during the 52 weeks of treatment in favour of depemokimab.</w:t>
      </w:r>
    </w:p>
    <w:p w14:paraId="197535E2" w14:textId="77777777" w:rsidR="006667AF" w:rsidRDefault="006667AF" w:rsidP="006667AF">
      <w:r>
        <w:t xml:space="preserve">There was also a trend towards a benefit for the ACQ5 questionnaire reflecting asthma symptoms for depemokimab compared to placebo. The Delegate notes that in the asthma studies a benefit in reduction of exacerbations was consistently demonstrated for depemokimab.  </w:t>
      </w:r>
    </w:p>
    <w:p w14:paraId="40A0CC82" w14:textId="77777777" w:rsidR="006667AF" w:rsidRPr="005871D8" w:rsidRDefault="006667AF" w:rsidP="006667AF">
      <w:r>
        <w:t>The relative high number of protocol deviations, which the sponsor describes in terms of eligibility criteria and study procedures, adds some uncertainty to the robustness of the findings.</w:t>
      </w:r>
    </w:p>
    <w:p w14:paraId="73D273E9" w14:textId="11EDD266" w:rsidR="006667AF" w:rsidRDefault="006667AF" w:rsidP="006667AF">
      <w:r>
        <w:t xml:space="preserve">Prior or concomitant use of other monoclonal antibodies targeting IL-5/5R were not permitted. While that approach is rational based on the study question, a subgroup of </w:t>
      </w:r>
      <w:r w:rsidR="002D4F77">
        <w:t xml:space="preserve">stable </w:t>
      </w:r>
      <w:r w:rsidR="00756B64">
        <w:t>patients on</w:t>
      </w:r>
      <w:r>
        <w:t xml:space="preserve"> an IL-5/5R may transition to a product that offers less frequent self-injection.</w:t>
      </w:r>
    </w:p>
    <w:p w14:paraId="6BB5A5EE" w14:textId="77777777" w:rsidR="006667AF" w:rsidRDefault="006667AF" w:rsidP="006667AF">
      <w:r>
        <w:t xml:space="preserve">The final consideration regarding efficacy is that the long half-life of the medicine would result in a long wash out before another monoclonal antibody could be commenced if there is an inadequate response. </w:t>
      </w:r>
    </w:p>
    <w:p w14:paraId="32AB9811" w14:textId="77777777" w:rsidR="006667AF" w:rsidRDefault="006667AF" w:rsidP="006667AF">
      <w:r>
        <w:t>Taken together, the uncertainties about the magnitude of benefit and its clinical meaningfulness of a co-primary endpoint outcome, and the mixed findings in the secondary endpoints, currently are currently obstacles to a conclusion that the efficacy of depemokimab is established for this indication.</w:t>
      </w:r>
    </w:p>
    <w:p w14:paraId="7BF5A0B5" w14:textId="77777777" w:rsidR="006667AF" w:rsidRDefault="006667AF" w:rsidP="006667AF">
      <w:r>
        <w:t>In the CRSwNP studies similar proportions of participants experienced adverse effects, and the types of effects were generally similar between the arms of the studies. Nasopharyngitis was reported more frequently in the depemokimab arm (18% vs 14%). Treatment related adverse events were infrequent (6% vs 4%). There were no fatal adverse events in any of the studies in the submission with depemokimab.</w:t>
      </w:r>
    </w:p>
    <w:p w14:paraId="19234C79" w14:textId="77777777" w:rsidR="006667AF" w:rsidRDefault="006667AF" w:rsidP="006667AF">
      <w:r>
        <w:t xml:space="preserve">Local injection site reactions and events such as headache, fatigue and rash were reported in around 1% of participants. </w:t>
      </w:r>
    </w:p>
    <w:p w14:paraId="7A39763A" w14:textId="77777777" w:rsidR="006667AF" w:rsidRDefault="006667AF" w:rsidP="006667AF">
      <w:r>
        <w:t>Limitations in the safety information include the limited duration of follow up. Although participants were followed for around 12 months, meeting the usual regulatory requirements for an ongoing therapy this only reflects two doses, so no patient has yet reached steady state.</w:t>
      </w:r>
    </w:p>
    <w:p w14:paraId="097978B9" w14:textId="77777777" w:rsidR="006667AF" w:rsidRDefault="006667AF" w:rsidP="006667AF">
      <w:r>
        <w:t>An unknown with immune therapies is the long-term risk of new malignancies. Longer follow-up may be needed to further characterise this potential risk.</w:t>
      </w:r>
    </w:p>
    <w:p w14:paraId="1419092E" w14:textId="47AC0BE7" w:rsidR="006667AF" w:rsidRDefault="006667AF" w:rsidP="006667AF">
      <w:r>
        <w:t xml:space="preserve">A further unknown is the safety of the medicine as a next subsequent therapy after another monoclonal antibody for CRSwNP, and the safety of </w:t>
      </w:r>
      <w:r w:rsidR="00366EB8">
        <w:t>follow-on</w:t>
      </w:r>
      <w:r>
        <w:t xml:space="preserve"> monoclonal antibody therapy in patients who do not respond to depemokimab.</w:t>
      </w:r>
    </w:p>
    <w:p w14:paraId="1F81F77D" w14:textId="77777777" w:rsidR="006667AF" w:rsidRDefault="006667AF" w:rsidP="006667AF">
      <w:r>
        <w:t>Some assurance of the safety of IL-5/5R targeting medicines is provided by other agents in the class, some with several years of experience in Australia.</w:t>
      </w:r>
    </w:p>
    <w:p w14:paraId="3D8070F8" w14:textId="7BB8CAA5" w:rsidR="006667AF" w:rsidRDefault="006667AF" w:rsidP="008C7255">
      <w:pPr>
        <w:pStyle w:val="Heading5"/>
      </w:pPr>
      <w:bookmarkStart w:id="190" w:name="_Toc98931933"/>
      <w:r w:rsidRPr="00D23139">
        <w:t>Proposed action</w:t>
      </w:r>
      <w:bookmarkEnd w:id="190"/>
      <w:r w:rsidR="008A6BD8">
        <w:fldChar w:fldCharType="begin"/>
      </w:r>
      <w:r w:rsidR="008A6BD8">
        <w:instrText xml:space="preserve"> DOCVARIABLE vault_nd_98f53275-3e1e-4fb9-b0f5-9c0b8b851944 \* MERGEFORMAT </w:instrText>
      </w:r>
      <w:r w:rsidR="008A6BD8">
        <w:fldChar w:fldCharType="separate"/>
      </w:r>
      <w:r w:rsidR="008A6BD8">
        <w:t xml:space="preserve"> </w:t>
      </w:r>
      <w:r w:rsidR="008A6BD8">
        <w:fldChar w:fldCharType="end"/>
      </w:r>
    </w:p>
    <w:p w14:paraId="547E0348" w14:textId="32CFAC95" w:rsidR="00BC167E" w:rsidRDefault="00BC167E" w:rsidP="00BC167E">
      <w:pPr>
        <w:pStyle w:val="Heading6"/>
      </w:pPr>
      <w:r>
        <w:t>Asthma indication</w:t>
      </w:r>
      <w:fldSimple w:instr="DOCVARIABLE vault_nd_5ee3a84c-d96f-44d0-a442-fe6f4ef78a50 \* MERGEFORMAT">
        <w:r w:rsidR="008A6BD8">
          <w:t xml:space="preserve"> </w:t>
        </w:r>
      </w:fldSimple>
    </w:p>
    <w:p w14:paraId="037AABD8" w14:textId="3906C9F1" w:rsidR="006667AF" w:rsidRPr="00986DB0" w:rsidRDefault="006667AF" w:rsidP="006667AF">
      <w:r w:rsidRPr="00986DB0">
        <w:t>In this preliminary review of the evidence, the Delegate finds sufficient evidence to support the quality, safety and efficacy of depemokimab</w:t>
      </w:r>
      <w:r w:rsidRPr="00986DB0">
        <w:rPr>
          <w:iCs/>
        </w:rPr>
        <w:t xml:space="preserve"> </w:t>
      </w:r>
      <w:r w:rsidRPr="00986DB0">
        <w:t>as add-on maintenance therapy of severe asthma in patients aged 12 years and older with type 2 inflammation characterised by an eosinophilic phenotype, when dosed at 100 mg SC Q26W.</w:t>
      </w:r>
    </w:p>
    <w:p w14:paraId="141F3777" w14:textId="77777777" w:rsidR="006667AF" w:rsidRPr="0091254C" w:rsidRDefault="006667AF" w:rsidP="006667AF">
      <w:r w:rsidRPr="00D834AF">
        <w:t>In the response to the asthma indication component of the Delegate’s Overview, the sponsor proposed a revised indication:</w:t>
      </w:r>
    </w:p>
    <w:p w14:paraId="0C9F9A57" w14:textId="6D5EF3E9" w:rsidR="006667AF" w:rsidRPr="00D834AF" w:rsidRDefault="00C826F1" w:rsidP="00D834AF">
      <w:pPr>
        <w:ind w:left="720"/>
        <w:rPr>
          <w:i/>
        </w:rPr>
      </w:pPr>
      <w:r>
        <w:rPr>
          <w:i/>
        </w:rPr>
        <w:lastRenderedPageBreak/>
        <w:t>Exdensur</w:t>
      </w:r>
      <w:r w:rsidR="006667AF" w:rsidRPr="00D834AF">
        <w:rPr>
          <w:i/>
        </w:rPr>
        <w:t xml:space="preserve"> is indicated as an add-on maintenance treatment of severe asthma in patients aged 12 years and older with type 2 inflammation characterised by an eosinophilic phenotype who are inadequately controlled on medium- to high-dose inhaled corticosteroids (ICS) plus another asthma controller (see Section 5.1 PHARMACODYNAMIC PROPERTIES, Clinical Trials)</w:t>
      </w:r>
    </w:p>
    <w:p w14:paraId="61F0A15E" w14:textId="5E36C44D" w:rsidR="006667AF" w:rsidRPr="0091254C" w:rsidRDefault="006667AF" w:rsidP="006667AF">
      <w:r w:rsidRPr="0091254C">
        <w:t xml:space="preserve">The sponsor notes the proposed indication is consistent with the approach taken by the TGA for </w:t>
      </w:r>
      <w:proofErr w:type="spellStart"/>
      <w:r w:rsidRPr="0091254C">
        <w:t>tezepelumab</w:t>
      </w:r>
      <w:proofErr w:type="spellEnd"/>
      <w:r w:rsidRPr="0091254C">
        <w:t xml:space="preserve"> (TEZSPIRE). The Delegate notes it is also consistent with the approach taken by Health Canada for </w:t>
      </w:r>
      <w:r w:rsidR="00C826F1">
        <w:t>Exdensur</w:t>
      </w:r>
      <w:r w:rsidRPr="0091254C">
        <w:t xml:space="preserve">. The proposed amended indication is acceptable. </w:t>
      </w:r>
    </w:p>
    <w:p w14:paraId="13F469AA" w14:textId="021CA1BF" w:rsidR="00BC167E" w:rsidRPr="002E65E5" w:rsidRDefault="00BC167E" w:rsidP="002E65E5">
      <w:pPr>
        <w:pStyle w:val="Heading6"/>
      </w:pPr>
      <w:r w:rsidRPr="002E65E5">
        <w:t>CRSwNP indication</w:t>
      </w:r>
      <w:fldSimple w:instr="DOCVARIABLE vault_nd_6b77a996-37ee-417f-8067-7f4ac9f049ba \* MERGEFORMAT">
        <w:r w:rsidR="008A6BD8">
          <w:t xml:space="preserve"> </w:t>
        </w:r>
      </w:fldSimple>
    </w:p>
    <w:p w14:paraId="653DD55F" w14:textId="29CC0BFB" w:rsidR="005D0AD4" w:rsidRPr="00BC167E" w:rsidRDefault="00BC167E" w:rsidP="005D0AD4">
      <w:r w:rsidRPr="00BC167E">
        <w:t>In this preliminary review of the evidence, the Delegate finds t</w:t>
      </w:r>
      <w:r w:rsidR="005D0AD4" w:rsidRPr="00BC167E">
        <w:t>he population described is broader than the clinical trial population randomised in the ANCHOR studies. The Delegate is not persuaded the evidence is sufficiently robust to allow extrapolation of the findings to a broader interpretation of inadequate control than described in the inclusion criteria of the study. The input of the ACM will be considered when reaching conclusions about the wording of the indication if it is approved.</w:t>
      </w:r>
    </w:p>
    <w:p w14:paraId="0E5F0C6C" w14:textId="4D276CA9" w:rsidR="00202E05" w:rsidRDefault="00202E05" w:rsidP="00202E05">
      <w:r w:rsidRPr="00C2145B">
        <w:t>The sponsor proposes the following CRSwNP indication:</w:t>
      </w:r>
    </w:p>
    <w:p w14:paraId="6F6C369E" w14:textId="77777777" w:rsidR="00202E05" w:rsidRPr="005746E3" w:rsidRDefault="00202E05" w:rsidP="00C2145B">
      <w:pPr>
        <w:ind w:left="720"/>
        <w:rPr>
          <w:rFonts w:cstheme="majorHAnsi"/>
          <w:i/>
          <w:iCs/>
          <w:lang w:eastAsia="ja-JP"/>
        </w:rPr>
      </w:pPr>
      <w:r w:rsidRPr="005746E3">
        <w:rPr>
          <w:rFonts w:cstheme="majorHAnsi"/>
          <w:i/>
          <w:iCs/>
          <w:lang w:eastAsia="ja-JP"/>
        </w:rPr>
        <w:t xml:space="preserve">As add-on maintenance therapy in patients with inadequately controlled chronic sinusitis with nasal polyps. </w:t>
      </w:r>
    </w:p>
    <w:p w14:paraId="2BCA6B26" w14:textId="7E6CE2FD" w:rsidR="003C6B85" w:rsidRDefault="003C6B85" w:rsidP="00D323A4">
      <w:pPr>
        <w:pStyle w:val="Heading4"/>
      </w:pPr>
      <w:bookmarkStart w:id="191" w:name="_Toc233817474"/>
      <w:bookmarkStart w:id="192" w:name="_Toc241481388"/>
      <w:r>
        <w:t>Conclusions</w:t>
      </w:r>
      <w:bookmarkEnd w:id="191"/>
      <w:bookmarkEnd w:id="192"/>
      <w:r w:rsidR="008A6BD8">
        <w:fldChar w:fldCharType="begin"/>
      </w:r>
      <w:r w:rsidR="008A6BD8">
        <w:instrText xml:space="preserve"> DOCVARIABLE vault_nd_1d93c72e-0296-406a-809a-58120fc0866c \* MERGEFORMAT </w:instrText>
      </w:r>
      <w:r w:rsidR="008A6BD8">
        <w:fldChar w:fldCharType="separate"/>
      </w:r>
      <w:r w:rsidR="008A6BD8">
        <w:t xml:space="preserve"> </w:t>
      </w:r>
      <w:r w:rsidR="008A6BD8">
        <w:fldChar w:fldCharType="end"/>
      </w:r>
    </w:p>
    <w:p w14:paraId="0F7D5A2A" w14:textId="148A09FC" w:rsidR="003C6B85" w:rsidRPr="002A07A6" w:rsidRDefault="003C6B85" w:rsidP="003C6B85">
      <w:r>
        <w:t xml:space="preserve">The Delegate </w:t>
      </w:r>
      <w:proofErr w:type="gramStart"/>
      <w:r>
        <w:t>is not in a position to</w:t>
      </w:r>
      <w:proofErr w:type="gramEnd"/>
      <w:r>
        <w:t xml:space="preserve"> provide a regulatory conclusion for the entirety of submission PM-2025-01588-1-</w:t>
      </w:r>
      <w:r w:rsidR="000B55CC">
        <w:t>5 but</w:t>
      </w:r>
      <w:r>
        <w:t xml:space="preserve"> is seeking specific input from the ACM about the clinical interpretation of the ANCHOR studies’ evidence supporting the CRSwNP indication. </w:t>
      </w:r>
    </w:p>
    <w:p w14:paraId="318CFABC" w14:textId="19AE7C52" w:rsidR="00C22214" w:rsidRPr="00F73346" w:rsidRDefault="00C22214" w:rsidP="00C22214">
      <w:pPr>
        <w:pStyle w:val="Heading4"/>
      </w:pPr>
      <w:bookmarkStart w:id="193" w:name="_Toc98931936"/>
      <w:bookmarkStart w:id="194" w:name="_Toc241481389"/>
      <w:bookmarkStart w:id="195" w:name="_Toc247691532"/>
      <w:bookmarkStart w:id="196" w:name="_Toc314842516"/>
      <w:r w:rsidRPr="00F73346">
        <w:t>Advisory Committee considerations</w:t>
      </w:r>
      <w:bookmarkEnd w:id="193"/>
      <w:bookmarkEnd w:id="194"/>
      <w:r w:rsidR="008A6BD8">
        <w:fldChar w:fldCharType="begin"/>
      </w:r>
      <w:r w:rsidR="008A6BD8">
        <w:instrText xml:space="preserve"> DOCVARIABLE vault_nd_0b363ce5-00b1-42ce-bf0b-b3085c21636b \* MERGEFORMAT </w:instrText>
      </w:r>
      <w:r w:rsidR="008A6BD8">
        <w:fldChar w:fldCharType="separate"/>
      </w:r>
      <w:r w:rsidR="008A6BD8">
        <w:t xml:space="preserve"> </w:t>
      </w:r>
      <w:r w:rsidR="008A6BD8">
        <w:fldChar w:fldCharType="end"/>
      </w:r>
    </w:p>
    <w:p w14:paraId="087BB9CB" w14:textId="02B3C193" w:rsidR="00C22214" w:rsidRPr="00BD5DBD" w:rsidRDefault="00C22214" w:rsidP="00C22214">
      <w:pPr>
        <w:rPr>
          <w:bCs/>
          <w:szCs w:val="22"/>
        </w:rPr>
      </w:pPr>
      <w:r w:rsidRPr="00BD5DBD">
        <w:rPr>
          <w:bCs/>
          <w:szCs w:val="22"/>
        </w:rPr>
        <w:t xml:space="preserve">The </w:t>
      </w:r>
      <w:hyperlink r:id="rId45" w:history="1">
        <w:r w:rsidRPr="00BD5DBD">
          <w:rPr>
            <w:rStyle w:val="Hyperlink"/>
            <w:szCs w:val="22"/>
          </w:rPr>
          <w:t>Advisory Committee on Medicines (ACM)</w:t>
        </w:r>
      </w:hyperlink>
      <w:r w:rsidR="00621E77">
        <w:rPr>
          <w:color w:val="007099"/>
          <w:szCs w:val="22"/>
        </w:rPr>
        <w:t xml:space="preserve">, </w:t>
      </w:r>
      <w:r w:rsidRPr="00BD5DBD">
        <w:rPr>
          <w:bCs/>
          <w:szCs w:val="22"/>
        </w:rPr>
        <w:t>having considered the evaluations and the Delegate’s overview, as well as the sponsor’s response to these documents, advised the following.</w:t>
      </w:r>
    </w:p>
    <w:p w14:paraId="0D935CC4" w14:textId="706AC5E5" w:rsidR="00C22214" w:rsidRPr="00F73346" w:rsidRDefault="00C22214" w:rsidP="00C22214">
      <w:pPr>
        <w:pStyle w:val="Heading5"/>
      </w:pPr>
      <w:r w:rsidRPr="00F73346">
        <w:t>Specific advice to the Delegate</w:t>
      </w:r>
      <w:r w:rsidR="00C77E1C">
        <w:rPr>
          <w:rFonts w:ascii="Cambria" w:eastAsiaTheme="minorHAnsi" w:hAnsi="Cambria" w:cstheme="minorBidi"/>
          <w:b w:val="0"/>
          <w:bCs w:val="0"/>
          <w:iCs/>
          <w:color w:val="auto"/>
          <w:sz w:val="22"/>
          <w:szCs w:val="20"/>
        </w:rPr>
        <w:t xml:space="preserve"> – </w:t>
      </w:r>
      <w:r w:rsidR="00C77E1C" w:rsidRPr="00C77E1C">
        <w:rPr>
          <w:iCs/>
        </w:rPr>
        <w:t>CRSwNP</w:t>
      </w:r>
      <w:r w:rsidR="00C77E1C">
        <w:rPr>
          <w:iCs/>
        </w:rPr>
        <w:t xml:space="preserve"> only</w:t>
      </w:r>
      <w:r w:rsidR="008A6BD8">
        <w:rPr>
          <w:iCs/>
        </w:rPr>
        <w:fldChar w:fldCharType="begin"/>
      </w:r>
      <w:r w:rsidR="008A6BD8">
        <w:rPr>
          <w:iCs/>
        </w:rPr>
        <w:instrText xml:space="preserve"> DOCVARIABLE vault_nd_b1cff930-89c1-47ba-ae6b-e7cba79bb8b5 \* MERGEFORMAT </w:instrText>
      </w:r>
      <w:r w:rsidR="008A6BD8">
        <w:rPr>
          <w:iCs/>
        </w:rPr>
        <w:fldChar w:fldCharType="separate"/>
      </w:r>
      <w:r w:rsidR="008A6BD8">
        <w:rPr>
          <w:iCs/>
        </w:rPr>
        <w:t xml:space="preserve"> </w:t>
      </w:r>
      <w:r w:rsidR="008A6BD8">
        <w:rPr>
          <w:iCs/>
        </w:rPr>
        <w:fldChar w:fldCharType="end"/>
      </w:r>
    </w:p>
    <w:p w14:paraId="64786E82" w14:textId="29083852" w:rsidR="00F5112C" w:rsidRPr="00F5112C" w:rsidRDefault="00F5112C" w:rsidP="00D323A4">
      <w:pPr>
        <w:rPr>
          <w:rFonts w:ascii="Arial" w:hAnsi="Arial" w:cs="Arial"/>
          <w:color w:val="000000"/>
          <w:szCs w:val="22"/>
        </w:rPr>
      </w:pPr>
      <w:r w:rsidRPr="00F5112C">
        <w:t>The ACM advised the following in response to the Delegate’s specific request for advice:</w:t>
      </w:r>
      <w:r w:rsidRPr="00F5112C">
        <w:rPr>
          <w:rFonts w:ascii="Arial" w:hAnsi="Arial" w:cs="Arial"/>
          <w:color w:val="000000"/>
          <w:szCs w:val="22"/>
        </w:rPr>
        <w:t xml:space="preserve"> </w:t>
      </w:r>
    </w:p>
    <w:p w14:paraId="07D92AB0" w14:textId="77777777" w:rsidR="00F903B7" w:rsidRDefault="00F5112C">
      <w:pPr>
        <w:pStyle w:val="DelegatesQuestions"/>
      </w:pPr>
      <w:r w:rsidRPr="00621E77">
        <w:t xml:space="preserve">The minimum clinically important difference or alternatively, an assessment of the clinical meaningfulness of the nasal obstruction VRS score. </w:t>
      </w:r>
    </w:p>
    <w:p w14:paraId="111213F3" w14:textId="7AAD846B" w:rsidR="00F5112C" w:rsidRPr="00F5112C" w:rsidRDefault="00F5112C" w:rsidP="00F903B7">
      <w:r w:rsidRPr="00F5112C">
        <w:t>Overall, the ACM was satisfied that the</w:t>
      </w:r>
      <w:r w:rsidR="00431AA5" w:rsidRPr="00431AA5">
        <w:t xml:space="preserve"> minimum clinically important difference</w:t>
      </w:r>
      <w:r w:rsidR="00431AA5">
        <w:t xml:space="preserve"> (MCID)</w:t>
      </w:r>
      <w:r w:rsidRPr="00F5112C">
        <w:t xml:space="preserve"> in nasal obstruction VRS was achieved as defined by the ANCHOR-1 and ANCHOR-2 trials, although this difference was modest and borderline statistically significant. </w:t>
      </w:r>
    </w:p>
    <w:p w14:paraId="7D93FEAE" w14:textId="77777777" w:rsidR="00F5112C" w:rsidRPr="00F5112C" w:rsidRDefault="00F5112C" w:rsidP="00621E77">
      <w:r w:rsidRPr="00F5112C">
        <w:t xml:space="preserve">However, the ACM expressed alignment with the US FDA’s assessment that the clinical meaningfulness of the nasal obstruction VRS value selected was uncertain, given inconsistencies present in the literature. </w:t>
      </w:r>
    </w:p>
    <w:p w14:paraId="2F267783" w14:textId="77777777" w:rsidR="00C55E21" w:rsidRPr="00C55E21" w:rsidRDefault="00F5112C" w:rsidP="00C55E21">
      <w:pPr>
        <w:pStyle w:val="DelegatesQuestions"/>
      </w:pPr>
      <w:r w:rsidRPr="00C55E21">
        <w:t>Whether the efficacy findings are sufficient to overcome the uncertainties to support a regulatory approval for this indication.</w:t>
      </w:r>
    </w:p>
    <w:p w14:paraId="59B89AD1" w14:textId="2E42D8DB" w:rsidR="00F5112C" w:rsidRPr="00F5112C" w:rsidRDefault="00C55E21" w:rsidP="00C55E21">
      <w:r>
        <w:t>Th</w:t>
      </w:r>
      <w:r w:rsidR="00F5112C" w:rsidRPr="00F5112C">
        <w:t xml:space="preserve">e ACM agreed with the US FDA’s assessment that the available data demonstrated a numerically small effect size in both co-primary endpoints defined in the ANCHOR clinical trial program and was limited by statistical deficiencies. </w:t>
      </w:r>
    </w:p>
    <w:p w14:paraId="1A181C45" w14:textId="77777777" w:rsidR="00F5112C" w:rsidRPr="00F5112C" w:rsidRDefault="00F5112C" w:rsidP="00F903B7">
      <w:r w:rsidRPr="00F5112C">
        <w:lastRenderedPageBreak/>
        <w:t xml:space="preserve">However, the ACM noted the heterogeneity of the pathogenic mechanisms underlying CRSwNP between individual patients and could not conclusively discount the possibility of strong responses in patients with eosinophilic and/or IL-5 driven disease presentations. The ACM stated that more detailed patient-level data would be required to characterise patient populations that are likely to respond well to depemokimab. </w:t>
      </w:r>
    </w:p>
    <w:p w14:paraId="2A013C77" w14:textId="77777777" w:rsidR="00F5112C" w:rsidRPr="00F5112C" w:rsidRDefault="00F5112C" w:rsidP="00621E77">
      <w:r w:rsidRPr="00F5112C">
        <w:t xml:space="preserve">Additionally, the ACM was satisfied that the safety profile of depemokimab was unlikely to pose a significant concern. </w:t>
      </w:r>
    </w:p>
    <w:p w14:paraId="0C7959F4" w14:textId="77777777" w:rsidR="00F5112C" w:rsidRPr="00F5112C" w:rsidRDefault="00F5112C" w:rsidP="00621E77">
      <w:r w:rsidRPr="00F5112C">
        <w:t xml:space="preserve">Ultimately, the ACM reasoned that, on balance, the safety and efficacy data are likely sufficient to allow for regulatory approval. </w:t>
      </w:r>
    </w:p>
    <w:p w14:paraId="267CAC60" w14:textId="4B39F94C" w:rsidR="00F5112C" w:rsidRPr="00C55E21" w:rsidRDefault="00F5112C" w:rsidP="00C55E21">
      <w:pPr>
        <w:pStyle w:val="DelegatesQuestions"/>
      </w:pPr>
      <w:r w:rsidRPr="00C55E21">
        <w:t xml:space="preserve">If so, should the indication be limited to the clinical trial population in the ANCHOR studies? </w:t>
      </w:r>
    </w:p>
    <w:p w14:paraId="51D5B8A3" w14:textId="12C63955" w:rsidR="00F5112C" w:rsidRDefault="00F5112C" w:rsidP="00621E77">
      <w:r w:rsidRPr="00F5112C">
        <w:t>The ACM agreed that the proposed indication should reflect the clinical trial population as defined in the ANCHOR studies, with depemokimab prescribed as an ‘add-on therapy’ to standard of care for adult patients with CRSwNP. The ACM noted that the available efficacy data was not sufficiently granular to determine a more specific population with CRSwNP that would be most likely to respond to depemokimab.</w:t>
      </w:r>
    </w:p>
    <w:p w14:paraId="5291EA2A" w14:textId="41F0156F" w:rsidR="00C22214" w:rsidRPr="00F73346" w:rsidRDefault="008D56CA" w:rsidP="00C22214">
      <w:pPr>
        <w:pStyle w:val="Heading5"/>
      </w:pPr>
      <w:r>
        <w:t>A</w:t>
      </w:r>
      <w:r w:rsidR="004A45D4">
        <w:t>dvisory committee c</w:t>
      </w:r>
      <w:r w:rsidR="00C22214" w:rsidRPr="00F73346">
        <w:t>onclusion</w:t>
      </w:r>
      <w:fldSimple w:instr="DOCVARIABLE vault_nd_3dc9f33c-04a1-40a3-945a-eda6df858534 \* MERGEFORMAT">
        <w:r w:rsidR="008A6BD8">
          <w:t xml:space="preserve"> </w:t>
        </w:r>
      </w:fldSimple>
    </w:p>
    <w:p w14:paraId="34780078" w14:textId="77777777" w:rsidR="00C77E1C" w:rsidRDefault="00C77E1C" w:rsidP="00C77E1C">
      <w:r>
        <w:t xml:space="preserve">The ACM considered this product to have an overall positive benefit-risk profile for the indication: </w:t>
      </w:r>
    </w:p>
    <w:p w14:paraId="15E2951C" w14:textId="34CCDF7A" w:rsidR="00C22214" w:rsidRDefault="00C826F1" w:rsidP="00C77E1C">
      <w:pPr>
        <w:ind w:left="720"/>
      </w:pPr>
      <w:r>
        <w:rPr>
          <w:i/>
          <w:iCs/>
        </w:rPr>
        <w:t>Exdensur</w:t>
      </w:r>
      <w:r w:rsidR="00C77E1C">
        <w:rPr>
          <w:i/>
          <w:iCs/>
        </w:rPr>
        <w:t xml:space="preserve"> is indicated as an add-on therapy with intranasal corticosteroids for the treatment of adult patients with CRSwNP inadequately controlled by systemic corticosteroids or surgery.</w:t>
      </w:r>
    </w:p>
    <w:p w14:paraId="6A48E74B" w14:textId="7B771F15" w:rsidR="00D6036F" w:rsidRDefault="00D6036F" w:rsidP="00D6036F">
      <w:pPr>
        <w:pStyle w:val="Heading4"/>
      </w:pPr>
      <w:bookmarkStart w:id="197" w:name="_Toc241481390"/>
      <w:r w:rsidRPr="000349EF">
        <w:t>Risk/benefit assessment (post-Advisory Committee Meeting)</w:t>
      </w:r>
      <w:bookmarkEnd w:id="197"/>
      <w:r w:rsidR="008A6BD8">
        <w:fldChar w:fldCharType="begin"/>
      </w:r>
      <w:r w:rsidR="008A6BD8">
        <w:instrText xml:space="preserve"> DOCVARIABLE vault_nd_5daaaf05-8d6c-47ce-9668-63134ef2331a \* MERGEFORMAT </w:instrText>
      </w:r>
      <w:r w:rsidR="008A6BD8">
        <w:fldChar w:fldCharType="separate"/>
      </w:r>
      <w:r w:rsidR="008A6BD8">
        <w:t xml:space="preserve"> </w:t>
      </w:r>
      <w:r w:rsidR="008A6BD8">
        <w:fldChar w:fldCharType="end"/>
      </w:r>
    </w:p>
    <w:p w14:paraId="092126C9" w14:textId="77777777" w:rsidR="00D90699" w:rsidRPr="00D90699" w:rsidRDefault="00D90699" w:rsidP="00601CE5">
      <w:r w:rsidRPr="00D90699">
        <w:t xml:space="preserve">The Delegate must have regard to the advice of the ACM. The ACM reasoned that the clinical utility of the medicine for the proposed indication, together with the medicine’s safety profile sufficiently overcomes the statistical uncertainties regarding the coprimary endpoint, to support a regulatory approval.  </w:t>
      </w:r>
    </w:p>
    <w:p w14:paraId="57D99614" w14:textId="120B7D10" w:rsidR="00D90699" w:rsidRPr="00D90699" w:rsidRDefault="00D90699" w:rsidP="00601CE5">
      <w:r w:rsidRPr="00D90699">
        <w:t>Weighting the advice of the ACM to approve the medicine for this indication, the Delegate is prepared to accept the ACM’s proposed indication wording and proposes to approve the indication, as follows</w:t>
      </w:r>
    </w:p>
    <w:p w14:paraId="515F6BC9" w14:textId="2AF7E70D" w:rsidR="00D90699" w:rsidRPr="00D90699" w:rsidRDefault="00C826F1" w:rsidP="00D90699">
      <w:pPr>
        <w:ind w:left="720"/>
        <w:rPr>
          <w:lang w:val="en-US"/>
        </w:rPr>
      </w:pPr>
      <w:r>
        <w:rPr>
          <w:i/>
          <w:lang w:val="en-US"/>
        </w:rPr>
        <w:t>Exdensur</w:t>
      </w:r>
      <w:r w:rsidR="00D90699" w:rsidRPr="00D90699">
        <w:rPr>
          <w:i/>
          <w:lang w:val="en-US"/>
        </w:rPr>
        <w:t xml:space="preserve"> is indicated as an add-on therapy with intranasal corticosteroids for the treatment of adult patients with CRSwNP inadequately controlled by systemic corticosteroids or surgery</w:t>
      </w:r>
    </w:p>
    <w:p w14:paraId="54B6D4C9" w14:textId="77777777" w:rsidR="00D90699" w:rsidRPr="00D90699" w:rsidRDefault="00D90699" w:rsidP="00D90699">
      <w:r w:rsidRPr="00D90699">
        <w:t xml:space="preserve">As </w:t>
      </w:r>
      <w:bookmarkStart w:id="198" w:name="_Attachment_3_–"/>
      <w:bookmarkEnd w:id="198"/>
      <w:r w:rsidRPr="00D90699">
        <w:t xml:space="preserve">of 1 July 2026, PI negotiations are ongoing regarding the final text in the PI for this indication. </w:t>
      </w:r>
    </w:p>
    <w:p w14:paraId="307F236C" w14:textId="0BE74B10" w:rsidR="00C22214" w:rsidRPr="002E238E" w:rsidRDefault="0046285C" w:rsidP="00C22214">
      <w:pPr>
        <w:pStyle w:val="Heading2"/>
      </w:pPr>
      <w:bookmarkStart w:id="199" w:name="_Toc103679300"/>
      <w:bookmarkStart w:id="200" w:name="_Toc241481391"/>
      <w:r>
        <w:t>Assessment</w:t>
      </w:r>
      <w:r w:rsidR="00190853">
        <w:t xml:space="preserve"> </w:t>
      </w:r>
      <w:r>
        <w:t>o</w:t>
      </w:r>
      <w:r w:rsidR="00C22214">
        <w:t>utcome</w:t>
      </w:r>
      <w:bookmarkEnd w:id="195"/>
      <w:bookmarkEnd w:id="196"/>
      <w:bookmarkEnd w:id="199"/>
      <w:bookmarkEnd w:id="200"/>
      <w:r w:rsidR="008A6BD8">
        <w:fldChar w:fldCharType="begin"/>
      </w:r>
      <w:r w:rsidR="008A6BD8">
        <w:instrText xml:space="preserve"> DOCVARIABLE vault_nd_1fd216b9-c6d2-48b5-8702-8408139272d7 \* MERGEFORMAT </w:instrText>
      </w:r>
      <w:r w:rsidR="008A6BD8">
        <w:fldChar w:fldCharType="separate"/>
      </w:r>
      <w:r w:rsidR="008A6BD8">
        <w:t xml:space="preserve"> </w:t>
      </w:r>
      <w:r w:rsidR="008A6BD8">
        <w:fldChar w:fldCharType="end"/>
      </w:r>
    </w:p>
    <w:p w14:paraId="4EF22939" w14:textId="0B3CC5CA" w:rsidR="00C22214" w:rsidRPr="0017005C" w:rsidRDefault="00C22214" w:rsidP="003A7CE2">
      <w:r w:rsidRPr="0017005C">
        <w:t xml:space="preserve">Based on a review of quality, safety, and efficacy, the TGA </w:t>
      </w:r>
      <w:r w:rsidR="00B46DFB">
        <w:t>decided to</w:t>
      </w:r>
      <w:r w:rsidRPr="0017005C">
        <w:t xml:space="preserve"> regist</w:t>
      </w:r>
      <w:r w:rsidR="00B46DFB">
        <w:t>er</w:t>
      </w:r>
      <w:r w:rsidRPr="0017005C">
        <w:t xml:space="preserve"> </w:t>
      </w:r>
      <w:r w:rsidR="0091012A" w:rsidRPr="0091012A">
        <w:t>E</w:t>
      </w:r>
      <w:r w:rsidR="0091012A">
        <w:t>xdensur</w:t>
      </w:r>
      <w:r w:rsidR="00B42468">
        <w:t xml:space="preserve"> </w:t>
      </w:r>
      <w:r w:rsidR="0091012A" w:rsidRPr="0091012A">
        <w:t xml:space="preserve">(depemokimab) </w:t>
      </w:r>
      <w:r w:rsidR="00134D62" w:rsidRPr="00134D62">
        <w:t xml:space="preserve">100 mg solution for injection in </w:t>
      </w:r>
      <w:r w:rsidR="000237A3" w:rsidRPr="000237A3">
        <w:t>pre-filled pen (autoinjector) or pre-filled syringe (safety syringe)</w:t>
      </w:r>
      <w:r w:rsidRPr="0017005C">
        <w:t>, indicated for:</w:t>
      </w:r>
    </w:p>
    <w:p w14:paraId="62CAA098" w14:textId="77777777" w:rsidR="009A12BD" w:rsidRDefault="00796624" w:rsidP="009A12BD">
      <w:pPr>
        <w:pStyle w:val="Indication"/>
        <w:rPr>
          <w:b/>
          <w:bCs/>
        </w:rPr>
      </w:pPr>
      <w:r w:rsidRPr="00796624">
        <w:rPr>
          <w:b/>
          <w:bCs/>
        </w:rPr>
        <w:t>Asthma</w:t>
      </w:r>
    </w:p>
    <w:p w14:paraId="4D572901" w14:textId="77777777" w:rsidR="009A12BD" w:rsidRDefault="009A12BD" w:rsidP="009A12BD">
      <w:pPr>
        <w:pStyle w:val="Indication"/>
        <w:rPr>
          <w:b/>
          <w:bCs/>
        </w:rPr>
      </w:pPr>
    </w:p>
    <w:p w14:paraId="125B7645" w14:textId="127FD691" w:rsidR="00796624" w:rsidRPr="00796624" w:rsidRDefault="00796624" w:rsidP="009A12BD">
      <w:pPr>
        <w:pStyle w:val="Indication"/>
      </w:pPr>
      <w:r w:rsidRPr="00796624">
        <w:t>E</w:t>
      </w:r>
      <w:r>
        <w:t>xdensur</w:t>
      </w:r>
      <w:r w:rsidRPr="00796624">
        <w:t xml:space="preserve"> is indicated as add-on maintenance treatment of severe asthma in patients</w:t>
      </w:r>
    </w:p>
    <w:p w14:paraId="59D4FD25" w14:textId="77777777" w:rsidR="00796624" w:rsidRPr="00796624" w:rsidRDefault="00796624" w:rsidP="00796624">
      <w:pPr>
        <w:pStyle w:val="Indication"/>
      </w:pPr>
      <w:r w:rsidRPr="00796624">
        <w:lastRenderedPageBreak/>
        <w:t>aged 12 years and older with type 2 inflammation characterised by an eosinophilic</w:t>
      </w:r>
    </w:p>
    <w:p w14:paraId="5B006A9A" w14:textId="77777777" w:rsidR="00796624" w:rsidRPr="00796624" w:rsidRDefault="00796624" w:rsidP="00796624">
      <w:pPr>
        <w:pStyle w:val="Indication"/>
      </w:pPr>
      <w:r w:rsidRPr="00796624">
        <w:t>phenotype who are inadequately controlled on medium- to high-dose inhaled</w:t>
      </w:r>
    </w:p>
    <w:p w14:paraId="3A0680F2" w14:textId="77777777" w:rsidR="00796624" w:rsidRPr="00796624" w:rsidRDefault="00796624" w:rsidP="00796624">
      <w:pPr>
        <w:pStyle w:val="Indication"/>
      </w:pPr>
      <w:r w:rsidRPr="00796624">
        <w:t>corticosteroids (ICS) plus another asthma controller (see Section 5.1</w:t>
      </w:r>
    </w:p>
    <w:p w14:paraId="571ED889" w14:textId="77777777" w:rsidR="00796624" w:rsidRDefault="00796624" w:rsidP="00796624">
      <w:pPr>
        <w:pStyle w:val="Indication"/>
      </w:pPr>
      <w:r w:rsidRPr="00796624">
        <w:t>PHARMACODYNAMIC PROPERTIES, Clinical Trials).</w:t>
      </w:r>
    </w:p>
    <w:p w14:paraId="40A49879" w14:textId="77777777" w:rsidR="00796624" w:rsidRDefault="00796624" w:rsidP="00796624">
      <w:pPr>
        <w:pStyle w:val="Indication"/>
      </w:pPr>
    </w:p>
    <w:p w14:paraId="1E5D6FA8" w14:textId="5565E239" w:rsidR="00796624" w:rsidRPr="00796624" w:rsidRDefault="00796624" w:rsidP="00796624">
      <w:pPr>
        <w:pStyle w:val="Indication"/>
        <w:rPr>
          <w:b/>
          <w:bCs/>
        </w:rPr>
      </w:pPr>
      <w:r w:rsidRPr="00796624">
        <w:rPr>
          <w:b/>
          <w:bCs/>
        </w:rPr>
        <w:t>Chronic Rhinosinusitis with Nasal Polyps (CRSwNP)</w:t>
      </w:r>
    </w:p>
    <w:p w14:paraId="076AA317" w14:textId="77777777" w:rsidR="009A12BD" w:rsidRDefault="009A12BD" w:rsidP="00796624">
      <w:pPr>
        <w:pStyle w:val="Indication"/>
      </w:pPr>
    </w:p>
    <w:p w14:paraId="019130F7" w14:textId="0B1F1DC4" w:rsidR="00796624" w:rsidRPr="00796624" w:rsidRDefault="00796624" w:rsidP="00796624">
      <w:pPr>
        <w:pStyle w:val="Indication"/>
      </w:pPr>
      <w:r w:rsidRPr="00796624">
        <w:t>E</w:t>
      </w:r>
      <w:r w:rsidR="009A12BD">
        <w:t>xdensur</w:t>
      </w:r>
      <w:r w:rsidRPr="00796624">
        <w:t xml:space="preserve"> is indicated as an add-on therapy with intranasal corticosteroids for the</w:t>
      </w:r>
    </w:p>
    <w:p w14:paraId="3A10184C" w14:textId="77777777" w:rsidR="00796624" w:rsidRPr="00796624" w:rsidRDefault="00796624" w:rsidP="00796624">
      <w:pPr>
        <w:pStyle w:val="Indication"/>
      </w:pPr>
      <w:r w:rsidRPr="00796624">
        <w:t>treatment of adult patients with CRSwNP inadequately controlled by systemic</w:t>
      </w:r>
    </w:p>
    <w:p w14:paraId="3B245AB5" w14:textId="1680E7AA" w:rsidR="00C22214" w:rsidRPr="00BD5DBD" w:rsidRDefault="00796624" w:rsidP="00796624">
      <w:pPr>
        <w:pStyle w:val="Indication"/>
      </w:pPr>
      <w:r w:rsidRPr="00796624">
        <w:t>corticosteroids or surgery.</w:t>
      </w:r>
    </w:p>
    <w:p w14:paraId="0D732DA4" w14:textId="60784673" w:rsidR="00854D98" w:rsidRPr="00D23139" w:rsidRDefault="00854D98" w:rsidP="00872943">
      <w:pPr>
        <w:pStyle w:val="Heading3"/>
      </w:pPr>
      <w:bookmarkStart w:id="201" w:name="_Toc103679301"/>
      <w:bookmarkStart w:id="202" w:name="_Toc241481392"/>
      <w:r w:rsidRPr="00D23139">
        <w:t>Specific conditions of registration</w:t>
      </w:r>
      <w:bookmarkEnd w:id="201"/>
      <w:bookmarkEnd w:id="202"/>
      <w:r w:rsidR="008A6BD8">
        <w:fldChar w:fldCharType="begin"/>
      </w:r>
      <w:r w:rsidR="008A6BD8">
        <w:instrText xml:space="preserve"> DOCVARIABLE vault_nd_bbebb913-94ee-4588-b6ff-3427e959f82b \* MERGEFORMAT </w:instrText>
      </w:r>
      <w:r w:rsidR="008A6BD8">
        <w:fldChar w:fldCharType="separate"/>
      </w:r>
      <w:r w:rsidR="008A6BD8">
        <w:t xml:space="preserve"> </w:t>
      </w:r>
      <w:r w:rsidR="008A6BD8">
        <w:fldChar w:fldCharType="end"/>
      </w:r>
    </w:p>
    <w:p w14:paraId="7A1DCC3C" w14:textId="48969AAD" w:rsidR="00B21C77" w:rsidRPr="005017AF" w:rsidRDefault="00C826F1" w:rsidP="005017AF">
      <w:pPr>
        <w:pStyle w:val="ListBullet"/>
      </w:pPr>
      <w:r w:rsidRPr="005017AF">
        <w:t>Exdensur</w:t>
      </w:r>
      <w:r w:rsidR="00B21C77" w:rsidRPr="005017AF">
        <w:t xml:space="preserve"> (depemokimab) is to be included in the Black Triangle Scheme. The PI and</w:t>
      </w:r>
      <w:r w:rsidR="000A3D94" w:rsidRPr="005017AF">
        <w:t xml:space="preserve"> </w:t>
      </w:r>
      <w:r w:rsidR="00B21C77" w:rsidRPr="005017AF">
        <w:t xml:space="preserve">CMI for </w:t>
      </w:r>
      <w:r w:rsidRPr="005017AF">
        <w:t>Exdensur</w:t>
      </w:r>
      <w:r w:rsidR="00B21C77" w:rsidRPr="005017AF">
        <w:t xml:space="preserve"> must include the black triangle symbol and mandatory</w:t>
      </w:r>
      <w:r w:rsidR="000A3D94" w:rsidRPr="005017AF">
        <w:t xml:space="preserve"> </w:t>
      </w:r>
      <w:r w:rsidR="00B21C77" w:rsidRPr="005017AF">
        <w:t>accompanying text for five years, which starts from the date of first supply of the</w:t>
      </w:r>
      <w:r w:rsidR="000A3D94" w:rsidRPr="005017AF">
        <w:t xml:space="preserve"> </w:t>
      </w:r>
      <w:r w:rsidR="00B21C77" w:rsidRPr="005017AF">
        <w:t>product.</w:t>
      </w:r>
    </w:p>
    <w:p w14:paraId="21A2C08D" w14:textId="4AE81ED5" w:rsidR="00B21C77" w:rsidRPr="005017AF" w:rsidRDefault="00B21C77" w:rsidP="005017AF">
      <w:pPr>
        <w:pStyle w:val="ListBullet"/>
      </w:pPr>
      <w:r w:rsidRPr="005017AF">
        <w:t>The Exdensur EU-Risk Management Plan (RMP) version 1.0</w:t>
      </w:r>
      <w:r w:rsidR="000A3D94" w:rsidRPr="005017AF">
        <w:t xml:space="preserve"> (</w:t>
      </w:r>
      <w:r w:rsidRPr="005017AF">
        <w:t>dated 04 December</w:t>
      </w:r>
      <w:r w:rsidR="000A3D94" w:rsidRPr="005017AF">
        <w:t xml:space="preserve"> </w:t>
      </w:r>
      <w:r w:rsidRPr="005017AF">
        <w:t>2025, data lock point 20 September 2024), with Australia-Specific Annex (ASA)</w:t>
      </w:r>
      <w:r w:rsidR="000A3D94" w:rsidRPr="005017AF">
        <w:t xml:space="preserve"> </w:t>
      </w:r>
      <w:r w:rsidRPr="005017AF">
        <w:t>version 1.1</w:t>
      </w:r>
      <w:r w:rsidR="004F544B" w:rsidRPr="005017AF">
        <w:t xml:space="preserve"> (</w:t>
      </w:r>
      <w:r w:rsidRPr="005017AF">
        <w:t>dated 19 December 2025), included with submission PM-2025-01558-1-2, and any subsequent revisions, as agreed with the TGA will be</w:t>
      </w:r>
      <w:r w:rsidR="004F544B" w:rsidRPr="005017AF">
        <w:t xml:space="preserve"> </w:t>
      </w:r>
      <w:r w:rsidRPr="005017AF">
        <w:t>implemented in Australia.</w:t>
      </w:r>
    </w:p>
    <w:p w14:paraId="60C4CC58" w14:textId="6F29BDB2" w:rsidR="00B21C77" w:rsidRPr="00B21C77" w:rsidRDefault="00B21C77">
      <w:pPr>
        <w:pStyle w:val="ListBullet"/>
      </w:pPr>
      <w:r w:rsidRPr="00B21C77">
        <w:t>An obligatory component of risk management plans is routine</w:t>
      </w:r>
      <w:r w:rsidR="004F544B">
        <w:t xml:space="preserve"> </w:t>
      </w:r>
      <w:r w:rsidRPr="00B21C77">
        <w:t>pharmacovigilance. Routine pharmacovigilance includes the submission of</w:t>
      </w:r>
      <w:r w:rsidR="004F544B">
        <w:t xml:space="preserve"> </w:t>
      </w:r>
      <w:r w:rsidRPr="00B21C77">
        <w:t>periodic safety update reports (PSURs).</w:t>
      </w:r>
      <w:r w:rsidR="004F544B">
        <w:t xml:space="preserve"> </w:t>
      </w:r>
      <w:r w:rsidRPr="00B21C77">
        <w:t>Unless agreed separately between the supplier who is the recipient of the</w:t>
      </w:r>
      <w:r w:rsidR="004F544B">
        <w:t xml:space="preserve"> </w:t>
      </w:r>
      <w:r w:rsidRPr="00B21C77">
        <w:t>approval and the TGA, the first report must be submitted to TGA no later than 15</w:t>
      </w:r>
      <w:r w:rsidR="004F544B">
        <w:t xml:space="preserve"> </w:t>
      </w:r>
      <w:r w:rsidRPr="00B21C77">
        <w:t>calendar months after the date of this approval letter. The subsequent reports</w:t>
      </w:r>
      <w:r w:rsidR="004F544B">
        <w:t xml:space="preserve"> </w:t>
      </w:r>
      <w:r w:rsidRPr="00B21C77">
        <w:t>must be submitted no less frequently than annually from the date of the first</w:t>
      </w:r>
      <w:r w:rsidR="004F544B">
        <w:t xml:space="preserve"> </w:t>
      </w:r>
      <w:r w:rsidRPr="00B21C77">
        <w:t>submitted report until the period covered by such reports is not less than three</w:t>
      </w:r>
      <w:r w:rsidR="003F6B9E">
        <w:t xml:space="preserve"> </w:t>
      </w:r>
      <w:r w:rsidRPr="00B21C77">
        <w:t>years from the date of this approval letter. The annual submission may be made</w:t>
      </w:r>
      <w:r w:rsidR="003F6B9E">
        <w:t xml:space="preserve"> </w:t>
      </w:r>
      <w:r w:rsidRPr="00B21C77">
        <w:t xml:space="preserve">up of two PSURs each covering six months. If the sponsor wishes, the </w:t>
      </w:r>
      <w:r w:rsidR="00A224A6" w:rsidRPr="00B21C77">
        <w:t>six</w:t>
      </w:r>
      <w:r w:rsidR="00A224A6">
        <w:t>-monthly</w:t>
      </w:r>
      <w:r w:rsidRPr="00B21C77">
        <w:t xml:space="preserve"> reports may be submitted separately as they become available.</w:t>
      </w:r>
    </w:p>
    <w:p w14:paraId="79678C83" w14:textId="577898C8" w:rsidR="00B21C77" w:rsidRPr="00B21C77" w:rsidRDefault="00B21C77" w:rsidP="00456CEC">
      <w:pPr>
        <w:pStyle w:val="ListBullet"/>
        <w:numPr>
          <w:ilvl w:val="0"/>
          <w:numId w:val="0"/>
        </w:numPr>
        <w:ind w:left="360"/>
      </w:pPr>
      <w:r w:rsidRPr="00B21C77">
        <w:t>If the product is approved in the EU during the three years period, reports can be</w:t>
      </w:r>
      <w:r w:rsidR="003F6B9E">
        <w:t xml:space="preserve"> </w:t>
      </w:r>
      <w:r w:rsidRPr="00B21C77">
        <w:t>provided in line with the published list of EU reference dates no less frequently</w:t>
      </w:r>
      <w:r w:rsidR="003F6B9E">
        <w:t xml:space="preserve"> </w:t>
      </w:r>
      <w:r w:rsidRPr="00B21C77">
        <w:t>than annually from the date of the first submitted report until the period covered</w:t>
      </w:r>
      <w:r w:rsidR="00456CEC">
        <w:t xml:space="preserve"> </w:t>
      </w:r>
      <w:r w:rsidRPr="00B21C77">
        <w:t>by such reports is not less than three years from the date of this approval letter.</w:t>
      </w:r>
    </w:p>
    <w:p w14:paraId="23F61005" w14:textId="18E906CA" w:rsidR="00B21C77" w:rsidRPr="00B21C77" w:rsidRDefault="00B21C77" w:rsidP="001E0AFF">
      <w:pPr>
        <w:pStyle w:val="ListBullet"/>
        <w:numPr>
          <w:ilvl w:val="0"/>
          <w:numId w:val="0"/>
        </w:numPr>
        <w:ind w:left="360"/>
      </w:pPr>
      <w:r w:rsidRPr="00B21C77">
        <w:t>The reports are to at least meet the requirements for PSURs as described in the</w:t>
      </w:r>
      <w:r w:rsidR="00456CEC">
        <w:t xml:space="preserve"> </w:t>
      </w:r>
      <w:r w:rsidRPr="00B21C77">
        <w:t>European Medicines Agency’s Guideline on good pharmacovigilance practices</w:t>
      </w:r>
      <w:r w:rsidR="00456CEC">
        <w:t xml:space="preserve"> </w:t>
      </w:r>
      <w:r w:rsidRPr="00B21C77">
        <w:t>(GVP) Module VII-periodic safety update report (Rev 1), Part VII.B Structures</w:t>
      </w:r>
      <w:r w:rsidR="00456CEC">
        <w:t xml:space="preserve"> </w:t>
      </w:r>
      <w:r w:rsidRPr="00B21C77">
        <w:t>and processes. Note that submission of a PSUR does not constitute an application</w:t>
      </w:r>
      <w:r w:rsidR="00456CEC">
        <w:t xml:space="preserve"> </w:t>
      </w:r>
      <w:r w:rsidRPr="00B21C77">
        <w:t>to vary the registration. Each report must be submitted within ninety calendar</w:t>
      </w:r>
      <w:r w:rsidR="001E0AFF">
        <w:t xml:space="preserve"> </w:t>
      </w:r>
      <w:r w:rsidRPr="00B21C77">
        <w:t>days of the data lock point for that report.</w:t>
      </w:r>
    </w:p>
    <w:p w14:paraId="31D16529" w14:textId="43DD8E99" w:rsidR="00B21C77" w:rsidRPr="005017AF" w:rsidRDefault="00B21C77" w:rsidP="005017AF">
      <w:pPr>
        <w:pStyle w:val="ListBullet"/>
        <w:rPr>
          <w:b/>
          <w:bCs/>
        </w:rPr>
      </w:pPr>
      <w:r w:rsidRPr="005017AF">
        <w:rPr>
          <w:b/>
          <w:bCs/>
        </w:rPr>
        <w:t>Laboratory testing &amp; compliance with Certified Product Details (CPD)</w:t>
      </w:r>
    </w:p>
    <w:p w14:paraId="703702B3" w14:textId="77777777" w:rsidR="004930CD" w:rsidRDefault="00B21C77" w:rsidP="005017AF">
      <w:pPr>
        <w:pStyle w:val="ListBullet2"/>
      </w:pPr>
      <w:r w:rsidRPr="00B21C77">
        <w:t xml:space="preserve">All batches of </w:t>
      </w:r>
      <w:proofErr w:type="spellStart"/>
      <w:r w:rsidRPr="00B21C77">
        <w:t>Exdendur</w:t>
      </w:r>
      <w:proofErr w:type="spellEnd"/>
      <w:r w:rsidRPr="00B21C77">
        <w:t xml:space="preserve"> </w:t>
      </w:r>
      <w:proofErr w:type="spellStart"/>
      <w:r w:rsidRPr="00B21C77">
        <w:t>depemokimab</w:t>
      </w:r>
      <w:proofErr w:type="spellEnd"/>
      <w:r w:rsidRPr="00B21C77">
        <w:t xml:space="preserve"> supplied in Australia must comply with the</w:t>
      </w:r>
      <w:r w:rsidR="00F87C47">
        <w:t xml:space="preserve"> </w:t>
      </w:r>
      <w:r w:rsidRPr="00B21C77">
        <w:t>product details and specifications approved during evaluation and detailed in the</w:t>
      </w:r>
      <w:r w:rsidR="00F87C47">
        <w:t xml:space="preserve"> </w:t>
      </w:r>
      <w:r w:rsidRPr="00B21C77">
        <w:t>Certified Product Details (CPD).</w:t>
      </w:r>
      <w:r w:rsidR="00F87C47">
        <w:t xml:space="preserve"> </w:t>
      </w:r>
    </w:p>
    <w:p w14:paraId="20CEBF2F" w14:textId="34755091" w:rsidR="00B21C77" w:rsidRPr="00B21C77" w:rsidRDefault="00B21C77" w:rsidP="005017AF">
      <w:pPr>
        <w:pStyle w:val="ListBullet2"/>
      </w:pPr>
      <w:r w:rsidRPr="00B21C77">
        <w:t>When requested by the TGA, the Sponsor should be prepared to provide product</w:t>
      </w:r>
      <w:r w:rsidR="00F87C47">
        <w:t xml:space="preserve"> </w:t>
      </w:r>
      <w:r w:rsidRPr="00B21C77">
        <w:t>samples, specified reference materials and documentary evidence to enable the TGA</w:t>
      </w:r>
      <w:r w:rsidR="004930CD">
        <w:t xml:space="preserve"> </w:t>
      </w:r>
      <w:r w:rsidRPr="00B21C77">
        <w:t>to conduct laboratory testing on the Product. Outcomes of laboratory testing are</w:t>
      </w:r>
      <w:r w:rsidR="004930CD">
        <w:t xml:space="preserve"> </w:t>
      </w:r>
      <w:r w:rsidRPr="00B21C77">
        <w:t>published biannually in the TGA Database of Laboratory Testing Results</w:t>
      </w:r>
      <w:r w:rsidR="004930CD">
        <w:t xml:space="preserve"> </w:t>
      </w:r>
      <w:hyperlink r:id="rId46" w:history="1">
        <w:r w:rsidR="004715DC" w:rsidRPr="002014D3">
          <w:rPr>
            <w:rStyle w:val="Hyperlink"/>
          </w:rPr>
          <w:t>http://www.tga.gov.au/ws-labs-index</w:t>
        </w:r>
      </w:hyperlink>
      <w:r w:rsidR="004715DC">
        <w:t xml:space="preserve"> </w:t>
      </w:r>
      <w:r w:rsidRPr="00B21C77">
        <w:t>and periodically in testing reports on the TGA</w:t>
      </w:r>
      <w:r w:rsidR="004930CD">
        <w:t xml:space="preserve"> </w:t>
      </w:r>
      <w:r w:rsidRPr="00B21C77">
        <w:t>website.</w:t>
      </w:r>
    </w:p>
    <w:p w14:paraId="36893C60" w14:textId="079464B9" w:rsidR="00B21C77" w:rsidRPr="005017AF" w:rsidRDefault="00B21C77" w:rsidP="005017AF">
      <w:pPr>
        <w:pStyle w:val="ListBullet"/>
        <w:rPr>
          <w:b/>
          <w:bCs/>
        </w:rPr>
      </w:pPr>
      <w:r w:rsidRPr="005017AF">
        <w:rPr>
          <w:b/>
          <w:bCs/>
        </w:rPr>
        <w:t>Certified Product Details</w:t>
      </w:r>
    </w:p>
    <w:p w14:paraId="53BF964F" w14:textId="7F82CD0E" w:rsidR="00B21C77" w:rsidRPr="00B21C77" w:rsidRDefault="00B21C77" w:rsidP="0041224E">
      <w:pPr>
        <w:pStyle w:val="ListBullet"/>
        <w:numPr>
          <w:ilvl w:val="0"/>
          <w:numId w:val="0"/>
        </w:numPr>
        <w:ind w:left="360"/>
      </w:pPr>
      <w:r w:rsidRPr="00B21C77">
        <w:lastRenderedPageBreak/>
        <w:t>The Certified Product Details (CPD), as described in Guidance 7: Certified Product</w:t>
      </w:r>
      <w:r w:rsidR="000C294F">
        <w:t xml:space="preserve"> </w:t>
      </w:r>
      <w:r w:rsidRPr="00B21C77">
        <w:t>Details of the Australian Regulatory Guidelines for Prescription Medicines (ARGPM),</w:t>
      </w:r>
      <w:r w:rsidR="000C294F">
        <w:t xml:space="preserve"> </w:t>
      </w:r>
      <w:r w:rsidRPr="00B21C77">
        <w:t>in PDF format, for the above products should be provided upon registration of these</w:t>
      </w:r>
      <w:r w:rsidR="000C294F">
        <w:t xml:space="preserve"> </w:t>
      </w:r>
      <w:r w:rsidRPr="00B21C77">
        <w:t>therapeutic goods. In addition, an updated CPD should be provided when changes to</w:t>
      </w:r>
      <w:r w:rsidR="000C294F">
        <w:t xml:space="preserve"> </w:t>
      </w:r>
      <w:r w:rsidRPr="00B21C77">
        <w:t>finished product specifications and test methods are approved in a Category 3</w:t>
      </w:r>
      <w:r w:rsidR="0041224E">
        <w:t xml:space="preserve"> </w:t>
      </w:r>
      <w:r w:rsidRPr="00B21C77">
        <w:t>application or notified through a self-assessable change.</w:t>
      </w:r>
    </w:p>
    <w:p w14:paraId="3C9F164F" w14:textId="6373A566" w:rsidR="00B21C77" w:rsidRPr="00F73346" w:rsidRDefault="00B21C77" w:rsidP="0041224E">
      <w:pPr>
        <w:pStyle w:val="ListBullet"/>
        <w:numPr>
          <w:ilvl w:val="0"/>
          <w:numId w:val="0"/>
        </w:numPr>
        <w:ind w:left="360"/>
      </w:pPr>
      <w:r w:rsidRPr="00B21C77">
        <w:t>A template for preparation of CPD for biological prescription medicines can be</w:t>
      </w:r>
      <w:r w:rsidR="0041224E">
        <w:t xml:space="preserve"> </w:t>
      </w:r>
      <w:r w:rsidRPr="00B21C77">
        <w:t>obtained from the TGA website</w:t>
      </w:r>
      <w:r w:rsidR="0041224E">
        <w:t xml:space="preserve"> </w:t>
      </w:r>
      <w:r w:rsidRPr="00B21C77">
        <w:t xml:space="preserve">[for the form] </w:t>
      </w:r>
      <w:hyperlink r:id="rId47" w:history="1">
        <w:r w:rsidR="0041224E" w:rsidRPr="003006FD">
          <w:rPr>
            <w:rStyle w:val="Hyperlink"/>
          </w:rPr>
          <w:t>https://www.tga.gov.au/form/certified-product-details-cpd-biologicalprescription-medicines</w:t>
        </w:r>
      </w:hyperlink>
      <w:r w:rsidR="0041224E">
        <w:t xml:space="preserve"> </w:t>
      </w:r>
      <w:r w:rsidRPr="00B21C77">
        <w:t xml:space="preserve">[for the CPD guidance] </w:t>
      </w:r>
      <w:hyperlink r:id="rId48" w:history="1">
        <w:r w:rsidR="0041224E" w:rsidRPr="003006FD">
          <w:rPr>
            <w:rStyle w:val="Hyperlink"/>
          </w:rPr>
          <w:t>https://www.tga.gov.au/guidance-7-certified-product-details</w:t>
        </w:r>
      </w:hyperlink>
      <w:r w:rsidR="0041224E">
        <w:t xml:space="preserve"> </w:t>
      </w:r>
    </w:p>
    <w:p w14:paraId="0F9C1952" w14:textId="36649854" w:rsidR="00BA657C" w:rsidRPr="00BA657C" w:rsidRDefault="00BA657C" w:rsidP="004D4AD5">
      <w:pPr>
        <w:pStyle w:val="Heading3"/>
      </w:pPr>
      <w:bookmarkStart w:id="203" w:name="_Toc196738290"/>
      <w:bookmarkStart w:id="204" w:name="_Toc241481393"/>
      <w:r w:rsidRPr="00BA657C">
        <w:t>Product Information and Consumer Medicine Information</w:t>
      </w:r>
      <w:bookmarkEnd w:id="203"/>
      <w:bookmarkEnd w:id="204"/>
      <w:r w:rsidR="008A6BD8">
        <w:fldChar w:fldCharType="begin"/>
      </w:r>
      <w:r w:rsidR="008A6BD8">
        <w:instrText xml:space="preserve"> DOCVARIABLE vault_nd_5d2d20f5-613e-4656-8653-a6a1aa44d60c \* MERGEFORMAT </w:instrText>
      </w:r>
      <w:r w:rsidR="008A6BD8">
        <w:fldChar w:fldCharType="separate"/>
      </w:r>
      <w:r w:rsidR="008A6BD8">
        <w:t xml:space="preserve"> </w:t>
      </w:r>
      <w:r w:rsidR="008A6BD8">
        <w:fldChar w:fldCharType="end"/>
      </w:r>
    </w:p>
    <w:p w14:paraId="5F276616" w14:textId="6667B73D" w:rsidR="004D0933" w:rsidRPr="004D0933" w:rsidRDefault="004D0933" w:rsidP="004D0933">
      <w:bookmarkStart w:id="205" w:name="_Hlk200021736"/>
      <w:r w:rsidRPr="004D0933">
        <w:t xml:space="preserve">For the most recent Product Information (PI) and Consumer Medicine Information (CMI), please refer to the TGA </w:t>
      </w:r>
      <w:hyperlink r:id="rId49" w:history="1">
        <w:r w:rsidRPr="004D0933">
          <w:rPr>
            <w:rStyle w:val="Hyperlink"/>
          </w:rPr>
          <w:t>PI/CMI search facility.</w:t>
        </w:r>
      </w:hyperlink>
    </w:p>
    <w:bookmarkEnd w:id="205"/>
    <w:p w14:paraId="4E8B0A55" w14:textId="77777777" w:rsidR="00C22214" w:rsidRDefault="00C22214" w:rsidP="00C22214">
      <w:pPr>
        <w:rPr>
          <w:lang w:eastAsia="ja-JP"/>
        </w:rPr>
      </w:pPr>
    </w:p>
    <w:p w14:paraId="0EC03FC4" w14:textId="77777777" w:rsidR="00647C5E" w:rsidRDefault="00647C5E" w:rsidP="00C22214">
      <w:pPr>
        <w:rPr>
          <w:lang w:eastAsia="ja-JP"/>
        </w:rPr>
      </w:pPr>
    </w:p>
    <w:p w14:paraId="53357BF3" w14:textId="00C64AB5" w:rsidR="00647C5E" w:rsidRDefault="00647C5E" w:rsidP="00C22214">
      <w:pPr>
        <w:rPr>
          <w:lang w:eastAsia="ja-JP"/>
        </w:rPr>
        <w:sectPr w:rsidR="00647C5E" w:rsidSect="007452E8">
          <w:headerReference w:type="default" r:id="rId50"/>
          <w:footerReference w:type="default" r:id="rId51"/>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3"/>
          <w:bookmarkEnd w:id="4"/>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52"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4533D80F" w14:textId="1519D7A3" w:rsidR="00F02AEC" w:rsidRPr="00215D48" w:rsidRDefault="00F02AEC">
            <w:pPr>
              <w:pStyle w:val="Address"/>
              <w:jc w:val="center"/>
              <w:rPr>
                <w:rStyle w:val="Hyperlink"/>
                <w:b/>
                <w:color w:val="auto"/>
                <w:sz w:val="22"/>
              </w:rPr>
            </w:pPr>
            <w:hyperlink r:id="rId53" w:history="1">
              <w:r w:rsidRPr="00C4721A">
                <w:rPr>
                  <w:rStyle w:val="Hyperlink"/>
                  <w:b/>
                </w:rPr>
                <w:t>https://www.tga.gov.au</w:t>
              </w:r>
            </w:hyperlink>
          </w:p>
        </w:tc>
      </w:tr>
      <w:tr w:rsidR="00F02AEC" w:rsidRPr="00215D48" w14:paraId="2AD74347" w14:textId="77777777" w:rsidTr="007452E8">
        <w:trPr>
          <w:trHeight w:val="251"/>
          <w:jc w:val="center"/>
        </w:trPr>
        <w:tc>
          <w:tcPr>
            <w:tcW w:w="9145" w:type="dxa"/>
            <w:tcMar>
              <w:top w:w="28" w:type="dxa"/>
            </w:tcMar>
          </w:tcPr>
          <w:p w14:paraId="6EAAD5C1" w14:textId="77777777" w:rsidR="00F02AEC" w:rsidRPr="00215D48" w:rsidRDefault="00F02AEC" w:rsidP="007452E8">
            <w:pPr>
              <w:pStyle w:val="Address"/>
              <w:jc w:val="center"/>
            </w:pPr>
            <w:r w:rsidRPr="00215D48">
              <w:t>Reference/Publication #</w:t>
            </w:r>
          </w:p>
        </w:tc>
      </w:tr>
    </w:tbl>
    <w:p w14:paraId="788B80FD" w14:textId="77777777" w:rsidR="007452E8" w:rsidRDefault="007452E8"/>
    <w:sectPr w:rsidR="007452E8" w:rsidSect="007452E8">
      <w:headerReference w:type="first" r:id="rId54"/>
      <w:footerReference w:type="first" r:id="rId55"/>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5EEB1" w14:textId="77777777" w:rsidR="00A46680" w:rsidRDefault="00A46680" w:rsidP="00F02AEC">
      <w:pPr>
        <w:spacing w:after="0" w:line="240" w:lineRule="auto"/>
      </w:pPr>
      <w:r>
        <w:separator/>
      </w:r>
    </w:p>
  </w:endnote>
  <w:endnote w:type="continuationSeparator" w:id="0">
    <w:p w14:paraId="2787F4B2" w14:textId="77777777" w:rsidR="00A46680" w:rsidRDefault="00A46680"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SegoeUISymbol">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2BB8" w14:textId="20972F56" w:rsidR="00AF2184" w:rsidRDefault="006327CC">
    <w:pPr>
      <w:pStyle w:val="Footer"/>
    </w:pPr>
    <w:r>
      <w:rPr>
        <w:noProof/>
      </w:rPr>
      <mc:AlternateContent>
        <mc:Choice Requires="wps">
          <w:drawing>
            <wp:anchor distT="0" distB="0" distL="0" distR="0" simplePos="0" relativeHeight="251658245" behindDoc="0" locked="0" layoutInCell="1" allowOverlap="1" wp14:anchorId="62FFAF69" wp14:editId="5E7E3EC0">
              <wp:simplePos x="635" y="635"/>
              <wp:positionH relativeFrom="page">
                <wp:align>left</wp:align>
              </wp:positionH>
              <wp:positionV relativeFrom="page">
                <wp:align>bottom</wp:align>
              </wp:positionV>
              <wp:extent cx="2243455" cy="357505"/>
              <wp:effectExtent l="0" t="0" r="4445" b="0"/>
              <wp:wrapNone/>
              <wp:docPr id="802544386" name="Text Box 2" descr="Critical &amp; Sensitive Information (CS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43455" cy="357505"/>
                      </a:xfrm>
                      <a:prstGeom prst="rect">
                        <a:avLst/>
                      </a:prstGeom>
                      <a:noFill/>
                      <a:ln>
                        <a:noFill/>
                      </a:ln>
                    </wps:spPr>
                    <wps:txbx>
                      <w:txbxContent>
                        <w:p w14:paraId="7F131B9A" w14:textId="1B16D5F6" w:rsidR="006327CC" w:rsidRPr="006327CC" w:rsidRDefault="006327CC" w:rsidP="006327CC">
                          <w:pPr>
                            <w:spacing w:after="0"/>
                            <w:rPr>
                              <w:rFonts w:ascii="Aptos" w:eastAsia="Aptos" w:hAnsi="Aptos" w:cs="Aptos"/>
                              <w:noProof/>
                              <w:color w:val="FF0000"/>
                              <w:sz w:val="20"/>
                            </w:rPr>
                          </w:pPr>
                          <w:r w:rsidRPr="006327CC">
                            <w:rPr>
                              <w:rFonts w:ascii="Aptos" w:eastAsia="Aptos" w:hAnsi="Aptos" w:cs="Aptos"/>
                              <w:noProof/>
                              <w:color w:val="FF0000"/>
                              <w:sz w:val="20"/>
                            </w:rPr>
                            <w:t>Critical &amp; Sensitive Information (CSI)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FFAF69" id="_x0000_t202" coordsize="21600,21600" o:spt="202" path="m,l,21600r21600,l21600,xe">
              <v:stroke joinstyle="miter"/>
              <v:path gradientshapeok="t" o:connecttype="rect"/>
            </v:shapetype>
            <v:shape id="Text Box 2" o:spid="_x0000_s1026" type="#_x0000_t202" alt="Critical &amp; Sensitive Information (CSI)" style="position:absolute;margin-left:0;margin-top:0;width:176.65pt;height:28.1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" filled="f" stroked="f">
              <v:textbox style="mso-fit-shape-to-text:t" inset="20pt,0,0,15pt">
                <w:txbxContent>
                  <w:p w14:paraId="7F131B9A" w14:textId="1B16D5F6" w:rsidR="006327CC" w:rsidRPr="006327CC" w:rsidRDefault="006327CC" w:rsidP="006327CC">
                    <w:pPr>
                      <w:spacing w:after="0"/>
                      <w:rPr>
                        <w:rFonts w:ascii="Aptos" w:eastAsia="Aptos" w:hAnsi="Aptos" w:cs="Aptos"/>
                        <w:noProof/>
                        <w:color w:val="FF0000"/>
                        <w:sz w:val="20"/>
                      </w:rPr>
                    </w:pPr>
                    <w:r w:rsidRPr="006327CC">
                      <w:rPr>
                        <w:rFonts w:ascii="Aptos" w:eastAsia="Aptos" w:hAnsi="Aptos" w:cs="Aptos"/>
                        <w:noProof/>
                        <w:color w:val="FF0000"/>
                        <w:sz w:val="20"/>
                      </w:rPr>
                      <w:t>Critical &amp; Sensitive Information (CSI)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57138" w14:paraId="162D69C2" w14:textId="77777777" w:rsidTr="007452E8">
      <w:trPr>
        <w:trHeight w:val="423"/>
      </w:trPr>
      <w:tc>
        <w:tcPr>
          <w:tcW w:w="4360" w:type="dxa"/>
          <w:tcBorders>
            <w:top w:val="single" w:sz="4" w:space="0" w:color="auto"/>
          </w:tcBorders>
        </w:tcPr>
        <w:p w14:paraId="32E1B782" w14:textId="52C5C9B8" w:rsidR="007452E8" w:rsidRDefault="006327CC" w:rsidP="007452E8">
          <w:pPr>
            <w:pStyle w:val="Footer"/>
          </w:pPr>
          <w:r>
            <w:rPr>
              <w:noProof/>
            </w:rPr>
            <mc:AlternateContent>
              <mc:Choice Requires="wps">
                <w:drawing>
                  <wp:anchor distT="0" distB="0" distL="0" distR="0" simplePos="0" relativeHeight="251658242" behindDoc="0" locked="0" layoutInCell="1" allowOverlap="1" wp14:anchorId="08D87090" wp14:editId="4CF41A8A">
                    <wp:simplePos x="635" y="635"/>
                    <wp:positionH relativeFrom="page">
                      <wp:align>left</wp:align>
                    </wp:positionH>
                    <wp:positionV relativeFrom="page">
                      <wp:align>bottom</wp:align>
                    </wp:positionV>
                    <wp:extent cx="2243455" cy="357505"/>
                    <wp:effectExtent l="0" t="0" r="4445" b="0"/>
                    <wp:wrapNone/>
                    <wp:docPr id="1554636557" name="Text Box 3" descr="Critical &amp; Sensitive Information (CS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43455" cy="357505"/>
                            </a:xfrm>
                            <a:prstGeom prst="rect">
                              <a:avLst/>
                            </a:prstGeom>
                            <a:noFill/>
                            <a:ln>
                              <a:noFill/>
                            </a:ln>
                          </wps:spPr>
                          <wps:txbx>
                            <w:txbxContent>
                              <w:p w14:paraId="50FC7920" w14:textId="00BFA8C8" w:rsidR="006327CC" w:rsidRPr="006327CC" w:rsidRDefault="006327CC" w:rsidP="006327CC">
                                <w:pPr>
                                  <w:spacing w:after="0"/>
                                  <w:rPr>
                                    <w:rFonts w:ascii="Aptos" w:eastAsia="Aptos" w:hAnsi="Aptos" w:cs="Aptos"/>
                                    <w:noProof/>
                                    <w:color w:val="FF0000"/>
                                    <w:sz w:val="20"/>
                                  </w:rPr>
                                </w:pPr>
                                <w:r w:rsidRPr="006327CC">
                                  <w:rPr>
                                    <w:rFonts w:ascii="Aptos" w:eastAsia="Aptos" w:hAnsi="Aptos" w:cs="Aptos"/>
                                    <w:noProof/>
                                    <w:color w:val="FF0000"/>
                                    <w:sz w:val="20"/>
                                  </w:rPr>
                                  <w:t>Critical &amp; Sensitive Information (CSI)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D87090" id="_x0000_t202" coordsize="21600,21600" o:spt="202" path="m,l,21600r21600,l21600,xe">
                    <v:stroke joinstyle="miter"/>
                    <v:path gradientshapeok="t" o:connecttype="rect"/>
                  </v:shapetype>
                  <v:shape id="Text Box 3" o:spid="_x0000_s1027" type="#_x0000_t202" alt="Critical &amp; Sensitive Information (CSI)" style="position:absolute;margin-left:0;margin-top:0;width:176.65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" filled="f" stroked="f">
                    <v:textbox style="mso-fit-shape-to-text:t" inset="20pt,0,0,15pt">
                      <w:txbxContent>
                        <w:p w14:paraId="50FC7920" w14:textId="00BFA8C8" w:rsidR="006327CC" w:rsidRPr="006327CC" w:rsidRDefault="006327CC" w:rsidP="006327CC">
                          <w:pPr>
                            <w:spacing w:after="0"/>
                            <w:rPr>
                              <w:rFonts w:ascii="Aptos" w:eastAsia="Aptos" w:hAnsi="Aptos" w:cs="Aptos"/>
                              <w:noProof/>
                              <w:color w:val="FF0000"/>
                              <w:sz w:val="20"/>
                            </w:rPr>
                          </w:pPr>
                          <w:r w:rsidRPr="006327CC">
                            <w:rPr>
                              <w:rFonts w:ascii="Aptos" w:eastAsia="Aptos" w:hAnsi="Aptos" w:cs="Aptos"/>
                              <w:noProof/>
                              <w:color w:val="FF0000"/>
                              <w:sz w:val="20"/>
                            </w:rPr>
                            <w:t>Critical &amp; Sensitive Information (CSI)</w:t>
                          </w:r>
                        </w:p>
                      </w:txbxContent>
                    </v:textbox>
                    <w10:wrap anchorx="page" anchory="page"/>
                  </v:shape>
                </w:pict>
              </mc:Fallback>
            </mc:AlternateContent>
          </w:r>
        </w:p>
        <w:p w14:paraId="1849C07C" w14:textId="77777777" w:rsidR="007452E8" w:rsidRPr="00257138" w:rsidRDefault="007452E8" w:rsidP="007452E8">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Default="007452E8" w:rsidP="007452E8">
              <w:pPr>
                <w:pStyle w:val="Footer"/>
                <w:jc w:val="right"/>
              </w:pPr>
            </w:p>
            <w:p w14:paraId="5EDE6DF6" w14:textId="77777777" w:rsidR="007452E8" w:rsidRPr="00257138" w:rsidRDefault="007452E8" w:rsidP="007452E8">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r>
                <w:fldChar w:fldCharType="begin"/>
              </w:r>
              <w:r>
                <w:instrText>NUMPAGES</w:instrText>
              </w:r>
              <w:r>
                <w:fldChar w:fldCharType="separate"/>
              </w:r>
              <w:r>
                <w:rPr>
                  <w:noProof/>
                </w:rPr>
                <w:t>2</w:t>
              </w:r>
              <w:r>
                <w:fldChar w:fldCharType="end"/>
              </w:r>
            </w:p>
          </w:sdtContent>
        </w:sdt>
      </w:tc>
    </w:tr>
    <w:tr w:rsidR="007452E8" w:rsidRPr="00257138" w14:paraId="280F09C8" w14:textId="77777777" w:rsidTr="007452E8">
      <w:trPr>
        <w:trHeight w:val="263"/>
      </w:trPr>
      <w:tc>
        <w:tcPr>
          <w:tcW w:w="4360" w:type="dxa"/>
        </w:tcPr>
        <w:p w14:paraId="673F06D3" w14:textId="77777777" w:rsidR="007452E8" w:rsidRPr="00257138" w:rsidRDefault="007452E8" w:rsidP="007452E8">
          <w:pPr>
            <w:pStyle w:val="Footer"/>
          </w:pPr>
          <w:r w:rsidRPr="00257138">
            <w:t xml:space="preserve">V1.0 </w:t>
          </w:r>
          <w:r>
            <w:t>Month</w:t>
          </w:r>
          <w:r w:rsidRPr="00257138">
            <w:t xml:space="preserve"> 201</w:t>
          </w:r>
          <w:r>
            <w:t>2</w:t>
          </w:r>
        </w:p>
      </w:tc>
      <w:tc>
        <w:tcPr>
          <w:tcW w:w="4360" w:type="dxa"/>
        </w:tcPr>
        <w:p w14:paraId="77F5B433" w14:textId="77777777" w:rsidR="007452E8" w:rsidRPr="00257138" w:rsidRDefault="007452E8" w:rsidP="007452E8">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1DF60110" w:rsidR="007452E8" w:rsidRDefault="007452E8" w:rsidP="007452E8">
    <w:pPr>
      <w:pStyle w:val="Footer"/>
      <w:ind w:left="-1701"/>
    </w:pPr>
    <w:r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3C421323" w14:textId="40DBE08A" w:rsidR="007452E8" w:rsidRPr="004A3084" w:rsidRDefault="007452E8" w:rsidP="007452E8">
          <w:pPr>
            <w:pStyle w:val="Footer"/>
          </w:pPr>
          <w:r w:rsidRPr="00487162">
            <w:t>AusPA</w:t>
          </w:r>
          <w:r>
            <w:t xml:space="preserve">R </w:t>
          </w:r>
          <w:r w:rsidR="00266817">
            <w:t>–</w:t>
          </w:r>
          <w:r>
            <w:t xml:space="preserve"> </w:t>
          </w:r>
          <w:proofErr w:type="spellStart"/>
          <w:r w:rsidR="00266817">
            <w:t>Exdensur</w:t>
          </w:r>
          <w:proofErr w:type="spellEnd"/>
          <w:r w:rsidR="00266817">
            <w:t xml:space="preserve"> </w:t>
          </w:r>
          <w:r w:rsidR="00651B65">
            <w:t xml:space="preserve">– </w:t>
          </w:r>
          <w:proofErr w:type="spellStart"/>
          <w:r w:rsidR="00651B65">
            <w:t>depemokimab</w:t>
          </w:r>
          <w:proofErr w:type="spellEnd"/>
          <w:r w:rsidR="00651B65">
            <w:t xml:space="preserve"> – GSK Australia</w:t>
          </w:r>
          <w:r>
            <w:t xml:space="preserve"> - PM-202</w:t>
          </w:r>
          <w:r w:rsidR="000A2029">
            <w:t>5-015</w:t>
          </w:r>
          <w:r w:rsidR="008D4920">
            <w:t>5</w:t>
          </w:r>
          <w:r w:rsidR="000A2029">
            <w:t>8-1-5</w:t>
          </w:r>
          <w:r>
            <w:br/>
          </w:r>
          <w:r w:rsidR="00121DB0">
            <w:t>Final</w:t>
          </w:r>
          <w:r w:rsidRPr="00487162">
            <w:t xml:space="preserve"> </w:t>
          </w:r>
          <w:r w:rsidR="00121DB0">
            <w:t>25 September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r>
                <w:fldChar w:fldCharType="begin"/>
              </w:r>
              <w:r>
                <w:instrText>NUMPAGES</w:instrText>
              </w:r>
              <w:r>
                <w:fldChar w:fldCharType="separate"/>
              </w:r>
              <w:r w:rsidR="006D6B44">
                <w:rPr>
                  <w:noProof/>
                </w:rPr>
                <w:t>17</w:t>
              </w:r>
              <w:r>
                <w:fldChar w:fldCharType="end"/>
              </w:r>
            </w:p>
          </w:sdtContent>
        </w:sdt>
      </w:tc>
    </w:tr>
  </w:tbl>
  <w:p w14:paraId="1A4EDE60" w14:textId="3F2C437B"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0B523EDA" w:rsidR="007452E8" w:rsidRPr="008E3C43" w:rsidRDefault="007452E8" w:rsidP="00745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96CA" w14:textId="77777777" w:rsidR="00A46680" w:rsidRDefault="00A46680" w:rsidP="00F02AEC">
      <w:pPr>
        <w:spacing w:after="0" w:line="240" w:lineRule="auto"/>
      </w:pPr>
      <w:r>
        <w:separator/>
      </w:r>
    </w:p>
  </w:footnote>
  <w:footnote w:type="continuationSeparator" w:id="0">
    <w:p w14:paraId="3B47114B" w14:textId="77777777" w:rsidR="00A46680" w:rsidRDefault="00A46680" w:rsidP="00F02AEC">
      <w:pPr>
        <w:spacing w:after="0" w:line="240" w:lineRule="auto"/>
      </w:pPr>
      <w:r>
        <w:continuationSeparator/>
      </w:r>
    </w:p>
  </w:footnote>
  <w:footnote w:id="1">
    <w:p w14:paraId="68402A9B" w14:textId="42E6F8E0" w:rsidR="007452E8" w:rsidRPr="00A93DC6" w:rsidRDefault="007452E8">
      <w:pPr>
        <w:pStyle w:val="FootnoteText"/>
        <w:rPr>
          <w:lang w:val="en-GB"/>
        </w:rPr>
      </w:pPr>
      <w:r>
        <w:rPr>
          <w:rStyle w:val="FootnoteReference"/>
        </w:rPr>
        <w:footnoteRef/>
      </w:r>
      <w:r>
        <w:t xml:space="preserve"> </w:t>
      </w:r>
      <w:r w:rsidR="00FB236E">
        <w:t>This is the original indication proposed by the sponsor</w:t>
      </w:r>
      <w:r w:rsidR="00FB236E">
        <w:rPr>
          <w:lang w:val="en-GB"/>
        </w:rPr>
        <w:t xml:space="preserve"> when the TGA commenced the evaluation of this submission. It </w:t>
      </w:r>
      <w:r w:rsidRPr="007452E8">
        <w:rPr>
          <w:lang w:val="en-GB"/>
        </w:rPr>
        <w:t xml:space="preserve">may </w:t>
      </w:r>
      <w:r w:rsidR="00FB236E">
        <w:rPr>
          <w:lang w:val="en-GB"/>
        </w:rPr>
        <w:t>differ</w:t>
      </w:r>
      <w:r w:rsidRPr="007452E8">
        <w:rPr>
          <w:lang w:val="en-GB"/>
        </w:rPr>
        <w:t xml:space="preserve"> to the final indication approved by th</w:t>
      </w:r>
      <w:r w:rsidR="00FB236E">
        <w:rPr>
          <w:lang w:val="en-GB"/>
        </w:rPr>
        <w:t xml:space="preserve">e TGA and registered </w:t>
      </w:r>
      <w:r w:rsidR="005C4B46">
        <w:rPr>
          <w:lang w:val="en-GB"/>
        </w:rPr>
        <w:t xml:space="preserve">in </w:t>
      </w:r>
      <w:r w:rsidR="00FB236E">
        <w:rPr>
          <w:lang w:val="en-GB"/>
        </w:rPr>
        <w:t>the Australian Register of Therapeutic Goods.</w:t>
      </w:r>
    </w:p>
  </w:footnote>
  <w:footnote w:id="2">
    <w:p w14:paraId="33532EE0" w14:textId="39CF1488" w:rsidR="00590E58" w:rsidRDefault="00590E58">
      <w:pPr>
        <w:pStyle w:val="FootnoteText"/>
      </w:pPr>
      <w:r>
        <w:rPr>
          <w:rStyle w:val="FootnoteReference"/>
        </w:rPr>
        <w:footnoteRef/>
      </w:r>
      <w:r>
        <w:t xml:space="preserve"> </w:t>
      </w:r>
      <w:r w:rsidRPr="00590E58">
        <w:t xml:space="preserve">Pelaia C, Paoletti G, </w:t>
      </w:r>
      <w:r w:rsidRPr="00590E58">
        <w:t xml:space="preserve">Puggioni F, Racca F, Pelaia G, Canonica GW and Heffler E (2019) Interleukin-5 in the Pathophysiology of Severe Asthma. Front. Physiol. 10:1514. </w:t>
      </w:r>
      <w:hyperlink r:id="rId1" w:history="1">
        <w:r w:rsidR="00DF493F" w:rsidRPr="00DF493F">
          <w:rPr>
            <w:rStyle w:val="Hyperlink"/>
          </w:rPr>
          <w:t>Frontiers | Interleukin-5 in the Pathophysiology of Severe Asthma</w:t>
        </w:r>
      </w:hyperlink>
      <w:r w:rsidR="00DF493F">
        <w:t xml:space="preserve"> </w:t>
      </w:r>
    </w:p>
  </w:footnote>
  <w:footnote w:id="3">
    <w:p w14:paraId="5BE8EE4F" w14:textId="2CE42470" w:rsidR="00782420" w:rsidRDefault="00782420">
      <w:pPr>
        <w:pStyle w:val="FootnoteText"/>
      </w:pPr>
      <w:r>
        <w:rPr>
          <w:rStyle w:val="FootnoteReference"/>
        </w:rPr>
        <w:footnoteRef/>
      </w:r>
      <w:r>
        <w:t xml:space="preserve"> </w:t>
      </w:r>
      <w:hyperlink r:id="rId2" w:history="1">
        <w:r w:rsidRPr="00782420">
          <w:rPr>
            <w:rStyle w:val="Hyperlink"/>
          </w:rPr>
          <w:t>When Asthma Is More Than Just Asthma: Type 2 Inflammation - Allergy &amp; Asthma Network</w:t>
        </w:r>
      </w:hyperlink>
      <w:r w:rsidR="008D69CC">
        <w:t xml:space="preserve"> Updated July 2026. </w:t>
      </w:r>
    </w:p>
  </w:footnote>
  <w:footnote w:id="4">
    <w:p w14:paraId="4D17E937" w14:textId="1B54F3E0" w:rsidR="00BE7FEF" w:rsidRDefault="00BE7FEF">
      <w:pPr>
        <w:pStyle w:val="FootnoteText"/>
      </w:pPr>
      <w:r>
        <w:rPr>
          <w:rStyle w:val="FootnoteReference"/>
        </w:rPr>
        <w:footnoteRef/>
      </w:r>
      <w:r>
        <w:t xml:space="preserve"> </w:t>
      </w:r>
      <w:hyperlink r:id="rId3" w:history="1">
        <w:r w:rsidRPr="00BE7FEF">
          <w:rPr>
            <w:rStyle w:val="Hyperlink"/>
          </w:rPr>
          <w:t>Asthma, 2022 | Australian Bureau of Statistics</w:t>
        </w:r>
      </w:hyperlink>
    </w:p>
  </w:footnote>
  <w:footnote w:id="5">
    <w:p w14:paraId="0B4B66FE" w14:textId="6B4A73F6" w:rsidR="00BF2393" w:rsidRDefault="00BF2393">
      <w:pPr>
        <w:pStyle w:val="FootnoteText"/>
      </w:pPr>
      <w:r>
        <w:rPr>
          <w:rStyle w:val="FootnoteReference"/>
        </w:rPr>
        <w:footnoteRef/>
      </w:r>
      <w:r>
        <w:t xml:space="preserve"> </w:t>
      </w:r>
      <w:hyperlink r:id="rId4" w:history="1">
        <w:r w:rsidRPr="00BF2393">
          <w:rPr>
            <w:rStyle w:val="Hyperlink"/>
          </w:rPr>
          <w:t>Chronic respiratory conditions: Asthma - Australian Institute of Health and Welfare</w:t>
        </w:r>
      </w:hyperlink>
    </w:p>
  </w:footnote>
  <w:footnote w:id="6">
    <w:p w14:paraId="2E4C08D9" w14:textId="667F67B9" w:rsidR="00284A26" w:rsidRDefault="00284A26">
      <w:pPr>
        <w:pStyle w:val="FootnoteText"/>
      </w:pPr>
      <w:r>
        <w:rPr>
          <w:rStyle w:val="FootnoteReference"/>
        </w:rPr>
        <w:footnoteRef/>
      </w:r>
      <w:r>
        <w:t xml:space="preserve"> </w:t>
      </w:r>
      <w:r w:rsidRPr="00284A26">
        <w:t xml:space="preserve">Global Initiative for Asthma Global Strategy for Asthma Management and Prevention </w:t>
      </w:r>
      <w:hyperlink r:id="rId5" w:history="1">
        <w:r w:rsidRPr="00284A26">
          <w:rPr>
            <w:rStyle w:val="Hyperlink"/>
          </w:rPr>
          <w:t>GINA Strategy Report 2025 Front Cover</w:t>
        </w:r>
      </w:hyperlink>
    </w:p>
  </w:footnote>
  <w:footnote w:id="7">
    <w:p w14:paraId="4F3101E1" w14:textId="3B1FCF05" w:rsidR="008331FE" w:rsidRDefault="008331FE">
      <w:pPr>
        <w:pStyle w:val="FootnoteText"/>
      </w:pPr>
      <w:r>
        <w:rPr>
          <w:rStyle w:val="FootnoteReference"/>
        </w:rPr>
        <w:footnoteRef/>
      </w:r>
      <w:r>
        <w:t xml:space="preserve"> </w:t>
      </w:r>
      <w:r w:rsidRPr="008331FE">
        <w:t>Chen, S., Zhou, A., Emmanuel, B., Thomas, K., &amp; Guiang, H. (2020). Systematic literature review of the epidemiology and clinical burden of chronic rhinosinusitis with nasal polyposis. </w:t>
      </w:r>
      <w:r w:rsidRPr="008331FE">
        <w:rPr>
          <w:i/>
          <w:iCs/>
        </w:rPr>
        <w:t>Current Medical Research and Opinion</w:t>
      </w:r>
      <w:r w:rsidRPr="008331FE">
        <w:t>, </w:t>
      </w:r>
      <w:r w:rsidRPr="008331FE">
        <w:rPr>
          <w:i/>
          <w:iCs/>
        </w:rPr>
        <w:t>36</w:t>
      </w:r>
      <w:r w:rsidRPr="008331FE">
        <w:t xml:space="preserve">(11), 1897–1911. </w:t>
      </w:r>
      <w:hyperlink r:id="rId6" w:history="1">
        <w:r w:rsidR="008D5CF8" w:rsidRPr="009B31BC">
          <w:rPr>
            <w:rStyle w:val="Hyperlink"/>
          </w:rPr>
          <w:t>https://doi.org/10.1080/03007995.2020.1815682</w:t>
        </w:r>
      </w:hyperlink>
      <w:r w:rsidR="008D5CF8">
        <w:t xml:space="preserve"> </w:t>
      </w:r>
    </w:p>
  </w:footnote>
  <w:footnote w:id="8">
    <w:p w14:paraId="0C1A7AD9" w14:textId="611D160B" w:rsidR="00B11F00" w:rsidRDefault="00B11F00" w:rsidP="00B11F00">
      <w:pPr>
        <w:pStyle w:val="FootnoteText"/>
      </w:pPr>
      <w:r>
        <w:rPr>
          <w:rStyle w:val="FootnoteReference"/>
        </w:rPr>
        <w:footnoteRef/>
      </w:r>
      <w:r>
        <w:t xml:space="preserve"> </w:t>
      </w:r>
      <w:r>
        <w:t xml:space="preserve">Misirovs, </w:t>
      </w:r>
      <w:r w:rsidR="0093218D">
        <w:t xml:space="preserve">R., </w:t>
      </w:r>
      <w:r>
        <w:t xml:space="preserve">Chan, </w:t>
      </w:r>
      <w:r w:rsidR="0093218D">
        <w:t xml:space="preserve">R., &amp; </w:t>
      </w:r>
      <w:r>
        <w:t>Lipworth,</w:t>
      </w:r>
      <w:r w:rsidR="0093218D">
        <w:t xml:space="preserve"> B. (2023) </w:t>
      </w:r>
      <w:r>
        <w:t>Type 2 biomarkers and quality of life in chronic rhinosinusitis with nasal polyps</w:t>
      </w:r>
      <w:r w:rsidR="00926B1B">
        <w:t xml:space="preserve">. </w:t>
      </w:r>
      <w:r>
        <w:t>Annals of Allergy, Asthma &amp; Immunology,</w:t>
      </w:r>
      <w:r w:rsidR="00926B1B">
        <w:t xml:space="preserve"> </w:t>
      </w:r>
      <w:r w:rsidR="00032A0D">
        <w:t>1</w:t>
      </w:r>
      <w:r>
        <w:t>31</w:t>
      </w:r>
      <w:r w:rsidR="00032A0D">
        <w:t>(</w:t>
      </w:r>
      <w:r>
        <w:t>6</w:t>
      </w:r>
      <w:r w:rsidR="00032A0D">
        <w:t xml:space="preserve">0): </w:t>
      </w:r>
      <w:r>
        <w:t>777-779</w:t>
      </w:r>
      <w:r w:rsidR="00032A0D">
        <w:t xml:space="preserve">. </w:t>
      </w:r>
      <w:hyperlink r:id="rId7" w:history="1">
        <w:r w:rsidR="00032A0D" w:rsidRPr="00B52A40">
          <w:rPr>
            <w:rStyle w:val="Hyperlink"/>
          </w:rPr>
          <w:t>https://doi.org/10.1016/j.anai.2023.09.001</w:t>
        </w:r>
      </w:hyperlink>
      <w:r w:rsidR="00032A0D">
        <w:t xml:space="preserve"> </w:t>
      </w:r>
    </w:p>
  </w:footnote>
  <w:footnote w:id="9">
    <w:p w14:paraId="3098C018" w14:textId="1A701F84" w:rsidR="00E333E9" w:rsidRDefault="00E333E9">
      <w:pPr>
        <w:pStyle w:val="FootnoteText"/>
      </w:pPr>
      <w:r>
        <w:rPr>
          <w:rStyle w:val="FootnoteReference"/>
        </w:rPr>
        <w:footnoteRef/>
      </w:r>
      <w:r>
        <w:t xml:space="preserve"> </w:t>
      </w:r>
      <w:r w:rsidRPr="00E333E9">
        <w:t>Laidlaw T</w:t>
      </w:r>
      <w:r w:rsidR="00132F49">
        <w:t>.</w:t>
      </w:r>
      <w:r w:rsidRPr="00E333E9">
        <w:t xml:space="preserve">, </w:t>
      </w:r>
      <w:r w:rsidRPr="00E333E9">
        <w:t>Mullol J</w:t>
      </w:r>
      <w:r w:rsidR="00132F49">
        <w:t>.</w:t>
      </w:r>
      <w:r w:rsidRPr="00E333E9">
        <w:t>, Woessner K</w:t>
      </w:r>
      <w:r w:rsidR="00132F49">
        <w:t>.,</w:t>
      </w:r>
      <w:r w:rsidR="00132F49" w:rsidRPr="00132F49">
        <w:t> </w:t>
      </w:r>
      <w:r w:rsidR="00132F49" w:rsidRPr="008931E8">
        <w:t>Amin, N</w:t>
      </w:r>
      <w:r w:rsidR="00132F49">
        <w:t xml:space="preserve"> &amp;</w:t>
      </w:r>
      <w:r w:rsidR="00132F49" w:rsidRPr="00132F49">
        <w:t>∙</w:t>
      </w:r>
      <w:r w:rsidR="00132F49" w:rsidRPr="008931E8">
        <w:t>Mannent, </w:t>
      </w:r>
      <w:r w:rsidR="008931E8">
        <w:t xml:space="preserve">L.P. (2020) </w:t>
      </w:r>
      <w:r w:rsidRPr="008931E8">
        <w:t>Chronic Rhinosinusitis with Nasal Polyps and Asthma</w:t>
      </w:r>
      <w:r w:rsidR="008931E8">
        <w:t xml:space="preserve">. </w:t>
      </w:r>
      <w:r w:rsidRPr="00E333E9">
        <w:t>The Journal of Allergy and Clinical Immunology: In Practice,</w:t>
      </w:r>
      <w:r w:rsidR="008931E8">
        <w:t xml:space="preserve"> </w:t>
      </w:r>
      <w:r w:rsidRPr="00E333E9">
        <w:t>9</w:t>
      </w:r>
      <w:r w:rsidR="008931E8">
        <w:t xml:space="preserve">: </w:t>
      </w:r>
      <w:r w:rsidRPr="00E333E9">
        <w:t>1133-1141</w:t>
      </w:r>
      <w:r w:rsidR="00EB2AE6" w:rsidRPr="00EB2AE6">
        <w:t xml:space="preserve"> </w:t>
      </w:r>
      <w:hyperlink r:id="rId8" w:history="1">
        <w:r w:rsidR="00EB2AE6" w:rsidRPr="00B52A40">
          <w:rPr>
            <w:rStyle w:val="Hyperlink"/>
          </w:rPr>
          <w:t>https://doi.org/10.1016/j.jaip.2020.09.063</w:t>
        </w:r>
      </w:hyperlink>
      <w:r w:rsidR="00EB2AE6">
        <w:t xml:space="preserve"> </w:t>
      </w:r>
    </w:p>
  </w:footnote>
  <w:footnote w:id="10">
    <w:p w14:paraId="78DA2EF5" w14:textId="3516827B" w:rsidR="00C877FC" w:rsidRDefault="00C877FC">
      <w:pPr>
        <w:pStyle w:val="FootnoteText"/>
      </w:pPr>
      <w:r>
        <w:rPr>
          <w:rStyle w:val="FootnoteReference"/>
        </w:rPr>
        <w:footnoteRef/>
      </w:r>
      <w:r>
        <w:t xml:space="preserve"> </w:t>
      </w:r>
      <w:hyperlink r:id="rId9" w:history="1">
        <w:r w:rsidRPr="00C877FC">
          <w:rPr>
            <w:rStyle w:val="Hyperlink"/>
          </w:rPr>
          <w:t>ASCIA_HP_Non-Allergic_Rhinitis_Allergic_Rhinitis_Chronic_Rhinosinusitis_2025.pdf</w:t>
        </w:r>
      </w:hyperlink>
    </w:p>
  </w:footnote>
  <w:footnote w:id="11">
    <w:p w14:paraId="2B8EA777" w14:textId="1B53A7CD" w:rsidR="005F3740" w:rsidRDefault="005F3740">
      <w:pPr>
        <w:pStyle w:val="FootnoteText"/>
      </w:pPr>
      <w:r>
        <w:rPr>
          <w:rStyle w:val="FootnoteReference"/>
        </w:rPr>
        <w:footnoteRef/>
      </w:r>
      <w:r>
        <w:t xml:space="preserve"> </w:t>
      </w:r>
      <w:hyperlink r:id="rId10" w:history="1">
        <w:r w:rsidRPr="005F3740">
          <w:rPr>
            <w:rStyle w:val="Hyperlink"/>
          </w:rPr>
          <w:t>Australian Asthma Handbook | Treatment levels for adults and…</w:t>
        </w:r>
      </w:hyperlink>
    </w:p>
  </w:footnote>
  <w:footnote w:id="12">
    <w:p w14:paraId="3AF9E2E0" w14:textId="4528493D" w:rsidR="00FA3F9B" w:rsidRDefault="00FA3F9B">
      <w:pPr>
        <w:pStyle w:val="FootnoteText"/>
      </w:pPr>
      <w:r>
        <w:rPr>
          <w:rStyle w:val="FootnoteReference"/>
        </w:rPr>
        <w:footnoteRef/>
      </w:r>
      <w:r>
        <w:t xml:space="preserve"> </w:t>
      </w:r>
      <w:hyperlink r:id="rId11" w:history="1">
        <w:r w:rsidR="001C2E1D" w:rsidRPr="001C2E1D">
          <w:rPr>
            <w:rStyle w:val="Hyperlink"/>
          </w:rPr>
          <w:t xml:space="preserve">AusPAR: </w:t>
        </w:r>
        <w:r w:rsidR="001C2E1D" w:rsidRPr="001C2E1D">
          <w:rPr>
            <w:rStyle w:val="Hyperlink"/>
          </w:rPr>
          <w:t>Benralizumab | Therapeutic Goods Administration (TGA)</w:t>
        </w:r>
      </w:hyperlink>
    </w:p>
  </w:footnote>
  <w:footnote w:id="13">
    <w:p w14:paraId="0526A36F" w14:textId="628DAF92" w:rsidR="00CE586B" w:rsidRDefault="00CE586B">
      <w:pPr>
        <w:pStyle w:val="FootnoteText"/>
      </w:pPr>
      <w:r>
        <w:rPr>
          <w:rStyle w:val="FootnoteReference"/>
        </w:rPr>
        <w:footnoteRef/>
      </w:r>
      <w:r>
        <w:t xml:space="preserve"> </w:t>
      </w:r>
      <w:hyperlink r:id="rId12" w:history="1">
        <w:r w:rsidRPr="00CE586B">
          <w:rPr>
            <w:rStyle w:val="Hyperlink"/>
          </w:rPr>
          <w:t>AusPAR: Mepolizumab | Therapeutic Goods Administration (TGA)</w:t>
        </w:r>
      </w:hyperlink>
    </w:p>
  </w:footnote>
  <w:footnote w:id="14">
    <w:p w14:paraId="497EA83C" w14:textId="5E7B4875" w:rsidR="009D313D" w:rsidRDefault="009D313D">
      <w:pPr>
        <w:pStyle w:val="FootnoteText"/>
      </w:pPr>
      <w:r>
        <w:rPr>
          <w:rStyle w:val="FootnoteReference"/>
        </w:rPr>
        <w:footnoteRef/>
      </w:r>
      <w:r>
        <w:t xml:space="preserve"> </w:t>
      </w:r>
      <w:hyperlink r:id="rId13" w:history="1">
        <w:r w:rsidRPr="009D313D">
          <w:rPr>
            <w:rStyle w:val="Hyperlink"/>
          </w:rPr>
          <w:t>AusPAR: Dupilumab | Therapeutic Goods Administration (TGA)</w:t>
        </w:r>
      </w:hyperlink>
    </w:p>
  </w:footnote>
  <w:footnote w:id="15">
    <w:p w14:paraId="496D4814" w14:textId="17A3BE2A" w:rsidR="00742921" w:rsidRDefault="00742921">
      <w:pPr>
        <w:pStyle w:val="FootnoteText"/>
      </w:pPr>
      <w:r>
        <w:rPr>
          <w:rStyle w:val="FootnoteReference"/>
        </w:rPr>
        <w:footnoteRef/>
      </w:r>
      <w:r>
        <w:t xml:space="preserve"> </w:t>
      </w:r>
      <w:hyperlink r:id="rId14" w:history="1">
        <w:r w:rsidRPr="00742921">
          <w:rPr>
            <w:rStyle w:val="Hyperlink"/>
          </w:rPr>
          <w:t>AusPAR: Omalizumab | Therapeutic Goods Administration (TGA)</w:t>
        </w:r>
      </w:hyperlink>
    </w:p>
  </w:footnote>
  <w:footnote w:id="16">
    <w:p w14:paraId="5431FD5F" w14:textId="65680FBE" w:rsidR="00745561" w:rsidRDefault="00745561">
      <w:pPr>
        <w:pStyle w:val="FootnoteText"/>
      </w:pPr>
      <w:r>
        <w:rPr>
          <w:rStyle w:val="FootnoteReference"/>
        </w:rPr>
        <w:footnoteRef/>
      </w:r>
      <w:r>
        <w:t xml:space="preserve"> </w:t>
      </w:r>
      <w:r w:rsidRPr="00745561">
        <w:t xml:space="preserve">Gelhorn HL, Balantac Z, Ambrose CS, Chung YN, Stone B. </w:t>
      </w:r>
      <w:r>
        <w:t xml:space="preserve">(2019) </w:t>
      </w:r>
      <w:r w:rsidRPr="00745561">
        <w:t>Patient and physician preferences for attributes of biologic medications for severe asthma. </w:t>
      </w:r>
      <w:r w:rsidRPr="00745561">
        <w:rPr>
          <w:i/>
          <w:iCs/>
        </w:rPr>
        <w:t>Patient Prefer Adherence</w:t>
      </w:r>
      <w:r>
        <w:t xml:space="preserve">, </w:t>
      </w:r>
      <w:r w:rsidRPr="00745561">
        <w:t>13:1253-1268</w:t>
      </w:r>
      <w:r>
        <w:t xml:space="preserve">. </w:t>
      </w:r>
      <w:hyperlink r:id="rId15" w:history="1">
        <w:r w:rsidRPr="009C10B5">
          <w:rPr>
            <w:rStyle w:val="Hyperlink"/>
          </w:rPr>
          <w:t>https://doi.org/10.2147/PPA.S198953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77777777" w:rsidR="007452E8" w:rsidRPr="00CB0550" w:rsidRDefault="007452E8" w:rsidP="00CB0550">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77777777" w:rsidR="007452E8" w:rsidRPr="002B29B2" w:rsidRDefault="00A46680" w:rsidP="007452E8">
          <w:pPr>
            <w:ind w:left="-57"/>
            <w:rPr>
              <w:noProof/>
            </w:rPr>
          </w:pPr>
          <w:sdt>
            <w:sdtPr>
              <w:rPr>
                <w:noProof/>
              </w:rPr>
              <w:id w:val="1926993388"/>
              <w:showingPlcHdr/>
              <w:picture/>
            </w:sdtPr>
            <w:sdtEndPr/>
            <w:sdtContent>
              <w:r w:rsidR="007452E8" w:rsidRPr="00F71E1E">
                <w:rPr>
                  <w:noProof/>
                  <w:lang w:val="en-GB" w:eastAsia="en-GB"/>
                </w:rPr>
                <w:drawing>
                  <wp:inline distT="0" distB="0" distL="0" distR="0" wp14:anchorId="5C7F8AC9" wp14:editId="23FC1BBE">
                    <wp:extent cx="7631430" cy="5523865"/>
                    <wp:effectExtent l="0" t="0" r="762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1430" cy="5523865"/>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58240"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77777777" w:rsidR="007452E8" w:rsidRDefault="007452E8" w:rsidP="007452E8">
    <w:pPr>
      <w:pStyle w:val="Header"/>
    </w:pPr>
    <w:r w:rsidRPr="000F5176">
      <w:t>Therapeutic Goods Administration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77777777" w:rsidR="007452E8" w:rsidRPr="00FE501F" w:rsidRDefault="007452E8" w:rsidP="007452E8">
    <w:pPr>
      <w:pStyle w:val="Headerno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DAD"/>
    <w:multiLevelType w:val="hybridMultilevel"/>
    <w:tmpl w:val="D6DC40B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491BA3"/>
    <w:multiLevelType w:val="hybridMultilevel"/>
    <w:tmpl w:val="EF44B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DE6C1F"/>
    <w:multiLevelType w:val="multilevel"/>
    <w:tmpl w:val="3B685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D0129"/>
    <w:multiLevelType w:val="hybridMultilevel"/>
    <w:tmpl w:val="3B2A3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756191"/>
    <w:multiLevelType w:val="hybridMultilevel"/>
    <w:tmpl w:val="3E5A7D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6"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7" w15:restartNumberingAfterBreak="0">
    <w:nsid w:val="11BF062A"/>
    <w:multiLevelType w:val="hybridMultilevel"/>
    <w:tmpl w:val="3738B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6F629B"/>
    <w:multiLevelType w:val="hybridMultilevel"/>
    <w:tmpl w:val="4846246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9" w15:restartNumberingAfterBreak="0">
    <w:nsid w:val="1335080A"/>
    <w:multiLevelType w:val="hybridMultilevel"/>
    <w:tmpl w:val="0A2A36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B46BA3"/>
    <w:multiLevelType w:val="hybridMultilevel"/>
    <w:tmpl w:val="D4BE22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14"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5" w15:restartNumberingAfterBreak="0">
    <w:nsid w:val="271746A5"/>
    <w:multiLevelType w:val="hybridMultilevel"/>
    <w:tmpl w:val="D7DA63D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735450"/>
    <w:multiLevelType w:val="multilevel"/>
    <w:tmpl w:val="93F6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9A6A6C"/>
    <w:multiLevelType w:val="multilevel"/>
    <w:tmpl w:val="F3CA4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4391F"/>
    <w:multiLevelType w:val="hybridMultilevel"/>
    <w:tmpl w:val="10C6C8CC"/>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71F5FBE"/>
    <w:multiLevelType w:val="multilevel"/>
    <w:tmpl w:val="02167AFC"/>
    <w:lvl w:ilvl="0">
      <w:start w:val="1"/>
      <w:numFmt w:val="lowerRoman"/>
      <w:lvlText w:val="%1."/>
      <w:lvlJc w:val="right"/>
      <w:pPr>
        <w:ind w:left="720" w:hanging="360"/>
      </w:pPr>
      <w:rPr>
        <w:rFonts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1440" w:hanging="360"/>
      </w:pPr>
      <w:rPr>
        <w:rFonts w:ascii="Wingdings" w:hAnsi="Wingdings" w:hint="default"/>
      </w:rPr>
    </w:lvl>
    <w:lvl w:ilvl="3">
      <w:start w:val="1"/>
      <w:numFmt w:val="none"/>
      <w:lvlText w:val=""/>
      <w:lvlJc w:val="left"/>
      <w:pPr>
        <w:ind w:left="1800" w:hanging="360"/>
      </w:pPr>
      <w:rPr>
        <w:rFonts w:hint="default"/>
      </w:rPr>
    </w:lvl>
    <w:lvl w:ilvl="4">
      <w:start w:val="1"/>
      <w:numFmt w:val="none"/>
      <w:lvlText w:val=""/>
      <w:lvlJc w:val="left"/>
      <w:pPr>
        <w:ind w:left="2160" w:hanging="360"/>
      </w:pPr>
      <w:rPr>
        <w:rFonts w:hint="default"/>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20"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21" w15:restartNumberingAfterBreak="0">
    <w:nsid w:val="4D7128A1"/>
    <w:multiLevelType w:val="hybridMultilevel"/>
    <w:tmpl w:val="8D1C0F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23"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24"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26" w15:restartNumberingAfterBreak="0">
    <w:nsid w:val="5B116392"/>
    <w:multiLevelType w:val="multilevel"/>
    <w:tmpl w:val="E3BC2926"/>
    <w:lvl w:ilvl="0">
      <w:start w:val="1"/>
      <w:numFmt w:val="lowerRoman"/>
      <w:lvlText w:val="%1."/>
      <w:lvlJc w:val="right"/>
      <w:pPr>
        <w:ind w:left="720" w:hanging="360"/>
      </w:pPr>
      <w:rPr>
        <w:rFonts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1440" w:hanging="360"/>
      </w:pPr>
      <w:rPr>
        <w:rFonts w:ascii="Wingdings" w:hAnsi="Wingdings" w:hint="default"/>
      </w:rPr>
    </w:lvl>
    <w:lvl w:ilvl="3">
      <w:start w:val="1"/>
      <w:numFmt w:val="none"/>
      <w:lvlText w:val=""/>
      <w:lvlJc w:val="left"/>
      <w:pPr>
        <w:ind w:left="1800" w:hanging="360"/>
      </w:pPr>
      <w:rPr>
        <w:rFonts w:hint="default"/>
      </w:rPr>
    </w:lvl>
    <w:lvl w:ilvl="4">
      <w:start w:val="1"/>
      <w:numFmt w:val="none"/>
      <w:lvlText w:val=""/>
      <w:lvlJc w:val="left"/>
      <w:pPr>
        <w:ind w:left="2160" w:hanging="360"/>
      </w:pPr>
      <w:rPr>
        <w:rFonts w:hint="default"/>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27" w15:restartNumberingAfterBreak="0">
    <w:nsid w:val="620B17E4"/>
    <w:multiLevelType w:val="hybridMultilevel"/>
    <w:tmpl w:val="8C504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D32D44"/>
    <w:multiLevelType w:val="hybridMultilevel"/>
    <w:tmpl w:val="B9D46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abstractNum w:abstractNumId="30" w15:restartNumberingAfterBreak="0">
    <w:nsid w:val="7E653817"/>
    <w:multiLevelType w:val="hybridMultilevel"/>
    <w:tmpl w:val="65644C4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2997172">
    <w:abstractNumId w:val="12"/>
  </w:num>
  <w:num w:numId="2" w16cid:durableId="1856573705">
    <w:abstractNumId w:val="5"/>
  </w:num>
  <w:num w:numId="3" w16cid:durableId="357703499">
    <w:abstractNumId w:val="11"/>
  </w:num>
  <w:num w:numId="4" w16cid:durableId="1869176708">
    <w:abstractNumId w:val="24"/>
  </w:num>
  <w:num w:numId="5" w16cid:durableId="1652950129">
    <w:abstractNumId w:val="14"/>
  </w:num>
  <w:num w:numId="6" w16cid:durableId="1053193207">
    <w:abstractNumId w:val="22"/>
  </w:num>
  <w:num w:numId="7" w16cid:durableId="201135927">
    <w:abstractNumId w:val="5"/>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23"/>
  </w:num>
  <w:num w:numId="9" w16cid:durableId="173421270">
    <w:abstractNumId w:val="6"/>
  </w:num>
  <w:num w:numId="10" w16cid:durableId="2108043357">
    <w:abstractNumId w:val="13"/>
  </w:num>
  <w:num w:numId="11" w16cid:durableId="1725904230">
    <w:abstractNumId w:val="20"/>
  </w:num>
  <w:num w:numId="12" w16cid:durableId="141579354">
    <w:abstractNumId w:val="25"/>
  </w:num>
  <w:num w:numId="13" w16cid:durableId="283735081">
    <w:abstractNumId w:val="29"/>
  </w:num>
  <w:num w:numId="14" w16cid:durableId="10689426">
    <w:abstractNumId w:val="27"/>
  </w:num>
  <w:num w:numId="15" w16cid:durableId="1934239506">
    <w:abstractNumId w:val="3"/>
  </w:num>
  <w:num w:numId="16" w16cid:durableId="2122071701">
    <w:abstractNumId w:val="10"/>
  </w:num>
  <w:num w:numId="17" w16cid:durableId="609975166">
    <w:abstractNumId w:val="16"/>
  </w:num>
  <w:num w:numId="18" w16cid:durableId="1809473530">
    <w:abstractNumId w:val="21"/>
  </w:num>
  <w:num w:numId="19" w16cid:durableId="217716045">
    <w:abstractNumId w:val="28"/>
  </w:num>
  <w:num w:numId="20" w16cid:durableId="1342929027">
    <w:abstractNumId w:val="0"/>
  </w:num>
  <w:num w:numId="21" w16cid:durableId="217908160">
    <w:abstractNumId w:val="9"/>
  </w:num>
  <w:num w:numId="22" w16cid:durableId="181945172">
    <w:abstractNumId w:val="15"/>
  </w:num>
  <w:num w:numId="23" w16cid:durableId="368337602">
    <w:abstractNumId w:val="1"/>
  </w:num>
  <w:num w:numId="24" w16cid:durableId="2042901831">
    <w:abstractNumId w:val="8"/>
  </w:num>
  <w:num w:numId="25" w16cid:durableId="483007265">
    <w:abstractNumId w:val="26"/>
  </w:num>
  <w:num w:numId="26" w16cid:durableId="267737852">
    <w:abstractNumId w:val="18"/>
  </w:num>
  <w:num w:numId="27" w16cid:durableId="1285041644">
    <w:abstractNumId w:val="19"/>
  </w:num>
  <w:num w:numId="28" w16cid:durableId="1861971206">
    <w:abstractNumId w:val="2"/>
  </w:num>
  <w:num w:numId="29" w16cid:durableId="1918200599">
    <w:abstractNumId w:val="4"/>
  </w:num>
  <w:num w:numId="30" w16cid:durableId="1636716859">
    <w:abstractNumId w:val="17"/>
  </w:num>
  <w:num w:numId="31" w16cid:durableId="432897608">
    <w:abstractNumId w:val="30"/>
  </w:num>
  <w:num w:numId="32" w16cid:durableId="1622376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cdb042-da00-42ae-a64e-0dacf474f543" w:val=" "/>
    <w:docVar w:name="vault_nd_03927b3c-5896-4107-9552-d88c8f018502" w:val=" "/>
    <w:docVar w:name="vault_nd_0455de85-22e6-4b06-9cef-a8136f4069a6" w:val=" "/>
    <w:docVar w:name="vault_nd_06859777-4876-4212-a20e-6dba70c30c2d" w:val=" "/>
    <w:docVar w:name="vault_nd_0b363ce5-00b1-42ce-bf0b-b3085c21636b" w:val=" "/>
    <w:docVar w:name="vault_nd_0c1ce6c0-260a-417e-a923-25eda9ed2c64" w:val=" "/>
    <w:docVar w:name="vault_nd_0d2ea673-53cd-4b0e-ac5b-87f5122b8f59" w:val=" "/>
    <w:docVar w:name="vault_nd_0f676fa8-cbd1-4128-b711-4f22a2a5b997" w:val=" "/>
    <w:docVar w:name="vault_nd_10eb9ff1-4a28-4592-9a30-844ee6b752f4" w:val=" "/>
    <w:docVar w:name="vault_nd_13a069e0-2d73-45c1-9f32-0117bff8da0f" w:val=" "/>
    <w:docVar w:name="vault_nd_15307436-497b-484e-86a4-c5c0136fffe1" w:val=" "/>
    <w:docVar w:name="vault_nd_1d8ea2a8-2cff-463e-8b90-51221d5cfe15" w:val=" "/>
    <w:docVar w:name="vault_nd_1d93c72e-0296-406a-809a-58120fc0866c" w:val=" "/>
    <w:docVar w:name="vault_nd_1fd216b9-c6d2-48b5-8702-8408139272d7" w:val=" "/>
    <w:docVar w:name="vault_nd_20505961-4223-4df4-895f-a99134c83512" w:val=" "/>
    <w:docVar w:name="vault_nd_2936c2ac-9490-47cb-9625-bba0bc02eaee" w:val=" "/>
    <w:docVar w:name="vault_nd_2b815d8e-af12-4958-a205-1123ea1dfa2c" w:val=" "/>
    <w:docVar w:name="vault_nd_2e63d9b9-eacc-40bc-a5f1-9df92ab4a7de" w:val=" "/>
    <w:docVar w:name="vault_nd_2efe9d59-ea02-499c-8bdd-a5ebc8aa53ae" w:val=" "/>
    <w:docVar w:name="vault_nd_30b1e78c-d595-404d-a169-13a820787e06" w:val=" "/>
    <w:docVar w:name="vault_nd_30fbd0ed-3e6b-4b13-ab9a-bd33f88d0009" w:val=" "/>
    <w:docVar w:name="vault_nd_34cbe9c4-34f7-4dc3-9924-8b5fea148b35" w:val=" "/>
    <w:docVar w:name="vault_nd_3843ee60-fb89-48e3-ae8a-2e2ac276461a" w:val=" "/>
    <w:docVar w:name="vault_nd_3a8c3e38-39ce-48df-9b6c-92a297b23356" w:val=" "/>
    <w:docVar w:name="VAULT_ND_3b03b9b8-7e18-4713-b04a-069471b46bf9" w:val=" "/>
    <w:docVar w:name="vault_nd_3dc9f33c-04a1-40a3-945a-eda6df858534" w:val=" "/>
    <w:docVar w:name="vault_nd_407246f1-78a1-4c99-af72-b1448c192b29" w:val=" "/>
    <w:docVar w:name="vault_nd_41e1b702-1d4c-44f5-91a2-a2cf72231590" w:val=" "/>
    <w:docVar w:name="vault_nd_433a38f1-287c-4b93-9315-70aa979d5bec" w:val=" "/>
    <w:docVar w:name="vault_nd_43b0c60d-4f38-4162-aaec-2a239d6e605b" w:val=" "/>
    <w:docVar w:name="vault_nd_469b6701-a715-421f-89ba-d9bd0a751916" w:val=" "/>
    <w:docVar w:name="vault_nd_4cd5acd5-883a-4596-8291-552568168466" w:val=" "/>
    <w:docVar w:name="vault_nd_4cf5e8fc-8aaa-4117-a477-cd825e75e81b" w:val=" "/>
    <w:docVar w:name="vault_nd_530b4452-6dc5-4849-b4d4-a17161ca4501" w:val=" "/>
    <w:docVar w:name="vault_nd_56b4d558-5c93-44ac-8e8f-0567b6264e86" w:val=" "/>
    <w:docVar w:name="vault_nd_579a79db-b473-4b11-91e6-8cc2b96f0597" w:val=" "/>
    <w:docVar w:name="vault_nd_5855cea6-c801-4e6a-99a9-a8fd8e65eab9" w:val=" "/>
    <w:docVar w:name="vault_nd_5d2d20f5-613e-4656-8653-a6a1aa44d60c" w:val=" "/>
    <w:docVar w:name="vault_nd_5daaaf05-8d6c-47ce-9668-63134ef2331a" w:val=" "/>
    <w:docVar w:name="vault_nd_5ee3a84c-d96f-44d0-a442-fe6f4ef78a50" w:val=" "/>
    <w:docVar w:name="vault_nd_60bfb706-7f9c-4d40-8f30-4b35d1daa349" w:val=" "/>
    <w:docVar w:name="vault_nd_61673881-a34e-4823-a721-dec7e03de11f" w:val=" "/>
    <w:docVar w:name="vault_nd_65e10b91-3bd0-4959-947b-492354ac4fce" w:val=" "/>
    <w:docVar w:name="vault_nd_673c0851-6bc4-444e-aaf0-0b5e8454be84" w:val=" "/>
    <w:docVar w:name="vault_nd_6b77a996-37ee-417f-8067-7f4ac9f049ba" w:val=" "/>
    <w:docVar w:name="vault_nd_6dc873ff-d017-4666-9fde-2874ecaac97b" w:val=" "/>
    <w:docVar w:name="vault_nd_74429020-cabc-47ab-bed4-4fb02879c871" w:val=" "/>
    <w:docVar w:name="vault_nd_75d12a48-d39d-4f4d-8e85-4920c1c74625" w:val=" "/>
    <w:docVar w:name="vault_nd_7711f14d-259b-4bfc-a5d5-f6fe97c9379d" w:val=" "/>
    <w:docVar w:name="vault_nd_7834ce24-9942-4262-84ec-c872a6d6277d" w:val=" "/>
    <w:docVar w:name="vault_nd_78aa5ba8-b5c6-4805-9f99-e99c7f11c242" w:val=" "/>
    <w:docVar w:name="VAULT_ND_7eeb2fc8-546c-4517-abad-8810cad53068" w:val=" "/>
    <w:docVar w:name="vault_nd_84f27fe7-eab8-4453-a7d8-f1b67f45a33d" w:val=" "/>
    <w:docVar w:name="vault_nd_85414b1a-8131-4a62-ac65-5b01394d719d" w:val=" "/>
    <w:docVar w:name="vault_nd_89822bdf-0a93-409c-8218-10a15bb3011b" w:val=" "/>
    <w:docVar w:name="vault_nd_8a034664-33fe-428e-9213-c69eb680a55f" w:val=" "/>
    <w:docVar w:name="vault_nd_8dbf9460-7d56-455f-b942-4069bba45a29" w:val=" "/>
    <w:docVar w:name="vault_nd_98f53275-3e1e-4fb9-b0f5-9c0b8b851944" w:val=" "/>
    <w:docVar w:name="vault_nd_9e007853-6c1f-45ca-ae0b-dac86d3f42cd" w:val=" "/>
    <w:docVar w:name="vault_nd_a2976ba8-5d7c-45e8-ae75-784435bad9b7" w:val=" "/>
    <w:docVar w:name="vault_nd_a9ded5c9-0587-4ad4-8c60-4eca1282919b" w:val=" "/>
    <w:docVar w:name="vault_nd_aa7e0148-23a8-45e5-80f6-832438ceeb75" w:val=" "/>
    <w:docVar w:name="vault_nd_aaf64773-4d3c-453e-9864-e2e021ec7f0b" w:val=" "/>
    <w:docVar w:name="vault_nd_ab63410b-4e74-49af-9d2f-1350bfed10a7" w:val=" "/>
    <w:docVar w:name="vault_nd_acac9930-21a9-49a5-bfe2-da38e1af32b2" w:val=" "/>
    <w:docVar w:name="vault_nd_ad8fe949-5a33-4364-b97e-a355a5c804fb" w:val=" "/>
    <w:docVar w:name="vault_nd_b1cff930-89c1-47ba-ae6b-e7cba79bb8b5" w:val=" "/>
    <w:docVar w:name="vault_nd_b27bdb3f-bbae-44fe-bdec-c76e8c3bf84c" w:val=" "/>
    <w:docVar w:name="vault_nd_b3d99bc8-1412-4cb3-a6a9-f4a0d0c33e6b" w:val=" "/>
    <w:docVar w:name="vault_nd_b76f9c1f-9de4-4c58-9145-e81698330870" w:val=" "/>
    <w:docVar w:name="VAULT_ND_b8a42c9c-9338-487f-a3e0-95248eef6c0f" w:val=" "/>
    <w:docVar w:name="vault_nd_bbebb913-94ee-4588-b6ff-3427e959f82b" w:val=" "/>
    <w:docVar w:name="vault_nd_bd99b805-4456-4c1d-9b28-6df053584901" w:val=" "/>
    <w:docVar w:name="VAULT_ND_c2180b84-2b4b-4302-aaeb-c20f27aeba29" w:val=" "/>
    <w:docVar w:name="vault_nd_c2623646-5563-4ff9-8517-4f81a995d193" w:val=" "/>
    <w:docVar w:name="vault_nd_c347c239-38da-42e1-b2df-7117e2c76bd9" w:val=" "/>
    <w:docVar w:name="vault_nd_c37f78a4-0bff-4b95-ade0-17faf922f628" w:val=" "/>
    <w:docVar w:name="vault_nd_c9252c8b-8966-4052-9ed3-faa8c774bbd0" w:val=" "/>
    <w:docVar w:name="vault_nd_c9b675e4-bc80-4fe4-a26d-8a3a6daeb26b" w:val=" "/>
    <w:docVar w:name="vault_nd_c9b90351-6ad8-48f0-994b-02f576451250" w:val=" "/>
    <w:docVar w:name="vault_nd_ce2abbbb-7a02-45df-9faf-e920c66b38c0" w:val=" "/>
    <w:docVar w:name="vault_nd_ce71d95e-a2ac-4384-acd9-ec4625f626aa" w:val=" "/>
    <w:docVar w:name="vault_nd_ceb0a3b1-b3e8-4c22-9c7d-55d1ffed37ed" w:val=" "/>
    <w:docVar w:name="vault_nd_d093a888-6771-4a8b-b5d5-ffddf85ac2d8" w:val=" "/>
    <w:docVar w:name="vault_nd_d1f6c3c9-418a-4df9-8007-83a55ceefdb5" w:val=" "/>
    <w:docVar w:name="vault_nd_d26f63b6-107d-4e4e-a954-dd733e4a4e6a" w:val=" "/>
    <w:docVar w:name="vault_nd_d48e28bf-d4de-4f24-b390-426f32198574" w:val=" "/>
    <w:docVar w:name="vault_nd_d6a519b4-88f0-40ec-8759-5d3b0b7ec900" w:val=" "/>
    <w:docVar w:name="vault_nd_d6dbd779-146d-4b70-b304-c88c724c8cd4" w:val=" "/>
    <w:docVar w:name="vault_nd_da3c5324-5b9c-4c39-857a-819b79fae903" w:val=" "/>
    <w:docVar w:name="vault_nd_de5fbf86-f9ea-4e71-bf0d-5851e119de24" w:val=" "/>
    <w:docVar w:name="vault_nd_dfb6e92f-9858-4589-bb5e-1dc9b1a73414" w:val=" "/>
    <w:docVar w:name="vault_nd_e0ac7eb4-9050-4600-b127-f91e9fadad56" w:val=" "/>
    <w:docVar w:name="vault_nd_eda40766-eb9c-4536-8479-5082d490eb23" w:val=" "/>
    <w:docVar w:name="vault_nd_ef531794-63ac-49d0-889f-d8aa0ee2a949" w:val=" "/>
    <w:docVar w:name="vault_nd_efa28acc-5ee6-458d-8885-935b4717b793" w:val=" "/>
    <w:docVar w:name="vault_nd_f29f95cb-4022-45d5-bfa5-5ada3d1a6093" w:val=" "/>
    <w:docVar w:name="vault_nd_f3ce0cc3-36a3-4ed6-825e-78273b182d87" w:val=" "/>
    <w:docVar w:name="vault_nd_fa5d7d7c-1f70-4956-a2f1-91facb5022ab" w:val=" "/>
    <w:docVar w:name="vault_nd_fd7a5b69-e9ea-4592-bfe4-59df6ade65b4" w:val=" "/>
  </w:docVars>
  <w:rsids>
    <w:rsidRoot w:val="00346EC2"/>
    <w:rsid w:val="00000316"/>
    <w:rsid w:val="00000866"/>
    <w:rsid w:val="00000E6E"/>
    <w:rsid w:val="00003C39"/>
    <w:rsid w:val="00003D76"/>
    <w:rsid w:val="00004431"/>
    <w:rsid w:val="00005062"/>
    <w:rsid w:val="0000549E"/>
    <w:rsid w:val="00005AEF"/>
    <w:rsid w:val="00005DFC"/>
    <w:rsid w:val="00006545"/>
    <w:rsid w:val="00006AAA"/>
    <w:rsid w:val="0001064C"/>
    <w:rsid w:val="00010C5C"/>
    <w:rsid w:val="0001324D"/>
    <w:rsid w:val="0001384A"/>
    <w:rsid w:val="00015DA2"/>
    <w:rsid w:val="00016FA3"/>
    <w:rsid w:val="0001752E"/>
    <w:rsid w:val="000207E5"/>
    <w:rsid w:val="00021516"/>
    <w:rsid w:val="00021C13"/>
    <w:rsid w:val="000237A3"/>
    <w:rsid w:val="00025E3B"/>
    <w:rsid w:val="00026C40"/>
    <w:rsid w:val="0002715D"/>
    <w:rsid w:val="00027D2A"/>
    <w:rsid w:val="0003051F"/>
    <w:rsid w:val="0003095D"/>
    <w:rsid w:val="00031D35"/>
    <w:rsid w:val="00032A0D"/>
    <w:rsid w:val="00032A0F"/>
    <w:rsid w:val="00032C94"/>
    <w:rsid w:val="00036752"/>
    <w:rsid w:val="00037773"/>
    <w:rsid w:val="00040B25"/>
    <w:rsid w:val="00040D8D"/>
    <w:rsid w:val="00040EEC"/>
    <w:rsid w:val="00041137"/>
    <w:rsid w:val="0004177F"/>
    <w:rsid w:val="00042758"/>
    <w:rsid w:val="00044440"/>
    <w:rsid w:val="00045B70"/>
    <w:rsid w:val="00046423"/>
    <w:rsid w:val="000477F5"/>
    <w:rsid w:val="00047A6A"/>
    <w:rsid w:val="0005067C"/>
    <w:rsid w:val="00050DFF"/>
    <w:rsid w:val="000512B1"/>
    <w:rsid w:val="000516B9"/>
    <w:rsid w:val="000565D1"/>
    <w:rsid w:val="00056C09"/>
    <w:rsid w:val="000577B0"/>
    <w:rsid w:val="000601A9"/>
    <w:rsid w:val="00060471"/>
    <w:rsid w:val="00060924"/>
    <w:rsid w:val="0006104E"/>
    <w:rsid w:val="00061925"/>
    <w:rsid w:val="000625C8"/>
    <w:rsid w:val="00063AC5"/>
    <w:rsid w:val="00063DD4"/>
    <w:rsid w:val="000640BD"/>
    <w:rsid w:val="00065839"/>
    <w:rsid w:val="00065FDF"/>
    <w:rsid w:val="000662A9"/>
    <w:rsid w:val="0006693A"/>
    <w:rsid w:val="00066D49"/>
    <w:rsid w:val="00070EF5"/>
    <w:rsid w:val="00074572"/>
    <w:rsid w:val="00075ADD"/>
    <w:rsid w:val="00077269"/>
    <w:rsid w:val="000774EF"/>
    <w:rsid w:val="00077669"/>
    <w:rsid w:val="00077844"/>
    <w:rsid w:val="000814B2"/>
    <w:rsid w:val="00081C3C"/>
    <w:rsid w:val="000836D1"/>
    <w:rsid w:val="00083763"/>
    <w:rsid w:val="00084552"/>
    <w:rsid w:val="0008455E"/>
    <w:rsid w:val="00084CF5"/>
    <w:rsid w:val="00090510"/>
    <w:rsid w:val="00091679"/>
    <w:rsid w:val="000917AE"/>
    <w:rsid w:val="0009187A"/>
    <w:rsid w:val="00091B7C"/>
    <w:rsid w:val="00091BF8"/>
    <w:rsid w:val="00093278"/>
    <w:rsid w:val="000934FD"/>
    <w:rsid w:val="00094B81"/>
    <w:rsid w:val="000954A0"/>
    <w:rsid w:val="00095573"/>
    <w:rsid w:val="00095638"/>
    <w:rsid w:val="00095C6A"/>
    <w:rsid w:val="00096536"/>
    <w:rsid w:val="000975AA"/>
    <w:rsid w:val="000A1152"/>
    <w:rsid w:val="000A130C"/>
    <w:rsid w:val="000A1E8B"/>
    <w:rsid w:val="000A2029"/>
    <w:rsid w:val="000A3D94"/>
    <w:rsid w:val="000A5927"/>
    <w:rsid w:val="000A7838"/>
    <w:rsid w:val="000A7D76"/>
    <w:rsid w:val="000B01D0"/>
    <w:rsid w:val="000B01DE"/>
    <w:rsid w:val="000B2DC7"/>
    <w:rsid w:val="000B346B"/>
    <w:rsid w:val="000B390C"/>
    <w:rsid w:val="000B4317"/>
    <w:rsid w:val="000B55CC"/>
    <w:rsid w:val="000B6B15"/>
    <w:rsid w:val="000B79DC"/>
    <w:rsid w:val="000B7DA3"/>
    <w:rsid w:val="000C1189"/>
    <w:rsid w:val="000C25A7"/>
    <w:rsid w:val="000C294F"/>
    <w:rsid w:val="000C32EE"/>
    <w:rsid w:val="000C3426"/>
    <w:rsid w:val="000C3A05"/>
    <w:rsid w:val="000C4EF3"/>
    <w:rsid w:val="000C5432"/>
    <w:rsid w:val="000D1DF9"/>
    <w:rsid w:val="000D1FAB"/>
    <w:rsid w:val="000D34A7"/>
    <w:rsid w:val="000D3CA8"/>
    <w:rsid w:val="000D425F"/>
    <w:rsid w:val="000D6E2D"/>
    <w:rsid w:val="000D6EC0"/>
    <w:rsid w:val="000D7155"/>
    <w:rsid w:val="000D78EC"/>
    <w:rsid w:val="000D7934"/>
    <w:rsid w:val="000E2434"/>
    <w:rsid w:val="000E2597"/>
    <w:rsid w:val="000E3B7E"/>
    <w:rsid w:val="000E3B9D"/>
    <w:rsid w:val="000E4C3E"/>
    <w:rsid w:val="000E504E"/>
    <w:rsid w:val="000E6372"/>
    <w:rsid w:val="000E63C0"/>
    <w:rsid w:val="000E6746"/>
    <w:rsid w:val="000E73A7"/>
    <w:rsid w:val="000E7EA8"/>
    <w:rsid w:val="000F19A9"/>
    <w:rsid w:val="000F2EA1"/>
    <w:rsid w:val="000F4C82"/>
    <w:rsid w:val="000F4CB4"/>
    <w:rsid w:val="000F5BC3"/>
    <w:rsid w:val="000F5C57"/>
    <w:rsid w:val="000F62A5"/>
    <w:rsid w:val="000F7B51"/>
    <w:rsid w:val="00101BEE"/>
    <w:rsid w:val="00101C35"/>
    <w:rsid w:val="00101CE6"/>
    <w:rsid w:val="00101FB1"/>
    <w:rsid w:val="001022B0"/>
    <w:rsid w:val="0010558A"/>
    <w:rsid w:val="00105720"/>
    <w:rsid w:val="00105983"/>
    <w:rsid w:val="00105A4A"/>
    <w:rsid w:val="00106009"/>
    <w:rsid w:val="0010784D"/>
    <w:rsid w:val="00107E07"/>
    <w:rsid w:val="001101FF"/>
    <w:rsid w:val="00110976"/>
    <w:rsid w:val="00111989"/>
    <w:rsid w:val="00113F9F"/>
    <w:rsid w:val="00114025"/>
    <w:rsid w:val="001151C2"/>
    <w:rsid w:val="001157AA"/>
    <w:rsid w:val="00116E2F"/>
    <w:rsid w:val="00117B5D"/>
    <w:rsid w:val="00120271"/>
    <w:rsid w:val="00120D21"/>
    <w:rsid w:val="00121DB0"/>
    <w:rsid w:val="0012346A"/>
    <w:rsid w:val="0012473C"/>
    <w:rsid w:val="00127A74"/>
    <w:rsid w:val="00130A41"/>
    <w:rsid w:val="00130D1F"/>
    <w:rsid w:val="0013132F"/>
    <w:rsid w:val="00131549"/>
    <w:rsid w:val="00131B1B"/>
    <w:rsid w:val="00132F49"/>
    <w:rsid w:val="0013306D"/>
    <w:rsid w:val="00133348"/>
    <w:rsid w:val="00134D62"/>
    <w:rsid w:val="0013528C"/>
    <w:rsid w:val="0013537F"/>
    <w:rsid w:val="0013543E"/>
    <w:rsid w:val="00136676"/>
    <w:rsid w:val="00137D8C"/>
    <w:rsid w:val="00140F2D"/>
    <w:rsid w:val="00142F55"/>
    <w:rsid w:val="00142FDD"/>
    <w:rsid w:val="00143891"/>
    <w:rsid w:val="00143AC1"/>
    <w:rsid w:val="001442A2"/>
    <w:rsid w:val="00144381"/>
    <w:rsid w:val="00145027"/>
    <w:rsid w:val="001468CA"/>
    <w:rsid w:val="001469FA"/>
    <w:rsid w:val="001477C9"/>
    <w:rsid w:val="001500A8"/>
    <w:rsid w:val="0015055B"/>
    <w:rsid w:val="00150A33"/>
    <w:rsid w:val="001539BF"/>
    <w:rsid w:val="00153A10"/>
    <w:rsid w:val="00153E2F"/>
    <w:rsid w:val="00154A10"/>
    <w:rsid w:val="00155D85"/>
    <w:rsid w:val="00156FF5"/>
    <w:rsid w:val="00157FC6"/>
    <w:rsid w:val="00163A3B"/>
    <w:rsid w:val="00163B1D"/>
    <w:rsid w:val="00165615"/>
    <w:rsid w:val="00165B3E"/>
    <w:rsid w:val="00165D28"/>
    <w:rsid w:val="00166423"/>
    <w:rsid w:val="0016761C"/>
    <w:rsid w:val="00167B5A"/>
    <w:rsid w:val="0017005C"/>
    <w:rsid w:val="00171051"/>
    <w:rsid w:val="001717E9"/>
    <w:rsid w:val="0017266A"/>
    <w:rsid w:val="00172BEE"/>
    <w:rsid w:val="00173FE1"/>
    <w:rsid w:val="001747E5"/>
    <w:rsid w:val="00174CDF"/>
    <w:rsid w:val="00175CD8"/>
    <w:rsid w:val="00175CED"/>
    <w:rsid w:val="0017709D"/>
    <w:rsid w:val="00177B1B"/>
    <w:rsid w:val="00180408"/>
    <w:rsid w:val="00182329"/>
    <w:rsid w:val="00182BD8"/>
    <w:rsid w:val="00186F59"/>
    <w:rsid w:val="00190853"/>
    <w:rsid w:val="00190FB0"/>
    <w:rsid w:val="00192AC6"/>
    <w:rsid w:val="00192E71"/>
    <w:rsid w:val="001941B6"/>
    <w:rsid w:val="0019647B"/>
    <w:rsid w:val="001973B7"/>
    <w:rsid w:val="001979C5"/>
    <w:rsid w:val="00197DBD"/>
    <w:rsid w:val="001A0307"/>
    <w:rsid w:val="001A216C"/>
    <w:rsid w:val="001A4CCD"/>
    <w:rsid w:val="001A502A"/>
    <w:rsid w:val="001A73C4"/>
    <w:rsid w:val="001A76F9"/>
    <w:rsid w:val="001A78E1"/>
    <w:rsid w:val="001B06FF"/>
    <w:rsid w:val="001B0F1E"/>
    <w:rsid w:val="001B1703"/>
    <w:rsid w:val="001B265F"/>
    <w:rsid w:val="001C0818"/>
    <w:rsid w:val="001C08DE"/>
    <w:rsid w:val="001C1259"/>
    <w:rsid w:val="001C1C2E"/>
    <w:rsid w:val="001C2E1D"/>
    <w:rsid w:val="001C31A1"/>
    <w:rsid w:val="001C33C6"/>
    <w:rsid w:val="001C3CFD"/>
    <w:rsid w:val="001C3E00"/>
    <w:rsid w:val="001C3FA2"/>
    <w:rsid w:val="001C5EE2"/>
    <w:rsid w:val="001C7050"/>
    <w:rsid w:val="001C715A"/>
    <w:rsid w:val="001C7263"/>
    <w:rsid w:val="001D0077"/>
    <w:rsid w:val="001D0166"/>
    <w:rsid w:val="001D13B8"/>
    <w:rsid w:val="001D1544"/>
    <w:rsid w:val="001D2EA4"/>
    <w:rsid w:val="001D3222"/>
    <w:rsid w:val="001D57DB"/>
    <w:rsid w:val="001E0377"/>
    <w:rsid w:val="001E0AFF"/>
    <w:rsid w:val="001E2295"/>
    <w:rsid w:val="001E24DC"/>
    <w:rsid w:val="001E289B"/>
    <w:rsid w:val="001E2970"/>
    <w:rsid w:val="001E407B"/>
    <w:rsid w:val="001E46C8"/>
    <w:rsid w:val="001E495A"/>
    <w:rsid w:val="001E4D1F"/>
    <w:rsid w:val="001E710C"/>
    <w:rsid w:val="001E778D"/>
    <w:rsid w:val="001E7FC6"/>
    <w:rsid w:val="001F0082"/>
    <w:rsid w:val="001F1EF1"/>
    <w:rsid w:val="001F22D5"/>
    <w:rsid w:val="001F2502"/>
    <w:rsid w:val="001F2B0D"/>
    <w:rsid w:val="001F2DC3"/>
    <w:rsid w:val="001F3008"/>
    <w:rsid w:val="001F3FE7"/>
    <w:rsid w:val="001F4958"/>
    <w:rsid w:val="001F53F8"/>
    <w:rsid w:val="001F5BB6"/>
    <w:rsid w:val="001F70A5"/>
    <w:rsid w:val="00202066"/>
    <w:rsid w:val="0020235D"/>
    <w:rsid w:val="00202B39"/>
    <w:rsid w:val="00202E05"/>
    <w:rsid w:val="002030E3"/>
    <w:rsid w:val="00203578"/>
    <w:rsid w:val="0020369B"/>
    <w:rsid w:val="00203BF8"/>
    <w:rsid w:val="002048EC"/>
    <w:rsid w:val="00205D67"/>
    <w:rsid w:val="00207B4D"/>
    <w:rsid w:val="00210F9B"/>
    <w:rsid w:val="002117B1"/>
    <w:rsid w:val="002120C0"/>
    <w:rsid w:val="00212147"/>
    <w:rsid w:val="0021234C"/>
    <w:rsid w:val="002134C9"/>
    <w:rsid w:val="002135EB"/>
    <w:rsid w:val="00214D86"/>
    <w:rsid w:val="00217CCE"/>
    <w:rsid w:val="002203B1"/>
    <w:rsid w:val="002212AF"/>
    <w:rsid w:val="00221850"/>
    <w:rsid w:val="00221A8B"/>
    <w:rsid w:val="00222FBE"/>
    <w:rsid w:val="0022358C"/>
    <w:rsid w:val="00224726"/>
    <w:rsid w:val="00225464"/>
    <w:rsid w:val="002255AE"/>
    <w:rsid w:val="002257BD"/>
    <w:rsid w:val="00226F39"/>
    <w:rsid w:val="00227806"/>
    <w:rsid w:val="00227A0D"/>
    <w:rsid w:val="00227CA4"/>
    <w:rsid w:val="002303B7"/>
    <w:rsid w:val="00230EEE"/>
    <w:rsid w:val="002316C5"/>
    <w:rsid w:val="00231A48"/>
    <w:rsid w:val="002323E7"/>
    <w:rsid w:val="00233341"/>
    <w:rsid w:val="002334AD"/>
    <w:rsid w:val="00233C20"/>
    <w:rsid w:val="0023567C"/>
    <w:rsid w:val="00235803"/>
    <w:rsid w:val="002359F2"/>
    <w:rsid w:val="00235A86"/>
    <w:rsid w:val="00235DA2"/>
    <w:rsid w:val="0023731E"/>
    <w:rsid w:val="0024041D"/>
    <w:rsid w:val="002405AF"/>
    <w:rsid w:val="002409A4"/>
    <w:rsid w:val="00240F3A"/>
    <w:rsid w:val="00240FC9"/>
    <w:rsid w:val="00241B60"/>
    <w:rsid w:val="0024269C"/>
    <w:rsid w:val="00242F99"/>
    <w:rsid w:val="00244657"/>
    <w:rsid w:val="00244AD4"/>
    <w:rsid w:val="00244F40"/>
    <w:rsid w:val="00245FAA"/>
    <w:rsid w:val="0024662D"/>
    <w:rsid w:val="00247A78"/>
    <w:rsid w:val="0025053A"/>
    <w:rsid w:val="00250718"/>
    <w:rsid w:val="0025081A"/>
    <w:rsid w:val="002519D1"/>
    <w:rsid w:val="002524C9"/>
    <w:rsid w:val="00252AA2"/>
    <w:rsid w:val="00252B2C"/>
    <w:rsid w:val="00253274"/>
    <w:rsid w:val="00253670"/>
    <w:rsid w:val="00257472"/>
    <w:rsid w:val="0025785B"/>
    <w:rsid w:val="00257969"/>
    <w:rsid w:val="00260D61"/>
    <w:rsid w:val="00261DAC"/>
    <w:rsid w:val="0026522B"/>
    <w:rsid w:val="00265892"/>
    <w:rsid w:val="00265CD1"/>
    <w:rsid w:val="002662C9"/>
    <w:rsid w:val="00266817"/>
    <w:rsid w:val="00266DD5"/>
    <w:rsid w:val="00266FD4"/>
    <w:rsid w:val="00267430"/>
    <w:rsid w:val="00267FA4"/>
    <w:rsid w:val="00270F37"/>
    <w:rsid w:val="0027223D"/>
    <w:rsid w:val="002723EA"/>
    <w:rsid w:val="00272A65"/>
    <w:rsid w:val="00274A8B"/>
    <w:rsid w:val="0027665C"/>
    <w:rsid w:val="002767BE"/>
    <w:rsid w:val="00280048"/>
    <w:rsid w:val="00280983"/>
    <w:rsid w:val="00280F20"/>
    <w:rsid w:val="00281922"/>
    <w:rsid w:val="00281D2B"/>
    <w:rsid w:val="00283310"/>
    <w:rsid w:val="0028489E"/>
    <w:rsid w:val="002848DE"/>
    <w:rsid w:val="00284A26"/>
    <w:rsid w:val="00285BBC"/>
    <w:rsid w:val="002868ED"/>
    <w:rsid w:val="0028794E"/>
    <w:rsid w:val="00292359"/>
    <w:rsid w:val="00293DC8"/>
    <w:rsid w:val="00294A8C"/>
    <w:rsid w:val="00294D84"/>
    <w:rsid w:val="00295807"/>
    <w:rsid w:val="00296103"/>
    <w:rsid w:val="0029733B"/>
    <w:rsid w:val="002A2854"/>
    <w:rsid w:val="002A5841"/>
    <w:rsid w:val="002A5CA2"/>
    <w:rsid w:val="002A5D8C"/>
    <w:rsid w:val="002A776A"/>
    <w:rsid w:val="002A7FAC"/>
    <w:rsid w:val="002B02EA"/>
    <w:rsid w:val="002B17C7"/>
    <w:rsid w:val="002B1EDF"/>
    <w:rsid w:val="002B2061"/>
    <w:rsid w:val="002B2494"/>
    <w:rsid w:val="002B33C3"/>
    <w:rsid w:val="002B3581"/>
    <w:rsid w:val="002B3806"/>
    <w:rsid w:val="002B4107"/>
    <w:rsid w:val="002B503A"/>
    <w:rsid w:val="002B6DEE"/>
    <w:rsid w:val="002B7C97"/>
    <w:rsid w:val="002B7FE8"/>
    <w:rsid w:val="002C09DC"/>
    <w:rsid w:val="002C1232"/>
    <w:rsid w:val="002C1815"/>
    <w:rsid w:val="002C1E44"/>
    <w:rsid w:val="002C207E"/>
    <w:rsid w:val="002C2D43"/>
    <w:rsid w:val="002C2EDB"/>
    <w:rsid w:val="002C4B5F"/>
    <w:rsid w:val="002C5970"/>
    <w:rsid w:val="002C5C92"/>
    <w:rsid w:val="002C5E29"/>
    <w:rsid w:val="002C672F"/>
    <w:rsid w:val="002C76C9"/>
    <w:rsid w:val="002C7B50"/>
    <w:rsid w:val="002C7F6A"/>
    <w:rsid w:val="002D0478"/>
    <w:rsid w:val="002D18B7"/>
    <w:rsid w:val="002D3279"/>
    <w:rsid w:val="002D4458"/>
    <w:rsid w:val="002D466E"/>
    <w:rsid w:val="002D4F77"/>
    <w:rsid w:val="002D53E7"/>
    <w:rsid w:val="002D66C8"/>
    <w:rsid w:val="002D6BF3"/>
    <w:rsid w:val="002D7127"/>
    <w:rsid w:val="002D7901"/>
    <w:rsid w:val="002E34DB"/>
    <w:rsid w:val="002E5BDE"/>
    <w:rsid w:val="002E65E5"/>
    <w:rsid w:val="002E6B0C"/>
    <w:rsid w:val="002F106F"/>
    <w:rsid w:val="002F2C56"/>
    <w:rsid w:val="002F43F9"/>
    <w:rsid w:val="002F599E"/>
    <w:rsid w:val="002F668B"/>
    <w:rsid w:val="002F6A1D"/>
    <w:rsid w:val="002F722C"/>
    <w:rsid w:val="003008D8"/>
    <w:rsid w:val="00301506"/>
    <w:rsid w:val="00301D9A"/>
    <w:rsid w:val="0030247D"/>
    <w:rsid w:val="00302844"/>
    <w:rsid w:val="003029F5"/>
    <w:rsid w:val="0030357F"/>
    <w:rsid w:val="00303959"/>
    <w:rsid w:val="003044FF"/>
    <w:rsid w:val="003049FF"/>
    <w:rsid w:val="00306E72"/>
    <w:rsid w:val="00307ED7"/>
    <w:rsid w:val="00312AC3"/>
    <w:rsid w:val="00312BF9"/>
    <w:rsid w:val="00314312"/>
    <w:rsid w:val="00314430"/>
    <w:rsid w:val="00314EAD"/>
    <w:rsid w:val="003163BC"/>
    <w:rsid w:val="00316CC1"/>
    <w:rsid w:val="003173F6"/>
    <w:rsid w:val="00317EDA"/>
    <w:rsid w:val="003202D8"/>
    <w:rsid w:val="00320EF5"/>
    <w:rsid w:val="003212D9"/>
    <w:rsid w:val="00321A88"/>
    <w:rsid w:val="00322B53"/>
    <w:rsid w:val="0032351A"/>
    <w:rsid w:val="00324B33"/>
    <w:rsid w:val="00327488"/>
    <w:rsid w:val="003275C2"/>
    <w:rsid w:val="00327D28"/>
    <w:rsid w:val="00330ECC"/>
    <w:rsid w:val="003319DB"/>
    <w:rsid w:val="00332704"/>
    <w:rsid w:val="003333D1"/>
    <w:rsid w:val="00333A27"/>
    <w:rsid w:val="00335911"/>
    <w:rsid w:val="00335E67"/>
    <w:rsid w:val="00336C69"/>
    <w:rsid w:val="00336FE1"/>
    <w:rsid w:val="003372F0"/>
    <w:rsid w:val="003372FC"/>
    <w:rsid w:val="00337BD8"/>
    <w:rsid w:val="0034008A"/>
    <w:rsid w:val="003401A7"/>
    <w:rsid w:val="003404AE"/>
    <w:rsid w:val="00340514"/>
    <w:rsid w:val="00341BA1"/>
    <w:rsid w:val="00342269"/>
    <w:rsid w:val="00342D56"/>
    <w:rsid w:val="00343A60"/>
    <w:rsid w:val="00343BE5"/>
    <w:rsid w:val="00343CDF"/>
    <w:rsid w:val="0034442C"/>
    <w:rsid w:val="00344B70"/>
    <w:rsid w:val="00344F0F"/>
    <w:rsid w:val="003456E7"/>
    <w:rsid w:val="00345785"/>
    <w:rsid w:val="00346C96"/>
    <w:rsid w:val="00346EC2"/>
    <w:rsid w:val="003477F9"/>
    <w:rsid w:val="00347931"/>
    <w:rsid w:val="00350607"/>
    <w:rsid w:val="0035126B"/>
    <w:rsid w:val="003520F4"/>
    <w:rsid w:val="00353034"/>
    <w:rsid w:val="0035444D"/>
    <w:rsid w:val="0035537F"/>
    <w:rsid w:val="00356D62"/>
    <w:rsid w:val="00356E21"/>
    <w:rsid w:val="0035714A"/>
    <w:rsid w:val="00361130"/>
    <w:rsid w:val="00361A35"/>
    <w:rsid w:val="00361BF8"/>
    <w:rsid w:val="003624BE"/>
    <w:rsid w:val="00363EE3"/>
    <w:rsid w:val="00365C06"/>
    <w:rsid w:val="00365EB6"/>
    <w:rsid w:val="00365F86"/>
    <w:rsid w:val="00366E87"/>
    <w:rsid w:val="00366EB8"/>
    <w:rsid w:val="00371F0A"/>
    <w:rsid w:val="00372CB9"/>
    <w:rsid w:val="003735F3"/>
    <w:rsid w:val="00374729"/>
    <w:rsid w:val="00374ACE"/>
    <w:rsid w:val="00374B27"/>
    <w:rsid w:val="00375CAB"/>
    <w:rsid w:val="00376E02"/>
    <w:rsid w:val="00377282"/>
    <w:rsid w:val="00377755"/>
    <w:rsid w:val="003806E7"/>
    <w:rsid w:val="003813A9"/>
    <w:rsid w:val="00381EA9"/>
    <w:rsid w:val="00382039"/>
    <w:rsid w:val="003822A3"/>
    <w:rsid w:val="0038235A"/>
    <w:rsid w:val="00383191"/>
    <w:rsid w:val="00383703"/>
    <w:rsid w:val="0038401B"/>
    <w:rsid w:val="0038563C"/>
    <w:rsid w:val="00385D88"/>
    <w:rsid w:val="00387298"/>
    <w:rsid w:val="00387654"/>
    <w:rsid w:val="00387984"/>
    <w:rsid w:val="00390CFD"/>
    <w:rsid w:val="00392585"/>
    <w:rsid w:val="00392AB3"/>
    <w:rsid w:val="00393121"/>
    <w:rsid w:val="00393DC7"/>
    <w:rsid w:val="00393EBD"/>
    <w:rsid w:val="0039462C"/>
    <w:rsid w:val="00395140"/>
    <w:rsid w:val="00395143"/>
    <w:rsid w:val="00396654"/>
    <w:rsid w:val="00397B99"/>
    <w:rsid w:val="003A220A"/>
    <w:rsid w:val="003A23F5"/>
    <w:rsid w:val="003A2422"/>
    <w:rsid w:val="003A30D1"/>
    <w:rsid w:val="003A3BE1"/>
    <w:rsid w:val="003A3D2B"/>
    <w:rsid w:val="003A3FF9"/>
    <w:rsid w:val="003A6BEB"/>
    <w:rsid w:val="003A7CE2"/>
    <w:rsid w:val="003B149C"/>
    <w:rsid w:val="003B16F1"/>
    <w:rsid w:val="003B329C"/>
    <w:rsid w:val="003B5834"/>
    <w:rsid w:val="003B694A"/>
    <w:rsid w:val="003B70E9"/>
    <w:rsid w:val="003B7941"/>
    <w:rsid w:val="003C0FDB"/>
    <w:rsid w:val="003C1192"/>
    <w:rsid w:val="003C332B"/>
    <w:rsid w:val="003C55E2"/>
    <w:rsid w:val="003C63D5"/>
    <w:rsid w:val="003C6AD4"/>
    <w:rsid w:val="003C6B85"/>
    <w:rsid w:val="003C72DB"/>
    <w:rsid w:val="003C7AA8"/>
    <w:rsid w:val="003D0266"/>
    <w:rsid w:val="003D0786"/>
    <w:rsid w:val="003D0CF0"/>
    <w:rsid w:val="003D4FF2"/>
    <w:rsid w:val="003D613F"/>
    <w:rsid w:val="003D6ABF"/>
    <w:rsid w:val="003D71A1"/>
    <w:rsid w:val="003E0B9B"/>
    <w:rsid w:val="003E0F70"/>
    <w:rsid w:val="003E1E92"/>
    <w:rsid w:val="003E1FED"/>
    <w:rsid w:val="003E37CE"/>
    <w:rsid w:val="003E4550"/>
    <w:rsid w:val="003E566A"/>
    <w:rsid w:val="003E5BDE"/>
    <w:rsid w:val="003E66F1"/>
    <w:rsid w:val="003F0362"/>
    <w:rsid w:val="003F0B9D"/>
    <w:rsid w:val="003F2ED0"/>
    <w:rsid w:val="003F30F6"/>
    <w:rsid w:val="003F403C"/>
    <w:rsid w:val="003F51D1"/>
    <w:rsid w:val="003F628A"/>
    <w:rsid w:val="003F657D"/>
    <w:rsid w:val="003F6945"/>
    <w:rsid w:val="003F6B9E"/>
    <w:rsid w:val="004000C3"/>
    <w:rsid w:val="00400A02"/>
    <w:rsid w:val="00400A0A"/>
    <w:rsid w:val="00401A82"/>
    <w:rsid w:val="0040360B"/>
    <w:rsid w:val="00404333"/>
    <w:rsid w:val="0041023A"/>
    <w:rsid w:val="00411BD1"/>
    <w:rsid w:val="0041224E"/>
    <w:rsid w:val="0041232C"/>
    <w:rsid w:val="004147E1"/>
    <w:rsid w:val="00414ED7"/>
    <w:rsid w:val="00415222"/>
    <w:rsid w:val="00416249"/>
    <w:rsid w:val="0041688F"/>
    <w:rsid w:val="00416AE0"/>
    <w:rsid w:val="00417B2B"/>
    <w:rsid w:val="0042070A"/>
    <w:rsid w:val="00422108"/>
    <w:rsid w:val="004226DB"/>
    <w:rsid w:val="0042371A"/>
    <w:rsid w:val="0042376F"/>
    <w:rsid w:val="00423ED2"/>
    <w:rsid w:val="004246B8"/>
    <w:rsid w:val="004248F1"/>
    <w:rsid w:val="00424958"/>
    <w:rsid w:val="004271FD"/>
    <w:rsid w:val="00431AA5"/>
    <w:rsid w:val="00432B98"/>
    <w:rsid w:val="00433318"/>
    <w:rsid w:val="00434431"/>
    <w:rsid w:val="00434BC5"/>
    <w:rsid w:val="004351CC"/>
    <w:rsid w:val="00436377"/>
    <w:rsid w:val="0043794D"/>
    <w:rsid w:val="004406FD"/>
    <w:rsid w:val="004411D9"/>
    <w:rsid w:val="0044173C"/>
    <w:rsid w:val="00442A56"/>
    <w:rsid w:val="00442E7A"/>
    <w:rsid w:val="00443149"/>
    <w:rsid w:val="00443364"/>
    <w:rsid w:val="00443756"/>
    <w:rsid w:val="004444B0"/>
    <w:rsid w:val="0044548F"/>
    <w:rsid w:val="0044605B"/>
    <w:rsid w:val="00447B71"/>
    <w:rsid w:val="00447CBE"/>
    <w:rsid w:val="004500DB"/>
    <w:rsid w:val="004501E0"/>
    <w:rsid w:val="0045060B"/>
    <w:rsid w:val="00450DD0"/>
    <w:rsid w:val="00451083"/>
    <w:rsid w:val="004513D0"/>
    <w:rsid w:val="00454B2C"/>
    <w:rsid w:val="004567FC"/>
    <w:rsid w:val="00456CEC"/>
    <w:rsid w:val="00460371"/>
    <w:rsid w:val="004603D3"/>
    <w:rsid w:val="00460F70"/>
    <w:rsid w:val="004626FF"/>
    <w:rsid w:val="0046285C"/>
    <w:rsid w:val="00463BDC"/>
    <w:rsid w:val="00463FB7"/>
    <w:rsid w:val="00464727"/>
    <w:rsid w:val="00465C6C"/>
    <w:rsid w:val="00466749"/>
    <w:rsid w:val="00466D4C"/>
    <w:rsid w:val="004675CF"/>
    <w:rsid w:val="0046778C"/>
    <w:rsid w:val="00470A52"/>
    <w:rsid w:val="004715DC"/>
    <w:rsid w:val="00471BD5"/>
    <w:rsid w:val="0047220E"/>
    <w:rsid w:val="004758C8"/>
    <w:rsid w:val="00475F55"/>
    <w:rsid w:val="00476B82"/>
    <w:rsid w:val="00477C4E"/>
    <w:rsid w:val="00477F07"/>
    <w:rsid w:val="00480C9B"/>
    <w:rsid w:val="00481503"/>
    <w:rsid w:val="00481D12"/>
    <w:rsid w:val="00482B01"/>
    <w:rsid w:val="00483A0A"/>
    <w:rsid w:val="004854A6"/>
    <w:rsid w:val="004855BC"/>
    <w:rsid w:val="00486AC3"/>
    <w:rsid w:val="00490669"/>
    <w:rsid w:val="00491A55"/>
    <w:rsid w:val="004930CD"/>
    <w:rsid w:val="00494B48"/>
    <w:rsid w:val="00494C3E"/>
    <w:rsid w:val="00496039"/>
    <w:rsid w:val="00497DF1"/>
    <w:rsid w:val="004A1088"/>
    <w:rsid w:val="004A1670"/>
    <w:rsid w:val="004A318E"/>
    <w:rsid w:val="004A441A"/>
    <w:rsid w:val="004A45D4"/>
    <w:rsid w:val="004A4F47"/>
    <w:rsid w:val="004A5188"/>
    <w:rsid w:val="004A57DB"/>
    <w:rsid w:val="004A57E8"/>
    <w:rsid w:val="004A57F8"/>
    <w:rsid w:val="004A6BB1"/>
    <w:rsid w:val="004B3081"/>
    <w:rsid w:val="004B4A09"/>
    <w:rsid w:val="004B525F"/>
    <w:rsid w:val="004B6F58"/>
    <w:rsid w:val="004B7619"/>
    <w:rsid w:val="004B78AB"/>
    <w:rsid w:val="004B7BE2"/>
    <w:rsid w:val="004C0438"/>
    <w:rsid w:val="004C100C"/>
    <w:rsid w:val="004C143D"/>
    <w:rsid w:val="004C3005"/>
    <w:rsid w:val="004C39B5"/>
    <w:rsid w:val="004C41CE"/>
    <w:rsid w:val="004C4F93"/>
    <w:rsid w:val="004C5261"/>
    <w:rsid w:val="004C631B"/>
    <w:rsid w:val="004D0933"/>
    <w:rsid w:val="004D0C09"/>
    <w:rsid w:val="004D1EF5"/>
    <w:rsid w:val="004D217A"/>
    <w:rsid w:val="004D2F00"/>
    <w:rsid w:val="004D31D8"/>
    <w:rsid w:val="004D35D1"/>
    <w:rsid w:val="004D4AD5"/>
    <w:rsid w:val="004D5388"/>
    <w:rsid w:val="004D615A"/>
    <w:rsid w:val="004D6C66"/>
    <w:rsid w:val="004E06AD"/>
    <w:rsid w:val="004E0A19"/>
    <w:rsid w:val="004E0EAE"/>
    <w:rsid w:val="004E16C6"/>
    <w:rsid w:val="004E1FD2"/>
    <w:rsid w:val="004E2A73"/>
    <w:rsid w:val="004E447A"/>
    <w:rsid w:val="004E4653"/>
    <w:rsid w:val="004E7914"/>
    <w:rsid w:val="004E7F16"/>
    <w:rsid w:val="004E7F44"/>
    <w:rsid w:val="004F18EC"/>
    <w:rsid w:val="004F2311"/>
    <w:rsid w:val="004F4227"/>
    <w:rsid w:val="004F5317"/>
    <w:rsid w:val="004F544B"/>
    <w:rsid w:val="004F767E"/>
    <w:rsid w:val="004F77F3"/>
    <w:rsid w:val="00500D68"/>
    <w:rsid w:val="005017AF"/>
    <w:rsid w:val="00502753"/>
    <w:rsid w:val="005037C0"/>
    <w:rsid w:val="00503A16"/>
    <w:rsid w:val="00504ED8"/>
    <w:rsid w:val="00505855"/>
    <w:rsid w:val="00505F0F"/>
    <w:rsid w:val="00506BA2"/>
    <w:rsid w:val="00507A20"/>
    <w:rsid w:val="005118B3"/>
    <w:rsid w:val="005135C6"/>
    <w:rsid w:val="00513770"/>
    <w:rsid w:val="00513F67"/>
    <w:rsid w:val="005162D8"/>
    <w:rsid w:val="00521D96"/>
    <w:rsid w:val="005220BA"/>
    <w:rsid w:val="005236A8"/>
    <w:rsid w:val="00523827"/>
    <w:rsid w:val="0052461D"/>
    <w:rsid w:val="00524EA4"/>
    <w:rsid w:val="00524FA2"/>
    <w:rsid w:val="00524FE3"/>
    <w:rsid w:val="00532EE7"/>
    <w:rsid w:val="0053349B"/>
    <w:rsid w:val="0053377D"/>
    <w:rsid w:val="00535824"/>
    <w:rsid w:val="00535A90"/>
    <w:rsid w:val="00535DFE"/>
    <w:rsid w:val="00536151"/>
    <w:rsid w:val="005373B5"/>
    <w:rsid w:val="00537592"/>
    <w:rsid w:val="00537AB7"/>
    <w:rsid w:val="00540572"/>
    <w:rsid w:val="00540CE3"/>
    <w:rsid w:val="005410FF"/>
    <w:rsid w:val="00541D0B"/>
    <w:rsid w:val="005444A2"/>
    <w:rsid w:val="00544C77"/>
    <w:rsid w:val="0054669B"/>
    <w:rsid w:val="00547000"/>
    <w:rsid w:val="005509DE"/>
    <w:rsid w:val="0055160B"/>
    <w:rsid w:val="00553971"/>
    <w:rsid w:val="00554520"/>
    <w:rsid w:val="0055495B"/>
    <w:rsid w:val="0055558F"/>
    <w:rsid w:val="00555920"/>
    <w:rsid w:val="005562FE"/>
    <w:rsid w:val="00557684"/>
    <w:rsid w:val="005579B9"/>
    <w:rsid w:val="00560211"/>
    <w:rsid w:val="00560C28"/>
    <w:rsid w:val="00560E31"/>
    <w:rsid w:val="00560EC1"/>
    <w:rsid w:val="005610D1"/>
    <w:rsid w:val="00561C74"/>
    <w:rsid w:val="00561EAD"/>
    <w:rsid w:val="005624B9"/>
    <w:rsid w:val="00562F42"/>
    <w:rsid w:val="0056350C"/>
    <w:rsid w:val="00564D02"/>
    <w:rsid w:val="00565739"/>
    <w:rsid w:val="00565EFC"/>
    <w:rsid w:val="00566708"/>
    <w:rsid w:val="0056766D"/>
    <w:rsid w:val="00570AEC"/>
    <w:rsid w:val="00573B0B"/>
    <w:rsid w:val="005744CA"/>
    <w:rsid w:val="00574C58"/>
    <w:rsid w:val="00575215"/>
    <w:rsid w:val="005775D0"/>
    <w:rsid w:val="00580784"/>
    <w:rsid w:val="00581138"/>
    <w:rsid w:val="005811B9"/>
    <w:rsid w:val="00583DF3"/>
    <w:rsid w:val="00584E5A"/>
    <w:rsid w:val="00585493"/>
    <w:rsid w:val="0058575E"/>
    <w:rsid w:val="00587357"/>
    <w:rsid w:val="0058783C"/>
    <w:rsid w:val="00587B57"/>
    <w:rsid w:val="00590E58"/>
    <w:rsid w:val="00591108"/>
    <w:rsid w:val="005911AE"/>
    <w:rsid w:val="005926E2"/>
    <w:rsid w:val="0059313A"/>
    <w:rsid w:val="0059343C"/>
    <w:rsid w:val="00593626"/>
    <w:rsid w:val="00593966"/>
    <w:rsid w:val="00593A5E"/>
    <w:rsid w:val="005940C8"/>
    <w:rsid w:val="00594467"/>
    <w:rsid w:val="00594F3E"/>
    <w:rsid w:val="0059599B"/>
    <w:rsid w:val="005962DF"/>
    <w:rsid w:val="00597ACB"/>
    <w:rsid w:val="005A0BC8"/>
    <w:rsid w:val="005A168D"/>
    <w:rsid w:val="005A1D92"/>
    <w:rsid w:val="005A2A9D"/>
    <w:rsid w:val="005A2DEA"/>
    <w:rsid w:val="005A4788"/>
    <w:rsid w:val="005A49E4"/>
    <w:rsid w:val="005A54EA"/>
    <w:rsid w:val="005A5EDD"/>
    <w:rsid w:val="005A7A6C"/>
    <w:rsid w:val="005B023F"/>
    <w:rsid w:val="005B02A2"/>
    <w:rsid w:val="005B1351"/>
    <w:rsid w:val="005B1417"/>
    <w:rsid w:val="005B2AF2"/>
    <w:rsid w:val="005B3272"/>
    <w:rsid w:val="005B40AA"/>
    <w:rsid w:val="005B44D8"/>
    <w:rsid w:val="005B4A6A"/>
    <w:rsid w:val="005B69CF"/>
    <w:rsid w:val="005B7797"/>
    <w:rsid w:val="005B7BE7"/>
    <w:rsid w:val="005B7D86"/>
    <w:rsid w:val="005C1274"/>
    <w:rsid w:val="005C2A9B"/>
    <w:rsid w:val="005C3830"/>
    <w:rsid w:val="005C3F07"/>
    <w:rsid w:val="005C4B46"/>
    <w:rsid w:val="005C5DC5"/>
    <w:rsid w:val="005C779D"/>
    <w:rsid w:val="005C7C1F"/>
    <w:rsid w:val="005D0A33"/>
    <w:rsid w:val="005D0AD4"/>
    <w:rsid w:val="005D0E1E"/>
    <w:rsid w:val="005D13AA"/>
    <w:rsid w:val="005D155E"/>
    <w:rsid w:val="005D1807"/>
    <w:rsid w:val="005D2089"/>
    <w:rsid w:val="005D28BB"/>
    <w:rsid w:val="005D3613"/>
    <w:rsid w:val="005D4064"/>
    <w:rsid w:val="005D5F71"/>
    <w:rsid w:val="005D6559"/>
    <w:rsid w:val="005D6A3C"/>
    <w:rsid w:val="005D7514"/>
    <w:rsid w:val="005D7AF6"/>
    <w:rsid w:val="005E00A5"/>
    <w:rsid w:val="005E0FC6"/>
    <w:rsid w:val="005E1A7B"/>
    <w:rsid w:val="005E231F"/>
    <w:rsid w:val="005E2B68"/>
    <w:rsid w:val="005E451A"/>
    <w:rsid w:val="005E4E2B"/>
    <w:rsid w:val="005E58FF"/>
    <w:rsid w:val="005F062D"/>
    <w:rsid w:val="005F0C29"/>
    <w:rsid w:val="005F0F80"/>
    <w:rsid w:val="005F2290"/>
    <w:rsid w:val="005F3740"/>
    <w:rsid w:val="005F3D1B"/>
    <w:rsid w:val="005F4A9E"/>
    <w:rsid w:val="005F503D"/>
    <w:rsid w:val="005F7940"/>
    <w:rsid w:val="005F7B2F"/>
    <w:rsid w:val="005F7BE0"/>
    <w:rsid w:val="00601CE5"/>
    <w:rsid w:val="00602D6E"/>
    <w:rsid w:val="00602E22"/>
    <w:rsid w:val="00604216"/>
    <w:rsid w:val="0060474C"/>
    <w:rsid w:val="00604E94"/>
    <w:rsid w:val="00605C05"/>
    <w:rsid w:val="00606A11"/>
    <w:rsid w:val="0060716D"/>
    <w:rsid w:val="00607B12"/>
    <w:rsid w:val="00607E87"/>
    <w:rsid w:val="006103B6"/>
    <w:rsid w:val="00611351"/>
    <w:rsid w:val="0061217D"/>
    <w:rsid w:val="006129AE"/>
    <w:rsid w:val="00613537"/>
    <w:rsid w:val="00616DD1"/>
    <w:rsid w:val="00620AA7"/>
    <w:rsid w:val="00621ADD"/>
    <w:rsid w:val="00621E77"/>
    <w:rsid w:val="006236F8"/>
    <w:rsid w:val="00623F48"/>
    <w:rsid w:val="00625D4A"/>
    <w:rsid w:val="00625D7F"/>
    <w:rsid w:val="0062667A"/>
    <w:rsid w:val="00626774"/>
    <w:rsid w:val="00627315"/>
    <w:rsid w:val="00627512"/>
    <w:rsid w:val="006277A1"/>
    <w:rsid w:val="00630AE1"/>
    <w:rsid w:val="006319F8"/>
    <w:rsid w:val="00631AC8"/>
    <w:rsid w:val="006327CC"/>
    <w:rsid w:val="00632904"/>
    <w:rsid w:val="00632CCD"/>
    <w:rsid w:val="00633BD7"/>
    <w:rsid w:val="00634580"/>
    <w:rsid w:val="00634856"/>
    <w:rsid w:val="00634884"/>
    <w:rsid w:val="00634A4E"/>
    <w:rsid w:val="006351D9"/>
    <w:rsid w:val="006358F5"/>
    <w:rsid w:val="00636828"/>
    <w:rsid w:val="00637130"/>
    <w:rsid w:val="006377AE"/>
    <w:rsid w:val="00637A92"/>
    <w:rsid w:val="00637F0E"/>
    <w:rsid w:val="0064024A"/>
    <w:rsid w:val="00640417"/>
    <w:rsid w:val="0064159B"/>
    <w:rsid w:val="00641A4E"/>
    <w:rsid w:val="00642267"/>
    <w:rsid w:val="006423F2"/>
    <w:rsid w:val="006428C5"/>
    <w:rsid w:val="006461CC"/>
    <w:rsid w:val="0064711B"/>
    <w:rsid w:val="00647C5E"/>
    <w:rsid w:val="00650234"/>
    <w:rsid w:val="006502A2"/>
    <w:rsid w:val="006506EB"/>
    <w:rsid w:val="00651018"/>
    <w:rsid w:val="00651312"/>
    <w:rsid w:val="006515DB"/>
    <w:rsid w:val="00651B65"/>
    <w:rsid w:val="00653C40"/>
    <w:rsid w:val="00654B47"/>
    <w:rsid w:val="006567C1"/>
    <w:rsid w:val="006603A1"/>
    <w:rsid w:val="0066044B"/>
    <w:rsid w:val="006622A2"/>
    <w:rsid w:val="006630AA"/>
    <w:rsid w:val="00663544"/>
    <w:rsid w:val="00664248"/>
    <w:rsid w:val="0066443C"/>
    <w:rsid w:val="00664B27"/>
    <w:rsid w:val="00666539"/>
    <w:rsid w:val="006667AF"/>
    <w:rsid w:val="00666911"/>
    <w:rsid w:val="00667262"/>
    <w:rsid w:val="00671CEE"/>
    <w:rsid w:val="00672D64"/>
    <w:rsid w:val="00675008"/>
    <w:rsid w:val="006754B9"/>
    <w:rsid w:val="00675F81"/>
    <w:rsid w:val="00676A00"/>
    <w:rsid w:val="00676DAE"/>
    <w:rsid w:val="00676FA7"/>
    <w:rsid w:val="006771DA"/>
    <w:rsid w:val="006804A3"/>
    <w:rsid w:val="0068143E"/>
    <w:rsid w:val="006814D7"/>
    <w:rsid w:val="0068192A"/>
    <w:rsid w:val="00681B01"/>
    <w:rsid w:val="00683323"/>
    <w:rsid w:val="00683792"/>
    <w:rsid w:val="00684705"/>
    <w:rsid w:val="006848BD"/>
    <w:rsid w:val="0068507D"/>
    <w:rsid w:val="00685EBB"/>
    <w:rsid w:val="0068706D"/>
    <w:rsid w:val="00690B5B"/>
    <w:rsid w:val="00691AF2"/>
    <w:rsid w:val="00691B52"/>
    <w:rsid w:val="00692B80"/>
    <w:rsid w:val="00692CCD"/>
    <w:rsid w:val="00692D51"/>
    <w:rsid w:val="006939DE"/>
    <w:rsid w:val="00694DD7"/>
    <w:rsid w:val="00695BA2"/>
    <w:rsid w:val="0069636B"/>
    <w:rsid w:val="00696C3F"/>
    <w:rsid w:val="006A1762"/>
    <w:rsid w:val="006A19CE"/>
    <w:rsid w:val="006A1C42"/>
    <w:rsid w:val="006A1F0B"/>
    <w:rsid w:val="006A277A"/>
    <w:rsid w:val="006A3380"/>
    <w:rsid w:val="006A3671"/>
    <w:rsid w:val="006A3DDD"/>
    <w:rsid w:val="006A40DA"/>
    <w:rsid w:val="006A5538"/>
    <w:rsid w:val="006A5800"/>
    <w:rsid w:val="006A5973"/>
    <w:rsid w:val="006A7BA0"/>
    <w:rsid w:val="006B0489"/>
    <w:rsid w:val="006B04F3"/>
    <w:rsid w:val="006B0E28"/>
    <w:rsid w:val="006B3CF0"/>
    <w:rsid w:val="006B51CF"/>
    <w:rsid w:val="006B57E6"/>
    <w:rsid w:val="006B5E64"/>
    <w:rsid w:val="006B7126"/>
    <w:rsid w:val="006B7FCB"/>
    <w:rsid w:val="006C01A4"/>
    <w:rsid w:val="006C0993"/>
    <w:rsid w:val="006C21CC"/>
    <w:rsid w:val="006C3761"/>
    <w:rsid w:val="006C3AC8"/>
    <w:rsid w:val="006C3C2B"/>
    <w:rsid w:val="006C5AA1"/>
    <w:rsid w:val="006C6B86"/>
    <w:rsid w:val="006C7D18"/>
    <w:rsid w:val="006D1C4C"/>
    <w:rsid w:val="006D225D"/>
    <w:rsid w:val="006D30E0"/>
    <w:rsid w:val="006D323E"/>
    <w:rsid w:val="006D357E"/>
    <w:rsid w:val="006D4403"/>
    <w:rsid w:val="006D4553"/>
    <w:rsid w:val="006D4769"/>
    <w:rsid w:val="006D4A35"/>
    <w:rsid w:val="006D5535"/>
    <w:rsid w:val="006D6442"/>
    <w:rsid w:val="006D64BC"/>
    <w:rsid w:val="006D6B44"/>
    <w:rsid w:val="006D7DDE"/>
    <w:rsid w:val="006E09A0"/>
    <w:rsid w:val="006E0F71"/>
    <w:rsid w:val="006E0F95"/>
    <w:rsid w:val="006E1D22"/>
    <w:rsid w:val="006E264F"/>
    <w:rsid w:val="006E2715"/>
    <w:rsid w:val="006E27FE"/>
    <w:rsid w:val="006E3FDD"/>
    <w:rsid w:val="006E41D8"/>
    <w:rsid w:val="006E4AB0"/>
    <w:rsid w:val="006E5361"/>
    <w:rsid w:val="006E7643"/>
    <w:rsid w:val="006F0CD7"/>
    <w:rsid w:val="006F1174"/>
    <w:rsid w:val="006F16E9"/>
    <w:rsid w:val="006F40FA"/>
    <w:rsid w:val="006F4C22"/>
    <w:rsid w:val="006F6691"/>
    <w:rsid w:val="006F78CD"/>
    <w:rsid w:val="006F7A7D"/>
    <w:rsid w:val="00701110"/>
    <w:rsid w:val="00701896"/>
    <w:rsid w:val="00702E91"/>
    <w:rsid w:val="0070330F"/>
    <w:rsid w:val="00703624"/>
    <w:rsid w:val="00703D18"/>
    <w:rsid w:val="007046ED"/>
    <w:rsid w:val="0070541F"/>
    <w:rsid w:val="0070562A"/>
    <w:rsid w:val="0070623A"/>
    <w:rsid w:val="00706612"/>
    <w:rsid w:val="007072A1"/>
    <w:rsid w:val="00707B81"/>
    <w:rsid w:val="007104DC"/>
    <w:rsid w:val="0071060C"/>
    <w:rsid w:val="00710654"/>
    <w:rsid w:val="00710BC5"/>
    <w:rsid w:val="007121CA"/>
    <w:rsid w:val="0071268E"/>
    <w:rsid w:val="00713CC3"/>
    <w:rsid w:val="00714FD5"/>
    <w:rsid w:val="00715346"/>
    <w:rsid w:val="0072003B"/>
    <w:rsid w:val="00721059"/>
    <w:rsid w:val="007211E6"/>
    <w:rsid w:val="00721CC4"/>
    <w:rsid w:val="007220C4"/>
    <w:rsid w:val="00723333"/>
    <w:rsid w:val="007235B2"/>
    <w:rsid w:val="00723603"/>
    <w:rsid w:val="00726532"/>
    <w:rsid w:val="00726DEB"/>
    <w:rsid w:val="007304E0"/>
    <w:rsid w:val="007305ED"/>
    <w:rsid w:val="007311B9"/>
    <w:rsid w:val="00732361"/>
    <w:rsid w:val="00732C79"/>
    <w:rsid w:val="00732E67"/>
    <w:rsid w:val="0073444E"/>
    <w:rsid w:val="007357B9"/>
    <w:rsid w:val="0073629D"/>
    <w:rsid w:val="007362CA"/>
    <w:rsid w:val="00737237"/>
    <w:rsid w:val="00737B2B"/>
    <w:rsid w:val="007400EA"/>
    <w:rsid w:val="00741364"/>
    <w:rsid w:val="00741AB9"/>
    <w:rsid w:val="00742921"/>
    <w:rsid w:val="00742D03"/>
    <w:rsid w:val="00743944"/>
    <w:rsid w:val="00743ACA"/>
    <w:rsid w:val="00743BA0"/>
    <w:rsid w:val="00744021"/>
    <w:rsid w:val="00744216"/>
    <w:rsid w:val="00744429"/>
    <w:rsid w:val="007446C3"/>
    <w:rsid w:val="00744D46"/>
    <w:rsid w:val="00744EC7"/>
    <w:rsid w:val="007452E8"/>
    <w:rsid w:val="00745561"/>
    <w:rsid w:val="00746990"/>
    <w:rsid w:val="00747093"/>
    <w:rsid w:val="00747B7B"/>
    <w:rsid w:val="00750D70"/>
    <w:rsid w:val="00751F86"/>
    <w:rsid w:val="0075401A"/>
    <w:rsid w:val="0075610E"/>
    <w:rsid w:val="007567EE"/>
    <w:rsid w:val="00756B64"/>
    <w:rsid w:val="00756BBE"/>
    <w:rsid w:val="007573EF"/>
    <w:rsid w:val="007575D0"/>
    <w:rsid w:val="00761C8A"/>
    <w:rsid w:val="00761D18"/>
    <w:rsid w:val="00761D56"/>
    <w:rsid w:val="00761FB2"/>
    <w:rsid w:val="007662E0"/>
    <w:rsid w:val="00766ACB"/>
    <w:rsid w:val="00767E9F"/>
    <w:rsid w:val="00770535"/>
    <w:rsid w:val="00770C54"/>
    <w:rsid w:val="00772F93"/>
    <w:rsid w:val="00773E5F"/>
    <w:rsid w:val="00774A0E"/>
    <w:rsid w:val="0077500D"/>
    <w:rsid w:val="00776E9C"/>
    <w:rsid w:val="007775F5"/>
    <w:rsid w:val="00777FF2"/>
    <w:rsid w:val="007805EE"/>
    <w:rsid w:val="007816D8"/>
    <w:rsid w:val="00781806"/>
    <w:rsid w:val="00782420"/>
    <w:rsid w:val="00783CEE"/>
    <w:rsid w:val="00784150"/>
    <w:rsid w:val="0078440E"/>
    <w:rsid w:val="007850DB"/>
    <w:rsid w:val="0079045D"/>
    <w:rsid w:val="00790BF1"/>
    <w:rsid w:val="007911F3"/>
    <w:rsid w:val="00791269"/>
    <w:rsid w:val="007918D9"/>
    <w:rsid w:val="00793272"/>
    <w:rsid w:val="00794149"/>
    <w:rsid w:val="0079499A"/>
    <w:rsid w:val="00794B64"/>
    <w:rsid w:val="00795351"/>
    <w:rsid w:val="00796624"/>
    <w:rsid w:val="007967C3"/>
    <w:rsid w:val="007971AC"/>
    <w:rsid w:val="00797E28"/>
    <w:rsid w:val="007A0A33"/>
    <w:rsid w:val="007A12A7"/>
    <w:rsid w:val="007A4CCD"/>
    <w:rsid w:val="007A63E9"/>
    <w:rsid w:val="007A7865"/>
    <w:rsid w:val="007B04DE"/>
    <w:rsid w:val="007B0AE6"/>
    <w:rsid w:val="007B1F58"/>
    <w:rsid w:val="007B24E1"/>
    <w:rsid w:val="007B30F8"/>
    <w:rsid w:val="007B51E1"/>
    <w:rsid w:val="007B52FA"/>
    <w:rsid w:val="007B6976"/>
    <w:rsid w:val="007B6D9A"/>
    <w:rsid w:val="007B6DA9"/>
    <w:rsid w:val="007C0DC1"/>
    <w:rsid w:val="007C0F0B"/>
    <w:rsid w:val="007C1565"/>
    <w:rsid w:val="007C1E16"/>
    <w:rsid w:val="007C57BC"/>
    <w:rsid w:val="007C643A"/>
    <w:rsid w:val="007C72D2"/>
    <w:rsid w:val="007D0410"/>
    <w:rsid w:val="007D04CA"/>
    <w:rsid w:val="007D05B5"/>
    <w:rsid w:val="007D0A2B"/>
    <w:rsid w:val="007D0BF6"/>
    <w:rsid w:val="007D1067"/>
    <w:rsid w:val="007D12A1"/>
    <w:rsid w:val="007D1AAE"/>
    <w:rsid w:val="007D2DA3"/>
    <w:rsid w:val="007D40E5"/>
    <w:rsid w:val="007D4138"/>
    <w:rsid w:val="007D5C4B"/>
    <w:rsid w:val="007D6E2D"/>
    <w:rsid w:val="007D749D"/>
    <w:rsid w:val="007D762A"/>
    <w:rsid w:val="007D766E"/>
    <w:rsid w:val="007D7A18"/>
    <w:rsid w:val="007E14AC"/>
    <w:rsid w:val="007E2BB3"/>
    <w:rsid w:val="007E2DB6"/>
    <w:rsid w:val="007E32FD"/>
    <w:rsid w:val="007E37A9"/>
    <w:rsid w:val="007E3C04"/>
    <w:rsid w:val="007E4102"/>
    <w:rsid w:val="007E4178"/>
    <w:rsid w:val="007E6443"/>
    <w:rsid w:val="007E7ADF"/>
    <w:rsid w:val="007F0A77"/>
    <w:rsid w:val="007F1718"/>
    <w:rsid w:val="007F1E37"/>
    <w:rsid w:val="007F1F4F"/>
    <w:rsid w:val="007F50D3"/>
    <w:rsid w:val="007F56AB"/>
    <w:rsid w:val="007F5C80"/>
    <w:rsid w:val="007F648E"/>
    <w:rsid w:val="007F6B1F"/>
    <w:rsid w:val="007F6C9D"/>
    <w:rsid w:val="00800C6A"/>
    <w:rsid w:val="00800FFF"/>
    <w:rsid w:val="008013F0"/>
    <w:rsid w:val="00802770"/>
    <w:rsid w:val="00803926"/>
    <w:rsid w:val="008046FC"/>
    <w:rsid w:val="00804897"/>
    <w:rsid w:val="008063F2"/>
    <w:rsid w:val="0081067D"/>
    <w:rsid w:val="00810E6D"/>
    <w:rsid w:val="00812313"/>
    <w:rsid w:val="00814801"/>
    <w:rsid w:val="00815E71"/>
    <w:rsid w:val="008210A8"/>
    <w:rsid w:val="00821F11"/>
    <w:rsid w:val="008234CB"/>
    <w:rsid w:val="0082516C"/>
    <w:rsid w:val="00826D93"/>
    <w:rsid w:val="0083043E"/>
    <w:rsid w:val="0083058D"/>
    <w:rsid w:val="00830789"/>
    <w:rsid w:val="00831798"/>
    <w:rsid w:val="008329DB"/>
    <w:rsid w:val="00832B9A"/>
    <w:rsid w:val="008331FE"/>
    <w:rsid w:val="008334D0"/>
    <w:rsid w:val="00833E8F"/>
    <w:rsid w:val="0083435A"/>
    <w:rsid w:val="00834674"/>
    <w:rsid w:val="00835554"/>
    <w:rsid w:val="008361C5"/>
    <w:rsid w:val="0083628F"/>
    <w:rsid w:val="00837AB9"/>
    <w:rsid w:val="00840677"/>
    <w:rsid w:val="008407F7"/>
    <w:rsid w:val="00840CA9"/>
    <w:rsid w:val="008419F2"/>
    <w:rsid w:val="00841C71"/>
    <w:rsid w:val="008429A9"/>
    <w:rsid w:val="008442B4"/>
    <w:rsid w:val="00846F4D"/>
    <w:rsid w:val="00847362"/>
    <w:rsid w:val="00847D22"/>
    <w:rsid w:val="00850637"/>
    <w:rsid w:val="0085106F"/>
    <w:rsid w:val="00854A41"/>
    <w:rsid w:val="00854D41"/>
    <w:rsid w:val="00854D98"/>
    <w:rsid w:val="008556CB"/>
    <w:rsid w:val="00856213"/>
    <w:rsid w:val="00856775"/>
    <w:rsid w:val="00856D8E"/>
    <w:rsid w:val="008571F7"/>
    <w:rsid w:val="0085751E"/>
    <w:rsid w:val="008607E9"/>
    <w:rsid w:val="00860B29"/>
    <w:rsid w:val="00861E8A"/>
    <w:rsid w:val="00862194"/>
    <w:rsid w:val="008622E8"/>
    <w:rsid w:val="00862F75"/>
    <w:rsid w:val="008633C4"/>
    <w:rsid w:val="00863CE1"/>
    <w:rsid w:val="008645EE"/>
    <w:rsid w:val="00865652"/>
    <w:rsid w:val="008656C1"/>
    <w:rsid w:val="00865988"/>
    <w:rsid w:val="008665D2"/>
    <w:rsid w:val="008672E2"/>
    <w:rsid w:val="00870144"/>
    <w:rsid w:val="0087043B"/>
    <w:rsid w:val="0087072C"/>
    <w:rsid w:val="00871258"/>
    <w:rsid w:val="00871312"/>
    <w:rsid w:val="00871425"/>
    <w:rsid w:val="008714B4"/>
    <w:rsid w:val="00872943"/>
    <w:rsid w:val="008736AC"/>
    <w:rsid w:val="008738CA"/>
    <w:rsid w:val="00873B15"/>
    <w:rsid w:val="00873D7A"/>
    <w:rsid w:val="00874B6E"/>
    <w:rsid w:val="0087642A"/>
    <w:rsid w:val="00876D7B"/>
    <w:rsid w:val="00877897"/>
    <w:rsid w:val="00877CB3"/>
    <w:rsid w:val="008804CF"/>
    <w:rsid w:val="00880715"/>
    <w:rsid w:val="00880F7F"/>
    <w:rsid w:val="008814A1"/>
    <w:rsid w:val="00881E07"/>
    <w:rsid w:val="00882D58"/>
    <w:rsid w:val="00882F19"/>
    <w:rsid w:val="0088301F"/>
    <w:rsid w:val="008830C5"/>
    <w:rsid w:val="00883D35"/>
    <w:rsid w:val="00884569"/>
    <w:rsid w:val="00885853"/>
    <w:rsid w:val="00885D2D"/>
    <w:rsid w:val="00885D93"/>
    <w:rsid w:val="00886D76"/>
    <w:rsid w:val="00887A51"/>
    <w:rsid w:val="0089038A"/>
    <w:rsid w:val="00890D9B"/>
    <w:rsid w:val="00890EBE"/>
    <w:rsid w:val="00891011"/>
    <w:rsid w:val="00891828"/>
    <w:rsid w:val="00891C6C"/>
    <w:rsid w:val="00891CA6"/>
    <w:rsid w:val="00892037"/>
    <w:rsid w:val="008927BD"/>
    <w:rsid w:val="00892AD8"/>
    <w:rsid w:val="00893174"/>
    <w:rsid w:val="008931E8"/>
    <w:rsid w:val="00893CCD"/>
    <w:rsid w:val="00894BA7"/>
    <w:rsid w:val="00894E73"/>
    <w:rsid w:val="008954BE"/>
    <w:rsid w:val="008964B3"/>
    <w:rsid w:val="008A0A52"/>
    <w:rsid w:val="008A2081"/>
    <w:rsid w:val="008A2DBF"/>
    <w:rsid w:val="008A3321"/>
    <w:rsid w:val="008A5B7C"/>
    <w:rsid w:val="008A6140"/>
    <w:rsid w:val="008A66FD"/>
    <w:rsid w:val="008A6BD8"/>
    <w:rsid w:val="008A7EF7"/>
    <w:rsid w:val="008B1310"/>
    <w:rsid w:val="008B1CB5"/>
    <w:rsid w:val="008B1DE9"/>
    <w:rsid w:val="008B2A85"/>
    <w:rsid w:val="008B3271"/>
    <w:rsid w:val="008B7301"/>
    <w:rsid w:val="008B7D98"/>
    <w:rsid w:val="008C0BD6"/>
    <w:rsid w:val="008C2D69"/>
    <w:rsid w:val="008C2F8C"/>
    <w:rsid w:val="008C36D5"/>
    <w:rsid w:val="008C4579"/>
    <w:rsid w:val="008C49C6"/>
    <w:rsid w:val="008C7255"/>
    <w:rsid w:val="008C754C"/>
    <w:rsid w:val="008C75E0"/>
    <w:rsid w:val="008C7B5A"/>
    <w:rsid w:val="008D2596"/>
    <w:rsid w:val="008D2750"/>
    <w:rsid w:val="008D4576"/>
    <w:rsid w:val="008D4920"/>
    <w:rsid w:val="008D56C9"/>
    <w:rsid w:val="008D56CA"/>
    <w:rsid w:val="008D5CF8"/>
    <w:rsid w:val="008D5F1F"/>
    <w:rsid w:val="008D6110"/>
    <w:rsid w:val="008D67D4"/>
    <w:rsid w:val="008D69CC"/>
    <w:rsid w:val="008D6A54"/>
    <w:rsid w:val="008E1940"/>
    <w:rsid w:val="008E2585"/>
    <w:rsid w:val="008E2699"/>
    <w:rsid w:val="008E2D7A"/>
    <w:rsid w:val="008E4F71"/>
    <w:rsid w:val="008E523F"/>
    <w:rsid w:val="008E53A8"/>
    <w:rsid w:val="008E5A06"/>
    <w:rsid w:val="008F01B0"/>
    <w:rsid w:val="008F1052"/>
    <w:rsid w:val="008F114D"/>
    <w:rsid w:val="008F151C"/>
    <w:rsid w:val="008F191D"/>
    <w:rsid w:val="008F1973"/>
    <w:rsid w:val="008F295F"/>
    <w:rsid w:val="008F3215"/>
    <w:rsid w:val="008F3D34"/>
    <w:rsid w:val="008F4A62"/>
    <w:rsid w:val="008F7256"/>
    <w:rsid w:val="008F7CE4"/>
    <w:rsid w:val="0090424C"/>
    <w:rsid w:val="009050B1"/>
    <w:rsid w:val="0090605E"/>
    <w:rsid w:val="009064F6"/>
    <w:rsid w:val="00906996"/>
    <w:rsid w:val="00906C74"/>
    <w:rsid w:val="0090731B"/>
    <w:rsid w:val="00907466"/>
    <w:rsid w:val="0091012A"/>
    <w:rsid w:val="009108CE"/>
    <w:rsid w:val="0091254C"/>
    <w:rsid w:val="00915A9F"/>
    <w:rsid w:val="00915B8E"/>
    <w:rsid w:val="009172A7"/>
    <w:rsid w:val="00917496"/>
    <w:rsid w:val="009175A2"/>
    <w:rsid w:val="009213C1"/>
    <w:rsid w:val="00921A1D"/>
    <w:rsid w:val="009222D4"/>
    <w:rsid w:val="00923DDB"/>
    <w:rsid w:val="00924263"/>
    <w:rsid w:val="009250C0"/>
    <w:rsid w:val="00925B3A"/>
    <w:rsid w:val="00926B1B"/>
    <w:rsid w:val="00930444"/>
    <w:rsid w:val="00930D58"/>
    <w:rsid w:val="0093218D"/>
    <w:rsid w:val="0093386C"/>
    <w:rsid w:val="0093509C"/>
    <w:rsid w:val="00935AAA"/>
    <w:rsid w:val="00936509"/>
    <w:rsid w:val="009373DF"/>
    <w:rsid w:val="009420D5"/>
    <w:rsid w:val="00942325"/>
    <w:rsid w:val="00945B9E"/>
    <w:rsid w:val="00945E80"/>
    <w:rsid w:val="00945F66"/>
    <w:rsid w:val="00947F3F"/>
    <w:rsid w:val="0095031E"/>
    <w:rsid w:val="009505B3"/>
    <w:rsid w:val="00950FFB"/>
    <w:rsid w:val="00952D55"/>
    <w:rsid w:val="00953A9E"/>
    <w:rsid w:val="00954297"/>
    <w:rsid w:val="00954F75"/>
    <w:rsid w:val="009568A7"/>
    <w:rsid w:val="00957E90"/>
    <w:rsid w:val="00960A56"/>
    <w:rsid w:val="00960C6A"/>
    <w:rsid w:val="00960DF2"/>
    <w:rsid w:val="0096195F"/>
    <w:rsid w:val="009619E6"/>
    <w:rsid w:val="00961E9C"/>
    <w:rsid w:val="00961F35"/>
    <w:rsid w:val="00962A9B"/>
    <w:rsid w:val="0096329B"/>
    <w:rsid w:val="00966810"/>
    <w:rsid w:val="0096689C"/>
    <w:rsid w:val="009669E8"/>
    <w:rsid w:val="00966EF1"/>
    <w:rsid w:val="00966FAD"/>
    <w:rsid w:val="00967223"/>
    <w:rsid w:val="00970152"/>
    <w:rsid w:val="00972621"/>
    <w:rsid w:val="00972D6A"/>
    <w:rsid w:val="00972E4C"/>
    <w:rsid w:val="009733AF"/>
    <w:rsid w:val="009736E8"/>
    <w:rsid w:val="00974C22"/>
    <w:rsid w:val="009751F7"/>
    <w:rsid w:val="00975965"/>
    <w:rsid w:val="00975D75"/>
    <w:rsid w:val="0097633A"/>
    <w:rsid w:val="0097667D"/>
    <w:rsid w:val="00976F3B"/>
    <w:rsid w:val="00980D98"/>
    <w:rsid w:val="0098141A"/>
    <w:rsid w:val="0098168B"/>
    <w:rsid w:val="00981A7C"/>
    <w:rsid w:val="0098350E"/>
    <w:rsid w:val="0098448A"/>
    <w:rsid w:val="00986172"/>
    <w:rsid w:val="00986989"/>
    <w:rsid w:val="00986DB0"/>
    <w:rsid w:val="00987C5D"/>
    <w:rsid w:val="009909D0"/>
    <w:rsid w:val="00990C12"/>
    <w:rsid w:val="00991C3F"/>
    <w:rsid w:val="00991C7B"/>
    <w:rsid w:val="00993BEC"/>
    <w:rsid w:val="0099404F"/>
    <w:rsid w:val="0099469C"/>
    <w:rsid w:val="00995DB0"/>
    <w:rsid w:val="00996D1B"/>
    <w:rsid w:val="00996FA5"/>
    <w:rsid w:val="009976AF"/>
    <w:rsid w:val="009A12BD"/>
    <w:rsid w:val="009A24B7"/>
    <w:rsid w:val="009A3C5E"/>
    <w:rsid w:val="009A479F"/>
    <w:rsid w:val="009A5A72"/>
    <w:rsid w:val="009A6227"/>
    <w:rsid w:val="009A702D"/>
    <w:rsid w:val="009A7040"/>
    <w:rsid w:val="009A70BD"/>
    <w:rsid w:val="009A71BC"/>
    <w:rsid w:val="009A747E"/>
    <w:rsid w:val="009A7958"/>
    <w:rsid w:val="009B0E2C"/>
    <w:rsid w:val="009B2E1A"/>
    <w:rsid w:val="009B4612"/>
    <w:rsid w:val="009B4B66"/>
    <w:rsid w:val="009B5662"/>
    <w:rsid w:val="009B63E7"/>
    <w:rsid w:val="009B7EB1"/>
    <w:rsid w:val="009C0097"/>
    <w:rsid w:val="009C08B8"/>
    <w:rsid w:val="009C0CE3"/>
    <w:rsid w:val="009C2211"/>
    <w:rsid w:val="009C40E8"/>
    <w:rsid w:val="009C45C5"/>
    <w:rsid w:val="009C5D4C"/>
    <w:rsid w:val="009C728C"/>
    <w:rsid w:val="009C7944"/>
    <w:rsid w:val="009C7D7F"/>
    <w:rsid w:val="009D2003"/>
    <w:rsid w:val="009D237C"/>
    <w:rsid w:val="009D313D"/>
    <w:rsid w:val="009D4031"/>
    <w:rsid w:val="009D4503"/>
    <w:rsid w:val="009D7980"/>
    <w:rsid w:val="009D7D66"/>
    <w:rsid w:val="009E0A24"/>
    <w:rsid w:val="009E151A"/>
    <w:rsid w:val="009E3783"/>
    <w:rsid w:val="009E3EF1"/>
    <w:rsid w:val="009E42E8"/>
    <w:rsid w:val="009E4463"/>
    <w:rsid w:val="009E56EA"/>
    <w:rsid w:val="009E65ED"/>
    <w:rsid w:val="009E6858"/>
    <w:rsid w:val="009E6F8C"/>
    <w:rsid w:val="009E7345"/>
    <w:rsid w:val="009F3AC5"/>
    <w:rsid w:val="009F3D6D"/>
    <w:rsid w:val="009F405F"/>
    <w:rsid w:val="009F4525"/>
    <w:rsid w:val="009F4AD1"/>
    <w:rsid w:val="009F5493"/>
    <w:rsid w:val="009F689D"/>
    <w:rsid w:val="009F6F0C"/>
    <w:rsid w:val="00A003ED"/>
    <w:rsid w:val="00A009B6"/>
    <w:rsid w:val="00A01376"/>
    <w:rsid w:val="00A01B93"/>
    <w:rsid w:val="00A01C56"/>
    <w:rsid w:val="00A01CB8"/>
    <w:rsid w:val="00A02465"/>
    <w:rsid w:val="00A028D4"/>
    <w:rsid w:val="00A02D43"/>
    <w:rsid w:val="00A0396B"/>
    <w:rsid w:val="00A03D43"/>
    <w:rsid w:val="00A05B70"/>
    <w:rsid w:val="00A13835"/>
    <w:rsid w:val="00A13FBC"/>
    <w:rsid w:val="00A1438C"/>
    <w:rsid w:val="00A16F18"/>
    <w:rsid w:val="00A177A9"/>
    <w:rsid w:val="00A179FD"/>
    <w:rsid w:val="00A17F85"/>
    <w:rsid w:val="00A2005F"/>
    <w:rsid w:val="00A205D6"/>
    <w:rsid w:val="00A224A6"/>
    <w:rsid w:val="00A23CBC"/>
    <w:rsid w:val="00A24195"/>
    <w:rsid w:val="00A24FF1"/>
    <w:rsid w:val="00A25812"/>
    <w:rsid w:val="00A27F35"/>
    <w:rsid w:val="00A3009F"/>
    <w:rsid w:val="00A327F8"/>
    <w:rsid w:val="00A32C50"/>
    <w:rsid w:val="00A334AB"/>
    <w:rsid w:val="00A339DC"/>
    <w:rsid w:val="00A358E7"/>
    <w:rsid w:val="00A407B1"/>
    <w:rsid w:val="00A408F1"/>
    <w:rsid w:val="00A40B5C"/>
    <w:rsid w:val="00A40B92"/>
    <w:rsid w:val="00A416D2"/>
    <w:rsid w:val="00A437FA"/>
    <w:rsid w:val="00A4380B"/>
    <w:rsid w:val="00A45A16"/>
    <w:rsid w:val="00A46457"/>
    <w:rsid w:val="00A46680"/>
    <w:rsid w:val="00A47865"/>
    <w:rsid w:val="00A513F0"/>
    <w:rsid w:val="00A51A2D"/>
    <w:rsid w:val="00A54BEE"/>
    <w:rsid w:val="00A5571A"/>
    <w:rsid w:val="00A5596B"/>
    <w:rsid w:val="00A56E9D"/>
    <w:rsid w:val="00A6215E"/>
    <w:rsid w:val="00A62A6A"/>
    <w:rsid w:val="00A62DC1"/>
    <w:rsid w:val="00A63318"/>
    <w:rsid w:val="00A63515"/>
    <w:rsid w:val="00A63C07"/>
    <w:rsid w:val="00A63D9B"/>
    <w:rsid w:val="00A6434D"/>
    <w:rsid w:val="00A6472E"/>
    <w:rsid w:val="00A65290"/>
    <w:rsid w:val="00A6530D"/>
    <w:rsid w:val="00A672A1"/>
    <w:rsid w:val="00A704DC"/>
    <w:rsid w:val="00A70EDC"/>
    <w:rsid w:val="00A718FA"/>
    <w:rsid w:val="00A71D98"/>
    <w:rsid w:val="00A72143"/>
    <w:rsid w:val="00A72190"/>
    <w:rsid w:val="00A72427"/>
    <w:rsid w:val="00A75B95"/>
    <w:rsid w:val="00A7650A"/>
    <w:rsid w:val="00A77955"/>
    <w:rsid w:val="00A8054B"/>
    <w:rsid w:val="00A83312"/>
    <w:rsid w:val="00A83D43"/>
    <w:rsid w:val="00A84F59"/>
    <w:rsid w:val="00A855A6"/>
    <w:rsid w:val="00A86CE3"/>
    <w:rsid w:val="00A87B3C"/>
    <w:rsid w:val="00A9013C"/>
    <w:rsid w:val="00A918AE"/>
    <w:rsid w:val="00A91B1A"/>
    <w:rsid w:val="00A934A1"/>
    <w:rsid w:val="00A93DC6"/>
    <w:rsid w:val="00A9411A"/>
    <w:rsid w:val="00A95977"/>
    <w:rsid w:val="00A962D6"/>
    <w:rsid w:val="00A96789"/>
    <w:rsid w:val="00A96E94"/>
    <w:rsid w:val="00A97DE6"/>
    <w:rsid w:val="00AA0DF6"/>
    <w:rsid w:val="00AA0EF3"/>
    <w:rsid w:val="00AA1022"/>
    <w:rsid w:val="00AA136A"/>
    <w:rsid w:val="00AA1AE2"/>
    <w:rsid w:val="00AA1D88"/>
    <w:rsid w:val="00AA213C"/>
    <w:rsid w:val="00AA413C"/>
    <w:rsid w:val="00AA4A4B"/>
    <w:rsid w:val="00AA56B3"/>
    <w:rsid w:val="00AA6152"/>
    <w:rsid w:val="00AA6682"/>
    <w:rsid w:val="00AA7027"/>
    <w:rsid w:val="00AA707E"/>
    <w:rsid w:val="00AA7233"/>
    <w:rsid w:val="00AA7300"/>
    <w:rsid w:val="00AA76CB"/>
    <w:rsid w:val="00AA7758"/>
    <w:rsid w:val="00AA7B0C"/>
    <w:rsid w:val="00AB0223"/>
    <w:rsid w:val="00AB0613"/>
    <w:rsid w:val="00AB0A99"/>
    <w:rsid w:val="00AB101A"/>
    <w:rsid w:val="00AB1FFE"/>
    <w:rsid w:val="00AB217B"/>
    <w:rsid w:val="00AB348B"/>
    <w:rsid w:val="00AB4224"/>
    <w:rsid w:val="00AB4AD1"/>
    <w:rsid w:val="00AB4F23"/>
    <w:rsid w:val="00AB6247"/>
    <w:rsid w:val="00AB7702"/>
    <w:rsid w:val="00AB7C5C"/>
    <w:rsid w:val="00AB7CBF"/>
    <w:rsid w:val="00AC2361"/>
    <w:rsid w:val="00AC4541"/>
    <w:rsid w:val="00AC4DD9"/>
    <w:rsid w:val="00AC50D4"/>
    <w:rsid w:val="00AC59A1"/>
    <w:rsid w:val="00AC63BD"/>
    <w:rsid w:val="00AC65B5"/>
    <w:rsid w:val="00AC6648"/>
    <w:rsid w:val="00AC7950"/>
    <w:rsid w:val="00AD0111"/>
    <w:rsid w:val="00AD0B68"/>
    <w:rsid w:val="00AD2CBC"/>
    <w:rsid w:val="00AD40C3"/>
    <w:rsid w:val="00AD4C72"/>
    <w:rsid w:val="00AD5451"/>
    <w:rsid w:val="00AD6CE7"/>
    <w:rsid w:val="00AE1947"/>
    <w:rsid w:val="00AE1C69"/>
    <w:rsid w:val="00AE1E66"/>
    <w:rsid w:val="00AE27CD"/>
    <w:rsid w:val="00AE4F83"/>
    <w:rsid w:val="00AE501C"/>
    <w:rsid w:val="00AE5083"/>
    <w:rsid w:val="00AE66B3"/>
    <w:rsid w:val="00AE72A1"/>
    <w:rsid w:val="00AF18D6"/>
    <w:rsid w:val="00AF1B32"/>
    <w:rsid w:val="00AF1C8B"/>
    <w:rsid w:val="00AF2184"/>
    <w:rsid w:val="00AF299B"/>
    <w:rsid w:val="00AF5879"/>
    <w:rsid w:val="00AF6B2A"/>
    <w:rsid w:val="00AF7568"/>
    <w:rsid w:val="00AF7809"/>
    <w:rsid w:val="00AF7E43"/>
    <w:rsid w:val="00B00191"/>
    <w:rsid w:val="00B026AE"/>
    <w:rsid w:val="00B02AE0"/>
    <w:rsid w:val="00B02DE8"/>
    <w:rsid w:val="00B0385F"/>
    <w:rsid w:val="00B03BE6"/>
    <w:rsid w:val="00B03F25"/>
    <w:rsid w:val="00B05326"/>
    <w:rsid w:val="00B11F00"/>
    <w:rsid w:val="00B14545"/>
    <w:rsid w:val="00B14570"/>
    <w:rsid w:val="00B1467F"/>
    <w:rsid w:val="00B14E60"/>
    <w:rsid w:val="00B16D83"/>
    <w:rsid w:val="00B17B79"/>
    <w:rsid w:val="00B17BA2"/>
    <w:rsid w:val="00B2060D"/>
    <w:rsid w:val="00B20642"/>
    <w:rsid w:val="00B20A64"/>
    <w:rsid w:val="00B21C77"/>
    <w:rsid w:val="00B21DDC"/>
    <w:rsid w:val="00B222F2"/>
    <w:rsid w:val="00B22325"/>
    <w:rsid w:val="00B24037"/>
    <w:rsid w:val="00B25164"/>
    <w:rsid w:val="00B26256"/>
    <w:rsid w:val="00B266AC"/>
    <w:rsid w:val="00B26DC3"/>
    <w:rsid w:val="00B2752D"/>
    <w:rsid w:val="00B27E84"/>
    <w:rsid w:val="00B30B9D"/>
    <w:rsid w:val="00B31A1A"/>
    <w:rsid w:val="00B32967"/>
    <w:rsid w:val="00B34112"/>
    <w:rsid w:val="00B342D4"/>
    <w:rsid w:val="00B35867"/>
    <w:rsid w:val="00B35D7A"/>
    <w:rsid w:val="00B367F9"/>
    <w:rsid w:val="00B37C74"/>
    <w:rsid w:val="00B40B81"/>
    <w:rsid w:val="00B41862"/>
    <w:rsid w:val="00B42468"/>
    <w:rsid w:val="00B44421"/>
    <w:rsid w:val="00B45300"/>
    <w:rsid w:val="00B4574D"/>
    <w:rsid w:val="00B467F0"/>
    <w:rsid w:val="00B468E1"/>
    <w:rsid w:val="00B46BC0"/>
    <w:rsid w:val="00B46DFB"/>
    <w:rsid w:val="00B47908"/>
    <w:rsid w:val="00B47DFF"/>
    <w:rsid w:val="00B508A9"/>
    <w:rsid w:val="00B5141B"/>
    <w:rsid w:val="00B532D4"/>
    <w:rsid w:val="00B53889"/>
    <w:rsid w:val="00B54082"/>
    <w:rsid w:val="00B54BA4"/>
    <w:rsid w:val="00B55681"/>
    <w:rsid w:val="00B567F8"/>
    <w:rsid w:val="00B56AB8"/>
    <w:rsid w:val="00B56EE6"/>
    <w:rsid w:val="00B57AAD"/>
    <w:rsid w:val="00B61927"/>
    <w:rsid w:val="00B622E7"/>
    <w:rsid w:val="00B62E4D"/>
    <w:rsid w:val="00B63358"/>
    <w:rsid w:val="00B6374E"/>
    <w:rsid w:val="00B7033F"/>
    <w:rsid w:val="00B717BF"/>
    <w:rsid w:val="00B721E9"/>
    <w:rsid w:val="00B72B16"/>
    <w:rsid w:val="00B72DEB"/>
    <w:rsid w:val="00B73723"/>
    <w:rsid w:val="00B7626C"/>
    <w:rsid w:val="00B76513"/>
    <w:rsid w:val="00B76E2E"/>
    <w:rsid w:val="00B778D2"/>
    <w:rsid w:val="00B80408"/>
    <w:rsid w:val="00B80A96"/>
    <w:rsid w:val="00B81397"/>
    <w:rsid w:val="00B81DD6"/>
    <w:rsid w:val="00B8320B"/>
    <w:rsid w:val="00B837D8"/>
    <w:rsid w:val="00B845EB"/>
    <w:rsid w:val="00B8601E"/>
    <w:rsid w:val="00B86B68"/>
    <w:rsid w:val="00B874E9"/>
    <w:rsid w:val="00B87552"/>
    <w:rsid w:val="00B90413"/>
    <w:rsid w:val="00B90A3E"/>
    <w:rsid w:val="00B925DB"/>
    <w:rsid w:val="00B941FC"/>
    <w:rsid w:val="00B958D1"/>
    <w:rsid w:val="00B958FF"/>
    <w:rsid w:val="00B967FF"/>
    <w:rsid w:val="00B974B9"/>
    <w:rsid w:val="00B97739"/>
    <w:rsid w:val="00BA09E3"/>
    <w:rsid w:val="00BA1566"/>
    <w:rsid w:val="00BA1FFD"/>
    <w:rsid w:val="00BA2357"/>
    <w:rsid w:val="00BA24E8"/>
    <w:rsid w:val="00BA26D2"/>
    <w:rsid w:val="00BA2CCA"/>
    <w:rsid w:val="00BA3F6D"/>
    <w:rsid w:val="00BA4BE6"/>
    <w:rsid w:val="00BA4EB8"/>
    <w:rsid w:val="00BA4FC0"/>
    <w:rsid w:val="00BA4FC4"/>
    <w:rsid w:val="00BA6116"/>
    <w:rsid w:val="00BA61E0"/>
    <w:rsid w:val="00BA657C"/>
    <w:rsid w:val="00BA7427"/>
    <w:rsid w:val="00BA7F7D"/>
    <w:rsid w:val="00BB0CC5"/>
    <w:rsid w:val="00BB17E4"/>
    <w:rsid w:val="00BB1C14"/>
    <w:rsid w:val="00BB4596"/>
    <w:rsid w:val="00BB4899"/>
    <w:rsid w:val="00BB544E"/>
    <w:rsid w:val="00BB5967"/>
    <w:rsid w:val="00BB5B26"/>
    <w:rsid w:val="00BB5D2B"/>
    <w:rsid w:val="00BB6847"/>
    <w:rsid w:val="00BB7949"/>
    <w:rsid w:val="00BB7F8F"/>
    <w:rsid w:val="00BC0E7E"/>
    <w:rsid w:val="00BC167E"/>
    <w:rsid w:val="00BC192E"/>
    <w:rsid w:val="00BC37D6"/>
    <w:rsid w:val="00BC3986"/>
    <w:rsid w:val="00BC3BEA"/>
    <w:rsid w:val="00BC58FC"/>
    <w:rsid w:val="00BC61C6"/>
    <w:rsid w:val="00BC716A"/>
    <w:rsid w:val="00BD07DF"/>
    <w:rsid w:val="00BD0BE4"/>
    <w:rsid w:val="00BD2104"/>
    <w:rsid w:val="00BD25F3"/>
    <w:rsid w:val="00BD26F4"/>
    <w:rsid w:val="00BD2D51"/>
    <w:rsid w:val="00BD5AAB"/>
    <w:rsid w:val="00BD5DBD"/>
    <w:rsid w:val="00BD5DF6"/>
    <w:rsid w:val="00BD6003"/>
    <w:rsid w:val="00BD7B03"/>
    <w:rsid w:val="00BD7D51"/>
    <w:rsid w:val="00BD7F6B"/>
    <w:rsid w:val="00BE0041"/>
    <w:rsid w:val="00BE18A3"/>
    <w:rsid w:val="00BE26A2"/>
    <w:rsid w:val="00BE3462"/>
    <w:rsid w:val="00BE3651"/>
    <w:rsid w:val="00BE43EE"/>
    <w:rsid w:val="00BE4CA8"/>
    <w:rsid w:val="00BE556D"/>
    <w:rsid w:val="00BE5C3C"/>
    <w:rsid w:val="00BE63EA"/>
    <w:rsid w:val="00BE640F"/>
    <w:rsid w:val="00BE675E"/>
    <w:rsid w:val="00BE6D2A"/>
    <w:rsid w:val="00BE7FEF"/>
    <w:rsid w:val="00BF0E7F"/>
    <w:rsid w:val="00BF17E0"/>
    <w:rsid w:val="00BF2393"/>
    <w:rsid w:val="00BF394E"/>
    <w:rsid w:val="00BF4638"/>
    <w:rsid w:val="00BF5130"/>
    <w:rsid w:val="00BF6688"/>
    <w:rsid w:val="00BF6761"/>
    <w:rsid w:val="00BF68F9"/>
    <w:rsid w:val="00C002B7"/>
    <w:rsid w:val="00C003E5"/>
    <w:rsid w:val="00C00844"/>
    <w:rsid w:val="00C009E9"/>
    <w:rsid w:val="00C00CA8"/>
    <w:rsid w:val="00C043E6"/>
    <w:rsid w:val="00C04B27"/>
    <w:rsid w:val="00C05750"/>
    <w:rsid w:val="00C059D0"/>
    <w:rsid w:val="00C069D1"/>
    <w:rsid w:val="00C074A0"/>
    <w:rsid w:val="00C07551"/>
    <w:rsid w:val="00C07D54"/>
    <w:rsid w:val="00C07FB0"/>
    <w:rsid w:val="00C1109F"/>
    <w:rsid w:val="00C11808"/>
    <w:rsid w:val="00C120CC"/>
    <w:rsid w:val="00C12D65"/>
    <w:rsid w:val="00C133AB"/>
    <w:rsid w:val="00C136F7"/>
    <w:rsid w:val="00C13F6B"/>
    <w:rsid w:val="00C13F84"/>
    <w:rsid w:val="00C1446F"/>
    <w:rsid w:val="00C15022"/>
    <w:rsid w:val="00C16730"/>
    <w:rsid w:val="00C16E00"/>
    <w:rsid w:val="00C17604"/>
    <w:rsid w:val="00C17E4C"/>
    <w:rsid w:val="00C201D3"/>
    <w:rsid w:val="00C20324"/>
    <w:rsid w:val="00C20B56"/>
    <w:rsid w:val="00C2145B"/>
    <w:rsid w:val="00C21638"/>
    <w:rsid w:val="00C22214"/>
    <w:rsid w:val="00C2356F"/>
    <w:rsid w:val="00C26F72"/>
    <w:rsid w:val="00C271C0"/>
    <w:rsid w:val="00C30382"/>
    <w:rsid w:val="00C30498"/>
    <w:rsid w:val="00C309A7"/>
    <w:rsid w:val="00C309C1"/>
    <w:rsid w:val="00C30EEC"/>
    <w:rsid w:val="00C32644"/>
    <w:rsid w:val="00C32A43"/>
    <w:rsid w:val="00C335AB"/>
    <w:rsid w:val="00C34EA6"/>
    <w:rsid w:val="00C3689C"/>
    <w:rsid w:val="00C36F58"/>
    <w:rsid w:val="00C37263"/>
    <w:rsid w:val="00C374B4"/>
    <w:rsid w:val="00C407AB"/>
    <w:rsid w:val="00C40D33"/>
    <w:rsid w:val="00C41AE0"/>
    <w:rsid w:val="00C4209B"/>
    <w:rsid w:val="00C43D54"/>
    <w:rsid w:val="00C44954"/>
    <w:rsid w:val="00C46026"/>
    <w:rsid w:val="00C460C9"/>
    <w:rsid w:val="00C468C6"/>
    <w:rsid w:val="00C50F62"/>
    <w:rsid w:val="00C51FCB"/>
    <w:rsid w:val="00C52B7B"/>
    <w:rsid w:val="00C52E76"/>
    <w:rsid w:val="00C5367A"/>
    <w:rsid w:val="00C547CD"/>
    <w:rsid w:val="00C5567E"/>
    <w:rsid w:val="00C55E21"/>
    <w:rsid w:val="00C564D3"/>
    <w:rsid w:val="00C569D1"/>
    <w:rsid w:val="00C570FF"/>
    <w:rsid w:val="00C57950"/>
    <w:rsid w:val="00C57CEA"/>
    <w:rsid w:val="00C60FEC"/>
    <w:rsid w:val="00C619A2"/>
    <w:rsid w:val="00C62330"/>
    <w:rsid w:val="00C625D6"/>
    <w:rsid w:val="00C62B0D"/>
    <w:rsid w:val="00C62B1C"/>
    <w:rsid w:val="00C63693"/>
    <w:rsid w:val="00C63EE1"/>
    <w:rsid w:val="00C6466E"/>
    <w:rsid w:val="00C64B59"/>
    <w:rsid w:val="00C6574E"/>
    <w:rsid w:val="00C663D1"/>
    <w:rsid w:val="00C703DE"/>
    <w:rsid w:val="00C70644"/>
    <w:rsid w:val="00C707FD"/>
    <w:rsid w:val="00C70F2E"/>
    <w:rsid w:val="00C712A0"/>
    <w:rsid w:val="00C72A46"/>
    <w:rsid w:val="00C72F32"/>
    <w:rsid w:val="00C72FA3"/>
    <w:rsid w:val="00C73199"/>
    <w:rsid w:val="00C741A5"/>
    <w:rsid w:val="00C76483"/>
    <w:rsid w:val="00C7686D"/>
    <w:rsid w:val="00C76DEB"/>
    <w:rsid w:val="00C77E1C"/>
    <w:rsid w:val="00C811D8"/>
    <w:rsid w:val="00C816C6"/>
    <w:rsid w:val="00C81888"/>
    <w:rsid w:val="00C826F1"/>
    <w:rsid w:val="00C84446"/>
    <w:rsid w:val="00C844E3"/>
    <w:rsid w:val="00C859FF"/>
    <w:rsid w:val="00C86344"/>
    <w:rsid w:val="00C863A7"/>
    <w:rsid w:val="00C877FC"/>
    <w:rsid w:val="00C87C21"/>
    <w:rsid w:val="00C90533"/>
    <w:rsid w:val="00C906D2"/>
    <w:rsid w:val="00C912F4"/>
    <w:rsid w:val="00C9156F"/>
    <w:rsid w:val="00C9158A"/>
    <w:rsid w:val="00C9293C"/>
    <w:rsid w:val="00C92E00"/>
    <w:rsid w:val="00C934A3"/>
    <w:rsid w:val="00C93A3C"/>
    <w:rsid w:val="00C94723"/>
    <w:rsid w:val="00C94845"/>
    <w:rsid w:val="00C9581A"/>
    <w:rsid w:val="00C95E4B"/>
    <w:rsid w:val="00C9739C"/>
    <w:rsid w:val="00C97C0A"/>
    <w:rsid w:val="00C97D29"/>
    <w:rsid w:val="00CA042E"/>
    <w:rsid w:val="00CA6B1D"/>
    <w:rsid w:val="00CA6CAE"/>
    <w:rsid w:val="00CA7195"/>
    <w:rsid w:val="00CB0550"/>
    <w:rsid w:val="00CB075C"/>
    <w:rsid w:val="00CB088F"/>
    <w:rsid w:val="00CB08B2"/>
    <w:rsid w:val="00CB17E1"/>
    <w:rsid w:val="00CB25CD"/>
    <w:rsid w:val="00CB29FF"/>
    <w:rsid w:val="00CB46F8"/>
    <w:rsid w:val="00CB4D1A"/>
    <w:rsid w:val="00CB5229"/>
    <w:rsid w:val="00CB56AA"/>
    <w:rsid w:val="00CB575F"/>
    <w:rsid w:val="00CB64E9"/>
    <w:rsid w:val="00CB6813"/>
    <w:rsid w:val="00CB68F7"/>
    <w:rsid w:val="00CB7F07"/>
    <w:rsid w:val="00CC0478"/>
    <w:rsid w:val="00CC121F"/>
    <w:rsid w:val="00CC1431"/>
    <w:rsid w:val="00CC1B25"/>
    <w:rsid w:val="00CC312B"/>
    <w:rsid w:val="00CC3AE8"/>
    <w:rsid w:val="00CC516F"/>
    <w:rsid w:val="00CC5ABA"/>
    <w:rsid w:val="00CC6B96"/>
    <w:rsid w:val="00CC70D2"/>
    <w:rsid w:val="00CC73C6"/>
    <w:rsid w:val="00CD0BA6"/>
    <w:rsid w:val="00CD42CF"/>
    <w:rsid w:val="00CD4A42"/>
    <w:rsid w:val="00CD5960"/>
    <w:rsid w:val="00CD5F67"/>
    <w:rsid w:val="00CE0899"/>
    <w:rsid w:val="00CE1933"/>
    <w:rsid w:val="00CE1EBE"/>
    <w:rsid w:val="00CE2155"/>
    <w:rsid w:val="00CE2AD7"/>
    <w:rsid w:val="00CE2FDC"/>
    <w:rsid w:val="00CE34C0"/>
    <w:rsid w:val="00CE586B"/>
    <w:rsid w:val="00CE5D35"/>
    <w:rsid w:val="00CE61DC"/>
    <w:rsid w:val="00CF0834"/>
    <w:rsid w:val="00CF0D84"/>
    <w:rsid w:val="00CF286B"/>
    <w:rsid w:val="00CF3723"/>
    <w:rsid w:val="00CF6A55"/>
    <w:rsid w:val="00CF6DC6"/>
    <w:rsid w:val="00CF6DCF"/>
    <w:rsid w:val="00CF7AFF"/>
    <w:rsid w:val="00D003A2"/>
    <w:rsid w:val="00D01262"/>
    <w:rsid w:val="00D01DDB"/>
    <w:rsid w:val="00D0215C"/>
    <w:rsid w:val="00D03A02"/>
    <w:rsid w:val="00D03B2E"/>
    <w:rsid w:val="00D03B5B"/>
    <w:rsid w:val="00D04F95"/>
    <w:rsid w:val="00D07477"/>
    <w:rsid w:val="00D077F3"/>
    <w:rsid w:val="00D078BE"/>
    <w:rsid w:val="00D13C28"/>
    <w:rsid w:val="00D13F8A"/>
    <w:rsid w:val="00D14691"/>
    <w:rsid w:val="00D149F8"/>
    <w:rsid w:val="00D14C85"/>
    <w:rsid w:val="00D16F60"/>
    <w:rsid w:val="00D17299"/>
    <w:rsid w:val="00D1772D"/>
    <w:rsid w:val="00D21B0B"/>
    <w:rsid w:val="00D2219F"/>
    <w:rsid w:val="00D222DE"/>
    <w:rsid w:val="00D22981"/>
    <w:rsid w:val="00D2322B"/>
    <w:rsid w:val="00D24C4B"/>
    <w:rsid w:val="00D26338"/>
    <w:rsid w:val="00D323A4"/>
    <w:rsid w:val="00D3349B"/>
    <w:rsid w:val="00D336B9"/>
    <w:rsid w:val="00D33D0F"/>
    <w:rsid w:val="00D34FDE"/>
    <w:rsid w:val="00D424A8"/>
    <w:rsid w:val="00D42EE6"/>
    <w:rsid w:val="00D436E3"/>
    <w:rsid w:val="00D43BC9"/>
    <w:rsid w:val="00D441D8"/>
    <w:rsid w:val="00D4499F"/>
    <w:rsid w:val="00D44C38"/>
    <w:rsid w:val="00D45657"/>
    <w:rsid w:val="00D46196"/>
    <w:rsid w:val="00D46F08"/>
    <w:rsid w:val="00D47EFF"/>
    <w:rsid w:val="00D5018D"/>
    <w:rsid w:val="00D50988"/>
    <w:rsid w:val="00D53361"/>
    <w:rsid w:val="00D535C2"/>
    <w:rsid w:val="00D53CD9"/>
    <w:rsid w:val="00D54243"/>
    <w:rsid w:val="00D54300"/>
    <w:rsid w:val="00D546F7"/>
    <w:rsid w:val="00D561CB"/>
    <w:rsid w:val="00D5726F"/>
    <w:rsid w:val="00D6036F"/>
    <w:rsid w:val="00D61200"/>
    <w:rsid w:val="00D620D5"/>
    <w:rsid w:val="00D6261A"/>
    <w:rsid w:val="00D62877"/>
    <w:rsid w:val="00D62AA8"/>
    <w:rsid w:val="00D63760"/>
    <w:rsid w:val="00D63EF3"/>
    <w:rsid w:val="00D656BF"/>
    <w:rsid w:val="00D65AB7"/>
    <w:rsid w:val="00D665E7"/>
    <w:rsid w:val="00D6703F"/>
    <w:rsid w:val="00D705C4"/>
    <w:rsid w:val="00D71173"/>
    <w:rsid w:val="00D734EB"/>
    <w:rsid w:val="00D755F5"/>
    <w:rsid w:val="00D762DE"/>
    <w:rsid w:val="00D76710"/>
    <w:rsid w:val="00D767AC"/>
    <w:rsid w:val="00D778F6"/>
    <w:rsid w:val="00D82713"/>
    <w:rsid w:val="00D834AF"/>
    <w:rsid w:val="00D85A9C"/>
    <w:rsid w:val="00D8661D"/>
    <w:rsid w:val="00D86AB0"/>
    <w:rsid w:val="00D86F00"/>
    <w:rsid w:val="00D90699"/>
    <w:rsid w:val="00D918D5"/>
    <w:rsid w:val="00D9314F"/>
    <w:rsid w:val="00D94C8E"/>
    <w:rsid w:val="00D97C77"/>
    <w:rsid w:val="00D97FF0"/>
    <w:rsid w:val="00DA5BF4"/>
    <w:rsid w:val="00DA657A"/>
    <w:rsid w:val="00DA7B2D"/>
    <w:rsid w:val="00DB11C0"/>
    <w:rsid w:val="00DB1372"/>
    <w:rsid w:val="00DB192C"/>
    <w:rsid w:val="00DB1CF3"/>
    <w:rsid w:val="00DB40AE"/>
    <w:rsid w:val="00DB5425"/>
    <w:rsid w:val="00DB668F"/>
    <w:rsid w:val="00DB6A79"/>
    <w:rsid w:val="00DB6D11"/>
    <w:rsid w:val="00DB6E86"/>
    <w:rsid w:val="00DB72A6"/>
    <w:rsid w:val="00DB74FE"/>
    <w:rsid w:val="00DB76D9"/>
    <w:rsid w:val="00DB7F05"/>
    <w:rsid w:val="00DC3045"/>
    <w:rsid w:val="00DC33AF"/>
    <w:rsid w:val="00DC38A5"/>
    <w:rsid w:val="00DC5500"/>
    <w:rsid w:val="00DC59BD"/>
    <w:rsid w:val="00DC6201"/>
    <w:rsid w:val="00DC6611"/>
    <w:rsid w:val="00DC69DF"/>
    <w:rsid w:val="00DC779E"/>
    <w:rsid w:val="00DC7931"/>
    <w:rsid w:val="00DD1371"/>
    <w:rsid w:val="00DD13C7"/>
    <w:rsid w:val="00DD1F8F"/>
    <w:rsid w:val="00DD46D9"/>
    <w:rsid w:val="00DD5AFB"/>
    <w:rsid w:val="00DD5E13"/>
    <w:rsid w:val="00DD74A4"/>
    <w:rsid w:val="00DE05AC"/>
    <w:rsid w:val="00DE091F"/>
    <w:rsid w:val="00DE11DE"/>
    <w:rsid w:val="00DE1344"/>
    <w:rsid w:val="00DE1F4E"/>
    <w:rsid w:val="00DE2893"/>
    <w:rsid w:val="00DE3233"/>
    <w:rsid w:val="00DE3F7F"/>
    <w:rsid w:val="00DE50A3"/>
    <w:rsid w:val="00DE552B"/>
    <w:rsid w:val="00DF0A6D"/>
    <w:rsid w:val="00DF0A75"/>
    <w:rsid w:val="00DF1A7B"/>
    <w:rsid w:val="00DF1CFD"/>
    <w:rsid w:val="00DF3402"/>
    <w:rsid w:val="00DF493F"/>
    <w:rsid w:val="00DF5224"/>
    <w:rsid w:val="00DF5BFE"/>
    <w:rsid w:val="00DF5DA9"/>
    <w:rsid w:val="00DF5FA5"/>
    <w:rsid w:val="00DF6640"/>
    <w:rsid w:val="00DF6838"/>
    <w:rsid w:val="00E01897"/>
    <w:rsid w:val="00E036CE"/>
    <w:rsid w:val="00E04668"/>
    <w:rsid w:val="00E047B2"/>
    <w:rsid w:val="00E0523F"/>
    <w:rsid w:val="00E06622"/>
    <w:rsid w:val="00E11260"/>
    <w:rsid w:val="00E12770"/>
    <w:rsid w:val="00E13149"/>
    <w:rsid w:val="00E143C0"/>
    <w:rsid w:val="00E14A5C"/>
    <w:rsid w:val="00E15565"/>
    <w:rsid w:val="00E16443"/>
    <w:rsid w:val="00E16F57"/>
    <w:rsid w:val="00E17A2C"/>
    <w:rsid w:val="00E205C5"/>
    <w:rsid w:val="00E206B0"/>
    <w:rsid w:val="00E21889"/>
    <w:rsid w:val="00E21AA4"/>
    <w:rsid w:val="00E21DE9"/>
    <w:rsid w:val="00E222B3"/>
    <w:rsid w:val="00E22554"/>
    <w:rsid w:val="00E2348E"/>
    <w:rsid w:val="00E23E50"/>
    <w:rsid w:val="00E245BA"/>
    <w:rsid w:val="00E25F6B"/>
    <w:rsid w:val="00E26213"/>
    <w:rsid w:val="00E26B1F"/>
    <w:rsid w:val="00E26CC8"/>
    <w:rsid w:val="00E274DF"/>
    <w:rsid w:val="00E31DAB"/>
    <w:rsid w:val="00E32448"/>
    <w:rsid w:val="00E32DB8"/>
    <w:rsid w:val="00E333E9"/>
    <w:rsid w:val="00E33A05"/>
    <w:rsid w:val="00E34D66"/>
    <w:rsid w:val="00E3547B"/>
    <w:rsid w:val="00E35FDA"/>
    <w:rsid w:val="00E362C4"/>
    <w:rsid w:val="00E3713F"/>
    <w:rsid w:val="00E37E3B"/>
    <w:rsid w:val="00E40FD1"/>
    <w:rsid w:val="00E42E2D"/>
    <w:rsid w:val="00E436D1"/>
    <w:rsid w:val="00E4376E"/>
    <w:rsid w:val="00E4415D"/>
    <w:rsid w:val="00E442C6"/>
    <w:rsid w:val="00E447E4"/>
    <w:rsid w:val="00E46CC2"/>
    <w:rsid w:val="00E47E0C"/>
    <w:rsid w:val="00E501A3"/>
    <w:rsid w:val="00E51813"/>
    <w:rsid w:val="00E52096"/>
    <w:rsid w:val="00E52141"/>
    <w:rsid w:val="00E527DD"/>
    <w:rsid w:val="00E52C0B"/>
    <w:rsid w:val="00E5332C"/>
    <w:rsid w:val="00E53413"/>
    <w:rsid w:val="00E53D3F"/>
    <w:rsid w:val="00E54A0E"/>
    <w:rsid w:val="00E5520B"/>
    <w:rsid w:val="00E5579B"/>
    <w:rsid w:val="00E56584"/>
    <w:rsid w:val="00E57A29"/>
    <w:rsid w:val="00E57B9B"/>
    <w:rsid w:val="00E57FF4"/>
    <w:rsid w:val="00E6009E"/>
    <w:rsid w:val="00E622D5"/>
    <w:rsid w:val="00E6319B"/>
    <w:rsid w:val="00E63F1A"/>
    <w:rsid w:val="00E640E8"/>
    <w:rsid w:val="00E64718"/>
    <w:rsid w:val="00E656A5"/>
    <w:rsid w:val="00E65C29"/>
    <w:rsid w:val="00E664A7"/>
    <w:rsid w:val="00E66900"/>
    <w:rsid w:val="00E66B9B"/>
    <w:rsid w:val="00E679C6"/>
    <w:rsid w:val="00E679D1"/>
    <w:rsid w:val="00E67C1C"/>
    <w:rsid w:val="00E7012A"/>
    <w:rsid w:val="00E7179E"/>
    <w:rsid w:val="00E71E4B"/>
    <w:rsid w:val="00E72A94"/>
    <w:rsid w:val="00E730FA"/>
    <w:rsid w:val="00E731D6"/>
    <w:rsid w:val="00E73D87"/>
    <w:rsid w:val="00E746C4"/>
    <w:rsid w:val="00E7543B"/>
    <w:rsid w:val="00E759FA"/>
    <w:rsid w:val="00E76578"/>
    <w:rsid w:val="00E77A0F"/>
    <w:rsid w:val="00E80783"/>
    <w:rsid w:val="00E80CB4"/>
    <w:rsid w:val="00E80CBB"/>
    <w:rsid w:val="00E8238C"/>
    <w:rsid w:val="00E834DC"/>
    <w:rsid w:val="00E8353E"/>
    <w:rsid w:val="00E83E4C"/>
    <w:rsid w:val="00E85587"/>
    <w:rsid w:val="00E8558D"/>
    <w:rsid w:val="00E86B6F"/>
    <w:rsid w:val="00E8734B"/>
    <w:rsid w:val="00E90223"/>
    <w:rsid w:val="00E90B4A"/>
    <w:rsid w:val="00E91D22"/>
    <w:rsid w:val="00E91F11"/>
    <w:rsid w:val="00E92011"/>
    <w:rsid w:val="00E963B2"/>
    <w:rsid w:val="00E9706D"/>
    <w:rsid w:val="00E97517"/>
    <w:rsid w:val="00EA1538"/>
    <w:rsid w:val="00EA1941"/>
    <w:rsid w:val="00EA1D83"/>
    <w:rsid w:val="00EA3AF4"/>
    <w:rsid w:val="00EA3B22"/>
    <w:rsid w:val="00EA3E69"/>
    <w:rsid w:val="00EA3EB7"/>
    <w:rsid w:val="00EA537E"/>
    <w:rsid w:val="00EA56E2"/>
    <w:rsid w:val="00EA6D7B"/>
    <w:rsid w:val="00EA78A5"/>
    <w:rsid w:val="00EB0938"/>
    <w:rsid w:val="00EB1F01"/>
    <w:rsid w:val="00EB2834"/>
    <w:rsid w:val="00EB2AE6"/>
    <w:rsid w:val="00EB4230"/>
    <w:rsid w:val="00EB5FA2"/>
    <w:rsid w:val="00EB6B8B"/>
    <w:rsid w:val="00EB70B0"/>
    <w:rsid w:val="00EB783A"/>
    <w:rsid w:val="00EC0B6D"/>
    <w:rsid w:val="00EC138E"/>
    <w:rsid w:val="00EC60F0"/>
    <w:rsid w:val="00EC6532"/>
    <w:rsid w:val="00EC7A91"/>
    <w:rsid w:val="00ED5394"/>
    <w:rsid w:val="00ED5653"/>
    <w:rsid w:val="00ED61CA"/>
    <w:rsid w:val="00ED6A25"/>
    <w:rsid w:val="00ED6B29"/>
    <w:rsid w:val="00ED7FCC"/>
    <w:rsid w:val="00EE495A"/>
    <w:rsid w:val="00EE4B01"/>
    <w:rsid w:val="00EE6050"/>
    <w:rsid w:val="00EE70F6"/>
    <w:rsid w:val="00EF1803"/>
    <w:rsid w:val="00EF219A"/>
    <w:rsid w:val="00EF3773"/>
    <w:rsid w:val="00EF3F0B"/>
    <w:rsid w:val="00EF3F65"/>
    <w:rsid w:val="00EF5583"/>
    <w:rsid w:val="00EF585A"/>
    <w:rsid w:val="00EF6F5A"/>
    <w:rsid w:val="00EF7489"/>
    <w:rsid w:val="00EF7566"/>
    <w:rsid w:val="00F010E3"/>
    <w:rsid w:val="00F0289D"/>
    <w:rsid w:val="00F02AEC"/>
    <w:rsid w:val="00F04726"/>
    <w:rsid w:val="00F05ADD"/>
    <w:rsid w:val="00F06F1F"/>
    <w:rsid w:val="00F07572"/>
    <w:rsid w:val="00F113FA"/>
    <w:rsid w:val="00F11452"/>
    <w:rsid w:val="00F157FC"/>
    <w:rsid w:val="00F2116B"/>
    <w:rsid w:val="00F2120A"/>
    <w:rsid w:val="00F24195"/>
    <w:rsid w:val="00F260B7"/>
    <w:rsid w:val="00F27350"/>
    <w:rsid w:val="00F273C3"/>
    <w:rsid w:val="00F2776F"/>
    <w:rsid w:val="00F30AF3"/>
    <w:rsid w:val="00F319FE"/>
    <w:rsid w:val="00F3306C"/>
    <w:rsid w:val="00F3312D"/>
    <w:rsid w:val="00F3532F"/>
    <w:rsid w:val="00F35B08"/>
    <w:rsid w:val="00F3660B"/>
    <w:rsid w:val="00F3755E"/>
    <w:rsid w:val="00F428EE"/>
    <w:rsid w:val="00F432E7"/>
    <w:rsid w:val="00F43CD1"/>
    <w:rsid w:val="00F45318"/>
    <w:rsid w:val="00F45AE0"/>
    <w:rsid w:val="00F45E0B"/>
    <w:rsid w:val="00F468E2"/>
    <w:rsid w:val="00F477EF"/>
    <w:rsid w:val="00F47A17"/>
    <w:rsid w:val="00F5112C"/>
    <w:rsid w:val="00F5130A"/>
    <w:rsid w:val="00F54385"/>
    <w:rsid w:val="00F55FC1"/>
    <w:rsid w:val="00F56232"/>
    <w:rsid w:val="00F56BC1"/>
    <w:rsid w:val="00F60CF2"/>
    <w:rsid w:val="00F63AB8"/>
    <w:rsid w:val="00F657B4"/>
    <w:rsid w:val="00F67156"/>
    <w:rsid w:val="00F672CC"/>
    <w:rsid w:val="00F70A86"/>
    <w:rsid w:val="00F71A56"/>
    <w:rsid w:val="00F72521"/>
    <w:rsid w:val="00F72725"/>
    <w:rsid w:val="00F7531F"/>
    <w:rsid w:val="00F75DA4"/>
    <w:rsid w:val="00F75E90"/>
    <w:rsid w:val="00F7649F"/>
    <w:rsid w:val="00F7730B"/>
    <w:rsid w:val="00F77D23"/>
    <w:rsid w:val="00F8083B"/>
    <w:rsid w:val="00F8087E"/>
    <w:rsid w:val="00F80ABB"/>
    <w:rsid w:val="00F81C20"/>
    <w:rsid w:val="00F828C0"/>
    <w:rsid w:val="00F82D1B"/>
    <w:rsid w:val="00F83554"/>
    <w:rsid w:val="00F83B25"/>
    <w:rsid w:val="00F8568E"/>
    <w:rsid w:val="00F8570F"/>
    <w:rsid w:val="00F85928"/>
    <w:rsid w:val="00F86353"/>
    <w:rsid w:val="00F865A7"/>
    <w:rsid w:val="00F86F10"/>
    <w:rsid w:val="00F87C47"/>
    <w:rsid w:val="00F87F59"/>
    <w:rsid w:val="00F903B7"/>
    <w:rsid w:val="00F91F9F"/>
    <w:rsid w:val="00F92020"/>
    <w:rsid w:val="00F938F0"/>
    <w:rsid w:val="00F957D5"/>
    <w:rsid w:val="00F95E7B"/>
    <w:rsid w:val="00F965B6"/>
    <w:rsid w:val="00F97152"/>
    <w:rsid w:val="00F97F13"/>
    <w:rsid w:val="00FA0754"/>
    <w:rsid w:val="00FA1772"/>
    <w:rsid w:val="00FA1BC9"/>
    <w:rsid w:val="00FA2705"/>
    <w:rsid w:val="00FA3CBE"/>
    <w:rsid w:val="00FA3F9B"/>
    <w:rsid w:val="00FA49C3"/>
    <w:rsid w:val="00FA58A6"/>
    <w:rsid w:val="00FA6C93"/>
    <w:rsid w:val="00FA6CF1"/>
    <w:rsid w:val="00FA6EB4"/>
    <w:rsid w:val="00FA73F3"/>
    <w:rsid w:val="00FA7522"/>
    <w:rsid w:val="00FB05AF"/>
    <w:rsid w:val="00FB0648"/>
    <w:rsid w:val="00FB2339"/>
    <w:rsid w:val="00FB236E"/>
    <w:rsid w:val="00FB2EA8"/>
    <w:rsid w:val="00FB3866"/>
    <w:rsid w:val="00FB3F7B"/>
    <w:rsid w:val="00FB4C2A"/>
    <w:rsid w:val="00FB4D9D"/>
    <w:rsid w:val="00FB5614"/>
    <w:rsid w:val="00FC07D6"/>
    <w:rsid w:val="00FC0894"/>
    <w:rsid w:val="00FC0BB6"/>
    <w:rsid w:val="00FC1F85"/>
    <w:rsid w:val="00FC2107"/>
    <w:rsid w:val="00FC2540"/>
    <w:rsid w:val="00FC48FE"/>
    <w:rsid w:val="00FC5AD1"/>
    <w:rsid w:val="00FC6C57"/>
    <w:rsid w:val="00FC6CEF"/>
    <w:rsid w:val="00FC6F56"/>
    <w:rsid w:val="00FC73FF"/>
    <w:rsid w:val="00FD035E"/>
    <w:rsid w:val="00FD03A6"/>
    <w:rsid w:val="00FD052E"/>
    <w:rsid w:val="00FD10D4"/>
    <w:rsid w:val="00FD1E90"/>
    <w:rsid w:val="00FD25B7"/>
    <w:rsid w:val="00FD2C60"/>
    <w:rsid w:val="00FD3168"/>
    <w:rsid w:val="00FD35F2"/>
    <w:rsid w:val="00FD3990"/>
    <w:rsid w:val="00FD437B"/>
    <w:rsid w:val="00FD50A1"/>
    <w:rsid w:val="00FD549D"/>
    <w:rsid w:val="00FD645D"/>
    <w:rsid w:val="00FD65A1"/>
    <w:rsid w:val="00FD6C69"/>
    <w:rsid w:val="00FD732A"/>
    <w:rsid w:val="00FD78B5"/>
    <w:rsid w:val="00FE0759"/>
    <w:rsid w:val="00FE087C"/>
    <w:rsid w:val="00FE1313"/>
    <w:rsid w:val="00FE2C7B"/>
    <w:rsid w:val="00FE3309"/>
    <w:rsid w:val="00FE5233"/>
    <w:rsid w:val="00FE5E2A"/>
    <w:rsid w:val="00FE674B"/>
    <w:rsid w:val="00FE6B87"/>
    <w:rsid w:val="00FE74C6"/>
    <w:rsid w:val="00FE758D"/>
    <w:rsid w:val="00FE79A0"/>
    <w:rsid w:val="00FE7BC4"/>
    <w:rsid w:val="00FF0552"/>
    <w:rsid w:val="00FF0939"/>
    <w:rsid w:val="00FF0ABA"/>
    <w:rsid w:val="00FF12EF"/>
    <w:rsid w:val="00FF141E"/>
    <w:rsid w:val="00FF212E"/>
    <w:rsid w:val="00FF268C"/>
    <w:rsid w:val="00FF3252"/>
    <w:rsid w:val="00FF4FF4"/>
    <w:rsid w:val="00FF6B2A"/>
    <w:rsid w:val="01B0B8B2"/>
    <w:rsid w:val="03AB59B6"/>
    <w:rsid w:val="05C9769D"/>
    <w:rsid w:val="072AE741"/>
    <w:rsid w:val="0784949A"/>
    <w:rsid w:val="087AE643"/>
    <w:rsid w:val="0881F5DE"/>
    <w:rsid w:val="091063BC"/>
    <w:rsid w:val="09709B26"/>
    <w:rsid w:val="0ABE57D3"/>
    <w:rsid w:val="0BF44681"/>
    <w:rsid w:val="0C43C081"/>
    <w:rsid w:val="0D707517"/>
    <w:rsid w:val="0E67C5D1"/>
    <w:rsid w:val="0EA98995"/>
    <w:rsid w:val="10A52899"/>
    <w:rsid w:val="114A6890"/>
    <w:rsid w:val="12C280E3"/>
    <w:rsid w:val="142F5EDB"/>
    <w:rsid w:val="1456A6B3"/>
    <w:rsid w:val="15DA42FC"/>
    <w:rsid w:val="16967B38"/>
    <w:rsid w:val="1728A7C1"/>
    <w:rsid w:val="172ECCA5"/>
    <w:rsid w:val="1852FE7B"/>
    <w:rsid w:val="190593CA"/>
    <w:rsid w:val="19843C04"/>
    <w:rsid w:val="1A5102F4"/>
    <w:rsid w:val="1ABAA7DB"/>
    <w:rsid w:val="1ADD4625"/>
    <w:rsid w:val="1BF93E89"/>
    <w:rsid w:val="1CEACB2B"/>
    <w:rsid w:val="1DBA91E4"/>
    <w:rsid w:val="1E2D4181"/>
    <w:rsid w:val="1E425907"/>
    <w:rsid w:val="1E6E8349"/>
    <w:rsid w:val="1F943C02"/>
    <w:rsid w:val="20158F47"/>
    <w:rsid w:val="202CC530"/>
    <w:rsid w:val="21673803"/>
    <w:rsid w:val="226BD0FB"/>
    <w:rsid w:val="25B83432"/>
    <w:rsid w:val="25D93BD6"/>
    <w:rsid w:val="2706AE2A"/>
    <w:rsid w:val="27EF7415"/>
    <w:rsid w:val="282F550F"/>
    <w:rsid w:val="28C465EE"/>
    <w:rsid w:val="2BD8F344"/>
    <w:rsid w:val="2DD578ED"/>
    <w:rsid w:val="3095F88E"/>
    <w:rsid w:val="326EBDB5"/>
    <w:rsid w:val="337A8B61"/>
    <w:rsid w:val="34941F20"/>
    <w:rsid w:val="3582C19C"/>
    <w:rsid w:val="364F2364"/>
    <w:rsid w:val="38440852"/>
    <w:rsid w:val="38AC6F01"/>
    <w:rsid w:val="393F9999"/>
    <w:rsid w:val="3A1CEE8D"/>
    <w:rsid w:val="3C4C9879"/>
    <w:rsid w:val="3CCEDE97"/>
    <w:rsid w:val="3CDE9098"/>
    <w:rsid w:val="40F8DD8A"/>
    <w:rsid w:val="428F7652"/>
    <w:rsid w:val="443CEC1A"/>
    <w:rsid w:val="4442DD5A"/>
    <w:rsid w:val="46774D5B"/>
    <w:rsid w:val="48B84330"/>
    <w:rsid w:val="48DD32B9"/>
    <w:rsid w:val="49DA64A8"/>
    <w:rsid w:val="4B5366A1"/>
    <w:rsid w:val="4BACC9A7"/>
    <w:rsid w:val="4CBBAF07"/>
    <w:rsid w:val="4D3ACDCF"/>
    <w:rsid w:val="4E01C885"/>
    <w:rsid w:val="4E16E39A"/>
    <w:rsid w:val="4F194A67"/>
    <w:rsid w:val="503F41D8"/>
    <w:rsid w:val="51D132FE"/>
    <w:rsid w:val="54F95C96"/>
    <w:rsid w:val="557A6A2F"/>
    <w:rsid w:val="56595454"/>
    <w:rsid w:val="57468CE6"/>
    <w:rsid w:val="58221165"/>
    <w:rsid w:val="587F582F"/>
    <w:rsid w:val="593BF82F"/>
    <w:rsid w:val="593FAFF0"/>
    <w:rsid w:val="59846F1D"/>
    <w:rsid w:val="59C72CD8"/>
    <w:rsid w:val="5CF91D09"/>
    <w:rsid w:val="5D110C66"/>
    <w:rsid w:val="5D47FBB6"/>
    <w:rsid w:val="60483945"/>
    <w:rsid w:val="62009C0D"/>
    <w:rsid w:val="627EAEC0"/>
    <w:rsid w:val="63298DAB"/>
    <w:rsid w:val="63F0883C"/>
    <w:rsid w:val="6458E084"/>
    <w:rsid w:val="69F34E37"/>
    <w:rsid w:val="6B707ECE"/>
    <w:rsid w:val="6CB7FA4A"/>
    <w:rsid w:val="6CF97B58"/>
    <w:rsid w:val="6D4FA4BB"/>
    <w:rsid w:val="6EB454F9"/>
    <w:rsid w:val="6ED60F1F"/>
    <w:rsid w:val="6F8DEAAB"/>
    <w:rsid w:val="71400DCA"/>
    <w:rsid w:val="74D6FC87"/>
    <w:rsid w:val="7610BC30"/>
    <w:rsid w:val="76E1FD8B"/>
    <w:rsid w:val="78816634"/>
    <w:rsid w:val="7A689FC2"/>
    <w:rsid w:val="7BA11594"/>
    <w:rsid w:val="7CE30A91"/>
    <w:rsid w:val="7F9F5EC0"/>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4C024"/>
  <w15:chartTrackingRefBased/>
  <w15:docId w15:val="{C739B122-7271-4844-8DCE-812185DC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49C"/>
    <w:rPr>
      <w:rFonts w:ascii="Cambria" w:hAnsi="Cambria"/>
      <w:sz w:val="22"/>
    </w:rPr>
  </w:style>
  <w:style w:type="paragraph" w:styleId="Heading1">
    <w:name w:val="heading 1"/>
    <w:basedOn w:val="Normal"/>
    <w:next w:val="Normal"/>
    <w:link w:val="Heading1Char"/>
    <w:uiPriority w:val="9"/>
    <w:qFormat/>
    <w:rsid w:val="000D71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paragraph" w:styleId="Heading7">
    <w:name w:val="heading 7"/>
    <w:basedOn w:val="Normal"/>
    <w:next w:val="Normal"/>
    <w:link w:val="Heading7Char"/>
    <w:uiPriority w:val="9"/>
    <w:unhideWhenUsed/>
    <w:qFormat/>
    <w:rsid w:val="00E65C2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uiPriority w:val="99"/>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uiPriority w:val="99"/>
    <w:rsid w:val="00FE087C"/>
    <w:rPr>
      <w:rFonts w:ascii="Cambria" w:eastAsia="Cambria" w:hAnsi="Cambria" w:cs="Times New Roman"/>
      <w:color w:val="333F48"/>
      <w:sz w:val="17"/>
    </w:rPr>
  </w:style>
  <w:style w:type="character" w:styleId="FootnoteReference">
    <w:name w:val="footnote reference"/>
    <w:basedOn w:val="DefaultParagraphFont"/>
    <w:uiPriority w:val="99"/>
    <w:semiHidden/>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SegoeUISymbol" w:hAnsi="SegoeUISymbol"/>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qFormat/>
    <w:rsid w:val="00854D98"/>
    <w:pPr>
      <w:spacing w:before="120" w:line="240" w:lineRule="auto"/>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qFormat/>
    <w:rsid w:val="00AB0613"/>
    <w:pPr>
      <w:keepNext/>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qFormat/>
    <w:rsid w:val="0010558A"/>
    <w:pPr>
      <w:spacing w:before="120"/>
    </w:pPr>
    <w:rPr>
      <w:b w:val="0"/>
      <w:sz w:val="19"/>
    </w:rPr>
  </w:style>
  <w:style w:type="paragraph" w:styleId="ListParagraph">
    <w:name w:val="List Paragraph"/>
    <w:basedOn w:val="Normal"/>
    <w:link w:val="ListParagraphChar"/>
    <w:uiPriority w:val="1"/>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0D7155"/>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632CCD"/>
    <w:pPr>
      <w:spacing w:after="0" w:line="240" w:lineRule="auto"/>
    </w:pPr>
    <w:rPr>
      <w:rFonts w:eastAsia="Cambria" w:cs="Times New Roman"/>
      <w:sz w:val="20"/>
    </w:rPr>
  </w:style>
  <w:style w:type="character" w:customStyle="1" w:styleId="EndnoteTextChar">
    <w:name w:val="Endnote Text Char"/>
    <w:basedOn w:val="DefaultParagraphFont"/>
    <w:link w:val="EndnoteText"/>
    <w:uiPriority w:val="99"/>
    <w:semiHidden/>
    <w:rsid w:val="00632CCD"/>
    <w:rPr>
      <w:rFonts w:ascii="Cambria" w:eastAsia="Cambria" w:hAnsi="Cambria" w:cs="Times New Roman"/>
    </w:rPr>
  </w:style>
  <w:style w:type="character" w:styleId="EndnoteReference">
    <w:name w:val="endnote reference"/>
    <w:basedOn w:val="DefaultParagraphFont"/>
    <w:uiPriority w:val="99"/>
    <w:semiHidden/>
    <w:unhideWhenUsed/>
    <w:rsid w:val="00632CCD"/>
    <w:rPr>
      <w:vertAlign w:val="superscript"/>
    </w:rPr>
  </w:style>
  <w:style w:type="character" w:customStyle="1" w:styleId="Heading7Char">
    <w:name w:val="Heading 7 Char"/>
    <w:basedOn w:val="DefaultParagraphFont"/>
    <w:link w:val="Heading7"/>
    <w:uiPriority w:val="9"/>
    <w:rsid w:val="00E65C29"/>
    <w:rPr>
      <w:rFonts w:asciiTheme="majorHAnsi" w:eastAsiaTheme="majorEastAsia" w:hAnsiTheme="majorHAnsi" w:cstheme="majorBidi"/>
      <w:i/>
      <w:iCs/>
      <w:color w:val="1F3763" w:themeColor="accent1" w:themeShade="7F"/>
      <w:sz w:val="22"/>
    </w:rPr>
  </w:style>
  <w:style w:type="paragraph" w:customStyle="1" w:styleId="Default">
    <w:name w:val="Default"/>
    <w:rsid w:val="00C77E1C"/>
    <w:pPr>
      <w:autoSpaceDE w:val="0"/>
      <w:autoSpaceDN w:val="0"/>
      <w:adjustRightInd w:val="0"/>
      <w:spacing w:after="0" w:line="240" w:lineRule="auto"/>
    </w:pPr>
    <w:rPr>
      <w:rFonts w:ascii="Arial" w:hAnsi="Arial" w:cs="Arial"/>
      <w:color w:val="000000"/>
      <w:sz w:val="24"/>
      <w:szCs w:val="24"/>
    </w:rPr>
  </w:style>
  <w:style w:type="character" w:styleId="Mention">
    <w:name w:val="Mention"/>
    <w:basedOn w:val="DefaultParagraphFont"/>
    <w:uiPriority w:val="99"/>
    <w:unhideWhenUsed/>
    <w:rsid w:val="0071268E"/>
    <w:rPr>
      <w:color w:val="2B579A"/>
      <w:shd w:val="clear" w:color="auto" w:fill="E1DFDD"/>
    </w:rPr>
  </w:style>
  <w:style w:type="character" w:customStyle="1" w:styleId="cf01">
    <w:name w:val="cf01"/>
    <w:basedOn w:val="DefaultParagraphFont"/>
    <w:rsid w:val="0035303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tga.copyright@tga.gov.au" TargetMode="Externa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hyperlink" Target="https://www.tga.gov.au/obstetric-drug-information-services" TargetMode="External"/><Relationship Id="rId34" Type="http://schemas.openxmlformats.org/officeDocument/2006/relationships/image" Target="media/image15.png"/><Relationship Id="rId42" Type="http://schemas.openxmlformats.org/officeDocument/2006/relationships/hyperlink" Target="https://www.tga.gov.au/tgas-risk-management-approach" TargetMode="External"/><Relationship Id="rId47" Type="http://schemas.openxmlformats.org/officeDocument/2006/relationships/hyperlink" Target="https://www.tga.gov.au/form/certified-product-details-cpd-biologicalprescription-medicines" TargetMode="External"/><Relationship Id="rId50" Type="http://schemas.openxmlformats.org/officeDocument/2006/relationships/header" Target="header3.xml"/><Relationship Id="rId55"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ga.gov.au/" TargetMode="External"/><Relationship Id="rId29" Type="http://schemas.openxmlformats.org/officeDocument/2006/relationships/image" Target="media/image10.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s://www.tga.gov.au/committee/advisory-committee-medicines-acm" TargetMode="External"/><Relationship Id="rId53" Type="http://schemas.openxmlformats.org/officeDocument/2006/relationships/hyperlink" Target="https://www.tga.gov.au" TargetMode="External"/><Relationship Id="rId5" Type="http://schemas.openxmlformats.org/officeDocument/2006/relationships/numbering" Target="numbering.xml"/><Relationship Id="rId19" Type="http://schemas.openxmlformats.org/officeDocument/2006/relationships/hyperlink" Target="https://www.tga.gov.au/black-triangle-sche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yperlink" Target="https://www.tga.gov.au/resources/resource/guidance/risk-management-plans-medicines-and-biologicals/australia-specific-annex-eu-rmp" TargetMode="External"/><Relationship Id="rId48" Type="http://schemas.openxmlformats.org/officeDocument/2006/relationships/hyperlink" Target="https://www.tga.gov.au/guidance-7-certified-product-details"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tga.gov.au/australian-public-assessment-report-auspar-guidance"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yperlink" Target="http://www.tga.gov.au/ws-labs-index" TargetMode="External"/><Relationship Id="rId20" Type="http://schemas.openxmlformats.org/officeDocument/2006/relationships/hyperlink" Target="https://www.tga.gov.au/products/medicines/find-information-about-medicine/prescribing-medicines-pregnancy-database" TargetMode="External"/><Relationship Id="rId41" Type="http://schemas.openxmlformats.org/officeDocument/2006/relationships/hyperlink" Target="https://www.tga.gov.au/publication/risk-management-plans-medicines-and-biologicals"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tga.gov.au/how-we-regulate/supply-therapeutic-good-0/supply-prescription-medicine/application-process/prescription-medicines-registration-process" TargetMode="Externa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yperlink" Target="https://www.ebs.tga.gov.au/"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hyperlink" Target="https://www.tga.gov.au/resources/resource/guidance/risk-management-plans-medicines-and-biologicals/australia-specific-annex-eu-rmp" TargetMode="External"/><Relationship Id="rId52" Type="http://schemas.openxmlformats.org/officeDocument/2006/relationships/hyperlink" Target="mailto:info@tga.gov.a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16/j.jaip.2020.09.063" TargetMode="External"/><Relationship Id="rId13" Type="http://schemas.openxmlformats.org/officeDocument/2006/relationships/hyperlink" Target="https://www.tga.gov.au/resources/auspar/auspar-dupilumab" TargetMode="External"/><Relationship Id="rId3" Type="http://schemas.openxmlformats.org/officeDocument/2006/relationships/hyperlink" Target="https://www.abs.gov.au/statistics/health/health-conditions-and-risks/asthma/latest-release" TargetMode="External"/><Relationship Id="rId7" Type="http://schemas.openxmlformats.org/officeDocument/2006/relationships/hyperlink" Target="https://doi.org/10.1016/j.anai.2023.09.001" TargetMode="External"/><Relationship Id="rId12" Type="http://schemas.openxmlformats.org/officeDocument/2006/relationships/hyperlink" Target="https://www.tga.gov.au/resources/auspar/auspar-mepolizumab" TargetMode="External"/><Relationship Id="rId2" Type="http://schemas.openxmlformats.org/officeDocument/2006/relationships/hyperlink" Target="https://allergyasthmanetwork.org/news/when-asthma-more-than-asthma-type-inflammation/" TargetMode="External"/><Relationship Id="rId1" Type="http://schemas.openxmlformats.org/officeDocument/2006/relationships/hyperlink" Target="https://www.frontiersin.org/journals/physiology/articles/10.3389/fphys.2019.01514/full" TargetMode="External"/><Relationship Id="rId6" Type="http://schemas.openxmlformats.org/officeDocument/2006/relationships/hyperlink" Target="https://doi.org/10.1080/03007995.2020.1815682" TargetMode="External"/><Relationship Id="rId11" Type="http://schemas.openxmlformats.org/officeDocument/2006/relationships/hyperlink" Target="https://www.tga.gov.au/resources/auspar/auspar-benralizumab" TargetMode="External"/><Relationship Id="rId5" Type="http://schemas.openxmlformats.org/officeDocument/2006/relationships/hyperlink" Target="https://ginasthma.org/wp-content/uploads/2025/11/GINA-2025-Update-25_11_08-WMS.pdf" TargetMode="External"/><Relationship Id="rId15" Type="http://schemas.openxmlformats.org/officeDocument/2006/relationships/hyperlink" Target="https://doi.org/10.2147/PPA.S198953" TargetMode="External"/><Relationship Id="rId10" Type="http://schemas.openxmlformats.org/officeDocument/2006/relationships/hyperlink" Target="https://www.asthmahandbook.org.au/management/adults-and-adolescents/medication-management/treatment-levels-for-adults-and-adolescents" TargetMode="External"/><Relationship Id="rId4" Type="http://schemas.openxmlformats.org/officeDocument/2006/relationships/hyperlink" Target="https://www.aihw.gov.au/reports/chronic-respiratory-conditions/asthma" TargetMode="External"/><Relationship Id="rId9" Type="http://schemas.openxmlformats.org/officeDocument/2006/relationships/hyperlink" Target="https://www.allergy.org.au/images/stories/pospapers/ar/ASCIA_HP_Non-Allergic_Rhinitis_Allergic_Rhinitis_Chronic_Rhinosinusitis_2025.pdf" TargetMode="External"/><Relationship Id="rId14" Type="http://schemas.openxmlformats.org/officeDocument/2006/relationships/hyperlink" Target="https://www.tga.gov.au/resources/auspar/auspar-omalizumab"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F9BCA22A44543A836D48EB5D07BAB" ma:contentTypeVersion="10" ma:contentTypeDescription="Create a new document." ma:contentTypeScope="" ma:versionID="48c8ee771c49ba6eb2c1ed13fd99bfb5">
  <xsd:schema xmlns:xsd="http://www.w3.org/2001/XMLSchema" xmlns:xs="http://www.w3.org/2001/XMLSchema" xmlns:p="http://schemas.microsoft.com/office/2006/metadata/properties" xmlns:ns2="9ab13f10-ea91-4ae4-b716-2fc6226f5bbf" xmlns:ns3="53bfddcd-ed87-4e2f-848a-2186ccceec32" targetNamespace="http://schemas.microsoft.com/office/2006/metadata/properties" ma:root="true" ma:fieldsID="f0825cee56ddf195ed6d1b902fe21878" ns2:_="" ns3:_="">
    <xsd:import namespace="9ab13f10-ea91-4ae4-b716-2fc6226f5bbf"/>
    <xsd:import namespace="53bfddcd-ed87-4e2f-848a-2186ccceec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Pers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13f10-ea91-4ae4-b716-2fc6226f5b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ddcd-ed87-4e2f-848a-2186cccee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Person" ma:index="1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erson xmlns="53bfddcd-ed87-4e2f-848a-2186ccceec32">
      <UserInfo>
        <DisplayName/>
        <AccountId xsi:nil="true"/>
        <AccountType/>
      </UserInfo>
    </Person>
  </documentManagement>
</p:properties>
</file>

<file path=customXml/itemProps1.xml><?xml version="1.0" encoding="utf-8"?>
<ds:datastoreItem xmlns:ds="http://schemas.openxmlformats.org/officeDocument/2006/customXml" ds:itemID="{8CF9344C-1A48-4C5B-927C-11A5AEC8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13f10-ea91-4ae4-b716-2fc6226f5bbf"/>
    <ds:schemaRef ds:uri="53bfddcd-ed87-4e2f-848a-2186cccee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DD6C8-7D48-4153-89D9-E5D366FFD348}">
  <ds:schemaRefs>
    <ds:schemaRef ds:uri="http://schemas.microsoft.com/sharepoint/v3/contenttype/forms"/>
  </ds:schemaRefs>
</ds:datastoreItem>
</file>

<file path=customXml/itemProps3.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customXml/itemProps4.xml><?xml version="1.0" encoding="utf-8"?>
<ds:datastoreItem xmlns:ds="http://schemas.openxmlformats.org/officeDocument/2006/customXml" ds:itemID="{512C71DA-BA56-40C4-88B8-5BC930973EEB}">
  <ds:schemaRefs>
    <ds:schemaRef ds:uri="http://schemas.microsoft.com/office/2006/metadata/properties"/>
    <ds:schemaRef ds:uri="http://schemas.microsoft.com/office/infopath/2007/PartnerControls"/>
    <ds:schemaRef ds:uri="53bfddcd-ed87-4e2f-848a-2186ccceec32"/>
  </ds:schemaRefs>
</ds:datastoreItem>
</file>

<file path=docMetadata/LabelInfo.xml><?xml version="1.0" encoding="utf-8"?>
<clbl:labelList xmlns:clbl="http://schemas.microsoft.com/office/2020/mipLabelMetadata">
  <clbl:label id="{a1fb6d54-a06f-4344-a5e5-5b200bb80c5b}" enabled="1" method="Privilege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53</Pages>
  <Words>18851</Words>
  <Characters>107455</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126054</CharactersWithSpaces>
  <SharedDoc>false</SharedDoc>
  <HLinks>
    <vt:vector size="384" baseType="variant">
      <vt:variant>
        <vt:i4>3473445</vt:i4>
      </vt:variant>
      <vt:variant>
        <vt:i4>585</vt:i4>
      </vt:variant>
      <vt:variant>
        <vt:i4>0</vt:i4>
      </vt:variant>
      <vt:variant>
        <vt:i4>5</vt:i4>
      </vt:variant>
      <vt:variant>
        <vt:lpwstr>https://www.tga.gov.au/</vt:lpwstr>
      </vt:variant>
      <vt:variant>
        <vt:lpwstr/>
      </vt:variant>
      <vt:variant>
        <vt:i4>5242926</vt:i4>
      </vt:variant>
      <vt:variant>
        <vt:i4>582</vt:i4>
      </vt:variant>
      <vt:variant>
        <vt:i4>0</vt:i4>
      </vt:variant>
      <vt:variant>
        <vt:i4>5</vt:i4>
      </vt:variant>
      <vt:variant>
        <vt:lpwstr>mailto:info@tga.gov.au</vt:lpwstr>
      </vt:variant>
      <vt:variant>
        <vt:lpwstr/>
      </vt:variant>
      <vt:variant>
        <vt:i4>7929907</vt:i4>
      </vt:variant>
      <vt:variant>
        <vt:i4>579</vt:i4>
      </vt:variant>
      <vt:variant>
        <vt:i4>0</vt:i4>
      </vt:variant>
      <vt:variant>
        <vt:i4>5</vt:i4>
      </vt:variant>
      <vt:variant>
        <vt:lpwstr>https://www.ebs.tga.gov.au/</vt:lpwstr>
      </vt:variant>
      <vt:variant>
        <vt:lpwstr/>
      </vt:variant>
      <vt:variant>
        <vt:i4>3538997</vt:i4>
      </vt:variant>
      <vt:variant>
        <vt:i4>573</vt:i4>
      </vt:variant>
      <vt:variant>
        <vt:i4>0</vt:i4>
      </vt:variant>
      <vt:variant>
        <vt:i4>5</vt:i4>
      </vt:variant>
      <vt:variant>
        <vt:lpwstr>https://www.tga.gov.au/guidance-7-certified-product-details</vt:lpwstr>
      </vt:variant>
      <vt:variant>
        <vt:lpwstr/>
      </vt:variant>
      <vt:variant>
        <vt:i4>7274541</vt:i4>
      </vt:variant>
      <vt:variant>
        <vt:i4>570</vt:i4>
      </vt:variant>
      <vt:variant>
        <vt:i4>0</vt:i4>
      </vt:variant>
      <vt:variant>
        <vt:i4>5</vt:i4>
      </vt:variant>
      <vt:variant>
        <vt:lpwstr>https://www.tga.gov.au/form/certified-product-details-cpd-biologicalprescription-medicines</vt:lpwstr>
      </vt:variant>
      <vt:variant>
        <vt:lpwstr/>
      </vt:variant>
      <vt:variant>
        <vt:i4>3801192</vt:i4>
      </vt:variant>
      <vt:variant>
        <vt:i4>567</vt:i4>
      </vt:variant>
      <vt:variant>
        <vt:i4>0</vt:i4>
      </vt:variant>
      <vt:variant>
        <vt:i4>5</vt:i4>
      </vt:variant>
      <vt:variant>
        <vt:lpwstr>http://www.tga.gov.au/ws-labs-index</vt:lpwstr>
      </vt:variant>
      <vt:variant>
        <vt:lpwstr/>
      </vt:variant>
      <vt:variant>
        <vt:i4>524365</vt:i4>
      </vt:variant>
      <vt:variant>
        <vt:i4>549</vt:i4>
      </vt:variant>
      <vt:variant>
        <vt:i4>0</vt:i4>
      </vt:variant>
      <vt:variant>
        <vt:i4>5</vt:i4>
      </vt:variant>
      <vt:variant>
        <vt:lpwstr>https://www.tga.gov.au/committee/advisory-committee-medicines-acm</vt:lpwstr>
      </vt:variant>
      <vt:variant>
        <vt:lpwstr/>
      </vt:variant>
      <vt:variant>
        <vt:i4>2424877</vt:i4>
      </vt:variant>
      <vt:variant>
        <vt:i4>504</vt:i4>
      </vt:variant>
      <vt:variant>
        <vt:i4>0</vt:i4>
      </vt:variant>
      <vt:variant>
        <vt:i4>5</vt:i4>
      </vt:variant>
      <vt:variant>
        <vt:lpwstr>https://www.tga.gov.au/resources/resource/guidance/risk-management-plans-medicines-and-biologicals/australia-specific-annex-eu-rmp</vt:lpwstr>
      </vt:variant>
      <vt:variant>
        <vt:lpwstr/>
      </vt:variant>
      <vt:variant>
        <vt:i4>2424877</vt:i4>
      </vt:variant>
      <vt:variant>
        <vt:i4>501</vt:i4>
      </vt:variant>
      <vt:variant>
        <vt:i4>0</vt:i4>
      </vt:variant>
      <vt:variant>
        <vt:i4>5</vt:i4>
      </vt:variant>
      <vt:variant>
        <vt:lpwstr>https://www.tga.gov.au/resources/resource/guidance/risk-management-plans-medicines-and-biologicals/australia-specific-annex-eu-rmp</vt:lpwstr>
      </vt:variant>
      <vt:variant>
        <vt:lpwstr/>
      </vt:variant>
      <vt:variant>
        <vt:i4>5111899</vt:i4>
      </vt:variant>
      <vt:variant>
        <vt:i4>498</vt:i4>
      </vt:variant>
      <vt:variant>
        <vt:i4>0</vt:i4>
      </vt:variant>
      <vt:variant>
        <vt:i4>5</vt:i4>
      </vt:variant>
      <vt:variant>
        <vt:lpwstr>https://www.tga.gov.au/tgas-risk-management-approach</vt:lpwstr>
      </vt:variant>
      <vt:variant>
        <vt:lpwstr/>
      </vt:variant>
      <vt:variant>
        <vt:i4>7929888</vt:i4>
      </vt:variant>
      <vt:variant>
        <vt:i4>495</vt:i4>
      </vt:variant>
      <vt:variant>
        <vt:i4>0</vt:i4>
      </vt:variant>
      <vt:variant>
        <vt:i4>5</vt:i4>
      </vt:variant>
      <vt:variant>
        <vt:lpwstr>https://www.tga.gov.au/publication/risk-management-plans-medicines-and-biologicals</vt:lpwstr>
      </vt:variant>
      <vt:variant>
        <vt:lpwstr/>
      </vt:variant>
      <vt:variant>
        <vt:i4>1835097</vt:i4>
      </vt:variant>
      <vt:variant>
        <vt:i4>321</vt:i4>
      </vt:variant>
      <vt:variant>
        <vt:i4>0</vt:i4>
      </vt:variant>
      <vt:variant>
        <vt:i4>5</vt:i4>
      </vt:variant>
      <vt:variant>
        <vt:lpwstr>https://www.tga.gov.au/how-we-regulate/supply-therapeutic-good-0/supply-prescription-medicine/application-process/prescription-medicines-registration-process</vt:lpwstr>
      </vt:variant>
      <vt:variant>
        <vt:lpwstr/>
      </vt:variant>
      <vt:variant>
        <vt:i4>3670063</vt:i4>
      </vt:variant>
      <vt:variant>
        <vt:i4>228</vt:i4>
      </vt:variant>
      <vt:variant>
        <vt:i4>0</vt:i4>
      </vt:variant>
      <vt:variant>
        <vt:i4>5</vt:i4>
      </vt:variant>
      <vt:variant>
        <vt:lpwstr>https://www.tga.gov.au/obstetric-drug-information-services</vt:lpwstr>
      </vt:variant>
      <vt:variant>
        <vt:lpwstr/>
      </vt:variant>
      <vt:variant>
        <vt:i4>2949173</vt:i4>
      </vt:variant>
      <vt:variant>
        <vt:i4>225</vt:i4>
      </vt:variant>
      <vt:variant>
        <vt:i4>0</vt:i4>
      </vt:variant>
      <vt:variant>
        <vt:i4>5</vt:i4>
      </vt:variant>
      <vt:variant>
        <vt:lpwstr>https://www.tga.gov.au/products/medicines/find-information-about-medicine/prescribing-medicines-pregnancy-database</vt:lpwstr>
      </vt:variant>
      <vt:variant>
        <vt:lpwstr/>
      </vt:variant>
      <vt:variant>
        <vt:i4>786511</vt:i4>
      </vt:variant>
      <vt:variant>
        <vt:i4>222</vt:i4>
      </vt:variant>
      <vt:variant>
        <vt:i4>0</vt:i4>
      </vt:variant>
      <vt:variant>
        <vt:i4>5</vt:i4>
      </vt:variant>
      <vt:variant>
        <vt:lpwstr>https://www.tga.gov.au/black-triangle-scheme</vt:lpwstr>
      </vt:variant>
      <vt:variant>
        <vt:lpwstr/>
      </vt:variant>
      <vt:variant>
        <vt:i4>1376312</vt:i4>
      </vt:variant>
      <vt:variant>
        <vt:i4>206</vt:i4>
      </vt:variant>
      <vt:variant>
        <vt:i4>0</vt:i4>
      </vt:variant>
      <vt:variant>
        <vt:i4>5</vt:i4>
      </vt:variant>
      <vt:variant>
        <vt:lpwstr/>
      </vt:variant>
      <vt:variant>
        <vt:lpwstr>_Toc239322101</vt:lpwstr>
      </vt:variant>
      <vt:variant>
        <vt:i4>1376312</vt:i4>
      </vt:variant>
      <vt:variant>
        <vt:i4>200</vt:i4>
      </vt:variant>
      <vt:variant>
        <vt:i4>0</vt:i4>
      </vt:variant>
      <vt:variant>
        <vt:i4>5</vt:i4>
      </vt:variant>
      <vt:variant>
        <vt:lpwstr/>
      </vt:variant>
      <vt:variant>
        <vt:lpwstr>_Toc239322100</vt:lpwstr>
      </vt:variant>
      <vt:variant>
        <vt:i4>1835065</vt:i4>
      </vt:variant>
      <vt:variant>
        <vt:i4>194</vt:i4>
      </vt:variant>
      <vt:variant>
        <vt:i4>0</vt:i4>
      </vt:variant>
      <vt:variant>
        <vt:i4>5</vt:i4>
      </vt:variant>
      <vt:variant>
        <vt:lpwstr/>
      </vt:variant>
      <vt:variant>
        <vt:lpwstr>_Toc239322099</vt:lpwstr>
      </vt:variant>
      <vt:variant>
        <vt:i4>1835065</vt:i4>
      </vt:variant>
      <vt:variant>
        <vt:i4>188</vt:i4>
      </vt:variant>
      <vt:variant>
        <vt:i4>0</vt:i4>
      </vt:variant>
      <vt:variant>
        <vt:i4>5</vt:i4>
      </vt:variant>
      <vt:variant>
        <vt:lpwstr/>
      </vt:variant>
      <vt:variant>
        <vt:lpwstr>_Toc239322098</vt:lpwstr>
      </vt:variant>
      <vt:variant>
        <vt:i4>1835065</vt:i4>
      </vt:variant>
      <vt:variant>
        <vt:i4>182</vt:i4>
      </vt:variant>
      <vt:variant>
        <vt:i4>0</vt:i4>
      </vt:variant>
      <vt:variant>
        <vt:i4>5</vt:i4>
      </vt:variant>
      <vt:variant>
        <vt:lpwstr/>
      </vt:variant>
      <vt:variant>
        <vt:lpwstr>_Toc239322097</vt:lpwstr>
      </vt:variant>
      <vt:variant>
        <vt:i4>1835065</vt:i4>
      </vt:variant>
      <vt:variant>
        <vt:i4>176</vt:i4>
      </vt:variant>
      <vt:variant>
        <vt:i4>0</vt:i4>
      </vt:variant>
      <vt:variant>
        <vt:i4>5</vt:i4>
      </vt:variant>
      <vt:variant>
        <vt:lpwstr/>
      </vt:variant>
      <vt:variant>
        <vt:lpwstr>_Toc239322096</vt:lpwstr>
      </vt:variant>
      <vt:variant>
        <vt:i4>1835065</vt:i4>
      </vt:variant>
      <vt:variant>
        <vt:i4>170</vt:i4>
      </vt:variant>
      <vt:variant>
        <vt:i4>0</vt:i4>
      </vt:variant>
      <vt:variant>
        <vt:i4>5</vt:i4>
      </vt:variant>
      <vt:variant>
        <vt:lpwstr/>
      </vt:variant>
      <vt:variant>
        <vt:lpwstr>_Toc239322095</vt:lpwstr>
      </vt:variant>
      <vt:variant>
        <vt:i4>1835065</vt:i4>
      </vt:variant>
      <vt:variant>
        <vt:i4>164</vt:i4>
      </vt:variant>
      <vt:variant>
        <vt:i4>0</vt:i4>
      </vt:variant>
      <vt:variant>
        <vt:i4>5</vt:i4>
      </vt:variant>
      <vt:variant>
        <vt:lpwstr/>
      </vt:variant>
      <vt:variant>
        <vt:lpwstr>_Toc239322094</vt:lpwstr>
      </vt:variant>
      <vt:variant>
        <vt:i4>1835065</vt:i4>
      </vt:variant>
      <vt:variant>
        <vt:i4>158</vt:i4>
      </vt:variant>
      <vt:variant>
        <vt:i4>0</vt:i4>
      </vt:variant>
      <vt:variant>
        <vt:i4>5</vt:i4>
      </vt:variant>
      <vt:variant>
        <vt:lpwstr/>
      </vt:variant>
      <vt:variant>
        <vt:lpwstr>_Toc239322093</vt:lpwstr>
      </vt:variant>
      <vt:variant>
        <vt:i4>1835065</vt:i4>
      </vt:variant>
      <vt:variant>
        <vt:i4>152</vt:i4>
      </vt:variant>
      <vt:variant>
        <vt:i4>0</vt:i4>
      </vt:variant>
      <vt:variant>
        <vt:i4>5</vt:i4>
      </vt:variant>
      <vt:variant>
        <vt:lpwstr/>
      </vt:variant>
      <vt:variant>
        <vt:lpwstr>_Toc239322092</vt:lpwstr>
      </vt:variant>
      <vt:variant>
        <vt:i4>1835065</vt:i4>
      </vt:variant>
      <vt:variant>
        <vt:i4>146</vt:i4>
      </vt:variant>
      <vt:variant>
        <vt:i4>0</vt:i4>
      </vt:variant>
      <vt:variant>
        <vt:i4>5</vt:i4>
      </vt:variant>
      <vt:variant>
        <vt:lpwstr/>
      </vt:variant>
      <vt:variant>
        <vt:lpwstr>_Toc239322091</vt:lpwstr>
      </vt:variant>
      <vt:variant>
        <vt:i4>1835065</vt:i4>
      </vt:variant>
      <vt:variant>
        <vt:i4>140</vt:i4>
      </vt:variant>
      <vt:variant>
        <vt:i4>0</vt:i4>
      </vt:variant>
      <vt:variant>
        <vt:i4>5</vt:i4>
      </vt:variant>
      <vt:variant>
        <vt:lpwstr/>
      </vt:variant>
      <vt:variant>
        <vt:lpwstr>_Toc239322090</vt:lpwstr>
      </vt:variant>
      <vt:variant>
        <vt:i4>1900601</vt:i4>
      </vt:variant>
      <vt:variant>
        <vt:i4>134</vt:i4>
      </vt:variant>
      <vt:variant>
        <vt:i4>0</vt:i4>
      </vt:variant>
      <vt:variant>
        <vt:i4>5</vt:i4>
      </vt:variant>
      <vt:variant>
        <vt:lpwstr/>
      </vt:variant>
      <vt:variant>
        <vt:lpwstr>_Toc239322089</vt:lpwstr>
      </vt:variant>
      <vt:variant>
        <vt:i4>1900601</vt:i4>
      </vt:variant>
      <vt:variant>
        <vt:i4>128</vt:i4>
      </vt:variant>
      <vt:variant>
        <vt:i4>0</vt:i4>
      </vt:variant>
      <vt:variant>
        <vt:i4>5</vt:i4>
      </vt:variant>
      <vt:variant>
        <vt:lpwstr/>
      </vt:variant>
      <vt:variant>
        <vt:lpwstr>_Toc239322088</vt:lpwstr>
      </vt:variant>
      <vt:variant>
        <vt:i4>1900601</vt:i4>
      </vt:variant>
      <vt:variant>
        <vt:i4>122</vt:i4>
      </vt:variant>
      <vt:variant>
        <vt:i4>0</vt:i4>
      </vt:variant>
      <vt:variant>
        <vt:i4>5</vt:i4>
      </vt:variant>
      <vt:variant>
        <vt:lpwstr/>
      </vt:variant>
      <vt:variant>
        <vt:lpwstr>_Toc239322087</vt:lpwstr>
      </vt:variant>
      <vt:variant>
        <vt:i4>1900601</vt:i4>
      </vt:variant>
      <vt:variant>
        <vt:i4>116</vt:i4>
      </vt:variant>
      <vt:variant>
        <vt:i4>0</vt:i4>
      </vt:variant>
      <vt:variant>
        <vt:i4>5</vt:i4>
      </vt:variant>
      <vt:variant>
        <vt:lpwstr/>
      </vt:variant>
      <vt:variant>
        <vt:lpwstr>_Toc239322086</vt:lpwstr>
      </vt:variant>
      <vt:variant>
        <vt:i4>1900601</vt:i4>
      </vt:variant>
      <vt:variant>
        <vt:i4>110</vt:i4>
      </vt:variant>
      <vt:variant>
        <vt:i4>0</vt:i4>
      </vt:variant>
      <vt:variant>
        <vt:i4>5</vt:i4>
      </vt:variant>
      <vt:variant>
        <vt:lpwstr/>
      </vt:variant>
      <vt:variant>
        <vt:lpwstr>_Toc239322085</vt:lpwstr>
      </vt:variant>
      <vt:variant>
        <vt:i4>1900601</vt:i4>
      </vt:variant>
      <vt:variant>
        <vt:i4>104</vt:i4>
      </vt:variant>
      <vt:variant>
        <vt:i4>0</vt:i4>
      </vt:variant>
      <vt:variant>
        <vt:i4>5</vt:i4>
      </vt:variant>
      <vt:variant>
        <vt:lpwstr/>
      </vt:variant>
      <vt:variant>
        <vt:lpwstr>_Toc239322084</vt:lpwstr>
      </vt:variant>
      <vt:variant>
        <vt:i4>1900601</vt:i4>
      </vt:variant>
      <vt:variant>
        <vt:i4>98</vt:i4>
      </vt:variant>
      <vt:variant>
        <vt:i4>0</vt:i4>
      </vt:variant>
      <vt:variant>
        <vt:i4>5</vt:i4>
      </vt:variant>
      <vt:variant>
        <vt:lpwstr/>
      </vt:variant>
      <vt:variant>
        <vt:lpwstr>_Toc239322083</vt:lpwstr>
      </vt:variant>
      <vt:variant>
        <vt:i4>1900601</vt:i4>
      </vt:variant>
      <vt:variant>
        <vt:i4>92</vt:i4>
      </vt:variant>
      <vt:variant>
        <vt:i4>0</vt:i4>
      </vt:variant>
      <vt:variant>
        <vt:i4>5</vt:i4>
      </vt:variant>
      <vt:variant>
        <vt:lpwstr/>
      </vt:variant>
      <vt:variant>
        <vt:lpwstr>_Toc239322082</vt:lpwstr>
      </vt:variant>
      <vt:variant>
        <vt:i4>1900601</vt:i4>
      </vt:variant>
      <vt:variant>
        <vt:i4>86</vt:i4>
      </vt:variant>
      <vt:variant>
        <vt:i4>0</vt:i4>
      </vt:variant>
      <vt:variant>
        <vt:i4>5</vt:i4>
      </vt:variant>
      <vt:variant>
        <vt:lpwstr/>
      </vt:variant>
      <vt:variant>
        <vt:lpwstr>_Toc239322081</vt:lpwstr>
      </vt:variant>
      <vt:variant>
        <vt:i4>1900601</vt:i4>
      </vt:variant>
      <vt:variant>
        <vt:i4>80</vt:i4>
      </vt:variant>
      <vt:variant>
        <vt:i4>0</vt:i4>
      </vt:variant>
      <vt:variant>
        <vt:i4>5</vt:i4>
      </vt:variant>
      <vt:variant>
        <vt:lpwstr/>
      </vt:variant>
      <vt:variant>
        <vt:lpwstr>_Toc239322080</vt:lpwstr>
      </vt:variant>
      <vt:variant>
        <vt:i4>1179705</vt:i4>
      </vt:variant>
      <vt:variant>
        <vt:i4>74</vt:i4>
      </vt:variant>
      <vt:variant>
        <vt:i4>0</vt:i4>
      </vt:variant>
      <vt:variant>
        <vt:i4>5</vt:i4>
      </vt:variant>
      <vt:variant>
        <vt:lpwstr/>
      </vt:variant>
      <vt:variant>
        <vt:lpwstr>_Toc239322079</vt:lpwstr>
      </vt:variant>
      <vt:variant>
        <vt:i4>1179705</vt:i4>
      </vt:variant>
      <vt:variant>
        <vt:i4>68</vt:i4>
      </vt:variant>
      <vt:variant>
        <vt:i4>0</vt:i4>
      </vt:variant>
      <vt:variant>
        <vt:i4>5</vt:i4>
      </vt:variant>
      <vt:variant>
        <vt:lpwstr/>
      </vt:variant>
      <vt:variant>
        <vt:lpwstr>_Toc239322078</vt:lpwstr>
      </vt:variant>
      <vt:variant>
        <vt:i4>1179705</vt:i4>
      </vt:variant>
      <vt:variant>
        <vt:i4>62</vt:i4>
      </vt:variant>
      <vt:variant>
        <vt:i4>0</vt:i4>
      </vt:variant>
      <vt:variant>
        <vt:i4>5</vt:i4>
      </vt:variant>
      <vt:variant>
        <vt:lpwstr/>
      </vt:variant>
      <vt:variant>
        <vt:lpwstr>_Toc239322077</vt:lpwstr>
      </vt:variant>
      <vt:variant>
        <vt:i4>1179705</vt:i4>
      </vt:variant>
      <vt:variant>
        <vt:i4>56</vt:i4>
      </vt:variant>
      <vt:variant>
        <vt:i4>0</vt:i4>
      </vt:variant>
      <vt:variant>
        <vt:i4>5</vt:i4>
      </vt:variant>
      <vt:variant>
        <vt:lpwstr/>
      </vt:variant>
      <vt:variant>
        <vt:lpwstr>_Toc239322076</vt:lpwstr>
      </vt:variant>
      <vt:variant>
        <vt:i4>1179705</vt:i4>
      </vt:variant>
      <vt:variant>
        <vt:i4>50</vt:i4>
      </vt:variant>
      <vt:variant>
        <vt:i4>0</vt:i4>
      </vt:variant>
      <vt:variant>
        <vt:i4>5</vt:i4>
      </vt:variant>
      <vt:variant>
        <vt:lpwstr/>
      </vt:variant>
      <vt:variant>
        <vt:lpwstr>_Toc239322075</vt:lpwstr>
      </vt:variant>
      <vt:variant>
        <vt:i4>1179705</vt:i4>
      </vt:variant>
      <vt:variant>
        <vt:i4>44</vt:i4>
      </vt:variant>
      <vt:variant>
        <vt:i4>0</vt:i4>
      </vt:variant>
      <vt:variant>
        <vt:i4>5</vt:i4>
      </vt:variant>
      <vt:variant>
        <vt:lpwstr/>
      </vt:variant>
      <vt:variant>
        <vt:lpwstr>_Toc239322074</vt:lpwstr>
      </vt:variant>
      <vt:variant>
        <vt:i4>1179705</vt:i4>
      </vt:variant>
      <vt:variant>
        <vt:i4>38</vt:i4>
      </vt:variant>
      <vt:variant>
        <vt:i4>0</vt:i4>
      </vt:variant>
      <vt:variant>
        <vt:i4>5</vt:i4>
      </vt:variant>
      <vt:variant>
        <vt:lpwstr/>
      </vt:variant>
      <vt:variant>
        <vt:lpwstr>_Toc239322073</vt:lpwstr>
      </vt:variant>
      <vt:variant>
        <vt:i4>1179705</vt:i4>
      </vt:variant>
      <vt:variant>
        <vt:i4>32</vt:i4>
      </vt:variant>
      <vt:variant>
        <vt:i4>0</vt:i4>
      </vt:variant>
      <vt:variant>
        <vt:i4>5</vt:i4>
      </vt:variant>
      <vt:variant>
        <vt:lpwstr/>
      </vt:variant>
      <vt:variant>
        <vt:lpwstr>_Toc239322072</vt:lpwstr>
      </vt:variant>
      <vt:variant>
        <vt:i4>1179705</vt:i4>
      </vt:variant>
      <vt:variant>
        <vt:i4>26</vt:i4>
      </vt:variant>
      <vt:variant>
        <vt:i4>0</vt:i4>
      </vt:variant>
      <vt:variant>
        <vt:i4>5</vt:i4>
      </vt:variant>
      <vt:variant>
        <vt:lpwstr/>
      </vt:variant>
      <vt:variant>
        <vt:lpwstr>_Toc239322071</vt:lpwstr>
      </vt:variant>
      <vt:variant>
        <vt:i4>6291548</vt:i4>
      </vt:variant>
      <vt:variant>
        <vt:i4>18</vt:i4>
      </vt:variant>
      <vt:variant>
        <vt:i4>0</vt:i4>
      </vt:variant>
      <vt:variant>
        <vt:i4>5</vt:i4>
      </vt:variant>
      <vt:variant>
        <vt:lpwstr>mailto:tga.copyright@tga.gov.au</vt:lpwstr>
      </vt:variant>
      <vt:variant>
        <vt:lpwstr/>
      </vt:variant>
      <vt:variant>
        <vt:i4>7995497</vt:i4>
      </vt:variant>
      <vt:variant>
        <vt:i4>12</vt:i4>
      </vt:variant>
      <vt:variant>
        <vt:i4>0</vt:i4>
      </vt:variant>
      <vt:variant>
        <vt:i4>5</vt:i4>
      </vt:variant>
      <vt:variant>
        <vt:lpwstr>https://www.tga.gov.au/australian-public-assessment-report-auspar-guidance</vt:lpwstr>
      </vt:variant>
      <vt:variant>
        <vt:lpwstr/>
      </vt:variant>
      <vt:variant>
        <vt:i4>3473445</vt:i4>
      </vt:variant>
      <vt:variant>
        <vt:i4>6</vt:i4>
      </vt:variant>
      <vt:variant>
        <vt:i4>0</vt:i4>
      </vt:variant>
      <vt:variant>
        <vt:i4>5</vt:i4>
      </vt:variant>
      <vt:variant>
        <vt:lpwstr>https://www.tga.gov.au/</vt:lpwstr>
      </vt:variant>
      <vt:variant>
        <vt:lpwstr/>
      </vt:variant>
      <vt:variant>
        <vt:i4>7733310</vt:i4>
      </vt:variant>
      <vt:variant>
        <vt:i4>42</vt:i4>
      </vt:variant>
      <vt:variant>
        <vt:i4>0</vt:i4>
      </vt:variant>
      <vt:variant>
        <vt:i4>5</vt:i4>
      </vt:variant>
      <vt:variant>
        <vt:lpwstr>https://doi.org/10.2147/PPA.S198953</vt:lpwstr>
      </vt:variant>
      <vt:variant>
        <vt:lpwstr/>
      </vt:variant>
      <vt:variant>
        <vt:i4>589831</vt:i4>
      </vt:variant>
      <vt:variant>
        <vt:i4>39</vt:i4>
      </vt:variant>
      <vt:variant>
        <vt:i4>0</vt:i4>
      </vt:variant>
      <vt:variant>
        <vt:i4>5</vt:i4>
      </vt:variant>
      <vt:variant>
        <vt:lpwstr>https://www.tga.gov.au/resources/auspar/auspar-omalizumab</vt:lpwstr>
      </vt:variant>
      <vt:variant>
        <vt:lpwstr/>
      </vt:variant>
      <vt:variant>
        <vt:i4>851993</vt:i4>
      </vt:variant>
      <vt:variant>
        <vt:i4>36</vt:i4>
      </vt:variant>
      <vt:variant>
        <vt:i4>0</vt:i4>
      </vt:variant>
      <vt:variant>
        <vt:i4>5</vt:i4>
      </vt:variant>
      <vt:variant>
        <vt:lpwstr>https://www.tga.gov.au/resources/auspar/auspar-dupilumab</vt:lpwstr>
      </vt:variant>
      <vt:variant>
        <vt:lpwstr/>
      </vt:variant>
      <vt:variant>
        <vt:i4>8257638</vt:i4>
      </vt:variant>
      <vt:variant>
        <vt:i4>33</vt:i4>
      </vt:variant>
      <vt:variant>
        <vt:i4>0</vt:i4>
      </vt:variant>
      <vt:variant>
        <vt:i4>5</vt:i4>
      </vt:variant>
      <vt:variant>
        <vt:lpwstr>https://www.tga.gov.au/resources/auspar/auspar-mepolizumab</vt:lpwstr>
      </vt:variant>
      <vt:variant>
        <vt:lpwstr/>
      </vt:variant>
      <vt:variant>
        <vt:i4>6946941</vt:i4>
      </vt:variant>
      <vt:variant>
        <vt:i4>30</vt:i4>
      </vt:variant>
      <vt:variant>
        <vt:i4>0</vt:i4>
      </vt:variant>
      <vt:variant>
        <vt:i4>5</vt:i4>
      </vt:variant>
      <vt:variant>
        <vt:lpwstr>https://www.tga.gov.au/resources/auspar/auspar-benralizumab</vt:lpwstr>
      </vt:variant>
      <vt:variant>
        <vt:lpwstr/>
      </vt:variant>
      <vt:variant>
        <vt:i4>5636170</vt:i4>
      </vt:variant>
      <vt:variant>
        <vt:i4>27</vt:i4>
      </vt:variant>
      <vt:variant>
        <vt:i4>0</vt:i4>
      </vt:variant>
      <vt:variant>
        <vt:i4>5</vt:i4>
      </vt:variant>
      <vt:variant>
        <vt:lpwstr>https://www.asthmahandbook.org.au/management/adults-and-adolescents/medication-management/treatment-levels-for-adults-and-adolescents</vt:lpwstr>
      </vt:variant>
      <vt:variant>
        <vt:lpwstr/>
      </vt:variant>
      <vt:variant>
        <vt:i4>7143470</vt:i4>
      </vt:variant>
      <vt:variant>
        <vt:i4>24</vt:i4>
      </vt:variant>
      <vt:variant>
        <vt:i4>0</vt:i4>
      </vt:variant>
      <vt:variant>
        <vt:i4>5</vt:i4>
      </vt:variant>
      <vt:variant>
        <vt:lpwstr>https://www.allergy.org.au/images/stories/pospapers/ar/ASCIA_HP_Non-Allergic_Rhinitis_Allergic_Rhinitis_Chronic_Rhinosinusitis_2025.pdf</vt:lpwstr>
      </vt:variant>
      <vt:variant>
        <vt:lpwstr/>
      </vt:variant>
      <vt:variant>
        <vt:i4>3735603</vt:i4>
      </vt:variant>
      <vt:variant>
        <vt:i4>21</vt:i4>
      </vt:variant>
      <vt:variant>
        <vt:i4>0</vt:i4>
      </vt:variant>
      <vt:variant>
        <vt:i4>5</vt:i4>
      </vt:variant>
      <vt:variant>
        <vt:lpwstr>https://doi.org/10.1016/j.jaip.2020.09.063</vt:lpwstr>
      </vt:variant>
      <vt:variant>
        <vt:lpwstr/>
      </vt:variant>
      <vt:variant>
        <vt:i4>2949173</vt:i4>
      </vt:variant>
      <vt:variant>
        <vt:i4>18</vt:i4>
      </vt:variant>
      <vt:variant>
        <vt:i4>0</vt:i4>
      </vt:variant>
      <vt:variant>
        <vt:i4>5</vt:i4>
      </vt:variant>
      <vt:variant>
        <vt:lpwstr>https://doi.org/10.1016/j.anai.2023.09.001</vt:lpwstr>
      </vt:variant>
      <vt:variant>
        <vt:lpwstr/>
      </vt:variant>
      <vt:variant>
        <vt:i4>983116</vt:i4>
      </vt:variant>
      <vt:variant>
        <vt:i4>15</vt:i4>
      </vt:variant>
      <vt:variant>
        <vt:i4>0</vt:i4>
      </vt:variant>
      <vt:variant>
        <vt:i4>5</vt:i4>
      </vt:variant>
      <vt:variant>
        <vt:lpwstr>https://doi.org/10.1080/03007995.2020.1815682</vt:lpwstr>
      </vt:variant>
      <vt:variant>
        <vt:lpwstr/>
      </vt:variant>
      <vt:variant>
        <vt:i4>1179715</vt:i4>
      </vt:variant>
      <vt:variant>
        <vt:i4>12</vt:i4>
      </vt:variant>
      <vt:variant>
        <vt:i4>0</vt:i4>
      </vt:variant>
      <vt:variant>
        <vt:i4>5</vt:i4>
      </vt:variant>
      <vt:variant>
        <vt:lpwstr>https://ginasthma.org/wp-content/uploads/2025/11/GINA-2025-Update-25_11_08-WMS.pdf</vt:lpwstr>
      </vt:variant>
      <vt:variant>
        <vt:lpwstr/>
      </vt:variant>
      <vt:variant>
        <vt:i4>4980740</vt:i4>
      </vt:variant>
      <vt:variant>
        <vt:i4>9</vt:i4>
      </vt:variant>
      <vt:variant>
        <vt:i4>0</vt:i4>
      </vt:variant>
      <vt:variant>
        <vt:i4>5</vt:i4>
      </vt:variant>
      <vt:variant>
        <vt:lpwstr>https://www.aihw.gov.au/reports/chronic-respiratory-conditions/asthma</vt:lpwstr>
      </vt:variant>
      <vt:variant>
        <vt:lpwstr/>
      </vt:variant>
      <vt:variant>
        <vt:i4>7012408</vt:i4>
      </vt:variant>
      <vt:variant>
        <vt:i4>6</vt:i4>
      </vt:variant>
      <vt:variant>
        <vt:i4>0</vt:i4>
      </vt:variant>
      <vt:variant>
        <vt:i4>5</vt:i4>
      </vt:variant>
      <vt:variant>
        <vt:lpwstr>https://www.abs.gov.au/statistics/health/health-conditions-and-risks/asthma/latest-release</vt:lpwstr>
      </vt:variant>
      <vt:variant>
        <vt:lpwstr/>
      </vt:variant>
      <vt:variant>
        <vt:i4>1835033</vt:i4>
      </vt:variant>
      <vt:variant>
        <vt:i4>3</vt:i4>
      </vt:variant>
      <vt:variant>
        <vt:i4>0</vt:i4>
      </vt:variant>
      <vt:variant>
        <vt:i4>5</vt:i4>
      </vt:variant>
      <vt:variant>
        <vt:lpwstr>https://allergyasthmanetwork.org/news/when-asthma-more-than-asthma-type-inflammation/</vt:lpwstr>
      </vt:variant>
      <vt:variant>
        <vt:lpwstr/>
      </vt:variant>
      <vt:variant>
        <vt:i4>6881312</vt:i4>
      </vt:variant>
      <vt:variant>
        <vt:i4>0</vt:i4>
      </vt:variant>
      <vt:variant>
        <vt:i4>0</vt:i4>
      </vt:variant>
      <vt:variant>
        <vt:i4>5</vt:i4>
      </vt:variant>
      <vt:variant>
        <vt:lpwstr>https://www.frontiersin.org/journals/physiology/articles/10.3389/fphys.2019.01514/full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Exdensur</dc:title>
  <dc:subject>Prescription medicines</dc:subject>
  <dc:creator>Therapeutic Goods Administration</dc:creator>
  <cp:keywords/>
  <dc:description/>
  <cp:lastModifiedBy>LACK, Janet</cp:lastModifiedBy>
  <cp:revision>3</cp:revision>
  <dcterms:created xsi:type="dcterms:W3CDTF">2026-10-08T04:58:00Z</dcterms:created>
  <dcterms:modified xsi:type="dcterms:W3CDTF">2026-10-08T04:59:00Z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2025-12-01T03:47:48Z</vt:lpwstr>
  </property>
  <property fmtid="{D5CDD505-2E9C-101B-9397-08002B2CF9AE}" pid="4" name="MSIP_Label_7cd3e8b9-ffed-43a8-b7f4-cc2fa0382d36_Method">
    <vt:lpwstr>Privileged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93f14edd-a9cd-485c-a7b7-a4a0dd485297</vt:lpwstr>
  </property>
  <property fmtid="{D5CDD505-2E9C-101B-9397-08002B2CF9AE}" pid="8" name="MSIP_Label_7cd3e8b9-ffed-43a8-b7f4-cc2fa0382d36_ContentBits">
    <vt:lpwstr>3</vt:lpwstr>
  </property>
  <property fmtid="{D5CDD505-2E9C-101B-9397-08002B2CF9AE}" pid="9" name="MSIP_Label_7cd3e8b9-ffed-43a8-b7f4-cc2fa0382d36_Tag">
    <vt:lpwstr>10, 0, 1, 1</vt:lpwstr>
  </property>
  <property fmtid="{D5CDD505-2E9C-101B-9397-08002B2CF9AE}" pid="10" name="ContentTypeId">
    <vt:lpwstr>0x010100A80F9BCA22A44543A836D48EB5D07BAB</vt:lpwstr>
  </property>
  <property fmtid="{D5CDD505-2E9C-101B-9397-08002B2CF9AE}" pid="11" name="docLang">
    <vt:lpwstr>en</vt:lpwstr>
  </property>
  <property fmtid="{D5CDD505-2E9C-101B-9397-08002B2CF9AE}" pid="12" name="ClassificationContentMarkingFooterShapeIds">
    <vt:lpwstr>14f87023,2fd5db02,5ca9df0d,8a8dce8,17e5f7a8</vt:lpwstr>
  </property>
  <property fmtid="{D5CDD505-2E9C-101B-9397-08002B2CF9AE}" pid="13" name="ClassificationContentMarkingFooterFontProps">
    <vt:lpwstr>#ff0000,10,Aptos</vt:lpwstr>
  </property>
  <property fmtid="{D5CDD505-2E9C-101B-9397-08002B2CF9AE}" pid="14" name="ClassificationContentMarkingFooterText">
    <vt:lpwstr>Critical &amp; Sensitive Information (CSI)</vt:lpwstr>
  </property>
</Properties>
</file>