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31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F02AEC" w:rsidRPr="00215D48" w14:paraId="08AE1D54" w14:textId="77777777" w:rsidTr="00346EC2">
        <w:trPr>
          <w:trHeight w:val="1558"/>
        </w:trPr>
        <w:tc>
          <w:tcPr>
            <w:tcW w:w="8720" w:type="dxa"/>
          </w:tcPr>
          <w:p w14:paraId="2538A211" w14:textId="3E7C2C62" w:rsidR="00F02AEC" w:rsidRPr="00215D48" w:rsidRDefault="00346EC2" w:rsidP="00532E25">
            <w:pPr>
              <w:pStyle w:val="Title"/>
            </w:pPr>
            <w:r w:rsidRPr="00346EC2">
              <w:t xml:space="preserve">Australian Public Assessment Report for </w:t>
            </w:r>
            <w:r w:rsidR="00874A46">
              <w:t>Zoladex 10.8 Implant</w:t>
            </w:r>
          </w:p>
        </w:tc>
      </w:tr>
      <w:tr w:rsidR="00F02AEC" w:rsidRPr="00215D48" w14:paraId="318A40A3" w14:textId="77777777" w:rsidTr="00346EC2">
        <w:trPr>
          <w:trHeight w:val="995"/>
        </w:trPr>
        <w:tc>
          <w:tcPr>
            <w:tcW w:w="8720" w:type="dxa"/>
          </w:tcPr>
          <w:p w14:paraId="1AA7C701" w14:textId="1EAB4E4C" w:rsidR="00F02AEC" w:rsidRPr="00215D48" w:rsidRDefault="00346EC2" w:rsidP="007452E8">
            <w:pPr>
              <w:pStyle w:val="Subtitle"/>
              <w:ind w:left="0"/>
            </w:pPr>
            <w:r w:rsidRPr="00346EC2">
              <w:t xml:space="preserve">Active ingredient: </w:t>
            </w:r>
            <w:r w:rsidR="00EC6916">
              <w:t>G</w:t>
            </w:r>
            <w:r w:rsidR="00874A46" w:rsidRPr="00874A46">
              <w:t>oserelin</w:t>
            </w:r>
          </w:p>
        </w:tc>
      </w:tr>
      <w:tr w:rsidR="00346EC2" w:rsidRPr="00215D48" w14:paraId="362CCAE4" w14:textId="77777777" w:rsidTr="007452E8">
        <w:trPr>
          <w:trHeight w:val="1916"/>
        </w:trPr>
        <w:tc>
          <w:tcPr>
            <w:tcW w:w="8720" w:type="dxa"/>
          </w:tcPr>
          <w:p w14:paraId="709C45C0" w14:textId="62E6626D" w:rsidR="00346EC2" w:rsidRPr="00215D48" w:rsidRDefault="00AC757F" w:rsidP="007452E8">
            <w:pPr>
              <w:pStyle w:val="Subtitle"/>
              <w:ind w:left="0"/>
            </w:pPr>
            <w:r>
              <w:t>Sponsor</w:t>
            </w:r>
            <w:r w:rsidR="00346EC2" w:rsidRPr="00346EC2">
              <w:t>:</w:t>
            </w:r>
            <w:r w:rsidR="00BD4A9B">
              <w:t xml:space="preserve"> </w:t>
            </w:r>
            <w:r w:rsidR="00874A46" w:rsidRPr="00874A46">
              <w:t>AstraZeneca Pty Ltd</w:t>
            </w:r>
          </w:p>
        </w:tc>
      </w:tr>
      <w:tr w:rsidR="00F02AEC" w:rsidRPr="00215D48" w14:paraId="37F2AA1F" w14:textId="77777777" w:rsidTr="007452E8">
        <w:tc>
          <w:tcPr>
            <w:tcW w:w="8720" w:type="dxa"/>
          </w:tcPr>
          <w:p w14:paraId="1FDE8DCD" w14:textId="10A1EAC6" w:rsidR="00F02AEC" w:rsidRPr="00215D48" w:rsidRDefault="00874A46" w:rsidP="007452E8">
            <w:pPr>
              <w:pStyle w:val="Date"/>
            </w:pPr>
            <w:r>
              <w:t>September</w:t>
            </w:r>
            <w:r w:rsidR="00F02AEC" w:rsidRPr="00215D48">
              <w:t xml:space="preserve"> </w:t>
            </w:r>
            <w:r>
              <w:t>2026</w:t>
            </w:r>
          </w:p>
        </w:tc>
      </w:tr>
    </w:tbl>
    <w:p w14:paraId="73752706" w14:textId="77777777" w:rsidR="00F02AEC" w:rsidRPr="00215D48" w:rsidRDefault="00F02AEC" w:rsidP="007452E8">
      <w:pPr>
        <w:pStyle w:val="ListBullet"/>
        <w:numPr>
          <w:ilvl w:val="0"/>
          <w:numId w:val="0"/>
        </w:numPr>
        <w:sectPr w:rsidR="00F02AEC" w:rsidRPr="00215D48" w:rsidSect="00CB0550">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pPr>
    </w:p>
    <w:p w14:paraId="2170A423" w14:textId="77777777" w:rsidR="00346EC2" w:rsidRPr="001F6CBA" w:rsidRDefault="00346EC2" w:rsidP="00346EC2">
      <w:pPr>
        <w:pStyle w:val="NonTOCHeading20"/>
      </w:pPr>
      <w:r w:rsidRPr="001F6CBA">
        <w:lastRenderedPageBreak/>
        <w:t>About the Therapeutic Goods Administration (TGA)</w:t>
      </w:r>
    </w:p>
    <w:p w14:paraId="79558AE9" w14:textId="038D0DA4" w:rsidR="00346EC2" w:rsidRPr="00391B0C" w:rsidRDefault="00346EC2" w:rsidP="0056766D">
      <w:pPr>
        <w:pStyle w:val="ListBullet"/>
      </w:pPr>
      <w:r w:rsidRPr="00391B0C">
        <w:t xml:space="preserve">The Therapeutic Goods Administration (TGA) is part of the Australian Government </w:t>
      </w:r>
      <w:r w:rsidRPr="00C22214">
        <w:t>Department of Health</w:t>
      </w:r>
      <w:r w:rsidR="0006693A">
        <w:t>, Disability</w:t>
      </w:r>
      <w:r w:rsidRPr="00C22214">
        <w:t xml:space="preserve"> and Ag</w:t>
      </w:r>
      <w:r w:rsidR="0006693A">
        <w:t>eing</w:t>
      </w:r>
      <w:r>
        <w:t xml:space="preserve"> </w:t>
      </w:r>
      <w:r w:rsidRPr="00391B0C">
        <w:t>and is responsible for regulating therapeutic goods, including medicines, medical devices, and biologicals.</w:t>
      </w:r>
    </w:p>
    <w:p w14:paraId="61BEFDB6" w14:textId="77777777" w:rsidR="00346EC2" w:rsidRPr="00391B0C" w:rsidRDefault="00346EC2" w:rsidP="00346EC2">
      <w:pPr>
        <w:pStyle w:val="ListBullet"/>
      </w:pPr>
      <w:r w:rsidRPr="00391B0C">
        <w:t xml:space="preserve">The TGA administers the </w:t>
      </w:r>
      <w:r w:rsidRPr="00822FCB">
        <w:rPr>
          <w:i/>
          <w:iCs/>
        </w:rPr>
        <w:t>Therapeutic Goods Act 1989</w:t>
      </w:r>
      <w:r w:rsidRPr="00391B0C">
        <w:t xml:space="preserve"> (the Act), applying a risk management approach designed to ensure therapeutic goods supplied in Australia meet acceptable standards of quality, safety, and efficacy.</w:t>
      </w:r>
    </w:p>
    <w:p w14:paraId="77180CB3" w14:textId="77777777" w:rsidR="00346EC2" w:rsidRPr="003C6D1F" w:rsidRDefault="00346EC2" w:rsidP="00346EC2">
      <w:pPr>
        <w:pStyle w:val="ListBullet"/>
      </w:pPr>
      <w:r w:rsidRPr="003C6D1F">
        <w:t xml:space="preserve">The work of the TGA is based on applying scientific and clinical expertise to decision-making, to ensure that the benefits to </w:t>
      </w:r>
      <w:r>
        <w:t>the Australian public</w:t>
      </w:r>
      <w:r w:rsidRPr="003C6D1F">
        <w:t xml:space="preserve"> outweigh any risks associated with the use of </w:t>
      </w:r>
      <w:r>
        <w:t>therapeutic goods</w:t>
      </w:r>
      <w:r w:rsidRPr="003C6D1F">
        <w:t>.</w:t>
      </w:r>
    </w:p>
    <w:p w14:paraId="70AC2A35" w14:textId="77777777" w:rsidR="00346EC2" w:rsidRPr="003C6D1F" w:rsidRDefault="00346EC2" w:rsidP="00346EC2">
      <w:pPr>
        <w:pStyle w:val="ListBullet"/>
      </w:pPr>
      <w:r w:rsidRPr="003C6D1F">
        <w:t xml:space="preserve">The TGA relies on the public, healthcare professionals and industry to report problems with </w:t>
      </w:r>
      <w:r>
        <w:t>therapeutic goods</w:t>
      </w:r>
      <w:r w:rsidRPr="003C6D1F">
        <w:t>.</w:t>
      </w:r>
      <w:r>
        <w:t xml:space="preserve"> The</w:t>
      </w:r>
      <w:r w:rsidRPr="003C6D1F">
        <w:t xml:space="preserve"> TGA investigates reports received to determine any necessary regulatory action.</w:t>
      </w:r>
    </w:p>
    <w:p w14:paraId="17DC24C6" w14:textId="1C976CB8" w:rsidR="00346EC2" w:rsidRDefault="00346EC2" w:rsidP="00346EC2">
      <w:pPr>
        <w:pStyle w:val="ListBullet"/>
      </w:pPr>
      <w:r w:rsidRPr="003C6D1F">
        <w:t xml:space="preserve">To report a problem with a </w:t>
      </w:r>
      <w:r>
        <w:t>therapeutic good</w:t>
      </w:r>
      <w:r w:rsidRPr="003C6D1F">
        <w:t xml:space="preserve">, please see the information on the </w:t>
      </w:r>
      <w:hyperlink r:id="rId18" w:history="1">
        <w:r w:rsidRPr="00A63C07">
          <w:rPr>
            <w:rStyle w:val="Hyperlink"/>
          </w:rPr>
          <w:t>TGA website</w:t>
        </w:r>
      </w:hyperlink>
      <w:r w:rsidRPr="003C6D1F">
        <w:t>.</w:t>
      </w:r>
    </w:p>
    <w:p w14:paraId="737B7A99" w14:textId="77777777" w:rsidR="00346EC2" w:rsidRDefault="00346EC2" w:rsidP="00346EC2">
      <w:pPr>
        <w:pStyle w:val="NonTOCHeading20"/>
      </w:pPr>
      <w:r>
        <w:t>About AusPARs</w:t>
      </w:r>
    </w:p>
    <w:p w14:paraId="631B2209" w14:textId="010FE2EE" w:rsidR="00346EC2" w:rsidRPr="003C6D1F" w:rsidRDefault="00346EC2" w:rsidP="00346EC2">
      <w:pPr>
        <w:pStyle w:val="ListBullet"/>
      </w:pPr>
      <w:r>
        <w:t>The</w:t>
      </w:r>
      <w:r w:rsidRPr="003C6D1F">
        <w:t xml:space="preserve"> Australian Public Assessment Report (AusPAR) provides information about the evaluation of a prescription medicine and the considerations that led the TGA to approve or not approve a prescription medicine submission.</w:t>
      </w:r>
      <w:r>
        <w:t xml:space="preserve"> Further information can be found in </w:t>
      </w:r>
      <w:hyperlink r:id="rId19" w:history="1">
        <w:r w:rsidRPr="005A2EB8">
          <w:rPr>
            <w:rStyle w:val="Hyperlink"/>
          </w:rPr>
          <w:t>Australian Public Assessment Report (AusPAR) guidance</w:t>
        </w:r>
      </w:hyperlink>
      <w:r>
        <w:t>.</w:t>
      </w:r>
    </w:p>
    <w:p w14:paraId="22F5A730" w14:textId="77777777" w:rsidR="00346EC2" w:rsidRPr="003C6D1F" w:rsidRDefault="00346EC2" w:rsidP="00346EC2">
      <w:pPr>
        <w:pStyle w:val="ListBullet"/>
      </w:pPr>
      <w:r w:rsidRPr="003C6D1F">
        <w:t>AusPARs are prepared and published by the TGA.</w:t>
      </w:r>
    </w:p>
    <w:p w14:paraId="451B8FD7" w14:textId="77777777" w:rsidR="00346EC2" w:rsidRPr="003C6D1F" w:rsidRDefault="00346EC2" w:rsidP="00346EC2">
      <w:pPr>
        <w:pStyle w:val="ListBullet"/>
      </w:pPr>
      <w:r w:rsidRPr="003C6D1F">
        <w:t>AusPAR</w:t>
      </w:r>
      <w:r>
        <w:t xml:space="preserve">s are </w:t>
      </w:r>
      <w:r w:rsidRPr="003C6D1F">
        <w:t>static document</w:t>
      </w:r>
      <w:r>
        <w:t xml:space="preserve">s that </w:t>
      </w:r>
      <w:r w:rsidRPr="003C6D1F">
        <w:t>provide information that relates to a submission at a particular point in time.</w:t>
      </w:r>
      <w:r>
        <w:t xml:space="preserve"> The publication of an AusPAR is an important part of the transparency of the TGA’s decision-making process.</w:t>
      </w:r>
    </w:p>
    <w:p w14:paraId="4D69F5CF" w14:textId="77777777" w:rsidR="00346EC2" w:rsidRPr="003C6D1F" w:rsidRDefault="00346EC2" w:rsidP="00346EC2">
      <w:pPr>
        <w:pStyle w:val="ListBullet"/>
      </w:pPr>
      <w:r w:rsidRPr="003C6D1F">
        <w:t xml:space="preserve">A new AusPAR </w:t>
      </w:r>
      <w:r>
        <w:t xml:space="preserve">may be provided </w:t>
      </w:r>
      <w:r w:rsidRPr="003C6D1F">
        <w:t>to reflect changes to indications or major variations to a prescription medicine subject to evaluation by the TGA.</w:t>
      </w:r>
    </w:p>
    <w:p w14:paraId="7067011F" w14:textId="510D5C5C" w:rsidR="00F02AEC" w:rsidRPr="00E1198B" w:rsidRDefault="00F02AEC" w:rsidP="00FE087C">
      <w:pPr>
        <w:pStyle w:val="LegalSubheading"/>
        <w:spacing w:before="3600"/>
      </w:pPr>
      <w:r w:rsidRPr="00BA0DFC">
        <w:t>Copyright</w:t>
      </w:r>
    </w:p>
    <w:p w14:paraId="170A8A5D" w14:textId="70D16D24" w:rsidR="00175CD8" w:rsidRPr="00346EC2" w:rsidRDefault="00F02AEC" w:rsidP="00346EC2">
      <w:pPr>
        <w:pStyle w:val="LegalCopy"/>
        <w:rPr>
          <w:rFonts w:cs="Arial"/>
        </w:rPr>
      </w:pPr>
      <w:r w:rsidRPr="00215D48">
        <w:rPr>
          <w:rFonts w:cs="Arial"/>
        </w:rPr>
        <w:t>© Commonwealth of Australia 20</w:t>
      </w:r>
      <w:r>
        <w:rPr>
          <w:rFonts w:cs="Arial"/>
        </w:rPr>
        <w:t>2</w:t>
      </w:r>
      <w:r w:rsidR="0009023D">
        <w:rPr>
          <w:rFonts w:cs="Arial"/>
        </w:rPr>
        <w:t>6</w:t>
      </w:r>
      <w:r w:rsidRPr="00215D48">
        <w:rPr>
          <w:rFonts w:cs="Arial"/>
        </w:rPr>
        <w:br/>
        <w:t xml:space="preserve">This work is copyright. You may reproduce the whole or part of this work in unaltered form for your own personal use or, if you are part of an organisation, for internal use within your organisation, but only if you or your organisation do not use the reproduction for any commercial purpose and retain this copyright notice and all disclaimer notices as part of that reproduction. Apart from rights to use as permitted by the </w:t>
      </w:r>
      <w:r w:rsidRPr="00215D48">
        <w:rPr>
          <w:rFonts w:cs="Arial"/>
          <w:i/>
        </w:rPr>
        <w:t>Copyright Act 1968</w:t>
      </w:r>
      <w:r w:rsidRPr="00215D48">
        <w:rPr>
          <w:rFonts w:cs="Arial"/>
        </w:rPr>
        <w:t xml:space="preserve"> or allowed by this copyright notice, all other rights are reserved and you are not allowed to reproduce the whole or any part of this work in any way (electronic or otherwise) without first being given specific written permission from the Commonwealth to do so. Requests and inquiries concerning reproduction and rights are to be sent to the TGA Copyright Officer, Therapeutic Goods Administration, PO Box 100, Woden ACT 2606 or emailed to &lt;</w:t>
      </w:r>
      <w:hyperlink r:id="rId20" w:history="1">
        <w:r w:rsidRPr="00215D48">
          <w:rPr>
            <w:rStyle w:val="Hyperlink"/>
            <w:rFonts w:cs="Arial"/>
          </w:rPr>
          <w:t>tga.copyright@tga.gov.au</w:t>
        </w:r>
      </w:hyperlink>
      <w:r w:rsidRPr="00215D48">
        <w:rPr>
          <w:rFonts w:cs="Arial"/>
        </w:rPr>
        <w:t>&gt;.</w:t>
      </w:r>
    </w:p>
    <w:sdt>
      <w:sdtPr>
        <w:rPr>
          <w:rFonts w:ascii="Cambria" w:eastAsiaTheme="minorHAnsi" w:hAnsi="Cambria" w:cstheme="minorBidi"/>
          <w:b w:val="0"/>
          <w:color w:val="auto"/>
          <w:sz w:val="22"/>
          <w:szCs w:val="22"/>
        </w:rPr>
        <w:id w:val="21514769"/>
        <w:docPartObj>
          <w:docPartGallery w:val="Table of Contents"/>
          <w:docPartUnique/>
        </w:docPartObj>
      </w:sdtPr>
      <w:sdtEndPr>
        <w:rPr>
          <w:szCs w:val="20"/>
        </w:rPr>
      </w:sdtEndPr>
      <w:sdtContent>
        <w:p w14:paraId="0A6ADA2B" w14:textId="77777777" w:rsidR="00F02AEC" w:rsidRPr="00215D48" w:rsidRDefault="00F02AEC" w:rsidP="007452E8">
          <w:pPr>
            <w:pStyle w:val="NonTOCheading2"/>
          </w:pPr>
          <w:r w:rsidRPr="00215D48">
            <w:t>Contents</w:t>
          </w:r>
        </w:p>
        <w:p w14:paraId="65CA3BCB" w14:textId="7DECC225" w:rsidR="00A42632" w:rsidRDefault="00F02AEC">
          <w:pPr>
            <w:pStyle w:val="TOC1"/>
            <w:rPr>
              <w:rFonts w:asciiTheme="minorHAnsi" w:eastAsiaTheme="minorEastAsia" w:hAnsiTheme="minorHAnsi" w:cstheme="minorBidi"/>
              <w:b w:val="0"/>
              <w:noProof/>
              <w:color w:val="auto"/>
              <w:kern w:val="2"/>
              <w:sz w:val="24"/>
              <w:szCs w:val="24"/>
              <w:lang w:eastAsia="en-AU"/>
              <w14:ligatures w14:val="standardContextual"/>
            </w:rPr>
          </w:pPr>
          <w:r w:rsidRPr="00215D48">
            <w:fldChar w:fldCharType="begin"/>
          </w:r>
          <w:r w:rsidRPr="00215D48">
            <w:instrText xml:space="preserve"> TOC \h \z \u \t "Heading 2,1,Heading 3,2,Heading 4,3" </w:instrText>
          </w:r>
          <w:r w:rsidRPr="00215D48">
            <w:fldChar w:fldCharType="separate"/>
          </w:r>
          <w:hyperlink w:anchor="_Toc241498798" w:history="1">
            <w:r w:rsidR="00A42632" w:rsidRPr="00AE3891">
              <w:rPr>
                <w:rStyle w:val="Hyperlink"/>
                <w:noProof/>
              </w:rPr>
              <w:t>List of abbreviations</w:t>
            </w:r>
            <w:r w:rsidR="00A42632">
              <w:rPr>
                <w:noProof/>
                <w:webHidden/>
              </w:rPr>
              <w:tab/>
            </w:r>
            <w:r w:rsidR="00A42632">
              <w:rPr>
                <w:noProof/>
                <w:webHidden/>
              </w:rPr>
              <w:fldChar w:fldCharType="begin"/>
            </w:r>
            <w:r w:rsidR="00A42632">
              <w:rPr>
                <w:noProof/>
                <w:webHidden/>
              </w:rPr>
              <w:instrText xml:space="preserve"> PAGEREF _Toc241498798 \h </w:instrText>
            </w:r>
            <w:r w:rsidR="00A42632">
              <w:rPr>
                <w:noProof/>
                <w:webHidden/>
              </w:rPr>
            </w:r>
            <w:r w:rsidR="00A42632">
              <w:rPr>
                <w:noProof/>
                <w:webHidden/>
              </w:rPr>
              <w:fldChar w:fldCharType="separate"/>
            </w:r>
            <w:r w:rsidR="00A42632">
              <w:rPr>
                <w:noProof/>
                <w:webHidden/>
              </w:rPr>
              <w:t>4</w:t>
            </w:r>
            <w:r w:rsidR="00A42632">
              <w:rPr>
                <w:noProof/>
                <w:webHidden/>
              </w:rPr>
              <w:fldChar w:fldCharType="end"/>
            </w:r>
          </w:hyperlink>
        </w:p>
        <w:p w14:paraId="1A64C1DA" w14:textId="1A62F41A" w:rsidR="00A42632" w:rsidRDefault="00A42632">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498799" w:history="1">
            <w:r w:rsidRPr="00AE3891">
              <w:rPr>
                <w:rStyle w:val="Hyperlink"/>
                <w:noProof/>
              </w:rPr>
              <w:t>Product submission</w:t>
            </w:r>
            <w:r>
              <w:rPr>
                <w:noProof/>
                <w:webHidden/>
              </w:rPr>
              <w:tab/>
            </w:r>
            <w:r>
              <w:rPr>
                <w:noProof/>
                <w:webHidden/>
              </w:rPr>
              <w:fldChar w:fldCharType="begin"/>
            </w:r>
            <w:r>
              <w:rPr>
                <w:noProof/>
                <w:webHidden/>
              </w:rPr>
              <w:instrText xml:space="preserve"> PAGEREF _Toc241498799 \h </w:instrText>
            </w:r>
            <w:r>
              <w:rPr>
                <w:noProof/>
                <w:webHidden/>
              </w:rPr>
            </w:r>
            <w:r>
              <w:rPr>
                <w:noProof/>
                <w:webHidden/>
              </w:rPr>
              <w:fldChar w:fldCharType="separate"/>
            </w:r>
            <w:r>
              <w:rPr>
                <w:noProof/>
                <w:webHidden/>
              </w:rPr>
              <w:t>5</w:t>
            </w:r>
            <w:r>
              <w:rPr>
                <w:noProof/>
                <w:webHidden/>
              </w:rPr>
              <w:fldChar w:fldCharType="end"/>
            </w:r>
          </w:hyperlink>
        </w:p>
        <w:p w14:paraId="266D84BD" w14:textId="3982F110" w:rsidR="00A42632" w:rsidRDefault="00A42632">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98800" w:history="1">
            <w:r w:rsidRPr="00AE3891">
              <w:rPr>
                <w:rStyle w:val="Hyperlink"/>
                <w:noProof/>
                <w:lang w:eastAsia="en-AU"/>
              </w:rPr>
              <w:t>Submission details</w:t>
            </w:r>
            <w:r>
              <w:rPr>
                <w:noProof/>
                <w:webHidden/>
              </w:rPr>
              <w:tab/>
            </w:r>
            <w:r>
              <w:rPr>
                <w:noProof/>
                <w:webHidden/>
              </w:rPr>
              <w:fldChar w:fldCharType="begin"/>
            </w:r>
            <w:r>
              <w:rPr>
                <w:noProof/>
                <w:webHidden/>
              </w:rPr>
              <w:instrText xml:space="preserve"> PAGEREF _Toc241498800 \h </w:instrText>
            </w:r>
            <w:r>
              <w:rPr>
                <w:noProof/>
                <w:webHidden/>
              </w:rPr>
            </w:r>
            <w:r>
              <w:rPr>
                <w:noProof/>
                <w:webHidden/>
              </w:rPr>
              <w:fldChar w:fldCharType="separate"/>
            </w:r>
            <w:r>
              <w:rPr>
                <w:noProof/>
                <w:webHidden/>
              </w:rPr>
              <w:t>5</w:t>
            </w:r>
            <w:r>
              <w:rPr>
                <w:noProof/>
                <w:webHidden/>
              </w:rPr>
              <w:fldChar w:fldCharType="end"/>
            </w:r>
          </w:hyperlink>
        </w:p>
        <w:p w14:paraId="528A1782" w14:textId="524ADC6E" w:rsidR="00A42632" w:rsidRDefault="00A42632">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98801" w:history="1">
            <w:r w:rsidRPr="00AE3891">
              <w:rPr>
                <w:rStyle w:val="Hyperlink"/>
                <w:noProof/>
              </w:rPr>
              <w:t>Product background</w:t>
            </w:r>
            <w:r>
              <w:rPr>
                <w:noProof/>
                <w:webHidden/>
              </w:rPr>
              <w:tab/>
            </w:r>
            <w:r>
              <w:rPr>
                <w:noProof/>
                <w:webHidden/>
              </w:rPr>
              <w:fldChar w:fldCharType="begin"/>
            </w:r>
            <w:r>
              <w:rPr>
                <w:noProof/>
                <w:webHidden/>
              </w:rPr>
              <w:instrText xml:space="preserve"> PAGEREF _Toc241498801 \h </w:instrText>
            </w:r>
            <w:r>
              <w:rPr>
                <w:noProof/>
                <w:webHidden/>
              </w:rPr>
            </w:r>
            <w:r>
              <w:rPr>
                <w:noProof/>
                <w:webHidden/>
              </w:rPr>
              <w:fldChar w:fldCharType="separate"/>
            </w:r>
            <w:r>
              <w:rPr>
                <w:noProof/>
                <w:webHidden/>
              </w:rPr>
              <w:t>6</w:t>
            </w:r>
            <w:r>
              <w:rPr>
                <w:noProof/>
                <w:webHidden/>
              </w:rPr>
              <w:fldChar w:fldCharType="end"/>
            </w:r>
          </w:hyperlink>
        </w:p>
        <w:p w14:paraId="16B4AFB2" w14:textId="564D9401" w:rsidR="00A42632" w:rsidRDefault="00A42632">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98802" w:history="1">
            <w:r w:rsidRPr="00AE3891">
              <w:rPr>
                <w:rStyle w:val="Hyperlink"/>
                <w:noProof/>
              </w:rPr>
              <w:t>Condition and current treatment options</w:t>
            </w:r>
            <w:r>
              <w:rPr>
                <w:noProof/>
                <w:webHidden/>
              </w:rPr>
              <w:tab/>
            </w:r>
            <w:r>
              <w:rPr>
                <w:noProof/>
                <w:webHidden/>
              </w:rPr>
              <w:fldChar w:fldCharType="begin"/>
            </w:r>
            <w:r>
              <w:rPr>
                <w:noProof/>
                <w:webHidden/>
              </w:rPr>
              <w:instrText xml:space="preserve"> PAGEREF _Toc241498802 \h </w:instrText>
            </w:r>
            <w:r>
              <w:rPr>
                <w:noProof/>
                <w:webHidden/>
              </w:rPr>
            </w:r>
            <w:r>
              <w:rPr>
                <w:noProof/>
                <w:webHidden/>
              </w:rPr>
              <w:fldChar w:fldCharType="separate"/>
            </w:r>
            <w:r>
              <w:rPr>
                <w:noProof/>
                <w:webHidden/>
              </w:rPr>
              <w:t>6</w:t>
            </w:r>
            <w:r>
              <w:rPr>
                <w:noProof/>
                <w:webHidden/>
              </w:rPr>
              <w:fldChar w:fldCharType="end"/>
            </w:r>
          </w:hyperlink>
        </w:p>
        <w:p w14:paraId="2CC4EE7F" w14:textId="527F0A9D" w:rsidR="00A42632" w:rsidRDefault="00A42632">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98803" w:history="1">
            <w:r w:rsidRPr="00AE3891">
              <w:rPr>
                <w:rStyle w:val="Hyperlink"/>
                <w:noProof/>
              </w:rPr>
              <w:t>Clinical rationale</w:t>
            </w:r>
            <w:r>
              <w:rPr>
                <w:noProof/>
                <w:webHidden/>
              </w:rPr>
              <w:tab/>
            </w:r>
            <w:r>
              <w:rPr>
                <w:noProof/>
                <w:webHidden/>
              </w:rPr>
              <w:fldChar w:fldCharType="begin"/>
            </w:r>
            <w:r>
              <w:rPr>
                <w:noProof/>
                <w:webHidden/>
              </w:rPr>
              <w:instrText xml:space="preserve"> PAGEREF _Toc241498803 \h </w:instrText>
            </w:r>
            <w:r>
              <w:rPr>
                <w:noProof/>
                <w:webHidden/>
              </w:rPr>
            </w:r>
            <w:r>
              <w:rPr>
                <w:noProof/>
                <w:webHidden/>
              </w:rPr>
              <w:fldChar w:fldCharType="separate"/>
            </w:r>
            <w:r>
              <w:rPr>
                <w:noProof/>
                <w:webHidden/>
              </w:rPr>
              <w:t>7</w:t>
            </w:r>
            <w:r>
              <w:rPr>
                <w:noProof/>
                <w:webHidden/>
              </w:rPr>
              <w:fldChar w:fldCharType="end"/>
            </w:r>
          </w:hyperlink>
        </w:p>
        <w:p w14:paraId="19FE45C5" w14:textId="640B19F1" w:rsidR="00A42632" w:rsidRDefault="00A42632">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98804" w:history="1">
            <w:r w:rsidRPr="00AE3891">
              <w:rPr>
                <w:rStyle w:val="Hyperlink"/>
                <w:noProof/>
              </w:rPr>
              <w:t>Regulatory status</w:t>
            </w:r>
            <w:r>
              <w:rPr>
                <w:noProof/>
                <w:webHidden/>
              </w:rPr>
              <w:tab/>
            </w:r>
            <w:r>
              <w:rPr>
                <w:noProof/>
                <w:webHidden/>
              </w:rPr>
              <w:fldChar w:fldCharType="begin"/>
            </w:r>
            <w:r>
              <w:rPr>
                <w:noProof/>
                <w:webHidden/>
              </w:rPr>
              <w:instrText xml:space="preserve"> PAGEREF _Toc241498804 \h </w:instrText>
            </w:r>
            <w:r>
              <w:rPr>
                <w:noProof/>
                <w:webHidden/>
              </w:rPr>
            </w:r>
            <w:r>
              <w:rPr>
                <w:noProof/>
                <w:webHidden/>
              </w:rPr>
              <w:fldChar w:fldCharType="separate"/>
            </w:r>
            <w:r>
              <w:rPr>
                <w:noProof/>
                <w:webHidden/>
              </w:rPr>
              <w:t>7</w:t>
            </w:r>
            <w:r>
              <w:rPr>
                <w:noProof/>
                <w:webHidden/>
              </w:rPr>
              <w:fldChar w:fldCharType="end"/>
            </w:r>
          </w:hyperlink>
        </w:p>
        <w:p w14:paraId="4AC762EB" w14:textId="281C8E96" w:rsidR="00A42632" w:rsidRDefault="00A42632">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98805" w:history="1">
            <w:r w:rsidRPr="00AE3891">
              <w:rPr>
                <w:rStyle w:val="Hyperlink"/>
                <w:noProof/>
              </w:rPr>
              <w:t>Australian regulatory status</w:t>
            </w:r>
            <w:r>
              <w:rPr>
                <w:noProof/>
                <w:webHidden/>
              </w:rPr>
              <w:tab/>
            </w:r>
            <w:r>
              <w:rPr>
                <w:noProof/>
                <w:webHidden/>
              </w:rPr>
              <w:fldChar w:fldCharType="begin"/>
            </w:r>
            <w:r>
              <w:rPr>
                <w:noProof/>
                <w:webHidden/>
              </w:rPr>
              <w:instrText xml:space="preserve"> PAGEREF _Toc241498805 \h </w:instrText>
            </w:r>
            <w:r>
              <w:rPr>
                <w:noProof/>
                <w:webHidden/>
              </w:rPr>
            </w:r>
            <w:r>
              <w:rPr>
                <w:noProof/>
                <w:webHidden/>
              </w:rPr>
              <w:fldChar w:fldCharType="separate"/>
            </w:r>
            <w:r>
              <w:rPr>
                <w:noProof/>
                <w:webHidden/>
              </w:rPr>
              <w:t>7</w:t>
            </w:r>
            <w:r>
              <w:rPr>
                <w:noProof/>
                <w:webHidden/>
              </w:rPr>
              <w:fldChar w:fldCharType="end"/>
            </w:r>
          </w:hyperlink>
        </w:p>
        <w:p w14:paraId="5E2AAEBB" w14:textId="3625048A" w:rsidR="00A42632" w:rsidRDefault="00A42632">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98806" w:history="1">
            <w:r w:rsidRPr="00AE3891">
              <w:rPr>
                <w:rStyle w:val="Hyperlink"/>
                <w:noProof/>
              </w:rPr>
              <w:t>International regulatory status</w:t>
            </w:r>
            <w:r>
              <w:rPr>
                <w:noProof/>
                <w:webHidden/>
              </w:rPr>
              <w:tab/>
            </w:r>
            <w:r>
              <w:rPr>
                <w:noProof/>
                <w:webHidden/>
              </w:rPr>
              <w:fldChar w:fldCharType="begin"/>
            </w:r>
            <w:r>
              <w:rPr>
                <w:noProof/>
                <w:webHidden/>
              </w:rPr>
              <w:instrText xml:space="preserve"> PAGEREF _Toc241498806 \h </w:instrText>
            </w:r>
            <w:r>
              <w:rPr>
                <w:noProof/>
                <w:webHidden/>
              </w:rPr>
            </w:r>
            <w:r>
              <w:rPr>
                <w:noProof/>
                <w:webHidden/>
              </w:rPr>
              <w:fldChar w:fldCharType="separate"/>
            </w:r>
            <w:r>
              <w:rPr>
                <w:noProof/>
                <w:webHidden/>
              </w:rPr>
              <w:t>8</w:t>
            </w:r>
            <w:r>
              <w:rPr>
                <w:noProof/>
                <w:webHidden/>
              </w:rPr>
              <w:fldChar w:fldCharType="end"/>
            </w:r>
          </w:hyperlink>
        </w:p>
        <w:p w14:paraId="267E2236" w14:textId="446B45C0" w:rsidR="00A42632" w:rsidRDefault="00A42632">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498807" w:history="1">
            <w:r w:rsidRPr="00AE3891">
              <w:rPr>
                <w:rStyle w:val="Hyperlink"/>
                <w:noProof/>
              </w:rPr>
              <w:t>Registration timeline</w:t>
            </w:r>
            <w:r>
              <w:rPr>
                <w:noProof/>
                <w:webHidden/>
              </w:rPr>
              <w:tab/>
            </w:r>
            <w:r>
              <w:rPr>
                <w:noProof/>
                <w:webHidden/>
              </w:rPr>
              <w:fldChar w:fldCharType="begin"/>
            </w:r>
            <w:r>
              <w:rPr>
                <w:noProof/>
                <w:webHidden/>
              </w:rPr>
              <w:instrText xml:space="preserve"> PAGEREF _Toc241498807 \h </w:instrText>
            </w:r>
            <w:r>
              <w:rPr>
                <w:noProof/>
                <w:webHidden/>
              </w:rPr>
            </w:r>
            <w:r>
              <w:rPr>
                <w:noProof/>
                <w:webHidden/>
              </w:rPr>
              <w:fldChar w:fldCharType="separate"/>
            </w:r>
            <w:r>
              <w:rPr>
                <w:noProof/>
                <w:webHidden/>
              </w:rPr>
              <w:t>9</w:t>
            </w:r>
            <w:r>
              <w:rPr>
                <w:noProof/>
                <w:webHidden/>
              </w:rPr>
              <w:fldChar w:fldCharType="end"/>
            </w:r>
          </w:hyperlink>
        </w:p>
        <w:p w14:paraId="4FF34922" w14:textId="095A414F" w:rsidR="00A42632" w:rsidRDefault="00A42632">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498808" w:history="1">
            <w:r w:rsidRPr="00AE3891">
              <w:rPr>
                <w:rStyle w:val="Hyperlink"/>
                <w:noProof/>
              </w:rPr>
              <w:t>Assessment overview</w:t>
            </w:r>
            <w:r>
              <w:rPr>
                <w:noProof/>
                <w:webHidden/>
              </w:rPr>
              <w:tab/>
            </w:r>
            <w:r>
              <w:rPr>
                <w:noProof/>
                <w:webHidden/>
              </w:rPr>
              <w:fldChar w:fldCharType="begin"/>
            </w:r>
            <w:r>
              <w:rPr>
                <w:noProof/>
                <w:webHidden/>
              </w:rPr>
              <w:instrText xml:space="preserve"> PAGEREF _Toc241498808 \h </w:instrText>
            </w:r>
            <w:r>
              <w:rPr>
                <w:noProof/>
                <w:webHidden/>
              </w:rPr>
            </w:r>
            <w:r>
              <w:rPr>
                <w:noProof/>
                <w:webHidden/>
              </w:rPr>
              <w:fldChar w:fldCharType="separate"/>
            </w:r>
            <w:r>
              <w:rPr>
                <w:noProof/>
                <w:webHidden/>
              </w:rPr>
              <w:t>10</w:t>
            </w:r>
            <w:r>
              <w:rPr>
                <w:noProof/>
                <w:webHidden/>
              </w:rPr>
              <w:fldChar w:fldCharType="end"/>
            </w:r>
          </w:hyperlink>
        </w:p>
        <w:p w14:paraId="43497D2F" w14:textId="1384164B" w:rsidR="00A42632" w:rsidRDefault="00A42632">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98809" w:history="1">
            <w:r w:rsidRPr="00AE3891">
              <w:rPr>
                <w:rStyle w:val="Hyperlink"/>
                <w:noProof/>
              </w:rPr>
              <w:t>Quality evaluation summary</w:t>
            </w:r>
            <w:r>
              <w:rPr>
                <w:noProof/>
                <w:webHidden/>
              </w:rPr>
              <w:tab/>
            </w:r>
            <w:r>
              <w:rPr>
                <w:noProof/>
                <w:webHidden/>
              </w:rPr>
              <w:fldChar w:fldCharType="begin"/>
            </w:r>
            <w:r>
              <w:rPr>
                <w:noProof/>
                <w:webHidden/>
              </w:rPr>
              <w:instrText xml:space="preserve"> PAGEREF _Toc241498809 \h </w:instrText>
            </w:r>
            <w:r>
              <w:rPr>
                <w:noProof/>
                <w:webHidden/>
              </w:rPr>
            </w:r>
            <w:r>
              <w:rPr>
                <w:noProof/>
                <w:webHidden/>
              </w:rPr>
              <w:fldChar w:fldCharType="separate"/>
            </w:r>
            <w:r>
              <w:rPr>
                <w:noProof/>
                <w:webHidden/>
              </w:rPr>
              <w:t>10</w:t>
            </w:r>
            <w:r>
              <w:rPr>
                <w:noProof/>
                <w:webHidden/>
              </w:rPr>
              <w:fldChar w:fldCharType="end"/>
            </w:r>
          </w:hyperlink>
        </w:p>
        <w:p w14:paraId="75545A20" w14:textId="44312111" w:rsidR="00A42632" w:rsidRDefault="00A42632">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98810" w:history="1">
            <w:r w:rsidRPr="00AE3891">
              <w:rPr>
                <w:rStyle w:val="Hyperlink"/>
                <w:noProof/>
              </w:rPr>
              <w:t>Nonclinical evaluation summary</w:t>
            </w:r>
            <w:r>
              <w:rPr>
                <w:noProof/>
                <w:webHidden/>
              </w:rPr>
              <w:tab/>
            </w:r>
            <w:r>
              <w:rPr>
                <w:noProof/>
                <w:webHidden/>
              </w:rPr>
              <w:fldChar w:fldCharType="begin"/>
            </w:r>
            <w:r>
              <w:rPr>
                <w:noProof/>
                <w:webHidden/>
              </w:rPr>
              <w:instrText xml:space="preserve"> PAGEREF _Toc241498810 \h </w:instrText>
            </w:r>
            <w:r>
              <w:rPr>
                <w:noProof/>
                <w:webHidden/>
              </w:rPr>
            </w:r>
            <w:r>
              <w:rPr>
                <w:noProof/>
                <w:webHidden/>
              </w:rPr>
              <w:fldChar w:fldCharType="separate"/>
            </w:r>
            <w:r>
              <w:rPr>
                <w:noProof/>
                <w:webHidden/>
              </w:rPr>
              <w:t>10</w:t>
            </w:r>
            <w:r>
              <w:rPr>
                <w:noProof/>
                <w:webHidden/>
              </w:rPr>
              <w:fldChar w:fldCharType="end"/>
            </w:r>
          </w:hyperlink>
        </w:p>
        <w:p w14:paraId="4012669A" w14:textId="25357F19" w:rsidR="00A42632" w:rsidRDefault="00A42632">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98811" w:history="1">
            <w:r w:rsidRPr="00AE3891">
              <w:rPr>
                <w:rStyle w:val="Hyperlink"/>
                <w:noProof/>
              </w:rPr>
              <w:t>Clinical evaluation summary</w:t>
            </w:r>
            <w:r>
              <w:rPr>
                <w:noProof/>
                <w:webHidden/>
              </w:rPr>
              <w:tab/>
            </w:r>
            <w:r>
              <w:rPr>
                <w:noProof/>
                <w:webHidden/>
              </w:rPr>
              <w:fldChar w:fldCharType="begin"/>
            </w:r>
            <w:r>
              <w:rPr>
                <w:noProof/>
                <w:webHidden/>
              </w:rPr>
              <w:instrText xml:space="preserve"> PAGEREF _Toc241498811 \h </w:instrText>
            </w:r>
            <w:r>
              <w:rPr>
                <w:noProof/>
                <w:webHidden/>
              </w:rPr>
            </w:r>
            <w:r>
              <w:rPr>
                <w:noProof/>
                <w:webHidden/>
              </w:rPr>
              <w:fldChar w:fldCharType="separate"/>
            </w:r>
            <w:r>
              <w:rPr>
                <w:noProof/>
                <w:webHidden/>
              </w:rPr>
              <w:t>10</w:t>
            </w:r>
            <w:r>
              <w:rPr>
                <w:noProof/>
                <w:webHidden/>
              </w:rPr>
              <w:fldChar w:fldCharType="end"/>
            </w:r>
          </w:hyperlink>
        </w:p>
        <w:p w14:paraId="1CF6E7DB" w14:textId="58161D42" w:rsidR="00A42632" w:rsidRDefault="00A42632">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98812" w:history="1">
            <w:r w:rsidRPr="00AE3891">
              <w:rPr>
                <w:rStyle w:val="Hyperlink"/>
                <w:noProof/>
              </w:rPr>
              <w:t>Summary of clinical studies</w:t>
            </w:r>
            <w:r>
              <w:rPr>
                <w:noProof/>
                <w:webHidden/>
              </w:rPr>
              <w:tab/>
            </w:r>
            <w:r>
              <w:rPr>
                <w:noProof/>
                <w:webHidden/>
              </w:rPr>
              <w:fldChar w:fldCharType="begin"/>
            </w:r>
            <w:r>
              <w:rPr>
                <w:noProof/>
                <w:webHidden/>
              </w:rPr>
              <w:instrText xml:space="preserve"> PAGEREF _Toc241498812 \h </w:instrText>
            </w:r>
            <w:r>
              <w:rPr>
                <w:noProof/>
                <w:webHidden/>
              </w:rPr>
            </w:r>
            <w:r>
              <w:rPr>
                <w:noProof/>
                <w:webHidden/>
              </w:rPr>
              <w:fldChar w:fldCharType="separate"/>
            </w:r>
            <w:r>
              <w:rPr>
                <w:noProof/>
                <w:webHidden/>
              </w:rPr>
              <w:t>10</w:t>
            </w:r>
            <w:r>
              <w:rPr>
                <w:noProof/>
                <w:webHidden/>
              </w:rPr>
              <w:fldChar w:fldCharType="end"/>
            </w:r>
          </w:hyperlink>
        </w:p>
        <w:p w14:paraId="47298218" w14:textId="736204AA" w:rsidR="00A42632" w:rsidRDefault="00A42632">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98813" w:history="1">
            <w:r w:rsidRPr="00AE3891">
              <w:rPr>
                <w:rStyle w:val="Hyperlink"/>
                <w:noProof/>
              </w:rPr>
              <w:t>Pharmacology</w:t>
            </w:r>
            <w:r>
              <w:rPr>
                <w:noProof/>
                <w:webHidden/>
              </w:rPr>
              <w:tab/>
            </w:r>
            <w:r>
              <w:rPr>
                <w:noProof/>
                <w:webHidden/>
              </w:rPr>
              <w:fldChar w:fldCharType="begin"/>
            </w:r>
            <w:r>
              <w:rPr>
                <w:noProof/>
                <w:webHidden/>
              </w:rPr>
              <w:instrText xml:space="preserve"> PAGEREF _Toc241498813 \h </w:instrText>
            </w:r>
            <w:r>
              <w:rPr>
                <w:noProof/>
                <w:webHidden/>
              </w:rPr>
            </w:r>
            <w:r>
              <w:rPr>
                <w:noProof/>
                <w:webHidden/>
              </w:rPr>
              <w:fldChar w:fldCharType="separate"/>
            </w:r>
            <w:r>
              <w:rPr>
                <w:noProof/>
                <w:webHidden/>
              </w:rPr>
              <w:t>13</w:t>
            </w:r>
            <w:r>
              <w:rPr>
                <w:noProof/>
                <w:webHidden/>
              </w:rPr>
              <w:fldChar w:fldCharType="end"/>
            </w:r>
          </w:hyperlink>
        </w:p>
        <w:p w14:paraId="1E709BC7" w14:textId="1AB53A09" w:rsidR="00A42632" w:rsidRDefault="00A42632">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98814" w:history="1">
            <w:r w:rsidRPr="00AE3891">
              <w:rPr>
                <w:rStyle w:val="Hyperlink"/>
                <w:noProof/>
              </w:rPr>
              <w:t>Efficacy</w:t>
            </w:r>
            <w:r>
              <w:rPr>
                <w:noProof/>
                <w:webHidden/>
              </w:rPr>
              <w:tab/>
            </w:r>
            <w:r>
              <w:rPr>
                <w:noProof/>
                <w:webHidden/>
              </w:rPr>
              <w:fldChar w:fldCharType="begin"/>
            </w:r>
            <w:r>
              <w:rPr>
                <w:noProof/>
                <w:webHidden/>
              </w:rPr>
              <w:instrText xml:space="preserve"> PAGEREF _Toc241498814 \h </w:instrText>
            </w:r>
            <w:r>
              <w:rPr>
                <w:noProof/>
                <w:webHidden/>
              </w:rPr>
            </w:r>
            <w:r>
              <w:rPr>
                <w:noProof/>
                <w:webHidden/>
              </w:rPr>
              <w:fldChar w:fldCharType="separate"/>
            </w:r>
            <w:r>
              <w:rPr>
                <w:noProof/>
                <w:webHidden/>
              </w:rPr>
              <w:t>21</w:t>
            </w:r>
            <w:r>
              <w:rPr>
                <w:noProof/>
                <w:webHidden/>
              </w:rPr>
              <w:fldChar w:fldCharType="end"/>
            </w:r>
          </w:hyperlink>
        </w:p>
        <w:p w14:paraId="6114D897" w14:textId="12CE8D08" w:rsidR="00A42632" w:rsidRDefault="00A42632">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98815" w:history="1">
            <w:r w:rsidRPr="00AE3891">
              <w:rPr>
                <w:rStyle w:val="Hyperlink"/>
                <w:noProof/>
              </w:rPr>
              <w:t>Safety</w:t>
            </w:r>
            <w:r>
              <w:rPr>
                <w:noProof/>
                <w:webHidden/>
              </w:rPr>
              <w:tab/>
            </w:r>
            <w:r>
              <w:rPr>
                <w:noProof/>
                <w:webHidden/>
              </w:rPr>
              <w:fldChar w:fldCharType="begin"/>
            </w:r>
            <w:r>
              <w:rPr>
                <w:noProof/>
                <w:webHidden/>
              </w:rPr>
              <w:instrText xml:space="preserve"> PAGEREF _Toc241498815 \h </w:instrText>
            </w:r>
            <w:r>
              <w:rPr>
                <w:noProof/>
                <w:webHidden/>
              </w:rPr>
            </w:r>
            <w:r>
              <w:rPr>
                <w:noProof/>
                <w:webHidden/>
              </w:rPr>
              <w:fldChar w:fldCharType="separate"/>
            </w:r>
            <w:r>
              <w:rPr>
                <w:noProof/>
                <w:webHidden/>
              </w:rPr>
              <w:t>23</w:t>
            </w:r>
            <w:r>
              <w:rPr>
                <w:noProof/>
                <w:webHidden/>
              </w:rPr>
              <w:fldChar w:fldCharType="end"/>
            </w:r>
          </w:hyperlink>
        </w:p>
        <w:p w14:paraId="77C5F4A4" w14:textId="7501DF3A" w:rsidR="00A42632" w:rsidRDefault="00A42632">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98816" w:history="1">
            <w:r w:rsidRPr="00AE3891">
              <w:rPr>
                <w:rStyle w:val="Hyperlink"/>
                <w:noProof/>
                <w:lang w:eastAsia="en-AU"/>
              </w:rPr>
              <w:t>Risk management plan</w:t>
            </w:r>
            <w:r>
              <w:rPr>
                <w:noProof/>
                <w:webHidden/>
              </w:rPr>
              <w:tab/>
            </w:r>
            <w:r>
              <w:rPr>
                <w:noProof/>
                <w:webHidden/>
              </w:rPr>
              <w:fldChar w:fldCharType="begin"/>
            </w:r>
            <w:r>
              <w:rPr>
                <w:noProof/>
                <w:webHidden/>
              </w:rPr>
              <w:instrText xml:space="preserve"> PAGEREF _Toc241498816 \h </w:instrText>
            </w:r>
            <w:r>
              <w:rPr>
                <w:noProof/>
                <w:webHidden/>
              </w:rPr>
            </w:r>
            <w:r>
              <w:rPr>
                <w:noProof/>
                <w:webHidden/>
              </w:rPr>
              <w:fldChar w:fldCharType="separate"/>
            </w:r>
            <w:r>
              <w:rPr>
                <w:noProof/>
                <w:webHidden/>
              </w:rPr>
              <w:t>26</w:t>
            </w:r>
            <w:r>
              <w:rPr>
                <w:noProof/>
                <w:webHidden/>
              </w:rPr>
              <w:fldChar w:fldCharType="end"/>
            </w:r>
          </w:hyperlink>
        </w:p>
        <w:p w14:paraId="004724FA" w14:textId="4A31A06C" w:rsidR="00A42632" w:rsidRDefault="00A42632">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98817" w:history="1">
            <w:r w:rsidRPr="00AE3891">
              <w:rPr>
                <w:rStyle w:val="Hyperlink"/>
                <w:noProof/>
              </w:rPr>
              <w:t>Risk-benefit analysis</w:t>
            </w:r>
            <w:r>
              <w:rPr>
                <w:noProof/>
                <w:webHidden/>
              </w:rPr>
              <w:tab/>
            </w:r>
            <w:r>
              <w:rPr>
                <w:noProof/>
                <w:webHidden/>
              </w:rPr>
              <w:fldChar w:fldCharType="begin"/>
            </w:r>
            <w:r>
              <w:rPr>
                <w:noProof/>
                <w:webHidden/>
              </w:rPr>
              <w:instrText xml:space="preserve"> PAGEREF _Toc241498817 \h </w:instrText>
            </w:r>
            <w:r>
              <w:rPr>
                <w:noProof/>
                <w:webHidden/>
              </w:rPr>
            </w:r>
            <w:r>
              <w:rPr>
                <w:noProof/>
                <w:webHidden/>
              </w:rPr>
              <w:fldChar w:fldCharType="separate"/>
            </w:r>
            <w:r>
              <w:rPr>
                <w:noProof/>
                <w:webHidden/>
              </w:rPr>
              <w:t>26</w:t>
            </w:r>
            <w:r>
              <w:rPr>
                <w:noProof/>
                <w:webHidden/>
              </w:rPr>
              <w:fldChar w:fldCharType="end"/>
            </w:r>
          </w:hyperlink>
        </w:p>
        <w:p w14:paraId="446245CA" w14:textId="08562C16" w:rsidR="00A42632" w:rsidRDefault="00A42632">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98818" w:history="1">
            <w:r w:rsidRPr="00AE3891">
              <w:rPr>
                <w:rStyle w:val="Hyperlink"/>
                <w:noProof/>
              </w:rPr>
              <w:t>Comparability of the 10.8 mg and 3.6 mg goserelin implant strengths</w:t>
            </w:r>
            <w:r>
              <w:rPr>
                <w:noProof/>
                <w:webHidden/>
              </w:rPr>
              <w:tab/>
            </w:r>
            <w:r>
              <w:rPr>
                <w:noProof/>
                <w:webHidden/>
              </w:rPr>
              <w:fldChar w:fldCharType="begin"/>
            </w:r>
            <w:r>
              <w:rPr>
                <w:noProof/>
                <w:webHidden/>
              </w:rPr>
              <w:instrText xml:space="preserve"> PAGEREF _Toc241498818 \h </w:instrText>
            </w:r>
            <w:r>
              <w:rPr>
                <w:noProof/>
                <w:webHidden/>
              </w:rPr>
            </w:r>
            <w:r>
              <w:rPr>
                <w:noProof/>
                <w:webHidden/>
              </w:rPr>
              <w:fldChar w:fldCharType="separate"/>
            </w:r>
            <w:r>
              <w:rPr>
                <w:noProof/>
                <w:webHidden/>
              </w:rPr>
              <w:t>26</w:t>
            </w:r>
            <w:r>
              <w:rPr>
                <w:noProof/>
                <w:webHidden/>
              </w:rPr>
              <w:fldChar w:fldCharType="end"/>
            </w:r>
          </w:hyperlink>
        </w:p>
        <w:p w14:paraId="091C2E5B" w14:textId="4E713651" w:rsidR="00A42632" w:rsidRDefault="00A42632">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98819" w:history="1">
            <w:r w:rsidRPr="00AE3891">
              <w:rPr>
                <w:rStyle w:val="Hyperlink"/>
                <w:noProof/>
              </w:rPr>
              <w:t>Conclusions</w:t>
            </w:r>
            <w:r>
              <w:rPr>
                <w:noProof/>
                <w:webHidden/>
              </w:rPr>
              <w:tab/>
            </w:r>
            <w:r>
              <w:rPr>
                <w:noProof/>
                <w:webHidden/>
              </w:rPr>
              <w:fldChar w:fldCharType="begin"/>
            </w:r>
            <w:r>
              <w:rPr>
                <w:noProof/>
                <w:webHidden/>
              </w:rPr>
              <w:instrText xml:space="preserve"> PAGEREF _Toc241498819 \h </w:instrText>
            </w:r>
            <w:r>
              <w:rPr>
                <w:noProof/>
                <w:webHidden/>
              </w:rPr>
            </w:r>
            <w:r>
              <w:rPr>
                <w:noProof/>
                <w:webHidden/>
              </w:rPr>
              <w:fldChar w:fldCharType="separate"/>
            </w:r>
            <w:r>
              <w:rPr>
                <w:noProof/>
                <w:webHidden/>
              </w:rPr>
              <w:t>28</w:t>
            </w:r>
            <w:r>
              <w:rPr>
                <w:noProof/>
                <w:webHidden/>
              </w:rPr>
              <w:fldChar w:fldCharType="end"/>
            </w:r>
          </w:hyperlink>
        </w:p>
        <w:p w14:paraId="192AFE00" w14:textId="1EBF4E46" w:rsidR="00A42632" w:rsidRDefault="00A42632">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498820" w:history="1">
            <w:r w:rsidRPr="00AE3891">
              <w:rPr>
                <w:rStyle w:val="Hyperlink"/>
                <w:noProof/>
              </w:rPr>
              <w:t>Assessment outcome</w:t>
            </w:r>
            <w:r>
              <w:rPr>
                <w:noProof/>
                <w:webHidden/>
              </w:rPr>
              <w:tab/>
            </w:r>
            <w:r>
              <w:rPr>
                <w:noProof/>
                <w:webHidden/>
              </w:rPr>
              <w:fldChar w:fldCharType="begin"/>
            </w:r>
            <w:r>
              <w:rPr>
                <w:noProof/>
                <w:webHidden/>
              </w:rPr>
              <w:instrText xml:space="preserve"> PAGEREF _Toc241498820 \h </w:instrText>
            </w:r>
            <w:r>
              <w:rPr>
                <w:noProof/>
                <w:webHidden/>
              </w:rPr>
            </w:r>
            <w:r>
              <w:rPr>
                <w:noProof/>
                <w:webHidden/>
              </w:rPr>
              <w:fldChar w:fldCharType="separate"/>
            </w:r>
            <w:r>
              <w:rPr>
                <w:noProof/>
                <w:webHidden/>
              </w:rPr>
              <w:t>29</w:t>
            </w:r>
            <w:r>
              <w:rPr>
                <w:noProof/>
                <w:webHidden/>
              </w:rPr>
              <w:fldChar w:fldCharType="end"/>
            </w:r>
          </w:hyperlink>
        </w:p>
        <w:p w14:paraId="215F0E88" w14:textId="78E1E8CB" w:rsidR="00A42632" w:rsidRDefault="00A42632">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98821" w:history="1">
            <w:r w:rsidRPr="00AE3891">
              <w:rPr>
                <w:rStyle w:val="Hyperlink"/>
                <w:noProof/>
              </w:rPr>
              <w:t>Product Information and Consumer Medicine Information</w:t>
            </w:r>
            <w:r>
              <w:rPr>
                <w:noProof/>
                <w:webHidden/>
              </w:rPr>
              <w:tab/>
            </w:r>
            <w:r>
              <w:rPr>
                <w:noProof/>
                <w:webHidden/>
              </w:rPr>
              <w:fldChar w:fldCharType="begin"/>
            </w:r>
            <w:r>
              <w:rPr>
                <w:noProof/>
                <w:webHidden/>
              </w:rPr>
              <w:instrText xml:space="preserve"> PAGEREF _Toc241498821 \h </w:instrText>
            </w:r>
            <w:r>
              <w:rPr>
                <w:noProof/>
                <w:webHidden/>
              </w:rPr>
            </w:r>
            <w:r>
              <w:rPr>
                <w:noProof/>
                <w:webHidden/>
              </w:rPr>
              <w:fldChar w:fldCharType="separate"/>
            </w:r>
            <w:r>
              <w:rPr>
                <w:noProof/>
                <w:webHidden/>
              </w:rPr>
              <w:t>29</w:t>
            </w:r>
            <w:r>
              <w:rPr>
                <w:noProof/>
                <w:webHidden/>
              </w:rPr>
              <w:fldChar w:fldCharType="end"/>
            </w:r>
          </w:hyperlink>
        </w:p>
        <w:p w14:paraId="77659F2D" w14:textId="56BD4AA7" w:rsidR="00F02AEC" w:rsidRPr="00215D48" w:rsidRDefault="00F02AEC" w:rsidP="007452E8">
          <w:r w:rsidRPr="00215D48">
            <w:fldChar w:fldCharType="end"/>
          </w:r>
        </w:p>
      </w:sdtContent>
    </w:sdt>
    <w:p w14:paraId="10987AE2" w14:textId="77777777" w:rsidR="00F02AEC" w:rsidRPr="00215D48" w:rsidRDefault="00F02AEC" w:rsidP="00EC6916">
      <w:r w:rsidRPr="00215D48">
        <w:br w:type="page"/>
      </w:r>
    </w:p>
    <w:p w14:paraId="1E73AB93" w14:textId="77777777" w:rsidR="00324B33" w:rsidRDefault="00324B33" w:rsidP="00324B33">
      <w:pPr>
        <w:pStyle w:val="Heading2"/>
      </w:pPr>
      <w:bookmarkStart w:id="0" w:name="_Toc98931917"/>
      <w:bookmarkStart w:id="1" w:name="_Toc103679287"/>
      <w:bookmarkStart w:id="2" w:name="_Toc323739589"/>
      <w:bookmarkStart w:id="3" w:name="_Toc356305216"/>
      <w:bookmarkStart w:id="4" w:name="_Toc241498798"/>
      <w:r>
        <w:lastRenderedPageBreak/>
        <w:t>List of abbreviations</w:t>
      </w:r>
      <w:bookmarkEnd w:id="0"/>
      <w:bookmarkEnd w:id="1"/>
      <w:bookmarkEnd w:id="4"/>
    </w:p>
    <w:tbl>
      <w:tblPr>
        <w:tblStyle w:val="TableTGAblue2023"/>
        <w:tblW w:w="5000" w:type="pct"/>
        <w:tblLook w:val="04A0" w:firstRow="1" w:lastRow="0" w:firstColumn="1" w:lastColumn="0" w:noHBand="0" w:noVBand="1"/>
      </w:tblPr>
      <w:tblGrid>
        <w:gridCol w:w="2174"/>
        <w:gridCol w:w="6886"/>
      </w:tblGrid>
      <w:tr w:rsidR="005F70F2" w:rsidRPr="00D01DDB" w14:paraId="7F896AE4" w14:textId="77777777" w:rsidTr="00FC64E2">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200" w:type="pct"/>
          </w:tcPr>
          <w:p w14:paraId="080098B4" w14:textId="77777777" w:rsidR="005F70F2" w:rsidRPr="00D01DDB" w:rsidRDefault="005F70F2" w:rsidP="00FC64E2">
            <w:pPr>
              <w:rPr>
                <w:szCs w:val="22"/>
              </w:rPr>
            </w:pPr>
            <w:bookmarkStart w:id="5" w:name="_Toc103679288"/>
            <w:r w:rsidRPr="00D01DDB">
              <w:rPr>
                <w:szCs w:val="22"/>
              </w:rPr>
              <w:t>Abbreviation</w:t>
            </w:r>
          </w:p>
        </w:tc>
        <w:tc>
          <w:tcPr>
            <w:tcW w:w="3800" w:type="pct"/>
          </w:tcPr>
          <w:p w14:paraId="19EEF714" w14:textId="77777777" w:rsidR="005F70F2" w:rsidRPr="00D01DDB" w:rsidRDefault="005F70F2" w:rsidP="00FC64E2">
            <w:pPr>
              <w:cnfStyle w:val="100000000000" w:firstRow="1" w:lastRow="0" w:firstColumn="0" w:lastColumn="0" w:oddVBand="0" w:evenVBand="0" w:oddHBand="0" w:evenHBand="0" w:firstRowFirstColumn="0" w:firstRowLastColumn="0" w:lastRowFirstColumn="0" w:lastRowLastColumn="0"/>
              <w:rPr>
                <w:szCs w:val="22"/>
              </w:rPr>
            </w:pPr>
            <w:r w:rsidRPr="00D01DDB">
              <w:rPr>
                <w:szCs w:val="22"/>
              </w:rPr>
              <w:t>Meaning</w:t>
            </w:r>
          </w:p>
        </w:tc>
      </w:tr>
      <w:tr w:rsidR="005F70F2" w:rsidRPr="00D01DDB" w14:paraId="0FDEE89C"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5D6A89C" w14:textId="77777777" w:rsidR="005F70F2" w:rsidRPr="00D01DDB" w:rsidRDefault="005F70F2" w:rsidP="00FC64E2">
            <w:pPr>
              <w:rPr>
                <w:szCs w:val="22"/>
              </w:rPr>
            </w:pPr>
            <w:r w:rsidRPr="000F495B">
              <w:t>AEs</w:t>
            </w:r>
          </w:p>
        </w:tc>
        <w:tc>
          <w:tcPr>
            <w:tcW w:w="3800" w:type="pct"/>
          </w:tcPr>
          <w:p w14:paraId="270F4536" w14:textId="7493F083" w:rsidR="005F70F2" w:rsidRPr="00D01DDB" w:rsidRDefault="005F70F2" w:rsidP="00FC64E2">
            <w:pPr>
              <w:cnfStyle w:val="000000000000" w:firstRow="0" w:lastRow="0" w:firstColumn="0" w:lastColumn="0" w:oddVBand="0" w:evenVBand="0" w:oddHBand="0" w:evenHBand="0" w:firstRowFirstColumn="0" w:firstRowLastColumn="0" w:lastRowFirstColumn="0" w:lastRowLastColumn="0"/>
              <w:rPr>
                <w:szCs w:val="22"/>
              </w:rPr>
            </w:pPr>
            <w:r>
              <w:t>A</w:t>
            </w:r>
            <w:r w:rsidRPr="000F495B">
              <w:t>dverse events</w:t>
            </w:r>
          </w:p>
        </w:tc>
      </w:tr>
      <w:tr w:rsidR="005F70F2" w:rsidRPr="00D01DDB" w14:paraId="700A99EE"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58E60CA" w14:textId="77777777" w:rsidR="005F70F2" w:rsidRPr="00D01DDB" w:rsidRDefault="005F70F2" w:rsidP="00FC64E2">
            <w:pPr>
              <w:rPr>
                <w:szCs w:val="22"/>
              </w:rPr>
            </w:pPr>
            <w:r w:rsidRPr="00D01DDB">
              <w:rPr>
                <w:szCs w:val="22"/>
              </w:rPr>
              <w:t>ARTG</w:t>
            </w:r>
          </w:p>
        </w:tc>
        <w:tc>
          <w:tcPr>
            <w:tcW w:w="3800" w:type="pct"/>
          </w:tcPr>
          <w:p w14:paraId="72242775" w14:textId="77777777" w:rsidR="005F70F2" w:rsidRPr="00D01DDB" w:rsidRDefault="005F70F2" w:rsidP="00FC64E2">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Australian Register of Therapeutic Goods</w:t>
            </w:r>
          </w:p>
        </w:tc>
      </w:tr>
      <w:tr w:rsidR="005F70F2" w:rsidRPr="00D01DDB" w14:paraId="7CB4AA24"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1C024FD" w14:textId="77777777" w:rsidR="005F70F2" w:rsidRPr="00D01DDB" w:rsidRDefault="005F70F2" w:rsidP="00FC64E2">
            <w:pPr>
              <w:rPr>
                <w:szCs w:val="22"/>
              </w:rPr>
            </w:pPr>
            <w:r>
              <w:rPr>
                <w:szCs w:val="22"/>
              </w:rPr>
              <w:t>AUC</w:t>
            </w:r>
          </w:p>
        </w:tc>
        <w:tc>
          <w:tcPr>
            <w:tcW w:w="3800" w:type="pct"/>
          </w:tcPr>
          <w:p w14:paraId="2357DC8C" w14:textId="77777777" w:rsidR="005F70F2" w:rsidRPr="00D01DDB" w:rsidRDefault="005F70F2" w:rsidP="00FC64E2">
            <w:pPr>
              <w:cnfStyle w:val="000000000000" w:firstRow="0" w:lastRow="0" w:firstColumn="0" w:lastColumn="0" w:oddVBand="0" w:evenVBand="0" w:oddHBand="0" w:evenHBand="0" w:firstRowFirstColumn="0" w:firstRowLastColumn="0" w:lastRowFirstColumn="0" w:lastRowLastColumn="0"/>
              <w:rPr>
                <w:szCs w:val="22"/>
              </w:rPr>
            </w:pPr>
            <w:r>
              <w:rPr>
                <w:szCs w:val="22"/>
              </w:rPr>
              <w:t>A</w:t>
            </w:r>
            <w:r w:rsidRPr="001F449A">
              <w:rPr>
                <w:szCs w:val="22"/>
              </w:rPr>
              <w:t>rea under the concentration-time curve</w:t>
            </w:r>
          </w:p>
        </w:tc>
      </w:tr>
      <w:tr w:rsidR="005F70F2" w:rsidRPr="00D01DDB" w14:paraId="531269EF"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9F02BA1" w14:textId="77777777" w:rsidR="005F70F2" w:rsidRPr="00D01DDB" w:rsidRDefault="005F70F2" w:rsidP="00FC64E2">
            <w:pPr>
              <w:rPr>
                <w:szCs w:val="22"/>
              </w:rPr>
            </w:pPr>
            <w:r w:rsidRPr="00D01DDB">
              <w:rPr>
                <w:szCs w:val="22"/>
              </w:rPr>
              <w:t>CMI</w:t>
            </w:r>
          </w:p>
        </w:tc>
        <w:tc>
          <w:tcPr>
            <w:tcW w:w="3800" w:type="pct"/>
          </w:tcPr>
          <w:p w14:paraId="4DC67F67" w14:textId="77777777" w:rsidR="005F70F2" w:rsidRPr="00D01DDB" w:rsidRDefault="005F70F2" w:rsidP="00FC64E2">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Consumer Medicines Information</w:t>
            </w:r>
          </w:p>
        </w:tc>
      </w:tr>
      <w:tr w:rsidR="005F70F2" w:rsidRPr="00D01DDB" w14:paraId="4645329A"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476D5A9" w14:textId="77777777" w:rsidR="005F70F2" w:rsidRPr="00D01DDB" w:rsidRDefault="005F70F2" w:rsidP="00FC64E2">
            <w:pPr>
              <w:rPr>
                <w:szCs w:val="22"/>
              </w:rPr>
            </w:pPr>
            <w:r w:rsidRPr="007339F2">
              <w:rPr>
                <w:lang w:val="en-US"/>
              </w:rPr>
              <w:t>C</w:t>
            </w:r>
            <w:r w:rsidRPr="007339F2">
              <w:rPr>
                <w:vertAlign w:val="subscript"/>
                <w:lang w:val="en-US"/>
              </w:rPr>
              <w:t>max</w:t>
            </w:r>
          </w:p>
        </w:tc>
        <w:tc>
          <w:tcPr>
            <w:tcW w:w="3800" w:type="pct"/>
          </w:tcPr>
          <w:p w14:paraId="5DEF7415" w14:textId="77777777" w:rsidR="005F70F2" w:rsidRPr="00D01DDB" w:rsidRDefault="005F70F2" w:rsidP="00FC64E2">
            <w:pPr>
              <w:cnfStyle w:val="000000000000" w:firstRow="0" w:lastRow="0" w:firstColumn="0" w:lastColumn="0" w:oddVBand="0" w:evenVBand="0" w:oddHBand="0" w:evenHBand="0" w:firstRowFirstColumn="0" w:firstRowLastColumn="0" w:lastRowFirstColumn="0" w:lastRowLastColumn="0"/>
              <w:rPr>
                <w:szCs w:val="22"/>
              </w:rPr>
            </w:pPr>
            <w:r>
              <w:rPr>
                <w:lang w:val="en-US"/>
              </w:rPr>
              <w:t>M</w:t>
            </w:r>
            <w:r w:rsidRPr="00882D34">
              <w:rPr>
                <w:lang w:val="en-US"/>
              </w:rPr>
              <w:t>aximum concentration</w:t>
            </w:r>
          </w:p>
        </w:tc>
      </w:tr>
      <w:tr w:rsidR="005F70F2" w:rsidRPr="00D01DDB" w14:paraId="2F5BF5E7"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7B32A24" w14:textId="77777777" w:rsidR="005F70F2" w:rsidRPr="0026458E" w:rsidRDefault="005F70F2" w:rsidP="00FC64E2">
            <w:r>
              <w:t>E2</w:t>
            </w:r>
          </w:p>
        </w:tc>
        <w:tc>
          <w:tcPr>
            <w:tcW w:w="3800" w:type="pct"/>
          </w:tcPr>
          <w:p w14:paraId="5F648C01" w14:textId="77777777" w:rsidR="005F70F2" w:rsidRPr="0026458E" w:rsidRDefault="005F70F2" w:rsidP="00FC64E2">
            <w:pPr>
              <w:cnfStyle w:val="000000000000" w:firstRow="0" w:lastRow="0" w:firstColumn="0" w:lastColumn="0" w:oddVBand="0" w:evenVBand="0" w:oddHBand="0" w:evenHBand="0" w:firstRowFirstColumn="0" w:firstRowLastColumn="0" w:lastRowFirstColumn="0" w:lastRowLastColumn="0"/>
            </w:pPr>
            <w:r>
              <w:t>O</w:t>
            </w:r>
            <w:r w:rsidRPr="004F74CA">
              <w:t>estradiol</w:t>
            </w:r>
          </w:p>
        </w:tc>
      </w:tr>
      <w:tr w:rsidR="005F70F2" w:rsidRPr="00D01DDB" w14:paraId="0ED8CCC9"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2179E86" w14:textId="7E0ABF25" w:rsidR="005F70F2" w:rsidRPr="00B56108" w:rsidRDefault="005F70F2" w:rsidP="00FC64E2">
            <w:r w:rsidRPr="005F70F2">
              <w:t>ER</w:t>
            </w:r>
          </w:p>
        </w:tc>
        <w:tc>
          <w:tcPr>
            <w:tcW w:w="3800" w:type="pct"/>
          </w:tcPr>
          <w:p w14:paraId="1F294F6D" w14:textId="0ADBC5A6" w:rsidR="005F70F2" w:rsidRDefault="005F70F2" w:rsidP="00FC64E2">
            <w:pPr>
              <w:cnfStyle w:val="000000000000" w:firstRow="0" w:lastRow="0" w:firstColumn="0" w:lastColumn="0" w:oddVBand="0" w:evenVBand="0" w:oddHBand="0" w:evenHBand="0" w:firstRowFirstColumn="0" w:firstRowLastColumn="0" w:lastRowFirstColumn="0" w:lastRowLastColumn="0"/>
            </w:pPr>
            <w:r>
              <w:t>O</w:t>
            </w:r>
            <w:r w:rsidRPr="005F70F2">
              <w:t>estrogen-receptor</w:t>
            </w:r>
          </w:p>
        </w:tc>
      </w:tr>
      <w:tr w:rsidR="005F70F2" w:rsidRPr="00D01DDB" w14:paraId="611C9E2A"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5F57C33" w14:textId="77777777" w:rsidR="005F70F2" w:rsidRDefault="005F70F2" w:rsidP="00FC64E2">
            <w:r w:rsidRPr="00B56108">
              <w:t>FAS</w:t>
            </w:r>
          </w:p>
        </w:tc>
        <w:tc>
          <w:tcPr>
            <w:tcW w:w="3800" w:type="pct"/>
          </w:tcPr>
          <w:p w14:paraId="65AAB633" w14:textId="77777777" w:rsidR="005F70F2" w:rsidRPr="004F74CA" w:rsidRDefault="005F70F2" w:rsidP="00FC64E2">
            <w:pPr>
              <w:cnfStyle w:val="000000000000" w:firstRow="0" w:lastRow="0" w:firstColumn="0" w:lastColumn="0" w:oddVBand="0" w:evenVBand="0" w:oddHBand="0" w:evenHBand="0" w:firstRowFirstColumn="0" w:firstRowLastColumn="0" w:lastRowFirstColumn="0" w:lastRowLastColumn="0"/>
            </w:pPr>
            <w:r>
              <w:t>F</w:t>
            </w:r>
            <w:r w:rsidRPr="00B56108">
              <w:t>ull analysis set</w:t>
            </w:r>
          </w:p>
        </w:tc>
      </w:tr>
      <w:tr w:rsidR="005F70F2" w:rsidRPr="00D01DDB" w14:paraId="2E873E4E"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1EC90B8" w14:textId="77777777" w:rsidR="005F70F2" w:rsidRPr="00B56108" w:rsidRDefault="005F70F2" w:rsidP="00FC64E2">
            <w:r w:rsidRPr="00F43A89">
              <w:t>FSH</w:t>
            </w:r>
          </w:p>
        </w:tc>
        <w:tc>
          <w:tcPr>
            <w:tcW w:w="3800" w:type="pct"/>
          </w:tcPr>
          <w:p w14:paraId="0B78A60F" w14:textId="77777777" w:rsidR="005F70F2" w:rsidRPr="00B56108" w:rsidRDefault="005F70F2" w:rsidP="00FC64E2">
            <w:pPr>
              <w:cnfStyle w:val="000000000000" w:firstRow="0" w:lastRow="0" w:firstColumn="0" w:lastColumn="0" w:oddVBand="0" w:evenVBand="0" w:oddHBand="0" w:evenHBand="0" w:firstRowFirstColumn="0" w:firstRowLastColumn="0" w:lastRowFirstColumn="0" w:lastRowLastColumn="0"/>
            </w:pPr>
            <w:r>
              <w:t>F</w:t>
            </w:r>
            <w:r w:rsidRPr="00F43A89">
              <w:t>ollicle stimulating hormone</w:t>
            </w:r>
          </w:p>
        </w:tc>
      </w:tr>
      <w:tr w:rsidR="005F70F2" w:rsidRPr="00D01DDB" w14:paraId="5F13AA0F"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C023945" w14:textId="043EE0A5" w:rsidR="005F70F2" w:rsidRPr="007339F2" w:rsidRDefault="005F70F2" w:rsidP="00FC64E2">
            <w:pPr>
              <w:rPr>
                <w:lang w:val="en-US"/>
              </w:rPr>
            </w:pPr>
            <w:r w:rsidRPr="0026458E">
              <w:t>LH-RH</w:t>
            </w:r>
          </w:p>
        </w:tc>
        <w:tc>
          <w:tcPr>
            <w:tcW w:w="3800" w:type="pct"/>
          </w:tcPr>
          <w:p w14:paraId="2C5BF6B1" w14:textId="7B44DCD2" w:rsidR="005F70F2" w:rsidRDefault="005F70F2" w:rsidP="00FC64E2">
            <w:pPr>
              <w:cnfStyle w:val="000000000000" w:firstRow="0" w:lastRow="0" w:firstColumn="0" w:lastColumn="0" w:oddVBand="0" w:evenVBand="0" w:oddHBand="0" w:evenHBand="0" w:firstRowFirstColumn="0" w:firstRowLastColumn="0" w:lastRowFirstColumn="0" w:lastRowLastColumn="0"/>
              <w:rPr>
                <w:lang w:val="en-US"/>
              </w:rPr>
            </w:pPr>
            <w:r>
              <w:t>L</w:t>
            </w:r>
            <w:r w:rsidRPr="0026458E">
              <w:t xml:space="preserve">uteinising hormone-releasing hormone </w:t>
            </w:r>
          </w:p>
        </w:tc>
      </w:tr>
      <w:tr w:rsidR="005F70F2" w:rsidRPr="00D01DDB" w14:paraId="11E41BF7"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06FDF6A" w14:textId="2B1E728F" w:rsidR="005F70F2" w:rsidRPr="0026458E" w:rsidRDefault="005F70F2" w:rsidP="005F70F2">
            <w:r w:rsidRPr="00A34990">
              <w:t>LLOQ</w:t>
            </w:r>
          </w:p>
        </w:tc>
        <w:tc>
          <w:tcPr>
            <w:tcW w:w="3800" w:type="pct"/>
          </w:tcPr>
          <w:p w14:paraId="2EDA9071" w14:textId="53F9511C" w:rsidR="005F70F2" w:rsidRPr="0026458E" w:rsidRDefault="005F70F2" w:rsidP="005F70F2">
            <w:pPr>
              <w:cnfStyle w:val="000000000000" w:firstRow="0" w:lastRow="0" w:firstColumn="0" w:lastColumn="0" w:oddVBand="0" w:evenVBand="0" w:oddHBand="0" w:evenHBand="0" w:firstRowFirstColumn="0" w:firstRowLastColumn="0" w:lastRowFirstColumn="0" w:lastRowLastColumn="0"/>
            </w:pPr>
            <w:r>
              <w:t>L</w:t>
            </w:r>
            <w:r w:rsidRPr="00A34990">
              <w:t>ower limits of quantification</w:t>
            </w:r>
          </w:p>
        </w:tc>
      </w:tr>
      <w:tr w:rsidR="005F70F2" w:rsidRPr="00D01DDB" w14:paraId="5DE034B8"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5BA2BB7" w14:textId="61CDB323" w:rsidR="005F70F2" w:rsidRPr="00B061A3" w:rsidRDefault="005F70F2" w:rsidP="005F70F2">
            <w:r w:rsidRPr="00913395">
              <w:t>OFS</w:t>
            </w:r>
          </w:p>
        </w:tc>
        <w:tc>
          <w:tcPr>
            <w:tcW w:w="3800" w:type="pct"/>
          </w:tcPr>
          <w:p w14:paraId="322C059D" w14:textId="4C3A069F" w:rsidR="005F70F2" w:rsidRPr="00B061A3" w:rsidRDefault="005F70F2" w:rsidP="005F70F2">
            <w:pPr>
              <w:cnfStyle w:val="000000000000" w:firstRow="0" w:lastRow="0" w:firstColumn="0" w:lastColumn="0" w:oddVBand="0" w:evenVBand="0" w:oddHBand="0" w:evenHBand="0" w:firstRowFirstColumn="0" w:firstRowLastColumn="0" w:lastRowFirstColumn="0" w:lastRowLastColumn="0"/>
            </w:pPr>
            <w:r>
              <w:t>O</w:t>
            </w:r>
            <w:r w:rsidRPr="00913395">
              <w:t>varian function suppression</w:t>
            </w:r>
          </w:p>
        </w:tc>
      </w:tr>
      <w:tr w:rsidR="005F70F2" w:rsidRPr="00D01DDB" w14:paraId="08F8874B"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FD89AC8" w14:textId="4DE9BB18" w:rsidR="005F70F2" w:rsidRPr="00CA039D" w:rsidRDefault="005F70F2" w:rsidP="005F70F2">
            <w:r w:rsidRPr="00B061A3">
              <w:t>ORR</w:t>
            </w:r>
          </w:p>
        </w:tc>
        <w:tc>
          <w:tcPr>
            <w:tcW w:w="3800" w:type="pct"/>
          </w:tcPr>
          <w:p w14:paraId="33B6DAE6" w14:textId="3DD8FEA7" w:rsidR="005F70F2" w:rsidRPr="00CA039D" w:rsidRDefault="005F70F2" w:rsidP="005F70F2">
            <w:pPr>
              <w:cnfStyle w:val="000000000000" w:firstRow="0" w:lastRow="0" w:firstColumn="0" w:lastColumn="0" w:oddVBand="0" w:evenVBand="0" w:oddHBand="0" w:evenHBand="0" w:firstRowFirstColumn="0" w:firstRowLastColumn="0" w:lastRowFirstColumn="0" w:lastRowLastColumn="0"/>
            </w:pPr>
            <w:r w:rsidRPr="00B061A3">
              <w:t>Objective response rat</w:t>
            </w:r>
            <w:r>
              <w:t>e</w:t>
            </w:r>
          </w:p>
        </w:tc>
      </w:tr>
      <w:tr w:rsidR="005F70F2" w:rsidRPr="00D01DDB" w14:paraId="5D6DFF1D"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16B04A3" w14:textId="1FE6794E" w:rsidR="005F70F2" w:rsidRPr="00CA039D" w:rsidRDefault="005F70F2" w:rsidP="005F70F2">
            <w:r w:rsidRPr="00D01DDB">
              <w:rPr>
                <w:szCs w:val="22"/>
              </w:rPr>
              <w:t>PI</w:t>
            </w:r>
          </w:p>
        </w:tc>
        <w:tc>
          <w:tcPr>
            <w:tcW w:w="3800" w:type="pct"/>
          </w:tcPr>
          <w:p w14:paraId="419DCA7D" w14:textId="67C86C4A" w:rsidR="005F70F2" w:rsidRPr="00CA039D" w:rsidRDefault="005F70F2" w:rsidP="005F70F2">
            <w:pPr>
              <w:cnfStyle w:val="000000000000" w:firstRow="0" w:lastRow="0" w:firstColumn="0" w:lastColumn="0" w:oddVBand="0" w:evenVBand="0" w:oddHBand="0" w:evenHBand="0" w:firstRowFirstColumn="0" w:firstRowLastColumn="0" w:lastRowFirstColumn="0" w:lastRowLastColumn="0"/>
            </w:pPr>
            <w:r w:rsidRPr="00D01DDB">
              <w:rPr>
                <w:szCs w:val="22"/>
              </w:rPr>
              <w:t>Product Information</w:t>
            </w:r>
          </w:p>
        </w:tc>
      </w:tr>
      <w:tr w:rsidR="005F70F2" w:rsidRPr="00D01DDB" w14:paraId="3689F524"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FE0F657" w14:textId="2DA00B47" w:rsidR="005F70F2" w:rsidRPr="00D01DDB" w:rsidRDefault="005F70F2" w:rsidP="005F70F2">
            <w:pPr>
              <w:rPr>
                <w:szCs w:val="22"/>
              </w:rPr>
            </w:pPr>
            <w:r>
              <w:t>PD</w:t>
            </w:r>
          </w:p>
        </w:tc>
        <w:tc>
          <w:tcPr>
            <w:tcW w:w="3800" w:type="pct"/>
          </w:tcPr>
          <w:p w14:paraId="54575CA4" w14:textId="6FDD6E78" w:rsidR="005F70F2" w:rsidRPr="00D01DDB" w:rsidRDefault="005F70F2" w:rsidP="005F70F2">
            <w:pPr>
              <w:cnfStyle w:val="000000000000" w:firstRow="0" w:lastRow="0" w:firstColumn="0" w:lastColumn="0" w:oddVBand="0" w:evenVBand="0" w:oddHBand="0" w:evenHBand="0" w:firstRowFirstColumn="0" w:firstRowLastColumn="0" w:lastRowFirstColumn="0" w:lastRowLastColumn="0"/>
              <w:rPr>
                <w:szCs w:val="22"/>
              </w:rPr>
            </w:pPr>
            <w:r>
              <w:t>Pharmacodynamic(s)</w:t>
            </w:r>
          </w:p>
        </w:tc>
      </w:tr>
      <w:tr w:rsidR="005F70F2" w:rsidRPr="00D01DDB" w14:paraId="1436FDB7"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58E3FB1" w14:textId="77777777" w:rsidR="005F70F2" w:rsidRPr="00D01DDB" w:rsidRDefault="005F70F2" w:rsidP="005F70F2">
            <w:pPr>
              <w:rPr>
                <w:szCs w:val="22"/>
              </w:rPr>
            </w:pPr>
            <w:r w:rsidRPr="000E0F25">
              <w:t>PK</w:t>
            </w:r>
          </w:p>
        </w:tc>
        <w:tc>
          <w:tcPr>
            <w:tcW w:w="3800" w:type="pct"/>
          </w:tcPr>
          <w:p w14:paraId="1D2E4C6F" w14:textId="77777777" w:rsidR="005F70F2" w:rsidRPr="00D01DDB" w:rsidRDefault="005F70F2" w:rsidP="005F70F2">
            <w:pPr>
              <w:cnfStyle w:val="000000000000" w:firstRow="0" w:lastRow="0" w:firstColumn="0" w:lastColumn="0" w:oddVBand="0" w:evenVBand="0" w:oddHBand="0" w:evenHBand="0" w:firstRowFirstColumn="0" w:firstRowLastColumn="0" w:lastRowFirstColumn="0" w:lastRowLastColumn="0"/>
              <w:rPr>
                <w:szCs w:val="22"/>
              </w:rPr>
            </w:pPr>
            <w:r>
              <w:t>P</w:t>
            </w:r>
            <w:r w:rsidRPr="000E0F25">
              <w:t>harmacokinetic</w:t>
            </w:r>
            <w:r>
              <w:t>(</w:t>
            </w:r>
            <w:r w:rsidRPr="000E0F25">
              <w:t>s</w:t>
            </w:r>
            <w:r>
              <w:t>)</w:t>
            </w:r>
          </w:p>
        </w:tc>
      </w:tr>
      <w:tr w:rsidR="005F70F2" w:rsidRPr="00D01DDB" w14:paraId="54971D5D"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14CACFF" w14:textId="6CA0D4CE" w:rsidR="005F70F2" w:rsidRPr="00D01DDB" w:rsidRDefault="005F70F2" w:rsidP="005F70F2">
            <w:pPr>
              <w:rPr>
                <w:szCs w:val="22"/>
              </w:rPr>
            </w:pPr>
            <w:r w:rsidRPr="00493E27">
              <w:t>PTs</w:t>
            </w:r>
          </w:p>
        </w:tc>
        <w:tc>
          <w:tcPr>
            <w:tcW w:w="3800" w:type="pct"/>
          </w:tcPr>
          <w:p w14:paraId="05958835" w14:textId="407201F9" w:rsidR="005F70F2" w:rsidRPr="00D01DDB" w:rsidRDefault="005F70F2" w:rsidP="005F70F2">
            <w:pPr>
              <w:cnfStyle w:val="000000000000" w:firstRow="0" w:lastRow="0" w:firstColumn="0" w:lastColumn="0" w:oddVBand="0" w:evenVBand="0" w:oddHBand="0" w:evenHBand="0" w:firstRowFirstColumn="0" w:firstRowLastColumn="0" w:lastRowFirstColumn="0" w:lastRowLastColumn="0"/>
              <w:rPr>
                <w:szCs w:val="22"/>
              </w:rPr>
            </w:pPr>
            <w:r>
              <w:t>P</w:t>
            </w:r>
            <w:r w:rsidRPr="00493E27">
              <w:t>referred terms</w:t>
            </w:r>
          </w:p>
        </w:tc>
      </w:tr>
      <w:tr w:rsidR="005F70F2" w:rsidRPr="00D01DDB" w14:paraId="0610D8CD"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21FB449" w14:textId="712687C8" w:rsidR="005F70F2" w:rsidRPr="00D01DDB" w:rsidRDefault="005F70F2" w:rsidP="005F70F2">
            <w:pPr>
              <w:rPr>
                <w:szCs w:val="22"/>
              </w:rPr>
            </w:pPr>
            <w:r w:rsidRPr="008543DE">
              <w:t>SAEs</w:t>
            </w:r>
          </w:p>
        </w:tc>
        <w:tc>
          <w:tcPr>
            <w:tcW w:w="3800" w:type="pct"/>
          </w:tcPr>
          <w:p w14:paraId="0554175C" w14:textId="07A443DB" w:rsidR="005F70F2" w:rsidRPr="00D01DDB" w:rsidRDefault="005F70F2" w:rsidP="005F70F2">
            <w:pPr>
              <w:cnfStyle w:val="000000000000" w:firstRow="0" w:lastRow="0" w:firstColumn="0" w:lastColumn="0" w:oddVBand="0" w:evenVBand="0" w:oddHBand="0" w:evenHBand="0" w:firstRowFirstColumn="0" w:firstRowLastColumn="0" w:lastRowFirstColumn="0" w:lastRowLastColumn="0"/>
              <w:rPr>
                <w:szCs w:val="22"/>
              </w:rPr>
            </w:pPr>
            <w:r>
              <w:t>S</w:t>
            </w:r>
            <w:r w:rsidRPr="008543DE">
              <w:t xml:space="preserve">erious </w:t>
            </w:r>
            <w:r>
              <w:t>adverse event(s)</w:t>
            </w:r>
          </w:p>
        </w:tc>
      </w:tr>
      <w:tr w:rsidR="005F70F2" w:rsidRPr="00D01DDB" w14:paraId="7F52E586"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F59E2AD" w14:textId="77777777" w:rsidR="005F70F2" w:rsidRPr="00D01DDB" w:rsidRDefault="005F70F2" w:rsidP="005F70F2">
            <w:pPr>
              <w:rPr>
                <w:szCs w:val="22"/>
              </w:rPr>
            </w:pPr>
            <w:r w:rsidRPr="00D01DDB">
              <w:rPr>
                <w:szCs w:val="22"/>
              </w:rPr>
              <w:t>TGA</w:t>
            </w:r>
          </w:p>
        </w:tc>
        <w:tc>
          <w:tcPr>
            <w:tcW w:w="3800" w:type="pct"/>
          </w:tcPr>
          <w:p w14:paraId="4659D526" w14:textId="77777777" w:rsidR="005F70F2" w:rsidRPr="00D01DDB" w:rsidRDefault="005F70F2" w:rsidP="005F70F2">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Therapeutic Goods Administration</w:t>
            </w:r>
          </w:p>
        </w:tc>
      </w:tr>
      <w:tr w:rsidR="005F70F2" w:rsidRPr="00D01DDB" w14:paraId="2A5CDF6F" w14:textId="77777777" w:rsidTr="00FC64E2">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A3C33E7" w14:textId="77777777" w:rsidR="005F70F2" w:rsidRPr="00D01DDB" w:rsidRDefault="005F70F2" w:rsidP="005F70F2">
            <w:pPr>
              <w:rPr>
                <w:szCs w:val="22"/>
              </w:rPr>
            </w:pPr>
            <w:r>
              <w:t>T</w:t>
            </w:r>
            <w:r w:rsidRPr="006C011B">
              <w:rPr>
                <w:vertAlign w:val="subscript"/>
              </w:rPr>
              <w:t>max</w:t>
            </w:r>
          </w:p>
        </w:tc>
        <w:tc>
          <w:tcPr>
            <w:tcW w:w="3800" w:type="pct"/>
          </w:tcPr>
          <w:p w14:paraId="629FDFE2" w14:textId="77777777" w:rsidR="005F70F2" w:rsidRPr="00D01DDB" w:rsidRDefault="005F70F2" w:rsidP="005F70F2">
            <w:pPr>
              <w:cnfStyle w:val="000000000000" w:firstRow="0" w:lastRow="0" w:firstColumn="0" w:lastColumn="0" w:oddVBand="0" w:evenVBand="0" w:oddHBand="0" w:evenHBand="0" w:firstRowFirstColumn="0" w:firstRowLastColumn="0" w:lastRowFirstColumn="0" w:lastRowLastColumn="0"/>
              <w:rPr>
                <w:szCs w:val="22"/>
              </w:rPr>
            </w:pPr>
            <w:r>
              <w:t>T</w:t>
            </w:r>
            <w:r w:rsidRPr="002F3190">
              <w:t>ime to maximum concentration</w:t>
            </w:r>
          </w:p>
        </w:tc>
      </w:tr>
    </w:tbl>
    <w:p w14:paraId="6B4B517D" w14:textId="77777777" w:rsidR="008B4302" w:rsidRDefault="008B4302" w:rsidP="00EC6916">
      <w:r>
        <w:br w:type="page"/>
      </w:r>
    </w:p>
    <w:p w14:paraId="44C2A39C" w14:textId="6FCECAE9" w:rsidR="00324B33" w:rsidRDefault="00324B33" w:rsidP="00324B33">
      <w:pPr>
        <w:pStyle w:val="Heading2"/>
      </w:pPr>
      <w:bookmarkStart w:id="6" w:name="_Toc241498799"/>
      <w:r>
        <w:lastRenderedPageBreak/>
        <w:t>Product submission</w:t>
      </w:r>
      <w:bookmarkEnd w:id="5"/>
      <w:bookmarkEnd w:id="6"/>
    </w:p>
    <w:p w14:paraId="21D559DF" w14:textId="77777777" w:rsidR="00324B33" w:rsidRDefault="00324B33" w:rsidP="00324B33">
      <w:pPr>
        <w:pStyle w:val="Heading3"/>
        <w:rPr>
          <w:lang w:eastAsia="en-AU"/>
        </w:rPr>
      </w:pPr>
      <w:bookmarkStart w:id="7" w:name="_Toc247691502"/>
      <w:bookmarkStart w:id="8" w:name="_Toc314842483"/>
      <w:bookmarkStart w:id="9" w:name="_Toc103679289"/>
      <w:bookmarkStart w:id="10" w:name="_Toc241498800"/>
      <w:r>
        <w:rPr>
          <w:lang w:eastAsia="en-AU"/>
        </w:rPr>
        <w:t>Submission details</w:t>
      </w:r>
      <w:bookmarkEnd w:id="7"/>
      <w:bookmarkEnd w:id="8"/>
      <w:bookmarkEnd w:id="9"/>
      <w:bookmarkEnd w:id="10"/>
    </w:p>
    <w:tbl>
      <w:tblPr>
        <w:tblW w:w="5000" w:type="pct"/>
        <w:tblLook w:val="01E0" w:firstRow="1" w:lastRow="1" w:firstColumn="1" w:lastColumn="1" w:noHBand="0" w:noVBand="0"/>
      </w:tblPr>
      <w:tblGrid>
        <w:gridCol w:w="2861"/>
        <w:gridCol w:w="6209"/>
      </w:tblGrid>
      <w:tr w:rsidR="00324B33" w:rsidRPr="00BD5DBD" w14:paraId="77D11C95" w14:textId="77777777" w:rsidTr="00BD4A9B">
        <w:tc>
          <w:tcPr>
            <w:tcW w:w="1577" w:type="pct"/>
          </w:tcPr>
          <w:p w14:paraId="10E57D62" w14:textId="13728BD6" w:rsidR="00324B33" w:rsidRPr="00BD5DBD" w:rsidRDefault="00324B33" w:rsidP="007452E8">
            <w:pPr>
              <w:rPr>
                <w:i/>
                <w:szCs w:val="22"/>
              </w:rPr>
            </w:pPr>
            <w:r w:rsidRPr="00BD5DBD">
              <w:rPr>
                <w:i/>
                <w:szCs w:val="22"/>
              </w:rPr>
              <w:t>Type of submission:</w:t>
            </w:r>
          </w:p>
        </w:tc>
        <w:tc>
          <w:tcPr>
            <w:tcW w:w="3423" w:type="pct"/>
          </w:tcPr>
          <w:p w14:paraId="4F07C303" w14:textId="68F05541" w:rsidR="00324B33" w:rsidRPr="00BD5DBD" w:rsidRDefault="003302FF" w:rsidP="007452E8">
            <w:pPr>
              <w:rPr>
                <w:szCs w:val="22"/>
              </w:rPr>
            </w:pPr>
            <w:r>
              <w:rPr>
                <w:szCs w:val="22"/>
              </w:rPr>
              <w:t>Extension of indication</w:t>
            </w:r>
          </w:p>
        </w:tc>
      </w:tr>
      <w:tr w:rsidR="00324B33" w:rsidRPr="00BD5DBD" w14:paraId="13482B61" w14:textId="77777777" w:rsidTr="00BD4A9B">
        <w:tc>
          <w:tcPr>
            <w:tcW w:w="1577" w:type="pct"/>
          </w:tcPr>
          <w:p w14:paraId="2C427FCF" w14:textId="65BFD728" w:rsidR="00324B33" w:rsidRPr="00BD5DBD" w:rsidRDefault="00324B33" w:rsidP="007452E8">
            <w:pPr>
              <w:rPr>
                <w:i/>
                <w:szCs w:val="22"/>
              </w:rPr>
            </w:pPr>
            <w:r w:rsidRPr="00BD5DBD">
              <w:rPr>
                <w:i/>
                <w:szCs w:val="22"/>
              </w:rPr>
              <w:t>Product name:</w:t>
            </w:r>
          </w:p>
        </w:tc>
        <w:tc>
          <w:tcPr>
            <w:tcW w:w="3423" w:type="pct"/>
          </w:tcPr>
          <w:p w14:paraId="0E2DEF76" w14:textId="6A33B278" w:rsidR="00324B33" w:rsidRPr="00BD5DBD" w:rsidRDefault="00A23492" w:rsidP="007452E8">
            <w:pPr>
              <w:rPr>
                <w:szCs w:val="22"/>
              </w:rPr>
            </w:pPr>
            <w:r>
              <w:rPr>
                <w:szCs w:val="22"/>
              </w:rPr>
              <w:t>Zoladex 10.8 Implant</w:t>
            </w:r>
          </w:p>
        </w:tc>
      </w:tr>
      <w:tr w:rsidR="00324B33" w:rsidRPr="00BD5DBD" w14:paraId="01255B5B" w14:textId="77777777" w:rsidTr="00BD4A9B">
        <w:tc>
          <w:tcPr>
            <w:tcW w:w="1577" w:type="pct"/>
          </w:tcPr>
          <w:p w14:paraId="52B4F3D7" w14:textId="3F7DAA91" w:rsidR="00324B33" w:rsidRPr="00BD5DBD" w:rsidRDefault="00324B33" w:rsidP="007452E8">
            <w:pPr>
              <w:rPr>
                <w:i/>
                <w:szCs w:val="22"/>
              </w:rPr>
            </w:pPr>
            <w:r w:rsidRPr="00BD5DBD">
              <w:rPr>
                <w:i/>
                <w:szCs w:val="22"/>
              </w:rPr>
              <w:t>Active ingredient:</w:t>
            </w:r>
          </w:p>
        </w:tc>
        <w:tc>
          <w:tcPr>
            <w:tcW w:w="3423" w:type="pct"/>
          </w:tcPr>
          <w:p w14:paraId="02FB6383" w14:textId="4156C266" w:rsidR="00324B33" w:rsidRPr="00BD5DBD" w:rsidRDefault="00A23492" w:rsidP="007452E8">
            <w:pPr>
              <w:rPr>
                <w:szCs w:val="22"/>
              </w:rPr>
            </w:pPr>
            <w:r w:rsidRPr="00A23492">
              <w:rPr>
                <w:szCs w:val="22"/>
              </w:rPr>
              <w:t>goserelin (as acetate)</w:t>
            </w:r>
          </w:p>
        </w:tc>
      </w:tr>
      <w:tr w:rsidR="00324B33" w:rsidRPr="00BD5DBD" w14:paraId="219A281B" w14:textId="77777777" w:rsidTr="00BD4A9B">
        <w:tc>
          <w:tcPr>
            <w:tcW w:w="1577" w:type="pct"/>
          </w:tcPr>
          <w:p w14:paraId="112E5F78" w14:textId="77777777" w:rsidR="00324B33" w:rsidRPr="00BD5DBD" w:rsidRDefault="00324B33" w:rsidP="007452E8">
            <w:pPr>
              <w:rPr>
                <w:i/>
                <w:szCs w:val="22"/>
              </w:rPr>
            </w:pPr>
            <w:r w:rsidRPr="00BD5DBD">
              <w:rPr>
                <w:i/>
                <w:szCs w:val="22"/>
              </w:rPr>
              <w:t>Decision:</w:t>
            </w:r>
          </w:p>
        </w:tc>
        <w:tc>
          <w:tcPr>
            <w:tcW w:w="3423" w:type="pct"/>
          </w:tcPr>
          <w:p w14:paraId="3B114BEA" w14:textId="3A80E6B7" w:rsidR="00324B33" w:rsidRPr="00BD5DBD" w:rsidRDefault="00324B33" w:rsidP="007452E8">
            <w:pPr>
              <w:rPr>
                <w:szCs w:val="22"/>
              </w:rPr>
            </w:pPr>
            <w:r w:rsidRPr="00BD5DBD">
              <w:rPr>
                <w:szCs w:val="22"/>
              </w:rPr>
              <w:t>Approved</w:t>
            </w:r>
          </w:p>
        </w:tc>
      </w:tr>
      <w:tr w:rsidR="00BD4A9B" w:rsidRPr="00BD5DBD" w14:paraId="28B88C8D" w14:textId="77777777" w:rsidTr="00BD4A9B">
        <w:tc>
          <w:tcPr>
            <w:tcW w:w="1577" w:type="pct"/>
          </w:tcPr>
          <w:p w14:paraId="4A25B2C7" w14:textId="74059A6C" w:rsidR="00BD4A9B" w:rsidRPr="00BD5DBD" w:rsidRDefault="00BD4A9B" w:rsidP="00BD4A9B">
            <w:pPr>
              <w:rPr>
                <w:i/>
                <w:szCs w:val="22"/>
              </w:rPr>
            </w:pPr>
            <w:r w:rsidRPr="004A20BC">
              <w:rPr>
                <w:i/>
                <w:szCs w:val="22"/>
              </w:rPr>
              <w:t>Approved therapeutic use for the current submission:</w:t>
            </w:r>
          </w:p>
        </w:tc>
        <w:tc>
          <w:tcPr>
            <w:tcW w:w="3423" w:type="pct"/>
          </w:tcPr>
          <w:p w14:paraId="23485383" w14:textId="5D0E2AB0" w:rsidR="00BD4A9B" w:rsidRPr="00BD5DBD" w:rsidRDefault="00A23492" w:rsidP="00BD4A9B">
            <w:pPr>
              <w:rPr>
                <w:szCs w:val="22"/>
              </w:rPr>
            </w:pPr>
            <w:r w:rsidRPr="00A23492">
              <w:rPr>
                <w:szCs w:val="22"/>
              </w:rPr>
              <w:t>Management of oestrogen-receptor (ER) positive early and advanced breast cancer in pre and peri menopausal women.</w:t>
            </w:r>
          </w:p>
        </w:tc>
      </w:tr>
      <w:tr w:rsidR="00BD4A9B" w:rsidRPr="00BD5DBD" w14:paraId="32B72632" w14:textId="77777777" w:rsidTr="00BD4A9B">
        <w:tc>
          <w:tcPr>
            <w:tcW w:w="1577" w:type="pct"/>
          </w:tcPr>
          <w:p w14:paraId="332A5CD5" w14:textId="65682B5F" w:rsidR="00BD4A9B" w:rsidRPr="00BD5DBD" w:rsidRDefault="00BD4A9B" w:rsidP="00BD4A9B">
            <w:r w:rsidRPr="00BD5DBD">
              <w:rPr>
                <w:i/>
                <w:szCs w:val="22"/>
              </w:rPr>
              <w:t>Date of decision:</w:t>
            </w:r>
          </w:p>
        </w:tc>
        <w:tc>
          <w:tcPr>
            <w:tcW w:w="3423" w:type="pct"/>
          </w:tcPr>
          <w:p w14:paraId="7B381CD6" w14:textId="282B4235" w:rsidR="00BD4A9B" w:rsidRPr="00BD5DBD" w:rsidRDefault="00A23492" w:rsidP="00BD4A9B">
            <w:pPr>
              <w:rPr>
                <w:szCs w:val="22"/>
              </w:rPr>
            </w:pPr>
            <w:r>
              <w:rPr>
                <w:szCs w:val="22"/>
              </w:rPr>
              <w:t>28 August 2026</w:t>
            </w:r>
          </w:p>
        </w:tc>
      </w:tr>
      <w:tr w:rsidR="00BD4A9B" w:rsidRPr="00BD5DBD" w14:paraId="1BD35D08" w14:textId="77777777" w:rsidTr="00BD4A9B">
        <w:tc>
          <w:tcPr>
            <w:tcW w:w="1577" w:type="pct"/>
          </w:tcPr>
          <w:p w14:paraId="33570637" w14:textId="4A6C9B0C" w:rsidR="00BD4A9B" w:rsidRPr="00BD5DBD" w:rsidRDefault="00BD4A9B" w:rsidP="00BD4A9B">
            <w:pPr>
              <w:rPr>
                <w:i/>
                <w:szCs w:val="22"/>
              </w:rPr>
            </w:pPr>
            <w:r w:rsidRPr="00BD5DBD">
              <w:rPr>
                <w:i/>
                <w:szCs w:val="22"/>
              </w:rPr>
              <w:t>Date of entry onto ARTG:</w:t>
            </w:r>
          </w:p>
        </w:tc>
        <w:tc>
          <w:tcPr>
            <w:tcW w:w="3423" w:type="pct"/>
          </w:tcPr>
          <w:p w14:paraId="2C96449F" w14:textId="2D7AEDF5" w:rsidR="00BD4A9B" w:rsidRPr="00BD5DBD" w:rsidRDefault="00A23492" w:rsidP="00BD4A9B">
            <w:pPr>
              <w:rPr>
                <w:szCs w:val="22"/>
              </w:rPr>
            </w:pPr>
            <w:r>
              <w:rPr>
                <w:szCs w:val="22"/>
              </w:rPr>
              <w:t>28 August 2026</w:t>
            </w:r>
          </w:p>
        </w:tc>
      </w:tr>
      <w:tr w:rsidR="00BD4A9B" w:rsidRPr="00BD5DBD" w14:paraId="2CB2A8D0" w14:textId="77777777" w:rsidTr="00BD4A9B">
        <w:tc>
          <w:tcPr>
            <w:tcW w:w="1577" w:type="pct"/>
          </w:tcPr>
          <w:p w14:paraId="00471CD4" w14:textId="4ED4783C" w:rsidR="00BD4A9B" w:rsidRPr="00666911" w:rsidRDefault="00BD4A9B" w:rsidP="00BD4A9B">
            <w:pPr>
              <w:rPr>
                <w:i/>
                <w:iCs/>
                <w:color w:val="00709D"/>
                <w:szCs w:val="22"/>
              </w:rPr>
            </w:pPr>
            <w:r w:rsidRPr="00BD5DBD">
              <w:rPr>
                <w:i/>
                <w:szCs w:val="22"/>
              </w:rPr>
              <w:t>ARTG number:</w:t>
            </w:r>
          </w:p>
        </w:tc>
        <w:tc>
          <w:tcPr>
            <w:tcW w:w="3423" w:type="pct"/>
          </w:tcPr>
          <w:p w14:paraId="43299129" w14:textId="049C39F9" w:rsidR="00BD4A9B" w:rsidRPr="00BD5DBD" w:rsidRDefault="00A23492" w:rsidP="00BD4A9B">
            <w:pPr>
              <w:rPr>
                <w:color w:val="00709D"/>
                <w:szCs w:val="22"/>
              </w:rPr>
            </w:pPr>
            <w:hyperlink r:id="rId21" w:history="1">
              <w:r w:rsidRPr="00A23492">
                <w:rPr>
                  <w:rStyle w:val="Hyperlink"/>
                  <w:szCs w:val="22"/>
                </w:rPr>
                <w:t>55242</w:t>
              </w:r>
            </w:hyperlink>
          </w:p>
        </w:tc>
      </w:tr>
      <w:tr w:rsidR="00BD4A9B" w:rsidRPr="00BD5DBD" w14:paraId="7618393F" w14:textId="77777777" w:rsidTr="00BD4A9B">
        <w:tc>
          <w:tcPr>
            <w:tcW w:w="1577" w:type="pct"/>
          </w:tcPr>
          <w:p w14:paraId="02260DE2" w14:textId="193007BD" w:rsidR="00BD4A9B" w:rsidRPr="00BD5DBD" w:rsidRDefault="00BD4A9B" w:rsidP="00BD4A9B">
            <w:pPr>
              <w:rPr>
                <w:i/>
                <w:szCs w:val="22"/>
              </w:rPr>
            </w:pPr>
            <w:r w:rsidRPr="00BD5DBD">
              <w:rPr>
                <w:rFonts w:ascii="Wingdings 3" w:hAnsi="Wingdings 3"/>
                <w:szCs w:val="22"/>
                <w:lang w:eastAsia="en-AU"/>
              </w:rPr>
              <w:t></w:t>
            </w:r>
            <w:hyperlink r:id="rId22" w:history="1">
              <w:r w:rsidRPr="00BD5DBD">
                <w:rPr>
                  <w:rStyle w:val="Hyperlink"/>
                  <w:i/>
                  <w:szCs w:val="22"/>
                </w:rPr>
                <w:t>Black Triangle Scheme</w:t>
              </w:r>
            </w:hyperlink>
          </w:p>
        </w:tc>
        <w:tc>
          <w:tcPr>
            <w:tcW w:w="3423" w:type="pct"/>
          </w:tcPr>
          <w:p w14:paraId="6FF3C6A2" w14:textId="44E4FA5D" w:rsidR="00BD4A9B" w:rsidRPr="00BD5DBD" w:rsidRDefault="00BD4A9B" w:rsidP="00BD4A9B">
            <w:pPr>
              <w:rPr>
                <w:szCs w:val="22"/>
              </w:rPr>
            </w:pPr>
            <w:r w:rsidRPr="00BD5DBD">
              <w:rPr>
                <w:szCs w:val="22"/>
              </w:rPr>
              <w:t>No</w:t>
            </w:r>
          </w:p>
        </w:tc>
      </w:tr>
      <w:tr w:rsidR="00BD4A9B" w:rsidRPr="00BD5DBD" w14:paraId="179E09FE" w14:textId="77777777" w:rsidTr="00BD4A9B">
        <w:tc>
          <w:tcPr>
            <w:tcW w:w="1577" w:type="pct"/>
          </w:tcPr>
          <w:p w14:paraId="1A592498" w14:textId="25647A0F" w:rsidR="00BD4A9B" w:rsidRPr="00BD5DBD" w:rsidRDefault="00AC757F" w:rsidP="00BD4A9B">
            <w:pPr>
              <w:rPr>
                <w:i/>
                <w:szCs w:val="22"/>
              </w:rPr>
            </w:pPr>
            <w:r>
              <w:rPr>
                <w:i/>
                <w:szCs w:val="22"/>
              </w:rPr>
              <w:t>Sponsor</w:t>
            </w:r>
            <w:r w:rsidR="00BD4A9B" w:rsidRPr="00BD5DBD">
              <w:rPr>
                <w:i/>
                <w:szCs w:val="22"/>
              </w:rPr>
              <w:t>’s name and address:</w:t>
            </w:r>
          </w:p>
        </w:tc>
        <w:tc>
          <w:tcPr>
            <w:tcW w:w="3423" w:type="pct"/>
          </w:tcPr>
          <w:p w14:paraId="68DD94B0" w14:textId="1D2BD243" w:rsidR="00BD4A9B" w:rsidRPr="00BD5DBD" w:rsidRDefault="00A23492" w:rsidP="00A23492">
            <w:pPr>
              <w:rPr>
                <w:szCs w:val="22"/>
              </w:rPr>
            </w:pPr>
            <w:r w:rsidRPr="00A23492">
              <w:rPr>
                <w:szCs w:val="22"/>
                <w:lang w:val="en-US"/>
              </w:rPr>
              <w:t>AstraZeneca Pty Ltd</w:t>
            </w:r>
            <w:r>
              <w:rPr>
                <w:szCs w:val="22"/>
                <w:lang w:val="en-US"/>
              </w:rPr>
              <w:t xml:space="preserve">, </w:t>
            </w:r>
            <w:r w:rsidRPr="00A23492">
              <w:rPr>
                <w:szCs w:val="22"/>
                <w:lang w:val="en-US"/>
              </w:rPr>
              <w:t>66 Talavera Road</w:t>
            </w:r>
            <w:r>
              <w:rPr>
                <w:szCs w:val="22"/>
                <w:lang w:val="en-US"/>
              </w:rPr>
              <w:t xml:space="preserve">, Macquarie Park, </w:t>
            </w:r>
            <w:r w:rsidRPr="00A23492">
              <w:rPr>
                <w:szCs w:val="22"/>
                <w:lang w:val="en-US"/>
              </w:rPr>
              <w:t>NSW</w:t>
            </w:r>
            <w:r>
              <w:rPr>
                <w:szCs w:val="22"/>
                <w:lang w:val="en-US"/>
              </w:rPr>
              <w:t>,</w:t>
            </w:r>
            <w:r w:rsidRPr="00A23492">
              <w:rPr>
                <w:szCs w:val="22"/>
                <w:lang w:val="en-US"/>
              </w:rPr>
              <w:t xml:space="preserve"> 2113</w:t>
            </w:r>
          </w:p>
        </w:tc>
      </w:tr>
      <w:tr w:rsidR="00BD4A9B" w:rsidRPr="00BD5DBD" w14:paraId="5322B989" w14:textId="77777777" w:rsidTr="00BD4A9B">
        <w:tc>
          <w:tcPr>
            <w:tcW w:w="1577" w:type="pct"/>
          </w:tcPr>
          <w:p w14:paraId="24F217E3" w14:textId="4AF09732" w:rsidR="00BD4A9B" w:rsidRPr="00BD5DBD" w:rsidRDefault="00BD4A9B" w:rsidP="00BD4A9B">
            <w:pPr>
              <w:rPr>
                <w:i/>
                <w:szCs w:val="22"/>
              </w:rPr>
            </w:pPr>
            <w:r w:rsidRPr="00BD5DBD">
              <w:rPr>
                <w:i/>
                <w:szCs w:val="22"/>
              </w:rPr>
              <w:t>Dose form:</w:t>
            </w:r>
          </w:p>
        </w:tc>
        <w:tc>
          <w:tcPr>
            <w:tcW w:w="3423" w:type="pct"/>
          </w:tcPr>
          <w:p w14:paraId="768B254C" w14:textId="14B42053" w:rsidR="00BD4A9B" w:rsidRPr="00BD5DBD" w:rsidRDefault="00A23492" w:rsidP="00BD4A9B">
            <w:pPr>
              <w:rPr>
                <w:szCs w:val="22"/>
              </w:rPr>
            </w:pPr>
            <w:r>
              <w:rPr>
                <w:szCs w:val="22"/>
              </w:rPr>
              <w:t>I</w:t>
            </w:r>
            <w:r w:rsidRPr="00A23492">
              <w:rPr>
                <w:szCs w:val="22"/>
              </w:rPr>
              <w:t>mplant</w:t>
            </w:r>
          </w:p>
        </w:tc>
      </w:tr>
      <w:tr w:rsidR="00BD4A9B" w:rsidRPr="00BD5DBD" w14:paraId="115243E6" w14:textId="77777777" w:rsidTr="00BD4A9B">
        <w:tc>
          <w:tcPr>
            <w:tcW w:w="1577" w:type="pct"/>
          </w:tcPr>
          <w:p w14:paraId="7634B062" w14:textId="0AE54404" w:rsidR="00BD4A9B" w:rsidRPr="00BD5DBD" w:rsidRDefault="00BD4A9B" w:rsidP="00BD4A9B">
            <w:pPr>
              <w:rPr>
                <w:i/>
                <w:szCs w:val="22"/>
              </w:rPr>
            </w:pPr>
            <w:r w:rsidRPr="00BD5DBD">
              <w:rPr>
                <w:i/>
                <w:szCs w:val="22"/>
              </w:rPr>
              <w:t>Strength:</w:t>
            </w:r>
          </w:p>
        </w:tc>
        <w:tc>
          <w:tcPr>
            <w:tcW w:w="3423" w:type="pct"/>
          </w:tcPr>
          <w:p w14:paraId="5E5F83DB" w14:textId="6470F82A" w:rsidR="00BD4A9B" w:rsidRPr="00BD5DBD" w:rsidRDefault="00A23492" w:rsidP="00BD4A9B">
            <w:pPr>
              <w:rPr>
                <w:szCs w:val="22"/>
              </w:rPr>
            </w:pPr>
            <w:r w:rsidRPr="00A23492">
              <w:rPr>
                <w:szCs w:val="22"/>
                <w:lang w:val="en-US"/>
              </w:rPr>
              <w:t xml:space="preserve">Each Zoladex </w:t>
            </w:r>
            <w:r w:rsidR="0085130E">
              <w:rPr>
                <w:szCs w:val="22"/>
                <w:lang w:val="en-US"/>
              </w:rPr>
              <w:t>i</w:t>
            </w:r>
            <w:r w:rsidRPr="00A23492">
              <w:rPr>
                <w:szCs w:val="22"/>
                <w:lang w:val="en-US"/>
              </w:rPr>
              <w:t>mplant contains goserelin 10.8 mg (as goserelin acetate)</w:t>
            </w:r>
          </w:p>
        </w:tc>
      </w:tr>
      <w:tr w:rsidR="00BD4A9B" w:rsidRPr="00BD5DBD" w14:paraId="34B07BA6" w14:textId="77777777" w:rsidTr="00BD4A9B">
        <w:tc>
          <w:tcPr>
            <w:tcW w:w="1577" w:type="pct"/>
          </w:tcPr>
          <w:p w14:paraId="1C039224" w14:textId="186F01AE" w:rsidR="00BD4A9B" w:rsidRPr="00BD5DBD" w:rsidRDefault="00BD4A9B" w:rsidP="00BD4A9B">
            <w:pPr>
              <w:rPr>
                <w:i/>
                <w:szCs w:val="22"/>
              </w:rPr>
            </w:pPr>
            <w:r w:rsidRPr="00BD5DBD">
              <w:rPr>
                <w:i/>
                <w:szCs w:val="22"/>
              </w:rPr>
              <w:t>Container:</w:t>
            </w:r>
          </w:p>
        </w:tc>
        <w:tc>
          <w:tcPr>
            <w:tcW w:w="3423" w:type="pct"/>
          </w:tcPr>
          <w:p w14:paraId="500A42C6" w14:textId="300CB04F" w:rsidR="00BD4A9B" w:rsidRPr="00BD5DBD" w:rsidRDefault="00BA2091" w:rsidP="00BD4A9B">
            <w:pPr>
              <w:rPr>
                <w:szCs w:val="22"/>
              </w:rPr>
            </w:pPr>
            <w:r w:rsidRPr="00BA2091">
              <w:rPr>
                <w:szCs w:val="22"/>
              </w:rPr>
              <w:t xml:space="preserve">Zoladex </w:t>
            </w:r>
            <w:r w:rsidR="00A23492" w:rsidRPr="00A23492">
              <w:rPr>
                <w:szCs w:val="22"/>
              </w:rPr>
              <w:t>10.8 mg SAFESYSTEM Implant is supplied as a sterile, biodegradable cylindrical implant containing the equivalent of 10.8 mg of goserelin base together with the inactive ingredient polyglactin and is presented as 1x (one) pre-filled syringe applicator</w:t>
            </w:r>
            <w:r w:rsidR="00A23492">
              <w:rPr>
                <w:szCs w:val="22"/>
              </w:rPr>
              <w:t>.</w:t>
            </w:r>
          </w:p>
        </w:tc>
      </w:tr>
      <w:tr w:rsidR="00BD4A9B" w:rsidRPr="00BD5DBD" w14:paraId="176B6773" w14:textId="77777777" w:rsidTr="00BD4A9B">
        <w:tc>
          <w:tcPr>
            <w:tcW w:w="1577" w:type="pct"/>
          </w:tcPr>
          <w:p w14:paraId="71846159" w14:textId="75A03AD6" w:rsidR="00BD4A9B" w:rsidRPr="00BD5DBD" w:rsidRDefault="00BD4A9B" w:rsidP="00BD4A9B">
            <w:pPr>
              <w:rPr>
                <w:i/>
                <w:szCs w:val="22"/>
              </w:rPr>
            </w:pPr>
            <w:r w:rsidRPr="00BD5DBD">
              <w:rPr>
                <w:i/>
                <w:szCs w:val="22"/>
              </w:rPr>
              <w:t>Pack size:</w:t>
            </w:r>
          </w:p>
        </w:tc>
        <w:tc>
          <w:tcPr>
            <w:tcW w:w="3423" w:type="pct"/>
          </w:tcPr>
          <w:p w14:paraId="7E978F8F" w14:textId="745ADDED" w:rsidR="00BD4A9B" w:rsidRPr="00BD5DBD" w:rsidRDefault="00A23492" w:rsidP="00BD4A9B">
            <w:pPr>
              <w:rPr>
                <w:szCs w:val="22"/>
              </w:rPr>
            </w:pPr>
            <w:r>
              <w:rPr>
                <w:szCs w:val="22"/>
              </w:rPr>
              <w:t>1 pre-filled syringe per carton</w:t>
            </w:r>
          </w:p>
        </w:tc>
      </w:tr>
      <w:tr w:rsidR="00BD4A9B" w:rsidRPr="00BD5DBD" w14:paraId="5AFDEED3" w14:textId="77777777" w:rsidTr="00BD4A9B">
        <w:tc>
          <w:tcPr>
            <w:tcW w:w="1577" w:type="pct"/>
          </w:tcPr>
          <w:p w14:paraId="03884BD1" w14:textId="635F1C90" w:rsidR="00BD4A9B" w:rsidRPr="00BD5DBD" w:rsidRDefault="00BD4A9B" w:rsidP="00BD4A9B">
            <w:pPr>
              <w:rPr>
                <w:i/>
                <w:szCs w:val="22"/>
              </w:rPr>
            </w:pPr>
            <w:r w:rsidRPr="00BD5DBD">
              <w:rPr>
                <w:i/>
                <w:szCs w:val="22"/>
              </w:rPr>
              <w:t>Route of administration:</w:t>
            </w:r>
          </w:p>
        </w:tc>
        <w:tc>
          <w:tcPr>
            <w:tcW w:w="3423" w:type="pct"/>
          </w:tcPr>
          <w:p w14:paraId="1ED1357E" w14:textId="2689A968" w:rsidR="00BD4A9B" w:rsidRPr="00BD5DBD" w:rsidRDefault="00A23492" w:rsidP="00BD4A9B">
            <w:pPr>
              <w:rPr>
                <w:szCs w:val="22"/>
              </w:rPr>
            </w:pPr>
            <w:r>
              <w:rPr>
                <w:szCs w:val="22"/>
              </w:rPr>
              <w:t>S</w:t>
            </w:r>
            <w:r w:rsidRPr="00A23492">
              <w:rPr>
                <w:szCs w:val="22"/>
              </w:rPr>
              <w:t>ubcutaneous injection</w:t>
            </w:r>
          </w:p>
        </w:tc>
      </w:tr>
      <w:tr w:rsidR="00BD4A9B" w:rsidRPr="00BD5DBD" w14:paraId="70D7E9FA" w14:textId="77777777" w:rsidTr="00BD4A9B">
        <w:tc>
          <w:tcPr>
            <w:tcW w:w="1577" w:type="pct"/>
          </w:tcPr>
          <w:p w14:paraId="5ABFFC80" w14:textId="77777777" w:rsidR="00BD4A9B" w:rsidRPr="00BD5DBD" w:rsidRDefault="00BD4A9B" w:rsidP="00BD4A9B">
            <w:pPr>
              <w:rPr>
                <w:i/>
                <w:szCs w:val="22"/>
              </w:rPr>
            </w:pPr>
            <w:r w:rsidRPr="00BD5DBD">
              <w:rPr>
                <w:i/>
                <w:szCs w:val="22"/>
              </w:rPr>
              <w:t>Dosage:</w:t>
            </w:r>
          </w:p>
        </w:tc>
        <w:tc>
          <w:tcPr>
            <w:tcW w:w="3423" w:type="pct"/>
          </w:tcPr>
          <w:p w14:paraId="79C0D21E" w14:textId="7F1DFB6D" w:rsidR="00BD4A9B" w:rsidRDefault="00BA2091" w:rsidP="00BD4A9B">
            <w:pPr>
              <w:rPr>
                <w:szCs w:val="22"/>
              </w:rPr>
            </w:pPr>
            <w:r w:rsidRPr="00BA2091">
              <w:rPr>
                <w:szCs w:val="22"/>
                <w:lang w:val="en-US"/>
              </w:rPr>
              <w:t>One implant of Zoladex 10.8 mg injected subcutaneously into the anterior abdominal wall, every 12 weeks</w:t>
            </w:r>
            <w:r>
              <w:rPr>
                <w:szCs w:val="22"/>
                <w:lang w:val="en-US"/>
              </w:rPr>
              <w:t>.</w:t>
            </w:r>
          </w:p>
          <w:p w14:paraId="3D0B2D5C" w14:textId="1E4FE2E9" w:rsidR="00BD4A9B" w:rsidRPr="00BD5DBD" w:rsidRDefault="00BD4A9B" w:rsidP="00BD4A9B">
            <w:pPr>
              <w:rPr>
                <w:szCs w:val="22"/>
              </w:rPr>
            </w:pPr>
            <w:r w:rsidRPr="00BD5DBD">
              <w:rPr>
                <w:szCs w:val="22"/>
              </w:rPr>
              <w:t xml:space="preserve">For further information regarding dosage, refer to the </w:t>
            </w:r>
            <w:hyperlink r:id="rId23" w:history="1">
              <w:r w:rsidRPr="000A1A6D">
                <w:rPr>
                  <w:rStyle w:val="Hyperlink"/>
                  <w:szCs w:val="22"/>
                </w:rPr>
                <w:t>Product Information</w:t>
              </w:r>
            </w:hyperlink>
            <w:r w:rsidRPr="00BD5DBD">
              <w:rPr>
                <w:szCs w:val="22"/>
              </w:rPr>
              <w:t>.</w:t>
            </w:r>
          </w:p>
        </w:tc>
      </w:tr>
      <w:tr w:rsidR="00BD4A9B" w:rsidRPr="00BD5DBD" w14:paraId="7B7BB6AE" w14:textId="77777777" w:rsidTr="00BD4A9B">
        <w:tc>
          <w:tcPr>
            <w:tcW w:w="1577" w:type="pct"/>
          </w:tcPr>
          <w:p w14:paraId="3A76AFF7" w14:textId="06184DFD" w:rsidR="00BA2091" w:rsidRPr="00EC6916" w:rsidRDefault="00BD4A9B" w:rsidP="00EC6916">
            <w:pPr>
              <w:rPr>
                <w:i/>
                <w:szCs w:val="22"/>
              </w:rPr>
            </w:pPr>
            <w:r w:rsidRPr="00BD5DBD">
              <w:rPr>
                <w:i/>
                <w:szCs w:val="22"/>
              </w:rPr>
              <w:t>Pregnancy category:</w:t>
            </w:r>
          </w:p>
        </w:tc>
        <w:tc>
          <w:tcPr>
            <w:tcW w:w="3423" w:type="pct"/>
          </w:tcPr>
          <w:p w14:paraId="35E401AF" w14:textId="77777777" w:rsidR="00BD4A9B" w:rsidRPr="007E4FF8" w:rsidRDefault="00BD4A9B" w:rsidP="00BD4A9B">
            <w:pPr>
              <w:rPr>
                <w:b/>
                <w:bCs/>
              </w:rPr>
            </w:pPr>
            <w:r w:rsidRPr="007E4FF8">
              <w:rPr>
                <w:b/>
                <w:bCs/>
              </w:rPr>
              <w:t>Category D</w:t>
            </w:r>
          </w:p>
          <w:p w14:paraId="07217151" w14:textId="6D749BDA" w:rsidR="00BD4A9B" w:rsidRPr="007E4FF8" w:rsidRDefault="00BD4A9B" w:rsidP="00BD4A9B">
            <w:r w:rsidRPr="007E4FF8">
              <w:t>Drugs which have caused, are suspected to have caused or may be expected to cause, an increased incidence of human fetal malformations or irreversible damage. These drugs may also have adverse pharmacological effects.</w:t>
            </w:r>
          </w:p>
          <w:p w14:paraId="76497789" w14:textId="634DC28C" w:rsidR="00BD4A9B" w:rsidRPr="00BD5DBD" w:rsidRDefault="00BD4A9B" w:rsidP="00BD4A9B">
            <w:pPr>
              <w:rPr>
                <w:szCs w:val="22"/>
              </w:rPr>
            </w:pPr>
            <w:r w:rsidRPr="00BD5DBD">
              <w:rPr>
                <w:szCs w:val="22"/>
              </w:rPr>
              <w:t xml:space="preserve">The use of any medicine during pregnancy requires careful consideration of both risks and benefits by the treating health professional. </w:t>
            </w:r>
            <w:r>
              <w:rPr>
                <w:szCs w:val="22"/>
              </w:rPr>
              <w:t xml:space="preserve">The </w:t>
            </w:r>
            <w:hyperlink r:id="rId24" w:history="1">
              <w:r w:rsidRPr="00065FDF">
                <w:rPr>
                  <w:rStyle w:val="Hyperlink"/>
                  <w:szCs w:val="22"/>
                </w:rPr>
                <w:t>pregnancy database</w:t>
              </w:r>
            </w:hyperlink>
            <w:r>
              <w:t xml:space="preserve"> </w:t>
            </w:r>
            <w:r w:rsidRPr="00BD5DBD">
              <w:rPr>
                <w:szCs w:val="22"/>
              </w:rPr>
              <w:t xml:space="preserve">must not be used as the sole basis of decision making in the use of medicines during pregnancy. The TGA does not provide advice on the use of medicines in pregnancy for specific cases. More information is </w:t>
            </w:r>
            <w:r w:rsidRPr="00BD5DBD">
              <w:rPr>
                <w:szCs w:val="22"/>
              </w:rPr>
              <w:lastRenderedPageBreak/>
              <w:t xml:space="preserve">available from </w:t>
            </w:r>
            <w:hyperlink r:id="rId25" w:history="1">
              <w:r w:rsidRPr="00C059D0">
                <w:rPr>
                  <w:rStyle w:val="Hyperlink"/>
                  <w:szCs w:val="22"/>
                </w:rPr>
                <w:t>obstetric drug information services</w:t>
              </w:r>
            </w:hyperlink>
            <w:r w:rsidRPr="00BD5DBD">
              <w:rPr>
                <w:szCs w:val="22"/>
              </w:rPr>
              <w:t xml:space="preserve"> in your </w:t>
            </w:r>
            <w:r>
              <w:rPr>
                <w:szCs w:val="22"/>
              </w:rPr>
              <w:t>s</w:t>
            </w:r>
            <w:r w:rsidRPr="00BD5DBD">
              <w:rPr>
                <w:szCs w:val="22"/>
              </w:rPr>
              <w:t xml:space="preserve">tate or </w:t>
            </w:r>
            <w:r>
              <w:rPr>
                <w:szCs w:val="22"/>
              </w:rPr>
              <w:t>t</w:t>
            </w:r>
            <w:r w:rsidRPr="00BD5DBD">
              <w:rPr>
                <w:szCs w:val="22"/>
              </w:rPr>
              <w:t>erritory.</w:t>
            </w:r>
          </w:p>
        </w:tc>
      </w:tr>
    </w:tbl>
    <w:p w14:paraId="51F2479F" w14:textId="1E34B277" w:rsidR="00324B33" w:rsidRDefault="00324B33" w:rsidP="00324B33">
      <w:pPr>
        <w:pStyle w:val="Heading3"/>
      </w:pPr>
      <w:bookmarkStart w:id="11" w:name="_Toc247691503"/>
      <w:bookmarkStart w:id="12" w:name="_Toc314842484"/>
      <w:bookmarkStart w:id="13" w:name="_Toc103679290"/>
      <w:bookmarkStart w:id="14" w:name="_Toc241498801"/>
      <w:r>
        <w:lastRenderedPageBreak/>
        <w:t>Product background</w:t>
      </w:r>
      <w:bookmarkEnd w:id="11"/>
      <w:bookmarkEnd w:id="12"/>
      <w:bookmarkEnd w:id="13"/>
      <w:bookmarkEnd w:id="14"/>
    </w:p>
    <w:p w14:paraId="59BF31D1" w14:textId="3ADB831A" w:rsidR="001500A8" w:rsidRDefault="00324B33" w:rsidP="00065839">
      <w:r w:rsidRPr="00BA2091">
        <w:t xml:space="preserve">This AusPAR describes the submission by </w:t>
      </w:r>
      <w:r w:rsidR="00BA2091" w:rsidRPr="00BA2091">
        <w:t>AstraZeneca Pty Ltd</w:t>
      </w:r>
      <w:r w:rsidRPr="00BA2091">
        <w:t xml:space="preserve"> (the </w:t>
      </w:r>
      <w:r w:rsidR="00AC757F">
        <w:t>Sponsor</w:t>
      </w:r>
      <w:r w:rsidRPr="00BA2091">
        <w:t xml:space="preserve">) to register </w:t>
      </w:r>
      <w:r w:rsidR="00BA2091" w:rsidRPr="00BA2091">
        <w:t xml:space="preserve">Zoladex 10.8 Implant (goserelin) </w:t>
      </w:r>
      <w:r w:rsidR="0085130E">
        <w:t xml:space="preserve">for the following </w:t>
      </w:r>
      <w:r w:rsidR="008C341F" w:rsidRPr="00BA2091">
        <w:t>extension of indications</w:t>
      </w:r>
      <w:r w:rsidRPr="00BA2091">
        <w:t>:</w:t>
      </w:r>
      <w:r w:rsidR="00D63760" w:rsidRPr="00BA2091">
        <w:rPr>
          <w:vertAlign w:val="superscript"/>
        </w:rPr>
        <w:footnoteReference w:id="1"/>
      </w:r>
    </w:p>
    <w:p w14:paraId="665E5FA2" w14:textId="77777777" w:rsidR="00BA2091" w:rsidRPr="00EC6916" w:rsidRDefault="00BA2091" w:rsidP="00EC6916">
      <w:pPr>
        <w:ind w:left="720"/>
        <w:rPr>
          <w:b/>
          <w:bCs/>
          <w:i/>
          <w:iCs/>
        </w:rPr>
      </w:pPr>
      <w:r w:rsidRPr="00EC6916">
        <w:rPr>
          <w:b/>
          <w:bCs/>
          <w:i/>
          <w:iCs/>
        </w:rPr>
        <w:t>Breast cancer</w:t>
      </w:r>
    </w:p>
    <w:p w14:paraId="55E6BE59" w14:textId="7DEF74BD" w:rsidR="00BA2091" w:rsidRPr="00EC6916" w:rsidRDefault="00BA2091" w:rsidP="00EC6916">
      <w:pPr>
        <w:ind w:left="720"/>
        <w:rPr>
          <w:i/>
          <w:iCs/>
        </w:rPr>
      </w:pPr>
      <w:r w:rsidRPr="00EC6916">
        <w:rPr>
          <w:i/>
          <w:iCs/>
        </w:rPr>
        <w:t>Management of oestrogen-receptor (ER) positive early and advanced breast cancer in pre and peri menopausal women.</w:t>
      </w:r>
    </w:p>
    <w:p w14:paraId="1E63A2AE" w14:textId="57032FA5" w:rsidR="00CB6813" w:rsidRDefault="00BA2091" w:rsidP="00CB6813">
      <w:pPr>
        <w:pStyle w:val="Heading4"/>
      </w:pPr>
      <w:bookmarkStart w:id="15" w:name="_Ref240635207"/>
      <w:bookmarkStart w:id="16" w:name="_Toc314842485"/>
      <w:bookmarkStart w:id="17" w:name="_Toc247691504"/>
      <w:bookmarkStart w:id="18" w:name="_Toc241498802"/>
      <w:r>
        <w:t>C</w:t>
      </w:r>
      <w:r w:rsidR="006428C5">
        <w:t>ondition</w:t>
      </w:r>
      <w:r>
        <w:t xml:space="preserve"> and c</w:t>
      </w:r>
      <w:r w:rsidRPr="00BA2091">
        <w:t>urrent treatment options</w:t>
      </w:r>
      <w:bookmarkEnd w:id="15"/>
      <w:bookmarkEnd w:id="18"/>
    </w:p>
    <w:p w14:paraId="03AF2178" w14:textId="77777777" w:rsidR="00BA2091" w:rsidRPr="00BA2091" w:rsidRDefault="00BA2091" w:rsidP="00EC6916">
      <w:r w:rsidRPr="00BA2091">
        <w:t xml:space="preserve">Breast cancer is the </w:t>
      </w:r>
      <w:proofErr w:type="gramStart"/>
      <w:r w:rsidRPr="00BA2091">
        <w:t>most commonly diagnosed</w:t>
      </w:r>
      <w:proofErr w:type="gramEnd"/>
      <w:r w:rsidRPr="00BA2091">
        <w:t xml:space="preserve"> cancer in women worldwide and is the leading cause of cancer death in women. Globally, the age-standardised incidence rate was 87.7 per 100,000 while that for mortality was 14.0 per 100,000.</w:t>
      </w:r>
    </w:p>
    <w:p w14:paraId="70A3A10D" w14:textId="6B04B72F" w:rsidR="00BA2091" w:rsidRPr="00BA2091" w:rsidRDefault="00BA2091" w:rsidP="00EC6916">
      <w:r w:rsidRPr="00BA2091">
        <w:t>In Australia, there are projected to be 20,336 new cases of breast cancer (20,129 in women; 207 in men) diagnosed in 2025, which is an age-standardised incidence rate of 73.5 per 100,000 persons (140.1 per 100,000 females; 1.6 per 100,000 males)</w:t>
      </w:r>
      <w:r>
        <w:rPr>
          <w:rStyle w:val="FootnoteReference"/>
        </w:rPr>
        <w:footnoteReference w:id="2"/>
      </w:r>
      <w:r w:rsidRPr="00BA2091">
        <w:t>. In 2025, approximately 3,300 deaths due to breast cancer are predicted in Australia, which is an age-standardised rate of 12.1 deaths per 100,000 people</w:t>
      </w:r>
      <w:r w:rsidR="00AC6B45">
        <w:rPr>
          <w:rStyle w:val="FootnoteReference"/>
        </w:rPr>
        <w:footnoteReference w:id="3"/>
      </w:r>
      <w:r w:rsidRPr="00BA2091">
        <w:t>. Five-year survival rates for breast cancer in Australia are 92.7% overall</w:t>
      </w:r>
      <w:r w:rsidR="00AC6B45">
        <w:rPr>
          <w:rStyle w:val="FootnoteReference"/>
        </w:rPr>
        <w:footnoteReference w:id="4"/>
      </w:r>
      <w:r w:rsidRPr="00BA2091">
        <w:t>, 87.2% for First Nations people</w:t>
      </w:r>
      <w:r w:rsidR="00AC6B45">
        <w:rPr>
          <w:rStyle w:val="FootnoteReference"/>
        </w:rPr>
        <w:footnoteReference w:id="5"/>
      </w:r>
      <w:r w:rsidRPr="00BA2091">
        <w:t>, and 90.4% for the most disadvantaged Australians (SEIFA quintile 1)</w:t>
      </w:r>
      <w:r w:rsidR="00AC6B45">
        <w:rPr>
          <w:rStyle w:val="FootnoteReference"/>
        </w:rPr>
        <w:footnoteReference w:id="6"/>
      </w:r>
      <w:r w:rsidRPr="00BA2091">
        <w:t>.</w:t>
      </w:r>
    </w:p>
    <w:p w14:paraId="50667339" w14:textId="3FB507FF" w:rsidR="00BA2091" w:rsidRPr="00BA2091" w:rsidRDefault="00BA2091" w:rsidP="00BA2091">
      <w:r w:rsidRPr="00BA2091">
        <w:t xml:space="preserve">Although the risk of breast cancer increases with age, approximately 11% of women with breast cancer are diagnosed before the age of 45 years, i.e. when they are pre- and perimenopausal. Approximately 80% of premenopausal patients with breast cancer have ER-positive tumours. Thus, oestradiol </w:t>
      </w:r>
      <w:r w:rsidR="00E402B9">
        <w:t xml:space="preserve">(E2) </w:t>
      </w:r>
      <w:r w:rsidRPr="00BA2091">
        <w:t xml:space="preserve">deprivation is an important strategy for controlling disease in these patients. Goserelin is </w:t>
      </w:r>
      <w:proofErr w:type="gramStart"/>
      <w:r w:rsidRPr="00BA2091">
        <w:t>an</w:t>
      </w:r>
      <w:proofErr w:type="gramEnd"/>
      <w:r w:rsidRPr="00BA2091">
        <w:t xml:space="preserve"> </w:t>
      </w:r>
      <w:r w:rsidR="00E402B9" w:rsidRPr="00E402B9">
        <w:t>luteinising hormone-releasing hormone</w:t>
      </w:r>
      <w:r w:rsidR="00E402B9">
        <w:t xml:space="preserve"> (</w:t>
      </w:r>
      <w:r w:rsidR="00E402B9" w:rsidRPr="00E402B9">
        <w:t>LH-RH</w:t>
      </w:r>
      <w:r w:rsidR="00E402B9">
        <w:t>)</w:t>
      </w:r>
      <w:r w:rsidR="00E402B9" w:rsidRPr="00E402B9">
        <w:t xml:space="preserve"> </w:t>
      </w:r>
      <w:r w:rsidRPr="00BA2091">
        <w:t>agonist which provides reversible ovarian function suppression (OFS).</w:t>
      </w:r>
    </w:p>
    <w:p w14:paraId="055F2328" w14:textId="77777777" w:rsidR="00BA2091" w:rsidRPr="00BA2091" w:rsidRDefault="00BA2091" w:rsidP="00EC6916">
      <w:r w:rsidRPr="00BA2091">
        <w:t xml:space="preserve">Current clinical guidelines, including those from the National Institute for Health and Care Excellence (NICE), recommend adjuvant OFS in combination with endocrine therapy (such as tamoxifen or aromatase inhibitors) for premenopausal women with ER-positive invasive breast cancer. The European Society for Medical Oncology (ESMO), American Society of Clinical </w:t>
      </w:r>
      <w:r w:rsidRPr="00BA2091">
        <w:lastRenderedPageBreak/>
        <w:t>Oncology (ASCO), and National Comprehensive Cancer Network (NCCN) recommend that the combination may be most beneficial for women at higher risk of relapse. However, the guidelines, including NICE, encourage a balanced discussion of the benefits and risks of adding OFS to endocrine therapy in all patients for whom this regimen is considered.</w:t>
      </w:r>
    </w:p>
    <w:p w14:paraId="706AB341" w14:textId="36ABD15F" w:rsidR="00BA2091" w:rsidRPr="00BA2091" w:rsidRDefault="00BA2091" w:rsidP="00BA2091">
      <w:r w:rsidRPr="00BA2091">
        <w:t xml:space="preserve">The recommendation for adjuvant OFS in combination with endocrine therapy is based on data from </w:t>
      </w:r>
      <w:r w:rsidR="00E402B9">
        <w:t>two</w:t>
      </w:r>
      <w:r w:rsidRPr="00BA2091">
        <w:t xml:space="preserve"> large, randomised studies (Suppression of Ovarian Function Trial [SOFT] and Tamoxifen and Exemestane Trial [TEXT]), which showed that ovarian suppression plus tamoxifen increased disease-free survival</w:t>
      </w:r>
      <w:r w:rsidR="00D53978">
        <w:t xml:space="preserve"> </w:t>
      </w:r>
      <w:r w:rsidRPr="00BA2091">
        <w:t>and overall survival</w:t>
      </w:r>
      <w:r w:rsidR="00D53978">
        <w:t xml:space="preserve"> </w:t>
      </w:r>
      <w:r w:rsidRPr="00BA2091">
        <w:t>compared with tamoxifen alone, while ovarian suppression plus an aromatase inhibitor (exemestane) resulted in higher rates of freedom from recurrence.</w:t>
      </w:r>
      <w:r w:rsidR="00F429D9">
        <w:rPr>
          <w:rStyle w:val="FootnoteReference"/>
        </w:rPr>
        <w:footnoteReference w:id="7"/>
      </w:r>
    </w:p>
    <w:p w14:paraId="37C47E09" w14:textId="14D3762D" w:rsidR="00CB6813" w:rsidRDefault="00CB6813" w:rsidP="00CB6813">
      <w:pPr>
        <w:pStyle w:val="Heading4"/>
      </w:pPr>
      <w:bookmarkStart w:id="19" w:name="_Toc241498803"/>
      <w:r>
        <w:t>C</w:t>
      </w:r>
      <w:r w:rsidRPr="00DE1344">
        <w:t>linical rational</w:t>
      </w:r>
      <w:r w:rsidR="0025785B">
        <w:t>e</w:t>
      </w:r>
      <w:bookmarkEnd w:id="19"/>
    </w:p>
    <w:p w14:paraId="58318AF2" w14:textId="533B7B77" w:rsidR="00BA2091" w:rsidRPr="00BA2091" w:rsidRDefault="00BA2091" w:rsidP="00EC6916">
      <w:r w:rsidRPr="00BA2091">
        <w:t>Goserelin acetate is a synthetic decapeptide analogue of naturally occurring LH-RH that acts as a LH-RH agonist. Chronic administration of</w:t>
      </w:r>
      <w:r>
        <w:t xml:space="preserve"> </w:t>
      </w:r>
      <w:r w:rsidRPr="00BA2091">
        <w:t>a LH-RH agonist using a depot formulation (such as Zoladex) results in an initial stimulation</w:t>
      </w:r>
      <w:r>
        <w:t xml:space="preserve"> </w:t>
      </w:r>
      <w:r w:rsidRPr="00BA2091">
        <w:t>of gonadotrophin release, which is quickly followed by a reduction in gonadotrophin secretion</w:t>
      </w:r>
      <w:r>
        <w:t xml:space="preserve"> </w:t>
      </w:r>
      <w:r w:rsidRPr="00BA2091">
        <w:t>due to downregulation of the anterior pituitary gland LH-RH receptors,</w:t>
      </w:r>
      <w:r w:rsidR="001B7B06">
        <w:rPr>
          <w:rStyle w:val="FootnoteReference"/>
        </w:rPr>
        <w:footnoteReference w:id="8"/>
      </w:r>
      <w:r w:rsidRPr="00BA2091">
        <w:t xml:space="preserve"> and a subsequent decrease in the serum testosterone concentrations in males,</w:t>
      </w:r>
      <w:r>
        <w:t xml:space="preserve"> </w:t>
      </w:r>
      <w:r w:rsidRPr="00BA2091">
        <w:t>and serum E2 concentrations in females</w:t>
      </w:r>
      <w:r w:rsidR="001B7B06">
        <w:t xml:space="preserve"> </w:t>
      </w:r>
      <w:r w:rsidR="001B7B06" w:rsidRPr="001B7B06">
        <w:rPr>
          <w:rStyle w:val="FootnoteReference"/>
        </w:rPr>
        <w:footnoteReference w:id="9"/>
      </w:r>
      <w:r w:rsidR="001B7B06" w:rsidRPr="001B7B06">
        <w:rPr>
          <w:vertAlign w:val="superscript"/>
        </w:rPr>
        <w:t>,</w:t>
      </w:r>
      <w:r w:rsidR="001B7B06" w:rsidRPr="001B7B06">
        <w:rPr>
          <w:rStyle w:val="FootnoteReference"/>
        </w:rPr>
        <w:footnoteReference w:id="10"/>
      </w:r>
      <w:r w:rsidR="001B7B06" w:rsidRPr="001B7B06">
        <w:rPr>
          <w:vertAlign w:val="superscript"/>
        </w:rPr>
        <w:t>,</w:t>
      </w:r>
      <w:r w:rsidR="001B7B06" w:rsidRPr="001B7B06">
        <w:rPr>
          <w:rStyle w:val="FootnoteReference"/>
        </w:rPr>
        <w:footnoteReference w:id="11"/>
      </w:r>
      <w:r w:rsidR="001B7B06" w:rsidRPr="001B7B06">
        <w:rPr>
          <w:vertAlign w:val="superscript"/>
        </w:rPr>
        <w:t>,</w:t>
      </w:r>
      <w:r w:rsidR="001B7B06" w:rsidRPr="001B7B06">
        <w:rPr>
          <w:rStyle w:val="FootnoteReference"/>
        </w:rPr>
        <w:footnoteReference w:id="12"/>
      </w:r>
      <w:r w:rsidRPr="00BA2091">
        <w:t>. In premenopausal women with hormone</w:t>
      </w:r>
      <w:r>
        <w:t xml:space="preserve"> </w:t>
      </w:r>
      <w:r w:rsidRPr="00BA2091">
        <w:t>receptor (HR)-positive breast cancer, suppression of serum E2 to concentrations comparable</w:t>
      </w:r>
      <w:r>
        <w:t xml:space="preserve"> </w:t>
      </w:r>
      <w:r w:rsidRPr="00BA2091">
        <w:t>with those seen in postmenopausal women (&lt; 30 pg/mL [110 pmol/L])</w:t>
      </w:r>
      <w:r w:rsidR="001B7B06">
        <w:rPr>
          <w:rStyle w:val="FootnoteReference"/>
        </w:rPr>
        <w:footnoteReference w:id="13"/>
      </w:r>
      <w:r w:rsidRPr="00BA2091">
        <w:t xml:space="preserve"> is</w:t>
      </w:r>
      <w:r>
        <w:t xml:space="preserve"> </w:t>
      </w:r>
      <w:r w:rsidRPr="00BA2091">
        <w:t>regarded as an important strategy for controlling disease in these patients</w:t>
      </w:r>
      <w:r w:rsidR="001B7B06">
        <w:t>.</w:t>
      </w:r>
    </w:p>
    <w:p w14:paraId="0D615854" w14:textId="77777777" w:rsidR="00324B33" w:rsidRPr="003F31A2" w:rsidRDefault="00324B33" w:rsidP="00324B33">
      <w:pPr>
        <w:pStyle w:val="Heading3"/>
      </w:pPr>
      <w:bookmarkStart w:id="20" w:name="_Toc103679291"/>
      <w:bookmarkStart w:id="21" w:name="_Toc241498804"/>
      <w:r>
        <w:t>Regulatory status</w:t>
      </w:r>
      <w:bookmarkEnd w:id="16"/>
      <w:bookmarkEnd w:id="17"/>
      <w:bookmarkEnd w:id="20"/>
      <w:bookmarkEnd w:id="21"/>
    </w:p>
    <w:p w14:paraId="72C889D6" w14:textId="7E200950" w:rsidR="0017005C" w:rsidRDefault="0017005C" w:rsidP="00741AB9">
      <w:pPr>
        <w:pStyle w:val="Heading4"/>
      </w:pPr>
      <w:bookmarkStart w:id="22" w:name="_Toc241498805"/>
      <w:r w:rsidRPr="00BD5DBD">
        <w:t>Australian regulatory</w:t>
      </w:r>
      <w:r>
        <w:t xml:space="preserve"> sta</w:t>
      </w:r>
      <w:r w:rsidR="0025785B">
        <w:t>t</w:t>
      </w:r>
      <w:r>
        <w:t>us</w:t>
      </w:r>
      <w:bookmarkEnd w:id="22"/>
    </w:p>
    <w:p w14:paraId="087F55D6" w14:textId="2B288D13" w:rsidR="001B7B06" w:rsidRDefault="001B7B06" w:rsidP="00EC6916">
      <w:r w:rsidRPr="001B7B06">
        <w:t xml:space="preserve">The Zoladex (goserelin) 3.6 mg implant was first listed on the ARTG on </w:t>
      </w:r>
      <w:hyperlink r:id="rId26" w:history="1">
        <w:r w:rsidRPr="003A552C">
          <w:rPr>
            <w:rStyle w:val="Hyperlink"/>
          </w:rPr>
          <w:t>14 Oct</w:t>
        </w:r>
        <w:r w:rsidR="003A552C" w:rsidRPr="003A552C">
          <w:rPr>
            <w:rStyle w:val="Hyperlink"/>
          </w:rPr>
          <w:t>ober</w:t>
        </w:r>
        <w:r w:rsidRPr="003A552C">
          <w:rPr>
            <w:rStyle w:val="Hyperlink"/>
          </w:rPr>
          <w:t xml:space="preserve"> 1991</w:t>
        </w:r>
      </w:hyperlink>
      <w:r w:rsidRPr="001B7B06">
        <w:t xml:space="preserve">; the 10.8 mg implant was first registered on </w:t>
      </w:r>
      <w:hyperlink r:id="rId27" w:history="1">
        <w:r w:rsidRPr="003A552C">
          <w:rPr>
            <w:rStyle w:val="Hyperlink"/>
          </w:rPr>
          <w:t>22 May 1996</w:t>
        </w:r>
      </w:hyperlink>
      <w:r w:rsidRPr="001B7B06">
        <w:t>.</w:t>
      </w:r>
    </w:p>
    <w:p w14:paraId="337F805A" w14:textId="01FBABF3" w:rsidR="001B7B06" w:rsidRPr="001B7B06" w:rsidRDefault="001B7B06" w:rsidP="001B7B06">
      <w:r w:rsidRPr="001B7B06">
        <w:t>This submission relates to the 10.8 mg strength only.</w:t>
      </w:r>
    </w:p>
    <w:p w14:paraId="180CB55B" w14:textId="77777777" w:rsidR="001B7B06" w:rsidRPr="001B7B06" w:rsidRDefault="001B7B06" w:rsidP="001B7B06">
      <w:r w:rsidRPr="001B7B06">
        <w:t>The current approved indications for the 10.8 mg strength are:</w:t>
      </w:r>
    </w:p>
    <w:p w14:paraId="3A9629E4" w14:textId="2F85732C" w:rsidR="001B7B06" w:rsidRPr="00EC6916" w:rsidRDefault="001B7B06" w:rsidP="00EC6916">
      <w:pPr>
        <w:ind w:left="720"/>
        <w:rPr>
          <w:b/>
          <w:bCs/>
          <w:i/>
          <w:iCs/>
        </w:rPr>
      </w:pPr>
      <w:r w:rsidRPr="00EC6916">
        <w:rPr>
          <w:b/>
          <w:bCs/>
          <w:i/>
          <w:iCs/>
        </w:rPr>
        <w:t>Prostate cancer</w:t>
      </w:r>
    </w:p>
    <w:p w14:paraId="2DD1F4C2" w14:textId="2DA021BF" w:rsidR="001B7B06" w:rsidRPr="00EC6916" w:rsidRDefault="001B7B06" w:rsidP="00EC6916">
      <w:pPr>
        <w:ind w:left="720"/>
        <w:rPr>
          <w:i/>
          <w:iCs/>
        </w:rPr>
      </w:pPr>
      <w:r w:rsidRPr="00EC6916">
        <w:rPr>
          <w:i/>
          <w:iCs/>
        </w:rPr>
        <w:t>Palliative treatment of metastatic (M+) or locally advanced prostate cancer where suitable for hormonal manipulation.</w:t>
      </w:r>
    </w:p>
    <w:p w14:paraId="6AA783A7" w14:textId="77777777" w:rsidR="001B7B06" w:rsidRPr="00EC6916" w:rsidRDefault="001B7B06" w:rsidP="00EC6916">
      <w:pPr>
        <w:ind w:left="720"/>
        <w:rPr>
          <w:i/>
          <w:iCs/>
        </w:rPr>
      </w:pPr>
      <w:r w:rsidRPr="00EC6916">
        <w:rPr>
          <w:i/>
          <w:iCs/>
        </w:rPr>
        <w:t>Adjuvant and neoadjuvant therapy in combination with radiotherapy for the management of locally advanced prostate cancer in men suitable for hormonal manipulation.</w:t>
      </w:r>
    </w:p>
    <w:p w14:paraId="37727AF4" w14:textId="77777777" w:rsidR="001B7B06" w:rsidRPr="001B7B06" w:rsidRDefault="001B7B06" w:rsidP="003A552C">
      <w:r w:rsidRPr="003A552C">
        <w:lastRenderedPageBreak/>
        <w:t>The current approved indications for the 3.6 mg strength are</w:t>
      </w:r>
      <w:r w:rsidRPr="001B7B06">
        <w:t>:</w:t>
      </w:r>
    </w:p>
    <w:p w14:paraId="3DE3C1F3" w14:textId="6828535A" w:rsidR="001B7B06" w:rsidRPr="00EC6916" w:rsidRDefault="001B7B06" w:rsidP="00EC6916">
      <w:pPr>
        <w:ind w:left="720"/>
        <w:rPr>
          <w:b/>
          <w:bCs/>
          <w:i/>
          <w:iCs/>
        </w:rPr>
      </w:pPr>
      <w:r w:rsidRPr="00EC6916">
        <w:rPr>
          <w:b/>
          <w:bCs/>
          <w:i/>
          <w:iCs/>
        </w:rPr>
        <w:t>Prostate cancer</w:t>
      </w:r>
    </w:p>
    <w:p w14:paraId="659462EA" w14:textId="189E504D" w:rsidR="001B7B06" w:rsidRPr="00EC6916" w:rsidRDefault="001B7B06" w:rsidP="00EC6916">
      <w:pPr>
        <w:ind w:left="720"/>
        <w:rPr>
          <w:i/>
          <w:iCs/>
        </w:rPr>
      </w:pPr>
      <w:r w:rsidRPr="00EC6916">
        <w:rPr>
          <w:i/>
          <w:iCs/>
        </w:rPr>
        <w:t>Palliative treatment of metastatic (M+) or locally advanced prostate cancer, where suitable for hormonal manipulation.</w:t>
      </w:r>
    </w:p>
    <w:p w14:paraId="08A38A78" w14:textId="1E4A0493" w:rsidR="001B7B06" w:rsidRPr="00EC6916" w:rsidRDefault="001B7B06" w:rsidP="00EC6916">
      <w:pPr>
        <w:ind w:left="720"/>
        <w:rPr>
          <w:i/>
          <w:iCs/>
        </w:rPr>
      </w:pPr>
      <w:r w:rsidRPr="00EC6916">
        <w:rPr>
          <w:i/>
          <w:iCs/>
        </w:rPr>
        <w:t>Adjuvant and neo-adjuvant therapy in combination with radiotherapy for the management of locally advanced prostate cancer in men suitable for hormonal manipulation.</w:t>
      </w:r>
    </w:p>
    <w:p w14:paraId="0503E0CF" w14:textId="5701FB75" w:rsidR="001B7B06" w:rsidRPr="00EC6916" w:rsidRDefault="001B7B06" w:rsidP="00EC6916">
      <w:pPr>
        <w:ind w:left="720"/>
        <w:rPr>
          <w:b/>
          <w:bCs/>
          <w:i/>
          <w:iCs/>
        </w:rPr>
      </w:pPr>
      <w:r w:rsidRPr="00EC6916">
        <w:rPr>
          <w:b/>
          <w:bCs/>
          <w:i/>
          <w:iCs/>
        </w:rPr>
        <w:t>Breast cancer</w:t>
      </w:r>
    </w:p>
    <w:p w14:paraId="00D4160F" w14:textId="52B5AA10" w:rsidR="001B7B06" w:rsidRPr="00EC6916" w:rsidRDefault="001B7B06" w:rsidP="00EC6916">
      <w:pPr>
        <w:ind w:left="720"/>
        <w:rPr>
          <w:i/>
          <w:iCs/>
        </w:rPr>
      </w:pPr>
      <w:r w:rsidRPr="00EC6916">
        <w:rPr>
          <w:i/>
          <w:iCs/>
        </w:rPr>
        <w:t>Treatment of advanced breast cancer (T3b, T4 or any T with N2, 3 or M+) in premenopausal women suitable for hormonal manipulation.</w:t>
      </w:r>
    </w:p>
    <w:p w14:paraId="635EDB0B" w14:textId="77777777" w:rsidR="001B7B06" w:rsidRPr="00EC6916" w:rsidRDefault="001B7B06" w:rsidP="00EC6916">
      <w:pPr>
        <w:ind w:left="720"/>
        <w:rPr>
          <w:i/>
          <w:iCs/>
        </w:rPr>
      </w:pPr>
      <w:r w:rsidRPr="00EC6916">
        <w:rPr>
          <w:i/>
          <w:iCs/>
        </w:rPr>
        <w:t xml:space="preserve">Adjuvant therapy in early breast cancer, in pre- and perimenopausal women suitable for hormonal manipulation. </w:t>
      </w:r>
    </w:p>
    <w:p w14:paraId="49062B89" w14:textId="04A0A23B" w:rsidR="001B7B06" w:rsidRPr="00EC6916" w:rsidRDefault="001B7B06" w:rsidP="00EC6916">
      <w:pPr>
        <w:ind w:left="720"/>
        <w:rPr>
          <w:b/>
          <w:bCs/>
          <w:i/>
          <w:iCs/>
        </w:rPr>
      </w:pPr>
      <w:r w:rsidRPr="00EC6916">
        <w:rPr>
          <w:b/>
          <w:bCs/>
          <w:i/>
          <w:iCs/>
        </w:rPr>
        <w:t>Endometriosis</w:t>
      </w:r>
    </w:p>
    <w:p w14:paraId="0CC0F35A" w14:textId="51A8C5B6" w:rsidR="001B7B06" w:rsidRPr="00EC6916" w:rsidRDefault="001B7B06" w:rsidP="00EC6916">
      <w:pPr>
        <w:ind w:left="720"/>
        <w:rPr>
          <w:i/>
          <w:iCs/>
        </w:rPr>
      </w:pPr>
      <w:r w:rsidRPr="00EC6916">
        <w:rPr>
          <w:i/>
          <w:iCs/>
        </w:rPr>
        <w:t>In the management of visually proven endometriosis to reduce symptoms including pain and the size and number of endometrial lesions.</w:t>
      </w:r>
    </w:p>
    <w:p w14:paraId="6144693C" w14:textId="3A5AFCC7" w:rsidR="001B7B06" w:rsidRPr="00EC6916" w:rsidRDefault="001B7B06" w:rsidP="00EC6916">
      <w:pPr>
        <w:ind w:left="720"/>
        <w:rPr>
          <w:b/>
          <w:bCs/>
          <w:i/>
          <w:iCs/>
        </w:rPr>
      </w:pPr>
      <w:r w:rsidRPr="00EC6916">
        <w:rPr>
          <w:b/>
          <w:bCs/>
          <w:i/>
          <w:iCs/>
        </w:rPr>
        <w:t>Uterine fibroids</w:t>
      </w:r>
    </w:p>
    <w:p w14:paraId="1885FCB7" w14:textId="4FA03F49" w:rsidR="001B7B06" w:rsidRPr="00EC6916" w:rsidRDefault="001B7B06" w:rsidP="00EC6916">
      <w:pPr>
        <w:ind w:left="720"/>
        <w:rPr>
          <w:i/>
          <w:iCs/>
        </w:rPr>
      </w:pPr>
      <w:r w:rsidRPr="00EC6916">
        <w:rPr>
          <w:i/>
          <w:iCs/>
        </w:rPr>
        <w:t>In the management of fibroids, ZOLADEX shrinks the lesions and reduces the symptoms, including pain. ZOLADEX also increases the haemoglobin concentration and haematocrit in women with anaemia attributable to menorrhagia. It is used as an adjunct to surgery to facilitate the operative technique and reduce operative blood loss.</w:t>
      </w:r>
    </w:p>
    <w:p w14:paraId="673CAAC1" w14:textId="702EF3C4" w:rsidR="001B7B06" w:rsidRPr="00EC6916" w:rsidRDefault="001B7B06" w:rsidP="00EC6916">
      <w:pPr>
        <w:ind w:left="720"/>
        <w:rPr>
          <w:b/>
          <w:bCs/>
          <w:i/>
          <w:iCs/>
        </w:rPr>
      </w:pPr>
      <w:r w:rsidRPr="00EC6916">
        <w:rPr>
          <w:b/>
          <w:bCs/>
          <w:i/>
          <w:iCs/>
        </w:rPr>
        <w:t>Endometrial thinning</w:t>
      </w:r>
    </w:p>
    <w:p w14:paraId="1D6FA9BF" w14:textId="77777777" w:rsidR="001B7B06" w:rsidRPr="00EC6916" w:rsidRDefault="001B7B06" w:rsidP="00EC6916">
      <w:pPr>
        <w:ind w:left="720"/>
        <w:rPr>
          <w:i/>
          <w:iCs/>
        </w:rPr>
      </w:pPr>
      <w:r w:rsidRPr="00EC6916">
        <w:rPr>
          <w:i/>
          <w:iCs/>
        </w:rPr>
        <w:t>Use as an endometrial thinning agent prior to endometrial ablation.</w:t>
      </w:r>
    </w:p>
    <w:p w14:paraId="5FCFD2FC" w14:textId="4F2C521C" w:rsidR="001B7B06" w:rsidRPr="00EC6916" w:rsidRDefault="001B7B06" w:rsidP="00EC6916">
      <w:pPr>
        <w:ind w:left="720"/>
        <w:rPr>
          <w:b/>
          <w:bCs/>
          <w:i/>
          <w:iCs/>
        </w:rPr>
      </w:pPr>
      <w:r w:rsidRPr="00EC6916">
        <w:rPr>
          <w:b/>
          <w:bCs/>
          <w:i/>
          <w:iCs/>
        </w:rPr>
        <w:t>Assisted Reproduction</w:t>
      </w:r>
    </w:p>
    <w:p w14:paraId="42DDFC24" w14:textId="77777777" w:rsidR="001B7B06" w:rsidRPr="00EC6916" w:rsidRDefault="001B7B06" w:rsidP="00EC6916">
      <w:pPr>
        <w:ind w:left="720"/>
        <w:rPr>
          <w:i/>
          <w:iCs/>
        </w:rPr>
      </w:pPr>
      <w:r w:rsidRPr="00EC6916">
        <w:rPr>
          <w:i/>
          <w:iCs/>
        </w:rPr>
        <w:t>Pituitary down regulation in preparation for controlled ovarian superstimulation.</w:t>
      </w:r>
    </w:p>
    <w:p w14:paraId="0477B7B8" w14:textId="24131DF9" w:rsidR="001B7B06" w:rsidRPr="001B7B06" w:rsidRDefault="003A552C" w:rsidP="00EC6916">
      <w:r w:rsidRPr="003A552C">
        <w:t>The current submission has occurred in the context of a commercial</w:t>
      </w:r>
      <w:r w:rsidR="004B6FD1">
        <w:t xml:space="preserve"> </w:t>
      </w:r>
      <w:r w:rsidR="000C733B">
        <w:t>change/commercial viability</w:t>
      </w:r>
      <w:r w:rsidRPr="003A552C">
        <w:t xml:space="preserve"> </w:t>
      </w:r>
      <w:r w:rsidR="000C733B">
        <w:t xml:space="preserve">notified </w:t>
      </w:r>
      <w:r w:rsidRPr="003A552C">
        <w:t xml:space="preserve">by the </w:t>
      </w:r>
      <w:r w:rsidR="00AC757F">
        <w:t>Sponsor</w:t>
      </w:r>
      <w:r w:rsidRPr="003A552C">
        <w:t xml:space="preserve"> to withdraw the 3.6 mg product. The </w:t>
      </w:r>
      <w:r w:rsidR="00AC757F">
        <w:t>Sponsor</w:t>
      </w:r>
      <w:r w:rsidRPr="003A552C">
        <w:t xml:space="preserve"> has provided an assurance that the withdrawal decision is not related to any safety or efficacy concerns. The </w:t>
      </w:r>
      <w:r w:rsidR="00AC757F">
        <w:t>Sponsor</w:t>
      </w:r>
      <w:r w:rsidRPr="003A552C">
        <w:t>’s justification for this regulatory action also includes reducing the frequency of treatment visits for patients, arising out of pandemic-related considerations.</w:t>
      </w:r>
    </w:p>
    <w:p w14:paraId="546C1031" w14:textId="4EF98FA1" w:rsidR="0017005C" w:rsidRDefault="00131B1B" w:rsidP="0017005C">
      <w:pPr>
        <w:pStyle w:val="Heading4"/>
      </w:pPr>
      <w:bookmarkStart w:id="23" w:name="_Toc241498806"/>
      <w:r>
        <w:t xml:space="preserve">International </w:t>
      </w:r>
      <w:r w:rsidR="0017005C" w:rsidRPr="00BD5DBD">
        <w:t>regulatory</w:t>
      </w:r>
      <w:r w:rsidR="0017005C">
        <w:t xml:space="preserve"> status</w:t>
      </w:r>
      <w:bookmarkEnd w:id="23"/>
    </w:p>
    <w:p w14:paraId="7FDF4A0B" w14:textId="176CEFCB" w:rsidR="008F4A62" w:rsidRPr="0017005C" w:rsidRDefault="008F4A62" w:rsidP="00EC6916">
      <w:r w:rsidRPr="00BD5DBD">
        <w:t xml:space="preserve">At the time the TGA considered this submission, a similar submission had been </w:t>
      </w:r>
      <w:r>
        <w:t xml:space="preserve">considered by other regulatory agencies. </w:t>
      </w:r>
      <w:r w:rsidR="009249E6">
        <w:t>Table 1</w:t>
      </w:r>
      <w:r w:rsidRPr="00BD5DBD">
        <w:t xml:space="preserve"> summarises these submissions and provides the indications where approved.</w:t>
      </w:r>
    </w:p>
    <w:p w14:paraId="19B9E0AC" w14:textId="32EB7A72" w:rsidR="00324B33" w:rsidRDefault="00324B33" w:rsidP="00EC6916">
      <w:pPr>
        <w:pStyle w:val="TableTitle"/>
      </w:pPr>
      <w:bookmarkStart w:id="24" w:name="_Ref99705479"/>
      <w:r>
        <w:t xml:space="preserve">Table </w:t>
      </w:r>
      <w:r w:rsidR="008B1CB5">
        <w:fldChar w:fldCharType="begin"/>
      </w:r>
      <w:r w:rsidR="008B1CB5">
        <w:instrText xml:space="preserve"> SEQ Table \* ARABIC </w:instrText>
      </w:r>
      <w:r w:rsidR="008B1CB5">
        <w:fldChar w:fldCharType="separate"/>
      </w:r>
      <w:r w:rsidR="008B1CB5">
        <w:rPr>
          <w:noProof/>
        </w:rPr>
        <w:t>1</w:t>
      </w:r>
      <w:r w:rsidR="008B1CB5">
        <w:rPr>
          <w:noProof/>
        </w:rPr>
        <w:fldChar w:fldCharType="end"/>
      </w:r>
      <w:bookmarkEnd w:id="24"/>
      <w:r w:rsidR="003302FF">
        <w:rPr>
          <w:noProof/>
        </w:rPr>
        <w:t>.</w:t>
      </w:r>
      <w:r>
        <w:t xml:space="preserve"> International regulatory status</w:t>
      </w:r>
      <w:r w:rsidR="00BF502D">
        <w:t xml:space="preserve"> a</w:t>
      </w:r>
      <w:r w:rsidR="00BF502D" w:rsidRPr="00BF502D">
        <w:t>t the time the TGA considered this submission</w:t>
      </w:r>
    </w:p>
    <w:tbl>
      <w:tblPr>
        <w:tblStyle w:val="TableTGAblue2023"/>
        <w:tblW w:w="9206" w:type="dxa"/>
        <w:tblLook w:val="04A0" w:firstRow="1" w:lastRow="0" w:firstColumn="1" w:lastColumn="0" w:noHBand="0" w:noVBand="1"/>
        <w:tblCaption w:val="Table 1. International regulatory status at the time the TGA considered this submission"/>
      </w:tblPr>
      <w:tblGrid>
        <w:gridCol w:w="1455"/>
        <w:gridCol w:w="1659"/>
        <w:gridCol w:w="1591"/>
        <w:gridCol w:w="4501"/>
      </w:tblGrid>
      <w:tr w:rsidR="003A552C" w:rsidRPr="003A552C" w14:paraId="73B2D190" w14:textId="77777777" w:rsidTr="00EC6916">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455" w:type="dxa"/>
            <w:hideMark/>
          </w:tcPr>
          <w:p w14:paraId="621D7B61" w14:textId="77777777" w:rsidR="003A552C" w:rsidRPr="003A552C" w:rsidRDefault="003A552C" w:rsidP="00EC6916">
            <w:r w:rsidRPr="003A552C">
              <w:t>Country</w:t>
            </w:r>
          </w:p>
        </w:tc>
        <w:tc>
          <w:tcPr>
            <w:tcW w:w="1659" w:type="dxa"/>
            <w:hideMark/>
          </w:tcPr>
          <w:p w14:paraId="20131C45" w14:textId="77777777" w:rsidR="003A552C" w:rsidRPr="003A552C" w:rsidRDefault="003A552C" w:rsidP="00EC6916">
            <w:pPr>
              <w:cnfStyle w:val="100000000000" w:firstRow="1" w:lastRow="0" w:firstColumn="0" w:lastColumn="0" w:oddVBand="0" w:evenVBand="0" w:oddHBand="0" w:evenHBand="0" w:firstRowFirstColumn="0" w:firstRowLastColumn="0" w:lastRowFirstColumn="0" w:lastRowLastColumn="0"/>
            </w:pPr>
            <w:r w:rsidRPr="003A552C">
              <w:t>Submission date</w:t>
            </w:r>
          </w:p>
        </w:tc>
        <w:tc>
          <w:tcPr>
            <w:tcW w:w="1591" w:type="dxa"/>
            <w:hideMark/>
          </w:tcPr>
          <w:p w14:paraId="1830495A" w14:textId="77777777" w:rsidR="003A552C" w:rsidRPr="003A552C" w:rsidRDefault="003A552C" w:rsidP="00EC6916">
            <w:pPr>
              <w:cnfStyle w:val="100000000000" w:firstRow="1" w:lastRow="0" w:firstColumn="0" w:lastColumn="0" w:oddVBand="0" w:evenVBand="0" w:oddHBand="0" w:evenHBand="0" w:firstRowFirstColumn="0" w:firstRowLastColumn="0" w:lastRowFirstColumn="0" w:lastRowLastColumn="0"/>
            </w:pPr>
            <w:r w:rsidRPr="003A552C">
              <w:t>Approval date</w:t>
            </w:r>
          </w:p>
        </w:tc>
        <w:tc>
          <w:tcPr>
            <w:tcW w:w="4501" w:type="dxa"/>
            <w:hideMark/>
          </w:tcPr>
          <w:p w14:paraId="0F7AC3B6" w14:textId="77777777" w:rsidR="003A552C" w:rsidRPr="003A552C" w:rsidRDefault="003A552C" w:rsidP="00EC6916">
            <w:pPr>
              <w:cnfStyle w:val="100000000000" w:firstRow="1" w:lastRow="0" w:firstColumn="0" w:lastColumn="0" w:oddVBand="0" w:evenVBand="0" w:oddHBand="0" w:evenHBand="0" w:firstRowFirstColumn="0" w:firstRowLastColumn="0" w:lastRowFirstColumn="0" w:lastRowLastColumn="0"/>
            </w:pPr>
            <w:r w:rsidRPr="003A552C">
              <w:t>Comment / Approved Indication</w:t>
            </w:r>
          </w:p>
        </w:tc>
      </w:tr>
      <w:tr w:rsidR="003A552C" w:rsidRPr="003A552C" w14:paraId="422C3CC8" w14:textId="77777777" w:rsidTr="00EC6916">
        <w:trPr>
          <w:trHeight w:val="330"/>
        </w:trPr>
        <w:tc>
          <w:tcPr>
            <w:cnfStyle w:val="001000000000" w:firstRow="0" w:lastRow="0" w:firstColumn="1" w:lastColumn="0" w:oddVBand="0" w:evenVBand="0" w:oddHBand="0" w:evenHBand="0" w:firstRowFirstColumn="0" w:firstRowLastColumn="0" w:lastRowFirstColumn="0" w:lastRowLastColumn="0"/>
            <w:tcW w:w="1455" w:type="dxa"/>
            <w:hideMark/>
          </w:tcPr>
          <w:p w14:paraId="2E1E8736" w14:textId="77777777" w:rsidR="003A552C" w:rsidRPr="003A552C" w:rsidRDefault="003A552C" w:rsidP="00EC6916">
            <w:pPr>
              <w:rPr>
                <w:color w:val="424242"/>
              </w:rPr>
            </w:pPr>
            <w:r w:rsidRPr="003A552C">
              <w:rPr>
                <w:color w:val="424242"/>
              </w:rPr>
              <w:t>Brazil</w:t>
            </w:r>
          </w:p>
        </w:tc>
        <w:tc>
          <w:tcPr>
            <w:tcW w:w="1659" w:type="dxa"/>
            <w:hideMark/>
          </w:tcPr>
          <w:p w14:paraId="6435ECDF"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rPr>
                <w:color w:val="424242"/>
              </w:rPr>
            </w:pPr>
            <w:r w:rsidRPr="003A552C">
              <w:rPr>
                <w:color w:val="424242"/>
              </w:rPr>
              <w:t>27 Aug 2021</w:t>
            </w:r>
          </w:p>
        </w:tc>
        <w:tc>
          <w:tcPr>
            <w:tcW w:w="1591" w:type="dxa"/>
            <w:hideMark/>
          </w:tcPr>
          <w:p w14:paraId="03CD0114"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rPr>
                <w:color w:val="424242"/>
              </w:rPr>
            </w:pPr>
            <w:r w:rsidRPr="003A552C">
              <w:rPr>
                <w:color w:val="424242"/>
              </w:rPr>
              <w:t>13 Jun 2022</w:t>
            </w:r>
          </w:p>
        </w:tc>
        <w:tc>
          <w:tcPr>
            <w:tcW w:w="4501" w:type="dxa"/>
          </w:tcPr>
          <w:p w14:paraId="6AAF1C7A" w14:textId="77777777" w:rsidR="003A552C" w:rsidRPr="00EC6916" w:rsidRDefault="003A552C" w:rsidP="00EC6916">
            <w:pPr>
              <w:cnfStyle w:val="000000000000" w:firstRow="0" w:lastRow="0" w:firstColumn="0" w:lastColumn="0" w:oddVBand="0" w:evenVBand="0" w:oddHBand="0" w:evenHBand="0" w:firstRowFirstColumn="0" w:firstRowLastColumn="0" w:lastRowFirstColumn="0" w:lastRowLastColumn="0"/>
              <w:rPr>
                <w:b/>
                <w:bCs/>
                <w:color w:val="424242"/>
              </w:rPr>
            </w:pPr>
            <w:r w:rsidRPr="00EC6916">
              <w:rPr>
                <w:b/>
                <w:bCs/>
                <w:color w:val="424242"/>
              </w:rPr>
              <w:t>Approved Indication:</w:t>
            </w:r>
          </w:p>
          <w:p w14:paraId="5AE467B5"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rPr>
                <w:color w:val="424242"/>
              </w:rPr>
            </w:pPr>
            <w:r w:rsidRPr="003A552C">
              <w:rPr>
                <w:color w:val="424242"/>
              </w:rPr>
              <w:t>ZOLADEX 10.8 mg is indicated in:</w:t>
            </w:r>
          </w:p>
          <w:p w14:paraId="076B8078"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rPr>
                <w:color w:val="424242"/>
              </w:rPr>
            </w:pPr>
            <w:r w:rsidRPr="003A552C">
              <w:rPr>
                <w:color w:val="424242"/>
              </w:rPr>
              <w:t>The management of breast cancer in pre and perimenopausal women suitable for hormonal manipulation.</w:t>
            </w:r>
          </w:p>
        </w:tc>
      </w:tr>
      <w:tr w:rsidR="003A552C" w:rsidRPr="003A552C" w14:paraId="4935D3BF" w14:textId="77777777" w:rsidTr="00EC6916">
        <w:trPr>
          <w:trHeight w:val="330"/>
        </w:trPr>
        <w:tc>
          <w:tcPr>
            <w:cnfStyle w:val="001000000000" w:firstRow="0" w:lastRow="0" w:firstColumn="1" w:lastColumn="0" w:oddVBand="0" w:evenVBand="0" w:oddHBand="0" w:evenHBand="0" w:firstRowFirstColumn="0" w:firstRowLastColumn="0" w:lastRowFirstColumn="0" w:lastRowLastColumn="0"/>
            <w:tcW w:w="1455" w:type="dxa"/>
            <w:hideMark/>
          </w:tcPr>
          <w:p w14:paraId="36249F8C" w14:textId="77777777" w:rsidR="003A552C" w:rsidRPr="003A552C" w:rsidRDefault="003A552C" w:rsidP="00EC6916">
            <w:pPr>
              <w:rPr>
                <w:color w:val="424242"/>
              </w:rPr>
            </w:pPr>
            <w:r w:rsidRPr="003A552C">
              <w:rPr>
                <w:color w:val="424242"/>
              </w:rPr>
              <w:lastRenderedPageBreak/>
              <w:t>Canada</w:t>
            </w:r>
          </w:p>
        </w:tc>
        <w:tc>
          <w:tcPr>
            <w:tcW w:w="1659" w:type="dxa"/>
            <w:hideMark/>
          </w:tcPr>
          <w:p w14:paraId="36097E00"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rPr>
                <w:color w:val="424242"/>
              </w:rPr>
            </w:pPr>
            <w:r w:rsidRPr="003A552C">
              <w:rPr>
                <w:color w:val="424242"/>
              </w:rPr>
              <w:t>24 May 2023</w:t>
            </w:r>
          </w:p>
        </w:tc>
        <w:tc>
          <w:tcPr>
            <w:tcW w:w="1591" w:type="dxa"/>
            <w:hideMark/>
          </w:tcPr>
          <w:p w14:paraId="25338C0F"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rPr>
                <w:color w:val="424242"/>
              </w:rPr>
            </w:pPr>
            <w:r w:rsidRPr="003A552C">
              <w:rPr>
                <w:color w:val="424242"/>
              </w:rPr>
              <w:t>06 May 2024</w:t>
            </w:r>
          </w:p>
        </w:tc>
        <w:tc>
          <w:tcPr>
            <w:tcW w:w="4501" w:type="dxa"/>
            <w:hideMark/>
          </w:tcPr>
          <w:p w14:paraId="642A948C" w14:textId="7E8549DC" w:rsidR="003A552C" w:rsidRPr="00EC6916" w:rsidRDefault="003A552C" w:rsidP="00EC6916">
            <w:pPr>
              <w:cnfStyle w:val="000000000000" w:firstRow="0" w:lastRow="0" w:firstColumn="0" w:lastColumn="0" w:oddVBand="0" w:evenVBand="0" w:oddHBand="0" w:evenHBand="0" w:firstRowFirstColumn="0" w:firstRowLastColumn="0" w:lastRowFirstColumn="0" w:lastRowLastColumn="0"/>
              <w:rPr>
                <w:b/>
                <w:bCs/>
                <w:color w:val="424242"/>
              </w:rPr>
            </w:pPr>
            <w:r w:rsidRPr="00EC6916">
              <w:rPr>
                <w:b/>
                <w:bCs/>
                <w:color w:val="424242"/>
              </w:rPr>
              <w:t>Approved Indication:</w:t>
            </w:r>
          </w:p>
          <w:p w14:paraId="50919D45" w14:textId="6BEE1F4F"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rPr>
                <w:color w:val="424242"/>
              </w:rPr>
            </w:pPr>
            <w:r w:rsidRPr="003A552C">
              <w:rPr>
                <w:color w:val="424242"/>
              </w:rPr>
              <w:t>Breast Cancer</w:t>
            </w:r>
            <w:r>
              <w:rPr>
                <w:color w:val="424242"/>
              </w:rPr>
              <w:t>:</w:t>
            </w:r>
          </w:p>
          <w:p w14:paraId="7D4B34CF" w14:textId="79E60351"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rPr>
                <w:color w:val="424242"/>
              </w:rPr>
            </w:pPr>
            <w:r w:rsidRPr="003A552C">
              <w:rPr>
                <w:color w:val="424242"/>
              </w:rPr>
              <w:t>the management of estrogen receptor (ER)-positive early breast cancer with a high risk of recurrence or advanced breast cancer in pre- and perimenopausal women.</w:t>
            </w:r>
          </w:p>
        </w:tc>
      </w:tr>
      <w:tr w:rsidR="003A552C" w:rsidRPr="003A552C" w14:paraId="587ED423" w14:textId="77777777" w:rsidTr="00EC6916">
        <w:trPr>
          <w:trHeight w:val="330"/>
        </w:trPr>
        <w:tc>
          <w:tcPr>
            <w:cnfStyle w:val="001000000000" w:firstRow="0" w:lastRow="0" w:firstColumn="1" w:lastColumn="0" w:oddVBand="0" w:evenVBand="0" w:oddHBand="0" w:evenHBand="0" w:firstRowFirstColumn="0" w:firstRowLastColumn="0" w:lastRowFirstColumn="0" w:lastRowLastColumn="0"/>
            <w:tcW w:w="1455" w:type="dxa"/>
            <w:hideMark/>
          </w:tcPr>
          <w:p w14:paraId="31092B9E" w14:textId="77777777" w:rsidR="003A552C" w:rsidRPr="003A552C" w:rsidRDefault="003A552C" w:rsidP="00EC6916">
            <w:r w:rsidRPr="003A552C">
              <w:t>European Union</w:t>
            </w:r>
          </w:p>
        </w:tc>
        <w:tc>
          <w:tcPr>
            <w:tcW w:w="1659" w:type="dxa"/>
            <w:hideMark/>
          </w:tcPr>
          <w:p w14:paraId="47DB0F16"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w:t>
            </w:r>
          </w:p>
        </w:tc>
        <w:tc>
          <w:tcPr>
            <w:tcW w:w="1591" w:type="dxa"/>
            <w:hideMark/>
          </w:tcPr>
          <w:p w14:paraId="39DE8BCB"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w:t>
            </w:r>
          </w:p>
        </w:tc>
        <w:tc>
          <w:tcPr>
            <w:tcW w:w="4501" w:type="dxa"/>
            <w:hideMark/>
          </w:tcPr>
          <w:p w14:paraId="29A5CB8E"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Not submitted</w:t>
            </w:r>
          </w:p>
        </w:tc>
      </w:tr>
      <w:tr w:rsidR="003A552C" w:rsidRPr="003A552C" w14:paraId="590F71F5" w14:textId="77777777" w:rsidTr="00EC6916">
        <w:trPr>
          <w:trHeight w:val="330"/>
        </w:trPr>
        <w:tc>
          <w:tcPr>
            <w:cnfStyle w:val="001000000000" w:firstRow="0" w:lastRow="0" w:firstColumn="1" w:lastColumn="0" w:oddVBand="0" w:evenVBand="0" w:oddHBand="0" w:evenHBand="0" w:firstRowFirstColumn="0" w:firstRowLastColumn="0" w:lastRowFirstColumn="0" w:lastRowLastColumn="0"/>
            <w:tcW w:w="1455" w:type="dxa"/>
            <w:hideMark/>
          </w:tcPr>
          <w:p w14:paraId="149D1C7B" w14:textId="704C9F31" w:rsidR="003A552C" w:rsidRPr="003A552C" w:rsidRDefault="003A552C" w:rsidP="00EC6916">
            <w:r w:rsidRPr="003A552C">
              <w:t>Great Britain</w:t>
            </w:r>
          </w:p>
        </w:tc>
        <w:tc>
          <w:tcPr>
            <w:tcW w:w="1659" w:type="dxa"/>
            <w:hideMark/>
          </w:tcPr>
          <w:p w14:paraId="6A5A6563"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27 May 2021</w:t>
            </w:r>
          </w:p>
        </w:tc>
        <w:tc>
          <w:tcPr>
            <w:tcW w:w="1591" w:type="dxa"/>
            <w:hideMark/>
          </w:tcPr>
          <w:p w14:paraId="28F0647A"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23 Dec 2021</w:t>
            </w:r>
          </w:p>
        </w:tc>
        <w:tc>
          <w:tcPr>
            <w:tcW w:w="4501" w:type="dxa"/>
          </w:tcPr>
          <w:p w14:paraId="294B6A2C" w14:textId="77777777" w:rsidR="003A552C" w:rsidRPr="00EC6916" w:rsidRDefault="003A552C" w:rsidP="00EC6916">
            <w:pPr>
              <w:cnfStyle w:val="000000000000" w:firstRow="0" w:lastRow="0" w:firstColumn="0" w:lastColumn="0" w:oddVBand="0" w:evenVBand="0" w:oddHBand="0" w:evenHBand="0" w:firstRowFirstColumn="0" w:firstRowLastColumn="0" w:lastRowFirstColumn="0" w:lastRowLastColumn="0"/>
              <w:rPr>
                <w:b/>
                <w:bCs/>
              </w:rPr>
            </w:pPr>
            <w:r w:rsidRPr="00EC6916">
              <w:rPr>
                <w:b/>
                <w:bCs/>
              </w:rPr>
              <w:t>Approved Indication:</w:t>
            </w:r>
          </w:p>
          <w:p w14:paraId="4D34E942"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ZOLADEX LA 10.8 mg is indicated in the</w:t>
            </w:r>
          </w:p>
          <w:p w14:paraId="01E56990"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management of oestrogen-receptor (ER) positive early and advanced breast cancer in pre and peri menopausal women.</w:t>
            </w:r>
          </w:p>
        </w:tc>
      </w:tr>
      <w:tr w:rsidR="003A552C" w:rsidRPr="003A552C" w14:paraId="0324D8EB" w14:textId="77777777" w:rsidTr="00EC6916">
        <w:trPr>
          <w:trHeight w:val="330"/>
        </w:trPr>
        <w:tc>
          <w:tcPr>
            <w:cnfStyle w:val="001000000000" w:firstRow="0" w:lastRow="0" w:firstColumn="1" w:lastColumn="0" w:oddVBand="0" w:evenVBand="0" w:oddHBand="0" w:evenHBand="0" w:firstRowFirstColumn="0" w:firstRowLastColumn="0" w:lastRowFirstColumn="0" w:lastRowLastColumn="0"/>
            <w:tcW w:w="1455" w:type="dxa"/>
            <w:hideMark/>
          </w:tcPr>
          <w:p w14:paraId="4093AA22" w14:textId="77777777" w:rsidR="003A552C" w:rsidRPr="003A552C" w:rsidRDefault="003A552C" w:rsidP="00EC6916">
            <w:r w:rsidRPr="003A552C">
              <w:t>Japan</w:t>
            </w:r>
          </w:p>
        </w:tc>
        <w:tc>
          <w:tcPr>
            <w:tcW w:w="1659" w:type="dxa"/>
            <w:hideMark/>
          </w:tcPr>
          <w:p w14:paraId="7BF2BAEE"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29 Mar 2013</w:t>
            </w:r>
          </w:p>
        </w:tc>
        <w:tc>
          <w:tcPr>
            <w:tcW w:w="1591" w:type="dxa"/>
            <w:hideMark/>
          </w:tcPr>
          <w:p w14:paraId="29FA41D6"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rPr>
                <w:color w:val="424242"/>
              </w:rPr>
            </w:pPr>
            <w:r w:rsidRPr="003A552C">
              <w:rPr>
                <w:color w:val="424242"/>
              </w:rPr>
              <w:t>17 Mar 2014</w:t>
            </w:r>
          </w:p>
        </w:tc>
        <w:tc>
          <w:tcPr>
            <w:tcW w:w="4501" w:type="dxa"/>
          </w:tcPr>
          <w:p w14:paraId="00BC6E83" w14:textId="77777777" w:rsidR="003A552C" w:rsidRPr="00EC6916" w:rsidRDefault="003A552C" w:rsidP="00EC6916">
            <w:pPr>
              <w:cnfStyle w:val="000000000000" w:firstRow="0" w:lastRow="0" w:firstColumn="0" w:lastColumn="0" w:oddVBand="0" w:evenVBand="0" w:oddHBand="0" w:evenHBand="0" w:firstRowFirstColumn="0" w:firstRowLastColumn="0" w:lastRowFirstColumn="0" w:lastRowLastColumn="0"/>
              <w:rPr>
                <w:b/>
                <w:bCs/>
              </w:rPr>
            </w:pPr>
            <w:r w:rsidRPr="00EC6916">
              <w:rPr>
                <w:b/>
                <w:bCs/>
              </w:rPr>
              <w:t>Approved Indication:</w:t>
            </w:r>
          </w:p>
          <w:p w14:paraId="57E83ACE"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Premenopausal Breast Cancer</w:t>
            </w:r>
          </w:p>
        </w:tc>
      </w:tr>
      <w:tr w:rsidR="003A552C" w:rsidRPr="003A552C" w14:paraId="6A4FFF47" w14:textId="77777777" w:rsidTr="00EC6916">
        <w:trPr>
          <w:trHeight w:val="330"/>
        </w:trPr>
        <w:tc>
          <w:tcPr>
            <w:cnfStyle w:val="001000000000" w:firstRow="0" w:lastRow="0" w:firstColumn="1" w:lastColumn="0" w:oddVBand="0" w:evenVBand="0" w:oddHBand="0" w:evenHBand="0" w:firstRowFirstColumn="0" w:firstRowLastColumn="0" w:lastRowFirstColumn="0" w:lastRowLastColumn="0"/>
            <w:tcW w:w="1455" w:type="dxa"/>
            <w:hideMark/>
          </w:tcPr>
          <w:p w14:paraId="37A2536A" w14:textId="77777777" w:rsidR="003A552C" w:rsidRPr="003A552C" w:rsidRDefault="003A552C" w:rsidP="00EC6916">
            <w:r w:rsidRPr="003A552C">
              <w:t>New Zealand</w:t>
            </w:r>
          </w:p>
        </w:tc>
        <w:tc>
          <w:tcPr>
            <w:tcW w:w="1659" w:type="dxa"/>
            <w:hideMark/>
          </w:tcPr>
          <w:p w14:paraId="6966CB25"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w:t>
            </w:r>
          </w:p>
        </w:tc>
        <w:tc>
          <w:tcPr>
            <w:tcW w:w="1591" w:type="dxa"/>
            <w:hideMark/>
          </w:tcPr>
          <w:p w14:paraId="278C3FC8"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w:t>
            </w:r>
          </w:p>
        </w:tc>
        <w:tc>
          <w:tcPr>
            <w:tcW w:w="4501" w:type="dxa"/>
            <w:hideMark/>
          </w:tcPr>
          <w:p w14:paraId="4A77A05D"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Not submitted</w:t>
            </w:r>
          </w:p>
        </w:tc>
      </w:tr>
      <w:tr w:rsidR="003A552C" w:rsidRPr="003A552C" w14:paraId="6848EE4E" w14:textId="77777777" w:rsidTr="00EC6916">
        <w:trPr>
          <w:trHeight w:val="330"/>
        </w:trPr>
        <w:tc>
          <w:tcPr>
            <w:cnfStyle w:val="001000000000" w:firstRow="0" w:lastRow="0" w:firstColumn="1" w:lastColumn="0" w:oddVBand="0" w:evenVBand="0" w:oddHBand="0" w:evenHBand="0" w:firstRowFirstColumn="0" w:firstRowLastColumn="0" w:lastRowFirstColumn="0" w:lastRowLastColumn="0"/>
            <w:tcW w:w="1455" w:type="dxa"/>
            <w:hideMark/>
          </w:tcPr>
          <w:p w14:paraId="1A012B6D" w14:textId="77777777" w:rsidR="003A552C" w:rsidRPr="003A552C" w:rsidRDefault="003A552C" w:rsidP="00EC6916">
            <w:r w:rsidRPr="003A552C">
              <w:t>Singapore</w:t>
            </w:r>
          </w:p>
        </w:tc>
        <w:tc>
          <w:tcPr>
            <w:tcW w:w="1659" w:type="dxa"/>
            <w:hideMark/>
          </w:tcPr>
          <w:p w14:paraId="39EBA5E7"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16 Jun 2020</w:t>
            </w:r>
          </w:p>
        </w:tc>
        <w:tc>
          <w:tcPr>
            <w:tcW w:w="1591" w:type="dxa"/>
            <w:hideMark/>
          </w:tcPr>
          <w:p w14:paraId="20485654"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16 Feb 2021</w:t>
            </w:r>
          </w:p>
        </w:tc>
        <w:tc>
          <w:tcPr>
            <w:tcW w:w="4501" w:type="dxa"/>
          </w:tcPr>
          <w:p w14:paraId="12248BF7" w14:textId="77777777" w:rsidR="003A552C" w:rsidRPr="00EC6916" w:rsidRDefault="003A552C" w:rsidP="00EC6916">
            <w:pPr>
              <w:cnfStyle w:val="000000000000" w:firstRow="0" w:lastRow="0" w:firstColumn="0" w:lastColumn="0" w:oddVBand="0" w:evenVBand="0" w:oddHBand="0" w:evenHBand="0" w:firstRowFirstColumn="0" w:firstRowLastColumn="0" w:lastRowFirstColumn="0" w:lastRowLastColumn="0"/>
              <w:rPr>
                <w:b/>
                <w:bCs/>
              </w:rPr>
            </w:pPr>
            <w:r w:rsidRPr="00EC6916">
              <w:rPr>
                <w:b/>
                <w:bCs/>
              </w:rPr>
              <w:t>Approved Indication:</w:t>
            </w:r>
          </w:p>
          <w:p w14:paraId="1F1A4618"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ZOLADEX LA 10.8 mg is indicated in the</w:t>
            </w:r>
          </w:p>
          <w:p w14:paraId="4DFFC582" w14:textId="29A517AE"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 xml:space="preserve">management of oestrogen-receptor (ER) positive breast cancer in </w:t>
            </w:r>
            <w:r w:rsidR="00E779AB" w:rsidRPr="003A552C">
              <w:t>pre-menopausal</w:t>
            </w:r>
            <w:r w:rsidRPr="003A552C">
              <w:t xml:space="preserve"> women.</w:t>
            </w:r>
          </w:p>
        </w:tc>
      </w:tr>
      <w:tr w:rsidR="003A552C" w:rsidRPr="003A552C" w14:paraId="3E4C2E74" w14:textId="77777777" w:rsidTr="00EC6916">
        <w:trPr>
          <w:trHeight w:val="330"/>
        </w:trPr>
        <w:tc>
          <w:tcPr>
            <w:cnfStyle w:val="001000000000" w:firstRow="0" w:lastRow="0" w:firstColumn="1" w:lastColumn="0" w:oddVBand="0" w:evenVBand="0" w:oddHBand="0" w:evenHBand="0" w:firstRowFirstColumn="0" w:firstRowLastColumn="0" w:lastRowFirstColumn="0" w:lastRowLastColumn="0"/>
            <w:tcW w:w="1455" w:type="dxa"/>
            <w:hideMark/>
          </w:tcPr>
          <w:p w14:paraId="50EB1D9F" w14:textId="77777777" w:rsidR="003A552C" w:rsidRPr="003A552C" w:rsidRDefault="003A552C" w:rsidP="00EC6916">
            <w:r w:rsidRPr="003A552C">
              <w:t>Switzerland</w:t>
            </w:r>
          </w:p>
        </w:tc>
        <w:tc>
          <w:tcPr>
            <w:tcW w:w="1659" w:type="dxa"/>
            <w:hideMark/>
          </w:tcPr>
          <w:p w14:paraId="66DC3D31"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w:t>
            </w:r>
          </w:p>
        </w:tc>
        <w:tc>
          <w:tcPr>
            <w:tcW w:w="1591" w:type="dxa"/>
            <w:hideMark/>
          </w:tcPr>
          <w:p w14:paraId="2A24783D"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w:t>
            </w:r>
          </w:p>
        </w:tc>
        <w:tc>
          <w:tcPr>
            <w:tcW w:w="4501" w:type="dxa"/>
            <w:hideMark/>
          </w:tcPr>
          <w:p w14:paraId="5425842A" w14:textId="524009A5"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Not submitted.</w:t>
            </w:r>
          </w:p>
        </w:tc>
      </w:tr>
      <w:tr w:rsidR="003A552C" w:rsidRPr="003A552C" w14:paraId="6E14097B" w14:textId="77777777" w:rsidTr="00EC6916">
        <w:trPr>
          <w:trHeight w:val="330"/>
        </w:trPr>
        <w:tc>
          <w:tcPr>
            <w:cnfStyle w:val="001000000000" w:firstRow="0" w:lastRow="0" w:firstColumn="1" w:lastColumn="0" w:oddVBand="0" w:evenVBand="0" w:oddHBand="0" w:evenHBand="0" w:firstRowFirstColumn="0" w:firstRowLastColumn="0" w:lastRowFirstColumn="0" w:lastRowLastColumn="0"/>
            <w:tcW w:w="1455" w:type="dxa"/>
            <w:hideMark/>
          </w:tcPr>
          <w:p w14:paraId="0B9EE0E6" w14:textId="77777777" w:rsidR="003A552C" w:rsidRPr="003A552C" w:rsidRDefault="003A552C" w:rsidP="00EC6916">
            <w:r w:rsidRPr="003A552C">
              <w:t>United States</w:t>
            </w:r>
          </w:p>
        </w:tc>
        <w:tc>
          <w:tcPr>
            <w:tcW w:w="1659" w:type="dxa"/>
            <w:hideMark/>
          </w:tcPr>
          <w:p w14:paraId="69269957"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w:t>
            </w:r>
          </w:p>
        </w:tc>
        <w:tc>
          <w:tcPr>
            <w:tcW w:w="1591" w:type="dxa"/>
            <w:hideMark/>
          </w:tcPr>
          <w:p w14:paraId="08D58AE1" w14:textId="77777777"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w:t>
            </w:r>
          </w:p>
        </w:tc>
        <w:tc>
          <w:tcPr>
            <w:tcW w:w="4501" w:type="dxa"/>
            <w:hideMark/>
          </w:tcPr>
          <w:p w14:paraId="033D9F47" w14:textId="1DC8BFBE" w:rsidR="003A552C" w:rsidRPr="003A552C" w:rsidRDefault="003A552C" w:rsidP="00EC6916">
            <w:pPr>
              <w:cnfStyle w:val="000000000000" w:firstRow="0" w:lastRow="0" w:firstColumn="0" w:lastColumn="0" w:oddVBand="0" w:evenVBand="0" w:oddHBand="0" w:evenHBand="0" w:firstRowFirstColumn="0" w:firstRowLastColumn="0" w:lastRowFirstColumn="0" w:lastRowLastColumn="0"/>
            </w:pPr>
            <w:r w:rsidRPr="003A552C">
              <w:t>Not submitted.</w:t>
            </w:r>
          </w:p>
        </w:tc>
      </w:tr>
    </w:tbl>
    <w:p w14:paraId="6D92589C" w14:textId="09786CEF" w:rsidR="00324B33" w:rsidRDefault="00324B33" w:rsidP="00324B33">
      <w:pPr>
        <w:pStyle w:val="Heading2"/>
      </w:pPr>
      <w:bookmarkStart w:id="25" w:name="_Toc504480011"/>
      <w:bookmarkStart w:id="26" w:name="_Toc103679293"/>
      <w:bookmarkStart w:id="27" w:name="_Toc241498807"/>
      <w:r>
        <w:t>Registration timeline</w:t>
      </w:r>
      <w:bookmarkEnd w:id="25"/>
      <w:bookmarkEnd w:id="26"/>
      <w:bookmarkEnd w:id="27"/>
    </w:p>
    <w:p w14:paraId="225E3D87" w14:textId="2DD6A040" w:rsidR="00324B33" w:rsidRDefault="00236F91" w:rsidP="00324B33">
      <w:pPr>
        <w:rPr>
          <w:szCs w:val="22"/>
        </w:rPr>
      </w:pPr>
      <w:r>
        <w:rPr>
          <w:szCs w:val="22"/>
        </w:rPr>
        <w:t>Table 2</w:t>
      </w:r>
      <w:r w:rsidR="00324B33" w:rsidRPr="00BD5DBD">
        <w:rPr>
          <w:szCs w:val="22"/>
        </w:rPr>
        <w:t xml:space="preserve"> captures the key steps and dates for this submission.</w:t>
      </w:r>
    </w:p>
    <w:p w14:paraId="4830F1BD" w14:textId="4ABEDCC2" w:rsidR="00802F91" w:rsidRPr="00BD5DBD" w:rsidRDefault="00802F91" w:rsidP="00324B33">
      <w:pPr>
        <w:rPr>
          <w:szCs w:val="22"/>
        </w:rPr>
      </w:pPr>
      <w:r w:rsidRPr="00802F91">
        <w:rPr>
          <w:szCs w:val="22"/>
        </w:rPr>
        <w:t xml:space="preserve">This submission was submitted through the TGA’s </w:t>
      </w:r>
      <w:hyperlink r:id="rId28" w:history="1">
        <w:r w:rsidRPr="00802F91">
          <w:rPr>
            <w:rStyle w:val="Hyperlink"/>
            <w:szCs w:val="22"/>
          </w:rPr>
          <w:t>Comparable Overseas Regulator</w:t>
        </w:r>
      </w:hyperlink>
      <w:r w:rsidRPr="00802F91">
        <w:rPr>
          <w:szCs w:val="22"/>
        </w:rPr>
        <w:t xml:space="preserve"> (COR-B) process, using evaluation reports from the Medicines and Healthcare products Regulatory Agency (UK). The full dossier was submitted to the TGA.</w:t>
      </w:r>
    </w:p>
    <w:p w14:paraId="44628C5F" w14:textId="0DE7D267" w:rsidR="00324B33" w:rsidRPr="00802F91" w:rsidRDefault="00324B33" w:rsidP="002C1232">
      <w:pPr>
        <w:pStyle w:val="TableTitle"/>
      </w:pPr>
      <w:r w:rsidRPr="00802F91">
        <w:t>Table</w:t>
      </w:r>
      <w:r w:rsidR="00802F91">
        <w:t xml:space="preserve"> 2</w:t>
      </w:r>
      <w:r w:rsidR="003302FF" w:rsidRPr="00802F91">
        <w:t>.</w:t>
      </w:r>
      <w:r w:rsidRPr="00802F91">
        <w:t xml:space="preserve"> </w:t>
      </w:r>
      <w:r w:rsidR="0010623F" w:rsidRPr="00802F91">
        <w:t>Registration t</w:t>
      </w:r>
      <w:r w:rsidRPr="00802F91">
        <w:t xml:space="preserve">imeline for </w:t>
      </w:r>
      <w:r w:rsidR="00802F91" w:rsidRPr="00802F91">
        <w:t>Zoladex 10.8 Implant (goserelin)</w:t>
      </w:r>
      <w:r w:rsidR="006E6059" w:rsidRPr="00802F91">
        <w:t>, s</w:t>
      </w:r>
      <w:r w:rsidRPr="00802F91">
        <w:t xml:space="preserve">ubmission </w:t>
      </w:r>
      <w:r w:rsidR="00802F91" w:rsidRPr="00802F91">
        <w:t>PM-2026-01228-1-4</w:t>
      </w:r>
    </w:p>
    <w:tbl>
      <w:tblPr>
        <w:tblStyle w:val="TableTGAblue2023"/>
        <w:tblW w:w="8642" w:type="dxa"/>
        <w:tblLook w:val="04A0" w:firstRow="1" w:lastRow="0" w:firstColumn="1" w:lastColumn="0" w:noHBand="0" w:noVBand="1"/>
        <w:tblCaption w:val="Table 2. Registration timeline for Zoladex 10.8 Implant (goserelin), submission PM-2026-01228-1-4"/>
      </w:tblPr>
      <w:tblGrid>
        <w:gridCol w:w="5665"/>
        <w:gridCol w:w="2977"/>
      </w:tblGrid>
      <w:tr w:rsidR="00324B33" w:rsidRPr="00D01DDB" w14:paraId="6C59BE9C" w14:textId="77777777" w:rsidTr="00EC69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tcPr>
          <w:p w14:paraId="16D80E78" w14:textId="3EC0CCAF" w:rsidR="00324B33" w:rsidRPr="00D01DDB" w:rsidRDefault="00324B33" w:rsidP="00EC6916">
            <w:r w:rsidRPr="00D01DDB">
              <w:t>Description</w:t>
            </w:r>
          </w:p>
        </w:tc>
        <w:tc>
          <w:tcPr>
            <w:tcW w:w="2977" w:type="dxa"/>
          </w:tcPr>
          <w:p w14:paraId="79AFDC4B" w14:textId="05792035" w:rsidR="00324B33" w:rsidRPr="00D01DDB" w:rsidRDefault="00324B33" w:rsidP="00EC6916">
            <w:pPr>
              <w:cnfStyle w:val="100000000000" w:firstRow="1" w:lastRow="0" w:firstColumn="0" w:lastColumn="0" w:oddVBand="0" w:evenVBand="0" w:oddHBand="0" w:evenHBand="0" w:firstRowFirstColumn="0" w:firstRowLastColumn="0" w:lastRowFirstColumn="0" w:lastRowLastColumn="0"/>
            </w:pPr>
            <w:r w:rsidRPr="00D01DDB">
              <w:t>Date</w:t>
            </w:r>
          </w:p>
        </w:tc>
      </w:tr>
      <w:tr w:rsidR="00324B33" w:rsidRPr="00D01DDB" w14:paraId="23610C53" w14:textId="77777777" w:rsidTr="00EC6916">
        <w:tc>
          <w:tcPr>
            <w:cnfStyle w:val="001000000000" w:firstRow="0" w:lastRow="0" w:firstColumn="1" w:lastColumn="0" w:oddVBand="0" w:evenVBand="0" w:oddHBand="0" w:evenHBand="0" w:firstRowFirstColumn="0" w:firstRowLastColumn="0" w:lastRowFirstColumn="0" w:lastRowLastColumn="0"/>
            <w:tcW w:w="5665" w:type="dxa"/>
          </w:tcPr>
          <w:p w14:paraId="759D2A12" w14:textId="57EFFD0E" w:rsidR="00E779AB" w:rsidRPr="00E779AB" w:rsidRDefault="00324B33" w:rsidP="00EC6916">
            <w:r w:rsidRPr="00E679D1">
              <w:t>Submission dossier accepted evaluation commenced</w:t>
            </w:r>
            <w:r w:rsidR="00E779AB">
              <w:tab/>
            </w:r>
          </w:p>
        </w:tc>
        <w:tc>
          <w:tcPr>
            <w:tcW w:w="2977" w:type="dxa"/>
          </w:tcPr>
          <w:p w14:paraId="2963D9D8" w14:textId="4674B833" w:rsidR="00324B33" w:rsidRPr="00D01DDB" w:rsidRDefault="00802F91" w:rsidP="00EC6916">
            <w:pPr>
              <w:cnfStyle w:val="000000000000" w:firstRow="0" w:lastRow="0" w:firstColumn="0" w:lastColumn="0" w:oddVBand="0" w:evenVBand="0" w:oddHBand="0" w:evenHBand="0" w:firstRowFirstColumn="0" w:firstRowLastColumn="0" w:lastRowFirstColumn="0" w:lastRowLastColumn="0"/>
            </w:pPr>
            <w:r>
              <w:t>30 April 2026</w:t>
            </w:r>
          </w:p>
        </w:tc>
      </w:tr>
      <w:tr w:rsidR="00803926" w:rsidRPr="00D01DDB" w14:paraId="16D13F79" w14:textId="77777777" w:rsidTr="00EC6916">
        <w:tc>
          <w:tcPr>
            <w:cnfStyle w:val="001000000000" w:firstRow="0" w:lastRow="0" w:firstColumn="1" w:lastColumn="0" w:oddVBand="0" w:evenVBand="0" w:oddHBand="0" w:evenHBand="0" w:firstRowFirstColumn="0" w:firstRowLastColumn="0" w:lastRowFirstColumn="0" w:lastRowLastColumn="0"/>
            <w:tcW w:w="5665" w:type="dxa"/>
          </w:tcPr>
          <w:p w14:paraId="6858B45A" w14:textId="2CCBE2E5" w:rsidR="00E779AB" w:rsidRPr="00E779AB" w:rsidDel="00C62B1C" w:rsidRDefault="00803926" w:rsidP="00EC6916">
            <w:r>
              <w:t>Evaluation completed</w:t>
            </w:r>
          </w:p>
        </w:tc>
        <w:tc>
          <w:tcPr>
            <w:tcW w:w="2977" w:type="dxa"/>
          </w:tcPr>
          <w:p w14:paraId="2E0BD403" w14:textId="769FCD22" w:rsidR="00803926" w:rsidRPr="00D01DDB" w:rsidRDefault="00802F91" w:rsidP="00EC6916">
            <w:pPr>
              <w:cnfStyle w:val="000000000000" w:firstRow="0" w:lastRow="0" w:firstColumn="0" w:lastColumn="0" w:oddVBand="0" w:evenVBand="0" w:oddHBand="0" w:evenHBand="0" w:firstRowFirstColumn="0" w:firstRowLastColumn="0" w:lastRowFirstColumn="0" w:lastRowLastColumn="0"/>
            </w:pPr>
            <w:r>
              <w:t>20 August 2026</w:t>
            </w:r>
          </w:p>
        </w:tc>
      </w:tr>
      <w:tr w:rsidR="00324B33" w:rsidRPr="00D01DDB" w14:paraId="6E5D32FE" w14:textId="77777777" w:rsidTr="00EC6916">
        <w:tc>
          <w:tcPr>
            <w:cnfStyle w:val="001000000000" w:firstRow="0" w:lastRow="0" w:firstColumn="1" w:lastColumn="0" w:oddVBand="0" w:evenVBand="0" w:oddHBand="0" w:evenHBand="0" w:firstRowFirstColumn="0" w:firstRowLastColumn="0" w:lastRowFirstColumn="0" w:lastRowLastColumn="0"/>
            <w:tcW w:w="5665" w:type="dxa"/>
          </w:tcPr>
          <w:p w14:paraId="4E95C44C" w14:textId="7A91C710" w:rsidR="00324B33" w:rsidRPr="00E679D1" w:rsidRDefault="00324B33" w:rsidP="00EC6916">
            <w:r w:rsidRPr="00E679D1">
              <w:t>Registration decision (Outcome)</w:t>
            </w:r>
          </w:p>
        </w:tc>
        <w:tc>
          <w:tcPr>
            <w:tcW w:w="2977" w:type="dxa"/>
          </w:tcPr>
          <w:p w14:paraId="62987ABD" w14:textId="5AB94954" w:rsidR="00324B33" w:rsidRPr="00D01DDB" w:rsidRDefault="00802F91" w:rsidP="00EC6916">
            <w:pPr>
              <w:cnfStyle w:val="000000000000" w:firstRow="0" w:lastRow="0" w:firstColumn="0" w:lastColumn="0" w:oddVBand="0" w:evenVBand="0" w:oddHBand="0" w:evenHBand="0" w:firstRowFirstColumn="0" w:firstRowLastColumn="0" w:lastRowFirstColumn="0" w:lastRowLastColumn="0"/>
            </w:pPr>
            <w:r w:rsidRPr="00802F91">
              <w:t>28 August 2026</w:t>
            </w:r>
          </w:p>
        </w:tc>
      </w:tr>
      <w:tr w:rsidR="00324B33" w:rsidRPr="00D01DDB" w14:paraId="6DDCDDA4" w14:textId="77777777" w:rsidTr="00EC6916">
        <w:tc>
          <w:tcPr>
            <w:cnfStyle w:val="001000000000" w:firstRow="0" w:lastRow="0" w:firstColumn="1" w:lastColumn="0" w:oddVBand="0" w:evenVBand="0" w:oddHBand="0" w:evenHBand="0" w:firstRowFirstColumn="0" w:firstRowLastColumn="0" w:lastRowFirstColumn="0" w:lastRowLastColumn="0"/>
            <w:tcW w:w="5665" w:type="dxa"/>
          </w:tcPr>
          <w:p w14:paraId="192FD19D" w14:textId="6355E7C9" w:rsidR="00324B33" w:rsidRPr="00E679D1" w:rsidRDefault="00C00844" w:rsidP="00EC6916">
            <w:r>
              <w:lastRenderedPageBreak/>
              <w:t>R</w:t>
            </w:r>
            <w:r w:rsidR="0013132F" w:rsidRPr="00E679D1">
              <w:t xml:space="preserve">egistration </w:t>
            </w:r>
            <w:r w:rsidR="005C4B46" w:rsidRPr="00E679D1">
              <w:t xml:space="preserve">in </w:t>
            </w:r>
            <w:r w:rsidR="0013132F" w:rsidRPr="00E679D1">
              <w:t xml:space="preserve">the </w:t>
            </w:r>
            <w:proofErr w:type="spellStart"/>
            <w:r w:rsidR="0013132F" w:rsidRPr="00E679D1">
              <w:t>ARTG</w:t>
            </w:r>
            <w:proofErr w:type="spellEnd"/>
            <w:r w:rsidR="0013132F" w:rsidRPr="00E679D1">
              <w:t xml:space="preserve"> completed</w:t>
            </w:r>
          </w:p>
        </w:tc>
        <w:tc>
          <w:tcPr>
            <w:tcW w:w="2977" w:type="dxa"/>
          </w:tcPr>
          <w:p w14:paraId="5A8923FD" w14:textId="36EA2937" w:rsidR="00324B33" w:rsidRPr="00D01DDB" w:rsidRDefault="00802F91" w:rsidP="00EC6916">
            <w:pPr>
              <w:cnfStyle w:val="000000000000" w:firstRow="0" w:lastRow="0" w:firstColumn="0" w:lastColumn="0" w:oddVBand="0" w:evenVBand="0" w:oddHBand="0" w:evenHBand="0" w:firstRowFirstColumn="0" w:firstRowLastColumn="0" w:lastRowFirstColumn="0" w:lastRowLastColumn="0"/>
            </w:pPr>
            <w:r w:rsidRPr="00802F91">
              <w:t>28 August 2026</w:t>
            </w:r>
          </w:p>
        </w:tc>
      </w:tr>
      <w:tr w:rsidR="00324B33" w:rsidRPr="00D01DDB" w14:paraId="56D922E2" w14:textId="77777777" w:rsidTr="00EC6916">
        <w:tc>
          <w:tcPr>
            <w:cnfStyle w:val="001000000000" w:firstRow="0" w:lastRow="0" w:firstColumn="1" w:lastColumn="0" w:oddVBand="0" w:evenVBand="0" w:oddHBand="0" w:evenHBand="0" w:firstRowFirstColumn="0" w:firstRowLastColumn="0" w:lastRowFirstColumn="0" w:lastRowLastColumn="0"/>
            <w:tcW w:w="5665" w:type="dxa"/>
          </w:tcPr>
          <w:p w14:paraId="787FD8DD" w14:textId="0E0CF97F" w:rsidR="00324B33" w:rsidRPr="00E679D1" w:rsidRDefault="00324B33" w:rsidP="00EC6916">
            <w:r w:rsidRPr="00E679D1">
              <w:t>Number of working days from submission dossier acceptance to registration decision*</w:t>
            </w:r>
          </w:p>
        </w:tc>
        <w:tc>
          <w:tcPr>
            <w:tcW w:w="2977" w:type="dxa"/>
          </w:tcPr>
          <w:p w14:paraId="5BAF9FA1" w14:textId="77FAD333" w:rsidR="00324B33" w:rsidRPr="00D01DDB" w:rsidRDefault="00802F91" w:rsidP="00EC6916">
            <w:pPr>
              <w:cnfStyle w:val="000000000000" w:firstRow="0" w:lastRow="0" w:firstColumn="0" w:lastColumn="0" w:oddVBand="0" w:evenVBand="0" w:oddHBand="0" w:evenHBand="0" w:firstRowFirstColumn="0" w:firstRowLastColumn="0" w:lastRowFirstColumn="0" w:lastRowLastColumn="0"/>
            </w:pPr>
            <w:r>
              <w:t>63</w:t>
            </w:r>
          </w:p>
        </w:tc>
      </w:tr>
    </w:tbl>
    <w:p w14:paraId="47E88CFC" w14:textId="52215AAF" w:rsidR="00433318" w:rsidRDefault="00433318" w:rsidP="00EC6916">
      <w:pPr>
        <w:pStyle w:val="TableDescription"/>
      </w:pPr>
      <w:r w:rsidRPr="00006FAB">
        <w:t>* The COR-B process has a 175 working day evaluation and decision timeframe.</w:t>
      </w:r>
    </w:p>
    <w:p w14:paraId="220925F1" w14:textId="41D63E21" w:rsidR="00C22214" w:rsidRPr="00792A32" w:rsidRDefault="00083763" w:rsidP="00EC6916">
      <w:pPr>
        <w:pStyle w:val="Heading2"/>
      </w:pPr>
      <w:bookmarkStart w:id="28" w:name="_Toc196046504"/>
      <w:bookmarkStart w:id="29" w:name="_Toc247691527"/>
      <w:bookmarkStart w:id="30" w:name="_Toc314842510"/>
      <w:bookmarkStart w:id="31" w:name="_Toc103679294"/>
      <w:bookmarkStart w:id="32" w:name="_Toc241498808"/>
      <w:r>
        <w:t xml:space="preserve">Assessment </w:t>
      </w:r>
      <w:r w:rsidR="00C22214" w:rsidRPr="00006FAB">
        <w:t>overview</w:t>
      </w:r>
      <w:bookmarkEnd w:id="28"/>
      <w:bookmarkEnd w:id="29"/>
      <w:bookmarkEnd w:id="30"/>
      <w:bookmarkEnd w:id="31"/>
      <w:bookmarkEnd w:id="32"/>
    </w:p>
    <w:p w14:paraId="540151FC" w14:textId="06E096BD" w:rsidR="00C22214" w:rsidRPr="00BD5DBD" w:rsidRDefault="00C22214" w:rsidP="00BD5DBD">
      <w:pPr>
        <w:rPr>
          <w:szCs w:val="22"/>
        </w:rPr>
      </w:pPr>
      <w:bookmarkStart w:id="33" w:name="_Toc247691528"/>
      <w:bookmarkStart w:id="34" w:name="_Toc314842511"/>
      <w:r w:rsidRPr="00BD5DBD">
        <w:rPr>
          <w:szCs w:val="22"/>
        </w:rPr>
        <w:t>A summary of the TGA’s assessment for this submission is provided below.</w:t>
      </w:r>
    </w:p>
    <w:p w14:paraId="37F5A1C0" w14:textId="5D3D5FE0" w:rsidR="00C22214" w:rsidRDefault="00095C6A" w:rsidP="00C22214">
      <w:pPr>
        <w:pStyle w:val="Heading3"/>
      </w:pPr>
      <w:bookmarkStart w:id="35" w:name="_Toc103679295"/>
      <w:bookmarkStart w:id="36" w:name="_Toc241498809"/>
      <w:r>
        <w:t>Q</w:t>
      </w:r>
      <w:r w:rsidR="00C22214">
        <w:t>uality</w:t>
      </w:r>
      <w:bookmarkEnd w:id="33"/>
      <w:bookmarkEnd w:id="34"/>
      <w:bookmarkEnd w:id="35"/>
      <w:r w:rsidR="007E6443">
        <w:t xml:space="preserve"> evaluation</w:t>
      </w:r>
      <w:r>
        <w:t xml:space="preserve"> summary</w:t>
      </w:r>
      <w:bookmarkEnd w:id="36"/>
    </w:p>
    <w:p w14:paraId="29A3BB75" w14:textId="1048CD9F" w:rsidR="00A01C56" w:rsidRPr="00BD5DBD" w:rsidRDefault="00637F0E" w:rsidP="00EC6916">
      <w:r w:rsidRPr="00BD5DBD">
        <w:t>Quality evaluation is not required for this submission as there are no proposed changes to the quality of the currently approved product in Australia.</w:t>
      </w:r>
      <w:r w:rsidR="00C816C6" w:rsidRPr="00BD5DBD">
        <w:t xml:space="preserve"> The quality of the currently approved product is suitable for the proposed changes in this submission.</w:t>
      </w:r>
      <w:r w:rsidRPr="00BD5DBD">
        <w:t xml:space="preserve"> A full quality evaluation was conducted at the time this product received initial registration</w:t>
      </w:r>
      <w:r w:rsidR="00883D35">
        <w:t>.</w:t>
      </w:r>
    </w:p>
    <w:p w14:paraId="2BE90AAE" w14:textId="35796FD3" w:rsidR="00C22214" w:rsidRDefault="00C22214" w:rsidP="00C22214">
      <w:pPr>
        <w:pStyle w:val="Heading3"/>
      </w:pPr>
      <w:bookmarkStart w:id="37" w:name="_Toc314842512"/>
      <w:bookmarkStart w:id="38" w:name="_Toc103679296"/>
      <w:bookmarkStart w:id="39" w:name="_Toc241498810"/>
      <w:r>
        <w:t>Nonclinical</w:t>
      </w:r>
      <w:bookmarkEnd w:id="37"/>
      <w:bookmarkEnd w:id="38"/>
      <w:r w:rsidR="007E6443">
        <w:t xml:space="preserve"> evaluation</w:t>
      </w:r>
      <w:r w:rsidR="00095C6A">
        <w:t xml:space="preserve"> summary</w:t>
      </w:r>
      <w:bookmarkEnd w:id="39"/>
    </w:p>
    <w:p w14:paraId="15C51A23" w14:textId="54051345" w:rsidR="008804CF" w:rsidRPr="00BD5DBD" w:rsidRDefault="008804CF" w:rsidP="00EC6916">
      <w:pPr>
        <w:rPr>
          <w:b/>
          <w:bCs/>
        </w:rPr>
      </w:pPr>
      <w:bookmarkStart w:id="40" w:name="_Toc247691530"/>
      <w:bookmarkStart w:id="41" w:name="_Toc314842513"/>
      <w:bookmarkStart w:id="42" w:name="_Toc103679297"/>
      <w:r w:rsidRPr="00BD5DBD">
        <w:t>No new nonclinical data or further nonclinical evaluation were required for this submission.</w:t>
      </w:r>
      <w:r w:rsidR="008C754C" w:rsidRPr="00BD5DBD">
        <w:t xml:space="preserve"> </w:t>
      </w:r>
      <w:r w:rsidRPr="00BD5DBD">
        <w:t>The TGA considers that previously submitted and evaluated data satisfactorily address nonclinical aspects of safety/efficacy relating to this submission</w:t>
      </w:r>
      <w:r w:rsidR="00F865A7" w:rsidRPr="00BD5DBD">
        <w:t>.</w:t>
      </w:r>
    </w:p>
    <w:p w14:paraId="35B580A5" w14:textId="40B226DC" w:rsidR="00C22214" w:rsidRDefault="00C22214" w:rsidP="008804CF">
      <w:pPr>
        <w:pStyle w:val="Heading3"/>
      </w:pPr>
      <w:bookmarkStart w:id="43" w:name="_Toc241498811"/>
      <w:r>
        <w:t>Clinical</w:t>
      </w:r>
      <w:bookmarkEnd w:id="40"/>
      <w:bookmarkEnd w:id="41"/>
      <w:bookmarkEnd w:id="42"/>
      <w:r w:rsidR="00095C6A">
        <w:t xml:space="preserve"> evaluation summary</w:t>
      </w:r>
      <w:bookmarkEnd w:id="43"/>
    </w:p>
    <w:p w14:paraId="404E5606" w14:textId="77777777" w:rsidR="001708FB" w:rsidRDefault="001708FB" w:rsidP="00EC6916">
      <w:r w:rsidRPr="001708FB">
        <w:t>Clinical data supporting this submission are from 3 randomised, multicentre, open-label, parallel group studies conducted between 2006 and 2012. The studies compared the efficacy, safety and tolerability of goserelin 10.8 mg (administered every 12 weeks) with goserelin 3.6 mg (administered every 4 weeks), when given concomitantly with oral tamoxifen 20 mg daily, in 490 premenopausal patients with breast cancer. The 3 trials are Study D8666C00001, Study D8664C00004, and Study D8664C00008.</w:t>
      </w:r>
    </w:p>
    <w:p w14:paraId="0CE229A0" w14:textId="416A2DF0" w:rsidR="00AD1177" w:rsidRPr="001708FB" w:rsidRDefault="00AD1177" w:rsidP="00AD1177">
      <w:pPr>
        <w:pStyle w:val="Heading4"/>
      </w:pPr>
      <w:bookmarkStart w:id="44" w:name="_Ref240631468"/>
      <w:bookmarkStart w:id="45" w:name="_Ref240631838"/>
      <w:bookmarkStart w:id="46" w:name="_Ref240631889"/>
      <w:bookmarkStart w:id="47" w:name="_Toc241498812"/>
      <w:r>
        <w:t>Summary of clinical studies</w:t>
      </w:r>
      <w:bookmarkEnd w:id="44"/>
      <w:bookmarkEnd w:id="45"/>
      <w:bookmarkEnd w:id="46"/>
      <w:bookmarkEnd w:id="47"/>
    </w:p>
    <w:p w14:paraId="7D4C0A85" w14:textId="271EED1C" w:rsidR="001708FB" w:rsidRPr="001708FB" w:rsidRDefault="001708FB" w:rsidP="00EC6916">
      <w:pPr>
        <w:pStyle w:val="Heading5"/>
      </w:pPr>
      <w:r w:rsidRPr="001708FB">
        <w:t>Study D8666C00001</w:t>
      </w:r>
      <w:r w:rsidR="00AD1177">
        <w:t xml:space="preserve"> - </w:t>
      </w:r>
      <w:r w:rsidRPr="001708FB">
        <w:t>Premenopausal women with locally advanced or metastatic ER-positive breast cancer</w:t>
      </w:r>
    </w:p>
    <w:p w14:paraId="693C99CF" w14:textId="77777777" w:rsidR="001708FB" w:rsidRPr="001708FB" w:rsidRDefault="001708FB" w:rsidP="00EC6916">
      <w:r w:rsidRPr="001708FB">
        <w:t>Study D8666C00001 was a phase 3, open-label, randomised, multicentre trial conducted in premenopausal women aged ≥20 years with histologically/cytologically confirmed locally advanced or metastatic ER-positive breast cancer, who were candidates to receive endocrine therapy. Patients were randomised to receive either goserelin 3.6 mg subcutaneous implant once every 4 weeks for 24 weeks or goserelin 10.8 mg subcutaneous implant once every 12 weeks for 24 weeks. All patients also received a daily oral dose of tamoxifen (20 mg) starting on the same day of or one day after the first dose of goserelin and continued until Week 24.</w:t>
      </w:r>
    </w:p>
    <w:p w14:paraId="54E58007" w14:textId="2C6E3ECA" w:rsidR="001708FB" w:rsidRPr="001708FB" w:rsidRDefault="001708FB" w:rsidP="001708FB">
      <w:r w:rsidRPr="001708FB">
        <w:lastRenderedPageBreak/>
        <w:t>Premenopausal was defined as 1) last menses within 1 year of randomisation, and 2) E2 ≥10 pg/mL</w:t>
      </w:r>
      <w:r w:rsidRPr="001708FB">
        <w:rPr>
          <w:vertAlign w:val="superscript"/>
        </w:rPr>
        <w:footnoteReference w:id="14"/>
      </w:r>
      <w:r w:rsidRPr="001708FB">
        <w:t xml:space="preserve"> and </w:t>
      </w:r>
      <w:r w:rsidR="00D369BE">
        <w:t>follicle stimulating hormone (</w:t>
      </w:r>
      <w:r w:rsidRPr="001708FB">
        <w:t>FSH</w:t>
      </w:r>
      <w:r w:rsidR="00D369BE">
        <w:t>)</w:t>
      </w:r>
      <w:r w:rsidRPr="001708FB">
        <w:t xml:space="preserve"> ≤ 30 IU/L</w:t>
      </w:r>
      <w:r w:rsidRPr="001708FB">
        <w:rPr>
          <w:vertAlign w:val="superscript"/>
        </w:rPr>
        <w:footnoteReference w:id="15"/>
      </w:r>
      <w:r w:rsidRPr="001708FB">
        <w:t xml:space="preserve"> within 4 weeks of randomisation. For patients who had had a hysterectomy, it was acceptable to meet only criterion 2.</w:t>
      </w:r>
    </w:p>
    <w:p w14:paraId="036D609E" w14:textId="77777777" w:rsidR="001708FB" w:rsidRPr="001708FB" w:rsidRDefault="001708FB" w:rsidP="001708FB">
      <w:r w:rsidRPr="001708FB">
        <w:t>The primary objective of this study was to evaluate whether Zoladex (goserelin) 10.8 mg is non-inferior to Zoladex (goserelin) 3.6 mg in premenopausal women with ER-positive advanced breast cancer by assessment of progression-free survival (PFS) at 24 weeks. Non-inferiority was concluded if the lower limit of the 95% CI for the difference in PFS between treatment groups was above -17.5%, which would represent 75% relative efficacy of the 12 weekly Zoladex 10.8 mg treatment to the 4 weekly Zoladex 3.6 mg regimen.</w:t>
      </w:r>
    </w:p>
    <w:p w14:paraId="1620393C" w14:textId="77777777" w:rsidR="001708FB" w:rsidRPr="001708FB" w:rsidRDefault="001708FB" w:rsidP="001708FB">
      <w:r w:rsidRPr="001708FB">
        <w:t>The choice of the 75% minimum relative efficacy margin was based on:</w:t>
      </w:r>
    </w:p>
    <w:p w14:paraId="6D40703C" w14:textId="63E564B8" w:rsidR="001708FB" w:rsidRPr="001708FB" w:rsidRDefault="001708FB" w:rsidP="00EC6916">
      <w:pPr>
        <w:pStyle w:val="ListBullet"/>
      </w:pPr>
      <w:r w:rsidRPr="001708FB">
        <w:t>reported efficacy of 4 weekly Zoladex 3.6 mg with or without daily tamoxifen 20 mg in premenopausal patients with advanced breast cancer in the literature</w:t>
      </w:r>
      <w:r>
        <w:t>.</w:t>
      </w:r>
    </w:p>
    <w:p w14:paraId="5C1EABE6" w14:textId="15568D11" w:rsidR="001708FB" w:rsidRPr="001708FB" w:rsidRDefault="001708FB" w:rsidP="00EC6916">
      <w:pPr>
        <w:pStyle w:val="ListBullet"/>
      </w:pPr>
      <w:r w:rsidRPr="001708FB">
        <w:t>natural treatment response variability expected due to biological variables such as tumour size, extent of disease, and primary or emerging resistance to endocrine therapies</w:t>
      </w:r>
      <w:r>
        <w:t>.</w:t>
      </w:r>
    </w:p>
    <w:p w14:paraId="1FB58B5F" w14:textId="01F736B1" w:rsidR="001708FB" w:rsidRPr="001708FB" w:rsidRDefault="001708FB" w:rsidP="001708FB">
      <w:pPr>
        <w:pStyle w:val="ListBullet"/>
      </w:pPr>
      <w:r w:rsidRPr="001708FB">
        <w:t>non-inferiority margins from other phase 3, non-inferiority studies in the published literature that have assessed patients with advanced breast cancer or non-small cell lung cancer</w:t>
      </w:r>
      <w:r>
        <w:t>.</w:t>
      </w:r>
    </w:p>
    <w:p w14:paraId="12B075CF" w14:textId="03F9CD37" w:rsidR="001708FB" w:rsidRPr="001708FB" w:rsidRDefault="001708FB" w:rsidP="00EC6916">
      <w:pPr>
        <w:pStyle w:val="ListBullet"/>
      </w:pPr>
      <w:r w:rsidRPr="001708FB">
        <w:t>pragmatic trial considerations, particularly the difficulties in recruitment from a small population (i.e. chemotherapy-naïve, premenopausal patients with advanced breast cancer). It was calculated that a sample size of 660 patients would have been required if a non-inferiority margin of 10% was used, and this would have made the trial unfeasible</w:t>
      </w:r>
      <w:r>
        <w:t>.</w:t>
      </w:r>
    </w:p>
    <w:p w14:paraId="16A445D1" w14:textId="77777777" w:rsidR="001708FB" w:rsidRPr="001708FB" w:rsidRDefault="001708FB" w:rsidP="001708FB">
      <w:pPr>
        <w:rPr>
          <w:b/>
          <w:bCs/>
        </w:rPr>
      </w:pPr>
      <w:r w:rsidRPr="001708FB">
        <w:t>A sample size of 216 patients (108 per group) was calculated to provide 80% power to conclude non-inferiority.</w:t>
      </w:r>
    </w:p>
    <w:p w14:paraId="37171E92" w14:textId="799B46F5" w:rsidR="001708FB" w:rsidRPr="001708FB" w:rsidRDefault="001708FB" w:rsidP="001708FB">
      <w:r w:rsidRPr="001708FB">
        <w:t>Secondary endpoints included E</w:t>
      </w:r>
      <w:r w:rsidR="00E402B9">
        <w:t>2</w:t>
      </w:r>
      <w:r w:rsidRPr="001708FB">
        <w:t xml:space="preserve"> serum concentrations at 24 weeks.</w:t>
      </w:r>
    </w:p>
    <w:p w14:paraId="0CFC90FF" w14:textId="77777777" w:rsidR="001708FB" w:rsidRPr="001708FB" w:rsidRDefault="001708FB" w:rsidP="001708FB">
      <w:r w:rsidRPr="001708FB">
        <w:t xml:space="preserve">A total of 222 patients were randomised into the study; 109 in the 10.8 mg group, 113 in the 3.6 mg group. Most (74.3% in the 10.8 mg group, 73.5% in the 3.6 mg group) had tumours classified as invasive ductal. All patients were ER-positive, and most were both ER- and progesterone receptor (PgR)-positive (82.6% in the 10.8 mg group; 77.9% in the 3.6 mg group). Most patients (88.7%) had metastatic disease. Patient ethnicities were Japanese (26.6%) or non-Japanese Asian (73.4%). The most common countries of residence were Japan (26.6%), India (25.2%), and Philippines (19.8%). Median age was 42.0 years (range: 23, 54). </w:t>
      </w:r>
    </w:p>
    <w:p w14:paraId="5F0CBD02" w14:textId="07E5F7F9" w:rsidR="001708FB" w:rsidRPr="001708FB" w:rsidRDefault="001708FB" w:rsidP="001708FB">
      <w:pPr>
        <w:pStyle w:val="Heading5"/>
      </w:pPr>
      <w:r w:rsidRPr="001708FB">
        <w:t>Study D8664C00004</w:t>
      </w:r>
      <w:r w:rsidR="00AD1177">
        <w:t xml:space="preserve"> - </w:t>
      </w:r>
      <w:r w:rsidRPr="001708FB">
        <w:t>Premenopausal women with ER-positive early breast cancer</w:t>
      </w:r>
    </w:p>
    <w:p w14:paraId="06BBD32A" w14:textId="54AE4D3D" w:rsidR="001708FB" w:rsidRPr="001708FB" w:rsidRDefault="001708FB" w:rsidP="00EC6916">
      <w:r w:rsidRPr="001708FB">
        <w:t xml:space="preserve">Study D8664C00004 was a phase 2, open label, randomised, multicentre study to compare </w:t>
      </w:r>
      <w:r w:rsidR="00E402B9">
        <w:t>E2</w:t>
      </w:r>
      <w:r w:rsidRPr="001708FB">
        <w:t xml:space="preserve"> suppression between goserelin 10.8 mg subcutaneous depot given once every 12 weeks and goserelin 3.6 mg depot given once every 4 weeks in premenopausal patients with ER-positive early breast cancer. All patients also received concomitant oral tamoxifen (20 mg daily).</w:t>
      </w:r>
    </w:p>
    <w:p w14:paraId="6EA0B923" w14:textId="77777777" w:rsidR="001708FB" w:rsidRPr="001708FB" w:rsidRDefault="001708FB" w:rsidP="001708FB">
      <w:r w:rsidRPr="001708FB">
        <w:t>Premenopausal status was defined as menses within 1 year before enrolment, and within 3 weeks before randomisation, E2 ≥10 pg/mL and FSH ≤30 IU/L.</w:t>
      </w:r>
    </w:p>
    <w:p w14:paraId="26EB6D7A" w14:textId="77777777" w:rsidR="001708FB" w:rsidRPr="001708FB" w:rsidRDefault="001708FB" w:rsidP="00EC6916">
      <w:r w:rsidRPr="001708FB">
        <w:lastRenderedPageBreak/>
        <w:t>The primary objective for this study was to examine whether Zoladex (goserelin) 10.8 mg depot was non-inferior to Zoladex (goserelin) 3.6 mg by assessment of area under the curve (AUC) of E2 serum concentration from Week 4 to Week 24 of treatment. Non-inferiority was to be concluded if the upper limit of the 95% confidence interval of the ratio (10.8 mg/3.6 mg) of the area under the E2 concentration-time curves was ≤ 1.25.</w:t>
      </w:r>
    </w:p>
    <w:p w14:paraId="30D39B3E" w14:textId="77777777" w:rsidR="001708FB" w:rsidRPr="001708FB" w:rsidRDefault="001708FB" w:rsidP="00EC6916">
      <w:r w:rsidRPr="001708FB">
        <w:t>The limit of non-inferiority of 1.25 was chosen as it was felt to be reasonably small for a highly variable measurement of E2 and was consistent with the upper limit for bioequivalence studies.</w:t>
      </w:r>
    </w:p>
    <w:p w14:paraId="40F75CA9" w14:textId="7D23DEFB" w:rsidR="001708FB" w:rsidRPr="001708FB" w:rsidRDefault="001708FB" w:rsidP="001708FB">
      <w:r w:rsidRPr="001708FB">
        <w:t>A planned sample size of 152 patients (76 per group) was calculated to provide 80% power to establish non-inferiority.</w:t>
      </w:r>
    </w:p>
    <w:p w14:paraId="6CAA8FA4" w14:textId="77777777" w:rsidR="001708FB" w:rsidRPr="001708FB" w:rsidRDefault="001708FB" w:rsidP="00EC6916">
      <w:r w:rsidRPr="001708FB">
        <w:t>The study randomised 170 patients; 86 to the goserelin 10.8 mg group and 84 to the goserelin 3.6 mg group. Most patients had invasive breast cancer (95.3%) that was PgR-positive (94.7%), stage T1 (60.6%) and N0 (93.5%). No patients had distant metastases. All patients were Japanese. Median age was 44.0 years (range: 26, 53).</w:t>
      </w:r>
    </w:p>
    <w:p w14:paraId="338ABF8F" w14:textId="6B6E0385" w:rsidR="001708FB" w:rsidRPr="001708FB" w:rsidRDefault="001708FB" w:rsidP="00AD1177">
      <w:pPr>
        <w:pStyle w:val="Heading5"/>
      </w:pPr>
      <w:r w:rsidRPr="001708FB">
        <w:t>Study D8664C00008</w:t>
      </w:r>
      <w:r w:rsidR="00AD1177">
        <w:t xml:space="preserve"> - </w:t>
      </w:r>
      <w:r w:rsidRPr="001708FB">
        <w:t>Premenopausal women with locally advanced or metastatic ER-positive breast cancer</w:t>
      </w:r>
    </w:p>
    <w:p w14:paraId="6CE3B161" w14:textId="47933C1D" w:rsidR="001708FB" w:rsidRPr="001708FB" w:rsidRDefault="001708FB" w:rsidP="00EC6916">
      <w:r w:rsidRPr="001708FB">
        <w:t>Study D8664C00008 was a phase 3, open-label, randomised, multicentre trial conducted in 98 premenopausal women aged ≥18 years with histologically/cytologically confirmed locally advanced or metastatic ER-positive breast cancer, who were candidates to receive endocrine therapy. Patients were randomised to receive either goserelin 3.6 mg subcutaneous implant once every 4 weeks (n=49) or goserelin 10.8 mg subcutaneous implant once every 12 weeks (n=49). All patients also received a daily oral dose of tamoxifen (20 mg).</w:t>
      </w:r>
    </w:p>
    <w:p w14:paraId="7618CDAC" w14:textId="77777777" w:rsidR="001708FB" w:rsidRPr="001708FB" w:rsidRDefault="001708FB" w:rsidP="00EC6916">
      <w:r w:rsidRPr="001708FB">
        <w:t>Premenopausal was defined as 1) last menses within 1 year of administration of study drug, and 2) E2 ≥10 pmol/L and FSH ≤30 IU/L within 4 weeks of administration of study drug. For patients who had a hysterectomy, it was acceptable to meet only criterion 2.</w:t>
      </w:r>
    </w:p>
    <w:p w14:paraId="30972E01" w14:textId="77777777" w:rsidR="001708FB" w:rsidRPr="001708FB" w:rsidRDefault="001708FB" w:rsidP="001708FB">
      <w:r w:rsidRPr="001708FB">
        <w:t>The primary objective of this study was to evaluate whether Zoladex (goserelin) 10.8 mg was non-inferior to Zoladex (goserelin) 3.6 mg by assessment of PFS at Week 24. Non-inferiority of the 12-weekly 10.8 mg treatment regimen to the 4-weekly 3.6 mg regimen was concluded if the lower limit of the 95% CI for the difference (10.8 mg minus 3.6 mg) was above -17.5%.</w:t>
      </w:r>
    </w:p>
    <w:p w14:paraId="32CCB335" w14:textId="7583DF97" w:rsidR="001708FB" w:rsidRPr="001708FB" w:rsidRDefault="001708FB" w:rsidP="001708FB">
      <w:r w:rsidRPr="001708FB">
        <w:t>Secondary endpoints included E2 serum concentrations at 24 weeks.</w:t>
      </w:r>
    </w:p>
    <w:p w14:paraId="7203BFBC" w14:textId="77777777" w:rsidR="001708FB" w:rsidRPr="001708FB" w:rsidRDefault="001708FB" w:rsidP="001708FB">
      <w:r w:rsidRPr="001708FB">
        <w:t>Patients in this trial were Japanese (39.8%) or Caucasian (60.2%; of whom most were in Ukraine [50.8%] or Russia [37.3%]). Median age was 43.0 years (range: 26, 59). Most patients had infiltrating ductal carcinoma (79.6%) and metastatic/recurrent disease (78.6%). The most frequent metastatic sites were lymph nodes (50.0%) and bone (42.9%).</w:t>
      </w:r>
    </w:p>
    <w:p w14:paraId="14DF7414" w14:textId="18875240" w:rsidR="001708FB" w:rsidRPr="001708FB" w:rsidRDefault="001708FB" w:rsidP="00EC6916">
      <w:r w:rsidRPr="001708FB">
        <w:t xml:space="preserve">The study aimed to recruit 216 patients evaluable in the analysis of the primary efficacy outcome variable, to ensure that an 80% power was achieved for the conclusion of non-inferiority. However, the study was terminated prematurely and reported early without recruiting the required 216 evaluable patients; in total 98 patients were randomised. Early termination was due to difficult recruitment, which the </w:t>
      </w:r>
      <w:r w:rsidR="00AC757F">
        <w:t>Sponsor</w:t>
      </w:r>
      <w:r w:rsidRPr="001708FB">
        <w:t xml:space="preserve"> states </w:t>
      </w:r>
      <w:proofErr w:type="gramStart"/>
      <w:r w:rsidRPr="001708FB">
        <w:t>was</w:t>
      </w:r>
      <w:proofErr w:type="gramEnd"/>
      <w:r w:rsidRPr="001708FB">
        <w:t xml:space="preserve"> due to the evolving landscape of treatment of ER-positive advanced breast cancer in pre- and peri-menopausal women. Due to the low recruitment numbers, the study was no longer adequately powered to detect non-inferiority and thus is designated as a supportive study only.</w:t>
      </w:r>
    </w:p>
    <w:p w14:paraId="5B74E294" w14:textId="508E7751" w:rsidR="001708FB" w:rsidRPr="001708FB" w:rsidRDefault="001708FB" w:rsidP="001708FB">
      <w:pPr>
        <w:pStyle w:val="Heading4"/>
        <w:rPr>
          <w:i/>
        </w:rPr>
      </w:pPr>
      <w:bookmarkStart w:id="48" w:name="_Toc241498813"/>
      <w:r w:rsidRPr="001708FB">
        <w:lastRenderedPageBreak/>
        <w:t>Pharmacology</w:t>
      </w:r>
      <w:bookmarkEnd w:id="48"/>
    </w:p>
    <w:p w14:paraId="2E253443" w14:textId="0094AA51" w:rsidR="001708FB" w:rsidRPr="001708FB" w:rsidRDefault="001708FB" w:rsidP="001708FB">
      <w:pPr>
        <w:pStyle w:val="Heading5"/>
      </w:pPr>
      <w:r w:rsidRPr="001708FB">
        <w:t xml:space="preserve">Pharmacokinetics </w:t>
      </w:r>
    </w:p>
    <w:p w14:paraId="6452C8C7" w14:textId="2405C43B" w:rsidR="001708FB" w:rsidRPr="001708FB" w:rsidRDefault="001708FB" w:rsidP="001708FB">
      <w:r w:rsidRPr="001708FB">
        <w:t xml:space="preserve">In all 3 clinical trials, only patients receiving the 10.8 mg dose had blood samples collected for measurement of goserelin concentrations (20 patients planned per trial). No samples for goserelin </w:t>
      </w:r>
      <w:r w:rsidR="00AC757F">
        <w:t>pharmacokinetics (</w:t>
      </w:r>
      <w:r w:rsidRPr="001708FB">
        <w:t>PK</w:t>
      </w:r>
      <w:r w:rsidR="00AC757F">
        <w:t>)</w:t>
      </w:r>
      <w:r w:rsidRPr="001708FB">
        <w:t xml:space="preserve"> were collected from any patients receiving the 3.6 mg depot.</w:t>
      </w:r>
    </w:p>
    <w:p w14:paraId="66393AFF" w14:textId="77C32536" w:rsidR="001708FB" w:rsidRDefault="001708FB" w:rsidP="00EC6916">
      <w:r w:rsidRPr="001708FB">
        <w:t xml:space="preserve">The goserelin PK results for the 10.8 mg dose from the 3 clinical trials submitted with this application are presented in </w:t>
      </w:r>
      <w:r>
        <w:t>Table 3</w:t>
      </w:r>
      <w:r w:rsidRPr="001708FB">
        <w:t xml:space="preserve"> (Study D8666C00001), </w:t>
      </w:r>
      <w:r>
        <w:t>Table 4</w:t>
      </w:r>
      <w:r w:rsidRPr="001708FB">
        <w:t xml:space="preserve"> (Study D8664C00004), and </w:t>
      </w:r>
      <w:r>
        <w:t xml:space="preserve">Table 5 </w:t>
      </w:r>
      <w:r w:rsidRPr="001708FB">
        <w:t>(Study D8664C00008).</w:t>
      </w:r>
    </w:p>
    <w:p w14:paraId="79A87841" w14:textId="17DB7890" w:rsidR="001708FB" w:rsidRPr="001708FB" w:rsidRDefault="001708FB" w:rsidP="00EC6916">
      <w:pPr>
        <w:pStyle w:val="TableTitle"/>
        <w:rPr>
          <w:lang w:eastAsia="en-AU"/>
        </w:rPr>
      </w:pPr>
      <w:r w:rsidRPr="001708FB">
        <w:rPr>
          <w:lang w:eastAsia="en-AU"/>
        </w:rPr>
        <w:t>Table</w:t>
      </w:r>
      <w:r>
        <w:rPr>
          <w:lang w:eastAsia="en-AU"/>
        </w:rPr>
        <w:t xml:space="preserve"> 3.</w:t>
      </w:r>
      <w:r w:rsidRPr="001708FB">
        <w:rPr>
          <w:lang w:eastAsia="en-AU"/>
        </w:rPr>
        <w:t xml:space="preserve"> Pharmacokinetic parameters of goserelin, </w:t>
      </w:r>
      <w:r w:rsidR="00CC205B">
        <w:rPr>
          <w:lang w:eastAsia="en-AU"/>
        </w:rPr>
        <w:t>a</w:t>
      </w:r>
      <w:r w:rsidRPr="001708FB">
        <w:rPr>
          <w:lang w:eastAsia="en-AU"/>
        </w:rPr>
        <w:t>ll centres (PK subgroup set; Study D8666C00001)</w:t>
      </w:r>
    </w:p>
    <w:tbl>
      <w:tblPr>
        <w:tblW w:w="0" w:type="auto"/>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CellMar>
          <w:top w:w="15" w:type="dxa"/>
          <w:left w:w="15" w:type="dxa"/>
          <w:bottom w:w="15" w:type="dxa"/>
          <w:right w:w="15" w:type="dxa"/>
        </w:tblCellMar>
        <w:tblLook w:val="04A0" w:firstRow="1" w:lastRow="0" w:firstColumn="1" w:lastColumn="0" w:noHBand="0" w:noVBand="1"/>
        <w:tblCaption w:val="Table 3. Pharmacokinetic parameters of goserelin, all centres (PK subgroup set; Study D8666C00001)"/>
      </w:tblPr>
      <w:tblGrid>
        <w:gridCol w:w="1399"/>
        <w:gridCol w:w="1775"/>
        <w:gridCol w:w="252"/>
        <w:gridCol w:w="1359"/>
        <w:gridCol w:w="621"/>
        <w:gridCol w:w="1395"/>
        <w:gridCol w:w="625"/>
        <w:gridCol w:w="716"/>
        <w:gridCol w:w="404"/>
        <w:gridCol w:w="514"/>
      </w:tblGrid>
      <w:tr w:rsidR="001708FB" w:rsidRPr="001708FB" w14:paraId="065CD41B" w14:textId="77777777" w:rsidTr="001708FB">
        <w:trPr>
          <w:tblHeader/>
        </w:trPr>
        <w:tc>
          <w:tcPr>
            <w:tcW w:w="0" w:type="auto"/>
            <w:shd w:val="clear" w:color="auto" w:fill="DEEAF6"/>
            <w:vAlign w:val="center"/>
            <w:hideMark/>
          </w:tcPr>
          <w:p w14:paraId="4F1A4A6D" w14:textId="77777777" w:rsidR="001708FB" w:rsidRPr="001708FB" w:rsidRDefault="001708FB" w:rsidP="001708FB">
            <w:pPr>
              <w:spacing w:after="0" w:line="240" w:lineRule="auto"/>
              <w:rPr>
                <w:rFonts w:eastAsia="Times New Roman" w:cs="Times New Roman"/>
                <w:b/>
                <w:bCs/>
                <w:color w:val="263287"/>
                <w:sz w:val="20"/>
                <w:lang w:eastAsia="en-AU"/>
              </w:rPr>
            </w:pPr>
            <w:r w:rsidRPr="001708FB">
              <w:rPr>
                <w:rFonts w:eastAsia="Times New Roman" w:cs="Times New Roman"/>
                <w:b/>
                <w:bCs/>
                <w:color w:val="263287"/>
                <w:sz w:val="20"/>
                <w:lang w:eastAsia="en-AU"/>
              </w:rPr>
              <w:t>Treatment</w:t>
            </w:r>
          </w:p>
        </w:tc>
        <w:tc>
          <w:tcPr>
            <w:tcW w:w="1775" w:type="dxa"/>
            <w:shd w:val="clear" w:color="auto" w:fill="DEEAF6"/>
            <w:vAlign w:val="center"/>
            <w:hideMark/>
          </w:tcPr>
          <w:p w14:paraId="3EA61855" w14:textId="77777777" w:rsidR="001708FB" w:rsidRPr="001708FB" w:rsidRDefault="001708FB" w:rsidP="001708FB">
            <w:pPr>
              <w:spacing w:after="0" w:line="240" w:lineRule="auto"/>
              <w:rPr>
                <w:rFonts w:eastAsia="Times New Roman" w:cs="Times New Roman"/>
                <w:b/>
                <w:bCs/>
                <w:color w:val="263287"/>
                <w:sz w:val="20"/>
                <w:lang w:eastAsia="en-AU"/>
              </w:rPr>
            </w:pPr>
            <w:r w:rsidRPr="001708FB">
              <w:rPr>
                <w:rFonts w:eastAsia="Times New Roman" w:cs="Times New Roman"/>
                <w:b/>
                <w:bCs/>
                <w:color w:val="263287"/>
                <w:sz w:val="20"/>
                <w:lang w:eastAsia="en-AU"/>
              </w:rPr>
              <w:t>Variable</w:t>
            </w:r>
          </w:p>
        </w:tc>
        <w:tc>
          <w:tcPr>
            <w:tcW w:w="0" w:type="auto"/>
            <w:shd w:val="clear" w:color="auto" w:fill="DEEAF6"/>
            <w:vAlign w:val="center"/>
            <w:hideMark/>
          </w:tcPr>
          <w:p w14:paraId="05003B77" w14:textId="77777777" w:rsidR="001708FB" w:rsidRPr="001708FB" w:rsidRDefault="001708FB" w:rsidP="001708FB">
            <w:pPr>
              <w:spacing w:after="0" w:line="240" w:lineRule="auto"/>
              <w:rPr>
                <w:rFonts w:eastAsia="Times New Roman" w:cs="Times New Roman"/>
                <w:b/>
                <w:bCs/>
                <w:color w:val="263287"/>
                <w:sz w:val="20"/>
                <w:lang w:eastAsia="en-AU"/>
              </w:rPr>
            </w:pPr>
            <w:r w:rsidRPr="001708FB">
              <w:rPr>
                <w:rFonts w:eastAsia="Times New Roman" w:cs="Times New Roman"/>
                <w:b/>
                <w:bCs/>
                <w:color w:val="263287"/>
                <w:sz w:val="20"/>
                <w:lang w:eastAsia="en-AU"/>
              </w:rPr>
              <w:t>n</w:t>
            </w:r>
          </w:p>
        </w:tc>
        <w:tc>
          <w:tcPr>
            <w:tcW w:w="0" w:type="auto"/>
            <w:shd w:val="clear" w:color="auto" w:fill="DEEAF6"/>
            <w:vAlign w:val="center"/>
            <w:hideMark/>
          </w:tcPr>
          <w:p w14:paraId="74F5FBC0" w14:textId="77777777" w:rsidR="001708FB" w:rsidRPr="001708FB" w:rsidRDefault="001708FB" w:rsidP="001708FB">
            <w:pPr>
              <w:spacing w:after="0" w:line="240" w:lineRule="auto"/>
              <w:rPr>
                <w:rFonts w:eastAsia="Times New Roman" w:cs="Times New Roman"/>
                <w:b/>
                <w:bCs/>
                <w:color w:val="263287"/>
                <w:sz w:val="20"/>
                <w:lang w:eastAsia="en-AU"/>
              </w:rPr>
            </w:pPr>
            <w:r w:rsidRPr="001708FB">
              <w:rPr>
                <w:rFonts w:eastAsia="Times New Roman" w:cs="Times New Roman"/>
                <w:b/>
                <w:bCs/>
                <w:color w:val="263287"/>
                <w:sz w:val="20"/>
                <w:lang w:eastAsia="en-AU"/>
              </w:rPr>
              <w:t>Geometric mean</w:t>
            </w:r>
          </w:p>
        </w:tc>
        <w:tc>
          <w:tcPr>
            <w:tcW w:w="0" w:type="auto"/>
            <w:shd w:val="clear" w:color="auto" w:fill="DEEAF6"/>
            <w:vAlign w:val="center"/>
            <w:hideMark/>
          </w:tcPr>
          <w:p w14:paraId="1BC7E572" w14:textId="77777777" w:rsidR="001708FB" w:rsidRPr="001708FB" w:rsidRDefault="001708FB" w:rsidP="001708FB">
            <w:pPr>
              <w:spacing w:after="0" w:line="240" w:lineRule="auto"/>
              <w:rPr>
                <w:rFonts w:eastAsia="Times New Roman" w:cs="Times New Roman"/>
                <w:b/>
                <w:bCs/>
                <w:color w:val="263287"/>
                <w:sz w:val="20"/>
                <w:lang w:eastAsia="en-AU"/>
              </w:rPr>
            </w:pPr>
            <w:r w:rsidRPr="001708FB">
              <w:rPr>
                <w:rFonts w:eastAsia="Times New Roman" w:cs="Times New Roman"/>
                <w:b/>
                <w:bCs/>
                <w:color w:val="263287"/>
                <w:sz w:val="20"/>
                <w:lang w:eastAsia="en-AU"/>
              </w:rPr>
              <w:t>CV (%)</w:t>
            </w:r>
          </w:p>
        </w:tc>
        <w:tc>
          <w:tcPr>
            <w:tcW w:w="0" w:type="auto"/>
            <w:shd w:val="clear" w:color="auto" w:fill="DEEAF6"/>
            <w:vAlign w:val="center"/>
            <w:hideMark/>
          </w:tcPr>
          <w:p w14:paraId="5EBA0115" w14:textId="77777777" w:rsidR="001708FB" w:rsidRPr="001708FB" w:rsidRDefault="001708FB" w:rsidP="001708FB">
            <w:pPr>
              <w:spacing w:after="0" w:line="240" w:lineRule="auto"/>
              <w:rPr>
                <w:rFonts w:eastAsia="Times New Roman" w:cs="Times New Roman"/>
                <w:b/>
                <w:bCs/>
                <w:color w:val="263287"/>
                <w:sz w:val="20"/>
                <w:lang w:eastAsia="en-AU"/>
              </w:rPr>
            </w:pPr>
            <w:r w:rsidRPr="001708FB">
              <w:rPr>
                <w:rFonts w:eastAsia="Times New Roman" w:cs="Times New Roman"/>
                <w:b/>
                <w:bCs/>
                <w:color w:val="263287"/>
                <w:sz w:val="20"/>
                <w:lang w:eastAsia="en-AU"/>
              </w:rPr>
              <w:t>Arithmetic mean</w:t>
            </w:r>
          </w:p>
        </w:tc>
        <w:tc>
          <w:tcPr>
            <w:tcW w:w="0" w:type="auto"/>
            <w:shd w:val="clear" w:color="auto" w:fill="DEEAF6"/>
            <w:vAlign w:val="center"/>
            <w:hideMark/>
          </w:tcPr>
          <w:p w14:paraId="20C86516" w14:textId="77777777" w:rsidR="001708FB" w:rsidRPr="001708FB" w:rsidRDefault="001708FB" w:rsidP="001708FB">
            <w:pPr>
              <w:spacing w:after="0" w:line="240" w:lineRule="auto"/>
              <w:rPr>
                <w:rFonts w:eastAsia="Times New Roman" w:cs="Times New Roman"/>
                <w:b/>
                <w:bCs/>
                <w:color w:val="263287"/>
                <w:sz w:val="20"/>
                <w:lang w:eastAsia="en-AU"/>
              </w:rPr>
            </w:pPr>
            <w:r w:rsidRPr="001708FB">
              <w:rPr>
                <w:rFonts w:eastAsia="Times New Roman" w:cs="Times New Roman"/>
                <w:b/>
                <w:bCs/>
                <w:color w:val="263287"/>
                <w:sz w:val="20"/>
                <w:lang w:eastAsia="en-AU"/>
              </w:rPr>
              <w:t>SD</w:t>
            </w:r>
          </w:p>
        </w:tc>
        <w:tc>
          <w:tcPr>
            <w:tcW w:w="0" w:type="auto"/>
            <w:shd w:val="clear" w:color="auto" w:fill="DEEAF6"/>
            <w:vAlign w:val="center"/>
            <w:hideMark/>
          </w:tcPr>
          <w:p w14:paraId="42DACA65" w14:textId="77777777" w:rsidR="001708FB" w:rsidRPr="001708FB" w:rsidRDefault="001708FB" w:rsidP="001708FB">
            <w:pPr>
              <w:spacing w:after="0" w:line="240" w:lineRule="auto"/>
              <w:rPr>
                <w:rFonts w:eastAsia="Times New Roman" w:cs="Times New Roman"/>
                <w:b/>
                <w:bCs/>
                <w:color w:val="263287"/>
                <w:sz w:val="20"/>
                <w:lang w:eastAsia="en-AU"/>
              </w:rPr>
            </w:pPr>
            <w:r w:rsidRPr="001708FB">
              <w:rPr>
                <w:rFonts w:eastAsia="Times New Roman" w:cs="Times New Roman"/>
                <w:b/>
                <w:bCs/>
                <w:color w:val="263287"/>
                <w:sz w:val="20"/>
                <w:lang w:eastAsia="en-AU"/>
              </w:rPr>
              <w:t>Median</w:t>
            </w:r>
          </w:p>
        </w:tc>
        <w:tc>
          <w:tcPr>
            <w:tcW w:w="0" w:type="auto"/>
            <w:shd w:val="clear" w:color="auto" w:fill="DEEAF6"/>
            <w:vAlign w:val="center"/>
            <w:hideMark/>
          </w:tcPr>
          <w:p w14:paraId="5E935084" w14:textId="77777777" w:rsidR="001708FB" w:rsidRPr="001708FB" w:rsidRDefault="001708FB" w:rsidP="001708FB">
            <w:pPr>
              <w:spacing w:after="0" w:line="240" w:lineRule="auto"/>
              <w:rPr>
                <w:rFonts w:eastAsia="Times New Roman" w:cs="Times New Roman"/>
                <w:b/>
                <w:bCs/>
                <w:color w:val="263287"/>
                <w:sz w:val="20"/>
                <w:lang w:eastAsia="en-AU"/>
              </w:rPr>
            </w:pPr>
            <w:r w:rsidRPr="001708FB">
              <w:rPr>
                <w:rFonts w:eastAsia="Times New Roman" w:cs="Times New Roman"/>
                <w:b/>
                <w:bCs/>
                <w:color w:val="263287"/>
                <w:sz w:val="20"/>
                <w:lang w:eastAsia="en-AU"/>
              </w:rPr>
              <w:t>Min</w:t>
            </w:r>
          </w:p>
        </w:tc>
        <w:tc>
          <w:tcPr>
            <w:tcW w:w="0" w:type="auto"/>
            <w:shd w:val="clear" w:color="auto" w:fill="DEEAF6"/>
            <w:vAlign w:val="center"/>
            <w:hideMark/>
          </w:tcPr>
          <w:p w14:paraId="5484D143" w14:textId="77777777" w:rsidR="001708FB" w:rsidRPr="001708FB" w:rsidRDefault="001708FB" w:rsidP="001708FB">
            <w:pPr>
              <w:spacing w:after="0" w:line="240" w:lineRule="auto"/>
              <w:rPr>
                <w:rFonts w:eastAsia="Times New Roman" w:cs="Times New Roman"/>
                <w:b/>
                <w:bCs/>
                <w:color w:val="263287"/>
                <w:sz w:val="20"/>
                <w:lang w:eastAsia="en-AU"/>
              </w:rPr>
            </w:pPr>
            <w:r w:rsidRPr="001708FB">
              <w:rPr>
                <w:rFonts w:eastAsia="Times New Roman" w:cs="Times New Roman"/>
                <w:b/>
                <w:bCs/>
                <w:color w:val="263287"/>
                <w:sz w:val="20"/>
                <w:lang w:eastAsia="en-AU"/>
              </w:rPr>
              <w:t>Max</w:t>
            </w:r>
          </w:p>
        </w:tc>
      </w:tr>
      <w:tr w:rsidR="001708FB" w:rsidRPr="001708FB" w14:paraId="6D15BC5F" w14:textId="77777777" w:rsidTr="001708FB">
        <w:tc>
          <w:tcPr>
            <w:tcW w:w="0" w:type="auto"/>
            <w:vMerge w:val="restart"/>
            <w:vAlign w:val="center"/>
            <w:hideMark/>
          </w:tcPr>
          <w:p w14:paraId="3241BE57" w14:textId="6975D14C" w:rsidR="001708FB" w:rsidRPr="001708FB" w:rsidRDefault="001708FB" w:rsidP="001708FB">
            <w:pPr>
              <w:spacing w:after="0" w:line="240" w:lineRule="auto"/>
              <w:rPr>
                <w:rFonts w:eastAsia="Times New Roman" w:cs="Times New Roman"/>
                <w:sz w:val="20"/>
                <w:lang w:eastAsia="en-AU"/>
              </w:rPr>
            </w:pPr>
            <w:proofErr w:type="spellStart"/>
            <w:r w:rsidRPr="001708FB">
              <w:rPr>
                <w:rFonts w:eastAsia="Times New Roman" w:cs="Times New Roman"/>
                <w:sz w:val="20"/>
                <w:lang w:eastAsia="en-AU"/>
              </w:rPr>
              <w:t>ZOLADEX</w:t>
            </w:r>
            <w:proofErr w:type="spellEnd"/>
            <w:r w:rsidRPr="001708FB">
              <w:rPr>
                <w:rFonts w:eastAsia="Times New Roman" w:cs="Times New Roman"/>
                <w:sz w:val="20"/>
                <w:lang w:eastAsia="en-AU"/>
              </w:rPr>
              <w:t xml:space="preserve"> 10.8 mg</w:t>
            </w:r>
          </w:p>
        </w:tc>
        <w:tc>
          <w:tcPr>
            <w:tcW w:w="1775" w:type="dxa"/>
            <w:vAlign w:val="center"/>
            <w:hideMark/>
          </w:tcPr>
          <w:p w14:paraId="1F2FE1BB" w14:textId="77777777" w:rsidR="001708FB" w:rsidRPr="001708FB" w:rsidRDefault="001708FB" w:rsidP="001708FB">
            <w:pPr>
              <w:spacing w:after="0" w:line="240" w:lineRule="auto"/>
              <w:rPr>
                <w:rFonts w:eastAsia="Times New Roman" w:cs="Times New Roman"/>
                <w:sz w:val="20"/>
                <w:lang w:eastAsia="en-AU"/>
              </w:rPr>
            </w:pPr>
            <w:proofErr w:type="spellStart"/>
            <w:r w:rsidRPr="001708FB">
              <w:rPr>
                <w:rFonts w:eastAsia="Times New Roman" w:cs="Times New Roman"/>
                <w:sz w:val="20"/>
                <w:lang w:eastAsia="en-AU"/>
              </w:rPr>
              <w:t>Cmax</w:t>
            </w:r>
            <w:proofErr w:type="spellEnd"/>
            <w:r w:rsidRPr="001708FB">
              <w:rPr>
                <w:rFonts w:eastAsia="Times New Roman" w:cs="Times New Roman"/>
                <w:sz w:val="20"/>
                <w:lang w:eastAsia="en-AU"/>
              </w:rPr>
              <w:t xml:space="preserve"> (ng/mL)</w:t>
            </w:r>
          </w:p>
        </w:tc>
        <w:tc>
          <w:tcPr>
            <w:tcW w:w="0" w:type="auto"/>
            <w:vAlign w:val="center"/>
            <w:hideMark/>
          </w:tcPr>
          <w:p w14:paraId="0AF37969"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20</w:t>
            </w:r>
          </w:p>
        </w:tc>
        <w:tc>
          <w:tcPr>
            <w:tcW w:w="0" w:type="auto"/>
            <w:vAlign w:val="center"/>
            <w:hideMark/>
          </w:tcPr>
          <w:p w14:paraId="398566A5"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3.997</w:t>
            </w:r>
          </w:p>
        </w:tc>
        <w:tc>
          <w:tcPr>
            <w:tcW w:w="0" w:type="auto"/>
            <w:vAlign w:val="center"/>
            <w:hideMark/>
          </w:tcPr>
          <w:p w14:paraId="4DBF95F1"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107.5</w:t>
            </w:r>
          </w:p>
        </w:tc>
        <w:tc>
          <w:tcPr>
            <w:tcW w:w="0" w:type="auto"/>
            <w:vAlign w:val="center"/>
            <w:hideMark/>
          </w:tcPr>
          <w:p w14:paraId="49E81BC3"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5.412</w:t>
            </w:r>
          </w:p>
        </w:tc>
        <w:tc>
          <w:tcPr>
            <w:tcW w:w="0" w:type="auto"/>
            <w:vAlign w:val="center"/>
            <w:hideMark/>
          </w:tcPr>
          <w:p w14:paraId="687DE02E"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3.734</w:t>
            </w:r>
          </w:p>
        </w:tc>
        <w:tc>
          <w:tcPr>
            <w:tcW w:w="0" w:type="auto"/>
            <w:vAlign w:val="center"/>
            <w:hideMark/>
          </w:tcPr>
          <w:p w14:paraId="400E2478"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4.995</w:t>
            </w:r>
          </w:p>
        </w:tc>
        <w:tc>
          <w:tcPr>
            <w:tcW w:w="0" w:type="auto"/>
            <w:vAlign w:val="center"/>
            <w:hideMark/>
          </w:tcPr>
          <w:p w14:paraId="7999EEAD"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0.77</w:t>
            </w:r>
          </w:p>
        </w:tc>
        <w:tc>
          <w:tcPr>
            <w:tcW w:w="0" w:type="auto"/>
            <w:vAlign w:val="center"/>
            <w:hideMark/>
          </w:tcPr>
          <w:p w14:paraId="21664FF2"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12.50</w:t>
            </w:r>
          </w:p>
        </w:tc>
      </w:tr>
      <w:tr w:rsidR="001708FB" w:rsidRPr="001708FB" w14:paraId="110007A0" w14:textId="77777777" w:rsidTr="001708FB">
        <w:tc>
          <w:tcPr>
            <w:tcW w:w="0" w:type="auto"/>
            <w:vMerge/>
            <w:vAlign w:val="center"/>
            <w:hideMark/>
          </w:tcPr>
          <w:p w14:paraId="75E870F5" w14:textId="23C8C7B7" w:rsidR="001708FB" w:rsidRPr="001708FB" w:rsidRDefault="001708FB" w:rsidP="001708FB">
            <w:pPr>
              <w:spacing w:after="0" w:line="240" w:lineRule="auto"/>
              <w:rPr>
                <w:rFonts w:eastAsia="Times New Roman" w:cs="Times New Roman"/>
                <w:sz w:val="20"/>
                <w:lang w:eastAsia="en-AU"/>
              </w:rPr>
            </w:pPr>
          </w:p>
        </w:tc>
        <w:tc>
          <w:tcPr>
            <w:tcW w:w="1775" w:type="dxa"/>
            <w:vAlign w:val="center"/>
            <w:hideMark/>
          </w:tcPr>
          <w:p w14:paraId="71426F4C" w14:textId="77777777" w:rsidR="001708FB" w:rsidRPr="001708FB" w:rsidRDefault="001708FB" w:rsidP="001708FB">
            <w:pPr>
              <w:spacing w:after="0" w:line="240" w:lineRule="auto"/>
              <w:rPr>
                <w:rFonts w:eastAsia="Times New Roman" w:cs="Times New Roman"/>
                <w:sz w:val="20"/>
                <w:lang w:eastAsia="en-AU"/>
              </w:rPr>
            </w:pPr>
            <w:proofErr w:type="spellStart"/>
            <w:r w:rsidRPr="001708FB">
              <w:rPr>
                <w:rFonts w:eastAsia="Times New Roman" w:cs="Times New Roman"/>
                <w:sz w:val="20"/>
                <w:lang w:eastAsia="en-AU"/>
              </w:rPr>
              <w:t>tmax</w:t>
            </w:r>
            <w:proofErr w:type="spellEnd"/>
            <w:r w:rsidRPr="001708FB">
              <w:rPr>
                <w:rFonts w:eastAsia="Times New Roman" w:cs="Times New Roman"/>
                <w:sz w:val="20"/>
                <w:lang w:eastAsia="en-AU"/>
              </w:rPr>
              <w:t xml:space="preserve"> (h)</w:t>
            </w:r>
          </w:p>
        </w:tc>
        <w:tc>
          <w:tcPr>
            <w:tcW w:w="0" w:type="auto"/>
            <w:vAlign w:val="center"/>
            <w:hideMark/>
          </w:tcPr>
          <w:p w14:paraId="1CB4A009"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20</w:t>
            </w:r>
          </w:p>
        </w:tc>
        <w:tc>
          <w:tcPr>
            <w:tcW w:w="0" w:type="auto"/>
            <w:vAlign w:val="center"/>
            <w:hideMark/>
          </w:tcPr>
          <w:p w14:paraId="586C42A0"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w:t>
            </w:r>
          </w:p>
        </w:tc>
        <w:tc>
          <w:tcPr>
            <w:tcW w:w="0" w:type="auto"/>
            <w:vAlign w:val="center"/>
            <w:hideMark/>
          </w:tcPr>
          <w:p w14:paraId="4C44C74C"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w:t>
            </w:r>
          </w:p>
        </w:tc>
        <w:tc>
          <w:tcPr>
            <w:tcW w:w="0" w:type="auto"/>
            <w:vAlign w:val="center"/>
            <w:hideMark/>
          </w:tcPr>
          <w:p w14:paraId="059E79EB"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w:t>
            </w:r>
          </w:p>
        </w:tc>
        <w:tc>
          <w:tcPr>
            <w:tcW w:w="0" w:type="auto"/>
            <w:vAlign w:val="center"/>
            <w:hideMark/>
          </w:tcPr>
          <w:p w14:paraId="2BB7CE8A"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w:t>
            </w:r>
          </w:p>
        </w:tc>
        <w:tc>
          <w:tcPr>
            <w:tcW w:w="0" w:type="auto"/>
            <w:vAlign w:val="center"/>
            <w:hideMark/>
          </w:tcPr>
          <w:p w14:paraId="457B5761"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1.98</w:t>
            </w:r>
          </w:p>
        </w:tc>
        <w:tc>
          <w:tcPr>
            <w:tcW w:w="0" w:type="auto"/>
            <w:vAlign w:val="center"/>
            <w:hideMark/>
          </w:tcPr>
          <w:p w14:paraId="27D3F683"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1.0</w:t>
            </w:r>
          </w:p>
        </w:tc>
        <w:tc>
          <w:tcPr>
            <w:tcW w:w="0" w:type="auto"/>
            <w:vAlign w:val="center"/>
            <w:hideMark/>
          </w:tcPr>
          <w:p w14:paraId="09A4C401"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2.1</w:t>
            </w:r>
          </w:p>
        </w:tc>
      </w:tr>
      <w:tr w:rsidR="001708FB" w:rsidRPr="001708FB" w14:paraId="73F6886B" w14:textId="77777777" w:rsidTr="001708FB">
        <w:tc>
          <w:tcPr>
            <w:tcW w:w="0" w:type="auto"/>
            <w:vMerge/>
            <w:vAlign w:val="center"/>
            <w:hideMark/>
          </w:tcPr>
          <w:p w14:paraId="49312D83" w14:textId="7DFCB945" w:rsidR="001708FB" w:rsidRPr="001708FB" w:rsidRDefault="001708FB" w:rsidP="001708FB">
            <w:pPr>
              <w:spacing w:after="0" w:line="240" w:lineRule="auto"/>
              <w:rPr>
                <w:rFonts w:eastAsia="Times New Roman" w:cs="Times New Roman"/>
                <w:sz w:val="20"/>
                <w:lang w:eastAsia="en-AU"/>
              </w:rPr>
            </w:pPr>
          </w:p>
        </w:tc>
        <w:tc>
          <w:tcPr>
            <w:tcW w:w="1775" w:type="dxa"/>
            <w:vAlign w:val="center"/>
            <w:hideMark/>
          </w:tcPr>
          <w:p w14:paraId="7EABD0C1" w14:textId="6AA483E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AUC</w:t>
            </w:r>
            <w:r>
              <w:rPr>
                <w:rFonts w:eastAsia="Times New Roman" w:cs="Times New Roman"/>
                <w:sz w:val="20"/>
                <w:lang w:eastAsia="en-AU"/>
              </w:rPr>
              <w:t xml:space="preserve"> </w:t>
            </w:r>
            <w:r w:rsidRPr="001708FB">
              <w:rPr>
                <w:rFonts w:eastAsia="Times New Roman" w:cs="Times New Roman"/>
                <w:sz w:val="20"/>
                <w:lang w:eastAsia="en-AU"/>
              </w:rPr>
              <w:t>(0–8 week) (</w:t>
            </w:r>
            <w:proofErr w:type="spellStart"/>
            <w:r w:rsidRPr="001708FB">
              <w:rPr>
                <w:rFonts w:eastAsia="Times New Roman" w:cs="Times New Roman"/>
                <w:sz w:val="20"/>
                <w:lang w:eastAsia="en-AU"/>
              </w:rPr>
              <w:t>ng.day</w:t>
            </w:r>
            <w:proofErr w:type="spellEnd"/>
            <w:r w:rsidRPr="001708FB">
              <w:rPr>
                <w:rFonts w:eastAsia="Times New Roman" w:cs="Times New Roman"/>
                <w:sz w:val="20"/>
                <w:lang w:eastAsia="en-AU"/>
              </w:rPr>
              <w:t>/mL)</w:t>
            </w:r>
          </w:p>
        </w:tc>
        <w:tc>
          <w:tcPr>
            <w:tcW w:w="0" w:type="auto"/>
            <w:vAlign w:val="center"/>
            <w:hideMark/>
          </w:tcPr>
          <w:p w14:paraId="207477F9"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17</w:t>
            </w:r>
          </w:p>
        </w:tc>
        <w:tc>
          <w:tcPr>
            <w:tcW w:w="0" w:type="auto"/>
            <w:vAlign w:val="center"/>
            <w:hideMark/>
          </w:tcPr>
          <w:p w14:paraId="2F2B48AD"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19.999</w:t>
            </w:r>
          </w:p>
        </w:tc>
        <w:tc>
          <w:tcPr>
            <w:tcW w:w="0" w:type="auto"/>
            <w:vAlign w:val="center"/>
            <w:hideMark/>
          </w:tcPr>
          <w:p w14:paraId="2A8FD7AF"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65.5</w:t>
            </w:r>
          </w:p>
        </w:tc>
        <w:tc>
          <w:tcPr>
            <w:tcW w:w="0" w:type="auto"/>
            <w:vAlign w:val="center"/>
            <w:hideMark/>
          </w:tcPr>
          <w:p w14:paraId="6B522F4F"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23.126</w:t>
            </w:r>
          </w:p>
        </w:tc>
        <w:tc>
          <w:tcPr>
            <w:tcW w:w="0" w:type="auto"/>
            <w:vAlign w:val="center"/>
            <w:hideMark/>
          </w:tcPr>
          <w:p w14:paraId="4AEDE8A1"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11.460</w:t>
            </w:r>
          </w:p>
        </w:tc>
        <w:tc>
          <w:tcPr>
            <w:tcW w:w="0" w:type="auto"/>
            <w:vAlign w:val="center"/>
            <w:hideMark/>
          </w:tcPr>
          <w:p w14:paraId="240236F1"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18.409</w:t>
            </w:r>
          </w:p>
        </w:tc>
        <w:tc>
          <w:tcPr>
            <w:tcW w:w="0" w:type="auto"/>
            <w:vAlign w:val="center"/>
            <w:hideMark/>
          </w:tcPr>
          <w:p w14:paraId="040275D9"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5.86</w:t>
            </w:r>
          </w:p>
        </w:tc>
        <w:tc>
          <w:tcPr>
            <w:tcW w:w="0" w:type="auto"/>
            <w:vAlign w:val="center"/>
            <w:hideMark/>
          </w:tcPr>
          <w:p w14:paraId="6D6FC572"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40.61</w:t>
            </w:r>
          </w:p>
        </w:tc>
      </w:tr>
      <w:tr w:rsidR="001708FB" w:rsidRPr="001708FB" w14:paraId="6700CBCD" w14:textId="77777777" w:rsidTr="001708FB">
        <w:tc>
          <w:tcPr>
            <w:tcW w:w="0" w:type="auto"/>
            <w:vMerge/>
            <w:vAlign w:val="center"/>
            <w:hideMark/>
          </w:tcPr>
          <w:p w14:paraId="53DC6130" w14:textId="04A322E6" w:rsidR="001708FB" w:rsidRPr="001708FB" w:rsidRDefault="001708FB" w:rsidP="001708FB">
            <w:pPr>
              <w:spacing w:after="0" w:line="240" w:lineRule="auto"/>
              <w:rPr>
                <w:rFonts w:eastAsia="Times New Roman" w:cs="Times New Roman"/>
                <w:sz w:val="20"/>
                <w:lang w:eastAsia="en-AU"/>
              </w:rPr>
            </w:pPr>
          </w:p>
        </w:tc>
        <w:tc>
          <w:tcPr>
            <w:tcW w:w="1775" w:type="dxa"/>
            <w:vAlign w:val="center"/>
            <w:hideMark/>
          </w:tcPr>
          <w:p w14:paraId="48895311" w14:textId="41E9F97E"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AUC</w:t>
            </w:r>
            <w:r>
              <w:rPr>
                <w:rFonts w:eastAsia="Times New Roman" w:cs="Times New Roman"/>
                <w:sz w:val="20"/>
                <w:lang w:eastAsia="en-AU"/>
              </w:rPr>
              <w:t xml:space="preserve"> (</w:t>
            </w:r>
            <w:r w:rsidRPr="001708FB">
              <w:rPr>
                <w:rFonts w:eastAsia="Times New Roman" w:cs="Times New Roman"/>
                <w:sz w:val="20"/>
                <w:lang w:eastAsia="en-AU"/>
              </w:rPr>
              <w:t>0–10 week) (</w:t>
            </w:r>
            <w:proofErr w:type="spellStart"/>
            <w:r w:rsidRPr="001708FB">
              <w:rPr>
                <w:rFonts w:eastAsia="Times New Roman" w:cs="Times New Roman"/>
                <w:sz w:val="20"/>
                <w:lang w:eastAsia="en-AU"/>
              </w:rPr>
              <w:t>ng.day</w:t>
            </w:r>
            <w:proofErr w:type="spellEnd"/>
            <w:r w:rsidRPr="001708FB">
              <w:rPr>
                <w:rFonts w:eastAsia="Times New Roman" w:cs="Times New Roman"/>
                <w:sz w:val="20"/>
                <w:lang w:eastAsia="en-AU"/>
              </w:rPr>
              <w:t>/mL)</w:t>
            </w:r>
          </w:p>
        </w:tc>
        <w:tc>
          <w:tcPr>
            <w:tcW w:w="0" w:type="auto"/>
            <w:vAlign w:val="center"/>
            <w:hideMark/>
          </w:tcPr>
          <w:p w14:paraId="57448AD7"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17</w:t>
            </w:r>
          </w:p>
        </w:tc>
        <w:tc>
          <w:tcPr>
            <w:tcW w:w="0" w:type="auto"/>
            <w:vAlign w:val="center"/>
            <w:hideMark/>
          </w:tcPr>
          <w:p w14:paraId="7B8F47DF"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22.986</w:t>
            </w:r>
          </w:p>
        </w:tc>
        <w:tc>
          <w:tcPr>
            <w:tcW w:w="0" w:type="auto"/>
            <w:vAlign w:val="center"/>
            <w:hideMark/>
          </w:tcPr>
          <w:p w14:paraId="42C53A2F"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63.5</w:t>
            </w:r>
          </w:p>
        </w:tc>
        <w:tc>
          <w:tcPr>
            <w:tcW w:w="0" w:type="auto"/>
            <w:vAlign w:val="center"/>
            <w:hideMark/>
          </w:tcPr>
          <w:p w14:paraId="235606CD"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26.431</w:t>
            </w:r>
          </w:p>
        </w:tc>
        <w:tc>
          <w:tcPr>
            <w:tcW w:w="0" w:type="auto"/>
            <w:vAlign w:val="center"/>
            <w:hideMark/>
          </w:tcPr>
          <w:p w14:paraId="364FA543"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12.944</w:t>
            </w:r>
          </w:p>
        </w:tc>
        <w:tc>
          <w:tcPr>
            <w:tcW w:w="0" w:type="auto"/>
            <w:vAlign w:val="center"/>
            <w:hideMark/>
          </w:tcPr>
          <w:p w14:paraId="2883DD6C"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21.242</w:t>
            </w:r>
          </w:p>
        </w:tc>
        <w:tc>
          <w:tcPr>
            <w:tcW w:w="0" w:type="auto"/>
            <w:vAlign w:val="center"/>
            <w:hideMark/>
          </w:tcPr>
          <w:p w14:paraId="65D24928"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7.47</w:t>
            </w:r>
          </w:p>
        </w:tc>
        <w:tc>
          <w:tcPr>
            <w:tcW w:w="0" w:type="auto"/>
            <w:vAlign w:val="center"/>
            <w:hideMark/>
          </w:tcPr>
          <w:p w14:paraId="4F4D63F7"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46.08</w:t>
            </w:r>
          </w:p>
        </w:tc>
      </w:tr>
      <w:tr w:rsidR="001708FB" w:rsidRPr="001708FB" w14:paraId="5EEA926C" w14:textId="77777777" w:rsidTr="001708FB">
        <w:tc>
          <w:tcPr>
            <w:tcW w:w="0" w:type="auto"/>
            <w:vMerge/>
            <w:vAlign w:val="center"/>
            <w:hideMark/>
          </w:tcPr>
          <w:p w14:paraId="249765D8" w14:textId="274F3DC8" w:rsidR="001708FB" w:rsidRPr="001708FB" w:rsidRDefault="001708FB" w:rsidP="001708FB">
            <w:pPr>
              <w:spacing w:after="0" w:line="240" w:lineRule="auto"/>
              <w:rPr>
                <w:rFonts w:eastAsia="Times New Roman" w:cs="Times New Roman"/>
                <w:sz w:val="20"/>
                <w:lang w:eastAsia="en-AU"/>
              </w:rPr>
            </w:pPr>
          </w:p>
        </w:tc>
        <w:tc>
          <w:tcPr>
            <w:tcW w:w="1775" w:type="dxa"/>
            <w:vAlign w:val="center"/>
            <w:hideMark/>
          </w:tcPr>
          <w:p w14:paraId="5F2AD84C" w14:textId="481530E9"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AUC</w:t>
            </w:r>
            <w:r>
              <w:rPr>
                <w:rFonts w:eastAsia="Times New Roman" w:cs="Times New Roman"/>
                <w:sz w:val="20"/>
                <w:lang w:eastAsia="en-AU"/>
              </w:rPr>
              <w:t xml:space="preserve"> </w:t>
            </w:r>
            <w:r w:rsidRPr="001708FB">
              <w:rPr>
                <w:rFonts w:eastAsia="Times New Roman" w:cs="Times New Roman"/>
                <w:sz w:val="20"/>
                <w:lang w:eastAsia="en-AU"/>
              </w:rPr>
              <w:t>(0–12 week) (</w:t>
            </w:r>
            <w:proofErr w:type="spellStart"/>
            <w:r w:rsidRPr="001708FB">
              <w:rPr>
                <w:rFonts w:eastAsia="Times New Roman" w:cs="Times New Roman"/>
                <w:sz w:val="20"/>
                <w:lang w:eastAsia="en-AU"/>
              </w:rPr>
              <w:t>ng.day</w:t>
            </w:r>
            <w:proofErr w:type="spellEnd"/>
            <w:r w:rsidRPr="001708FB">
              <w:rPr>
                <w:rFonts w:eastAsia="Times New Roman" w:cs="Times New Roman"/>
                <w:sz w:val="20"/>
                <w:lang w:eastAsia="en-AU"/>
              </w:rPr>
              <w:t>/mL)</w:t>
            </w:r>
          </w:p>
        </w:tc>
        <w:tc>
          <w:tcPr>
            <w:tcW w:w="0" w:type="auto"/>
            <w:vAlign w:val="center"/>
            <w:hideMark/>
          </w:tcPr>
          <w:p w14:paraId="09B8CABB"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9</w:t>
            </w:r>
          </w:p>
        </w:tc>
        <w:tc>
          <w:tcPr>
            <w:tcW w:w="0" w:type="auto"/>
            <w:vAlign w:val="center"/>
            <w:hideMark/>
          </w:tcPr>
          <w:p w14:paraId="114629B9"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18.179</w:t>
            </w:r>
          </w:p>
        </w:tc>
        <w:tc>
          <w:tcPr>
            <w:tcW w:w="0" w:type="auto"/>
            <w:vAlign w:val="center"/>
            <w:hideMark/>
          </w:tcPr>
          <w:p w14:paraId="4BBB641D"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56.6</w:t>
            </w:r>
          </w:p>
        </w:tc>
        <w:tc>
          <w:tcPr>
            <w:tcW w:w="0" w:type="auto"/>
            <w:vAlign w:val="center"/>
            <w:hideMark/>
          </w:tcPr>
          <w:p w14:paraId="6EFC986E"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20.429</w:t>
            </w:r>
          </w:p>
        </w:tc>
        <w:tc>
          <w:tcPr>
            <w:tcW w:w="0" w:type="auto"/>
            <w:vAlign w:val="center"/>
            <w:hideMark/>
          </w:tcPr>
          <w:p w14:paraId="6B70A361"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9.991</w:t>
            </w:r>
          </w:p>
        </w:tc>
        <w:tc>
          <w:tcPr>
            <w:tcW w:w="0" w:type="auto"/>
            <w:vAlign w:val="center"/>
            <w:hideMark/>
          </w:tcPr>
          <w:p w14:paraId="5B389DF9"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21.298</w:t>
            </w:r>
          </w:p>
        </w:tc>
        <w:tc>
          <w:tcPr>
            <w:tcW w:w="0" w:type="auto"/>
            <w:vAlign w:val="center"/>
            <w:hideMark/>
          </w:tcPr>
          <w:p w14:paraId="26113C4A"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8.68</w:t>
            </w:r>
          </w:p>
        </w:tc>
        <w:tc>
          <w:tcPr>
            <w:tcW w:w="0" w:type="auto"/>
            <w:vAlign w:val="center"/>
            <w:hideMark/>
          </w:tcPr>
          <w:p w14:paraId="7E42ACC2"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37.14</w:t>
            </w:r>
          </w:p>
        </w:tc>
      </w:tr>
      <w:tr w:rsidR="001708FB" w:rsidRPr="001708FB" w14:paraId="1592E44B" w14:textId="77777777" w:rsidTr="001708FB">
        <w:tc>
          <w:tcPr>
            <w:tcW w:w="0" w:type="auto"/>
            <w:vMerge/>
            <w:vAlign w:val="center"/>
            <w:hideMark/>
          </w:tcPr>
          <w:p w14:paraId="6800347D" w14:textId="527113CF" w:rsidR="001708FB" w:rsidRPr="001708FB" w:rsidRDefault="001708FB" w:rsidP="001708FB">
            <w:pPr>
              <w:spacing w:after="0" w:line="240" w:lineRule="auto"/>
              <w:rPr>
                <w:rFonts w:eastAsia="Times New Roman" w:cs="Times New Roman"/>
                <w:sz w:val="20"/>
                <w:lang w:eastAsia="en-AU"/>
              </w:rPr>
            </w:pPr>
          </w:p>
        </w:tc>
        <w:tc>
          <w:tcPr>
            <w:tcW w:w="1775" w:type="dxa"/>
            <w:vAlign w:val="center"/>
            <w:hideMark/>
          </w:tcPr>
          <w:p w14:paraId="6AEA97E4" w14:textId="70024830"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AUC</w:t>
            </w:r>
            <w:r>
              <w:rPr>
                <w:rFonts w:eastAsia="Times New Roman" w:cs="Times New Roman"/>
                <w:sz w:val="20"/>
                <w:lang w:eastAsia="en-AU"/>
              </w:rPr>
              <w:t xml:space="preserve"> </w:t>
            </w:r>
            <w:r w:rsidRPr="001708FB">
              <w:rPr>
                <w:rFonts w:eastAsia="Times New Roman" w:cs="Times New Roman"/>
                <w:sz w:val="20"/>
                <w:lang w:eastAsia="en-AU"/>
              </w:rPr>
              <w:t>(0–last) (</w:t>
            </w:r>
            <w:proofErr w:type="spellStart"/>
            <w:r w:rsidRPr="001708FB">
              <w:rPr>
                <w:rFonts w:eastAsia="Times New Roman" w:cs="Times New Roman"/>
                <w:sz w:val="20"/>
                <w:lang w:eastAsia="en-AU"/>
              </w:rPr>
              <w:t>ng.day</w:t>
            </w:r>
            <w:proofErr w:type="spellEnd"/>
            <w:r w:rsidRPr="001708FB">
              <w:rPr>
                <w:rFonts w:eastAsia="Times New Roman" w:cs="Times New Roman"/>
                <w:sz w:val="20"/>
                <w:lang w:eastAsia="en-AU"/>
              </w:rPr>
              <w:t>/mL)</w:t>
            </w:r>
          </w:p>
        </w:tc>
        <w:tc>
          <w:tcPr>
            <w:tcW w:w="0" w:type="auto"/>
            <w:vAlign w:val="center"/>
            <w:hideMark/>
          </w:tcPr>
          <w:p w14:paraId="44D20907"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18</w:t>
            </w:r>
          </w:p>
        </w:tc>
        <w:tc>
          <w:tcPr>
            <w:tcW w:w="0" w:type="auto"/>
            <w:vAlign w:val="center"/>
            <w:hideMark/>
          </w:tcPr>
          <w:p w14:paraId="48B12D7B"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23.768</w:t>
            </w:r>
          </w:p>
        </w:tc>
        <w:tc>
          <w:tcPr>
            <w:tcW w:w="0" w:type="auto"/>
            <w:vAlign w:val="center"/>
            <w:hideMark/>
          </w:tcPr>
          <w:p w14:paraId="502A9CA7"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70.1</w:t>
            </w:r>
          </w:p>
        </w:tc>
        <w:tc>
          <w:tcPr>
            <w:tcW w:w="0" w:type="auto"/>
            <w:vAlign w:val="center"/>
            <w:hideMark/>
          </w:tcPr>
          <w:p w14:paraId="0DC88BC3"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27.949</w:t>
            </w:r>
          </w:p>
        </w:tc>
        <w:tc>
          <w:tcPr>
            <w:tcW w:w="0" w:type="auto"/>
            <w:vAlign w:val="center"/>
            <w:hideMark/>
          </w:tcPr>
          <w:p w14:paraId="61A66A31"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14.434</w:t>
            </w:r>
          </w:p>
        </w:tc>
        <w:tc>
          <w:tcPr>
            <w:tcW w:w="0" w:type="auto"/>
            <w:vAlign w:val="center"/>
            <w:hideMark/>
          </w:tcPr>
          <w:p w14:paraId="4844B60A"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24.475</w:t>
            </w:r>
          </w:p>
        </w:tc>
        <w:tc>
          <w:tcPr>
            <w:tcW w:w="0" w:type="auto"/>
            <w:vAlign w:val="center"/>
            <w:hideMark/>
          </w:tcPr>
          <w:p w14:paraId="0F08681D"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6.70</w:t>
            </w:r>
          </w:p>
        </w:tc>
        <w:tc>
          <w:tcPr>
            <w:tcW w:w="0" w:type="auto"/>
            <w:vAlign w:val="center"/>
            <w:hideMark/>
          </w:tcPr>
          <w:p w14:paraId="508EE924" w14:textId="77777777" w:rsidR="001708FB" w:rsidRPr="001708FB" w:rsidRDefault="001708FB" w:rsidP="001708FB">
            <w:pPr>
              <w:spacing w:after="0" w:line="240" w:lineRule="auto"/>
              <w:rPr>
                <w:rFonts w:eastAsia="Times New Roman" w:cs="Times New Roman"/>
                <w:sz w:val="20"/>
                <w:lang w:eastAsia="en-AU"/>
              </w:rPr>
            </w:pPr>
            <w:r w:rsidRPr="001708FB">
              <w:rPr>
                <w:rFonts w:eastAsia="Times New Roman" w:cs="Times New Roman"/>
                <w:sz w:val="20"/>
                <w:lang w:eastAsia="en-AU"/>
              </w:rPr>
              <w:t>49.71</w:t>
            </w:r>
          </w:p>
        </w:tc>
      </w:tr>
    </w:tbl>
    <w:p w14:paraId="2E8AE8D8" w14:textId="48B22F1C" w:rsidR="001708FB" w:rsidRDefault="001708FB" w:rsidP="00CC205B">
      <w:pPr>
        <w:pStyle w:val="TableTitle"/>
      </w:pPr>
      <w:r w:rsidRPr="001708FB">
        <w:t xml:space="preserve">Table </w:t>
      </w:r>
      <w:r>
        <w:t>4.</w:t>
      </w:r>
      <w:r w:rsidRPr="001708FB">
        <w:t xml:space="preserve"> Pharmacokinetic variables for goserelin (PK analysis set (1); Study </w:t>
      </w:r>
      <w:proofErr w:type="spellStart"/>
      <w:r w:rsidRPr="001708FB">
        <w:t>D8664C00004</w:t>
      </w:r>
      <w:proofErr w:type="spellEnd"/>
      <w:r w:rsidRPr="001708FB">
        <w:t>)</w:t>
      </w:r>
    </w:p>
    <w:tbl>
      <w:tblPr>
        <w:tblW w:w="0" w:type="auto"/>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CellMar>
          <w:top w:w="15" w:type="dxa"/>
          <w:left w:w="15" w:type="dxa"/>
          <w:bottom w:w="15" w:type="dxa"/>
          <w:right w:w="15" w:type="dxa"/>
        </w:tblCellMar>
        <w:tblLook w:val="04A0" w:firstRow="1" w:lastRow="0" w:firstColumn="1" w:lastColumn="0" w:noHBand="0" w:noVBand="1"/>
        <w:tblCaption w:val="Table 4. Pharmacokinetic variables for goserelin (PK analysis set (1); Study D8664C00004)"/>
      </w:tblPr>
      <w:tblGrid>
        <w:gridCol w:w="2288"/>
        <w:gridCol w:w="252"/>
        <w:gridCol w:w="1513"/>
        <w:gridCol w:w="736"/>
        <w:gridCol w:w="1549"/>
        <w:gridCol w:w="736"/>
        <w:gridCol w:w="625"/>
        <w:gridCol w:w="736"/>
        <w:gridCol w:w="625"/>
      </w:tblGrid>
      <w:tr w:rsidR="001708FB" w:rsidRPr="00CC205B" w14:paraId="0D99BC82" w14:textId="77777777" w:rsidTr="00CC205B">
        <w:trPr>
          <w:tblHeader/>
        </w:trPr>
        <w:tc>
          <w:tcPr>
            <w:tcW w:w="0" w:type="auto"/>
            <w:shd w:val="clear" w:color="auto" w:fill="DEEAF6"/>
            <w:vAlign w:val="center"/>
            <w:hideMark/>
          </w:tcPr>
          <w:p w14:paraId="0BC2CB51" w14:textId="77777777" w:rsidR="001708FB" w:rsidRPr="00CC205B" w:rsidRDefault="001708FB" w:rsidP="00CC205B">
            <w:pPr>
              <w:spacing w:after="0" w:line="240" w:lineRule="auto"/>
              <w:rPr>
                <w:rFonts w:eastAsia="Times New Roman" w:cs="Times New Roman"/>
                <w:b/>
                <w:bCs/>
                <w:color w:val="263287"/>
                <w:sz w:val="20"/>
                <w:lang w:eastAsia="en-AU"/>
              </w:rPr>
            </w:pPr>
            <w:r w:rsidRPr="00CC205B">
              <w:rPr>
                <w:rFonts w:eastAsia="Times New Roman" w:cs="Times New Roman"/>
                <w:b/>
                <w:bCs/>
                <w:color w:val="263287"/>
                <w:sz w:val="20"/>
                <w:lang w:eastAsia="en-AU"/>
              </w:rPr>
              <w:t>Variables</w:t>
            </w:r>
          </w:p>
        </w:tc>
        <w:tc>
          <w:tcPr>
            <w:tcW w:w="0" w:type="auto"/>
            <w:shd w:val="clear" w:color="auto" w:fill="DEEAF6"/>
            <w:vAlign w:val="center"/>
            <w:hideMark/>
          </w:tcPr>
          <w:p w14:paraId="4AFE9CA5" w14:textId="77777777" w:rsidR="001708FB" w:rsidRPr="00CC205B" w:rsidRDefault="001708FB" w:rsidP="00CC205B">
            <w:pPr>
              <w:spacing w:after="0" w:line="240" w:lineRule="auto"/>
              <w:rPr>
                <w:rFonts w:eastAsia="Times New Roman" w:cs="Times New Roman"/>
                <w:b/>
                <w:bCs/>
                <w:color w:val="263287"/>
                <w:sz w:val="20"/>
                <w:lang w:eastAsia="en-AU"/>
              </w:rPr>
            </w:pPr>
            <w:r w:rsidRPr="00CC205B">
              <w:rPr>
                <w:rFonts w:eastAsia="Times New Roman" w:cs="Times New Roman"/>
                <w:b/>
                <w:bCs/>
                <w:color w:val="263287"/>
                <w:sz w:val="20"/>
                <w:lang w:eastAsia="en-AU"/>
              </w:rPr>
              <w:t>n</w:t>
            </w:r>
          </w:p>
        </w:tc>
        <w:tc>
          <w:tcPr>
            <w:tcW w:w="0" w:type="auto"/>
            <w:shd w:val="clear" w:color="auto" w:fill="DEEAF6"/>
            <w:vAlign w:val="center"/>
            <w:hideMark/>
          </w:tcPr>
          <w:p w14:paraId="24CC44F4" w14:textId="77777777" w:rsidR="001708FB" w:rsidRPr="00CC205B" w:rsidRDefault="001708FB" w:rsidP="00CC205B">
            <w:pPr>
              <w:spacing w:after="0" w:line="240" w:lineRule="auto"/>
              <w:rPr>
                <w:rFonts w:eastAsia="Times New Roman" w:cs="Times New Roman"/>
                <w:b/>
                <w:bCs/>
                <w:color w:val="263287"/>
                <w:sz w:val="20"/>
                <w:lang w:eastAsia="en-AU"/>
              </w:rPr>
            </w:pPr>
            <w:r w:rsidRPr="00CC205B">
              <w:rPr>
                <w:rFonts w:eastAsia="Times New Roman" w:cs="Times New Roman"/>
                <w:b/>
                <w:bCs/>
                <w:color w:val="263287"/>
                <w:sz w:val="20"/>
                <w:lang w:eastAsia="en-AU"/>
              </w:rPr>
              <w:t>Geometric mean</w:t>
            </w:r>
          </w:p>
        </w:tc>
        <w:tc>
          <w:tcPr>
            <w:tcW w:w="0" w:type="auto"/>
            <w:shd w:val="clear" w:color="auto" w:fill="DEEAF6"/>
            <w:vAlign w:val="center"/>
            <w:hideMark/>
          </w:tcPr>
          <w:p w14:paraId="4B7E0467" w14:textId="77777777" w:rsidR="001708FB" w:rsidRPr="00CC205B" w:rsidRDefault="001708FB" w:rsidP="00CC205B">
            <w:pPr>
              <w:spacing w:after="0" w:line="240" w:lineRule="auto"/>
              <w:rPr>
                <w:rFonts w:eastAsia="Times New Roman" w:cs="Times New Roman"/>
                <w:b/>
                <w:bCs/>
                <w:color w:val="263287"/>
                <w:sz w:val="20"/>
                <w:lang w:eastAsia="en-AU"/>
              </w:rPr>
            </w:pPr>
            <w:r w:rsidRPr="00CC205B">
              <w:rPr>
                <w:rFonts w:eastAsia="Times New Roman" w:cs="Times New Roman"/>
                <w:b/>
                <w:bCs/>
                <w:color w:val="263287"/>
                <w:sz w:val="20"/>
                <w:lang w:eastAsia="en-AU"/>
              </w:rPr>
              <w:t>CV</w:t>
            </w:r>
          </w:p>
        </w:tc>
        <w:tc>
          <w:tcPr>
            <w:tcW w:w="0" w:type="auto"/>
            <w:shd w:val="clear" w:color="auto" w:fill="DEEAF6"/>
            <w:vAlign w:val="center"/>
            <w:hideMark/>
          </w:tcPr>
          <w:p w14:paraId="3C7BD35D" w14:textId="77777777" w:rsidR="001708FB" w:rsidRPr="00CC205B" w:rsidRDefault="001708FB" w:rsidP="00CC205B">
            <w:pPr>
              <w:spacing w:after="0" w:line="240" w:lineRule="auto"/>
              <w:rPr>
                <w:rFonts w:eastAsia="Times New Roman" w:cs="Times New Roman"/>
                <w:b/>
                <w:bCs/>
                <w:color w:val="263287"/>
                <w:sz w:val="20"/>
                <w:lang w:eastAsia="en-AU"/>
              </w:rPr>
            </w:pPr>
            <w:r w:rsidRPr="00CC205B">
              <w:rPr>
                <w:rFonts w:eastAsia="Times New Roman" w:cs="Times New Roman"/>
                <w:b/>
                <w:bCs/>
                <w:color w:val="263287"/>
                <w:sz w:val="20"/>
                <w:lang w:eastAsia="en-AU"/>
              </w:rPr>
              <w:t>Arithmetic mean</w:t>
            </w:r>
          </w:p>
        </w:tc>
        <w:tc>
          <w:tcPr>
            <w:tcW w:w="0" w:type="auto"/>
            <w:shd w:val="clear" w:color="auto" w:fill="DEEAF6"/>
            <w:vAlign w:val="center"/>
            <w:hideMark/>
          </w:tcPr>
          <w:p w14:paraId="7568587F" w14:textId="77777777" w:rsidR="001708FB" w:rsidRPr="00CC205B" w:rsidRDefault="001708FB" w:rsidP="00CC205B">
            <w:pPr>
              <w:spacing w:after="0" w:line="240" w:lineRule="auto"/>
              <w:rPr>
                <w:rFonts w:eastAsia="Times New Roman" w:cs="Times New Roman"/>
                <w:b/>
                <w:bCs/>
                <w:color w:val="263287"/>
                <w:sz w:val="20"/>
                <w:lang w:eastAsia="en-AU"/>
              </w:rPr>
            </w:pPr>
            <w:r w:rsidRPr="00CC205B">
              <w:rPr>
                <w:rFonts w:eastAsia="Times New Roman" w:cs="Times New Roman"/>
                <w:b/>
                <w:bCs/>
                <w:color w:val="263287"/>
                <w:sz w:val="20"/>
                <w:lang w:eastAsia="en-AU"/>
              </w:rPr>
              <w:t>SD</w:t>
            </w:r>
          </w:p>
        </w:tc>
        <w:tc>
          <w:tcPr>
            <w:tcW w:w="0" w:type="auto"/>
            <w:shd w:val="clear" w:color="auto" w:fill="DEEAF6"/>
            <w:vAlign w:val="center"/>
            <w:hideMark/>
          </w:tcPr>
          <w:p w14:paraId="3F17E571" w14:textId="77777777" w:rsidR="001708FB" w:rsidRPr="00CC205B" w:rsidRDefault="001708FB" w:rsidP="00CC205B">
            <w:pPr>
              <w:spacing w:after="0" w:line="240" w:lineRule="auto"/>
              <w:rPr>
                <w:rFonts w:eastAsia="Times New Roman" w:cs="Times New Roman"/>
                <w:b/>
                <w:bCs/>
                <w:color w:val="263287"/>
                <w:sz w:val="20"/>
                <w:lang w:eastAsia="en-AU"/>
              </w:rPr>
            </w:pPr>
            <w:r w:rsidRPr="00CC205B">
              <w:rPr>
                <w:rFonts w:eastAsia="Times New Roman" w:cs="Times New Roman"/>
                <w:b/>
                <w:bCs/>
                <w:color w:val="263287"/>
                <w:sz w:val="20"/>
                <w:lang w:eastAsia="en-AU"/>
              </w:rPr>
              <w:t>Min</w:t>
            </w:r>
          </w:p>
        </w:tc>
        <w:tc>
          <w:tcPr>
            <w:tcW w:w="0" w:type="auto"/>
            <w:shd w:val="clear" w:color="auto" w:fill="DEEAF6"/>
            <w:vAlign w:val="center"/>
            <w:hideMark/>
          </w:tcPr>
          <w:p w14:paraId="12C9E9B5" w14:textId="77777777" w:rsidR="001708FB" w:rsidRPr="00CC205B" w:rsidRDefault="001708FB" w:rsidP="00CC205B">
            <w:pPr>
              <w:spacing w:after="0" w:line="240" w:lineRule="auto"/>
              <w:rPr>
                <w:rFonts w:eastAsia="Times New Roman" w:cs="Times New Roman"/>
                <w:b/>
                <w:bCs/>
                <w:color w:val="263287"/>
                <w:sz w:val="20"/>
                <w:lang w:eastAsia="en-AU"/>
              </w:rPr>
            </w:pPr>
            <w:r w:rsidRPr="00CC205B">
              <w:rPr>
                <w:rFonts w:eastAsia="Times New Roman" w:cs="Times New Roman"/>
                <w:b/>
                <w:bCs/>
                <w:color w:val="263287"/>
                <w:sz w:val="20"/>
                <w:lang w:eastAsia="en-AU"/>
              </w:rPr>
              <w:t>Median</w:t>
            </w:r>
          </w:p>
        </w:tc>
        <w:tc>
          <w:tcPr>
            <w:tcW w:w="0" w:type="auto"/>
            <w:shd w:val="clear" w:color="auto" w:fill="DEEAF6"/>
            <w:vAlign w:val="center"/>
            <w:hideMark/>
          </w:tcPr>
          <w:p w14:paraId="67178D6F" w14:textId="77777777" w:rsidR="001708FB" w:rsidRPr="00CC205B" w:rsidRDefault="001708FB" w:rsidP="00CC205B">
            <w:pPr>
              <w:spacing w:after="0" w:line="240" w:lineRule="auto"/>
              <w:rPr>
                <w:rFonts w:eastAsia="Times New Roman" w:cs="Times New Roman"/>
                <w:b/>
                <w:bCs/>
                <w:color w:val="263287"/>
                <w:sz w:val="20"/>
                <w:lang w:eastAsia="en-AU"/>
              </w:rPr>
            </w:pPr>
            <w:r w:rsidRPr="00CC205B">
              <w:rPr>
                <w:rFonts w:eastAsia="Times New Roman" w:cs="Times New Roman"/>
                <w:b/>
                <w:bCs/>
                <w:color w:val="263287"/>
                <w:sz w:val="20"/>
                <w:lang w:eastAsia="en-AU"/>
              </w:rPr>
              <w:t>Max</w:t>
            </w:r>
          </w:p>
        </w:tc>
      </w:tr>
      <w:tr w:rsidR="001708FB" w:rsidRPr="00CC205B" w14:paraId="70406988" w14:textId="77777777" w:rsidTr="00CC205B">
        <w:tc>
          <w:tcPr>
            <w:tcW w:w="0" w:type="auto"/>
            <w:vAlign w:val="center"/>
            <w:hideMark/>
          </w:tcPr>
          <w:p w14:paraId="5DE19141" w14:textId="43C40F10"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AUC₀</w:t>
            </w:r>
            <w:r w:rsidR="00CC205B" w:rsidRPr="00CC205B">
              <w:rPr>
                <w:rFonts w:eastAsia="Times New Roman" w:cs="Times New Roman"/>
                <w:sz w:val="20"/>
                <w:lang w:eastAsia="en-AU"/>
              </w:rPr>
              <w:t>-</w:t>
            </w:r>
            <w:r w:rsidRPr="00CC205B">
              <w:rPr>
                <w:rFonts w:eastAsia="Times New Roman" w:cs="Times New Roman"/>
                <w:sz w:val="20"/>
                <w:lang w:eastAsia="en-AU"/>
              </w:rPr>
              <w:t>₈ week (</w:t>
            </w:r>
            <w:proofErr w:type="spellStart"/>
            <w:r w:rsidRPr="00CC205B">
              <w:rPr>
                <w:rFonts w:eastAsia="Times New Roman" w:cs="Times New Roman"/>
                <w:sz w:val="20"/>
                <w:lang w:eastAsia="en-AU"/>
              </w:rPr>
              <w:t>ng·day</w:t>
            </w:r>
            <w:proofErr w:type="spellEnd"/>
            <w:r w:rsidRPr="00CC205B">
              <w:rPr>
                <w:rFonts w:eastAsia="Times New Roman" w:cs="Times New Roman"/>
                <w:sz w:val="20"/>
                <w:lang w:eastAsia="en-AU"/>
              </w:rPr>
              <w:t>/mL)</w:t>
            </w:r>
          </w:p>
        </w:tc>
        <w:tc>
          <w:tcPr>
            <w:tcW w:w="0" w:type="auto"/>
            <w:vAlign w:val="center"/>
            <w:hideMark/>
          </w:tcPr>
          <w:p w14:paraId="318E5623"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20</w:t>
            </w:r>
          </w:p>
        </w:tc>
        <w:tc>
          <w:tcPr>
            <w:tcW w:w="0" w:type="auto"/>
            <w:vAlign w:val="center"/>
            <w:hideMark/>
          </w:tcPr>
          <w:p w14:paraId="3C8B494B"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31.4590</w:t>
            </w:r>
          </w:p>
        </w:tc>
        <w:tc>
          <w:tcPr>
            <w:tcW w:w="0" w:type="auto"/>
            <w:vAlign w:val="center"/>
            <w:hideMark/>
          </w:tcPr>
          <w:p w14:paraId="46878E26"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45.1324</w:t>
            </w:r>
          </w:p>
        </w:tc>
        <w:tc>
          <w:tcPr>
            <w:tcW w:w="0" w:type="auto"/>
            <w:vAlign w:val="center"/>
            <w:hideMark/>
          </w:tcPr>
          <w:p w14:paraId="596521B8"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34.2139</w:t>
            </w:r>
          </w:p>
        </w:tc>
        <w:tc>
          <w:tcPr>
            <w:tcW w:w="0" w:type="auto"/>
            <w:vAlign w:val="center"/>
            <w:hideMark/>
          </w:tcPr>
          <w:p w14:paraId="17CB687D"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14.1424</w:t>
            </w:r>
          </w:p>
        </w:tc>
        <w:tc>
          <w:tcPr>
            <w:tcW w:w="0" w:type="auto"/>
            <w:vAlign w:val="center"/>
            <w:hideMark/>
          </w:tcPr>
          <w:p w14:paraId="71743250"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11.724</w:t>
            </w:r>
          </w:p>
        </w:tc>
        <w:tc>
          <w:tcPr>
            <w:tcW w:w="0" w:type="auto"/>
            <w:vAlign w:val="center"/>
            <w:hideMark/>
          </w:tcPr>
          <w:p w14:paraId="11BB1C07"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31.7018</w:t>
            </w:r>
          </w:p>
        </w:tc>
        <w:tc>
          <w:tcPr>
            <w:tcW w:w="0" w:type="auto"/>
            <w:vAlign w:val="center"/>
            <w:hideMark/>
          </w:tcPr>
          <w:p w14:paraId="522F00D9"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67.895</w:t>
            </w:r>
          </w:p>
        </w:tc>
      </w:tr>
      <w:tr w:rsidR="001708FB" w:rsidRPr="00CC205B" w14:paraId="3D9E2026" w14:textId="77777777" w:rsidTr="00CC205B">
        <w:tc>
          <w:tcPr>
            <w:tcW w:w="0" w:type="auto"/>
            <w:vAlign w:val="center"/>
            <w:hideMark/>
          </w:tcPr>
          <w:p w14:paraId="721D8B67" w14:textId="582C20EB"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AUC₀</w:t>
            </w:r>
            <w:r w:rsidR="00CC205B" w:rsidRPr="00CC205B">
              <w:rPr>
                <w:rFonts w:eastAsia="Times New Roman" w:cs="Times New Roman"/>
                <w:sz w:val="20"/>
                <w:lang w:eastAsia="en-AU"/>
              </w:rPr>
              <w:t>-</w:t>
            </w:r>
            <w:r w:rsidRPr="00CC205B">
              <w:rPr>
                <w:rFonts w:eastAsia="Times New Roman" w:cs="Times New Roman"/>
                <w:sz w:val="20"/>
                <w:lang w:eastAsia="en-AU"/>
              </w:rPr>
              <w:t>₁₀ week (</w:t>
            </w:r>
            <w:proofErr w:type="spellStart"/>
            <w:r w:rsidRPr="00CC205B">
              <w:rPr>
                <w:rFonts w:eastAsia="Times New Roman" w:cs="Times New Roman"/>
                <w:sz w:val="20"/>
                <w:lang w:eastAsia="en-AU"/>
              </w:rPr>
              <w:t>ng·day</w:t>
            </w:r>
            <w:proofErr w:type="spellEnd"/>
            <w:r w:rsidRPr="00CC205B">
              <w:rPr>
                <w:rFonts w:eastAsia="Times New Roman" w:cs="Times New Roman"/>
                <w:sz w:val="20"/>
                <w:lang w:eastAsia="en-AU"/>
              </w:rPr>
              <w:t>/mL)</w:t>
            </w:r>
          </w:p>
        </w:tc>
        <w:tc>
          <w:tcPr>
            <w:tcW w:w="0" w:type="auto"/>
            <w:vAlign w:val="center"/>
            <w:hideMark/>
          </w:tcPr>
          <w:p w14:paraId="7279D824"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20</w:t>
            </w:r>
          </w:p>
        </w:tc>
        <w:tc>
          <w:tcPr>
            <w:tcW w:w="0" w:type="auto"/>
            <w:vAlign w:val="center"/>
            <w:hideMark/>
          </w:tcPr>
          <w:p w14:paraId="4765C24E"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35.5071</w:t>
            </w:r>
          </w:p>
        </w:tc>
        <w:tc>
          <w:tcPr>
            <w:tcW w:w="0" w:type="auto"/>
            <w:vAlign w:val="center"/>
            <w:hideMark/>
          </w:tcPr>
          <w:p w14:paraId="25DC1376"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43.8026</w:t>
            </w:r>
          </w:p>
        </w:tc>
        <w:tc>
          <w:tcPr>
            <w:tcW w:w="0" w:type="auto"/>
            <w:vAlign w:val="center"/>
            <w:hideMark/>
          </w:tcPr>
          <w:p w14:paraId="06E369A4"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38.4838</w:t>
            </w:r>
          </w:p>
        </w:tc>
        <w:tc>
          <w:tcPr>
            <w:tcW w:w="0" w:type="auto"/>
            <w:vAlign w:val="center"/>
            <w:hideMark/>
          </w:tcPr>
          <w:p w14:paraId="5D586EE6"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15.7850</w:t>
            </w:r>
          </w:p>
        </w:tc>
        <w:tc>
          <w:tcPr>
            <w:tcW w:w="0" w:type="auto"/>
            <w:vAlign w:val="center"/>
            <w:hideMark/>
          </w:tcPr>
          <w:p w14:paraId="24A361D8"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13.985</w:t>
            </w:r>
          </w:p>
        </w:tc>
        <w:tc>
          <w:tcPr>
            <w:tcW w:w="0" w:type="auto"/>
            <w:vAlign w:val="center"/>
            <w:hideMark/>
          </w:tcPr>
          <w:p w14:paraId="2AED71B6"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36.3369</w:t>
            </w:r>
          </w:p>
        </w:tc>
        <w:tc>
          <w:tcPr>
            <w:tcW w:w="0" w:type="auto"/>
            <w:vAlign w:val="center"/>
            <w:hideMark/>
          </w:tcPr>
          <w:p w14:paraId="72302F93"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77.877</w:t>
            </w:r>
          </w:p>
        </w:tc>
      </w:tr>
      <w:tr w:rsidR="001708FB" w:rsidRPr="00CC205B" w14:paraId="4778EACD" w14:textId="77777777" w:rsidTr="00CC205B">
        <w:tc>
          <w:tcPr>
            <w:tcW w:w="0" w:type="auto"/>
            <w:vAlign w:val="center"/>
            <w:hideMark/>
          </w:tcPr>
          <w:p w14:paraId="7644347B" w14:textId="4B39A318"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AUC₀</w:t>
            </w:r>
            <w:r w:rsidR="00CC205B" w:rsidRPr="00CC205B">
              <w:rPr>
                <w:rFonts w:eastAsia="Times New Roman" w:cs="Times New Roman"/>
                <w:sz w:val="20"/>
                <w:lang w:eastAsia="en-AU"/>
              </w:rPr>
              <w:t>-</w:t>
            </w:r>
            <w:r w:rsidRPr="00CC205B">
              <w:rPr>
                <w:rFonts w:eastAsia="Times New Roman" w:cs="Times New Roman"/>
                <w:sz w:val="20"/>
                <w:lang w:eastAsia="en-AU"/>
              </w:rPr>
              <w:t>₁₂ week (</w:t>
            </w:r>
            <w:proofErr w:type="spellStart"/>
            <w:r w:rsidRPr="00CC205B">
              <w:rPr>
                <w:rFonts w:eastAsia="Times New Roman" w:cs="Times New Roman"/>
                <w:sz w:val="20"/>
                <w:lang w:eastAsia="en-AU"/>
              </w:rPr>
              <w:t>ng·day</w:t>
            </w:r>
            <w:proofErr w:type="spellEnd"/>
            <w:r w:rsidRPr="00CC205B">
              <w:rPr>
                <w:rFonts w:eastAsia="Times New Roman" w:cs="Times New Roman"/>
                <w:sz w:val="20"/>
                <w:lang w:eastAsia="en-AU"/>
              </w:rPr>
              <w:t>/mL)</w:t>
            </w:r>
          </w:p>
        </w:tc>
        <w:tc>
          <w:tcPr>
            <w:tcW w:w="0" w:type="auto"/>
            <w:vAlign w:val="center"/>
            <w:hideMark/>
          </w:tcPr>
          <w:p w14:paraId="319E5B5B"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16</w:t>
            </w:r>
          </w:p>
        </w:tc>
        <w:tc>
          <w:tcPr>
            <w:tcW w:w="0" w:type="auto"/>
            <w:vAlign w:val="center"/>
            <w:hideMark/>
          </w:tcPr>
          <w:p w14:paraId="23237186"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41.6459</w:t>
            </w:r>
          </w:p>
        </w:tc>
        <w:tc>
          <w:tcPr>
            <w:tcW w:w="0" w:type="auto"/>
            <w:vAlign w:val="center"/>
            <w:hideMark/>
          </w:tcPr>
          <w:p w14:paraId="21C6F5C0"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40.4070</w:t>
            </w:r>
          </w:p>
        </w:tc>
        <w:tc>
          <w:tcPr>
            <w:tcW w:w="0" w:type="auto"/>
            <w:vAlign w:val="center"/>
            <w:hideMark/>
          </w:tcPr>
          <w:p w14:paraId="68CE98F2"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44.4878</w:t>
            </w:r>
          </w:p>
        </w:tc>
        <w:tc>
          <w:tcPr>
            <w:tcW w:w="0" w:type="auto"/>
            <w:vAlign w:val="center"/>
            <w:hideMark/>
          </w:tcPr>
          <w:p w14:paraId="58CE5FB8"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16.1720</w:t>
            </w:r>
          </w:p>
        </w:tc>
        <w:tc>
          <w:tcPr>
            <w:tcW w:w="0" w:type="auto"/>
            <w:vAlign w:val="center"/>
            <w:hideMark/>
          </w:tcPr>
          <w:p w14:paraId="003AED97"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15.862</w:t>
            </w:r>
          </w:p>
        </w:tc>
        <w:tc>
          <w:tcPr>
            <w:tcW w:w="0" w:type="auto"/>
            <w:vAlign w:val="center"/>
            <w:hideMark/>
          </w:tcPr>
          <w:p w14:paraId="6FB961DD"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40.8546</w:t>
            </w:r>
          </w:p>
        </w:tc>
        <w:tc>
          <w:tcPr>
            <w:tcW w:w="0" w:type="auto"/>
            <w:vAlign w:val="center"/>
            <w:hideMark/>
          </w:tcPr>
          <w:p w14:paraId="35EC5B57"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82.016</w:t>
            </w:r>
          </w:p>
        </w:tc>
      </w:tr>
      <w:tr w:rsidR="001708FB" w:rsidRPr="00CC205B" w14:paraId="44C4FB47" w14:textId="77777777" w:rsidTr="00CC205B">
        <w:tc>
          <w:tcPr>
            <w:tcW w:w="0" w:type="auto"/>
            <w:vAlign w:val="center"/>
            <w:hideMark/>
          </w:tcPr>
          <w:p w14:paraId="04D49E48"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Cₘₐₓ (ng/mL)</w:t>
            </w:r>
          </w:p>
        </w:tc>
        <w:tc>
          <w:tcPr>
            <w:tcW w:w="0" w:type="auto"/>
            <w:vAlign w:val="center"/>
            <w:hideMark/>
          </w:tcPr>
          <w:p w14:paraId="6BC8E188"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20</w:t>
            </w:r>
          </w:p>
        </w:tc>
        <w:tc>
          <w:tcPr>
            <w:tcW w:w="0" w:type="auto"/>
            <w:vAlign w:val="center"/>
            <w:hideMark/>
          </w:tcPr>
          <w:p w14:paraId="14811326"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4.5</w:t>
            </w:r>
          </w:p>
        </w:tc>
        <w:tc>
          <w:tcPr>
            <w:tcW w:w="0" w:type="auto"/>
            <w:vAlign w:val="center"/>
            <w:hideMark/>
          </w:tcPr>
          <w:p w14:paraId="36C84C48"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82.3</w:t>
            </w:r>
          </w:p>
        </w:tc>
        <w:tc>
          <w:tcPr>
            <w:tcW w:w="0" w:type="auto"/>
            <w:vAlign w:val="center"/>
            <w:hideMark/>
          </w:tcPr>
          <w:p w14:paraId="3D2337D4"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5.7</w:t>
            </w:r>
          </w:p>
        </w:tc>
        <w:tc>
          <w:tcPr>
            <w:tcW w:w="0" w:type="auto"/>
            <w:vAlign w:val="center"/>
            <w:hideMark/>
          </w:tcPr>
          <w:p w14:paraId="0B219969"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3.7</w:t>
            </w:r>
          </w:p>
        </w:tc>
        <w:tc>
          <w:tcPr>
            <w:tcW w:w="0" w:type="auto"/>
            <w:vAlign w:val="center"/>
            <w:hideMark/>
          </w:tcPr>
          <w:p w14:paraId="2306F902"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1</w:t>
            </w:r>
          </w:p>
        </w:tc>
        <w:tc>
          <w:tcPr>
            <w:tcW w:w="0" w:type="auto"/>
            <w:vAlign w:val="center"/>
            <w:hideMark/>
          </w:tcPr>
          <w:p w14:paraId="5D8B8D7A"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4.7</w:t>
            </w:r>
          </w:p>
        </w:tc>
        <w:tc>
          <w:tcPr>
            <w:tcW w:w="0" w:type="auto"/>
            <w:vAlign w:val="center"/>
            <w:hideMark/>
          </w:tcPr>
          <w:p w14:paraId="4DBF73A9"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12</w:t>
            </w:r>
          </w:p>
        </w:tc>
      </w:tr>
      <w:tr w:rsidR="001708FB" w:rsidRPr="00CC205B" w14:paraId="55076A4D" w14:textId="77777777" w:rsidTr="00CC205B">
        <w:tc>
          <w:tcPr>
            <w:tcW w:w="0" w:type="auto"/>
            <w:vAlign w:val="center"/>
            <w:hideMark/>
          </w:tcPr>
          <w:p w14:paraId="53E8A750"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Tₘₐₓ (h)</w:t>
            </w:r>
          </w:p>
        </w:tc>
        <w:tc>
          <w:tcPr>
            <w:tcW w:w="0" w:type="auto"/>
            <w:vAlign w:val="center"/>
            <w:hideMark/>
          </w:tcPr>
          <w:p w14:paraId="1F677DB5"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20</w:t>
            </w:r>
          </w:p>
        </w:tc>
        <w:tc>
          <w:tcPr>
            <w:tcW w:w="0" w:type="auto"/>
            <w:vAlign w:val="center"/>
            <w:hideMark/>
          </w:tcPr>
          <w:p w14:paraId="604E53D5"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NA</w:t>
            </w:r>
          </w:p>
        </w:tc>
        <w:tc>
          <w:tcPr>
            <w:tcW w:w="0" w:type="auto"/>
            <w:vAlign w:val="center"/>
            <w:hideMark/>
          </w:tcPr>
          <w:p w14:paraId="37F2EC5E"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NA</w:t>
            </w:r>
          </w:p>
        </w:tc>
        <w:tc>
          <w:tcPr>
            <w:tcW w:w="0" w:type="auto"/>
            <w:vAlign w:val="center"/>
            <w:hideMark/>
          </w:tcPr>
          <w:p w14:paraId="7D62B1C1"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NA</w:t>
            </w:r>
          </w:p>
        </w:tc>
        <w:tc>
          <w:tcPr>
            <w:tcW w:w="0" w:type="auto"/>
            <w:vAlign w:val="center"/>
            <w:hideMark/>
          </w:tcPr>
          <w:p w14:paraId="4E4A30A0"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NA</w:t>
            </w:r>
          </w:p>
        </w:tc>
        <w:tc>
          <w:tcPr>
            <w:tcW w:w="0" w:type="auto"/>
            <w:vAlign w:val="center"/>
            <w:hideMark/>
          </w:tcPr>
          <w:p w14:paraId="0F38392D"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1</w:t>
            </w:r>
          </w:p>
        </w:tc>
        <w:tc>
          <w:tcPr>
            <w:tcW w:w="0" w:type="auto"/>
            <w:vAlign w:val="center"/>
            <w:hideMark/>
          </w:tcPr>
          <w:p w14:paraId="7AF63F06"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2.4</w:t>
            </w:r>
          </w:p>
        </w:tc>
        <w:tc>
          <w:tcPr>
            <w:tcW w:w="0" w:type="auto"/>
            <w:vAlign w:val="center"/>
            <w:hideMark/>
          </w:tcPr>
          <w:p w14:paraId="53DCB48D" w14:textId="77777777" w:rsidR="001708FB" w:rsidRPr="00CC205B" w:rsidRDefault="001708FB" w:rsidP="00CC205B">
            <w:pPr>
              <w:spacing w:after="0" w:line="240" w:lineRule="auto"/>
              <w:rPr>
                <w:rFonts w:eastAsia="Times New Roman" w:cs="Times New Roman"/>
                <w:sz w:val="20"/>
                <w:lang w:eastAsia="en-AU"/>
              </w:rPr>
            </w:pPr>
            <w:r w:rsidRPr="00CC205B">
              <w:rPr>
                <w:rFonts w:eastAsia="Times New Roman" w:cs="Times New Roman"/>
                <w:sz w:val="20"/>
                <w:lang w:eastAsia="en-AU"/>
              </w:rPr>
              <w:t>24</w:t>
            </w:r>
          </w:p>
        </w:tc>
      </w:tr>
    </w:tbl>
    <w:p w14:paraId="3CC91446" w14:textId="20BC3BC4" w:rsidR="00CC205B" w:rsidRPr="00CC205B" w:rsidRDefault="00CC205B" w:rsidP="00CC205B">
      <w:pPr>
        <w:pStyle w:val="TableTitle"/>
        <w:rPr>
          <w:rFonts w:eastAsiaTheme="minorHAnsi" w:cstheme="minorBidi"/>
          <w:szCs w:val="20"/>
        </w:rPr>
      </w:pPr>
      <w:r w:rsidRPr="00CC205B">
        <w:t>Table</w:t>
      </w:r>
      <w:r>
        <w:t xml:space="preserve"> 5.</w:t>
      </w:r>
      <w:r w:rsidRPr="00CC205B">
        <w:t xml:space="preserve"> Pharmacokinetic </w:t>
      </w:r>
      <w:r>
        <w:t>v</w:t>
      </w:r>
      <w:r w:rsidRPr="00CC205B">
        <w:t xml:space="preserve">ariables for </w:t>
      </w:r>
      <w:r>
        <w:t>g</w:t>
      </w:r>
      <w:r w:rsidRPr="00CC205B">
        <w:t xml:space="preserve">oserelin, </w:t>
      </w:r>
      <w:r>
        <w:t>a</w:t>
      </w:r>
      <w:r w:rsidRPr="00CC205B">
        <w:t xml:space="preserve">ll centres (PK subgroup set; Study </w:t>
      </w:r>
      <w:proofErr w:type="spellStart"/>
      <w:r w:rsidRPr="00CC205B">
        <w:t>D8664C00008</w:t>
      </w:r>
      <w:proofErr w:type="spellEnd"/>
      <w:r w:rsidRPr="00CC205B">
        <w:t>)</w:t>
      </w:r>
    </w:p>
    <w:tbl>
      <w:tblPr>
        <w:tblW w:w="0" w:type="auto"/>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CellMar>
          <w:top w:w="15" w:type="dxa"/>
          <w:left w:w="15" w:type="dxa"/>
          <w:bottom w:w="15" w:type="dxa"/>
          <w:right w:w="15" w:type="dxa"/>
        </w:tblCellMar>
        <w:tblLook w:val="04A0" w:firstRow="1" w:lastRow="0" w:firstColumn="1" w:lastColumn="0" w:noHBand="0" w:noVBand="1"/>
        <w:tblCaption w:val="Table 5. Pharmacokinetic variables for goserelin, all centres (PK subgroup set; Study D8664C00008)"/>
      </w:tblPr>
      <w:tblGrid>
        <w:gridCol w:w="916"/>
        <w:gridCol w:w="1195"/>
        <w:gridCol w:w="230"/>
        <w:gridCol w:w="955"/>
        <w:gridCol w:w="933"/>
        <w:gridCol w:w="933"/>
        <w:gridCol w:w="665"/>
        <w:gridCol w:w="988"/>
        <w:gridCol w:w="566"/>
        <w:gridCol w:w="466"/>
        <w:gridCol w:w="647"/>
        <w:gridCol w:w="566"/>
      </w:tblGrid>
      <w:tr w:rsidR="00CC205B" w:rsidRPr="00CC205B" w14:paraId="4239379F" w14:textId="77777777" w:rsidTr="00CC205B">
        <w:trPr>
          <w:tblHeader/>
        </w:trPr>
        <w:tc>
          <w:tcPr>
            <w:tcW w:w="916" w:type="dxa"/>
            <w:shd w:val="clear" w:color="auto" w:fill="DEEAF6"/>
            <w:vAlign w:val="center"/>
            <w:hideMark/>
          </w:tcPr>
          <w:p w14:paraId="091B8385" w14:textId="77777777" w:rsidR="00CC205B" w:rsidRPr="00CC205B" w:rsidRDefault="00CC205B" w:rsidP="00CC205B">
            <w:pPr>
              <w:spacing w:after="0" w:line="240" w:lineRule="auto"/>
              <w:rPr>
                <w:rFonts w:eastAsia="Times New Roman" w:cs="Times New Roman"/>
                <w:b/>
                <w:bCs/>
                <w:color w:val="263287"/>
                <w:sz w:val="18"/>
                <w:szCs w:val="18"/>
                <w:lang w:eastAsia="en-AU"/>
              </w:rPr>
            </w:pPr>
            <w:r w:rsidRPr="00CC205B">
              <w:rPr>
                <w:rFonts w:eastAsia="Times New Roman" w:cs="Times New Roman"/>
                <w:b/>
                <w:bCs/>
                <w:color w:val="263287"/>
                <w:sz w:val="18"/>
                <w:szCs w:val="18"/>
                <w:lang w:eastAsia="en-AU"/>
              </w:rPr>
              <w:t>Treatment</w:t>
            </w:r>
          </w:p>
        </w:tc>
        <w:tc>
          <w:tcPr>
            <w:tcW w:w="0" w:type="auto"/>
            <w:shd w:val="clear" w:color="auto" w:fill="DEEAF6"/>
            <w:vAlign w:val="center"/>
            <w:hideMark/>
          </w:tcPr>
          <w:p w14:paraId="7F9140BB" w14:textId="77777777" w:rsidR="00CC205B" w:rsidRPr="00CC205B" w:rsidRDefault="00CC205B" w:rsidP="00CC205B">
            <w:pPr>
              <w:spacing w:after="0" w:line="240" w:lineRule="auto"/>
              <w:rPr>
                <w:rFonts w:eastAsia="Times New Roman" w:cs="Times New Roman"/>
                <w:b/>
                <w:bCs/>
                <w:color w:val="263287"/>
                <w:sz w:val="18"/>
                <w:szCs w:val="18"/>
                <w:lang w:eastAsia="en-AU"/>
              </w:rPr>
            </w:pPr>
            <w:r w:rsidRPr="00CC205B">
              <w:rPr>
                <w:rFonts w:eastAsia="Times New Roman" w:cs="Times New Roman"/>
                <w:b/>
                <w:bCs/>
                <w:color w:val="263287"/>
                <w:sz w:val="18"/>
                <w:szCs w:val="18"/>
                <w:lang w:eastAsia="en-AU"/>
              </w:rPr>
              <w:t>Variables</w:t>
            </w:r>
          </w:p>
        </w:tc>
        <w:tc>
          <w:tcPr>
            <w:tcW w:w="0" w:type="auto"/>
            <w:shd w:val="clear" w:color="auto" w:fill="DEEAF6"/>
            <w:vAlign w:val="center"/>
            <w:hideMark/>
          </w:tcPr>
          <w:p w14:paraId="026D47B7" w14:textId="77777777" w:rsidR="00CC205B" w:rsidRPr="00CC205B" w:rsidRDefault="00CC205B" w:rsidP="00CC205B">
            <w:pPr>
              <w:spacing w:after="0" w:line="240" w:lineRule="auto"/>
              <w:rPr>
                <w:rFonts w:eastAsia="Times New Roman" w:cs="Times New Roman"/>
                <w:b/>
                <w:bCs/>
                <w:color w:val="263287"/>
                <w:sz w:val="18"/>
                <w:szCs w:val="18"/>
                <w:lang w:eastAsia="en-AU"/>
              </w:rPr>
            </w:pPr>
            <w:r w:rsidRPr="00CC205B">
              <w:rPr>
                <w:rFonts w:eastAsia="Times New Roman" w:cs="Times New Roman"/>
                <w:b/>
                <w:bCs/>
                <w:color w:val="263287"/>
                <w:sz w:val="18"/>
                <w:szCs w:val="18"/>
                <w:lang w:eastAsia="en-AU"/>
              </w:rPr>
              <w:t>N</w:t>
            </w:r>
          </w:p>
        </w:tc>
        <w:tc>
          <w:tcPr>
            <w:tcW w:w="0" w:type="auto"/>
            <w:shd w:val="clear" w:color="auto" w:fill="DEEAF6"/>
            <w:vAlign w:val="center"/>
            <w:hideMark/>
          </w:tcPr>
          <w:p w14:paraId="3564DBAC" w14:textId="77777777" w:rsidR="00CC205B" w:rsidRPr="00CC205B" w:rsidRDefault="00CC205B" w:rsidP="00CC205B">
            <w:pPr>
              <w:spacing w:after="0" w:line="240" w:lineRule="auto"/>
              <w:rPr>
                <w:rFonts w:eastAsia="Times New Roman" w:cs="Times New Roman"/>
                <w:b/>
                <w:bCs/>
                <w:color w:val="263287"/>
                <w:sz w:val="18"/>
                <w:szCs w:val="18"/>
                <w:lang w:eastAsia="en-AU"/>
              </w:rPr>
            </w:pPr>
            <w:r w:rsidRPr="00CC205B">
              <w:rPr>
                <w:rFonts w:eastAsia="Times New Roman" w:cs="Times New Roman"/>
                <w:b/>
                <w:bCs/>
                <w:color w:val="263287"/>
                <w:sz w:val="18"/>
                <w:szCs w:val="18"/>
                <w:lang w:eastAsia="en-AU"/>
              </w:rPr>
              <w:t>Geometric mean</w:t>
            </w:r>
          </w:p>
        </w:tc>
        <w:tc>
          <w:tcPr>
            <w:tcW w:w="0" w:type="auto"/>
            <w:shd w:val="clear" w:color="auto" w:fill="DEEAF6"/>
            <w:vAlign w:val="center"/>
            <w:hideMark/>
          </w:tcPr>
          <w:p w14:paraId="794C250F" w14:textId="77777777" w:rsidR="00CC205B" w:rsidRPr="00CC205B" w:rsidRDefault="00CC205B" w:rsidP="00CC205B">
            <w:pPr>
              <w:spacing w:after="0" w:line="240" w:lineRule="auto"/>
              <w:rPr>
                <w:rFonts w:eastAsia="Times New Roman" w:cs="Times New Roman"/>
                <w:b/>
                <w:bCs/>
                <w:color w:val="263287"/>
                <w:sz w:val="18"/>
                <w:szCs w:val="18"/>
                <w:lang w:eastAsia="en-AU"/>
              </w:rPr>
            </w:pPr>
            <w:r w:rsidRPr="00CC205B">
              <w:rPr>
                <w:rFonts w:eastAsia="Times New Roman" w:cs="Times New Roman"/>
                <w:b/>
                <w:bCs/>
                <w:color w:val="263287"/>
                <w:sz w:val="18"/>
                <w:szCs w:val="18"/>
                <w:lang w:eastAsia="en-AU"/>
              </w:rPr>
              <w:t>Gmean−SD</w:t>
            </w:r>
          </w:p>
        </w:tc>
        <w:tc>
          <w:tcPr>
            <w:tcW w:w="0" w:type="auto"/>
            <w:shd w:val="clear" w:color="auto" w:fill="DEEAF6"/>
            <w:vAlign w:val="center"/>
            <w:hideMark/>
          </w:tcPr>
          <w:p w14:paraId="79369D8B" w14:textId="77777777" w:rsidR="00CC205B" w:rsidRPr="00CC205B" w:rsidRDefault="00CC205B" w:rsidP="00CC205B">
            <w:pPr>
              <w:spacing w:after="0" w:line="240" w:lineRule="auto"/>
              <w:rPr>
                <w:rFonts w:eastAsia="Times New Roman" w:cs="Times New Roman"/>
                <w:b/>
                <w:bCs/>
                <w:color w:val="263287"/>
                <w:sz w:val="18"/>
                <w:szCs w:val="18"/>
                <w:lang w:eastAsia="en-AU"/>
              </w:rPr>
            </w:pPr>
            <w:proofErr w:type="spellStart"/>
            <w:r w:rsidRPr="00CC205B">
              <w:rPr>
                <w:rFonts w:eastAsia="Times New Roman" w:cs="Times New Roman"/>
                <w:b/>
                <w:bCs/>
                <w:color w:val="263287"/>
                <w:sz w:val="18"/>
                <w:szCs w:val="18"/>
                <w:lang w:eastAsia="en-AU"/>
              </w:rPr>
              <w:t>Gmean+SD</w:t>
            </w:r>
            <w:proofErr w:type="spellEnd"/>
          </w:p>
        </w:tc>
        <w:tc>
          <w:tcPr>
            <w:tcW w:w="0" w:type="auto"/>
            <w:shd w:val="clear" w:color="auto" w:fill="DEEAF6"/>
            <w:vAlign w:val="center"/>
            <w:hideMark/>
          </w:tcPr>
          <w:p w14:paraId="3F46C951" w14:textId="77777777" w:rsidR="00CC205B" w:rsidRPr="00CC205B" w:rsidRDefault="00CC205B" w:rsidP="00CC205B">
            <w:pPr>
              <w:spacing w:after="0" w:line="240" w:lineRule="auto"/>
              <w:rPr>
                <w:rFonts w:eastAsia="Times New Roman" w:cs="Times New Roman"/>
                <w:b/>
                <w:bCs/>
                <w:color w:val="263287"/>
                <w:sz w:val="18"/>
                <w:szCs w:val="18"/>
                <w:lang w:eastAsia="en-AU"/>
              </w:rPr>
            </w:pPr>
            <w:r w:rsidRPr="00CC205B">
              <w:rPr>
                <w:rFonts w:eastAsia="Times New Roman" w:cs="Times New Roman"/>
                <w:b/>
                <w:bCs/>
                <w:color w:val="263287"/>
                <w:sz w:val="18"/>
                <w:szCs w:val="18"/>
                <w:lang w:eastAsia="en-AU"/>
              </w:rPr>
              <w:t>CV</w:t>
            </w:r>
          </w:p>
        </w:tc>
        <w:tc>
          <w:tcPr>
            <w:tcW w:w="0" w:type="auto"/>
            <w:shd w:val="clear" w:color="auto" w:fill="DEEAF6"/>
            <w:vAlign w:val="center"/>
            <w:hideMark/>
          </w:tcPr>
          <w:p w14:paraId="19A610F4" w14:textId="77777777" w:rsidR="00CC205B" w:rsidRPr="00CC205B" w:rsidRDefault="00CC205B" w:rsidP="00CC205B">
            <w:pPr>
              <w:spacing w:after="0" w:line="240" w:lineRule="auto"/>
              <w:rPr>
                <w:rFonts w:eastAsia="Times New Roman" w:cs="Times New Roman"/>
                <w:b/>
                <w:bCs/>
                <w:color w:val="263287"/>
                <w:sz w:val="18"/>
                <w:szCs w:val="18"/>
                <w:lang w:eastAsia="en-AU"/>
              </w:rPr>
            </w:pPr>
            <w:r w:rsidRPr="00CC205B">
              <w:rPr>
                <w:rFonts w:eastAsia="Times New Roman" w:cs="Times New Roman"/>
                <w:b/>
                <w:bCs/>
                <w:color w:val="263287"/>
                <w:sz w:val="18"/>
                <w:szCs w:val="18"/>
                <w:lang w:eastAsia="en-AU"/>
              </w:rPr>
              <w:t>Arithmetic mean</w:t>
            </w:r>
          </w:p>
        </w:tc>
        <w:tc>
          <w:tcPr>
            <w:tcW w:w="0" w:type="auto"/>
            <w:shd w:val="clear" w:color="auto" w:fill="DEEAF6"/>
            <w:vAlign w:val="center"/>
            <w:hideMark/>
          </w:tcPr>
          <w:p w14:paraId="12E52308" w14:textId="77777777" w:rsidR="00CC205B" w:rsidRPr="00CC205B" w:rsidRDefault="00CC205B" w:rsidP="00CC205B">
            <w:pPr>
              <w:spacing w:after="0" w:line="240" w:lineRule="auto"/>
              <w:rPr>
                <w:rFonts w:eastAsia="Times New Roman" w:cs="Times New Roman"/>
                <w:b/>
                <w:bCs/>
                <w:color w:val="263287"/>
                <w:sz w:val="18"/>
                <w:szCs w:val="18"/>
                <w:lang w:eastAsia="en-AU"/>
              </w:rPr>
            </w:pPr>
            <w:r w:rsidRPr="00CC205B">
              <w:rPr>
                <w:rFonts w:eastAsia="Times New Roman" w:cs="Times New Roman"/>
                <w:b/>
                <w:bCs/>
                <w:color w:val="263287"/>
                <w:sz w:val="18"/>
                <w:szCs w:val="18"/>
                <w:lang w:eastAsia="en-AU"/>
              </w:rPr>
              <w:t>SD</w:t>
            </w:r>
          </w:p>
        </w:tc>
        <w:tc>
          <w:tcPr>
            <w:tcW w:w="0" w:type="auto"/>
            <w:shd w:val="clear" w:color="auto" w:fill="DEEAF6"/>
            <w:vAlign w:val="center"/>
            <w:hideMark/>
          </w:tcPr>
          <w:p w14:paraId="7B7D9AD5" w14:textId="77777777" w:rsidR="00CC205B" w:rsidRPr="00CC205B" w:rsidRDefault="00CC205B" w:rsidP="00CC205B">
            <w:pPr>
              <w:spacing w:after="0" w:line="240" w:lineRule="auto"/>
              <w:rPr>
                <w:rFonts w:eastAsia="Times New Roman" w:cs="Times New Roman"/>
                <w:b/>
                <w:bCs/>
                <w:color w:val="263287"/>
                <w:sz w:val="18"/>
                <w:szCs w:val="18"/>
                <w:lang w:eastAsia="en-AU"/>
              </w:rPr>
            </w:pPr>
            <w:r w:rsidRPr="00CC205B">
              <w:rPr>
                <w:rFonts w:eastAsia="Times New Roman" w:cs="Times New Roman"/>
                <w:b/>
                <w:bCs/>
                <w:color w:val="263287"/>
                <w:sz w:val="18"/>
                <w:szCs w:val="18"/>
                <w:lang w:eastAsia="en-AU"/>
              </w:rPr>
              <w:t>Min</w:t>
            </w:r>
          </w:p>
        </w:tc>
        <w:tc>
          <w:tcPr>
            <w:tcW w:w="0" w:type="auto"/>
            <w:shd w:val="clear" w:color="auto" w:fill="DEEAF6"/>
            <w:vAlign w:val="center"/>
            <w:hideMark/>
          </w:tcPr>
          <w:p w14:paraId="1CA9CEAC" w14:textId="77777777" w:rsidR="00CC205B" w:rsidRPr="00CC205B" w:rsidRDefault="00CC205B" w:rsidP="00CC205B">
            <w:pPr>
              <w:spacing w:after="0" w:line="240" w:lineRule="auto"/>
              <w:rPr>
                <w:rFonts w:eastAsia="Times New Roman" w:cs="Times New Roman"/>
                <w:b/>
                <w:bCs/>
                <w:color w:val="263287"/>
                <w:sz w:val="18"/>
                <w:szCs w:val="18"/>
                <w:lang w:eastAsia="en-AU"/>
              </w:rPr>
            </w:pPr>
            <w:r w:rsidRPr="00CC205B">
              <w:rPr>
                <w:rFonts w:eastAsia="Times New Roman" w:cs="Times New Roman"/>
                <w:b/>
                <w:bCs/>
                <w:color w:val="263287"/>
                <w:sz w:val="18"/>
                <w:szCs w:val="18"/>
                <w:lang w:eastAsia="en-AU"/>
              </w:rPr>
              <w:t>Median</w:t>
            </w:r>
          </w:p>
        </w:tc>
        <w:tc>
          <w:tcPr>
            <w:tcW w:w="0" w:type="auto"/>
            <w:shd w:val="clear" w:color="auto" w:fill="DEEAF6"/>
            <w:vAlign w:val="center"/>
            <w:hideMark/>
          </w:tcPr>
          <w:p w14:paraId="396A688A" w14:textId="77777777" w:rsidR="00CC205B" w:rsidRPr="00CC205B" w:rsidRDefault="00CC205B" w:rsidP="00CC205B">
            <w:pPr>
              <w:spacing w:after="0" w:line="240" w:lineRule="auto"/>
              <w:rPr>
                <w:rFonts w:eastAsia="Times New Roman" w:cs="Times New Roman"/>
                <w:b/>
                <w:bCs/>
                <w:color w:val="263287"/>
                <w:sz w:val="18"/>
                <w:szCs w:val="18"/>
                <w:lang w:eastAsia="en-AU"/>
              </w:rPr>
            </w:pPr>
            <w:r w:rsidRPr="00CC205B">
              <w:rPr>
                <w:rFonts w:eastAsia="Times New Roman" w:cs="Times New Roman"/>
                <w:b/>
                <w:bCs/>
                <w:color w:val="263287"/>
                <w:sz w:val="18"/>
                <w:szCs w:val="18"/>
                <w:lang w:eastAsia="en-AU"/>
              </w:rPr>
              <w:t>Max</w:t>
            </w:r>
          </w:p>
        </w:tc>
      </w:tr>
      <w:tr w:rsidR="00CC205B" w:rsidRPr="00CC205B" w14:paraId="3AD3F7A8" w14:textId="77777777" w:rsidTr="00CC205B">
        <w:tc>
          <w:tcPr>
            <w:tcW w:w="916" w:type="dxa"/>
            <w:vMerge w:val="restart"/>
            <w:vAlign w:val="center"/>
            <w:hideMark/>
          </w:tcPr>
          <w:p w14:paraId="28179F29" w14:textId="62CDCB14" w:rsidR="00CC205B" w:rsidRPr="00CC205B" w:rsidRDefault="00CC205B" w:rsidP="00CC205B">
            <w:pPr>
              <w:spacing w:after="0" w:line="240" w:lineRule="auto"/>
              <w:rPr>
                <w:rFonts w:eastAsia="Times New Roman" w:cs="Times New Roman"/>
                <w:sz w:val="18"/>
                <w:szCs w:val="18"/>
                <w:lang w:eastAsia="en-AU"/>
              </w:rPr>
            </w:pPr>
            <w:proofErr w:type="spellStart"/>
            <w:r w:rsidRPr="00CC205B">
              <w:rPr>
                <w:rFonts w:eastAsia="Times New Roman" w:cs="Times New Roman"/>
                <w:sz w:val="18"/>
                <w:szCs w:val="18"/>
                <w:lang w:eastAsia="en-AU"/>
              </w:rPr>
              <w:t>ZOLADEX</w:t>
            </w:r>
            <w:proofErr w:type="spellEnd"/>
            <w:r w:rsidRPr="00CC205B">
              <w:rPr>
                <w:rFonts w:eastAsia="Times New Roman" w:cs="Times New Roman"/>
                <w:sz w:val="18"/>
                <w:szCs w:val="18"/>
                <w:lang w:eastAsia="en-AU"/>
              </w:rPr>
              <w:t xml:space="preserve"> 10.8 mg (N=19)</w:t>
            </w:r>
          </w:p>
        </w:tc>
        <w:tc>
          <w:tcPr>
            <w:tcW w:w="0" w:type="auto"/>
            <w:vAlign w:val="center"/>
            <w:hideMark/>
          </w:tcPr>
          <w:p w14:paraId="2D41BDEA" w14:textId="77777777" w:rsidR="00CC205B" w:rsidRPr="00CC205B" w:rsidRDefault="00CC205B" w:rsidP="00CC205B">
            <w:pPr>
              <w:spacing w:after="0" w:line="240" w:lineRule="auto"/>
              <w:rPr>
                <w:rFonts w:eastAsia="Times New Roman" w:cs="Times New Roman"/>
                <w:sz w:val="18"/>
                <w:szCs w:val="18"/>
                <w:lang w:eastAsia="en-AU"/>
              </w:rPr>
            </w:pPr>
            <w:proofErr w:type="gramStart"/>
            <w:r w:rsidRPr="00CC205B">
              <w:rPr>
                <w:rFonts w:eastAsia="Times New Roman" w:cs="Times New Roman"/>
                <w:sz w:val="18"/>
                <w:szCs w:val="18"/>
                <w:lang w:eastAsia="en-AU"/>
              </w:rPr>
              <w:t>AUC(</w:t>
            </w:r>
            <w:proofErr w:type="gramEnd"/>
            <w:r w:rsidRPr="00CC205B">
              <w:rPr>
                <w:rFonts w:eastAsia="Times New Roman" w:cs="Times New Roman"/>
                <w:sz w:val="18"/>
                <w:szCs w:val="18"/>
                <w:lang w:eastAsia="en-AU"/>
              </w:rPr>
              <w:t>0–8 week) (</w:t>
            </w:r>
            <w:proofErr w:type="spellStart"/>
            <w:r w:rsidRPr="00CC205B">
              <w:rPr>
                <w:rFonts w:eastAsia="Times New Roman" w:cs="Times New Roman"/>
                <w:sz w:val="18"/>
                <w:szCs w:val="18"/>
                <w:lang w:eastAsia="en-AU"/>
              </w:rPr>
              <w:t>ng·day</w:t>
            </w:r>
            <w:proofErr w:type="spellEnd"/>
            <w:r w:rsidRPr="00CC205B">
              <w:rPr>
                <w:rFonts w:eastAsia="Times New Roman" w:cs="Times New Roman"/>
                <w:sz w:val="18"/>
                <w:szCs w:val="18"/>
                <w:lang w:eastAsia="en-AU"/>
              </w:rPr>
              <w:t>/mL)</w:t>
            </w:r>
          </w:p>
        </w:tc>
        <w:tc>
          <w:tcPr>
            <w:tcW w:w="0" w:type="auto"/>
            <w:vAlign w:val="center"/>
            <w:hideMark/>
          </w:tcPr>
          <w:p w14:paraId="4E1F8190"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19</w:t>
            </w:r>
          </w:p>
        </w:tc>
        <w:tc>
          <w:tcPr>
            <w:tcW w:w="0" w:type="auto"/>
            <w:vAlign w:val="center"/>
            <w:hideMark/>
          </w:tcPr>
          <w:p w14:paraId="29BA5D10"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27.887</w:t>
            </w:r>
          </w:p>
        </w:tc>
        <w:tc>
          <w:tcPr>
            <w:tcW w:w="0" w:type="auto"/>
            <w:vAlign w:val="center"/>
            <w:hideMark/>
          </w:tcPr>
          <w:p w14:paraId="6D90E9EE"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15.580</w:t>
            </w:r>
          </w:p>
        </w:tc>
        <w:tc>
          <w:tcPr>
            <w:tcW w:w="0" w:type="auto"/>
            <w:vAlign w:val="center"/>
            <w:hideMark/>
          </w:tcPr>
          <w:p w14:paraId="6B6B355C"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49.913</w:t>
            </w:r>
          </w:p>
        </w:tc>
        <w:tc>
          <w:tcPr>
            <w:tcW w:w="0" w:type="auto"/>
            <w:vAlign w:val="center"/>
            <w:hideMark/>
          </w:tcPr>
          <w:p w14:paraId="0AEB0BD4"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63.512</w:t>
            </w:r>
          </w:p>
        </w:tc>
        <w:tc>
          <w:tcPr>
            <w:tcW w:w="0" w:type="auto"/>
            <w:vAlign w:val="center"/>
            <w:hideMark/>
          </w:tcPr>
          <w:p w14:paraId="76316BCD"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32.024</w:t>
            </w:r>
          </w:p>
        </w:tc>
        <w:tc>
          <w:tcPr>
            <w:tcW w:w="0" w:type="auto"/>
            <w:vAlign w:val="center"/>
            <w:hideMark/>
          </w:tcPr>
          <w:p w14:paraId="6101829E"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15.700</w:t>
            </w:r>
          </w:p>
        </w:tc>
        <w:tc>
          <w:tcPr>
            <w:tcW w:w="0" w:type="auto"/>
            <w:vAlign w:val="center"/>
            <w:hideMark/>
          </w:tcPr>
          <w:p w14:paraId="11FCDE03"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7.49</w:t>
            </w:r>
          </w:p>
        </w:tc>
        <w:tc>
          <w:tcPr>
            <w:tcW w:w="0" w:type="auto"/>
            <w:vAlign w:val="center"/>
            <w:hideMark/>
          </w:tcPr>
          <w:p w14:paraId="2CDDE12C"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27.500</w:t>
            </w:r>
          </w:p>
        </w:tc>
        <w:tc>
          <w:tcPr>
            <w:tcW w:w="0" w:type="auto"/>
            <w:vAlign w:val="center"/>
            <w:hideMark/>
          </w:tcPr>
          <w:p w14:paraId="571424C8"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62.40</w:t>
            </w:r>
          </w:p>
        </w:tc>
      </w:tr>
      <w:tr w:rsidR="00CC205B" w:rsidRPr="00CC205B" w14:paraId="6C577E12" w14:textId="77777777" w:rsidTr="00CC205B">
        <w:tc>
          <w:tcPr>
            <w:tcW w:w="916" w:type="dxa"/>
            <w:vMerge/>
            <w:vAlign w:val="center"/>
            <w:hideMark/>
          </w:tcPr>
          <w:p w14:paraId="70D0AA31" w14:textId="56148819" w:rsidR="00CC205B" w:rsidRPr="00CC205B" w:rsidRDefault="00CC205B" w:rsidP="00CC205B">
            <w:pPr>
              <w:spacing w:after="0" w:line="240" w:lineRule="auto"/>
              <w:rPr>
                <w:rFonts w:eastAsia="Times New Roman" w:cs="Times New Roman"/>
                <w:sz w:val="18"/>
                <w:szCs w:val="18"/>
                <w:lang w:eastAsia="en-AU"/>
              </w:rPr>
            </w:pPr>
          </w:p>
        </w:tc>
        <w:tc>
          <w:tcPr>
            <w:tcW w:w="0" w:type="auto"/>
            <w:vAlign w:val="center"/>
            <w:hideMark/>
          </w:tcPr>
          <w:p w14:paraId="101E028E" w14:textId="77777777" w:rsidR="00CC205B" w:rsidRPr="00CC205B" w:rsidRDefault="00CC205B" w:rsidP="00CC205B">
            <w:pPr>
              <w:spacing w:after="0" w:line="240" w:lineRule="auto"/>
              <w:rPr>
                <w:rFonts w:eastAsia="Times New Roman" w:cs="Times New Roman"/>
                <w:sz w:val="18"/>
                <w:szCs w:val="18"/>
                <w:lang w:eastAsia="en-AU"/>
              </w:rPr>
            </w:pPr>
            <w:proofErr w:type="gramStart"/>
            <w:r w:rsidRPr="00CC205B">
              <w:rPr>
                <w:rFonts w:eastAsia="Times New Roman" w:cs="Times New Roman"/>
                <w:sz w:val="18"/>
                <w:szCs w:val="18"/>
                <w:lang w:eastAsia="en-AU"/>
              </w:rPr>
              <w:t>AUC(</w:t>
            </w:r>
            <w:proofErr w:type="gramEnd"/>
            <w:r w:rsidRPr="00CC205B">
              <w:rPr>
                <w:rFonts w:eastAsia="Times New Roman" w:cs="Times New Roman"/>
                <w:sz w:val="18"/>
                <w:szCs w:val="18"/>
                <w:lang w:eastAsia="en-AU"/>
              </w:rPr>
              <w:t>0–10 week) (</w:t>
            </w:r>
            <w:proofErr w:type="spellStart"/>
            <w:r w:rsidRPr="00CC205B">
              <w:rPr>
                <w:rFonts w:eastAsia="Times New Roman" w:cs="Times New Roman"/>
                <w:sz w:val="18"/>
                <w:szCs w:val="18"/>
                <w:lang w:eastAsia="en-AU"/>
              </w:rPr>
              <w:t>ng·day</w:t>
            </w:r>
            <w:proofErr w:type="spellEnd"/>
            <w:r w:rsidRPr="00CC205B">
              <w:rPr>
                <w:rFonts w:eastAsia="Times New Roman" w:cs="Times New Roman"/>
                <w:sz w:val="18"/>
                <w:szCs w:val="18"/>
                <w:lang w:eastAsia="en-AU"/>
              </w:rPr>
              <w:t>/mL)</w:t>
            </w:r>
          </w:p>
        </w:tc>
        <w:tc>
          <w:tcPr>
            <w:tcW w:w="0" w:type="auto"/>
            <w:vAlign w:val="center"/>
            <w:hideMark/>
          </w:tcPr>
          <w:p w14:paraId="6A54B2A9"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19</w:t>
            </w:r>
          </w:p>
        </w:tc>
        <w:tc>
          <w:tcPr>
            <w:tcW w:w="0" w:type="auto"/>
            <w:vAlign w:val="center"/>
            <w:hideMark/>
          </w:tcPr>
          <w:p w14:paraId="4E56FC9F"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31.410</w:t>
            </w:r>
          </w:p>
        </w:tc>
        <w:tc>
          <w:tcPr>
            <w:tcW w:w="0" w:type="auto"/>
            <w:vAlign w:val="center"/>
            <w:hideMark/>
          </w:tcPr>
          <w:p w14:paraId="7A2649EF"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17.564</w:t>
            </w:r>
          </w:p>
        </w:tc>
        <w:tc>
          <w:tcPr>
            <w:tcW w:w="0" w:type="auto"/>
            <w:vAlign w:val="center"/>
            <w:hideMark/>
          </w:tcPr>
          <w:p w14:paraId="29EF3E6D"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56.174</w:t>
            </w:r>
          </w:p>
        </w:tc>
        <w:tc>
          <w:tcPr>
            <w:tcW w:w="0" w:type="auto"/>
            <w:vAlign w:val="center"/>
            <w:hideMark/>
          </w:tcPr>
          <w:p w14:paraId="5A3AA4F4"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63.406</w:t>
            </w:r>
          </w:p>
        </w:tc>
        <w:tc>
          <w:tcPr>
            <w:tcW w:w="0" w:type="auto"/>
            <w:vAlign w:val="center"/>
            <w:hideMark/>
          </w:tcPr>
          <w:p w14:paraId="16D6F7D0"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36.058</w:t>
            </w:r>
          </w:p>
        </w:tc>
        <w:tc>
          <w:tcPr>
            <w:tcW w:w="0" w:type="auto"/>
            <w:vAlign w:val="center"/>
            <w:hideMark/>
          </w:tcPr>
          <w:p w14:paraId="4FEDB1DD"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17.619</w:t>
            </w:r>
          </w:p>
        </w:tc>
        <w:tc>
          <w:tcPr>
            <w:tcW w:w="0" w:type="auto"/>
            <w:vAlign w:val="center"/>
            <w:hideMark/>
          </w:tcPr>
          <w:p w14:paraId="6CCD5A2D"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8.42</w:t>
            </w:r>
          </w:p>
        </w:tc>
        <w:tc>
          <w:tcPr>
            <w:tcW w:w="0" w:type="auto"/>
            <w:vAlign w:val="center"/>
            <w:hideMark/>
          </w:tcPr>
          <w:p w14:paraId="1D0969F5"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31.000</w:t>
            </w:r>
          </w:p>
        </w:tc>
        <w:tc>
          <w:tcPr>
            <w:tcW w:w="0" w:type="auto"/>
            <w:vAlign w:val="center"/>
            <w:hideMark/>
          </w:tcPr>
          <w:p w14:paraId="0D32AE5B"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70.50</w:t>
            </w:r>
          </w:p>
        </w:tc>
      </w:tr>
      <w:tr w:rsidR="00CC205B" w:rsidRPr="00CC205B" w14:paraId="3E124852" w14:textId="77777777" w:rsidTr="00CC205B">
        <w:tc>
          <w:tcPr>
            <w:tcW w:w="916" w:type="dxa"/>
            <w:vMerge/>
            <w:vAlign w:val="center"/>
            <w:hideMark/>
          </w:tcPr>
          <w:p w14:paraId="738C6E66" w14:textId="40B3A1E6" w:rsidR="00CC205B" w:rsidRPr="00CC205B" w:rsidRDefault="00CC205B" w:rsidP="00CC205B">
            <w:pPr>
              <w:spacing w:after="0" w:line="240" w:lineRule="auto"/>
              <w:rPr>
                <w:rFonts w:eastAsia="Times New Roman" w:cs="Times New Roman"/>
                <w:sz w:val="18"/>
                <w:szCs w:val="18"/>
                <w:lang w:eastAsia="en-AU"/>
              </w:rPr>
            </w:pPr>
          </w:p>
        </w:tc>
        <w:tc>
          <w:tcPr>
            <w:tcW w:w="0" w:type="auto"/>
            <w:vAlign w:val="center"/>
            <w:hideMark/>
          </w:tcPr>
          <w:p w14:paraId="6D74349D" w14:textId="77777777" w:rsidR="00CC205B" w:rsidRPr="00CC205B" w:rsidRDefault="00CC205B" w:rsidP="00CC205B">
            <w:pPr>
              <w:spacing w:after="0" w:line="240" w:lineRule="auto"/>
              <w:rPr>
                <w:rFonts w:eastAsia="Times New Roman" w:cs="Times New Roman"/>
                <w:sz w:val="18"/>
                <w:szCs w:val="18"/>
                <w:lang w:eastAsia="en-AU"/>
              </w:rPr>
            </w:pPr>
            <w:proofErr w:type="gramStart"/>
            <w:r w:rsidRPr="00CC205B">
              <w:rPr>
                <w:rFonts w:eastAsia="Times New Roman" w:cs="Times New Roman"/>
                <w:sz w:val="18"/>
                <w:szCs w:val="18"/>
                <w:lang w:eastAsia="en-AU"/>
              </w:rPr>
              <w:t>AUC(</w:t>
            </w:r>
            <w:proofErr w:type="gramEnd"/>
            <w:r w:rsidRPr="00CC205B">
              <w:rPr>
                <w:rFonts w:eastAsia="Times New Roman" w:cs="Times New Roman"/>
                <w:sz w:val="18"/>
                <w:szCs w:val="18"/>
                <w:lang w:eastAsia="en-AU"/>
              </w:rPr>
              <w:t>0–12 week) (</w:t>
            </w:r>
            <w:proofErr w:type="spellStart"/>
            <w:r w:rsidRPr="00CC205B">
              <w:rPr>
                <w:rFonts w:eastAsia="Times New Roman" w:cs="Times New Roman"/>
                <w:sz w:val="18"/>
                <w:szCs w:val="18"/>
                <w:lang w:eastAsia="en-AU"/>
              </w:rPr>
              <w:t>ng·day</w:t>
            </w:r>
            <w:proofErr w:type="spellEnd"/>
            <w:r w:rsidRPr="00CC205B">
              <w:rPr>
                <w:rFonts w:eastAsia="Times New Roman" w:cs="Times New Roman"/>
                <w:sz w:val="18"/>
                <w:szCs w:val="18"/>
                <w:lang w:eastAsia="en-AU"/>
              </w:rPr>
              <w:t>/mL)</w:t>
            </w:r>
          </w:p>
        </w:tc>
        <w:tc>
          <w:tcPr>
            <w:tcW w:w="0" w:type="auto"/>
            <w:vAlign w:val="center"/>
            <w:hideMark/>
          </w:tcPr>
          <w:p w14:paraId="1E136B17"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18</w:t>
            </w:r>
          </w:p>
        </w:tc>
        <w:tc>
          <w:tcPr>
            <w:tcW w:w="0" w:type="auto"/>
            <w:vAlign w:val="center"/>
            <w:hideMark/>
          </w:tcPr>
          <w:p w14:paraId="6A00152A"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33.021</w:t>
            </w:r>
          </w:p>
        </w:tc>
        <w:tc>
          <w:tcPr>
            <w:tcW w:w="0" w:type="auto"/>
            <w:vAlign w:val="center"/>
            <w:hideMark/>
          </w:tcPr>
          <w:p w14:paraId="2038D4DC"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18.468</w:t>
            </w:r>
          </w:p>
        </w:tc>
        <w:tc>
          <w:tcPr>
            <w:tcW w:w="0" w:type="auto"/>
            <w:vAlign w:val="center"/>
            <w:hideMark/>
          </w:tcPr>
          <w:p w14:paraId="3F4AC547"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59.040</w:t>
            </w:r>
          </w:p>
        </w:tc>
        <w:tc>
          <w:tcPr>
            <w:tcW w:w="0" w:type="auto"/>
            <w:vAlign w:val="center"/>
            <w:hideMark/>
          </w:tcPr>
          <w:p w14:paraId="327F07F7"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63.377</w:t>
            </w:r>
          </w:p>
        </w:tc>
        <w:tc>
          <w:tcPr>
            <w:tcW w:w="0" w:type="auto"/>
            <w:vAlign w:val="center"/>
            <w:hideMark/>
          </w:tcPr>
          <w:p w14:paraId="4E615A08"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37.924</w:t>
            </w:r>
          </w:p>
        </w:tc>
        <w:tc>
          <w:tcPr>
            <w:tcW w:w="0" w:type="auto"/>
            <w:vAlign w:val="center"/>
            <w:hideMark/>
          </w:tcPr>
          <w:p w14:paraId="07C7D3CE"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18.694</w:t>
            </w:r>
          </w:p>
        </w:tc>
        <w:tc>
          <w:tcPr>
            <w:tcW w:w="0" w:type="auto"/>
            <w:vAlign w:val="center"/>
            <w:hideMark/>
          </w:tcPr>
          <w:p w14:paraId="181532B9"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9.13</w:t>
            </w:r>
          </w:p>
        </w:tc>
        <w:tc>
          <w:tcPr>
            <w:tcW w:w="0" w:type="auto"/>
            <w:vAlign w:val="center"/>
            <w:hideMark/>
          </w:tcPr>
          <w:p w14:paraId="00478F1F"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32.550</w:t>
            </w:r>
          </w:p>
        </w:tc>
        <w:tc>
          <w:tcPr>
            <w:tcW w:w="0" w:type="auto"/>
            <w:vAlign w:val="center"/>
            <w:hideMark/>
          </w:tcPr>
          <w:p w14:paraId="544A364F"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73.70</w:t>
            </w:r>
          </w:p>
        </w:tc>
      </w:tr>
      <w:tr w:rsidR="00CC205B" w:rsidRPr="00CC205B" w14:paraId="2AB2F87C" w14:textId="77777777" w:rsidTr="00CC205B">
        <w:tc>
          <w:tcPr>
            <w:tcW w:w="916" w:type="dxa"/>
            <w:vMerge/>
            <w:vAlign w:val="center"/>
            <w:hideMark/>
          </w:tcPr>
          <w:p w14:paraId="5E6D4EEC" w14:textId="66381FBF" w:rsidR="00CC205B" w:rsidRPr="00CC205B" w:rsidRDefault="00CC205B" w:rsidP="00CC205B">
            <w:pPr>
              <w:spacing w:after="0" w:line="240" w:lineRule="auto"/>
              <w:rPr>
                <w:rFonts w:eastAsia="Times New Roman" w:cs="Times New Roman"/>
                <w:sz w:val="18"/>
                <w:szCs w:val="18"/>
                <w:lang w:eastAsia="en-AU"/>
              </w:rPr>
            </w:pPr>
          </w:p>
        </w:tc>
        <w:tc>
          <w:tcPr>
            <w:tcW w:w="0" w:type="auto"/>
            <w:vAlign w:val="center"/>
            <w:hideMark/>
          </w:tcPr>
          <w:p w14:paraId="2279AB79"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Cₘₐₓ (ng/mL)</w:t>
            </w:r>
          </w:p>
        </w:tc>
        <w:tc>
          <w:tcPr>
            <w:tcW w:w="0" w:type="auto"/>
            <w:vAlign w:val="center"/>
            <w:hideMark/>
          </w:tcPr>
          <w:p w14:paraId="30B3FE79"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19</w:t>
            </w:r>
          </w:p>
        </w:tc>
        <w:tc>
          <w:tcPr>
            <w:tcW w:w="0" w:type="auto"/>
            <w:vAlign w:val="center"/>
            <w:hideMark/>
          </w:tcPr>
          <w:p w14:paraId="043646AC"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4.565</w:t>
            </w:r>
          </w:p>
        </w:tc>
        <w:tc>
          <w:tcPr>
            <w:tcW w:w="0" w:type="auto"/>
            <w:vAlign w:val="center"/>
            <w:hideMark/>
          </w:tcPr>
          <w:p w14:paraId="3141D860"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1.923</w:t>
            </w:r>
          </w:p>
        </w:tc>
        <w:tc>
          <w:tcPr>
            <w:tcW w:w="0" w:type="auto"/>
            <w:vAlign w:val="center"/>
            <w:hideMark/>
          </w:tcPr>
          <w:p w14:paraId="4616B4F0"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10.840</w:t>
            </w:r>
          </w:p>
        </w:tc>
        <w:tc>
          <w:tcPr>
            <w:tcW w:w="0" w:type="auto"/>
            <w:vAlign w:val="center"/>
            <w:hideMark/>
          </w:tcPr>
          <w:p w14:paraId="702841C3"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105.454</w:t>
            </w:r>
          </w:p>
        </w:tc>
        <w:tc>
          <w:tcPr>
            <w:tcW w:w="0" w:type="auto"/>
            <w:vAlign w:val="center"/>
            <w:hideMark/>
          </w:tcPr>
          <w:p w14:paraId="536FC93B"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6.010</w:t>
            </w:r>
          </w:p>
        </w:tc>
        <w:tc>
          <w:tcPr>
            <w:tcW w:w="0" w:type="auto"/>
            <w:vAlign w:val="center"/>
            <w:hideMark/>
          </w:tcPr>
          <w:p w14:paraId="0287ABC9"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3.859</w:t>
            </w:r>
          </w:p>
        </w:tc>
        <w:tc>
          <w:tcPr>
            <w:tcW w:w="0" w:type="auto"/>
            <w:vAlign w:val="center"/>
            <w:hideMark/>
          </w:tcPr>
          <w:p w14:paraId="29D5FF35"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0.501</w:t>
            </w:r>
          </w:p>
        </w:tc>
        <w:tc>
          <w:tcPr>
            <w:tcW w:w="0" w:type="auto"/>
            <w:vAlign w:val="center"/>
            <w:hideMark/>
          </w:tcPr>
          <w:p w14:paraId="11AC6F26"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6.500</w:t>
            </w:r>
          </w:p>
        </w:tc>
        <w:tc>
          <w:tcPr>
            <w:tcW w:w="0" w:type="auto"/>
            <w:vAlign w:val="center"/>
            <w:hideMark/>
          </w:tcPr>
          <w:p w14:paraId="1F30B596"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14.000</w:t>
            </w:r>
          </w:p>
        </w:tc>
      </w:tr>
      <w:tr w:rsidR="00CC205B" w:rsidRPr="00CC205B" w14:paraId="65FAA13B" w14:textId="77777777" w:rsidTr="00CC205B">
        <w:tc>
          <w:tcPr>
            <w:tcW w:w="916" w:type="dxa"/>
            <w:vMerge/>
            <w:vAlign w:val="center"/>
            <w:hideMark/>
          </w:tcPr>
          <w:p w14:paraId="2EF38158" w14:textId="432F7EA4" w:rsidR="00CC205B" w:rsidRPr="00CC205B" w:rsidRDefault="00CC205B" w:rsidP="00CC205B">
            <w:pPr>
              <w:spacing w:after="0" w:line="240" w:lineRule="auto"/>
              <w:rPr>
                <w:rFonts w:eastAsia="Times New Roman" w:cs="Times New Roman"/>
                <w:sz w:val="18"/>
                <w:szCs w:val="18"/>
                <w:lang w:eastAsia="en-AU"/>
              </w:rPr>
            </w:pPr>
          </w:p>
        </w:tc>
        <w:tc>
          <w:tcPr>
            <w:tcW w:w="0" w:type="auto"/>
            <w:vAlign w:val="center"/>
            <w:hideMark/>
          </w:tcPr>
          <w:p w14:paraId="4EB5CDB5"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Tₘₐₓ (hours)</w:t>
            </w:r>
          </w:p>
        </w:tc>
        <w:tc>
          <w:tcPr>
            <w:tcW w:w="0" w:type="auto"/>
            <w:vAlign w:val="center"/>
            <w:hideMark/>
          </w:tcPr>
          <w:p w14:paraId="2FA17032"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19</w:t>
            </w:r>
          </w:p>
        </w:tc>
        <w:tc>
          <w:tcPr>
            <w:tcW w:w="0" w:type="auto"/>
            <w:vAlign w:val="center"/>
            <w:hideMark/>
          </w:tcPr>
          <w:p w14:paraId="5F5A0707"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1.9</w:t>
            </w:r>
          </w:p>
        </w:tc>
        <w:tc>
          <w:tcPr>
            <w:tcW w:w="0" w:type="auto"/>
            <w:vAlign w:val="center"/>
            <w:hideMark/>
          </w:tcPr>
          <w:p w14:paraId="1BCC81B8"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1.0</w:t>
            </w:r>
          </w:p>
        </w:tc>
        <w:tc>
          <w:tcPr>
            <w:tcW w:w="0" w:type="auto"/>
            <w:vAlign w:val="center"/>
            <w:hideMark/>
          </w:tcPr>
          <w:p w14:paraId="0F993215"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3.8</w:t>
            </w:r>
          </w:p>
        </w:tc>
        <w:tc>
          <w:tcPr>
            <w:tcW w:w="0" w:type="auto"/>
            <w:vAlign w:val="center"/>
            <w:hideMark/>
          </w:tcPr>
          <w:p w14:paraId="032318FD"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78.12</w:t>
            </w:r>
          </w:p>
        </w:tc>
        <w:tc>
          <w:tcPr>
            <w:tcW w:w="0" w:type="auto"/>
            <w:vAlign w:val="center"/>
            <w:hideMark/>
          </w:tcPr>
          <w:p w14:paraId="74824EB7"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2.9</w:t>
            </w:r>
          </w:p>
        </w:tc>
        <w:tc>
          <w:tcPr>
            <w:tcW w:w="0" w:type="auto"/>
            <w:vAlign w:val="center"/>
            <w:hideMark/>
          </w:tcPr>
          <w:p w14:paraId="4612B426"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5.18</w:t>
            </w:r>
          </w:p>
        </w:tc>
        <w:tc>
          <w:tcPr>
            <w:tcW w:w="0" w:type="auto"/>
            <w:vAlign w:val="center"/>
            <w:hideMark/>
          </w:tcPr>
          <w:p w14:paraId="5695F556"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1</w:t>
            </w:r>
          </w:p>
        </w:tc>
        <w:tc>
          <w:tcPr>
            <w:tcW w:w="0" w:type="auto"/>
            <w:vAlign w:val="center"/>
            <w:hideMark/>
          </w:tcPr>
          <w:p w14:paraId="51F1D4C9"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2.0</w:t>
            </w:r>
          </w:p>
        </w:tc>
        <w:tc>
          <w:tcPr>
            <w:tcW w:w="0" w:type="auto"/>
            <w:vAlign w:val="center"/>
            <w:hideMark/>
          </w:tcPr>
          <w:p w14:paraId="457CF61D" w14:textId="77777777" w:rsidR="00CC205B" w:rsidRPr="00CC205B" w:rsidRDefault="00CC205B" w:rsidP="00CC205B">
            <w:pPr>
              <w:spacing w:after="0" w:line="240" w:lineRule="auto"/>
              <w:rPr>
                <w:rFonts w:eastAsia="Times New Roman" w:cs="Times New Roman"/>
                <w:sz w:val="18"/>
                <w:szCs w:val="18"/>
                <w:lang w:eastAsia="en-AU"/>
              </w:rPr>
            </w:pPr>
            <w:r w:rsidRPr="00CC205B">
              <w:rPr>
                <w:rFonts w:eastAsia="Times New Roman" w:cs="Times New Roman"/>
                <w:sz w:val="18"/>
                <w:szCs w:val="18"/>
                <w:lang w:eastAsia="en-AU"/>
              </w:rPr>
              <w:t>24</w:t>
            </w:r>
          </w:p>
        </w:tc>
      </w:tr>
    </w:tbl>
    <w:p w14:paraId="48A4FF1C" w14:textId="19E7DEFF" w:rsidR="00CC205B" w:rsidRPr="00CC205B" w:rsidRDefault="00CC205B" w:rsidP="00CC205B">
      <w:pPr>
        <w:pStyle w:val="Heading5"/>
      </w:pPr>
      <w:bookmarkStart w:id="49" w:name="_Toc314842514"/>
      <w:r w:rsidRPr="00CC205B">
        <w:lastRenderedPageBreak/>
        <w:t xml:space="preserve">Population </w:t>
      </w:r>
      <w:r>
        <w:t>pharmacokinetic</w:t>
      </w:r>
      <w:r w:rsidRPr="00CC205B">
        <w:t xml:space="preserve"> data</w:t>
      </w:r>
    </w:p>
    <w:p w14:paraId="7CDBBC32" w14:textId="07038B46" w:rsidR="00CC205B" w:rsidRPr="00CC205B" w:rsidRDefault="00CC205B" w:rsidP="00CC205B">
      <w:r w:rsidRPr="00CC205B">
        <w:t xml:space="preserve">One </w:t>
      </w:r>
      <w:r>
        <w:t>p</w:t>
      </w:r>
      <w:r w:rsidRPr="00CC205B">
        <w:t xml:space="preserve">opulation </w:t>
      </w:r>
      <w:r>
        <w:t>PK (</w:t>
      </w:r>
      <w:proofErr w:type="spellStart"/>
      <w:r>
        <w:t>pop</w:t>
      </w:r>
      <w:r w:rsidRPr="00CC205B">
        <w:t>PK</w:t>
      </w:r>
      <w:proofErr w:type="spellEnd"/>
      <w:r>
        <w:t>)</w:t>
      </w:r>
      <w:r w:rsidRPr="00CC205B">
        <w:t xml:space="preserve"> study was submitted, titled </w:t>
      </w:r>
      <w:r w:rsidRPr="00CC205B">
        <w:rPr>
          <w:i/>
          <w:iCs/>
        </w:rPr>
        <w:t xml:space="preserve">Population Pharmacokinetics Report for </w:t>
      </w:r>
      <w:proofErr w:type="spellStart"/>
      <w:r w:rsidRPr="00CC205B">
        <w:rPr>
          <w:i/>
          <w:iCs/>
        </w:rPr>
        <w:t>Zoladex</w:t>
      </w:r>
      <w:proofErr w:type="spellEnd"/>
      <w:r w:rsidRPr="00CC205B">
        <w:rPr>
          <w:i/>
          <w:iCs/>
        </w:rPr>
        <w:t xml:space="preserve"> (goserelin) 10.8 mg in Pre-menopausal Women with Estrogen Receptor Positive Breast Cancer</w:t>
      </w:r>
      <w:r w:rsidRPr="00CC205B">
        <w:t xml:space="preserve"> (report date 21 Dec 2018). </w:t>
      </w:r>
    </w:p>
    <w:p w14:paraId="14CFC101" w14:textId="77777777" w:rsidR="00CC205B" w:rsidRPr="00CC205B" w:rsidRDefault="00CC205B" w:rsidP="00CC205B">
      <w:r w:rsidRPr="00CC205B">
        <w:t xml:space="preserve">The analysis used PK data from studies </w:t>
      </w:r>
      <w:proofErr w:type="spellStart"/>
      <w:r w:rsidRPr="00CC205B">
        <w:t>D8666C00001</w:t>
      </w:r>
      <w:proofErr w:type="spellEnd"/>
      <w:r w:rsidRPr="00CC205B">
        <w:t xml:space="preserve">, </w:t>
      </w:r>
      <w:proofErr w:type="spellStart"/>
      <w:r w:rsidRPr="00CC205B">
        <w:t>D8664C00004</w:t>
      </w:r>
      <w:proofErr w:type="spellEnd"/>
      <w:r w:rsidRPr="00CC205B">
        <w:t xml:space="preserve">, </w:t>
      </w:r>
      <w:proofErr w:type="spellStart"/>
      <w:r w:rsidRPr="00CC205B">
        <w:t>D8664C00008</w:t>
      </w:r>
      <w:proofErr w:type="spellEnd"/>
      <w:r w:rsidRPr="00CC205B">
        <w:t xml:space="preserve">. The primary interest of the modelling was to investigate the difference, if any, in plasma exposure among the three clinical studies. A nonlinear mixed effect modelling approach was used to estimate the PK parameters of goserelin, their variability among patients, and variability in PK parameters between the 3 studies. This analysis focused on </w:t>
      </w:r>
      <w:proofErr w:type="spellStart"/>
      <w:r w:rsidRPr="00CC205B">
        <w:t>Zoladex</w:t>
      </w:r>
      <w:proofErr w:type="spellEnd"/>
      <w:r w:rsidRPr="00CC205B">
        <w:t xml:space="preserve"> 10.8 mg. No PK analysis was performed for patients receiving </w:t>
      </w:r>
      <w:proofErr w:type="spellStart"/>
      <w:r w:rsidRPr="00CC205B">
        <w:t>Zoladex</w:t>
      </w:r>
      <w:proofErr w:type="spellEnd"/>
      <w:r w:rsidRPr="00CC205B">
        <w:t xml:space="preserve"> 3.6 mg.</w:t>
      </w:r>
    </w:p>
    <w:p w14:paraId="012BFA24" w14:textId="77777777" w:rsidR="00CC205B" w:rsidRPr="00CC205B" w:rsidRDefault="00CC205B" w:rsidP="00CC205B">
      <w:r w:rsidRPr="00CC205B">
        <w:t xml:space="preserve">The total number of patients in the three clinical studies was 489 patients. Of these, 242 patients were randomised to the 10.8 mg dose, and not </w:t>
      </w:r>
      <w:proofErr w:type="gramStart"/>
      <w:r w:rsidRPr="00CC205B">
        <w:t>all of</w:t>
      </w:r>
      <w:proofErr w:type="gramEnd"/>
      <w:r w:rsidRPr="00CC205B">
        <w:t xml:space="preserve"> those patients had PK measurements. The final population model was developed including 147 subjects with 1330 PK samples.</w:t>
      </w:r>
    </w:p>
    <w:p w14:paraId="0F27E217" w14:textId="77777777" w:rsidR="00CC205B" w:rsidRPr="00CC205B" w:rsidRDefault="00CC205B" w:rsidP="00CC205B">
      <w:r w:rsidRPr="00CC205B">
        <w:t>Few PK samples were collected for each patient, and only at around Weeks 4, 12 and 24. Additionally, many of the measurements were below the limit of quantification. This precluded the researchers’ ability to model in detail the kinetics of release of goserelin from the depot, its absorption, distribution and clearance. They used a standard likelihood method for modelling observations below the limit of quantification. Given a short half-life of goserelin in plasma, the two-compartment model with bolus administration described the empirical kinetics of goserelin in plasma that is driven by a combination of slow-release kinetics, and disposition of goserelin. Due to this, the correlations of individual model parameters and covariates were very weak.</w:t>
      </w:r>
    </w:p>
    <w:p w14:paraId="081949E0" w14:textId="01F042C5" w:rsidR="00CC205B" w:rsidRPr="00CC205B" w:rsidRDefault="00CC205B" w:rsidP="00CC205B">
      <w:r w:rsidRPr="00CC205B">
        <w:t xml:space="preserve">The parameter estimates of the final goserelin 10.8 mg population PK model are presented in </w:t>
      </w:r>
      <w:r w:rsidR="00CF5243">
        <w:t>Table 6</w:t>
      </w:r>
      <w:r w:rsidRPr="00CC205B">
        <w:t>.</w:t>
      </w:r>
    </w:p>
    <w:p w14:paraId="5C158D8C" w14:textId="071A486D" w:rsidR="00CC205B" w:rsidRPr="00CC205B" w:rsidRDefault="00CF5243" w:rsidP="00CF5243">
      <w:pPr>
        <w:pStyle w:val="TableTitle"/>
        <w:rPr>
          <w:lang w:eastAsia="en-AU"/>
        </w:rPr>
      </w:pPr>
      <w:r w:rsidRPr="00CF5243">
        <w:rPr>
          <w:lang w:eastAsia="en-AU"/>
        </w:rPr>
        <w:t xml:space="preserve">Table </w:t>
      </w:r>
      <w:r>
        <w:rPr>
          <w:lang w:eastAsia="en-AU"/>
        </w:rPr>
        <w:t>6.</w:t>
      </w:r>
      <w:r w:rsidRPr="00CF5243">
        <w:rPr>
          <w:lang w:eastAsia="en-AU"/>
        </w:rPr>
        <w:t xml:space="preserve"> Parameter estimates of the final </w:t>
      </w:r>
      <w:proofErr w:type="spellStart"/>
      <w:r w:rsidRPr="00CF5243">
        <w:rPr>
          <w:lang w:eastAsia="en-AU"/>
        </w:rPr>
        <w:t>Zoladex</w:t>
      </w:r>
      <w:proofErr w:type="spellEnd"/>
      <w:r w:rsidRPr="00CF5243">
        <w:rPr>
          <w:lang w:eastAsia="en-AU"/>
        </w:rPr>
        <w:t xml:space="preserve"> 10.8 mg population PK model 100080</w:t>
      </w:r>
    </w:p>
    <w:tbl>
      <w:tblPr>
        <w:tblStyle w:val="TableTGAblue2023"/>
        <w:tblW w:w="0" w:type="auto"/>
        <w:tblLook w:val="04A0" w:firstRow="1" w:lastRow="0" w:firstColumn="1" w:lastColumn="0" w:noHBand="0" w:noVBand="1"/>
        <w:tblCaption w:val="Table 6. Parameter estimates of the final Zoladex 10.8 mg population PK model 100080"/>
      </w:tblPr>
      <w:tblGrid>
        <w:gridCol w:w="1756"/>
        <w:gridCol w:w="912"/>
        <w:gridCol w:w="4108"/>
        <w:gridCol w:w="1447"/>
        <w:gridCol w:w="837"/>
      </w:tblGrid>
      <w:tr w:rsidR="00CC205B" w:rsidRPr="00CF5243" w14:paraId="3942BFB6" w14:textId="77777777" w:rsidTr="005501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E42287" w14:textId="77777777" w:rsidR="00CC205B" w:rsidRPr="00CF5243" w:rsidRDefault="00CC205B" w:rsidP="00550154">
            <w:pPr>
              <w:rPr>
                <w:b w:val="0"/>
              </w:rPr>
            </w:pPr>
            <w:r w:rsidRPr="00CF5243">
              <w:t>Parameter</w:t>
            </w:r>
          </w:p>
        </w:tc>
        <w:tc>
          <w:tcPr>
            <w:tcW w:w="0" w:type="auto"/>
            <w:hideMark/>
          </w:tcPr>
          <w:p w14:paraId="680D79BF" w14:textId="77777777" w:rsidR="00CC205B" w:rsidRPr="00CF5243" w:rsidRDefault="00CC205B" w:rsidP="00550154">
            <w:pPr>
              <w:cnfStyle w:val="100000000000" w:firstRow="1" w:lastRow="0" w:firstColumn="0" w:lastColumn="0" w:oddVBand="0" w:evenVBand="0" w:oddHBand="0" w:evenHBand="0" w:firstRowFirstColumn="0" w:firstRowLastColumn="0" w:lastRowFirstColumn="0" w:lastRowLastColumn="0"/>
              <w:rPr>
                <w:b w:val="0"/>
              </w:rPr>
            </w:pPr>
            <w:r w:rsidRPr="00CF5243">
              <w:t>Unit</w:t>
            </w:r>
          </w:p>
        </w:tc>
        <w:tc>
          <w:tcPr>
            <w:tcW w:w="0" w:type="auto"/>
            <w:hideMark/>
          </w:tcPr>
          <w:p w14:paraId="68047305" w14:textId="77777777" w:rsidR="00CC205B" w:rsidRPr="00CF5243" w:rsidRDefault="00CC205B" w:rsidP="00550154">
            <w:pPr>
              <w:cnfStyle w:val="100000000000" w:firstRow="1" w:lastRow="0" w:firstColumn="0" w:lastColumn="0" w:oddVBand="0" w:evenVBand="0" w:oddHBand="0" w:evenHBand="0" w:firstRowFirstColumn="0" w:firstRowLastColumn="0" w:lastRowFirstColumn="0" w:lastRowLastColumn="0"/>
              <w:rPr>
                <w:b w:val="0"/>
              </w:rPr>
            </w:pPr>
            <w:r w:rsidRPr="00CF5243">
              <w:t>Description</w:t>
            </w:r>
          </w:p>
        </w:tc>
        <w:tc>
          <w:tcPr>
            <w:tcW w:w="0" w:type="auto"/>
            <w:hideMark/>
          </w:tcPr>
          <w:p w14:paraId="0DBD7078" w14:textId="77777777" w:rsidR="00CC205B" w:rsidRPr="00CF5243" w:rsidRDefault="00CC205B" w:rsidP="00550154">
            <w:pPr>
              <w:cnfStyle w:val="100000000000" w:firstRow="1" w:lastRow="0" w:firstColumn="0" w:lastColumn="0" w:oddVBand="0" w:evenVBand="0" w:oddHBand="0" w:evenHBand="0" w:firstRowFirstColumn="0" w:firstRowLastColumn="0" w:lastRowFirstColumn="0" w:lastRowLastColumn="0"/>
              <w:rPr>
                <w:b w:val="0"/>
              </w:rPr>
            </w:pPr>
            <w:r w:rsidRPr="00CF5243">
              <w:t>Point estimate</w:t>
            </w:r>
          </w:p>
        </w:tc>
        <w:tc>
          <w:tcPr>
            <w:tcW w:w="0" w:type="auto"/>
            <w:hideMark/>
          </w:tcPr>
          <w:p w14:paraId="3790636B" w14:textId="77777777" w:rsidR="00CC205B" w:rsidRPr="00CF5243" w:rsidRDefault="00CC205B" w:rsidP="00550154">
            <w:pPr>
              <w:cnfStyle w:val="100000000000" w:firstRow="1" w:lastRow="0" w:firstColumn="0" w:lastColumn="0" w:oddVBand="0" w:evenVBand="0" w:oddHBand="0" w:evenHBand="0" w:firstRowFirstColumn="0" w:firstRowLastColumn="0" w:lastRowFirstColumn="0" w:lastRowLastColumn="0"/>
              <w:rPr>
                <w:b w:val="0"/>
              </w:rPr>
            </w:pPr>
            <w:r w:rsidRPr="00CF5243">
              <w:t xml:space="preserve">% </w:t>
            </w:r>
            <w:proofErr w:type="spellStart"/>
            <w:r w:rsidRPr="00CF5243">
              <w:t>RSE</w:t>
            </w:r>
            <w:proofErr w:type="spellEnd"/>
          </w:p>
        </w:tc>
      </w:tr>
      <w:tr w:rsidR="00CC205B" w:rsidRPr="00CF5243" w14:paraId="62ABB57F" w14:textId="77777777" w:rsidTr="00550154">
        <w:tc>
          <w:tcPr>
            <w:cnfStyle w:val="001000000000" w:firstRow="0" w:lastRow="0" w:firstColumn="1" w:lastColumn="0" w:oddVBand="0" w:evenVBand="0" w:oddHBand="0" w:evenHBand="0" w:firstRowFirstColumn="0" w:firstRowLastColumn="0" w:lastRowFirstColumn="0" w:lastRowLastColumn="0"/>
            <w:tcW w:w="0" w:type="auto"/>
            <w:hideMark/>
          </w:tcPr>
          <w:p w14:paraId="50C179AA" w14:textId="77777777" w:rsidR="00CC205B" w:rsidRPr="00CF5243" w:rsidRDefault="00CC205B" w:rsidP="00550154">
            <w:r w:rsidRPr="00CF5243">
              <w:t>CL</w:t>
            </w:r>
          </w:p>
        </w:tc>
        <w:tc>
          <w:tcPr>
            <w:tcW w:w="0" w:type="auto"/>
            <w:hideMark/>
          </w:tcPr>
          <w:p w14:paraId="296552B7"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L/h</w:t>
            </w:r>
          </w:p>
        </w:tc>
        <w:tc>
          <w:tcPr>
            <w:tcW w:w="0" w:type="auto"/>
            <w:hideMark/>
          </w:tcPr>
          <w:p w14:paraId="2F22F5CC"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Goserelin clearance</w:t>
            </w:r>
          </w:p>
        </w:tc>
        <w:tc>
          <w:tcPr>
            <w:tcW w:w="0" w:type="auto"/>
            <w:hideMark/>
          </w:tcPr>
          <w:p w14:paraId="6B3C593D"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12.7</w:t>
            </w:r>
          </w:p>
        </w:tc>
        <w:tc>
          <w:tcPr>
            <w:tcW w:w="0" w:type="auto"/>
            <w:hideMark/>
          </w:tcPr>
          <w:p w14:paraId="053879F7"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6.46</w:t>
            </w:r>
          </w:p>
        </w:tc>
      </w:tr>
      <w:tr w:rsidR="00CC205B" w:rsidRPr="00CF5243" w14:paraId="0DAAB6AC" w14:textId="77777777" w:rsidTr="00550154">
        <w:tc>
          <w:tcPr>
            <w:cnfStyle w:val="001000000000" w:firstRow="0" w:lastRow="0" w:firstColumn="1" w:lastColumn="0" w:oddVBand="0" w:evenVBand="0" w:oddHBand="0" w:evenHBand="0" w:firstRowFirstColumn="0" w:firstRowLastColumn="0" w:lastRowFirstColumn="0" w:lastRowLastColumn="0"/>
            <w:tcW w:w="0" w:type="auto"/>
            <w:hideMark/>
          </w:tcPr>
          <w:p w14:paraId="705EAEE3" w14:textId="77777777" w:rsidR="00CC205B" w:rsidRPr="00CF5243" w:rsidRDefault="00CC205B" w:rsidP="00550154">
            <w:proofErr w:type="spellStart"/>
            <w:r w:rsidRPr="00CF5243">
              <w:t>V1</w:t>
            </w:r>
            <w:proofErr w:type="spellEnd"/>
          </w:p>
        </w:tc>
        <w:tc>
          <w:tcPr>
            <w:tcW w:w="0" w:type="auto"/>
            <w:hideMark/>
          </w:tcPr>
          <w:p w14:paraId="7B682DED"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L</w:t>
            </w:r>
          </w:p>
        </w:tc>
        <w:tc>
          <w:tcPr>
            <w:tcW w:w="0" w:type="auto"/>
            <w:hideMark/>
          </w:tcPr>
          <w:p w14:paraId="66B6D9DA"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Volume of central compartment</w:t>
            </w:r>
          </w:p>
        </w:tc>
        <w:tc>
          <w:tcPr>
            <w:tcW w:w="0" w:type="auto"/>
            <w:hideMark/>
          </w:tcPr>
          <w:p w14:paraId="0FD06AAC"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2690</w:t>
            </w:r>
          </w:p>
        </w:tc>
        <w:tc>
          <w:tcPr>
            <w:tcW w:w="0" w:type="auto"/>
            <w:hideMark/>
          </w:tcPr>
          <w:p w14:paraId="4999003B"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11.4</w:t>
            </w:r>
          </w:p>
        </w:tc>
      </w:tr>
      <w:tr w:rsidR="00CC205B" w:rsidRPr="00CF5243" w14:paraId="30BB4334" w14:textId="77777777" w:rsidTr="00550154">
        <w:tc>
          <w:tcPr>
            <w:cnfStyle w:val="001000000000" w:firstRow="0" w:lastRow="0" w:firstColumn="1" w:lastColumn="0" w:oddVBand="0" w:evenVBand="0" w:oddHBand="0" w:evenHBand="0" w:firstRowFirstColumn="0" w:firstRowLastColumn="0" w:lastRowFirstColumn="0" w:lastRowLastColumn="0"/>
            <w:tcW w:w="0" w:type="auto"/>
            <w:hideMark/>
          </w:tcPr>
          <w:p w14:paraId="692E92CA" w14:textId="77777777" w:rsidR="00CC205B" w:rsidRPr="00CF5243" w:rsidRDefault="00CC205B" w:rsidP="00550154">
            <w:r w:rsidRPr="00CF5243">
              <w:t>Q</w:t>
            </w:r>
          </w:p>
        </w:tc>
        <w:tc>
          <w:tcPr>
            <w:tcW w:w="0" w:type="auto"/>
            <w:hideMark/>
          </w:tcPr>
          <w:p w14:paraId="3AC232F7"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L/h</w:t>
            </w:r>
          </w:p>
        </w:tc>
        <w:tc>
          <w:tcPr>
            <w:tcW w:w="0" w:type="auto"/>
            <w:hideMark/>
          </w:tcPr>
          <w:p w14:paraId="4729F091"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Intercompartmental clearance</w:t>
            </w:r>
          </w:p>
        </w:tc>
        <w:tc>
          <w:tcPr>
            <w:tcW w:w="0" w:type="auto"/>
            <w:hideMark/>
          </w:tcPr>
          <w:p w14:paraId="2EFEC56A"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110</w:t>
            </w:r>
          </w:p>
        </w:tc>
        <w:tc>
          <w:tcPr>
            <w:tcW w:w="0" w:type="auto"/>
            <w:hideMark/>
          </w:tcPr>
          <w:p w14:paraId="7EE84C12"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8.3</w:t>
            </w:r>
          </w:p>
        </w:tc>
      </w:tr>
      <w:tr w:rsidR="00CC205B" w:rsidRPr="00CF5243" w14:paraId="2E709023" w14:textId="77777777" w:rsidTr="00550154">
        <w:tc>
          <w:tcPr>
            <w:cnfStyle w:val="001000000000" w:firstRow="0" w:lastRow="0" w:firstColumn="1" w:lastColumn="0" w:oddVBand="0" w:evenVBand="0" w:oddHBand="0" w:evenHBand="0" w:firstRowFirstColumn="0" w:firstRowLastColumn="0" w:lastRowFirstColumn="0" w:lastRowLastColumn="0"/>
            <w:tcW w:w="0" w:type="auto"/>
            <w:hideMark/>
          </w:tcPr>
          <w:p w14:paraId="1B0DF4B0" w14:textId="77777777" w:rsidR="00CC205B" w:rsidRPr="00CF5243" w:rsidRDefault="00CC205B" w:rsidP="00550154">
            <w:proofErr w:type="spellStart"/>
            <w:r w:rsidRPr="00CF5243">
              <w:t>V2</w:t>
            </w:r>
            <w:proofErr w:type="spellEnd"/>
          </w:p>
        </w:tc>
        <w:tc>
          <w:tcPr>
            <w:tcW w:w="0" w:type="auto"/>
            <w:hideMark/>
          </w:tcPr>
          <w:p w14:paraId="0170D2C4"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L</w:t>
            </w:r>
          </w:p>
        </w:tc>
        <w:tc>
          <w:tcPr>
            <w:tcW w:w="0" w:type="auto"/>
            <w:hideMark/>
          </w:tcPr>
          <w:p w14:paraId="60525FF9"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Volume of peripheral compartment</w:t>
            </w:r>
          </w:p>
        </w:tc>
        <w:tc>
          <w:tcPr>
            <w:tcW w:w="0" w:type="auto"/>
            <w:hideMark/>
          </w:tcPr>
          <w:p w14:paraId="5338CB31"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4870</w:t>
            </w:r>
          </w:p>
        </w:tc>
        <w:tc>
          <w:tcPr>
            <w:tcW w:w="0" w:type="auto"/>
            <w:hideMark/>
          </w:tcPr>
          <w:p w14:paraId="44D80625"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13.5</w:t>
            </w:r>
          </w:p>
        </w:tc>
      </w:tr>
      <w:tr w:rsidR="00CC205B" w:rsidRPr="00CF5243" w14:paraId="5F7F43A9" w14:textId="77777777" w:rsidTr="00550154">
        <w:tc>
          <w:tcPr>
            <w:cnfStyle w:val="001000000000" w:firstRow="0" w:lastRow="0" w:firstColumn="1" w:lastColumn="0" w:oddVBand="0" w:evenVBand="0" w:oddHBand="0" w:evenHBand="0" w:firstRowFirstColumn="0" w:firstRowLastColumn="0" w:lastRowFirstColumn="0" w:lastRowLastColumn="0"/>
            <w:tcW w:w="0" w:type="auto"/>
            <w:hideMark/>
          </w:tcPr>
          <w:p w14:paraId="2F564843" w14:textId="77777777" w:rsidR="00CC205B" w:rsidRPr="00CF5243" w:rsidRDefault="00CC205B" w:rsidP="00550154">
            <w:proofErr w:type="spellStart"/>
            <w:r w:rsidRPr="00CF5243">
              <w:t>STUDY1-V2</w:t>
            </w:r>
            <w:proofErr w:type="spellEnd"/>
          </w:p>
        </w:tc>
        <w:tc>
          <w:tcPr>
            <w:tcW w:w="0" w:type="auto"/>
            <w:hideMark/>
          </w:tcPr>
          <w:p w14:paraId="1C1EF900"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6B43337D"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 xml:space="preserve">Impact of </w:t>
            </w:r>
            <w:proofErr w:type="spellStart"/>
            <w:r w:rsidRPr="00CF5243">
              <w:t>D8666C00001</w:t>
            </w:r>
            <w:proofErr w:type="spellEnd"/>
            <w:r w:rsidRPr="00CF5243">
              <w:t xml:space="preserve"> study on volume of peripheral compartment</w:t>
            </w:r>
          </w:p>
        </w:tc>
        <w:tc>
          <w:tcPr>
            <w:tcW w:w="0" w:type="auto"/>
            <w:hideMark/>
          </w:tcPr>
          <w:p w14:paraId="0C1B2EFC"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3.62</w:t>
            </w:r>
          </w:p>
        </w:tc>
        <w:tc>
          <w:tcPr>
            <w:tcW w:w="0" w:type="auto"/>
            <w:hideMark/>
          </w:tcPr>
          <w:p w14:paraId="09E634AB"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31.2</w:t>
            </w:r>
          </w:p>
        </w:tc>
      </w:tr>
      <w:tr w:rsidR="00CC205B" w:rsidRPr="00CF5243" w14:paraId="12F59F0F" w14:textId="77777777" w:rsidTr="00550154">
        <w:tc>
          <w:tcPr>
            <w:cnfStyle w:val="001000000000" w:firstRow="0" w:lastRow="0" w:firstColumn="1" w:lastColumn="0" w:oddVBand="0" w:evenVBand="0" w:oddHBand="0" w:evenHBand="0" w:firstRowFirstColumn="0" w:firstRowLastColumn="0" w:lastRowFirstColumn="0" w:lastRowLastColumn="0"/>
            <w:tcW w:w="0" w:type="auto"/>
            <w:hideMark/>
          </w:tcPr>
          <w:p w14:paraId="3053856F" w14:textId="77777777" w:rsidR="00CC205B" w:rsidRPr="00CF5243" w:rsidRDefault="00CC205B" w:rsidP="00550154">
            <w:proofErr w:type="spellStart"/>
            <w:r w:rsidRPr="00CF5243">
              <w:t>STUDY8-V2</w:t>
            </w:r>
            <w:proofErr w:type="spellEnd"/>
          </w:p>
        </w:tc>
        <w:tc>
          <w:tcPr>
            <w:tcW w:w="0" w:type="auto"/>
            <w:hideMark/>
          </w:tcPr>
          <w:p w14:paraId="0F32C167"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29324A3C"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 xml:space="preserve">Impact of </w:t>
            </w:r>
            <w:proofErr w:type="spellStart"/>
            <w:r w:rsidRPr="00CF5243">
              <w:t>D8664C00008</w:t>
            </w:r>
            <w:proofErr w:type="spellEnd"/>
            <w:r w:rsidRPr="00CF5243">
              <w:t xml:space="preserve"> study on volume of peripheral compartment</w:t>
            </w:r>
          </w:p>
        </w:tc>
        <w:tc>
          <w:tcPr>
            <w:tcW w:w="0" w:type="auto"/>
            <w:hideMark/>
          </w:tcPr>
          <w:p w14:paraId="0956B405"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2.04</w:t>
            </w:r>
          </w:p>
        </w:tc>
        <w:tc>
          <w:tcPr>
            <w:tcW w:w="0" w:type="auto"/>
            <w:hideMark/>
          </w:tcPr>
          <w:p w14:paraId="5E44DD96"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45.6</w:t>
            </w:r>
          </w:p>
        </w:tc>
      </w:tr>
      <w:tr w:rsidR="00CC205B" w:rsidRPr="00CF5243" w14:paraId="1F63F54A" w14:textId="77777777" w:rsidTr="00550154">
        <w:tc>
          <w:tcPr>
            <w:cnfStyle w:val="001000000000" w:firstRow="0" w:lastRow="0" w:firstColumn="1" w:lastColumn="0" w:oddVBand="0" w:evenVBand="0" w:oddHBand="0" w:evenHBand="0" w:firstRowFirstColumn="0" w:firstRowLastColumn="0" w:lastRowFirstColumn="0" w:lastRowLastColumn="0"/>
            <w:tcW w:w="0" w:type="auto"/>
            <w:hideMark/>
          </w:tcPr>
          <w:p w14:paraId="73E3B493" w14:textId="77777777" w:rsidR="00CC205B" w:rsidRPr="00CF5243" w:rsidRDefault="00CC205B" w:rsidP="00550154">
            <w:r w:rsidRPr="00CF5243">
              <w:t>Additive error</w:t>
            </w:r>
          </w:p>
        </w:tc>
        <w:tc>
          <w:tcPr>
            <w:tcW w:w="0" w:type="auto"/>
            <w:hideMark/>
          </w:tcPr>
          <w:p w14:paraId="0193591A"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ng/ml</w:t>
            </w:r>
          </w:p>
        </w:tc>
        <w:tc>
          <w:tcPr>
            <w:tcW w:w="0" w:type="auto"/>
            <w:hideMark/>
          </w:tcPr>
          <w:p w14:paraId="0CCDEAED"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52BA4D94"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0.0838</w:t>
            </w:r>
          </w:p>
        </w:tc>
        <w:tc>
          <w:tcPr>
            <w:tcW w:w="0" w:type="auto"/>
            <w:hideMark/>
          </w:tcPr>
          <w:p w14:paraId="503F170C"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7.46</w:t>
            </w:r>
          </w:p>
        </w:tc>
      </w:tr>
      <w:tr w:rsidR="00CC205B" w:rsidRPr="00CF5243" w14:paraId="4F2C3DAB" w14:textId="77777777" w:rsidTr="00550154">
        <w:tc>
          <w:tcPr>
            <w:cnfStyle w:val="001000000000" w:firstRow="0" w:lastRow="0" w:firstColumn="1" w:lastColumn="0" w:oddVBand="0" w:evenVBand="0" w:oddHBand="0" w:evenHBand="0" w:firstRowFirstColumn="0" w:firstRowLastColumn="0" w:lastRowFirstColumn="0" w:lastRowLastColumn="0"/>
            <w:tcW w:w="0" w:type="auto"/>
            <w:hideMark/>
          </w:tcPr>
          <w:p w14:paraId="58C5C7C3" w14:textId="77777777" w:rsidR="00CC205B" w:rsidRPr="00CF5243" w:rsidRDefault="00CC205B" w:rsidP="00550154">
            <w:r w:rsidRPr="00CF5243">
              <w:t>Proportional error</w:t>
            </w:r>
          </w:p>
        </w:tc>
        <w:tc>
          <w:tcPr>
            <w:tcW w:w="0" w:type="auto"/>
            <w:hideMark/>
          </w:tcPr>
          <w:p w14:paraId="368D604D"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68B4495B"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676F0AAA"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0.497</w:t>
            </w:r>
          </w:p>
        </w:tc>
        <w:tc>
          <w:tcPr>
            <w:tcW w:w="0" w:type="auto"/>
            <w:hideMark/>
          </w:tcPr>
          <w:p w14:paraId="29F8F719"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5.26</w:t>
            </w:r>
          </w:p>
        </w:tc>
      </w:tr>
      <w:tr w:rsidR="00CC205B" w:rsidRPr="00CF5243" w14:paraId="4D5564A9" w14:textId="77777777" w:rsidTr="00550154">
        <w:tc>
          <w:tcPr>
            <w:cnfStyle w:val="001000000000" w:firstRow="0" w:lastRow="0" w:firstColumn="1" w:lastColumn="0" w:oddVBand="0" w:evenVBand="0" w:oddHBand="0" w:evenHBand="0" w:firstRowFirstColumn="0" w:firstRowLastColumn="0" w:lastRowFirstColumn="0" w:lastRowLastColumn="0"/>
            <w:tcW w:w="0" w:type="auto"/>
            <w:hideMark/>
          </w:tcPr>
          <w:p w14:paraId="6F469CD0" w14:textId="77777777" w:rsidR="00CC205B" w:rsidRPr="00CF5243" w:rsidRDefault="00CC205B" w:rsidP="00550154">
            <w:proofErr w:type="spellStart"/>
            <w:r w:rsidRPr="00CF5243">
              <w:t>IIV_CL</w:t>
            </w:r>
            <w:proofErr w:type="spellEnd"/>
          </w:p>
        </w:tc>
        <w:tc>
          <w:tcPr>
            <w:tcW w:w="0" w:type="auto"/>
            <w:hideMark/>
          </w:tcPr>
          <w:p w14:paraId="02FAD3A6"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CV%</w:t>
            </w:r>
          </w:p>
        </w:tc>
        <w:tc>
          <w:tcPr>
            <w:tcW w:w="0" w:type="auto"/>
            <w:hideMark/>
          </w:tcPr>
          <w:p w14:paraId="6B9632FC"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Interindividual variability</w:t>
            </w:r>
          </w:p>
        </w:tc>
        <w:tc>
          <w:tcPr>
            <w:tcW w:w="0" w:type="auto"/>
            <w:hideMark/>
          </w:tcPr>
          <w:p w14:paraId="7C2EE9C7"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0.23</w:t>
            </w:r>
          </w:p>
        </w:tc>
        <w:tc>
          <w:tcPr>
            <w:tcW w:w="0" w:type="auto"/>
            <w:hideMark/>
          </w:tcPr>
          <w:p w14:paraId="2ECB6E5B"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17.3</w:t>
            </w:r>
          </w:p>
        </w:tc>
      </w:tr>
      <w:tr w:rsidR="00CC205B" w:rsidRPr="00CF5243" w14:paraId="4A0FFBA8" w14:textId="77777777" w:rsidTr="00550154">
        <w:tc>
          <w:tcPr>
            <w:cnfStyle w:val="001000000000" w:firstRow="0" w:lastRow="0" w:firstColumn="1" w:lastColumn="0" w:oddVBand="0" w:evenVBand="0" w:oddHBand="0" w:evenHBand="0" w:firstRowFirstColumn="0" w:firstRowLastColumn="0" w:lastRowFirstColumn="0" w:lastRowLastColumn="0"/>
            <w:tcW w:w="0" w:type="auto"/>
            <w:hideMark/>
          </w:tcPr>
          <w:p w14:paraId="60038BCC" w14:textId="77777777" w:rsidR="00CC205B" w:rsidRPr="00CF5243" w:rsidRDefault="00CC205B" w:rsidP="00550154">
            <w:proofErr w:type="spellStart"/>
            <w:r w:rsidRPr="00CF5243">
              <w:t>IIV_V1</w:t>
            </w:r>
            <w:proofErr w:type="spellEnd"/>
          </w:p>
        </w:tc>
        <w:tc>
          <w:tcPr>
            <w:tcW w:w="0" w:type="auto"/>
            <w:hideMark/>
          </w:tcPr>
          <w:p w14:paraId="0316FA3D"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CV%</w:t>
            </w:r>
          </w:p>
        </w:tc>
        <w:tc>
          <w:tcPr>
            <w:tcW w:w="0" w:type="auto"/>
            <w:hideMark/>
          </w:tcPr>
          <w:p w14:paraId="238AA392"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Interindividual variability</w:t>
            </w:r>
          </w:p>
        </w:tc>
        <w:tc>
          <w:tcPr>
            <w:tcW w:w="0" w:type="auto"/>
            <w:hideMark/>
          </w:tcPr>
          <w:p w14:paraId="18B1CE5E"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0.66</w:t>
            </w:r>
          </w:p>
        </w:tc>
        <w:tc>
          <w:tcPr>
            <w:tcW w:w="0" w:type="auto"/>
            <w:hideMark/>
          </w:tcPr>
          <w:p w14:paraId="7846AAB6"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11.3</w:t>
            </w:r>
          </w:p>
        </w:tc>
      </w:tr>
      <w:tr w:rsidR="00CC205B" w:rsidRPr="00CF5243" w14:paraId="68DA23F6" w14:textId="77777777" w:rsidTr="00550154">
        <w:tc>
          <w:tcPr>
            <w:cnfStyle w:val="001000000000" w:firstRow="0" w:lastRow="0" w:firstColumn="1" w:lastColumn="0" w:oddVBand="0" w:evenVBand="0" w:oddHBand="0" w:evenHBand="0" w:firstRowFirstColumn="0" w:firstRowLastColumn="0" w:lastRowFirstColumn="0" w:lastRowLastColumn="0"/>
            <w:tcW w:w="0" w:type="auto"/>
            <w:hideMark/>
          </w:tcPr>
          <w:p w14:paraId="62363977" w14:textId="77777777" w:rsidR="00CC205B" w:rsidRPr="00CF5243" w:rsidRDefault="00CC205B" w:rsidP="00550154">
            <w:proofErr w:type="spellStart"/>
            <w:r w:rsidRPr="00CF5243">
              <w:t>IIV_V2</w:t>
            </w:r>
            <w:proofErr w:type="spellEnd"/>
          </w:p>
        </w:tc>
        <w:tc>
          <w:tcPr>
            <w:tcW w:w="0" w:type="auto"/>
            <w:hideMark/>
          </w:tcPr>
          <w:p w14:paraId="5547777A"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CV%</w:t>
            </w:r>
          </w:p>
        </w:tc>
        <w:tc>
          <w:tcPr>
            <w:tcW w:w="0" w:type="auto"/>
            <w:hideMark/>
          </w:tcPr>
          <w:p w14:paraId="31BF56B7"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Interindividual variability</w:t>
            </w:r>
          </w:p>
        </w:tc>
        <w:tc>
          <w:tcPr>
            <w:tcW w:w="0" w:type="auto"/>
            <w:hideMark/>
          </w:tcPr>
          <w:p w14:paraId="146E8AB1"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0.254</w:t>
            </w:r>
          </w:p>
        </w:tc>
        <w:tc>
          <w:tcPr>
            <w:tcW w:w="0" w:type="auto"/>
            <w:hideMark/>
          </w:tcPr>
          <w:p w14:paraId="6FCB6477" w14:textId="77777777" w:rsidR="00CC205B" w:rsidRPr="00CF5243" w:rsidRDefault="00CC205B" w:rsidP="00550154">
            <w:pPr>
              <w:cnfStyle w:val="000000000000" w:firstRow="0" w:lastRow="0" w:firstColumn="0" w:lastColumn="0" w:oddVBand="0" w:evenVBand="0" w:oddHBand="0" w:evenHBand="0" w:firstRowFirstColumn="0" w:firstRowLastColumn="0" w:lastRowFirstColumn="0" w:lastRowLastColumn="0"/>
            </w:pPr>
            <w:r w:rsidRPr="00CF5243">
              <w:t>26.2</w:t>
            </w:r>
          </w:p>
        </w:tc>
      </w:tr>
    </w:tbl>
    <w:p w14:paraId="3ACFF1E3" w14:textId="1FC889B4" w:rsidR="00CF5243" w:rsidRDefault="00CF5243" w:rsidP="00CF5243">
      <w:pPr>
        <w:pStyle w:val="TableDescription"/>
      </w:pPr>
      <w:proofErr w:type="spellStart"/>
      <w:r>
        <w:t>RSE</w:t>
      </w:r>
      <w:proofErr w:type="spellEnd"/>
      <w:r>
        <w:t>, Relative standard error</w:t>
      </w:r>
    </w:p>
    <w:p w14:paraId="3E79F4E5" w14:textId="77777777" w:rsidR="00AF090B" w:rsidRDefault="00AF090B" w:rsidP="00AF090B">
      <w:r w:rsidRPr="00AF090B">
        <w:lastRenderedPageBreak/>
        <w:t xml:space="preserve">To assess the impact of study on plasma exposure of goserelin, the AUC of plasma goserelin after three doses of 10.8 mg goserelin depot given 12 weeks apart was simulated. The plasma exposure was not meaningfully different between the 3 clinical studies included in the </w:t>
      </w:r>
      <w:proofErr w:type="spellStart"/>
      <w:r w:rsidRPr="00AF090B">
        <w:t>popPK</w:t>
      </w:r>
      <w:proofErr w:type="spellEnd"/>
      <w:r w:rsidRPr="00AF090B">
        <w:t xml:space="preserve"> analysis (</w:t>
      </w:r>
      <w:r w:rsidRPr="00AF090B">
        <w:fldChar w:fldCharType="begin"/>
      </w:r>
      <w:r w:rsidRPr="00AF090B">
        <w:instrText xml:space="preserve"> REF _Ref236056901 \h </w:instrText>
      </w:r>
      <w:r w:rsidRPr="00AF090B">
        <w:fldChar w:fldCharType="separate"/>
      </w:r>
      <w:r w:rsidRPr="00AF090B">
        <w:t>Figure 1</w:t>
      </w:r>
      <w:r w:rsidRPr="00AF090B">
        <w:fldChar w:fldCharType="end"/>
      </w:r>
      <w:r w:rsidRPr="00AF090B">
        <w:t>).</w:t>
      </w:r>
    </w:p>
    <w:p w14:paraId="1B852352" w14:textId="4772B975" w:rsidR="00AF090B" w:rsidRPr="00AF090B" w:rsidRDefault="00AF090B" w:rsidP="00550154">
      <w:pPr>
        <w:pStyle w:val="FigureTitle"/>
      </w:pPr>
      <w:r w:rsidRPr="00AF090B">
        <w:t>Figure 1</w:t>
      </w:r>
      <w:r>
        <w:t>.</w:t>
      </w:r>
      <w:r w:rsidRPr="00AF090B">
        <w:t xml:space="preserve"> Final model 1000080 simulated goserelin </w:t>
      </w:r>
      <w:proofErr w:type="spellStart"/>
      <w:r w:rsidRPr="00AF090B">
        <w:t>AUCs</w:t>
      </w:r>
      <w:proofErr w:type="spellEnd"/>
      <w:r w:rsidRPr="00AF090B">
        <w:t xml:space="preserve"> at steady state</w:t>
      </w:r>
    </w:p>
    <w:p w14:paraId="11EAEF3B" w14:textId="07C6665C" w:rsidR="00AF090B" w:rsidRDefault="00AF090B" w:rsidP="00550154">
      <w:r w:rsidRPr="00AF090B">
        <w:rPr>
          <w:noProof/>
        </w:rPr>
        <w:drawing>
          <wp:inline distT="0" distB="0" distL="0" distR="0" wp14:anchorId="61517D8F" wp14:editId="157EBE25">
            <wp:extent cx="3328416" cy="3260894"/>
            <wp:effectExtent l="0" t="0" r="5715" b="0"/>
            <wp:docPr id="1041448663" name="Picture 1" descr="Figure 1. Final model 1000080 simulated goserelin AUCs at steady 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448663" name="Picture 1" descr="Figure 1. Final model 1000080 simulated goserelin AUCs at steady state"/>
                    <pic:cNvPicPr/>
                  </pic:nvPicPr>
                  <pic:blipFill>
                    <a:blip r:embed="rId29">
                      <a:extLst>
                        <a:ext uri="{BEBA8EAE-BF5A-486C-A8C5-ECC9F3942E4B}">
                          <a14:imgProps xmlns:a14="http://schemas.microsoft.com/office/drawing/2010/main">
                            <a14:imgLayer r:embed="rId30">
                              <a14:imgEffect>
                                <a14:sharpenSoften amount="25000"/>
                              </a14:imgEffect>
                            </a14:imgLayer>
                          </a14:imgProps>
                        </a:ext>
                      </a:extLst>
                    </a:blip>
                    <a:stretch>
                      <a:fillRect/>
                    </a:stretch>
                  </pic:blipFill>
                  <pic:spPr>
                    <a:xfrm>
                      <a:off x="0" y="0"/>
                      <a:ext cx="3342212" cy="3274410"/>
                    </a:xfrm>
                    <a:prstGeom prst="rect">
                      <a:avLst/>
                    </a:prstGeom>
                  </pic:spPr>
                </pic:pic>
              </a:graphicData>
            </a:graphic>
          </wp:inline>
        </w:drawing>
      </w:r>
    </w:p>
    <w:p w14:paraId="05333F35" w14:textId="2445FCB6" w:rsidR="00AF090B" w:rsidRPr="00AF090B" w:rsidRDefault="00AF090B" w:rsidP="00AF090B">
      <w:pPr>
        <w:pStyle w:val="Heading5"/>
      </w:pPr>
      <w:bookmarkStart w:id="50" w:name="_Ref236313819"/>
      <w:r w:rsidRPr="00AF090B">
        <w:t>Pharmacodynamics</w:t>
      </w:r>
      <w:bookmarkEnd w:id="50"/>
    </w:p>
    <w:p w14:paraId="1A0C87A8" w14:textId="1DB49AD0" w:rsidR="00AF090B" w:rsidRPr="00AF090B" w:rsidRDefault="00AF090B" w:rsidP="00AF090B">
      <w:r w:rsidRPr="00AF090B">
        <w:t xml:space="preserve">All </w:t>
      </w:r>
      <w:r>
        <w:t xml:space="preserve">three </w:t>
      </w:r>
      <w:r w:rsidRPr="00AF090B">
        <w:t xml:space="preserve">supporting clinical studies collected serum </w:t>
      </w:r>
      <w:proofErr w:type="spellStart"/>
      <w:r w:rsidRPr="00AF090B">
        <w:t>E2</w:t>
      </w:r>
      <w:proofErr w:type="spellEnd"/>
      <w:r w:rsidRPr="00AF090B">
        <w:t xml:space="preserve"> measurements. The </w:t>
      </w:r>
      <w:r w:rsidR="00AC757F">
        <w:t>Sponsor</w:t>
      </w:r>
      <w:r w:rsidRPr="00AF090B">
        <w:t xml:space="preserve"> has defined postmenopausal </w:t>
      </w:r>
      <w:proofErr w:type="spellStart"/>
      <w:r w:rsidRPr="00AF090B">
        <w:t>E2</w:t>
      </w:r>
      <w:proofErr w:type="spellEnd"/>
      <w:r w:rsidRPr="00AF090B">
        <w:t xml:space="preserve"> levels as &lt;30 </w:t>
      </w:r>
      <w:proofErr w:type="spellStart"/>
      <w:r w:rsidRPr="00AF090B">
        <w:t>pg</w:t>
      </w:r>
      <w:proofErr w:type="spellEnd"/>
      <w:r w:rsidRPr="00AF090B">
        <w:t xml:space="preserve">/mL (≈110 </w:t>
      </w:r>
      <w:proofErr w:type="spellStart"/>
      <w:r w:rsidRPr="00AF090B">
        <w:t>pmol</w:t>
      </w:r>
      <w:proofErr w:type="spellEnd"/>
      <w:r w:rsidRPr="00AF090B">
        <w:t>/L), referencing a study by Lee, Ettinger, Stanczyk, et al. (2006).</w:t>
      </w:r>
      <w:r>
        <w:rPr>
          <w:rStyle w:val="FootnoteReference"/>
        </w:rPr>
        <w:footnoteReference w:id="16"/>
      </w:r>
      <w:r w:rsidRPr="00AF090B">
        <w:t xml:space="preserve"> The Royal College of Pathologists of Australasia (</w:t>
      </w:r>
      <w:proofErr w:type="spellStart"/>
      <w:r w:rsidRPr="00AF090B">
        <w:t>RCPA</w:t>
      </w:r>
      <w:proofErr w:type="spellEnd"/>
      <w:r w:rsidRPr="00AF090B">
        <w:t xml:space="preserve">) defines the upper limit of the reference interval for postmenopausal </w:t>
      </w:r>
      <w:proofErr w:type="spellStart"/>
      <w:r w:rsidRPr="00AF090B">
        <w:t>E2</w:t>
      </w:r>
      <w:proofErr w:type="spellEnd"/>
      <w:r w:rsidRPr="00AF090B">
        <w:t xml:space="preserve"> concentrations as 200 </w:t>
      </w:r>
      <w:proofErr w:type="spellStart"/>
      <w:r w:rsidRPr="00AF090B">
        <w:t>pmol</w:t>
      </w:r>
      <w:proofErr w:type="spellEnd"/>
      <w:r w:rsidRPr="00AF090B">
        <w:t xml:space="preserve">/L (≈54 </w:t>
      </w:r>
      <w:proofErr w:type="spellStart"/>
      <w:r w:rsidRPr="00AF090B">
        <w:t>pg</w:t>
      </w:r>
      <w:proofErr w:type="spellEnd"/>
      <w:r w:rsidRPr="00AF090B">
        <w:t>/mL</w:t>
      </w:r>
      <w:proofErr w:type="gramStart"/>
      <w:r w:rsidRPr="00AF090B">
        <w:t>) .</w:t>
      </w:r>
      <w:proofErr w:type="gramEnd"/>
      <w:r w:rsidRPr="00AF090B">
        <w:t xml:space="preserve"> Therefore, the </w:t>
      </w:r>
      <w:r w:rsidR="00AC757F">
        <w:t>Sponsor</w:t>
      </w:r>
      <w:r w:rsidRPr="00AF090B">
        <w:t xml:space="preserve">’s definition of postmenopausal </w:t>
      </w:r>
      <w:proofErr w:type="spellStart"/>
      <w:r w:rsidRPr="00AF090B">
        <w:t>E2</w:t>
      </w:r>
      <w:proofErr w:type="spellEnd"/>
      <w:r w:rsidRPr="00AF090B">
        <w:t xml:space="preserve"> levels is more conservative than </w:t>
      </w:r>
      <w:r w:rsidR="00D369BE">
        <w:t xml:space="preserve">that off the </w:t>
      </w:r>
      <w:proofErr w:type="spellStart"/>
      <w:r w:rsidRPr="00AF090B">
        <w:t>RCPA</w:t>
      </w:r>
      <w:proofErr w:type="spellEnd"/>
      <w:r w:rsidRPr="00AF090B">
        <w:t>. This is acceptable.</w:t>
      </w:r>
    </w:p>
    <w:p w14:paraId="424AAA0D" w14:textId="77777777" w:rsidR="00AF090B" w:rsidRPr="00AF090B" w:rsidRDefault="00AF090B" w:rsidP="00AF090B">
      <w:pPr>
        <w:pStyle w:val="Heading6"/>
      </w:pPr>
      <w:r w:rsidRPr="00AF090B">
        <w:t xml:space="preserve">Study </w:t>
      </w:r>
      <w:proofErr w:type="spellStart"/>
      <w:r w:rsidRPr="00AF090B">
        <w:t>D8666C00001</w:t>
      </w:r>
      <w:proofErr w:type="spellEnd"/>
    </w:p>
    <w:p w14:paraId="456A83FF" w14:textId="77777777" w:rsidR="00AF090B" w:rsidRPr="00AF090B" w:rsidRDefault="00AF090B" w:rsidP="00AF090B">
      <w:r w:rsidRPr="00AF090B">
        <w:t>In this study the lower limits of quantification (</w:t>
      </w:r>
      <w:proofErr w:type="spellStart"/>
      <w:r w:rsidRPr="00AF090B">
        <w:t>LLOQs</w:t>
      </w:r>
      <w:proofErr w:type="spellEnd"/>
      <w:r w:rsidRPr="00AF090B">
        <w:t xml:space="preserve">) for serum </w:t>
      </w:r>
      <w:proofErr w:type="spellStart"/>
      <w:r w:rsidRPr="00AF090B">
        <w:t>E2</w:t>
      </w:r>
      <w:proofErr w:type="spellEnd"/>
      <w:r w:rsidRPr="00AF090B">
        <w:t xml:space="preserve"> and FSH concentration were 18.07 </w:t>
      </w:r>
      <w:proofErr w:type="spellStart"/>
      <w:r w:rsidRPr="00AF090B">
        <w:t>pg</w:t>
      </w:r>
      <w:proofErr w:type="spellEnd"/>
      <w:r w:rsidRPr="00AF090B">
        <w:t xml:space="preserve">/mL (≈66 </w:t>
      </w:r>
      <w:proofErr w:type="spellStart"/>
      <w:r w:rsidRPr="00AF090B">
        <w:t>pmol</w:t>
      </w:r>
      <w:proofErr w:type="spellEnd"/>
      <w:r w:rsidRPr="00AF090B">
        <w:t xml:space="preserve">/L) and 0.6 IU/L, respectively. For values lower than the </w:t>
      </w:r>
      <w:proofErr w:type="spellStart"/>
      <w:r w:rsidRPr="00AF090B">
        <w:t>LLOQ</w:t>
      </w:r>
      <w:proofErr w:type="spellEnd"/>
      <w:r w:rsidRPr="00AF090B">
        <w:t xml:space="preserve">, one-half of </w:t>
      </w:r>
      <w:proofErr w:type="spellStart"/>
      <w:r w:rsidRPr="00AF090B">
        <w:t>LLOQ</w:t>
      </w:r>
      <w:proofErr w:type="spellEnd"/>
      <w:r w:rsidRPr="00AF090B">
        <w:t xml:space="preserve"> (i.e., 9.035 </w:t>
      </w:r>
      <w:proofErr w:type="spellStart"/>
      <w:r w:rsidRPr="00AF090B">
        <w:t>pg</w:t>
      </w:r>
      <w:proofErr w:type="spellEnd"/>
      <w:r w:rsidRPr="00AF090B">
        <w:t xml:space="preserve">/mL) was used for statistical analysis of </w:t>
      </w:r>
      <w:proofErr w:type="spellStart"/>
      <w:r w:rsidRPr="00AF090B">
        <w:t>E2</w:t>
      </w:r>
      <w:proofErr w:type="spellEnd"/>
      <w:r w:rsidRPr="00AF090B">
        <w:t xml:space="preserve"> data, and the </w:t>
      </w:r>
      <w:proofErr w:type="spellStart"/>
      <w:r w:rsidRPr="00AF090B">
        <w:t>LLOQ</w:t>
      </w:r>
      <w:proofErr w:type="spellEnd"/>
      <w:r w:rsidRPr="00AF090B">
        <w:t xml:space="preserve"> (i.e., 0.6 IU/L) was used for statistical analysis of FSH data. </w:t>
      </w:r>
    </w:p>
    <w:p w14:paraId="2256AE39" w14:textId="77777777" w:rsidR="00AF090B" w:rsidRPr="00AF090B" w:rsidRDefault="00AF090B" w:rsidP="00AF090B">
      <w:r w:rsidRPr="00AF090B">
        <w:t>On Day 1 and from Week 12 onwards, blood samples were drawn prior to goserelin depot administration.</w:t>
      </w:r>
    </w:p>
    <w:p w14:paraId="7266795A" w14:textId="256A20EA" w:rsidR="00AF090B" w:rsidRPr="00AF090B" w:rsidRDefault="00AF090B" w:rsidP="00AF090B">
      <w:r w:rsidRPr="00AF090B">
        <w:t xml:space="preserve">Comparisons of the unadjusted serum </w:t>
      </w:r>
      <w:proofErr w:type="spellStart"/>
      <w:r w:rsidRPr="00AF090B">
        <w:t>E2</w:t>
      </w:r>
      <w:proofErr w:type="spellEnd"/>
      <w:r w:rsidRPr="00AF090B">
        <w:t xml:space="preserve"> concentrations between treatment groups in the full analysis set (FAS) are provided in </w:t>
      </w:r>
      <w:r>
        <w:t>Table 7</w:t>
      </w:r>
      <w:r w:rsidR="009149EF">
        <w:t xml:space="preserve"> </w:t>
      </w:r>
      <w:r w:rsidRPr="00AF090B">
        <w:t xml:space="preserve">and </w:t>
      </w:r>
      <w:r w:rsidRPr="00AF090B">
        <w:fldChar w:fldCharType="begin"/>
      </w:r>
      <w:r w:rsidRPr="00AF090B">
        <w:instrText xml:space="preserve"> REF _Ref236145276 \h </w:instrText>
      </w:r>
      <w:r w:rsidRPr="00AF090B">
        <w:fldChar w:fldCharType="separate"/>
      </w:r>
      <w:r w:rsidRPr="00AF090B">
        <w:t>Figure 2</w:t>
      </w:r>
      <w:r w:rsidRPr="00AF090B">
        <w:fldChar w:fldCharType="end"/>
      </w:r>
      <w:r w:rsidRPr="00AF090B">
        <w:t>.</w:t>
      </w:r>
    </w:p>
    <w:p w14:paraId="4FAA3BE0" w14:textId="75B75D86" w:rsidR="00AF090B" w:rsidRDefault="00AF090B" w:rsidP="00550154">
      <w:pPr>
        <w:pStyle w:val="TableTitle"/>
      </w:pPr>
      <w:bookmarkStart w:id="51" w:name="_Ref236145267"/>
      <w:r w:rsidRPr="00AF090B">
        <w:lastRenderedPageBreak/>
        <w:t>Table</w:t>
      </w:r>
      <w:bookmarkEnd w:id="51"/>
      <w:r w:rsidR="009149EF">
        <w:t xml:space="preserve"> 7</w:t>
      </w:r>
      <w:r>
        <w:t>.</w:t>
      </w:r>
      <w:r w:rsidRPr="00AF090B">
        <w:t xml:space="preserve"> Summary of untransformed </w:t>
      </w:r>
      <w:proofErr w:type="spellStart"/>
      <w:r w:rsidR="00E402B9">
        <w:t>E2</w:t>
      </w:r>
      <w:proofErr w:type="spellEnd"/>
      <w:r w:rsidRPr="00AF090B">
        <w:t xml:space="preserve"> concentrations (</w:t>
      </w:r>
      <w:proofErr w:type="spellStart"/>
      <w:r w:rsidRPr="00AF090B">
        <w:t>pg</w:t>
      </w:r>
      <w:proofErr w:type="spellEnd"/>
      <w:r w:rsidRPr="00AF090B">
        <w:t>/mL) (FAS)</w:t>
      </w:r>
    </w:p>
    <w:tbl>
      <w:tblPr>
        <w:tblStyle w:val="TableTGAblue2023"/>
        <w:tblW w:w="0" w:type="auto"/>
        <w:tblLayout w:type="fixed"/>
        <w:tblLook w:val="04A0" w:firstRow="1" w:lastRow="0" w:firstColumn="1" w:lastColumn="0" w:noHBand="0" w:noVBand="1"/>
        <w:tblCaption w:val="Table 7. Summary of untransformed E2 concentrations (pg/mL) (FAS)"/>
      </w:tblPr>
      <w:tblGrid>
        <w:gridCol w:w="2122"/>
        <w:gridCol w:w="1134"/>
        <w:gridCol w:w="1134"/>
        <w:gridCol w:w="1134"/>
        <w:gridCol w:w="1134"/>
        <w:gridCol w:w="1134"/>
        <w:gridCol w:w="1224"/>
      </w:tblGrid>
      <w:tr w:rsidR="00AF090B" w:rsidRPr="00AF090B" w14:paraId="7D922D1C" w14:textId="77777777" w:rsidTr="005501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Merge w:val="restart"/>
          </w:tcPr>
          <w:p w14:paraId="5CD964AF" w14:textId="77777777" w:rsidR="00AF090B" w:rsidRPr="00AF090B" w:rsidRDefault="00AF090B" w:rsidP="00550154">
            <w:pPr>
              <w:rPr>
                <w:b w:val="0"/>
              </w:rPr>
            </w:pPr>
          </w:p>
        </w:tc>
        <w:tc>
          <w:tcPr>
            <w:tcW w:w="2268" w:type="dxa"/>
            <w:gridSpan w:val="2"/>
          </w:tcPr>
          <w:p w14:paraId="1AF883AA" w14:textId="77777777" w:rsidR="00AF090B" w:rsidRPr="00AF090B" w:rsidRDefault="00AF090B" w:rsidP="00550154">
            <w:pPr>
              <w:cnfStyle w:val="100000000000" w:firstRow="1" w:lastRow="0" w:firstColumn="0" w:lastColumn="0" w:oddVBand="0" w:evenVBand="0" w:oddHBand="0" w:evenHBand="0" w:firstRowFirstColumn="0" w:firstRowLastColumn="0" w:lastRowFirstColumn="0" w:lastRowLastColumn="0"/>
              <w:rPr>
                <w:b w:val="0"/>
              </w:rPr>
            </w:pPr>
            <w:r w:rsidRPr="00AF090B">
              <w:t>Baseline</w:t>
            </w:r>
          </w:p>
        </w:tc>
        <w:tc>
          <w:tcPr>
            <w:tcW w:w="2268" w:type="dxa"/>
            <w:gridSpan w:val="2"/>
          </w:tcPr>
          <w:p w14:paraId="4ADFCE6C" w14:textId="77777777" w:rsidR="00AF090B" w:rsidRPr="00AF090B" w:rsidRDefault="00AF090B" w:rsidP="00550154">
            <w:pPr>
              <w:cnfStyle w:val="100000000000" w:firstRow="1" w:lastRow="0" w:firstColumn="0" w:lastColumn="0" w:oddVBand="0" w:evenVBand="0" w:oddHBand="0" w:evenHBand="0" w:firstRowFirstColumn="0" w:firstRowLastColumn="0" w:lastRowFirstColumn="0" w:lastRowLastColumn="0"/>
              <w:rPr>
                <w:b w:val="0"/>
              </w:rPr>
            </w:pPr>
            <w:r w:rsidRPr="00AF090B">
              <w:t>Week 12</w:t>
            </w:r>
          </w:p>
        </w:tc>
        <w:tc>
          <w:tcPr>
            <w:tcW w:w="2358" w:type="dxa"/>
            <w:gridSpan w:val="2"/>
          </w:tcPr>
          <w:p w14:paraId="06FEF1E2" w14:textId="77777777" w:rsidR="00AF090B" w:rsidRPr="00AF090B" w:rsidRDefault="00AF090B" w:rsidP="00550154">
            <w:pPr>
              <w:cnfStyle w:val="100000000000" w:firstRow="1" w:lastRow="0" w:firstColumn="0" w:lastColumn="0" w:oddVBand="0" w:evenVBand="0" w:oddHBand="0" w:evenHBand="0" w:firstRowFirstColumn="0" w:firstRowLastColumn="0" w:lastRowFirstColumn="0" w:lastRowLastColumn="0"/>
              <w:rPr>
                <w:b w:val="0"/>
              </w:rPr>
            </w:pPr>
            <w:r w:rsidRPr="00AF090B">
              <w:t>Week 24</w:t>
            </w:r>
          </w:p>
        </w:tc>
      </w:tr>
      <w:tr w:rsidR="00AF090B" w:rsidRPr="00AF090B" w14:paraId="6B43B113" w14:textId="77777777" w:rsidTr="005501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Merge/>
          </w:tcPr>
          <w:p w14:paraId="6BD98C59" w14:textId="77777777" w:rsidR="00AF090B" w:rsidRPr="00AF090B" w:rsidRDefault="00AF090B" w:rsidP="00550154">
            <w:pPr>
              <w:rPr>
                <w:b w:val="0"/>
              </w:rPr>
            </w:pPr>
          </w:p>
        </w:tc>
        <w:tc>
          <w:tcPr>
            <w:tcW w:w="1134" w:type="dxa"/>
          </w:tcPr>
          <w:p w14:paraId="13EA11DE" w14:textId="77777777" w:rsidR="00AF090B" w:rsidRPr="00AF090B" w:rsidRDefault="00AF090B" w:rsidP="00550154">
            <w:pPr>
              <w:cnfStyle w:val="100000000000" w:firstRow="1" w:lastRow="0" w:firstColumn="0" w:lastColumn="0" w:oddVBand="0" w:evenVBand="0" w:oddHBand="0" w:evenHBand="0" w:firstRowFirstColumn="0" w:firstRowLastColumn="0" w:lastRowFirstColumn="0" w:lastRowLastColumn="0"/>
              <w:rPr>
                <w:b w:val="0"/>
              </w:rPr>
            </w:pPr>
            <w:r w:rsidRPr="00AF090B">
              <w:t>3.6 mg</w:t>
            </w:r>
          </w:p>
        </w:tc>
        <w:tc>
          <w:tcPr>
            <w:tcW w:w="1134" w:type="dxa"/>
          </w:tcPr>
          <w:p w14:paraId="15BC3BE8" w14:textId="77777777" w:rsidR="00AF090B" w:rsidRPr="00AF090B" w:rsidRDefault="00AF090B" w:rsidP="00550154">
            <w:pPr>
              <w:cnfStyle w:val="100000000000" w:firstRow="1" w:lastRow="0" w:firstColumn="0" w:lastColumn="0" w:oddVBand="0" w:evenVBand="0" w:oddHBand="0" w:evenHBand="0" w:firstRowFirstColumn="0" w:firstRowLastColumn="0" w:lastRowFirstColumn="0" w:lastRowLastColumn="0"/>
              <w:rPr>
                <w:b w:val="0"/>
              </w:rPr>
            </w:pPr>
            <w:r w:rsidRPr="00AF090B">
              <w:t>10.8 mg</w:t>
            </w:r>
          </w:p>
        </w:tc>
        <w:tc>
          <w:tcPr>
            <w:tcW w:w="1134" w:type="dxa"/>
          </w:tcPr>
          <w:p w14:paraId="7152E6FB" w14:textId="77777777" w:rsidR="00AF090B" w:rsidRPr="00AF090B" w:rsidRDefault="00AF090B" w:rsidP="00550154">
            <w:pPr>
              <w:cnfStyle w:val="100000000000" w:firstRow="1" w:lastRow="0" w:firstColumn="0" w:lastColumn="0" w:oddVBand="0" w:evenVBand="0" w:oddHBand="0" w:evenHBand="0" w:firstRowFirstColumn="0" w:firstRowLastColumn="0" w:lastRowFirstColumn="0" w:lastRowLastColumn="0"/>
              <w:rPr>
                <w:b w:val="0"/>
              </w:rPr>
            </w:pPr>
            <w:r w:rsidRPr="00AF090B">
              <w:t>3.6 mg</w:t>
            </w:r>
          </w:p>
        </w:tc>
        <w:tc>
          <w:tcPr>
            <w:tcW w:w="1134" w:type="dxa"/>
          </w:tcPr>
          <w:p w14:paraId="147411C3" w14:textId="77777777" w:rsidR="00AF090B" w:rsidRPr="00AF090B" w:rsidRDefault="00AF090B" w:rsidP="00550154">
            <w:pPr>
              <w:cnfStyle w:val="100000000000" w:firstRow="1" w:lastRow="0" w:firstColumn="0" w:lastColumn="0" w:oddVBand="0" w:evenVBand="0" w:oddHBand="0" w:evenHBand="0" w:firstRowFirstColumn="0" w:firstRowLastColumn="0" w:lastRowFirstColumn="0" w:lastRowLastColumn="0"/>
              <w:rPr>
                <w:b w:val="0"/>
              </w:rPr>
            </w:pPr>
            <w:r w:rsidRPr="00AF090B">
              <w:t>10.8 mg</w:t>
            </w:r>
          </w:p>
        </w:tc>
        <w:tc>
          <w:tcPr>
            <w:tcW w:w="1134" w:type="dxa"/>
          </w:tcPr>
          <w:p w14:paraId="43DA32F1" w14:textId="77777777" w:rsidR="00AF090B" w:rsidRPr="00AF090B" w:rsidRDefault="00AF090B" w:rsidP="00550154">
            <w:pPr>
              <w:cnfStyle w:val="100000000000" w:firstRow="1" w:lastRow="0" w:firstColumn="0" w:lastColumn="0" w:oddVBand="0" w:evenVBand="0" w:oddHBand="0" w:evenHBand="0" w:firstRowFirstColumn="0" w:firstRowLastColumn="0" w:lastRowFirstColumn="0" w:lastRowLastColumn="0"/>
              <w:rPr>
                <w:b w:val="0"/>
              </w:rPr>
            </w:pPr>
            <w:r w:rsidRPr="00AF090B">
              <w:t>3.6 mg</w:t>
            </w:r>
          </w:p>
        </w:tc>
        <w:tc>
          <w:tcPr>
            <w:tcW w:w="1224" w:type="dxa"/>
          </w:tcPr>
          <w:p w14:paraId="24E11DDF" w14:textId="77777777" w:rsidR="00AF090B" w:rsidRPr="00AF090B" w:rsidRDefault="00AF090B" w:rsidP="00550154">
            <w:pPr>
              <w:cnfStyle w:val="100000000000" w:firstRow="1" w:lastRow="0" w:firstColumn="0" w:lastColumn="0" w:oddVBand="0" w:evenVBand="0" w:oddHBand="0" w:evenHBand="0" w:firstRowFirstColumn="0" w:firstRowLastColumn="0" w:lastRowFirstColumn="0" w:lastRowLastColumn="0"/>
              <w:rPr>
                <w:b w:val="0"/>
              </w:rPr>
            </w:pPr>
            <w:r w:rsidRPr="00AF090B">
              <w:t>10.8 mg</w:t>
            </w:r>
          </w:p>
        </w:tc>
      </w:tr>
      <w:tr w:rsidR="00AF090B" w:rsidRPr="00AF090B" w14:paraId="7AF9F877" w14:textId="77777777" w:rsidTr="00550154">
        <w:tc>
          <w:tcPr>
            <w:cnfStyle w:val="001000000000" w:firstRow="0" w:lastRow="0" w:firstColumn="1" w:lastColumn="0" w:oddVBand="0" w:evenVBand="0" w:oddHBand="0" w:evenHBand="0" w:firstRowFirstColumn="0" w:firstRowLastColumn="0" w:lastRowFirstColumn="0" w:lastRowLastColumn="0"/>
            <w:tcW w:w="2122" w:type="dxa"/>
          </w:tcPr>
          <w:p w14:paraId="1EED2788" w14:textId="77777777" w:rsidR="00AF090B" w:rsidRPr="00550154" w:rsidRDefault="00AF090B" w:rsidP="00550154">
            <w:pPr>
              <w:rPr>
                <w:b/>
                <w:bCs/>
              </w:rPr>
            </w:pPr>
            <w:r w:rsidRPr="00550154">
              <w:rPr>
                <w:b/>
                <w:bCs/>
              </w:rPr>
              <w:t>Number of patients</w:t>
            </w:r>
          </w:p>
        </w:tc>
        <w:tc>
          <w:tcPr>
            <w:tcW w:w="1134" w:type="dxa"/>
          </w:tcPr>
          <w:p w14:paraId="0B12492D"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110</w:t>
            </w:r>
          </w:p>
        </w:tc>
        <w:tc>
          <w:tcPr>
            <w:tcW w:w="1134" w:type="dxa"/>
          </w:tcPr>
          <w:p w14:paraId="578E02BC"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107</w:t>
            </w:r>
          </w:p>
        </w:tc>
        <w:tc>
          <w:tcPr>
            <w:tcW w:w="1134" w:type="dxa"/>
          </w:tcPr>
          <w:p w14:paraId="7E0BD9C2"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77</w:t>
            </w:r>
          </w:p>
        </w:tc>
        <w:tc>
          <w:tcPr>
            <w:tcW w:w="1134" w:type="dxa"/>
          </w:tcPr>
          <w:p w14:paraId="27ADE429"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81</w:t>
            </w:r>
          </w:p>
        </w:tc>
        <w:tc>
          <w:tcPr>
            <w:tcW w:w="1134" w:type="dxa"/>
          </w:tcPr>
          <w:p w14:paraId="5516B5F6"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70</w:t>
            </w:r>
          </w:p>
        </w:tc>
        <w:tc>
          <w:tcPr>
            <w:tcW w:w="1224" w:type="dxa"/>
          </w:tcPr>
          <w:p w14:paraId="634F79A1"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74</w:t>
            </w:r>
          </w:p>
        </w:tc>
      </w:tr>
      <w:tr w:rsidR="00AF090B" w:rsidRPr="00AF090B" w14:paraId="23A2AB97" w14:textId="77777777" w:rsidTr="00550154">
        <w:tc>
          <w:tcPr>
            <w:cnfStyle w:val="001000000000" w:firstRow="0" w:lastRow="0" w:firstColumn="1" w:lastColumn="0" w:oddVBand="0" w:evenVBand="0" w:oddHBand="0" w:evenHBand="0" w:firstRowFirstColumn="0" w:firstRowLastColumn="0" w:lastRowFirstColumn="0" w:lastRowLastColumn="0"/>
            <w:tcW w:w="2122" w:type="dxa"/>
          </w:tcPr>
          <w:p w14:paraId="62BDEB68" w14:textId="77777777" w:rsidR="00AF090B" w:rsidRPr="00550154" w:rsidRDefault="00AF090B" w:rsidP="00550154">
            <w:pPr>
              <w:rPr>
                <w:b/>
                <w:bCs/>
              </w:rPr>
            </w:pPr>
            <w:r w:rsidRPr="00550154">
              <w:rPr>
                <w:b/>
                <w:bCs/>
              </w:rPr>
              <w:t>Number &gt;</w:t>
            </w:r>
            <w:proofErr w:type="spellStart"/>
            <w:r w:rsidRPr="00550154">
              <w:rPr>
                <w:b/>
                <w:bCs/>
              </w:rPr>
              <w:t>LLOQ</w:t>
            </w:r>
            <w:proofErr w:type="spellEnd"/>
          </w:p>
        </w:tc>
        <w:tc>
          <w:tcPr>
            <w:tcW w:w="1134" w:type="dxa"/>
          </w:tcPr>
          <w:p w14:paraId="2AFCF07D"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101</w:t>
            </w:r>
          </w:p>
        </w:tc>
        <w:tc>
          <w:tcPr>
            <w:tcW w:w="1134" w:type="dxa"/>
          </w:tcPr>
          <w:p w14:paraId="44A2C0FA"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101</w:t>
            </w:r>
          </w:p>
        </w:tc>
        <w:tc>
          <w:tcPr>
            <w:tcW w:w="1134" w:type="dxa"/>
          </w:tcPr>
          <w:p w14:paraId="32D2214B"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52</w:t>
            </w:r>
          </w:p>
        </w:tc>
        <w:tc>
          <w:tcPr>
            <w:tcW w:w="1134" w:type="dxa"/>
          </w:tcPr>
          <w:p w14:paraId="4254185B"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49</w:t>
            </w:r>
          </w:p>
        </w:tc>
        <w:tc>
          <w:tcPr>
            <w:tcW w:w="1134" w:type="dxa"/>
          </w:tcPr>
          <w:p w14:paraId="2F373A4B"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42</w:t>
            </w:r>
          </w:p>
        </w:tc>
        <w:tc>
          <w:tcPr>
            <w:tcW w:w="1224" w:type="dxa"/>
          </w:tcPr>
          <w:p w14:paraId="74C423EA"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41</w:t>
            </w:r>
          </w:p>
        </w:tc>
      </w:tr>
      <w:tr w:rsidR="00AF090B" w:rsidRPr="00AF090B" w14:paraId="458F048A" w14:textId="77777777" w:rsidTr="00550154">
        <w:tc>
          <w:tcPr>
            <w:cnfStyle w:val="001000000000" w:firstRow="0" w:lastRow="0" w:firstColumn="1" w:lastColumn="0" w:oddVBand="0" w:evenVBand="0" w:oddHBand="0" w:evenHBand="0" w:firstRowFirstColumn="0" w:firstRowLastColumn="0" w:lastRowFirstColumn="0" w:lastRowLastColumn="0"/>
            <w:tcW w:w="2122" w:type="dxa"/>
          </w:tcPr>
          <w:p w14:paraId="329D82C5" w14:textId="77777777" w:rsidR="00AF090B" w:rsidRPr="00550154" w:rsidRDefault="00AF090B" w:rsidP="00550154">
            <w:pPr>
              <w:rPr>
                <w:b/>
                <w:bCs/>
              </w:rPr>
            </w:pPr>
            <w:r w:rsidRPr="00550154">
              <w:rPr>
                <w:b/>
                <w:bCs/>
              </w:rPr>
              <w:t>Mean</w:t>
            </w:r>
          </w:p>
        </w:tc>
        <w:tc>
          <w:tcPr>
            <w:tcW w:w="1134" w:type="dxa"/>
          </w:tcPr>
          <w:p w14:paraId="5FAE7AE8"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116.285</w:t>
            </w:r>
          </w:p>
        </w:tc>
        <w:tc>
          <w:tcPr>
            <w:tcW w:w="1134" w:type="dxa"/>
          </w:tcPr>
          <w:p w14:paraId="43AE1117"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132.566</w:t>
            </w:r>
          </w:p>
        </w:tc>
        <w:tc>
          <w:tcPr>
            <w:tcW w:w="1134" w:type="dxa"/>
          </w:tcPr>
          <w:p w14:paraId="07D26E09"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25.444</w:t>
            </w:r>
          </w:p>
        </w:tc>
        <w:tc>
          <w:tcPr>
            <w:tcW w:w="1134" w:type="dxa"/>
          </w:tcPr>
          <w:p w14:paraId="2ED3F81B"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26.332</w:t>
            </w:r>
          </w:p>
        </w:tc>
        <w:tc>
          <w:tcPr>
            <w:tcW w:w="1134" w:type="dxa"/>
          </w:tcPr>
          <w:p w14:paraId="14E1FD6D"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24.798</w:t>
            </w:r>
          </w:p>
        </w:tc>
        <w:tc>
          <w:tcPr>
            <w:tcW w:w="1224" w:type="dxa"/>
          </w:tcPr>
          <w:p w14:paraId="3CC3FB5D"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20.302</w:t>
            </w:r>
          </w:p>
        </w:tc>
      </w:tr>
      <w:tr w:rsidR="00AF090B" w:rsidRPr="00AF090B" w14:paraId="2E5544CC" w14:textId="77777777" w:rsidTr="00550154">
        <w:tc>
          <w:tcPr>
            <w:cnfStyle w:val="001000000000" w:firstRow="0" w:lastRow="0" w:firstColumn="1" w:lastColumn="0" w:oddVBand="0" w:evenVBand="0" w:oddHBand="0" w:evenHBand="0" w:firstRowFirstColumn="0" w:firstRowLastColumn="0" w:lastRowFirstColumn="0" w:lastRowLastColumn="0"/>
            <w:tcW w:w="2122" w:type="dxa"/>
          </w:tcPr>
          <w:p w14:paraId="1AADEF3D" w14:textId="77777777" w:rsidR="00AF090B" w:rsidRPr="00550154" w:rsidRDefault="00AF090B" w:rsidP="00550154">
            <w:pPr>
              <w:rPr>
                <w:b/>
                <w:bCs/>
              </w:rPr>
            </w:pPr>
            <w:r w:rsidRPr="00550154">
              <w:rPr>
                <w:b/>
                <w:bCs/>
              </w:rPr>
              <w:t>Standard deviation</w:t>
            </w:r>
          </w:p>
        </w:tc>
        <w:tc>
          <w:tcPr>
            <w:tcW w:w="1134" w:type="dxa"/>
          </w:tcPr>
          <w:p w14:paraId="1DBFA71E"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122.068</w:t>
            </w:r>
          </w:p>
        </w:tc>
        <w:tc>
          <w:tcPr>
            <w:tcW w:w="1134" w:type="dxa"/>
          </w:tcPr>
          <w:p w14:paraId="5C7AE6F7"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123.228</w:t>
            </w:r>
          </w:p>
        </w:tc>
        <w:tc>
          <w:tcPr>
            <w:tcW w:w="1134" w:type="dxa"/>
          </w:tcPr>
          <w:p w14:paraId="71FB6CFE"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41.299</w:t>
            </w:r>
          </w:p>
        </w:tc>
        <w:tc>
          <w:tcPr>
            <w:tcW w:w="1134" w:type="dxa"/>
          </w:tcPr>
          <w:p w14:paraId="55912F41"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62.134</w:t>
            </w:r>
          </w:p>
        </w:tc>
        <w:tc>
          <w:tcPr>
            <w:tcW w:w="1134" w:type="dxa"/>
          </w:tcPr>
          <w:p w14:paraId="3DCEA881"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28.149</w:t>
            </w:r>
          </w:p>
        </w:tc>
        <w:tc>
          <w:tcPr>
            <w:tcW w:w="1224" w:type="dxa"/>
          </w:tcPr>
          <w:p w14:paraId="3C23392D"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12.251</w:t>
            </w:r>
          </w:p>
        </w:tc>
      </w:tr>
      <w:tr w:rsidR="00AF090B" w:rsidRPr="00AF090B" w14:paraId="07DC4643" w14:textId="77777777" w:rsidTr="00550154">
        <w:tc>
          <w:tcPr>
            <w:cnfStyle w:val="001000000000" w:firstRow="0" w:lastRow="0" w:firstColumn="1" w:lastColumn="0" w:oddVBand="0" w:evenVBand="0" w:oddHBand="0" w:evenHBand="0" w:firstRowFirstColumn="0" w:firstRowLastColumn="0" w:lastRowFirstColumn="0" w:lastRowLastColumn="0"/>
            <w:tcW w:w="2122" w:type="dxa"/>
          </w:tcPr>
          <w:p w14:paraId="183D0A99" w14:textId="77777777" w:rsidR="00AF090B" w:rsidRPr="00550154" w:rsidRDefault="00AF090B" w:rsidP="00550154">
            <w:pPr>
              <w:rPr>
                <w:b/>
                <w:bCs/>
              </w:rPr>
            </w:pPr>
            <w:r w:rsidRPr="00550154">
              <w:rPr>
                <w:b/>
                <w:bCs/>
              </w:rPr>
              <w:t>Median</w:t>
            </w:r>
          </w:p>
        </w:tc>
        <w:tc>
          <w:tcPr>
            <w:tcW w:w="1134" w:type="dxa"/>
          </w:tcPr>
          <w:p w14:paraId="78CC43CE"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76.940</w:t>
            </w:r>
          </w:p>
        </w:tc>
        <w:tc>
          <w:tcPr>
            <w:tcW w:w="1134" w:type="dxa"/>
          </w:tcPr>
          <w:p w14:paraId="4F5226D4"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93.640</w:t>
            </w:r>
          </w:p>
        </w:tc>
        <w:tc>
          <w:tcPr>
            <w:tcW w:w="1134" w:type="dxa"/>
          </w:tcPr>
          <w:p w14:paraId="1DA8698F"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22.090</w:t>
            </w:r>
          </w:p>
        </w:tc>
        <w:tc>
          <w:tcPr>
            <w:tcW w:w="1134" w:type="dxa"/>
          </w:tcPr>
          <w:p w14:paraId="60E664EB"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19.690</w:t>
            </w:r>
          </w:p>
        </w:tc>
        <w:tc>
          <w:tcPr>
            <w:tcW w:w="1134" w:type="dxa"/>
          </w:tcPr>
          <w:p w14:paraId="01BA80A3"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23.270</w:t>
            </w:r>
          </w:p>
        </w:tc>
        <w:tc>
          <w:tcPr>
            <w:tcW w:w="1224" w:type="dxa"/>
          </w:tcPr>
          <w:p w14:paraId="6AE5AAF4"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20.135</w:t>
            </w:r>
          </w:p>
        </w:tc>
      </w:tr>
      <w:tr w:rsidR="00AF090B" w:rsidRPr="00AF090B" w14:paraId="416EAFA0" w14:textId="77777777" w:rsidTr="00550154">
        <w:tc>
          <w:tcPr>
            <w:cnfStyle w:val="001000000000" w:firstRow="0" w:lastRow="0" w:firstColumn="1" w:lastColumn="0" w:oddVBand="0" w:evenVBand="0" w:oddHBand="0" w:evenHBand="0" w:firstRowFirstColumn="0" w:firstRowLastColumn="0" w:lastRowFirstColumn="0" w:lastRowLastColumn="0"/>
            <w:tcW w:w="2122" w:type="dxa"/>
          </w:tcPr>
          <w:p w14:paraId="288026DF" w14:textId="77777777" w:rsidR="00AF090B" w:rsidRPr="00550154" w:rsidRDefault="00AF090B" w:rsidP="00550154">
            <w:pPr>
              <w:rPr>
                <w:b/>
                <w:bCs/>
              </w:rPr>
            </w:pPr>
            <w:r w:rsidRPr="00550154">
              <w:rPr>
                <w:b/>
                <w:bCs/>
              </w:rPr>
              <w:t>Minimum</w:t>
            </w:r>
          </w:p>
        </w:tc>
        <w:tc>
          <w:tcPr>
            <w:tcW w:w="1134" w:type="dxa"/>
          </w:tcPr>
          <w:p w14:paraId="57600B22"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NQ</w:t>
            </w:r>
          </w:p>
        </w:tc>
        <w:tc>
          <w:tcPr>
            <w:tcW w:w="1134" w:type="dxa"/>
          </w:tcPr>
          <w:p w14:paraId="1A97F431"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NQ</w:t>
            </w:r>
          </w:p>
        </w:tc>
        <w:tc>
          <w:tcPr>
            <w:tcW w:w="1134" w:type="dxa"/>
          </w:tcPr>
          <w:p w14:paraId="527FB14C"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NQ</w:t>
            </w:r>
          </w:p>
        </w:tc>
        <w:tc>
          <w:tcPr>
            <w:tcW w:w="1134" w:type="dxa"/>
          </w:tcPr>
          <w:p w14:paraId="07C1A4FA"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NQ</w:t>
            </w:r>
          </w:p>
        </w:tc>
        <w:tc>
          <w:tcPr>
            <w:tcW w:w="1134" w:type="dxa"/>
          </w:tcPr>
          <w:p w14:paraId="2AE2C1AB"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NQ</w:t>
            </w:r>
          </w:p>
        </w:tc>
        <w:tc>
          <w:tcPr>
            <w:tcW w:w="1224" w:type="dxa"/>
          </w:tcPr>
          <w:p w14:paraId="582C9576"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NQ</w:t>
            </w:r>
          </w:p>
        </w:tc>
      </w:tr>
      <w:tr w:rsidR="00AF090B" w:rsidRPr="00AF090B" w14:paraId="6A04C1B0" w14:textId="77777777" w:rsidTr="00550154">
        <w:tc>
          <w:tcPr>
            <w:cnfStyle w:val="001000000000" w:firstRow="0" w:lastRow="0" w:firstColumn="1" w:lastColumn="0" w:oddVBand="0" w:evenVBand="0" w:oddHBand="0" w:evenHBand="0" w:firstRowFirstColumn="0" w:firstRowLastColumn="0" w:lastRowFirstColumn="0" w:lastRowLastColumn="0"/>
            <w:tcW w:w="2122" w:type="dxa"/>
          </w:tcPr>
          <w:p w14:paraId="4E546C35" w14:textId="77777777" w:rsidR="00AF090B" w:rsidRPr="00550154" w:rsidRDefault="00AF090B" w:rsidP="00550154">
            <w:pPr>
              <w:rPr>
                <w:b/>
                <w:bCs/>
              </w:rPr>
            </w:pPr>
            <w:r w:rsidRPr="00550154">
              <w:rPr>
                <w:b/>
                <w:bCs/>
              </w:rPr>
              <w:t>Maximum</w:t>
            </w:r>
          </w:p>
        </w:tc>
        <w:tc>
          <w:tcPr>
            <w:tcW w:w="1134" w:type="dxa"/>
          </w:tcPr>
          <w:p w14:paraId="17C81A5A"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690.09</w:t>
            </w:r>
          </w:p>
        </w:tc>
        <w:tc>
          <w:tcPr>
            <w:tcW w:w="1134" w:type="dxa"/>
          </w:tcPr>
          <w:p w14:paraId="72A7B427"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657.58</w:t>
            </w:r>
          </w:p>
        </w:tc>
        <w:tc>
          <w:tcPr>
            <w:tcW w:w="1134" w:type="dxa"/>
          </w:tcPr>
          <w:p w14:paraId="26B7249F"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372.92</w:t>
            </w:r>
          </w:p>
        </w:tc>
        <w:tc>
          <w:tcPr>
            <w:tcW w:w="1134" w:type="dxa"/>
          </w:tcPr>
          <w:p w14:paraId="5B04A354"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570.35</w:t>
            </w:r>
          </w:p>
        </w:tc>
        <w:tc>
          <w:tcPr>
            <w:tcW w:w="1134" w:type="dxa"/>
          </w:tcPr>
          <w:p w14:paraId="5BFAB6DD"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231.89</w:t>
            </w:r>
          </w:p>
        </w:tc>
        <w:tc>
          <w:tcPr>
            <w:tcW w:w="1224" w:type="dxa"/>
          </w:tcPr>
          <w:p w14:paraId="3C4624F6" w14:textId="77777777" w:rsidR="00AF090B" w:rsidRPr="00AF090B" w:rsidRDefault="00AF090B" w:rsidP="00550154">
            <w:pPr>
              <w:cnfStyle w:val="000000000000" w:firstRow="0" w:lastRow="0" w:firstColumn="0" w:lastColumn="0" w:oddVBand="0" w:evenVBand="0" w:oddHBand="0" w:evenHBand="0" w:firstRowFirstColumn="0" w:firstRowLastColumn="0" w:lastRowFirstColumn="0" w:lastRowLastColumn="0"/>
            </w:pPr>
            <w:r w:rsidRPr="00AF090B">
              <w:t>53.90</w:t>
            </w:r>
          </w:p>
        </w:tc>
      </w:tr>
    </w:tbl>
    <w:p w14:paraId="2B504138" w14:textId="77777777" w:rsidR="00AF090B" w:rsidRDefault="00AF090B" w:rsidP="00550154">
      <w:pPr>
        <w:pStyle w:val="TableDescription"/>
      </w:pPr>
      <w:proofErr w:type="spellStart"/>
      <w:r>
        <w:t>LLOQ</w:t>
      </w:r>
      <w:proofErr w:type="spellEnd"/>
      <w:r>
        <w:t xml:space="preserve">: Lower limit of quantification (18.07 </w:t>
      </w:r>
      <w:proofErr w:type="spellStart"/>
      <w:r>
        <w:t>pg</w:t>
      </w:r>
      <w:proofErr w:type="spellEnd"/>
      <w:r>
        <w:t>/mL); NQ: Not quantifiable</w:t>
      </w:r>
    </w:p>
    <w:p w14:paraId="40E2D736" w14:textId="77777777" w:rsidR="00AF090B" w:rsidRDefault="00AF090B" w:rsidP="00550154">
      <w:pPr>
        <w:pStyle w:val="TableDescription"/>
      </w:pPr>
      <w:r>
        <w:t xml:space="preserve">Data from the samples collected within the acceptable time window specified in </w:t>
      </w:r>
      <w:proofErr w:type="spellStart"/>
      <w:r>
        <w:t>CSP</w:t>
      </w:r>
      <w:proofErr w:type="spellEnd"/>
      <w:r>
        <w:t xml:space="preserve"> were used for analysis.</w:t>
      </w:r>
    </w:p>
    <w:p w14:paraId="309C603B" w14:textId="59671299" w:rsidR="00AF090B" w:rsidRDefault="00AF090B" w:rsidP="00550154">
      <w:pPr>
        <w:pStyle w:val="TableDescription"/>
      </w:pPr>
      <w:r>
        <w:t xml:space="preserve">Values below the </w:t>
      </w:r>
      <w:proofErr w:type="spellStart"/>
      <w:r>
        <w:t>LLOQ</w:t>
      </w:r>
      <w:proofErr w:type="spellEnd"/>
      <w:r>
        <w:t xml:space="preserve"> were handled as 9.035 </w:t>
      </w:r>
      <w:proofErr w:type="spellStart"/>
      <w:r>
        <w:t>pg</w:t>
      </w:r>
      <w:proofErr w:type="spellEnd"/>
      <w:r>
        <w:t xml:space="preserve">/mL (=one-half of </w:t>
      </w:r>
      <w:proofErr w:type="spellStart"/>
      <w:r>
        <w:t>LLOQ</w:t>
      </w:r>
      <w:proofErr w:type="spellEnd"/>
      <w:r>
        <w:t>) for calculation.</w:t>
      </w:r>
    </w:p>
    <w:p w14:paraId="7421D52D" w14:textId="024506DD" w:rsidR="00AF090B" w:rsidRDefault="00AF090B" w:rsidP="00550154">
      <w:pPr>
        <w:pStyle w:val="FigureTitle"/>
      </w:pPr>
      <w:r w:rsidRPr="00AF090B">
        <w:t>Figure 2</w:t>
      </w:r>
      <w:r>
        <w:t xml:space="preserve">. </w:t>
      </w:r>
      <w:r w:rsidRPr="00AF090B">
        <w:t xml:space="preserve">Mean serum </w:t>
      </w:r>
      <w:proofErr w:type="spellStart"/>
      <w:r w:rsidRPr="00AF090B">
        <w:t>E2</w:t>
      </w:r>
      <w:proofErr w:type="spellEnd"/>
      <w:r w:rsidRPr="00AF090B">
        <w:t xml:space="preserve"> concentration (</w:t>
      </w:r>
      <w:proofErr w:type="spellStart"/>
      <w:r w:rsidRPr="00AF090B">
        <w:t>pg</w:t>
      </w:r>
      <w:proofErr w:type="spellEnd"/>
      <w:r w:rsidRPr="00AF090B">
        <w:t>/mL) versus time (FAS)</w:t>
      </w:r>
    </w:p>
    <w:p w14:paraId="76F441EA" w14:textId="3FFCCEFE" w:rsidR="00AF090B" w:rsidRDefault="00AF090B" w:rsidP="00550154">
      <w:r w:rsidRPr="00AF090B">
        <w:rPr>
          <w:noProof/>
        </w:rPr>
        <w:drawing>
          <wp:inline distT="0" distB="0" distL="0" distR="0" wp14:anchorId="609DC74E" wp14:editId="0C0F46A9">
            <wp:extent cx="3814549" cy="3002853"/>
            <wp:effectExtent l="0" t="0" r="0" b="7620"/>
            <wp:docPr id="1046404413" name="Picture 1" descr="Figure 2. Mean serum E2 concentration (pg/mL) versus time (F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404413" name="Picture 1" descr="Figure 2. Mean serum E2 concentration (pg/mL) versus time (FAS)"/>
                    <pic:cNvPicPr/>
                  </pic:nvPicPr>
                  <pic:blipFill>
                    <a:blip r:embed="rId31">
                      <a:extLst>
                        <a:ext uri="{BEBA8EAE-BF5A-486C-A8C5-ECC9F3942E4B}">
                          <a14:imgProps xmlns:a14="http://schemas.microsoft.com/office/drawing/2010/main">
                            <a14:imgLayer r:embed="rId32">
                              <a14:imgEffect>
                                <a14:sharpenSoften amount="25000"/>
                              </a14:imgEffect>
                            </a14:imgLayer>
                          </a14:imgProps>
                        </a:ext>
                      </a:extLst>
                    </a:blip>
                    <a:stretch>
                      <a:fillRect/>
                    </a:stretch>
                  </pic:blipFill>
                  <pic:spPr>
                    <a:xfrm>
                      <a:off x="0" y="0"/>
                      <a:ext cx="3868645" cy="3045438"/>
                    </a:xfrm>
                    <a:prstGeom prst="rect">
                      <a:avLst/>
                    </a:prstGeom>
                  </pic:spPr>
                </pic:pic>
              </a:graphicData>
            </a:graphic>
          </wp:inline>
        </w:drawing>
      </w:r>
    </w:p>
    <w:p w14:paraId="18FBD037" w14:textId="2C02610B" w:rsidR="00AF090B" w:rsidRDefault="00AF090B" w:rsidP="00550154">
      <w:r>
        <w:t xml:space="preserve">The proportions of patients with </w:t>
      </w:r>
      <w:proofErr w:type="spellStart"/>
      <w:r>
        <w:t>E2</w:t>
      </w:r>
      <w:proofErr w:type="spellEnd"/>
      <w:r>
        <w:t xml:space="preserve"> serum concentrations ≤ 30 </w:t>
      </w:r>
      <w:proofErr w:type="spellStart"/>
      <w:r>
        <w:t>pg</w:t>
      </w:r>
      <w:proofErr w:type="spellEnd"/>
      <w:r>
        <w:t xml:space="preserve">/mL (study-defined postmenopausal level) were similar in the 2 treatment groups at Weeks 12 and 24 (Table </w:t>
      </w:r>
      <w:r w:rsidR="009149EF">
        <w:t>8</w:t>
      </w:r>
      <w:r>
        <w:t>).</w:t>
      </w:r>
    </w:p>
    <w:p w14:paraId="1A4DCCAE" w14:textId="724FD4C7" w:rsidR="00AF090B" w:rsidRDefault="00AF090B" w:rsidP="00550154">
      <w:pPr>
        <w:pStyle w:val="TableTitle"/>
      </w:pPr>
      <w:r w:rsidRPr="00AF090B">
        <w:t xml:space="preserve">Table </w:t>
      </w:r>
      <w:r w:rsidR="009149EF">
        <w:t>8</w:t>
      </w:r>
      <w:r>
        <w:t>.</w:t>
      </w:r>
      <w:r w:rsidRPr="00AF090B">
        <w:t xml:space="preserve"> Mean </w:t>
      </w:r>
      <w:proofErr w:type="spellStart"/>
      <w:r w:rsidRPr="00AF090B">
        <w:t>E2</w:t>
      </w:r>
      <w:proofErr w:type="spellEnd"/>
      <w:r w:rsidRPr="00AF090B">
        <w:t xml:space="preserve"> </w:t>
      </w:r>
      <w:r>
        <w:t>s</w:t>
      </w:r>
      <w:r w:rsidRPr="00AF090B">
        <w:t xml:space="preserve">erum </w:t>
      </w:r>
      <w:r>
        <w:t>c</w:t>
      </w:r>
      <w:r w:rsidRPr="00AF090B">
        <w:t xml:space="preserve">oncentrations and </w:t>
      </w:r>
      <w:r w:rsidR="009149EF">
        <w:t>p</w:t>
      </w:r>
      <w:r w:rsidRPr="00AF090B">
        <w:t xml:space="preserve">roportion of </w:t>
      </w:r>
      <w:r w:rsidR="009149EF">
        <w:t>p</w:t>
      </w:r>
      <w:r w:rsidRPr="00AF090B">
        <w:t xml:space="preserve">atients with </w:t>
      </w:r>
      <w:proofErr w:type="spellStart"/>
      <w:r w:rsidRPr="00AF090B">
        <w:t>E2</w:t>
      </w:r>
      <w:proofErr w:type="spellEnd"/>
      <w:r w:rsidRPr="00AF090B">
        <w:t xml:space="preserve"> </w:t>
      </w:r>
      <w:r w:rsidR="009149EF">
        <w:t>s</w:t>
      </w:r>
      <w:r w:rsidRPr="00AF090B">
        <w:t xml:space="preserve">erum </w:t>
      </w:r>
      <w:r w:rsidR="009149EF">
        <w:t>c</w:t>
      </w:r>
      <w:r w:rsidRPr="00AF090B">
        <w:t xml:space="preserve">oncentrations ≤ 30 </w:t>
      </w:r>
      <w:proofErr w:type="spellStart"/>
      <w:r w:rsidRPr="00AF090B">
        <w:t>pg</w:t>
      </w:r>
      <w:proofErr w:type="spellEnd"/>
      <w:r w:rsidRPr="00AF090B">
        <w:t xml:space="preserve">/mL in Study </w:t>
      </w:r>
      <w:proofErr w:type="spellStart"/>
      <w:r w:rsidRPr="00AF090B">
        <w:t>D8666C00001</w:t>
      </w:r>
      <w:proofErr w:type="spellEnd"/>
      <w:r w:rsidRPr="00AF090B">
        <w:t xml:space="preserve"> (FAS)</w:t>
      </w:r>
    </w:p>
    <w:p w14:paraId="2E56D721" w14:textId="3A680234" w:rsidR="009149EF" w:rsidRDefault="009149EF" w:rsidP="00550154">
      <w:r w:rsidRPr="00F42B40">
        <w:rPr>
          <w:noProof/>
        </w:rPr>
        <w:drawing>
          <wp:inline distT="0" distB="0" distL="0" distR="0" wp14:anchorId="432946FA" wp14:editId="6989D70C">
            <wp:extent cx="5339705" cy="1187323"/>
            <wp:effectExtent l="0" t="0" r="0" b="0"/>
            <wp:docPr id="433472074" name="Picture 1" descr="Table 8. Mean E2 serum concentrations and proportion of patients with E2 serum concentrations ≤ 30 pg/mL in Study D8666C00001 (F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472074" name="Picture 1" descr="Table 8. Mean E2 serum concentrations and proportion of patients with E2 serum concentrations ≤ 30 pg/mL in Study D8666C00001 (FAS)"/>
                    <pic:cNvPicPr/>
                  </pic:nvPicPr>
                  <pic:blipFill>
                    <a:blip r:embed="rId33">
                      <a:extLst>
                        <a:ext uri="{BEBA8EAE-BF5A-486C-A8C5-ECC9F3942E4B}">
                          <a14:imgProps xmlns:a14="http://schemas.microsoft.com/office/drawing/2010/main">
                            <a14:imgLayer r:embed="rId34">
                              <a14:imgEffect>
                                <a14:sharpenSoften amount="25000"/>
                              </a14:imgEffect>
                            </a14:imgLayer>
                          </a14:imgProps>
                        </a:ext>
                      </a:extLst>
                    </a:blip>
                    <a:stretch>
                      <a:fillRect/>
                    </a:stretch>
                  </pic:blipFill>
                  <pic:spPr>
                    <a:xfrm>
                      <a:off x="0" y="0"/>
                      <a:ext cx="5369305" cy="1193905"/>
                    </a:xfrm>
                    <a:prstGeom prst="rect">
                      <a:avLst/>
                    </a:prstGeom>
                  </pic:spPr>
                </pic:pic>
              </a:graphicData>
            </a:graphic>
          </wp:inline>
        </w:drawing>
      </w:r>
    </w:p>
    <w:p w14:paraId="153CCB0A" w14:textId="77777777" w:rsidR="009149EF" w:rsidRDefault="009149EF" w:rsidP="00550154">
      <w:pPr>
        <w:pStyle w:val="TableDescription"/>
      </w:pPr>
      <w:r>
        <w:lastRenderedPageBreak/>
        <w:t xml:space="preserve">a Study inclusion criterion: Premenopausal defined as (1) last menses within 1 year of administration of study drug, and (2) </w:t>
      </w:r>
      <w:proofErr w:type="spellStart"/>
      <w:r>
        <w:t>E2</w:t>
      </w:r>
      <w:proofErr w:type="spellEnd"/>
      <w:r>
        <w:t xml:space="preserve"> ≥ 10 </w:t>
      </w:r>
      <w:proofErr w:type="spellStart"/>
      <w:r>
        <w:t>pmol</w:t>
      </w:r>
      <w:proofErr w:type="spellEnd"/>
      <w:r>
        <w:t>/L and FSH ≤ 30 IU/L within 4 weeks of administration of study drug. For patients who had a hysterectomy, it was acceptable to meet only criterion 2.</w:t>
      </w:r>
    </w:p>
    <w:p w14:paraId="5845FBB3" w14:textId="77777777" w:rsidR="009149EF" w:rsidRDefault="009149EF" w:rsidP="00550154">
      <w:pPr>
        <w:pStyle w:val="TableDescription"/>
      </w:pPr>
      <w:proofErr w:type="spellStart"/>
      <w:r>
        <w:t>LLOQ</w:t>
      </w:r>
      <w:proofErr w:type="spellEnd"/>
      <w:r>
        <w:t xml:space="preserve"> of </w:t>
      </w:r>
      <w:proofErr w:type="spellStart"/>
      <w:r>
        <w:t>E2</w:t>
      </w:r>
      <w:proofErr w:type="spellEnd"/>
      <w:r>
        <w:t xml:space="preserve">: 18.07 </w:t>
      </w:r>
      <w:proofErr w:type="spellStart"/>
      <w:r>
        <w:t>pg</w:t>
      </w:r>
      <w:proofErr w:type="spellEnd"/>
      <w:r>
        <w:t>/</w:t>
      </w:r>
      <w:proofErr w:type="spellStart"/>
      <w:r>
        <w:t>mL.</w:t>
      </w:r>
      <w:proofErr w:type="spellEnd"/>
      <w:r>
        <w:t xml:space="preserve"> Values below the </w:t>
      </w:r>
      <w:proofErr w:type="spellStart"/>
      <w:r>
        <w:t>LLOQ</w:t>
      </w:r>
      <w:proofErr w:type="spellEnd"/>
      <w:r>
        <w:t xml:space="preserve"> were handled as 9.035 </w:t>
      </w:r>
      <w:proofErr w:type="spellStart"/>
      <w:r>
        <w:t>pg</w:t>
      </w:r>
      <w:proofErr w:type="spellEnd"/>
      <w:r>
        <w:t>/</w:t>
      </w:r>
      <w:proofErr w:type="spellStart"/>
      <w:r>
        <w:t>mL.</w:t>
      </w:r>
      <w:proofErr w:type="spellEnd"/>
    </w:p>
    <w:p w14:paraId="30D96613" w14:textId="09588188" w:rsidR="009149EF" w:rsidRDefault="009149EF" w:rsidP="00550154">
      <w:pPr>
        <w:pStyle w:val="TableDescription"/>
      </w:pPr>
      <w:proofErr w:type="spellStart"/>
      <w:r>
        <w:t>E2</w:t>
      </w:r>
      <w:proofErr w:type="spellEnd"/>
      <w:r>
        <w:t xml:space="preserve">, oestradiol; FAS, full analysis set; FSH, follicle stimulating hormone; </w:t>
      </w:r>
      <w:proofErr w:type="spellStart"/>
      <w:r>
        <w:t>LLOQ</w:t>
      </w:r>
      <w:proofErr w:type="spellEnd"/>
      <w:r>
        <w:t>, lower limit of quantification; SD, standard deviation.</w:t>
      </w:r>
    </w:p>
    <w:p w14:paraId="69093223" w14:textId="77DED10D" w:rsidR="009149EF" w:rsidRDefault="009149EF" w:rsidP="00550154">
      <w:r>
        <w:t xml:space="preserve">After adjusting for treatment group, baseline </w:t>
      </w:r>
      <w:proofErr w:type="spellStart"/>
      <w:r>
        <w:t>E2</w:t>
      </w:r>
      <w:proofErr w:type="spellEnd"/>
      <w:r>
        <w:t xml:space="preserve"> serum concentrations and ethnicity (Japanese vs non-Japanese) as covariates, the ratio of the least square means of </w:t>
      </w:r>
      <w:proofErr w:type="spellStart"/>
      <w:r>
        <w:t>E2</w:t>
      </w:r>
      <w:proofErr w:type="spellEnd"/>
      <w:r>
        <w:t xml:space="preserve"> concentrations for the 10.8 mg group compared to the 3.6 mg group was 0.92 (95% CI 0.75, 1.13) at Week 12, and 0.92 (95% CI 0.74, 1.14) at Week 24. That is, suppression of </w:t>
      </w:r>
      <w:proofErr w:type="spellStart"/>
      <w:r w:rsidR="00E402B9">
        <w:t>E2</w:t>
      </w:r>
      <w:proofErr w:type="spellEnd"/>
      <w:r>
        <w:t xml:space="preserve"> serum concentrations was similar between goserelin 3.6 mg and 10.8 mg among the premenopausal women with advanced breast cancer enrolled in this trial (Table 9). </w:t>
      </w:r>
    </w:p>
    <w:p w14:paraId="09937BAA" w14:textId="5F96BDA0" w:rsidR="009149EF" w:rsidRDefault="009149EF" w:rsidP="00550154">
      <w:pPr>
        <w:pStyle w:val="TableTitle"/>
      </w:pPr>
      <w:r>
        <w:t xml:space="preserve">Table 9. Least square means and the 95% CI for difference of mean </w:t>
      </w:r>
      <w:proofErr w:type="spellStart"/>
      <w:r>
        <w:t>E2</w:t>
      </w:r>
      <w:proofErr w:type="spellEnd"/>
      <w:r>
        <w:t xml:space="preserve"> serum concentrations (</w:t>
      </w:r>
      <w:proofErr w:type="spellStart"/>
      <w:r>
        <w:t>pg</w:t>
      </w:r>
      <w:proofErr w:type="spellEnd"/>
      <w:r>
        <w:t>/mL) at week 12 and 24 using analysis of covariance (FAS)</w:t>
      </w:r>
    </w:p>
    <w:p w14:paraId="3A4F8113" w14:textId="171325F8" w:rsidR="009149EF" w:rsidRDefault="009149EF" w:rsidP="00550154">
      <w:r w:rsidRPr="009106E9">
        <w:rPr>
          <w:noProof/>
        </w:rPr>
        <w:drawing>
          <wp:inline distT="0" distB="0" distL="0" distR="0" wp14:anchorId="54A458C2" wp14:editId="3921D857">
            <wp:extent cx="5739073" cy="1521561"/>
            <wp:effectExtent l="0" t="0" r="0" b="2540"/>
            <wp:docPr id="530416394" name="Picture 1" descr="Table 9. Least square means and the 95% CI for difference of mean E2 serum concentrations (pg/mL) at week 12 and 24 using analysis of covariance (F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16394" name="Picture 1" descr="Table 9. Least square means and the 95% CI for difference of mean E2 serum concentrations (pg/mL) at week 12 and 24 using analysis of covariance (FAS)"/>
                    <pic:cNvPicPr/>
                  </pic:nvPicPr>
                  <pic:blipFill>
                    <a:blip r:embed="rId35">
                      <a:extLst>
                        <a:ext uri="{BEBA8EAE-BF5A-486C-A8C5-ECC9F3942E4B}">
                          <a14:imgProps xmlns:a14="http://schemas.microsoft.com/office/drawing/2010/main">
                            <a14:imgLayer r:embed="rId36">
                              <a14:imgEffect>
                                <a14:sharpenSoften amount="25000"/>
                              </a14:imgEffect>
                            </a14:imgLayer>
                          </a14:imgProps>
                        </a:ext>
                      </a:extLst>
                    </a:blip>
                    <a:stretch>
                      <a:fillRect/>
                    </a:stretch>
                  </pic:blipFill>
                  <pic:spPr>
                    <a:xfrm>
                      <a:off x="0" y="0"/>
                      <a:ext cx="5758081" cy="1526600"/>
                    </a:xfrm>
                    <a:prstGeom prst="rect">
                      <a:avLst/>
                    </a:prstGeom>
                  </pic:spPr>
                </pic:pic>
              </a:graphicData>
            </a:graphic>
          </wp:inline>
        </w:drawing>
      </w:r>
    </w:p>
    <w:p w14:paraId="55C817C1" w14:textId="77777777" w:rsidR="009149EF" w:rsidRDefault="009149EF" w:rsidP="00550154">
      <w:pPr>
        <w:pStyle w:val="TableDescription"/>
      </w:pPr>
      <w:r>
        <w:t>a Patients with a measurement both at baseline and post-treatment.</w:t>
      </w:r>
    </w:p>
    <w:p w14:paraId="78443495" w14:textId="77777777" w:rsidR="009149EF" w:rsidRDefault="009149EF" w:rsidP="00550154">
      <w:pPr>
        <w:pStyle w:val="TableDescription"/>
      </w:pPr>
      <w:r>
        <w:t>CI: Confidence interval</w:t>
      </w:r>
    </w:p>
    <w:p w14:paraId="6BA2206D" w14:textId="77777777" w:rsidR="009149EF" w:rsidRDefault="009149EF" w:rsidP="00550154">
      <w:pPr>
        <w:pStyle w:val="TableDescription"/>
      </w:pPr>
      <w:r>
        <w:t xml:space="preserve">Data from the samples collected within the acceptable time window specified in </w:t>
      </w:r>
      <w:proofErr w:type="spellStart"/>
      <w:r>
        <w:t>CSP</w:t>
      </w:r>
      <w:proofErr w:type="spellEnd"/>
      <w:r>
        <w:t xml:space="preserve"> were used for analysis.</w:t>
      </w:r>
    </w:p>
    <w:p w14:paraId="6FA23905" w14:textId="45C2EFCE" w:rsidR="009149EF" w:rsidRDefault="009149EF" w:rsidP="00550154">
      <w:pPr>
        <w:pStyle w:val="TableDescription"/>
      </w:pPr>
      <w:r>
        <w:t>Results based on analysis of covariance (</w:t>
      </w:r>
      <w:proofErr w:type="spellStart"/>
      <w:r>
        <w:t>ANCOVA</w:t>
      </w:r>
      <w:proofErr w:type="spellEnd"/>
      <w:r>
        <w:t xml:space="preserve">) with treatment group, baseline </w:t>
      </w:r>
      <w:proofErr w:type="spellStart"/>
      <w:r>
        <w:t>E2</w:t>
      </w:r>
      <w:proofErr w:type="spellEnd"/>
      <w:r>
        <w:t xml:space="preserve"> serum concentrations and ethnicity (Japanese vs non-Japanese) as covariates. </w:t>
      </w:r>
      <w:proofErr w:type="spellStart"/>
      <w:r>
        <w:t>E2</w:t>
      </w:r>
      <w:proofErr w:type="spellEnd"/>
      <w:r>
        <w:t xml:space="preserve"> data were log-transformed prior to analysis. Least square means and 95% CI calculated based on the model were exponentiated.</w:t>
      </w:r>
    </w:p>
    <w:p w14:paraId="403DB872" w14:textId="77777777" w:rsidR="009149EF" w:rsidRPr="009149EF" w:rsidRDefault="009149EF" w:rsidP="00550154">
      <w:r w:rsidRPr="009149EF">
        <w:t>FSH suppression was numerically similar between treatment groups. Median serum FSH concentration decreased from baseline to Week 12 and Week 24 in the 10.8 mg group (7.79 IU/L, 2.42 IU/L, and 2.05 IU/L, respectively) and the 3.6 mg group (7.43 IU/L, 2.53 IU/L, 2.37 IU/L).</w:t>
      </w:r>
    </w:p>
    <w:p w14:paraId="32056008" w14:textId="77777777" w:rsidR="009149EF" w:rsidRPr="009149EF" w:rsidRDefault="009149EF" w:rsidP="009149EF">
      <w:pPr>
        <w:pStyle w:val="Heading6"/>
      </w:pPr>
      <w:r w:rsidRPr="009149EF">
        <w:t xml:space="preserve">Study </w:t>
      </w:r>
      <w:proofErr w:type="spellStart"/>
      <w:r w:rsidRPr="009149EF">
        <w:t>D8664C00004</w:t>
      </w:r>
      <w:proofErr w:type="spellEnd"/>
    </w:p>
    <w:p w14:paraId="1341F3B7" w14:textId="77777777" w:rsidR="009149EF" w:rsidRPr="009149EF" w:rsidRDefault="009149EF" w:rsidP="009149EF">
      <w:r w:rsidRPr="009149EF">
        <w:t xml:space="preserve">The </w:t>
      </w:r>
      <w:proofErr w:type="spellStart"/>
      <w:r w:rsidRPr="009149EF">
        <w:t>LLOQ</w:t>
      </w:r>
      <w:proofErr w:type="spellEnd"/>
      <w:r w:rsidRPr="009149EF">
        <w:t xml:space="preserve"> of </w:t>
      </w:r>
      <w:proofErr w:type="spellStart"/>
      <w:r w:rsidRPr="009149EF">
        <w:t>E2</w:t>
      </w:r>
      <w:proofErr w:type="spellEnd"/>
      <w:r w:rsidRPr="009149EF">
        <w:t xml:space="preserve"> in this trial was 1.4 </w:t>
      </w:r>
      <w:proofErr w:type="spellStart"/>
      <w:r w:rsidRPr="009149EF">
        <w:t>pg</w:t>
      </w:r>
      <w:proofErr w:type="spellEnd"/>
      <w:r w:rsidRPr="009149EF">
        <w:t xml:space="preserve">/mL (≈5 </w:t>
      </w:r>
      <w:proofErr w:type="spellStart"/>
      <w:r w:rsidRPr="009149EF">
        <w:t>pmol</w:t>
      </w:r>
      <w:proofErr w:type="spellEnd"/>
      <w:r w:rsidRPr="009149EF">
        <w:t xml:space="preserve">/L), and values below the </w:t>
      </w:r>
      <w:proofErr w:type="spellStart"/>
      <w:r w:rsidRPr="009149EF">
        <w:t>LLOQ</w:t>
      </w:r>
      <w:proofErr w:type="spellEnd"/>
      <w:r w:rsidRPr="009149EF">
        <w:t xml:space="preserve"> were handled as 0.7 </w:t>
      </w:r>
      <w:proofErr w:type="spellStart"/>
      <w:r w:rsidRPr="009149EF">
        <w:t>pg</w:t>
      </w:r>
      <w:proofErr w:type="spellEnd"/>
      <w:r w:rsidRPr="009149EF">
        <w:t>/</w:t>
      </w:r>
      <w:proofErr w:type="spellStart"/>
      <w:r w:rsidRPr="009149EF">
        <w:t>mL.</w:t>
      </w:r>
      <w:proofErr w:type="spellEnd"/>
    </w:p>
    <w:p w14:paraId="642F8108" w14:textId="77777777" w:rsidR="009149EF" w:rsidRPr="009149EF" w:rsidRDefault="009149EF" w:rsidP="009149EF">
      <w:r w:rsidRPr="009149EF">
        <w:t xml:space="preserve">At baseline, median (range) serum </w:t>
      </w:r>
      <w:proofErr w:type="spellStart"/>
      <w:r w:rsidRPr="009149EF">
        <w:t>E2</w:t>
      </w:r>
      <w:proofErr w:type="spellEnd"/>
      <w:r w:rsidRPr="009149EF">
        <w:t xml:space="preserve"> concentrations were 53.50 </w:t>
      </w:r>
      <w:proofErr w:type="spellStart"/>
      <w:r w:rsidRPr="009149EF">
        <w:t>pg</w:t>
      </w:r>
      <w:proofErr w:type="spellEnd"/>
      <w:r w:rsidRPr="009149EF">
        <w:t>/mL (0.7, 327.0) in the 3.6 mg group and 49.70 (0.7, 275.4) in the 10.8 mg group.</w:t>
      </w:r>
    </w:p>
    <w:p w14:paraId="0D75E9AC" w14:textId="77777777" w:rsidR="009149EF" w:rsidRPr="009149EF" w:rsidRDefault="009149EF" w:rsidP="009149EF">
      <w:r w:rsidRPr="009149EF">
        <w:t>Blood samples were collected before injection of goserelin depot.</w:t>
      </w:r>
    </w:p>
    <w:p w14:paraId="7F92362F" w14:textId="0E9F12A8" w:rsidR="009149EF" w:rsidRPr="009149EF" w:rsidRDefault="009149EF" w:rsidP="00550154">
      <w:r w:rsidRPr="009149EF">
        <w:t xml:space="preserve">The geometric mean of the AUC of </w:t>
      </w:r>
      <w:proofErr w:type="spellStart"/>
      <w:r w:rsidRPr="009149EF">
        <w:t>E2</w:t>
      </w:r>
      <w:proofErr w:type="spellEnd"/>
      <w:r w:rsidRPr="009149EF">
        <w:t xml:space="preserve"> serum concentration from Week 4 to Week 24 of treatment was 18.95 </w:t>
      </w:r>
      <w:proofErr w:type="spellStart"/>
      <w:r w:rsidRPr="009149EF">
        <w:t>pg</w:t>
      </w:r>
      <w:proofErr w:type="spellEnd"/>
      <w:r w:rsidRPr="009149EF">
        <w:t>/</w:t>
      </w:r>
      <w:proofErr w:type="spellStart"/>
      <w:r w:rsidRPr="009149EF">
        <w:t>mL⋅week</w:t>
      </w:r>
      <w:proofErr w:type="spellEnd"/>
      <w:r w:rsidRPr="009149EF">
        <w:t xml:space="preserve"> in the 3.6 mg group and 18.32 </w:t>
      </w:r>
      <w:proofErr w:type="spellStart"/>
      <w:r w:rsidRPr="009149EF">
        <w:t>pg</w:t>
      </w:r>
      <w:proofErr w:type="spellEnd"/>
      <w:r w:rsidRPr="009149EF">
        <w:t>/</w:t>
      </w:r>
      <w:proofErr w:type="spellStart"/>
      <w:r w:rsidRPr="009149EF">
        <w:t>mL⋅week</w:t>
      </w:r>
      <w:proofErr w:type="spellEnd"/>
      <w:r w:rsidRPr="009149EF">
        <w:t xml:space="preserve"> in the 10.8 mg group. The AUC ratio of 10.8 mg group/3.6 mg group, adjusted by baseline </w:t>
      </w:r>
      <w:proofErr w:type="spellStart"/>
      <w:r w:rsidRPr="009149EF">
        <w:t>E2</w:t>
      </w:r>
      <w:proofErr w:type="spellEnd"/>
      <w:r w:rsidRPr="009149EF">
        <w:t xml:space="preserve"> value, was 0.974 (95% CI: 0.799 to 1.188) (</w:t>
      </w:r>
      <w:r w:rsidR="00045FA7">
        <w:t>Table 10</w:t>
      </w:r>
      <w:r w:rsidRPr="009149EF">
        <w:t xml:space="preserve">). As the 95% CI upper limit was below the non-inferiority margin of 1.25, the study met its primary endpoint; i.e. the </w:t>
      </w:r>
      <w:proofErr w:type="spellStart"/>
      <w:r w:rsidRPr="009149EF">
        <w:t>Zoladex</w:t>
      </w:r>
      <w:proofErr w:type="spellEnd"/>
      <w:r w:rsidRPr="009149EF">
        <w:t xml:space="preserve"> (goserelin) 10.8 mg implant every 12 weeks was non-inferior to </w:t>
      </w:r>
      <w:proofErr w:type="spellStart"/>
      <w:r w:rsidRPr="009149EF">
        <w:t>Zoladex</w:t>
      </w:r>
      <w:proofErr w:type="spellEnd"/>
      <w:r w:rsidRPr="009149EF">
        <w:t xml:space="preserve"> (goserelin) 3.6 mg implant every 4 weeks in terms of </w:t>
      </w:r>
      <w:proofErr w:type="spellStart"/>
      <w:r w:rsidRPr="009149EF">
        <w:t>E2</w:t>
      </w:r>
      <w:proofErr w:type="spellEnd"/>
      <w:r w:rsidRPr="009149EF">
        <w:t xml:space="preserve"> suppression in premenopausal patients with ER-positive early breast cancer receiving concomitant daily tamoxifen 20 mg.</w:t>
      </w:r>
    </w:p>
    <w:p w14:paraId="2735ACF3" w14:textId="5EA2EE15" w:rsidR="009149EF" w:rsidRDefault="009149EF" w:rsidP="00550154">
      <w:pPr>
        <w:pStyle w:val="TableTitle"/>
      </w:pPr>
      <w:bookmarkStart w:id="52" w:name="_Ref236219121"/>
      <w:bookmarkStart w:id="53" w:name="_Ref237528088"/>
      <w:r w:rsidRPr="009149EF">
        <w:lastRenderedPageBreak/>
        <w:t>Table</w:t>
      </w:r>
      <w:bookmarkEnd w:id="52"/>
      <w:r w:rsidR="00045FA7">
        <w:t xml:space="preserve"> 10.</w:t>
      </w:r>
      <w:r w:rsidRPr="009149EF">
        <w:t xml:space="preserve"> Analysis of AUC of </w:t>
      </w:r>
      <w:proofErr w:type="spellStart"/>
      <w:r w:rsidRPr="009149EF">
        <w:t>E2</w:t>
      </w:r>
      <w:proofErr w:type="spellEnd"/>
      <w:r w:rsidRPr="009149EF">
        <w:t xml:space="preserve"> serum concentration from Week 4 to Week 24 (FAS)</w:t>
      </w:r>
      <w:bookmarkEnd w:id="53"/>
    </w:p>
    <w:p w14:paraId="6F776AC3" w14:textId="76D309DD" w:rsidR="00045FA7" w:rsidRDefault="00045FA7" w:rsidP="00550154">
      <w:r w:rsidRPr="00FC402A">
        <w:rPr>
          <w:noProof/>
        </w:rPr>
        <w:drawing>
          <wp:inline distT="0" distB="0" distL="0" distR="0" wp14:anchorId="192E6630" wp14:editId="3E38D56D">
            <wp:extent cx="5716226" cy="1367942"/>
            <wp:effectExtent l="0" t="0" r="0" b="3810"/>
            <wp:docPr id="1512500193" name="Picture 1" descr="Table 10. Analysis of AUC of E2 serum concentration from Week 4 to Week 24 (F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500193" name="Picture 1" descr="Table 10. Analysis of AUC of E2 serum concentration from Week 4 to Week 24 (FAS)"/>
                    <pic:cNvPicPr/>
                  </pic:nvPicPr>
                  <pic:blipFill>
                    <a:blip r:embed="rId37">
                      <a:extLst>
                        <a:ext uri="{BEBA8EAE-BF5A-486C-A8C5-ECC9F3942E4B}">
                          <a14:imgProps xmlns:a14="http://schemas.microsoft.com/office/drawing/2010/main">
                            <a14:imgLayer r:embed="rId38">
                              <a14:imgEffect>
                                <a14:sharpenSoften amount="25000"/>
                              </a14:imgEffect>
                            </a14:imgLayer>
                          </a14:imgProps>
                        </a:ext>
                      </a:extLst>
                    </a:blip>
                    <a:stretch>
                      <a:fillRect/>
                    </a:stretch>
                  </pic:blipFill>
                  <pic:spPr>
                    <a:xfrm>
                      <a:off x="0" y="0"/>
                      <a:ext cx="5736599" cy="1372818"/>
                    </a:xfrm>
                    <a:prstGeom prst="rect">
                      <a:avLst/>
                    </a:prstGeom>
                  </pic:spPr>
                </pic:pic>
              </a:graphicData>
            </a:graphic>
          </wp:inline>
        </w:drawing>
      </w:r>
    </w:p>
    <w:p w14:paraId="58296F69" w14:textId="1D89A7E0" w:rsidR="00045FA7" w:rsidRDefault="00D369BE" w:rsidP="00550154">
      <w:pPr>
        <w:pStyle w:val="TableDescription"/>
      </w:pPr>
      <w:r w:rsidRPr="00D369BE">
        <w:t xml:space="preserve">Analysis of Covariance </w:t>
      </w:r>
      <w:r w:rsidR="00045FA7">
        <w:t>model including treatment as fixed factor, and log(baseline) as a covariate.</w:t>
      </w:r>
    </w:p>
    <w:p w14:paraId="48A3E7C9" w14:textId="77777777" w:rsidR="00045FA7" w:rsidRDefault="00045FA7" w:rsidP="00550154">
      <w:pPr>
        <w:pStyle w:val="TableDescription"/>
      </w:pPr>
      <w:proofErr w:type="spellStart"/>
      <w:r>
        <w:t>LOQ</w:t>
      </w:r>
      <w:proofErr w:type="spellEnd"/>
      <w:r>
        <w:t xml:space="preserve"> of </w:t>
      </w:r>
      <w:proofErr w:type="spellStart"/>
      <w:r>
        <w:t>E2</w:t>
      </w:r>
      <w:proofErr w:type="spellEnd"/>
      <w:r>
        <w:t xml:space="preserve">: 1.4 </w:t>
      </w:r>
      <w:proofErr w:type="spellStart"/>
      <w:r>
        <w:t>pg</w:t>
      </w:r>
      <w:proofErr w:type="spellEnd"/>
      <w:r>
        <w:t>/mL</w:t>
      </w:r>
    </w:p>
    <w:p w14:paraId="7E1E312C" w14:textId="52FFDF49" w:rsidR="00045FA7" w:rsidRPr="009149EF" w:rsidRDefault="00045FA7" w:rsidP="00550154">
      <w:pPr>
        <w:pStyle w:val="TableDescription"/>
      </w:pPr>
      <w:r>
        <w:t xml:space="preserve">Values below the </w:t>
      </w:r>
      <w:proofErr w:type="spellStart"/>
      <w:r>
        <w:t>LOQ</w:t>
      </w:r>
      <w:proofErr w:type="spellEnd"/>
      <w:r>
        <w:t xml:space="preserve"> were handled as 0.7 </w:t>
      </w:r>
      <w:proofErr w:type="spellStart"/>
      <w:r>
        <w:t>pg</w:t>
      </w:r>
      <w:proofErr w:type="spellEnd"/>
      <w:r>
        <w:t>/</w:t>
      </w:r>
      <w:proofErr w:type="spellStart"/>
      <w:r>
        <w:t>mL.</w:t>
      </w:r>
      <w:proofErr w:type="spellEnd"/>
    </w:p>
    <w:p w14:paraId="683835C1" w14:textId="07FF8881" w:rsidR="009149EF" w:rsidRDefault="00045FA7" w:rsidP="00550154">
      <w:r w:rsidRPr="00045FA7">
        <w:t xml:space="preserve">Mean plot of </w:t>
      </w:r>
      <w:proofErr w:type="spellStart"/>
      <w:r w:rsidRPr="00045FA7">
        <w:t>E2</w:t>
      </w:r>
      <w:proofErr w:type="spellEnd"/>
      <w:r w:rsidRPr="00045FA7">
        <w:t xml:space="preserve"> serum concentration versus time to Week 24 is shown in Figure 3. The median serum </w:t>
      </w:r>
      <w:proofErr w:type="spellStart"/>
      <w:r w:rsidRPr="00045FA7">
        <w:t>E2</w:t>
      </w:r>
      <w:proofErr w:type="spellEnd"/>
      <w:r w:rsidRPr="00045FA7">
        <w:t xml:space="preserve"> concentration was 0.70 </w:t>
      </w:r>
      <w:proofErr w:type="spellStart"/>
      <w:r w:rsidRPr="00045FA7">
        <w:t>pg</w:t>
      </w:r>
      <w:proofErr w:type="spellEnd"/>
      <w:r w:rsidRPr="00045FA7">
        <w:t>/mL in both treatment groups for all measured time points from Week 4 (</w:t>
      </w:r>
      <w:proofErr w:type="spellStart"/>
      <w:r w:rsidRPr="00045FA7">
        <w:t>4W</w:t>
      </w:r>
      <w:proofErr w:type="spellEnd"/>
      <w:r w:rsidRPr="00045FA7">
        <w:t xml:space="preserve">, </w:t>
      </w:r>
      <w:proofErr w:type="spellStart"/>
      <w:r w:rsidRPr="00045FA7">
        <w:t>8W</w:t>
      </w:r>
      <w:proofErr w:type="spellEnd"/>
      <w:r w:rsidRPr="00045FA7">
        <w:t xml:space="preserve">, </w:t>
      </w:r>
      <w:proofErr w:type="spellStart"/>
      <w:r w:rsidRPr="00045FA7">
        <w:t>10W</w:t>
      </w:r>
      <w:proofErr w:type="spellEnd"/>
      <w:r w:rsidRPr="00045FA7">
        <w:t xml:space="preserve">, </w:t>
      </w:r>
      <w:proofErr w:type="spellStart"/>
      <w:r w:rsidRPr="00045FA7">
        <w:t>12W</w:t>
      </w:r>
      <w:proofErr w:type="spellEnd"/>
      <w:r w:rsidRPr="00045FA7">
        <w:t xml:space="preserve">, </w:t>
      </w:r>
      <w:proofErr w:type="spellStart"/>
      <w:r w:rsidRPr="00045FA7">
        <w:t>16W</w:t>
      </w:r>
      <w:proofErr w:type="spellEnd"/>
      <w:r w:rsidRPr="00045FA7">
        <w:t xml:space="preserve">, </w:t>
      </w:r>
      <w:proofErr w:type="spellStart"/>
      <w:r w:rsidRPr="00045FA7">
        <w:t>20W</w:t>
      </w:r>
      <w:proofErr w:type="spellEnd"/>
      <w:r w:rsidRPr="00045FA7">
        <w:t xml:space="preserve">, </w:t>
      </w:r>
      <w:proofErr w:type="spellStart"/>
      <w:r w:rsidRPr="00045FA7">
        <w:t>22W</w:t>
      </w:r>
      <w:proofErr w:type="spellEnd"/>
      <w:r w:rsidRPr="00045FA7">
        <w:t xml:space="preserve">, </w:t>
      </w:r>
      <w:proofErr w:type="spellStart"/>
      <w:r w:rsidRPr="00045FA7">
        <w:t>24W</w:t>
      </w:r>
      <w:proofErr w:type="spellEnd"/>
      <w:r w:rsidRPr="00045FA7">
        <w:t xml:space="preserve">, </w:t>
      </w:r>
      <w:proofErr w:type="spellStart"/>
      <w:r w:rsidRPr="00045FA7">
        <w:t>48W</w:t>
      </w:r>
      <w:proofErr w:type="spellEnd"/>
      <w:r w:rsidRPr="00045FA7">
        <w:t xml:space="preserve">, </w:t>
      </w:r>
      <w:proofErr w:type="spellStart"/>
      <w:r w:rsidRPr="00045FA7">
        <w:t>72W</w:t>
      </w:r>
      <w:proofErr w:type="spellEnd"/>
      <w:r w:rsidRPr="00045FA7">
        <w:t>).</w:t>
      </w:r>
    </w:p>
    <w:p w14:paraId="541F56AE" w14:textId="67670DC0" w:rsidR="00045FA7" w:rsidRDefault="00045FA7" w:rsidP="00550154">
      <w:pPr>
        <w:pStyle w:val="FigureTitle"/>
      </w:pPr>
      <w:r w:rsidRPr="00045FA7">
        <w:t xml:space="preserve">Figure </w:t>
      </w:r>
      <w:r>
        <w:t>3.</w:t>
      </w:r>
      <w:r w:rsidRPr="00045FA7">
        <w:t xml:space="preserve"> Mean plot of </w:t>
      </w:r>
      <w:proofErr w:type="spellStart"/>
      <w:r w:rsidRPr="00045FA7">
        <w:t>E2</w:t>
      </w:r>
      <w:proofErr w:type="spellEnd"/>
      <w:r w:rsidRPr="00045FA7">
        <w:t xml:space="preserve"> serum concentration versus time (24 weeks) (FAS)</w:t>
      </w:r>
    </w:p>
    <w:p w14:paraId="20E24D90" w14:textId="29DA766A" w:rsidR="00045FA7" w:rsidRDefault="00045FA7" w:rsidP="00550154">
      <w:r w:rsidRPr="00045FA7">
        <w:rPr>
          <w:noProof/>
        </w:rPr>
        <w:drawing>
          <wp:inline distT="0" distB="0" distL="0" distR="0" wp14:anchorId="3CFD82BF" wp14:editId="11DC5ADD">
            <wp:extent cx="3966256" cy="3123591"/>
            <wp:effectExtent l="0" t="0" r="0" b="635"/>
            <wp:docPr id="1408113305" name="Picture 1" descr="Figure 3. Mean plot of E2 serum concentration versus time (24 weeks) (F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113305" name="Picture 1" descr="Figure 3. Mean plot of E2 serum concentration versus time (24 weeks) (FAS)"/>
                    <pic:cNvPicPr/>
                  </pic:nvPicPr>
                  <pic:blipFill>
                    <a:blip r:embed="rId39"/>
                    <a:stretch>
                      <a:fillRect/>
                    </a:stretch>
                  </pic:blipFill>
                  <pic:spPr>
                    <a:xfrm>
                      <a:off x="0" y="0"/>
                      <a:ext cx="3983127" cy="3136878"/>
                    </a:xfrm>
                    <a:prstGeom prst="rect">
                      <a:avLst/>
                    </a:prstGeom>
                  </pic:spPr>
                </pic:pic>
              </a:graphicData>
            </a:graphic>
          </wp:inline>
        </w:drawing>
      </w:r>
    </w:p>
    <w:p w14:paraId="2BF095B1" w14:textId="77777777" w:rsidR="00045FA7" w:rsidRDefault="00045FA7" w:rsidP="00550154">
      <w:pPr>
        <w:pStyle w:val="FigureDescription"/>
      </w:pPr>
      <w:proofErr w:type="spellStart"/>
      <w:r>
        <w:t>LOQ</w:t>
      </w:r>
      <w:proofErr w:type="spellEnd"/>
      <w:r>
        <w:t xml:space="preserve"> of </w:t>
      </w:r>
      <w:proofErr w:type="spellStart"/>
      <w:r>
        <w:t>E2</w:t>
      </w:r>
      <w:proofErr w:type="spellEnd"/>
      <w:r>
        <w:t xml:space="preserve">: 1.4 </w:t>
      </w:r>
      <w:proofErr w:type="spellStart"/>
      <w:r>
        <w:t>pg</w:t>
      </w:r>
      <w:proofErr w:type="spellEnd"/>
      <w:r>
        <w:t>/mL</w:t>
      </w:r>
    </w:p>
    <w:p w14:paraId="3CE77E15" w14:textId="5B123CA8" w:rsidR="00045FA7" w:rsidRDefault="00045FA7" w:rsidP="00045FA7">
      <w:pPr>
        <w:pStyle w:val="FigureDescription"/>
      </w:pPr>
      <w:r>
        <w:t xml:space="preserve">Values below the </w:t>
      </w:r>
      <w:proofErr w:type="spellStart"/>
      <w:r>
        <w:t>LOQ</w:t>
      </w:r>
      <w:proofErr w:type="spellEnd"/>
      <w:r>
        <w:t xml:space="preserve"> were handled as 0.7 </w:t>
      </w:r>
      <w:proofErr w:type="spellStart"/>
      <w:r>
        <w:t>pg</w:t>
      </w:r>
      <w:proofErr w:type="spellEnd"/>
      <w:r>
        <w:t>/mL</w:t>
      </w:r>
    </w:p>
    <w:p w14:paraId="53F3F01A" w14:textId="079E65D8" w:rsidR="00045FA7" w:rsidRDefault="00045FA7" w:rsidP="00550154">
      <w:r w:rsidRPr="00045FA7">
        <w:t xml:space="preserve">Most patients (≥98.8%) had </w:t>
      </w:r>
      <w:proofErr w:type="spellStart"/>
      <w:r w:rsidRPr="00045FA7">
        <w:t>E2</w:t>
      </w:r>
      <w:proofErr w:type="spellEnd"/>
      <w:r w:rsidRPr="00045FA7">
        <w:t xml:space="preserve"> serum concentrations below 30 </w:t>
      </w:r>
      <w:proofErr w:type="spellStart"/>
      <w:r w:rsidRPr="00045FA7">
        <w:t>pg</w:t>
      </w:r>
      <w:proofErr w:type="spellEnd"/>
      <w:r w:rsidRPr="00045FA7">
        <w:t>/mL from Week 4 onwards</w:t>
      </w:r>
      <w:r w:rsidR="00A96520">
        <w:t xml:space="preserve"> (Table 1</w:t>
      </w:r>
      <w:r w:rsidR="009F5787">
        <w:t>1</w:t>
      </w:r>
      <w:r w:rsidR="00A96520">
        <w:t>)</w:t>
      </w:r>
      <w:r w:rsidRPr="00045FA7">
        <w:t>.</w:t>
      </w:r>
    </w:p>
    <w:p w14:paraId="29557E7C" w14:textId="351E4AF3" w:rsidR="00045FA7" w:rsidRDefault="00045FA7" w:rsidP="00550154">
      <w:pPr>
        <w:pStyle w:val="TableTitle"/>
      </w:pPr>
      <w:r w:rsidRPr="00045FA7">
        <w:lastRenderedPageBreak/>
        <w:t>Table 1</w:t>
      </w:r>
      <w:r w:rsidR="009F5787">
        <w:t>1</w:t>
      </w:r>
      <w:r>
        <w:t>.</w:t>
      </w:r>
      <w:r w:rsidRPr="00045FA7">
        <w:t xml:space="preserve"> Summary of percentage of patients with </w:t>
      </w:r>
      <w:proofErr w:type="spellStart"/>
      <w:r w:rsidRPr="00045FA7">
        <w:t>E2</w:t>
      </w:r>
      <w:proofErr w:type="spellEnd"/>
      <w:r w:rsidRPr="00045FA7">
        <w:t xml:space="preserve"> serum concentrations less than 30 </w:t>
      </w:r>
      <w:proofErr w:type="spellStart"/>
      <w:r w:rsidRPr="00045FA7">
        <w:t>pg</w:t>
      </w:r>
      <w:proofErr w:type="spellEnd"/>
      <w:r w:rsidRPr="00045FA7">
        <w:t>/mL (FAS)</w:t>
      </w:r>
    </w:p>
    <w:p w14:paraId="7D014505" w14:textId="738764B8" w:rsidR="00045FA7" w:rsidRPr="00AF090B" w:rsidRDefault="00045FA7" w:rsidP="00550154">
      <w:r w:rsidRPr="00522F89">
        <w:rPr>
          <w:noProof/>
        </w:rPr>
        <w:drawing>
          <wp:inline distT="0" distB="0" distL="0" distR="0" wp14:anchorId="2C2FE327" wp14:editId="3C3843A1">
            <wp:extent cx="4962794" cy="3174187"/>
            <wp:effectExtent l="0" t="0" r="0" b="7620"/>
            <wp:docPr id="385167925" name="Picture 1" descr="Table 11. Summary of percentage of patients with E2 serum concentrations less than 30 pg/mL (F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167925" name="Picture 1" descr="Table 11. Summary of percentage of patients with E2 serum concentrations less than 30 pg/mL (FAS)"/>
                    <pic:cNvPicPr/>
                  </pic:nvPicPr>
                  <pic:blipFill>
                    <a:blip r:embed="rId40">
                      <a:extLst>
                        <a:ext uri="{BEBA8EAE-BF5A-486C-A8C5-ECC9F3942E4B}">
                          <a14:imgProps xmlns:a14="http://schemas.microsoft.com/office/drawing/2010/main">
                            <a14:imgLayer r:embed="rId41">
                              <a14:imgEffect>
                                <a14:sharpenSoften amount="25000"/>
                              </a14:imgEffect>
                            </a14:imgLayer>
                          </a14:imgProps>
                        </a:ext>
                      </a:extLst>
                    </a:blip>
                    <a:stretch>
                      <a:fillRect/>
                    </a:stretch>
                  </pic:blipFill>
                  <pic:spPr>
                    <a:xfrm>
                      <a:off x="0" y="0"/>
                      <a:ext cx="4997801" cy="3196577"/>
                    </a:xfrm>
                    <a:prstGeom prst="rect">
                      <a:avLst/>
                    </a:prstGeom>
                  </pic:spPr>
                </pic:pic>
              </a:graphicData>
            </a:graphic>
          </wp:inline>
        </w:drawing>
      </w:r>
    </w:p>
    <w:p w14:paraId="51CB8A4B" w14:textId="77777777" w:rsidR="00045FA7" w:rsidRPr="00045FA7" w:rsidRDefault="00045FA7" w:rsidP="00550154">
      <w:r w:rsidRPr="00045FA7">
        <w:t>The proportion of patients who had menses from Week 0 to Week 4 of treatment was 72.6% for the 3.6 mg group and 67.4% for the 10.8 mg group. This decreased to 1.2% and 2.3%, respectively, from Week 4 to Week 8, indicating that almost all the patients became amenorrheic. In the 10.8 mg group, no patients were confirmed to have menses after Week 12.</w:t>
      </w:r>
    </w:p>
    <w:p w14:paraId="08854620" w14:textId="77777777" w:rsidR="00045FA7" w:rsidRPr="00045FA7" w:rsidRDefault="00045FA7" w:rsidP="00550154">
      <w:r w:rsidRPr="00045FA7">
        <w:t>Baseline mean FSH serum concentrations were 7.716 IU/L and 8.178 IU/L in the 3.6 mg and 10.8 mg groups, respectively. Mean FSH measurements after Week 4 were suppressed in both treatment groups and the mean values were in a range of 1.283 IU/L to 2.061 IU/L.</w:t>
      </w:r>
    </w:p>
    <w:p w14:paraId="5AD9961F" w14:textId="77777777" w:rsidR="00045FA7" w:rsidRPr="00045FA7" w:rsidRDefault="00045FA7" w:rsidP="00045FA7">
      <w:pPr>
        <w:pStyle w:val="Heading6"/>
      </w:pPr>
      <w:r w:rsidRPr="00045FA7">
        <w:t xml:space="preserve">Study </w:t>
      </w:r>
      <w:proofErr w:type="spellStart"/>
      <w:r w:rsidRPr="00045FA7">
        <w:t>D8664C00008</w:t>
      </w:r>
      <w:proofErr w:type="spellEnd"/>
    </w:p>
    <w:p w14:paraId="68610C62" w14:textId="77777777" w:rsidR="00045FA7" w:rsidRPr="00045FA7" w:rsidRDefault="00045FA7" w:rsidP="00550154">
      <w:r w:rsidRPr="00045FA7">
        <w:t xml:space="preserve">The </w:t>
      </w:r>
      <w:proofErr w:type="spellStart"/>
      <w:r w:rsidRPr="00045FA7">
        <w:t>LLOQ</w:t>
      </w:r>
      <w:proofErr w:type="spellEnd"/>
      <w:r w:rsidRPr="00045FA7">
        <w:t xml:space="preserve"> for the </w:t>
      </w:r>
      <w:proofErr w:type="spellStart"/>
      <w:r w:rsidRPr="00045FA7">
        <w:t>E2</w:t>
      </w:r>
      <w:proofErr w:type="spellEnd"/>
      <w:r w:rsidRPr="00045FA7">
        <w:t xml:space="preserve"> serum assay used in this study was 5 </w:t>
      </w:r>
      <w:proofErr w:type="spellStart"/>
      <w:r w:rsidRPr="00045FA7">
        <w:t>pmol</w:t>
      </w:r>
      <w:proofErr w:type="spellEnd"/>
      <w:r w:rsidRPr="00045FA7">
        <w:t>/L</w:t>
      </w:r>
      <w:r w:rsidRPr="00045FA7">
        <w:rPr>
          <w:vertAlign w:val="superscript"/>
        </w:rPr>
        <w:footnoteReference w:id="17"/>
      </w:r>
      <w:r w:rsidRPr="00045FA7">
        <w:t xml:space="preserve">. Any values &lt;5 </w:t>
      </w:r>
      <w:proofErr w:type="spellStart"/>
      <w:r w:rsidRPr="00045FA7">
        <w:t>pmol</w:t>
      </w:r>
      <w:proofErr w:type="spellEnd"/>
      <w:r w:rsidRPr="00045FA7">
        <w:t xml:space="preserve">/L were summarised and analysed as 2.50 </w:t>
      </w:r>
      <w:proofErr w:type="spellStart"/>
      <w:r w:rsidRPr="00045FA7">
        <w:t>pmol</w:t>
      </w:r>
      <w:proofErr w:type="spellEnd"/>
      <w:r w:rsidRPr="00045FA7">
        <w:t>/L.</w:t>
      </w:r>
    </w:p>
    <w:p w14:paraId="6E2505BB" w14:textId="77777777" w:rsidR="00045FA7" w:rsidRPr="00045FA7" w:rsidRDefault="00045FA7" w:rsidP="00045FA7">
      <w:r w:rsidRPr="00045FA7">
        <w:t>On Day 1 and from Week 12 onwards, blood samples were drawn prior to goserelin administration.</w:t>
      </w:r>
    </w:p>
    <w:p w14:paraId="1D59D9FC" w14:textId="0C38094D" w:rsidR="00045FA7" w:rsidRPr="00045FA7" w:rsidRDefault="00045FA7" w:rsidP="00045FA7">
      <w:r w:rsidRPr="00045FA7">
        <w:t>Parametric statistical analyses (</w:t>
      </w:r>
      <w:proofErr w:type="spellStart"/>
      <w:r w:rsidRPr="00045FA7">
        <w:t>ANCOVA</w:t>
      </w:r>
      <w:proofErr w:type="spellEnd"/>
      <w:r w:rsidRPr="00045FA7">
        <w:t xml:space="preserve"> of log </w:t>
      </w:r>
      <w:proofErr w:type="spellStart"/>
      <w:r w:rsidRPr="00045FA7">
        <w:t>E2</w:t>
      </w:r>
      <w:proofErr w:type="spellEnd"/>
      <w:r w:rsidRPr="00045FA7">
        <w:t xml:space="preserve">, with treatment group and log baseline </w:t>
      </w:r>
      <w:proofErr w:type="spellStart"/>
      <w:r w:rsidRPr="00045FA7">
        <w:t>E2</w:t>
      </w:r>
      <w:proofErr w:type="spellEnd"/>
      <w:r w:rsidRPr="00045FA7">
        <w:t xml:space="preserve"> serum concentrations as covariates) indicated comparable </w:t>
      </w:r>
      <w:proofErr w:type="spellStart"/>
      <w:r w:rsidRPr="00045FA7">
        <w:t>E2</w:t>
      </w:r>
      <w:proofErr w:type="spellEnd"/>
      <w:r w:rsidRPr="00045FA7">
        <w:t xml:space="preserve"> serum concentrations between the 2 treatment groups at Week 12 and Week 24 in the full analysis population</w:t>
      </w:r>
      <w:r w:rsidR="009F5787">
        <w:t xml:space="preserve"> (Table 12)</w:t>
      </w:r>
      <w:r w:rsidRPr="00045FA7">
        <w:t>. The same calculations in the subgroup of Caucasian patients (n=59) also showed little difference between the two treatment groups at Week 12 (treatment ratio [10.8 mg / 3.6 mg] = 1.10; 95% CI: 0.48, 2.53) or Week 24 (treatment ratio = 1.16; 95% CI: 0.56, 2.37).</w:t>
      </w:r>
    </w:p>
    <w:p w14:paraId="1B0C668D" w14:textId="77777777" w:rsidR="00045FA7" w:rsidRPr="00045FA7" w:rsidRDefault="00045FA7" w:rsidP="00045FA7">
      <w:r w:rsidRPr="00045FA7">
        <w:t xml:space="preserve">The median </w:t>
      </w:r>
      <w:proofErr w:type="spellStart"/>
      <w:r w:rsidRPr="00045FA7">
        <w:t>E2</w:t>
      </w:r>
      <w:proofErr w:type="spellEnd"/>
      <w:r w:rsidRPr="00045FA7">
        <w:t xml:space="preserve"> serum concentration was 2.50 </w:t>
      </w:r>
      <w:proofErr w:type="spellStart"/>
      <w:r w:rsidRPr="00045FA7">
        <w:t>pmol</w:t>
      </w:r>
      <w:proofErr w:type="spellEnd"/>
      <w:r w:rsidRPr="00045FA7">
        <w:t>/L for both treatment groups in the FAS at Week 12 and Week 24.</w:t>
      </w:r>
    </w:p>
    <w:p w14:paraId="17188579" w14:textId="0F8DEBB5" w:rsidR="00045FA7" w:rsidRDefault="00045FA7" w:rsidP="00550154">
      <w:pPr>
        <w:pStyle w:val="TableTitle"/>
      </w:pPr>
      <w:bookmarkStart w:id="54" w:name="_Ref236233182"/>
      <w:r w:rsidRPr="00045FA7">
        <w:lastRenderedPageBreak/>
        <w:t>Table</w:t>
      </w:r>
      <w:bookmarkEnd w:id="54"/>
      <w:r w:rsidR="00A96520">
        <w:t xml:space="preserve"> 1</w:t>
      </w:r>
      <w:r w:rsidR="009F5787">
        <w:t>2</w:t>
      </w:r>
      <w:r w:rsidR="00A96520">
        <w:t>.</w:t>
      </w:r>
      <w:r w:rsidRPr="00045FA7">
        <w:t xml:space="preserve"> </w:t>
      </w:r>
      <w:proofErr w:type="spellStart"/>
      <w:r w:rsidRPr="00045FA7">
        <w:t>E2</w:t>
      </w:r>
      <w:proofErr w:type="spellEnd"/>
      <w:r w:rsidRPr="00045FA7">
        <w:t xml:space="preserve"> serum concentrations (</w:t>
      </w:r>
      <w:proofErr w:type="spellStart"/>
      <w:r w:rsidRPr="00045FA7">
        <w:t>pmol</w:t>
      </w:r>
      <w:proofErr w:type="spellEnd"/>
      <w:r w:rsidRPr="00045FA7">
        <w:t xml:space="preserve">/L) at </w:t>
      </w:r>
      <w:r w:rsidR="00A96520">
        <w:t>w</w:t>
      </w:r>
      <w:r w:rsidRPr="00045FA7">
        <w:t>eeks 12 and 24 (</w:t>
      </w:r>
      <w:proofErr w:type="spellStart"/>
      <w:r w:rsidRPr="00045FA7">
        <w:t>LOCF</w:t>
      </w:r>
      <w:proofErr w:type="spellEnd"/>
      <w:r w:rsidRPr="00045FA7">
        <w:t>) (FAS)</w:t>
      </w:r>
    </w:p>
    <w:p w14:paraId="4FC577B8" w14:textId="658EA4FC" w:rsidR="00A96520" w:rsidRDefault="00A96520" w:rsidP="00550154">
      <w:r w:rsidRPr="00663CBF">
        <w:rPr>
          <w:noProof/>
        </w:rPr>
        <w:drawing>
          <wp:inline distT="0" distB="0" distL="0" distR="0" wp14:anchorId="2C5C3AE7" wp14:editId="44E5FBA1">
            <wp:extent cx="4696358" cy="2818542"/>
            <wp:effectExtent l="0" t="0" r="0" b="1270"/>
            <wp:docPr id="1583056503" name="Picture 1" descr="Table 12. E2 serum concentrations (pmol/L) at weeks 12 and 24 (LOCF) (F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056503" name="Picture 1" descr="Table 12. E2 serum concentrations (pmol/L) at weeks 12 and 24 (LOCF) (FAS)"/>
                    <pic:cNvPicPr/>
                  </pic:nvPicPr>
                  <pic:blipFill>
                    <a:blip r:embed="rId42">
                      <a:extLst>
                        <a:ext uri="{BEBA8EAE-BF5A-486C-A8C5-ECC9F3942E4B}">
                          <a14:imgProps xmlns:a14="http://schemas.microsoft.com/office/drawing/2010/main">
                            <a14:imgLayer r:embed="rId43">
                              <a14:imgEffect>
                                <a14:sharpenSoften amount="25000"/>
                              </a14:imgEffect>
                            </a14:imgLayer>
                          </a14:imgProps>
                        </a:ext>
                      </a:extLst>
                    </a:blip>
                    <a:stretch>
                      <a:fillRect/>
                    </a:stretch>
                  </pic:blipFill>
                  <pic:spPr>
                    <a:xfrm>
                      <a:off x="0" y="0"/>
                      <a:ext cx="4723847" cy="2835039"/>
                    </a:xfrm>
                    <a:prstGeom prst="rect">
                      <a:avLst/>
                    </a:prstGeom>
                  </pic:spPr>
                </pic:pic>
              </a:graphicData>
            </a:graphic>
          </wp:inline>
        </w:drawing>
      </w:r>
    </w:p>
    <w:p w14:paraId="6CAA67D0" w14:textId="77777777" w:rsidR="00A96520" w:rsidRDefault="00A96520" w:rsidP="00550154">
      <w:pPr>
        <w:pStyle w:val="TableDescription"/>
      </w:pPr>
      <w:r>
        <w:t xml:space="preserve">CI: confidence interval; </w:t>
      </w:r>
      <w:proofErr w:type="spellStart"/>
      <w:r>
        <w:t>E2</w:t>
      </w:r>
      <w:proofErr w:type="spellEnd"/>
      <w:r>
        <w:t xml:space="preserve">: oestradiol; FAS: full analysis set; </w:t>
      </w:r>
      <w:proofErr w:type="spellStart"/>
      <w:r>
        <w:t>LOCF</w:t>
      </w:r>
      <w:proofErr w:type="spellEnd"/>
      <w:r>
        <w:t>: last observation carried forward; N: number of patients in analysis set; n: number of patients in category; SD: standard deviation</w:t>
      </w:r>
    </w:p>
    <w:p w14:paraId="605D8A66" w14:textId="77777777" w:rsidR="00A96520" w:rsidRDefault="00A96520" w:rsidP="00550154">
      <w:pPr>
        <w:pStyle w:val="TableDescription"/>
      </w:pPr>
      <w:r>
        <w:t>a Treatment ratio (10.8 mg / 3.6 mg)</w:t>
      </w:r>
    </w:p>
    <w:p w14:paraId="7F93645C" w14:textId="77777777" w:rsidR="00A96520" w:rsidRDefault="00A96520" w:rsidP="00550154">
      <w:pPr>
        <w:pStyle w:val="TableDescription"/>
      </w:pPr>
      <w:r>
        <w:t>b Hodges Lehmann estimate of the difference in medians</w:t>
      </w:r>
    </w:p>
    <w:p w14:paraId="547E208C" w14:textId="77777777" w:rsidR="00A96520" w:rsidRDefault="00A96520" w:rsidP="00550154">
      <w:pPr>
        <w:pStyle w:val="TableDescription"/>
      </w:pPr>
      <w:r>
        <w:t>c Secondary efficacy analysis</w:t>
      </w:r>
    </w:p>
    <w:p w14:paraId="05B36FE8" w14:textId="77777777" w:rsidR="00A96520" w:rsidRDefault="00A96520" w:rsidP="00550154">
      <w:pPr>
        <w:pStyle w:val="TableDescription"/>
      </w:pPr>
      <w:r>
        <w:t xml:space="preserve">d </w:t>
      </w:r>
      <w:proofErr w:type="gramStart"/>
      <w:r>
        <w:t>The</w:t>
      </w:r>
      <w:proofErr w:type="gramEnd"/>
      <w:r>
        <w:t xml:space="preserve"> lower limit of quantification for the </w:t>
      </w:r>
      <w:proofErr w:type="spellStart"/>
      <w:r>
        <w:t>E2</w:t>
      </w:r>
      <w:proofErr w:type="spellEnd"/>
      <w:r>
        <w:t xml:space="preserve"> serum assay used in this study was 5 </w:t>
      </w:r>
      <w:proofErr w:type="spellStart"/>
      <w:r>
        <w:t>pmol</w:t>
      </w:r>
      <w:proofErr w:type="spellEnd"/>
      <w:r>
        <w:t xml:space="preserve">/L. Any values &lt;5 </w:t>
      </w:r>
      <w:proofErr w:type="spellStart"/>
      <w:r>
        <w:t>pmol</w:t>
      </w:r>
      <w:proofErr w:type="spellEnd"/>
      <w:r>
        <w:t xml:space="preserve">/L were summarised and analysed as 2.50 </w:t>
      </w:r>
      <w:proofErr w:type="spellStart"/>
      <w:r>
        <w:t>pmol</w:t>
      </w:r>
      <w:proofErr w:type="spellEnd"/>
      <w:r>
        <w:t>/L (the midpoint between 0 and the lower limit of quantification)</w:t>
      </w:r>
    </w:p>
    <w:p w14:paraId="33C1D4BA" w14:textId="001B9225" w:rsidR="00A96520" w:rsidRDefault="00A96520" w:rsidP="00A96520">
      <w:pPr>
        <w:pStyle w:val="TableDescription"/>
      </w:pPr>
      <w:proofErr w:type="spellStart"/>
      <w:r>
        <w:t>LOCF</w:t>
      </w:r>
      <w:proofErr w:type="spellEnd"/>
      <w:r>
        <w:t xml:space="preserve"> was applied to </w:t>
      </w:r>
      <w:proofErr w:type="spellStart"/>
      <w:r>
        <w:t>E2</w:t>
      </w:r>
      <w:proofErr w:type="spellEnd"/>
      <w:r>
        <w:t xml:space="preserve"> serum concentrations and results were log transformed for the analysis. The least squares </w:t>
      </w:r>
      <w:proofErr w:type="gramStart"/>
      <w:r>
        <w:t>means</w:t>
      </w:r>
      <w:proofErr w:type="gramEnd"/>
      <w:r>
        <w:t>, difference in least squares means and confidence interval have been back transformed.</w:t>
      </w:r>
    </w:p>
    <w:p w14:paraId="7D54D067" w14:textId="77777777" w:rsidR="00A96520" w:rsidRDefault="00A96520" w:rsidP="00A96520">
      <w:pPr>
        <w:pStyle w:val="Heading6"/>
      </w:pPr>
      <w:bookmarkStart w:id="55" w:name="_Ref240632098"/>
      <w:r>
        <w:t>Effect of race on pharmacodynamics</w:t>
      </w:r>
      <w:bookmarkEnd w:id="55"/>
    </w:p>
    <w:p w14:paraId="39CBFFFF" w14:textId="607133D9" w:rsidR="00A96520" w:rsidRDefault="00A96520" w:rsidP="00550154">
      <w:r>
        <w:t xml:space="preserve">Assessment of serum </w:t>
      </w:r>
      <w:proofErr w:type="spellStart"/>
      <w:r>
        <w:t>E2</w:t>
      </w:r>
      <w:proofErr w:type="spellEnd"/>
      <w:r>
        <w:t xml:space="preserve"> endpoints by race is possible for Study </w:t>
      </w:r>
      <w:proofErr w:type="spellStart"/>
      <w:r>
        <w:t>D8664C00008</w:t>
      </w:r>
      <w:proofErr w:type="spellEnd"/>
      <w:r>
        <w:t xml:space="preserve"> (Japanese vs Caucasian) and Study </w:t>
      </w:r>
      <w:proofErr w:type="spellStart"/>
      <w:r>
        <w:t>D8666C00001</w:t>
      </w:r>
      <w:proofErr w:type="spellEnd"/>
      <w:r>
        <w:t xml:space="preserve"> (Japanese vs non-Japanese Asian [Indian and Filipino most common]). Study </w:t>
      </w:r>
      <w:proofErr w:type="spellStart"/>
      <w:r>
        <w:t>D8664C00004</w:t>
      </w:r>
      <w:proofErr w:type="spellEnd"/>
      <w:r>
        <w:t xml:space="preserve"> enrolled Japanese patients only.</w:t>
      </w:r>
    </w:p>
    <w:p w14:paraId="6228A7C9" w14:textId="0930CF93" w:rsidR="00A96520" w:rsidRDefault="00A96520" w:rsidP="00550154">
      <w:r>
        <w:t xml:space="preserve">Goserelin 10.8 mg resulted in suppression of mean </w:t>
      </w:r>
      <w:proofErr w:type="spellStart"/>
      <w:r>
        <w:t>E2</w:t>
      </w:r>
      <w:proofErr w:type="spellEnd"/>
      <w:r>
        <w:t xml:space="preserve"> serum concentrations in premenopausal breast cancer patients without notable differences by race in studies </w:t>
      </w:r>
      <w:proofErr w:type="spellStart"/>
      <w:r>
        <w:t>D8666C00001</w:t>
      </w:r>
      <w:proofErr w:type="spellEnd"/>
      <w:r>
        <w:t xml:space="preserve"> (Figure 4) and </w:t>
      </w:r>
      <w:proofErr w:type="spellStart"/>
      <w:r>
        <w:t>D8664C00008</w:t>
      </w:r>
      <w:proofErr w:type="spellEnd"/>
      <w:r>
        <w:t xml:space="preserve"> (Figure 5).</w:t>
      </w:r>
    </w:p>
    <w:p w14:paraId="6D5633B6" w14:textId="75D786AA" w:rsidR="00A96520" w:rsidRDefault="00A96520" w:rsidP="00550154">
      <w:pPr>
        <w:pStyle w:val="FigureTitle"/>
      </w:pPr>
      <w:r>
        <w:t xml:space="preserve">Figure 4. Time course of mean </w:t>
      </w:r>
      <w:proofErr w:type="spellStart"/>
      <w:r>
        <w:t>E2</w:t>
      </w:r>
      <w:proofErr w:type="spellEnd"/>
      <w:r>
        <w:t xml:space="preserve"> serum concentration with </w:t>
      </w:r>
      <w:proofErr w:type="spellStart"/>
      <w:r>
        <w:t>Zoladex</w:t>
      </w:r>
      <w:proofErr w:type="spellEnd"/>
      <w:r>
        <w:t xml:space="preserve"> 10.8 mg in Study </w:t>
      </w:r>
      <w:proofErr w:type="spellStart"/>
      <w:r>
        <w:t>D8666C00001</w:t>
      </w:r>
      <w:proofErr w:type="spellEnd"/>
      <w:r>
        <w:t xml:space="preserve"> (</w:t>
      </w:r>
      <w:proofErr w:type="spellStart"/>
      <w:r>
        <w:t>E2</w:t>
      </w:r>
      <w:proofErr w:type="spellEnd"/>
      <w:r>
        <w:t xml:space="preserve"> Subgroup)</w:t>
      </w:r>
    </w:p>
    <w:p w14:paraId="76472575" w14:textId="5087AD25" w:rsidR="00A96520" w:rsidRDefault="00A96520" w:rsidP="00550154">
      <w:r w:rsidRPr="00A96520">
        <w:rPr>
          <w:noProof/>
        </w:rPr>
        <w:drawing>
          <wp:inline distT="0" distB="0" distL="0" distR="0" wp14:anchorId="000A3AFD" wp14:editId="0E7E67A8">
            <wp:extent cx="3461144" cy="2189641"/>
            <wp:effectExtent l="0" t="0" r="6350" b="1270"/>
            <wp:docPr id="1796050033" name="Picture 1" descr="Figure 4. Time course of mean E2 serum concentration with Zoladex 10.8 mg in Study D8666C00001 (E2 Sub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050033" name="Picture 1" descr="Figure 4. Time course of mean E2 serum concentration with Zoladex 10.8 mg in Study D8666C00001 (E2 Subgroup)"/>
                    <pic:cNvPicPr/>
                  </pic:nvPicPr>
                  <pic:blipFill>
                    <a:blip r:embed="rId44">
                      <a:extLst>
                        <a:ext uri="{BEBA8EAE-BF5A-486C-A8C5-ECC9F3942E4B}">
                          <a14:imgProps xmlns:a14="http://schemas.microsoft.com/office/drawing/2010/main">
                            <a14:imgLayer r:embed="rId45">
                              <a14:imgEffect>
                                <a14:sharpenSoften amount="25000"/>
                              </a14:imgEffect>
                            </a14:imgLayer>
                          </a14:imgProps>
                        </a:ext>
                      </a:extLst>
                    </a:blip>
                    <a:stretch>
                      <a:fillRect/>
                    </a:stretch>
                  </pic:blipFill>
                  <pic:spPr>
                    <a:xfrm>
                      <a:off x="0" y="0"/>
                      <a:ext cx="3478282" cy="2200483"/>
                    </a:xfrm>
                    <a:prstGeom prst="rect">
                      <a:avLst/>
                    </a:prstGeom>
                  </pic:spPr>
                </pic:pic>
              </a:graphicData>
            </a:graphic>
          </wp:inline>
        </w:drawing>
      </w:r>
    </w:p>
    <w:p w14:paraId="554CF86A" w14:textId="77777777" w:rsidR="00A96520" w:rsidRDefault="00A96520" w:rsidP="00550154">
      <w:pPr>
        <w:pStyle w:val="FigureDescription"/>
      </w:pPr>
      <w:proofErr w:type="spellStart"/>
      <w:r>
        <w:lastRenderedPageBreak/>
        <w:t>E2</w:t>
      </w:r>
      <w:proofErr w:type="spellEnd"/>
      <w:r>
        <w:t xml:space="preserve"> = oestradiol</w:t>
      </w:r>
    </w:p>
    <w:p w14:paraId="04E2E8BB" w14:textId="77777777" w:rsidR="00A96520" w:rsidRDefault="00A96520" w:rsidP="00550154">
      <w:pPr>
        <w:pStyle w:val="FigureDescription"/>
      </w:pPr>
      <w:r>
        <w:t xml:space="preserve">Dashed line indicates threshold for postmenopausal </w:t>
      </w:r>
      <w:proofErr w:type="spellStart"/>
      <w:r>
        <w:t>E2</w:t>
      </w:r>
      <w:proofErr w:type="spellEnd"/>
      <w:r>
        <w:t xml:space="preserve"> levels (30 </w:t>
      </w:r>
      <w:proofErr w:type="spellStart"/>
      <w:r>
        <w:t>pg</w:t>
      </w:r>
      <w:proofErr w:type="spellEnd"/>
      <w:r>
        <w:t>/mL)</w:t>
      </w:r>
    </w:p>
    <w:p w14:paraId="7EB2961E" w14:textId="100708D5" w:rsidR="00A96520" w:rsidRDefault="00A96520" w:rsidP="00550154">
      <w:pPr>
        <w:pStyle w:val="FigureDescription"/>
      </w:pPr>
      <w:r>
        <w:t>Measurements were available for 20 patients in the first 24 hours, 18 patients at Week 4, and 17 patients at Week 12</w:t>
      </w:r>
    </w:p>
    <w:p w14:paraId="18DE771D" w14:textId="1E3B42CE" w:rsidR="00A96520" w:rsidRDefault="00A96520" w:rsidP="00550154">
      <w:pPr>
        <w:pStyle w:val="FigureTitle"/>
      </w:pPr>
      <w:r w:rsidRPr="00A96520">
        <w:t>Figure 5</w:t>
      </w:r>
      <w:r>
        <w:t>.</w:t>
      </w:r>
      <w:r w:rsidRPr="00A96520">
        <w:t xml:space="preserve"> Time </w:t>
      </w:r>
      <w:r>
        <w:t>c</w:t>
      </w:r>
      <w:r w:rsidRPr="00A96520">
        <w:t xml:space="preserve">ourse of </w:t>
      </w:r>
      <w:r>
        <w:t>m</w:t>
      </w:r>
      <w:r w:rsidRPr="00A96520">
        <w:t xml:space="preserve">ean </w:t>
      </w:r>
      <w:proofErr w:type="spellStart"/>
      <w:r w:rsidRPr="00A96520">
        <w:t>E2</w:t>
      </w:r>
      <w:proofErr w:type="spellEnd"/>
      <w:r w:rsidRPr="00A96520">
        <w:t xml:space="preserve"> </w:t>
      </w:r>
      <w:r>
        <w:t>s</w:t>
      </w:r>
      <w:r w:rsidRPr="00A96520">
        <w:t xml:space="preserve">erum </w:t>
      </w:r>
      <w:r>
        <w:t>c</w:t>
      </w:r>
      <w:r w:rsidRPr="00A96520">
        <w:t xml:space="preserve">oncentration with </w:t>
      </w:r>
      <w:proofErr w:type="spellStart"/>
      <w:r w:rsidRPr="00A96520">
        <w:t>Zoladex</w:t>
      </w:r>
      <w:proofErr w:type="spellEnd"/>
      <w:r w:rsidRPr="00A96520">
        <w:t xml:space="preserve"> 10.8 mg in Study </w:t>
      </w:r>
      <w:proofErr w:type="spellStart"/>
      <w:r w:rsidRPr="00A96520">
        <w:t>D8664C00008</w:t>
      </w:r>
      <w:proofErr w:type="spellEnd"/>
      <w:r w:rsidRPr="00A96520">
        <w:t xml:space="preserve"> (</w:t>
      </w:r>
      <w:proofErr w:type="spellStart"/>
      <w:r w:rsidRPr="00A96520">
        <w:t>E2</w:t>
      </w:r>
      <w:proofErr w:type="spellEnd"/>
      <w:r w:rsidRPr="00A96520">
        <w:t xml:space="preserve"> Subgroup)</w:t>
      </w:r>
    </w:p>
    <w:p w14:paraId="27238028" w14:textId="2586F945" w:rsidR="00A96520" w:rsidRDefault="00A96520" w:rsidP="00550154">
      <w:r w:rsidRPr="00A96520">
        <w:rPr>
          <w:noProof/>
        </w:rPr>
        <w:drawing>
          <wp:inline distT="0" distB="0" distL="0" distR="0" wp14:anchorId="46158756" wp14:editId="4268A233">
            <wp:extent cx="5383987" cy="2965052"/>
            <wp:effectExtent l="0" t="0" r="7620" b="6985"/>
            <wp:docPr id="344418106" name="Picture 1" descr="Figure 5. Time course of mean E2 serum concentration with Zoladex 10.8 mg in Study D8664C00008 (E2 Sub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418106" name="Picture 1" descr="Figure 5. Time course of mean E2 serum concentration with Zoladex 10.8 mg in Study D8664C00008 (E2 Subgroup)"/>
                    <pic:cNvPicPr/>
                  </pic:nvPicPr>
                  <pic:blipFill>
                    <a:blip r:embed="rId46">
                      <a:extLst>
                        <a:ext uri="{BEBA8EAE-BF5A-486C-A8C5-ECC9F3942E4B}">
                          <a14:imgProps xmlns:a14="http://schemas.microsoft.com/office/drawing/2010/main">
                            <a14:imgLayer r:embed="rId47">
                              <a14:imgEffect>
                                <a14:sharpenSoften amount="25000"/>
                              </a14:imgEffect>
                            </a14:imgLayer>
                          </a14:imgProps>
                        </a:ext>
                      </a:extLst>
                    </a:blip>
                    <a:stretch>
                      <a:fillRect/>
                    </a:stretch>
                  </pic:blipFill>
                  <pic:spPr>
                    <a:xfrm>
                      <a:off x="0" y="0"/>
                      <a:ext cx="5395735" cy="2971522"/>
                    </a:xfrm>
                    <a:prstGeom prst="rect">
                      <a:avLst/>
                    </a:prstGeom>
                  </pic:spPr>
                </pic:pic>
              </a:graphicData>
            </a:graphic>
          </wp:inline>
        </w:drawing>
      </w:r>
    </w:p>
    <w:p w14:paraId="5B24B450" w14:textId="15B4F8D3" w:rsidR="00A96520" w:rsidRDefault="00A96520" w:rsidP="00550154">
      <w:pPr>
        <w:pStyle w:val="FigureDescription"/>
      </w:pPr>
      <w:proofErr w:type="spellStart"/>
      <w:r>
        <w:t>E2</w:t>
      </w:r>
      <w:proofErr w:type="spellEnd"/>
      <w:r>
        <w:t xml:space="preserve"> = oestradiol</w:t>
      </w:r>
    </w:p>
    <w:p w14:paraId="2A264F5C" w14:textId="77777777" w:rsidR="00A96520" w:rsidRDefault="00A96520" w:rsidP="00550154">
      <w:pPr>
        <w:pStyle w:val="FigureDescription"/>
      </w:pPr>
      <w:r>
        <w:t xml:space="preserve">Dashed line indicates threshold for postmenopausal </w:t>
      </w:r>
      <w:proofErr w:type="spellStart"/>
      <w:r>
        <w:t>E2</w:t>
      </w:r>
      <w:proofErr w:type="spellEnd"/>
      <w:r>
        <w:t xml:space="preserve"> levels (30 </w:t>
      </w:r>
      <w:proofErr w:type="spellStart"/>
      <w:r>
        <w:t>pg</w:t>
      </w:r>
      <w:proofErr w:type="spellEnd"/>
      <w:r>
        <w:t>/mL)</w:t>
      </w:r>
    </w:p>
    <w:p w14:paraId="0C4301B6" w14:textId="1ABF3E49" w:rsidR="00A96520" w:rsidRDefault="00A96520" w:rsidP="00550154">
      <w:pPr>
        <w:pStyle w:val="FigureDescription"/>
      </w:pPr>
      <w:r>
        <w:t>Measurements were available for 18 patients at baseline, 17 patients at Week 4, and 16 patients at Week 12</w:t>
      </w:r>
    </w:p>
    <w:p w14:paraId="2A354343" w14:textId="77777777" w:rsidR="00A96520" w:rsidRPr="00A96520" w:rsidRDefault="00A96520" w:rsidP="00A96520">
      <w:pPr>
        <w:pStyle w:val="Heading4"/>
      </w:pPr>
      <w:bookmarkStart w:id="56" w:name="_Ref237528552"/>
      <w:bookmarkStart w:id="57" w:name="_Toc241498814"/>
      <w:r w:rsidRPr="00A96520">
        <w:t>Efficacy</w:t>
      </w:r>
      <w:bookmarkEnd w:id="56"/>
      <w:bookmarkEnd w:id="57"/>
    </w:p>
    <w:p w14:paraId="586230D6" w14:textId="6487ED83" w:rsidR="00A96520" w:rsidRPr="00A96520" w:rsidRDefault="00A96520" w:rsidP="00A96520">
      <w:pPr>
        <w:pStyle w:val="Heading5"/>
      </w:pPr>
      <w:r w:rsidRPr="00A96520">
        <w:t xml:space="preserve">Progression-free </w:t>
      </w:r>
      <w:r w:rsidR="000250A5">
        <w:t>s</w:t>
      </w:r>
      <w:r w:rsidRPr="00A96520">
        <w:t xml:space="preserve">urvival at </w:t>
      </w:r>
      <w:r w:rsidR="000250A5">
        <w:t>w</w:t>
      </w:r>
      <w:r w:rsidRPr="00A96520">
        <w:t>eek 24</w:t>
      </w:r>
    </w:p>
    <w:p w14:paraId="49F8773B" w14:textId="77777777" w:rsidR="00A96520" w:rsidRPr="00A96520" w:rsidRDefault="00A96520" w:rsidP="00A96520">
      <w:r w:rsidRPr="00A96520">
        <w:t xml:space="preserve">Non-inferiority per </w:t>
      </w:r>
      <w:proofErr w:type="spellStart"/>
      <w:r w:rsidRPr="00A96520">
        <w:t>PFS</w:t>
      </w:r>
      <w:proofErr w:type="spellEnd"/>
      <w:r w:rsidRPr="00A96520">
        <w:t xml:space="preserve"> at Week 24 was the primary endpoint for studies </w:t>
      </w:r>
      <w:proofErr w:type="spellStart"/>
      <w:r w:rsidRPr="00A96520">
        <w:t>D8666C00001</w:t>
      </w:r>
      <w:proofErr w:type="spellEnd"/>
      <w:r w:rsidRPr="00A96520">
        <w:t xml:space="preserve"> and </w:t>
      </w:r>
      <w:proofErr w:type="spellStart"/>
      <w:r w:rsidRPr="00A96520">
        <w:t>D8664C00008</w:t>
      </w:r>
      <w:proofErr w:type="spellEnd"/>
      <w:r w:rsidRPr="00A96520">
        <w:t xml:space="preserve">. However, early termination of recruitment for Study </w:t>
      </w:r>
      <w:proofErr w:type="spellStart"/>
      <w:r w:rsidRPr="00A96520">
        <w:t>D8664C00008</w:t>
      </w:r>
      <w:proofErr w:type="spellEnd"/>
      <w:r w:rsidRPr="00A96520">
        <w:t xml:space="preserve"> means that it was no longer adequately powered to detect statistical non-inferiority.</w:t>
      </w:r>
    </w:p>
    <w:p w14:paraId="5C02E514" w14:textId="0FD516E5" w:rsidR="00A96520" w:rsidRPr="00A96520" w:rsidRDefault="00A96520" w:rsidP="00A96520">
      <w:r w:rsidRPr="00A96520">
        <w:t xml:space="preserve">In Study </w:t>
      </w:r>
      <w:proofErr w:type="spellStart"/>
      <w:r w:rsidRPr="00A96520">
        <w:t>D8666C00001</w:t>
      </w:r>
      <w:proofErr w:type="spellEnd"/>
      <w:r w:rsidRPr="00A96520">
        <w:t>, 61.47% of patients in the 10.8 mg group and 60.18% of the 3.6 mg group were progression free at Week 24. The difference between groups was 1.29 percentage points with a 95% CI from -11.40 to 13.90 (</w:t>
      </w:r>
      <w:r w:rsidR="00772055">
        <w:t>Table 13</w:t>
      </w:r>
      <w:r w:rsidRPr="00A96520">
        <w:t xml:space="preserve">). Therefore, this result meets the prespecified margin (lower limit of the 95% CI for the difference in </w:t>
      </w:r>
      <w:proofErr w:type="spellStart"/>
      <w:r w:rsidRPr="00A96520">
        <w:t>PFS</w:t>
      </w:r>
      <w:proofErr w:type="spellEnd"/>
      <w:r w:rsidRPr="00A96520">
        <w:t xml:space="preserve"> between treatment groups above -17.5%), and non-inferiority of goserelin 10.8 mg 12-weekly to goserelin 3.6 mg 4-weekly was shown in premenopausal women with advanced breast cancer. Consistent results were seen in analysis of the per-protocol set (PPS), and a sensitivity analysis of the FAS using the life table method.</w:t>
      </w:r>
    </w:p>
    <w:p w14:paraId="761B1784" w14:textId="3A9836CD" w:rsidR="00A96520" w:rsidRPr="00A96520" w:rsidRDefault="00A96520" w:rsidP="00A96520">
      <w:r w:rsidRPr="00A96520">
        <w:t xml:space="preserve">In Study </w:t>
      </w:r>
      <w:proofErr w:type="spellStart"/>
      <w:r w:rsidRPr="00A96520">
        <w:t>D8664C00008</w:t>
      </w:r>
      <w:proofErr w:type="spellEnd"/>
      <w:r w:rsidRPr="00A96520">
        <w:t xml:space="preserve">, non-inferiority of </w:t>
      </w:r>
      <w:proofErr w:type="spellStart"/>
      <w:r w:rsidRPr="00A96520">
        <w:t>Zoladex</w:t>
      </w:r>
      <w:proofErr w:type="spellEnd"/>
      <w:r w:rsidRPr="00A96520">
        <w:t xml:space="preserve"> 10.8 mg to </w:t>
      </w:r>
      <w:proofErr w:type="spellStart"/>
      <w:r w:rsidRPr="00A96520">
        <w:t>Zoladex</w:t>
      </w:r>
      <w:proofErr w:type="spellEnd"/>
      <w:r w:rsidRPr="00A96520">
        <w:t xml:space="preserve"> 3.6 mg could not be concluded from the 95% CI for the difference (-21.4 to 13.6) (</w:t>
      </w:r>
      <w:r>
        <w:t xml:space="preserve">Table </w:t>
      </w:r>
      <w:r w:rsidR="00772055">
        <w:t>13</w:t>
      </w:r>
      <w:r w:rsidRPr="00A96520">
        <w:t xml:space="preserve">). The </w:t>
      </w:r>
      <w:r w:rsidR="00AC757F">
        <w:t>Sponsor</w:t>
      </w:r>
      <w:r w:rsidRPr="00A96520">
        <w:t xml:space="preserve"> considered that this may be partly due to the fewer than planned number of patients randomised.</w:t>
      </w:r>
    </w:p>
    <w:p w14:paraId="08620856" w14:textId="4F38EEC6" w:rsidR="00A96520" w:rsidRPr="00A96520" w:rsidRDefault="00A96520" w:rsidP="00550154">
      <w:pPr>
        <w:pStyle w:val="TableTitle"/>
      </w:pPr>
      <w:bookmarkStart w:id="58" w:name="_Ref236323664"/>
      <w:r w:rsidRPr="00A96520">
        <w:lastRenderedPageBreak/>
        <w:t>Table</w:t>
      </w:r>
      <w:bookmarkEnd w:id="58"/>
      <w:r>
        <w:t xml:space="preserve"> 13.</w:t>
      </w:r>
      <w:r w:rsidRPr="00A96520">
        <w:t xml:space="preserve"> Progression-free </w:t>
      </w:r>
      <w:r>
        <w:t>s</w:t>
      </w:r>
      <w:r w:rsidRPr="00A96520">
        <w:t xml:space="preserve">urvival at </w:t>
      </w:r>
      <w:r>
        <w:t>w</w:t>
      </w:r>
      <w:r w:rsidRPr="00A96520">
        <w:t xml:space="preserve">eek 24 in </w:t>
      </w:r>
      <w:r>
        <w:t>s</w:t>
      </w:r>
      <w:r w:rsidRPr="00A96520">
        <w:t xml:space="preserve">tudies </w:t>
      </w:r>
      <w:proofErr w:type="spellStart"/>
      <w:r w:rsidRPr="00A96520">
        <w:t>D8666C00001</w:t>
      </w:r>
      <w:proofErr w:type="spellEnd"/>
      <w:r w:rsidRPr="00A96520">
        <w:t xml:space="preserve"> and </w:t>
      </w:r>
      <w:proofErr w:type="spellStart"/>
      <w:r w:rsidRPr="00A96520">
        <w:t>D8664C00008</w:t>
      </w:r>
      <w:proofErr w:type="spellEnd"/>
      <w:r w:rsidRPr="00A96520">
        <w:t xml:space="preserve"> (FAS)</w:t>
      </w:r>
    </w:p>
    <w:p w14:paraId="33E67594" w14:textId="77777777" w:rsidR="00A96520" w:rsidRPr="00A96520" w:rsidRDefault="00A96520" w:rsidP="00550154">
      <w:r w:rsidRPr="00A96520">
        <w:rPr>
          <w:noProof/>
        </w:rPr>
        <w:drawing>
          <wp:inline distT="0" distB="0" distL="0" distR="0" wp14:anchorId="6BF73C74" wp14:editId="5DE994FB">
            <wp:extent cx="5545078" cy="982951"/>
            <wp:effectExtent l="0" t="0" r="0" b="8255"/>
            <wp:docPr id="126833625" name="Picture 1" descr="Table 13. Progression-free survival at week 24 in studies D8666C00001 and D8664C00008 (F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33625" name="Picture 1" descr="Table 13. Progression-free survival at week 24 in studies D8666C00001 and D8664C00008 (FAS)"/>
                    <pic:cNvPicPr/>
                  </pic:nvPicPr>
                  <pic:blipFill>
                    <a:blip r:embed="rId48"/>
                    <a:stretch>
                      <a:fillRect/>
                    </a:stretch>
                  </pic:blipFill>
                  <pic:spPr>
                    <a:xfrm>
                      <a:off x="0" y="0"/>
                      <a:ext cx="5579217" cy="989003"/>
                    </a:xfrm>
                    <a:prstGeom prst="rect">
                      <a:avLst/>
                    </a:prstGeom>
                  </pic:spPr>
                </pic:pic>
              </a:graphicData>
            </a:graphic>
          </wp:inline>
        </w:drawing>
      </w:r>
    </w:p>
    <w:p w14:paraId="2B397A4C" w14:textId="77777777" w:rsidR="00A96520" w:rsidRDefault="00A96520" w:rsidP="00550154">
      <w:pPr>
        <w:pStyle w:val="TableDescription"/>
      </w:pPr>
      <w:r w:rsidRPr="00A96520">
        <w:t xml:space="preserve">CI, confidence interval; CSR, clinical study report; FAS, full analysis set; </w:t>
      </w:r>
      <w:proofErr w:type="spellStart"/>
      <w:r w:rsidRPr="00A96520">
        <w:t>PFS</w:t>
      </w:r>
      <w:proofErr w:type="spellEnd"/>
      <w:r w:rsidRPr="00A96520">
        <w:t>, progression-free survival.</w:t>
      </w:r>
    </w:p>
    <w:p w14:paraId="227B4056" w14:textId="29F7F939" w:rsidR="00A96520" w:rsidRPr="00A96520" w:rsidRDefault="00A96520" w:rsidP="00550154">
      <w:pPr>
        <w:pStyle w:val="Heading5"/>
      </w:pPr>
      <w:r w:rsidRPr="00A96520">
        <w:t xml:space="preserve">Objective </w:t>
      </w:r>
      <w:r w:rsidR="000250A5">
        <w:t>r</w:t>
      </w:r>
      <w:r w:rsidRPr="00A96520">
        <w:t xml:space="preserve">esponse </w:t>
      </w:r>
      <w:r w:rsidR="000250A5">
        <w:t>r</w:t>
      </w:r>
      <w:r w:rsidRPr="00A96520">
        <w:t>ate</w:t>
      </w:r>
      <w:r w:rsidR="000250A5">
        <w:t xml:space="preserve"> </w:t>
      </w:r>
      <w:r w:rsidRPr="00A96520">
        <w:t xml:space="preserve">at </w:t>
      </w:r>
      <w:r w:rsidR="000250A5">
        <w:t>w</w:t>
      </w:r>
      <w:r w:rsidRPr="00A96520">
        <w:t>eek 24</w:t>
      </w:r>
    </w:p>
    <w:p w14:paraId="6D5FF5F6" w14:textId="1E40EFFE" w:rsidR="00A96520" w:rsidRPr="00A96520" w:rsidRDefault="00A96520" w:rsidP="00550154">
      <w:r w:rsidRPr="00A96520">
        <w:t xml:space="preserve">Objective response rate (ORR) was a secondary endpoint in studies </w:t>
      </w:r>
      <w:proofErr w:type="spellStart"/>
      <w:r w:rsidRPr="00A96520">
        <w:t>D8666C00001</w:t>
      </w:r>
      <w:proofErr w:type="spellEnd"/>
      <w:r w:rsidRPr="00A96520">
        <w:t xml:space="preserve"> and </w:t>
      </w:r>
      <w:proofErr w:type="spellStart"/>
      <w:r w:rsidRPr="00A96520">
        <w:t>D8664C00008</w:t>
      </w:r>
      <w:proofErr w:type="spellEnd"/>
      <w:r w:rsidRPr="00A96520">
        <w:t xml:space="preserve">. ORR was not statistically powered in either study. Unconfirmed best </w:t>
      </w:r>
      <w:proofErr w:type="spellStart"/>
      <w:r w:rsidRPr="00A96520">
        <w:t>ORRs</w:t>
      </w:r>
      <w:proofErr w:type="spellEnd"/>
      <w:r w:rsidRPr="00A96520">
        <w:t xml:space="preserve"> were similar between 3.6 mg and 10.8 mg treatment groups in both studies (</w:t>
      </w:r>
      <w:r>
        <w:t>Table 1</w:t>
      </w:r>
      <w:r w:rsidR="00772055">
        <w:t>4</w:t>
      </w:r>
      <w:r w:rsidRPr="00A96520">
        <w:t xml:space="preserve">). In study </w:t>
      </w:r>
      <w:proofErr w:type="spellStart"/>
      <w:r w:rsidRPr="00A96520">
        <w:t>D8664C00008</w:t>
      </w:r>
      <w:proofErr w:type="spellEnd"/>
      <w:r w:rsidRPr="00A96520">
        <w:t xml:space="preserve">, confirmed best ORR was 25.6% in the 3.6 mg group and 26.7% in the 10.8 mg group. Confirmed ORR is not available for study </w:t>
      </w:r>
      <w:proofErr w:type="spellStart"/>
      <w:r w:rsidRPr="00A96520">
        <w:t>D8666C00001</w:t>
      </w:r>
      <w:proofErr w:type="spellEnd"/>
      <w:r w:rsidRPr="00A96520">
        <w:t>.</w:t>
      </w:r>
    </w:p>
    <w:p w14:paraId="156BCC97" w14:textId="0C3F6448" w:rsidR="00A96520" w:rsidRPr="00A96520" w:rsidRDefault="00A96520" w:rsidP="000250A5">
      <w:pPr>
        <w:pStyle w:val="TableTitle"/>
      </w:pPr>
      <w:bookmarkStart w:id="59" w:name="_Ref237445675"/>
      <w:r w:rsidRPr="00A96520">
        <w:t xml:space="preserve">Table </w:t>
      </w:r>
      <w:bookmarkEnd w:id="59"/>
      <w:r>
        <w:t>1</w:t>
      </w:r>
      <w:r w:rsidR="00772055">
        <w:t>4</w:t>
      </w:r>
      <w:r>
        <w:t>.</w:t>
      </w:r>
      <w:r w:rsidRPr="00A96520">
        <w:t xml:space="preserve"> Unconfirmed </w:t>
      </w:r>
      <w:r>
        <w:t>o</w:t>
      </w:r>
      <w:r w:rsidRPr="00A96520">
        <w:t xml:space="preserve">bjective </w:t>
      </w:r>
      <w:r>
        <w:t>r</w:t>
      </w:r>
      <w:r w:rsidRPr="00A96520">
        <w:t xml:space="preserve">esponse </w:t>
      </w:r>
      <w:r>
        <w:t>r</w:t>
      </w:r>
      <w:r w:rsidRPr="00A96520">
        <w:t xml:space="preserve">ate at </w:t>
      </w:r>
      <w:r>
        <w:t>w</w:t>
      </w:r>
      <w:r w:rsidRPr="00A96520">
        <w:t xml:space="preserve">eek 24 in Studies </w:t>
      </w:r>
      <w:proofErr w:type="spellStart"/>
      <w:r w:rsidRPr="00A96520">
        <w:t>D8666C00001</w:t>
      </w:r>
      <w:proofErr w:type="spellEnd"/>
      <w:r w:rsidRPr="00A96520">
        <w:t xml:space="preserve"> and </w:t>
      </w:r>
      <w:proofErr w:type="spellStart"/>
      <w:r w:rsidRPr="00A96520">
        <w:t>D8664C00008</w:t>
      </w:r>
      <w:proofErr w:type="spellEnd"/>
      <w:r w:rsidRPr="00A96520">
        <w:t xml:space="preserve"> (FAS)</w:t>
      </w:r>
    </w:p>
    <w:p w14:paraId="639477D2" w14:textId="77777777" w:rsidR="00A96520" w:rsidRPr="00A96520" w:rsidRDefault="00A96520" w:rsidP="00550154">
      <w:r w:rsidRPr="00A96520">
        <w:rPr>
          <w:noProof/>
        </w:rPr>
        <w:drawing>
          <wp:inline distT="0" distB="0" distL="0" distR="0" wp14:anchorId="67DF28D9" wp14:editId="63C67012">
            <wp:extent cx="5652436" cy="1009498"/>
            <wp:effectExtent l="0" t="0" r="5715" b="635"/>
            <wp:docPr id="1662500230" name="Picture 1" descr="Table 14. Unconfirmed objective response rate at week 24 in Studies D8666C00001 and D8664C00008 (F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500230" name="Picture 1" descr="Table 14. Unconfirmed objective response rate at week 24 in Studies D8666C00001 and D8664C00008 (FAS)"/>
                    <pic:cNvPicPr/>
                  </pic:nvPicPr>
                  <pic:blipFill>
                    <a:blip r:embed="rId49">
                      <a:extLst>
                        <a:ext uri="{BEBA8EAE-BF5A-486C-A8C5-ECC9F3942E4B}">
                          <a14:imgProps xmlns:a14="http://schemas.microsoft.com/office/drawing/2010/main">
                            <a14:imgLayer r:embed="rId50">
                              <a14:imgEffect>
                                <a14:sharpenSoften amount="25000"/>
                              </a14:imgEffect>
                            </a14:imgLayer>
                          </a14:imgProps>
                        </a:ext>
                      </a:extLst>
                    </a:blip>
                    <a:stretch>
                      <a:fillRect/>
                    </a:stretch>
                  </pic:blipFill>
                  <pic:spPr>
                    <a:xfrm>
                      <a:off x="0" y="0"/>
                      <a:ext cx="5696109" cy="1017298"/>
                    </a:xfrm>
                    <a:prstGeom prst="rect">
                      <a:avLst/>
                    </a:prstGeom>
                  </pic:spPr>
                </pic:pic>
              </a:graphicData>
            </a:graphic>
          </wp:inline>
        </w:drawing>
      </w:r>
    </w:p>
    <w:p w14:paraId="51C5B19E" w14:textId="77777777" w:rsidR="00A96520" w:rsidRPr="00550154" w:rsidRDefault="00A96520" w:rsidP="00550154">
      <w:pPr>
        <w:pStyle w:val="TableDescription"/>
      </w:pPr>
      <w:proofErr w:type="gramStart"/>
      <w:r w:rsidRPr="00A42632">
        <w:rPr>
          <w:vertAlign w:val="superscript"/>
        </w:rPr>
        <w:t>a</w:t>
      </w:r>
      <w:proofErr w:type="gramEnd"/>
      <w:r w:rsidRPr="00A42632">
        <w:rPr>
          <w:vertAlign w:val="superscript"/>
        </w:rPr>
        <w:t xml:space="preserve"> </w:t>
      </w:r>
      <w:r w:rsidRPr="00550154">
        <w:t>Unconfirmed best ORR</w:t>
      </w:r>
    </w:p>
    <w:p w14:paraId="283BDDAE" w14:textId="77777777" w:rsidR="00A96520" w:rsidRPr="00550154" w:rsidRDefault="00A96520" w:rsidP="00550154">
      <w:pPr>
        <w:pStyle w:val="TableDescription"/>
      </w:pPr>
      <w:r w:rsidRPr="00550154">
        <w:t>CI, confidence interval; CR, complete response; FAS, full analysis set; ORR, objective response rate; PR, partial response</w:t>
      </w:r>
    </w:p>
    <w:p w14:paraId="46FE8257" w14:textId="3F0C972F" w:rsidR="00A96520" w:rsidRPr="00A96520" w:rsidRDefault="00A96520" w:rsidP="00A96520">
      <w:pPr>
        <w:pStyle w:val="Heading5"/>
      </w:pPr>
      <w:bookmarkStart w:id="60" w:name="_Ref237857835"/>
      <w:bookmarkStart w:id="61" w:name="_Ref237858094"/>
      <w:bookmarkStart w:id="62" w:name="_Ref240635386"/>
      <w:r w:rsidRPr="00A96520">
        <w:t>Effect of race</w:t>
      </w:r>
      <w:bookmarkEnd w:id="60"/>
      <w:r w:rsidRPr="00A96520">
        <w:t xml:space="preserve"> on </w:t>
      </w:r>
      <w:r w:rsidR="000250A5">
        <w:t>p</w:t>
      </w:r>
      <w:r w:rsidR="000250A5" w:rsidRPr="000250A5">
        <w:t xml:space="preserve">rogression-free survival </w:t>
      </w:r>
      <w:r w:rsidRPr="00A96520">
        <w:t xml:space="preserve">and </w:t>
      </w:r>
      <w:bookmarkEnd w:id="61"/>
      <w:r w:rsidR="000250A5">
        <w:t>o</w:t>
      </w:r>
      <w:r w:rsidR="000250A5" w:rsidRPr="000250A5">
        <w:t>bjective response rate</w:t>
      </w:r>
      <w:bookmarkEnd w:id="62"/>
    </w:p>
    <w:p w14:paraId="2CDB1FFE" w14:textId="480E11EC" w:rsidR="00A96520" w:rsidRPr="00A96520" w:rsidRDefault="00A96520" w:rsidP="00A96520">
      <w:r w:rsidRPr="00A96520">
        <w:t xml:space="preserve">Racial information for patients is summarised for each of the 3 clinical studies in the </w:t>
      </w:r>
      <w:r w:rsidR="000250A5">
        <w:t>section entitled ‘</w:t>
      </w:r>
      <w:r w:rsidR="000250A5">
        <w:fldChar w:fldCharType="begin"/>
      </w:r>
      <w:r w:rsidR="000250A5">
        <w:instrText xml:space="preserve"> REF _Ref240631468 \h </w:instrText>
      </w:r>
      <w:r w:rsidR="000250A5">
        <w:fldChar w:fldCharType="separate"/>
      </w:r>
      <w:r w:rsidR="000250A5">
        <w:t>Summary of clinical studies</w:t>
      </w:r>
      <w:r w:rsidR="000250A5">
        <w:fldChar w:fldCharType="end"/>
      </w:r>
      <w:r w:rsidR="000250A5">
        <w:t>’ (</w:t>
      </w:r>
      <w:proofErr w:type="spellStart"/>
      <w:r w:rsidR="000250A5">
        <w:t>p.10</w:t>
      </w:r>
      <w:proofErr w:type="spellEnd"/>
      <w:r w:rsidR="000250A5">
        <w:t>)</w:t>
      </w:r>
      <w:r w:rsidRPr="00A96520">
        <w:t xml:space="preserve">. Assessment of efficacy endpoints by race is possible for Study </w:t>
      </w:r>
      <w:proofErr w:type="spellStart"/>
      <w:r w:rsidRPr="00A96520">
        <w:t>D8664C00008</w:t>
      </w:r>
      <w:proofErr w:type="spellEnd"/>
      <w:r w:rsidRPr="00A96520">
        <w:t xml:space="preserve"> and Study </w:t>
      </w:r>
      <w:proofErr w:type="spellStart"/>
      <w:r w:rsidRPr="00A96520">
        <w:t>D8666C00001</w:t>
      </w:r>
      <w:proofErr w:type="spellEnd"/>
      <w:r w:rsidRPr="00A96520">
        <w:t>.</w:t>
      </w:r>
    </w:p>
    <w:p w14:paraId="2A03E5AA" w14:textId="69108684" w:rsidR="00A96520" w:rsidRPr="00A96520" w:rsidRDefault="00A96520" w:rsidP="00A96520">
      <w:pPr>
        <w:pStyle w:val="Heading5"/>
      </w:pPr>
      <w:r w:rsidRPr="00A96520">
        <w:t>P</w:t>
      </w:r>
      <w:r w:rsidR="000250A5">
        <w:t>rogression-free survival</w:t>
      </w:r>
      <w:r w:rsidRPr="00A96520">
        <w:t xml:space="preserve"> at </w:t>
      </w:r>
      <w:r w:rsidR="000250A5">
        <w:t>w</w:t>
      </w:r>
      <w:r w:rsidRPr="00A96520">
        <w:t>eek 24</w:t>
      </w:r>
    </w:p>
    <w:p w14:paraId="728E85CB" w14:textId="78EED546" w:rsidR="00A96520" w:rsidRPr="00A96520" w:rsidRDefault="000250A5" w:rsidP="00A96520">
      <w:r w:rsidRPr="000250A5">
        <w:t>Progression-free survival</w:t>
      </w:r>
      <w:r w:rsidR="00A96520" w:rsidRPr="00A96520">
        <w:t xml:space="preserve"> at Week 24 between treatment groups and by race is presented in </w:t>
      </w:r>
      <w:r w:rsidR="00A96520">
        <w:t>Table 1</w:t>
      </w:r>
      <w:r w:rsidR="00772055">
        <w:t>5</w:t>
      </w:r>
      <w:r w:rsidR="00A96520">
        <w:t xml:space="preserve"> </w:t>
      </w:r>
      <w:r w:rsidR="00A96520" w:rsidRPr="00A96520">
        <w:t xml:space="preserve">and </w:t>
      </w:r>
      <w:r w:rsidR="00A96520">
        <w:t>Table 1</w:t>
      </w:r>
      <w:r w:rsidR="00772055">
        <w:t>6</w:t>
      </w:r>
      <w:r w:rsidR="00A96520">
        <w:t xml:space="preserve"> </w:t>
      </w:r>
      <w:r w:rsidR="00A96520" w:rsidRPr="00A96520">
        <w:t xml:space="preserve">for studies </w:t>
      </w:r>
      <w:proofErr w:type="spellStart"/>
      <w:r w:rsidR="00A96520" w:rsidRPr="00A96520">
        <w:t>D8666C00001</w:t>
      </w:r>
      <w:proofErr w:type="spellEnd"/>
      <w:r w:rsidR="00A96520" w:rsidRPr="00A96520">
        <w:t xml:space="preserve"> and </w:t>
      </w:r>
      <w:proofErr w:type="spellStart"/>
      <w:r w:rsidR="00A96520" w:rsidRPr="00A96520">
        <w:t>D8664C00008</w:t>
      </w:r>
      <w:proofErr w:type="spellEnd"/>
      <w:r w:rsidR="00A96520" w:rsidRPr="00A96520">
        <w:t>, respectively. These results should be interpreted with caution due to smaller sample sizes and the exploratory nature of the analyses.</w:t>
      </w:r>
    </w:p>
    <w:p w14:paraId="60AFB12F" w14:textId="6BF1CB1F" w:rsidR="00A96520" w:rsidRPr="00A96520" w:rsidRDefault="00A96520" w:rsidP="00A96520">
      <w:pPr>
        <w:pStyle w:val="TableTitle"/>
      </w:pPr>
      <w:bookmarkStart w:id="63" w:name="_Ref237447092"/>
      <w:bookmarkStart w:id="64" w:name="_Ref237529141"/>
      <w:r w:rsidRPr="00A96520">
        <w:t xml:space="preserve">Table </w:t>
      </w:r>
      <w:bookmarkEnd w:id="63"/>
      <w:r w:rsidR="00772055">
        <w:t>15</w:t>
      </w:r>
      <w:r>
        <w:t>.</w:t>
      </w:r>
      <w:r w:rsidRPr="00A96520">
        <w:t xml:space="preserve"> Summary of </w:t>
      </w:r>
      <w:proofErr w:type="spellStart"/>
      <w:r w:rsidRPr="00A96520">
        <w:t>PFS</w:t>
      </w:r>
      <w:proofErr w:type="spellEnd"/>
      <w:r w:rsidRPr="00A96520">
        <w:t xml:space="preserve"> at Week 24 in Japanese and non-Japanese subgroups in Study </w:t>
      </w:r>
      <w:proofErr w:type="spellStart"/>
      <w:r w:rsidRPr="00A96520">
        <w:t>D8666C00001</w:t>
      </w:r>
      <w:proofErr w:type="spellEnd"/>
      <w:r w:rsidRPr="00A96520">
        <w:t xml:space="preserve"> (FAS)</w:t>
      </w:r>
      <w:bookmarkEnd w:id="64"/>
    </w:p>
    <w:p w14:paraId="4F2D3C67" w14:textId="77777777" w:rsidR="00A96520" w:rsidRPr="00A96520" w:rsidRDefault="00A96520" w:rsidP="00A42632">
      <w:r w:rsidRPr="00A96520">
        <w:rPr>
          <w:noProof/>
        </w:rPr>
        <w:drawing>
          <wp:inline distT="0" distB="0" distL="0" distR="0" wp14:anchorId="63058496" wp14:editId="2EDC0AB7">
            <wp:extent cx="5578713" cy="1111910"/>
            <wp:effectExtent l="0" t="0" r="3175" b="0"/>
            <wp:docPr id="1452948345" name="Picture 1" descr="Table 15. Summary of PFS at Week 24 in Japanese and non-Japanese subgroups in Study D8666C00001 (F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948345" name="Picture 1" descr="Table 15. Summary of PFS at Week 24 in Japanese and non-Japanese subgroups in Study D8666C00001 (FAS)"/>
                    <pic:cNvPicPr/>
                  </pic:nvPicPr>
                  <pic:blipFill>
                    <a:blip r:embed="rId51"/>
                    <a:stretch>
                      <a:fillRect/>
                    </a:stretch>
                  </pic:blipFill>
                  <pic:spPr>
                    <a:xfrm>
                      <a:off x="0" y="0"/>
                      <a:ext cx="5674936" cy="1131089"/>
                    </a:xfrm>
                    <a:prstGeom prst="rect">
                      <a:avLst/>
                    </a:prstGeom>
                  </pic:spPr>
                </pic:pic>
              </a:graphicData>
            </a:graphic>
          </wp:inline>
        </w:drawing>
      </w:r>
    </w:p>
    <w:p w14:paraId="7C42684A" w14:textId="018CC49A" w:rsidR="00A96520" w:rsidRPr="00A96520" w:rsidRDefault="00A96520" w:rsidP="00A96520">
      <w:pPr>
        <w:pStyle w:val="TableTitle"/>
      </w:pPr>
      <w:bookmarkStart w:id="65" w:name="_Ref237447090"/>
      <w:r w:rsidRPr="00A96520">
        <w:lastRenderedPageBreak/>
        <w:t>Table</w:t>
      </w:r>
      <w:bookmarkEnd w:id="65"/>
      <w:r w:rsidR="00772055">
        <w:t xml:space="preserve"> 16</w:t>
      </w:r>
      <w:r>
        <w:t>.</w:t>
      </w:r>
      <w:r w:rsidRPr="00A96520">
        <w:t xml:space="preserve"> </w:t>
      </w:r>
      <w:proofErr w:type="spellStart"/>
      <w:r w:rsidRPr="00A96520">
        <w:t>PFS</w:t>
      </w:r>
      <w:proofErr w:type="spellEnd"/>
      <w:r w:rsidRPr="00A96520">
        <w:t xml:space="preserve"> at Week 24 in Caucasian and Japanese subgroups in Study </w:t>
      </w:r>
      <w:proofErr w:type="spellStart"/>
      <w:r w:rsidRPr="00A96520">
        <w:t>D8664C00008</w:t>
      </w:r>
      <w:proofErr w:type="spellEnd"/>
      <w:r w:rsidRPr="00A96520">
        <w:t xml:space="preserve"> (FAS)</w:t>
      </w:r>
    </w:p>
    <w:p w14:paraId="1AA7E18F" w14:textId="77777777" w:rsidR="00A96520" w:rsidRPr="00A96520" w:rsidRDefault="00A96520" w:rsidP="00A42632">
      <w:r w:rsidRPr="00A96520">
        <w:rPr>
          <w:noProof/>
        </w:rPr>
        <w:drawing>
          <wp:inline distT="0" distB="0" distL="0" distR="0" wp14:anchorId="0637D3A3" wp14:editId="4BF2D8D4">
            <wp:extent cx="5608687" cy="1009497"/>
            <wp:effectExtent l="0" t="0" r="0" b="635"/>
            <wp:docPr id="328262380" name="Picture 1" descr="Table 16. PFS at Week 24 in Caucasian and Japanese subgroups in Study D8664C00008 (F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262380" name="Picture 1" descr="Table 16. PFS at Week 24 in Caucasian and Japanese subgroups in Study D8664C00008 (FAS)"/>
                    <pic:cNvPicPr/>
                  </pic:nvPicPr>
                  <pic:blipFill rotWithShape="1">
                    <a:blip r:embed="rId52">
                      <a:extLst>
                        <a:ext uri="{BEBA8EAE-BF5A-486C-A8C5-ECC9F3942E4B}">
                          <a14:imgProps xmlns:a14="http://schemas.microsoft.com/office/drawing/2010/main">
                            <a14:imgLayer r:embed="rId53">
                              <a14:imgEffect>
                                <a14:sharpenSoften amount="25000"/>
                              </a14:imgEffect>
                            </a14:imgLayer>
                          </a14:imgProps>
                        </a:ext>
                      </a:extLst>
                    </a:blip>
                    <a:srcRect l="894" t="13651" r="780" b="20668"/>
                    <a:stretch>
                      <a:fillRect/>
                    </a:stretch>
                  </pic:blipFill>
                  <pic:spPr bwMode="auto">
                    <a:xfrm>
                      <a:off x="0" y="0"/>
                      <a:ext cx="5702116" cy="1026313"/>
                    </a:xfrm>
                    <a:prstGeom prst="rect">
                      <a:avLst/>
                    </a:prstGeom>
                    <a:ln>
                      <a:noFill/>
                    </a:ln>
                    <a:extLst>
                      <a:ext uri="{53640926-AAD7-44D8-BBD7-CCE9431645EC}">
                        <a14:shadowObscured xmlns:a14="http://schemas.microsoft.com/office/drawing/2010/main"/>
                      </a:ext>
                    </a:extLst>
                  </pic:spPr>
                </pic:pic>
              </a:graphicData>
            </a:graphic>
          </wp:inline>
        </w:drawing>
      </w:r>
    </w:p>
    <w:p w14:paraId="3584FC66" w14:textId="77777777" w:rsidR="00A96520" w:rsidRPr="00A96520" w:rsidRDefault="00A96520" w:rsidP="00A42632">
      <w:pPr>
        <w:pStyle w:val="TableDescription"/>
      </w:pPr>
      <w:r w:rsidRPr="00A96520">
        <w:t xml:space="preserve">CI, confidence interval; FAS, full analysis set; </w:t>
      </w:r>
      <w:proofErr w:type="spellStart"/>
      <w:r w:rsidRPr="00A96520">
        <w:t>PFS</w:t>
      </w:r>
      <w:proofErr w:type="spellEnd"/>
      <w:r w:rsidRPr="00A96520">
        <w:t>, progression-free survival.</w:t>
      </w:r>
    </w:p>
    <w:p w14:paraId="469F0CD6" w14:textId="2FA99C34" w:rsidR="00A96520" w:rsidRPr="00A96520" w:rsidRDefault="000250A5" w:rsidP="00A96520">
      <w:pPr>
        <w:pStyle w:val="Heading5"/>
      </w:pPr>
      <w:r w:rsidRPr="000250A5">
        <w:t xml:space="preserve">Objective response rate </w:t>
      </w:r>
      <w:r w:rsidR="00A96520" w:rsidRPr="00A96520">
        <w:t xml:space="preserve">at </w:t>
      </w:r>
      <w:r>
        <w:t>w</w:t>
      </w:r>
      <w:r w:rsidR="00A96520" w:rsidRPr="00A96520">
        <w:t>eek 24</w:t>
      </w:r>
    </w:p>
    <w:p w14:paraId="5EBC4448" w14:textId="01EFC71D" w:rsidR="00A96520" w:rsidRPr="00A96520" w:rsidRDefault="000250A5" w:rsidP="00A42632">
      <w:r w:rsidRPr="000250A5">
        <w:t xml:space="preserve">Objective response rate </w:t>
      </w:r>
      <w:r w:rsidR="00A96520" w:rsidRPr="00A96520">
        <w:t xml:space="preserve">at Week 24 between treatment groups and by race is presented in </w:t>
      </w:r>
      <w:r w:rsidR="00A96520">
        <w:t>Table 1</w:t>
      </w:r>
      <w:r w:rsidR="004E03D1">
        <w:t>7</w:t>
      </w:r>
      <w:r w:rsidR="00A96520">
        <w:t xml:space="preserve"> </w:t>
      </w:r>
      <w:r w:rsidR="00A96520" w:rsidRPr="00A96520">
        <w:t xml:space="preserve">and </w:t>
      </w:r>
      <w:r w:rsidR="00A96520">
        <w:t>Table 1</w:t>
      </w:r>
      <w:r w:rsidR="004E03D1">
        <w:t>8</w:t>
      </w:r>
      <w:r w:rsidR="00A96520" w:rsidRPr="00A96520">
        <w:t xml:space="preserve"> for studies </w:t>
      </w:r>
      <w:proofErr w:type="spellStart"/>
      <w:r w:rsidR="00A96520" w:rsidRPr="00A96520">
        <w:t>D8666C00001</w:t>
      </w:r>
      <w:proofErr w:type="spellEnd"/>
      <w:r w:rsidR="00A96520" w:rsidRPr="00A96520">
        <w:t xml:space="preserve"> and </w:t>
      </w:r>
      <w:proofErr w:type="spellStart"/>
      <w:r w:rsidR="00A96520" w:rsidRPr="00A96520">
        <w:t>D8664C00008</w:t>
      </w:r>
      <w:proofErr w:type="spellEnd"/>
      <w:r w:rsidR="00A96520" w:rsidRPr="00A96520">
        <w:t>, respectively. These results should be interpreted with caution due to smaller sample sizes and the exploratory nature of the analyses.</w:t>
      </w:r>
    </w:p>
    <w:p w14:paraId="7794767D" w14:textId="7E48A7D6" w:rsidR="00A96520" w:rsidRPr="00A96520" w:rsidRDefault="00A96520" w:rsidP="00221BD1">
      <w:pPr>
        <w:pStyle w:val="TableTitle"/>
      </w:pPr>
      <w:bookmarkStart w:id="66" w:name="_Ref237515985"/>
      <w:r w:rsidRPr="00A96520">
        <w:t>Table</w:t>
      </w:r>
      <w:bookmarkEnd w:id="66"/>
      <w:r>
        <w:t xml:space="preserve"> 1</w:t>
      </w:r>
      <w:r w:rsidR="004E03D1">
        <w:t>7</w:t>
      </w:r>
      <w:r>
        <w:t>.</w:t>
      </w:r>
      <w:r w:rsidRPr="00A96520">
        <w:t xml:space="preserve"> Summary of unconfirmed ORR at Week 24 in Japanese and non-Japanese subgroup in Study </w:t>
      </w:r>
      <w:proofErr w:type="spellStart"/>
      <w:r w:rsidRPr="00A96520">
        <w:t>D8666C00001</w:t>
      </w:r>
      <w:proofErr w:type="spellEnd"/>
      <w:r w:rsidRPr="00A96520">
        <w:t xml:space="preserve"> (FAS)</w:t>
      </w:r>
    </w:p>
    <w:p w14:paraId="15928EAD" w14:textId="77777777" w:rsidR="00A96520" w:rsidRPr="00A96520" w:rsidRDefault="00A96520" w:rsidP="00A42632">
      <w:r w:rsidRPr="00A96520">
        <w:rPr>
          <w:noProof/>
        </w:rPr>
        <w:drawing>
          <wp:inline distT="0" distB="0" distL="0" distR="0" wp14:anchorId="7FE8A401" wp14:editId="1FA10E01">
            <wp:extent cx="5191488" cy="1038758"/>
            <wp:effectExtent l="0" t="0" r="0" b="9525"/>
            <wp:docPr id="254745781" name="Picture 1" descr="Table 17. Summary of unconfirmed ORR at Week 24 in Japanese and non-Japanese subgroup in Study D8666C00001 (F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745781" name="Picture 1" descr="Table 17. Summary of unconfirmed ORR at Week 24 in Japanese and non-Japanese subgroup in Study D8666C00001 (FAS)"/>
                    <pic:cNvPicPr/>
                  </pic:nvPicPr>
                  <pic:blipFill>
                    <a:blip r:embed="rId54">
                      <a:extLst>
                        <a:ext uri="{BEBA8EAE-BF5A-486C-A8C5-ECC9F3942E4B}">
                          <a14:imgProps xmlns:a14="http://schemas.microsoft.com/office/drawing/2010/main">
                            <a14:imgLayer r:embed="rId55">
                              <a14:imgEffect>
                                <a14:sharpenSoften amount="25000"/>
                              </a14:imgEffect>
                            </a14:imgLayer>
                          </a14:imgProps>
                        </a:ext>
                      </a:extLst>
                    </a:blip>
                    <a:stretch>
                      <a:fillRect/>
                    </a:stretch>
                  </pic:blipFill>
                  <pic:spPr>
                    <a:xfrm>
                      <a:off x="0" y="0"/>
                      <a:ext cx="5241777" cy="1048820"/>
                    </a:xfrm>
                    <a:prstGeom prst="rect">
                      <a:avLst/>
                    </a:prstGeom>
                  </pic:spPr>
                </pic:pic>
              </a:graphicData>
            </a:graphic>
          </wp:inline>
        </w:drawing>
      </w:r>
    </w:p>
    <w:p w14:paraId="4A558DFA" w14:textId="0CC8B48C" w:rsidR="00A96520" w:rsidRPr="00A96520" w:rsidRDefault="00A96520" w:rsidP="00221BD1">
      <w:pPr>
        <w:pStyle w:val="TableTitle"/>
      </w:pPr>
      <w:bookmarkStart w:id="67" w:name="_Ref237515990"/>
      <w:r w:rsidRPr="00A96520">
        <w:t xml:space="preserve">Table </w:t>
      </w:r>
      <w:bookmarkEnd w:id="67"/>
      <w:r w:rsidR="00221BD1">
        <w:t>1</w:t>
      </w:r>
      <w:r w:rsidR="004E03D1">
        <w:t>8</w:t>
      </w:r>
      <w:r w:rsidR="00221BD1">
        <w:t>.</w:t>
      </w:r>
      <w:r w:rsidRPr="00A96520">
        <w:t xml:space="preserve"> Objective </w:t>
      </w:r>
      <w:r w:rsidR="00221BD1">
        <w:t>r</w:t>
      </w:r>
      <w:r w:rsidRPr="00A96520">
        <w:t xml:space="preserve">esponse </w:t>
      </w:r>
      <w:r w:rsidR="00221BD1">
        <w:t>r</w:t>
      </w:r>
      <w:r w:rsidRPr="00A96520">
        <w:t xml:space="preserve">ate at </w:t>
      </w:r>
      <w:r w:rsidR="00221BD1">
        <w:t>w</w:t>
      </w:r>
      <w:r w:rsidRPr="00A96520">
        <w:t xml:space="preserve">eek 24 in Study </w:t>
      </w:r>
      <w:proofErr w:type="spellStart"/>
      <w:r w:rsidRPr="00A96520">
        <w:t>D8664C00008</w:t>
      </w:r>
      <w:proofErr w:type="spellEnd"/>
      <w:r w:rsidRPr="00A96520">
        <w:t xml:space="preserve"> (FAS)</w:t>
      </w:r>
    </w:p>
    <w:p w14:paraId="4F348FF4" w14:textId="77777777" w:rsidR="00A96520" w:rsidRPr="00A96520" w:rsidRDefault="00A96520" w:rsidP="00A42632">
      <w:r w:rsidRPr="00A96520">
        <w:rPr>
          <w:noProof/>
        </w:rPr>
        <w:drawing>
          <wp:inline distT="0" distB="0" distL="0" distR="0" wp14:anchorId="6C69E882" wp14:editId="695D9A9E">
            <wp:extent cx="5345031" cy="950976"/>
            <wp:effectExtent l="0" t="0" r="0" b="1905"/>
            <wp:docPr id="1249840133" name="Picture 1" descr="Table 18. Objective response rate at week 24 in Study D8664C00008 (F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40133" name="Picture 1" descr="Table 18. Objective response rate at week 24 in Study D8664C00008 (FAS)"/>
                    <pic:cNvPicPr/>
                  </pic:nvPicPr>
                  <pic:blipFill rotWithShape="1">
                    <a:blip r:embed="rId56">
                      <a:extLst>
                        <a:ext uri="{BEBA8EAE-BF5A-486C-A8C5-ECC9F3942E4B}">
                          <a14:imgProps xmlns:a14="http://schemas.microsoft.com/office/drawing/2010/main">
                            <a14:imgLayer r:embed="rId57">
                              <a14:imgEffect>
                                <a14:sharpenSoften amount="25000"/>
                              </a14:imgEffect>
                            </a14:imgLayer>
                          </a14:imgProps>
                        </a:ext>
                      </a:extLst>
                    </a:blip>
                    <a:srcRect l="474" t="15046" r="892" b="24545"/>
                    <a:stretch>
                      <a:fillRect/>
                    </a:stretch>
                  </pic:blipFill>
                  <pic:spPr bwMode="auto">
                    <a:xfrm>
                      <a:off x="0" y="0"/>
                      <a:ext cx="5406545" cy="961920"/>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E835F34" w14:textId="77777777" w:rsidR="00A96520" w:rsidRPr="00A96520" w:rsidRDefault="00A96520" w:rsidP="00221BD1">
      <w:pPr>
        <w:pStyle w:val="TableDescription"/>
      </w:pPr>
      <w:r w:rsidRPr="00A96520">
        <w:t>CI, confidence interval; CR, complete response; FAS, full analysis set; ORR, objective response rate; PR, partial response.</w:t>
      </w:r>
    </w:p>
    <w:p w14:paraId="2D21A303" w14:textId="77777777" w:rsidR="00A96520" w:rsidRPr="00A96520" w:rsidRDefault="00A96520" w:rsidP="00221BD1">
      <w:pPr>
        <w:pStyle w:val="Heading4"/>
      </w:pPr>
      <w:bookmarkStart w:id="68" w:name="_Toc241498815"/>
      <w:r w:rsidRPr="00A96520">
        <w:t>Safety</w:t>
      </w:r>
      <w:bookmarkEnd w:id="68"/>
    </w:p>
    <w:p w14:paraId="7E7785F3" w14:textId="1FD64839" w:rsidR="00A96520" w:rsidRPr="00A96520" w:rsidRDefault="00A96520" w:rsidP="00A96520">
      <w:r w:rsidRPr="00A96520">
        <w:t>The durations of exposure to goserelin in the 3 submitted clinical studies are summarised in</w:t>
      </w:r>
      <w:r w:rsidR="00221BD1">
        <w:t xml:space="preserve"> Table </w:t>
      </w:r>
      <w:r w:rsidR="004E03D1">
        <w:t>19</w:t>
      </w:r>
      <w:r w:rsidRPr="00A96520">
        <w:t>.</w:t>
      </w:r>
    </w:p>
    <w:p w14:paraId="4A5ABB24" w14:textId="0876506C" w:rsidR="00A96520" w:rsidRPr="00A96520" w:rsidRDefault="00A96520" w:rsidP="00A42632">
      <w:pPr>
        <w:pStyle w:val="TableTitle"/>
      </w:pPr>
      <w:bookmarkStart w:id="69" w:name="_Ref237269496"/>
      <w:r w:rsidRPr="00A96520">
        <w:t xml:space="preserve">Table </w:t>
      </w:r>
      <w:bookmarkEnd w:id="69"/>
      <w:r w:rsidR="00221BD1">
        <w:t>1</w:t>
      </w:r>
      <w:r w:rsidR="004E03D1">
        <w:t>9</w:t>
      </w:r>
      <w:r w:rsidR="00221BD1">
        <w:t>.</w:t>
      </w:r>
      <w:r w:rsidRPr="00A96520">
        <w:t xml:space="preserve"> Duration of </w:t>
      </w:r>
      <w:r w:rsidR="00221BD1">
        <w:t>e</w:t>
      </w:r>
      <w:r w:rsidRPr="00A96520">
        <w:t xml:space="preserve">xposure to </w:t>
      </w:r>
      <w:proofErr w:type="spellStart"/>
      <w:r w:rsidRPr="00A96520">
        <w:t>Zoladex</w:t>
      </w:r>
      <w:proofErr w:type="spellEnd"/>
      <w:r w:rsidRPr="00A96520">
        <w:t xml:space="preserve"> in the </w:t>
      </w:r>
      <w:r w:rsidR="00221BD1">
        <w:t>b</w:t>
      </w:r>
      <w:r w:rsidRPr="00A96520">
        <w:t xml:space="preserve">reast </w:t>
      </w:r>
      <w:r w:rsidR="00221BD1">
        <w:t>ca</w:t>
      </w:r>
      <w:r w:rsidRPr="00A96520">
        <w:t xml:space="preserve">ncer </w:t>
      </w:r>
      <w:r w:rsidR="00221BD1">
        <w:t>s</w:t>
      </w:r>
      <w:r w:rsidRPr="00A96520">
        <w:t>tudies (Safety Analysis Set)</w:t>
      </w:r>
    </w:p>
    <w:p w14:paraId="15CA400D" w14:textId="77777777" w:rsidR="00A96520" w:rsidRPr="00A96520" w:rsidRDefault="00A96520" w:rsidP="00A42632">
      <w:r w:rsidRPr="00A96520">
        <w:rPr>
          <w:noProof/>
        </w:rPr>
        <w:drawing>
          <wp:inline distT="0" distB="0" distL="0" distR="0" wp14:anchorId="2D032282" wp14:editId="1E5C3860">
            <wp:extent cx="5427535" cy="1075765"/>
            <wp:effectExtent l="0" t="0" r="1905" b="0"/>
            <wp:docPr id="1264009156" name="Picture 1" descr="Table 19. Duration of exposure to Zoladex in the breast cancer studies (Safety Analysis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09156" name="Picture 1" descr="Table 19. Duration of exposure to Zoladex in the breast cancer studies (Safety Analysis Set)"/>
                    <pic:cNvPicPr/>
                  </pic:nvPicPr>
                  <pic:blipFill>
                    <a:blip r:embed="rId58">
                      <a:extLst>
                        <a:ext uri="{BEBA8EAE-BF5A-486C-A8C5-ECC9F3942E4B}">
                          <a14:imgProps xmlns:a14="http://schemas.microsoft.com/office/drawing/2010/main">
                            <a14:imgLayer r:embed="rId59">
                              <a14:imgEffect>
                                <a14:sharpenSoften amount="25000"/>
                              </a14:imgEffect>
                            </a14:imgLayer>
                          </a14:imgProps>
                        </a:ext>
                      </a:extLst>
                    </a:blip>
                    <a:stretch>
                      <a:fillRect/>
                    </a:stretch>
                  </pic:blipFill>
                  <pic:spPr>
                    <a:xfrm>
                      <a:off x="0" y="0"/>
                      <a:ext cx="5505369" cy="1091192"/>
                    </a:xfrm>
                    <a:prstGeom prst="rect">
                      <a:avLst/>
                    </a:prstGeom>
                  </pic:spPr>
                </pic:pic>
              </a:graphicData>
            </a:graphic>
          </wp:inline>
        </w:drawing>
      </w:r>
    </w:p>
    <w:p w14:paraId="4D5E32ED" w14:textId="6A844199" w:rsidR="00A96520" w:rsidRPr="00A96520" w:rsidRDefault="00A96520" w:rsidP="00A96520">
      <w:r w:rsidRPr="00A96520">
        <w:t>A summary of adverse events (AEs) in the 3.6 mg and 10.8 mg dose groups in each of the 3 clinical studies is provided in</w:t>
      </w:r>
      <w:r w:rsidR="00221BD1">
        <w:t xml:space="preserve"> Table </w:t>
      </w:r>
      <w:r w:rsidR="004E03D1">
        <w:t>20</w:t>
      </w:r>
      <w:r w:rsidRPr="00A96520">
        <w:t>. No concerning signals are seen.</w:t>
      </w:r>
    </w:p>
    <w:p w14:paraId="31D48A43" w14:textId="5F61972C" w:rsidR="00A96520" w:rsidRPr="00A96520" w:rsidRDefault="00A96520" w:rsidP="00221BD1">
      <w:pPr>
        <w:pStyle w:val="TableTitle"/>
      </w:pPr>
      <w:bookmarkStart w:id="70" w:name="_Ref237270312"/>
      <w:r w:rsidRPr="00A96520">
        <w:lastRenderedPageBreak/>
        <w:t>Table</w:t>
      </w:r>
      <w:bookmarkEnd w:id="70"/>
      <w:r w:rsidR="004E03D1">
        <w:t xml:space="preserve"> 20.</w:t>
      </w:r>
      <w:r w:rsidRPr="00A96520">
        <w:t xml:space="preserve"> Summary of </w:t>
      </w:r>
      <w:r w:rsidR="00221BD1">
        <w:t>a</w:t>
      </w:r>
      <w:r w:rsidRPr="00A96520">
        <w:t xml:space="preserve">dverse </w:t>
      </w:r>
      <w:r w:rsidR="00221BD1">
        <w:t>e</w:t>
      </w:r>
      <w:r w:rsidRPr="00A96520">
        <w:t>vents (Safety Analysis Set)</w:t>
      </w:r>
    </w:p>
    <w:p w14:paraId="41C8EFDA" w14:textId="0E0AA372" w:rsidR="00A96520" w:rsidRPr="00A96520" w:rsidRDefault="00221BD1" w:rsidP="00A42632">
      <w:r w:rsidRPr="00221BD1">
        <w:rPr>
          <w:noProof/>
        </w:rPr>
        <w:drawing>
          <wp:inline distT="0" distB="0" distL="0" distR="0" wp14:anchorId="492D061C" wp14:editId="1FCCEFC0">
            <wp:extent cx="5759450" cy="3589020"/>
            <wp:effectExtent l="0" t="0" r="0" b="0"/>
            <wp:docPr id="1474698740" name="Picture 1" descr="Table 20. Summary of adverse events (Safety Analysis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698740" name="Picture 1" descr="Table 20. Summary of adverse events (Safety Analysis Set)"/>
                    <pic:cNvPicPr/>
                  </pic:nvPicPr>
                  <pic:blipFill>
                    <a:blip r:embed="rId60"/>
                    <a:stretch>
                      <a:fillRect/>
                    </a:stretch>
                  </pic:blipFill>
                  <pic:spPr>
                    <a:xfrm>
                      <a:off x="0" y="0"/>
                      <a:ext cx="5759450" cy="3589020"/>
                    </a:xfrm>
                    <a:prstGeom prst="rect">
                      <a:avLst/>
                    </a:prstGeom>
                  </pic:spPr>
                </pic:pic>
              </a:graphicData>
            </a:graphic>
          </wp:inline>
        </w:drawing>
      </w:r>
    </w:p>
    <w:p w14:paraId="54A64AEC" w14:textId="77777777" w:rsidR="00A96520" w:rsidRPr="00A96520" w:rsidRDefault="00A96520" w:rsidP="00221BD1">
      <w:pPr>
        <w:pStyle w:val="TableDescription"/>
      </w:pPr>
      <w:r w:rsidRPr="00A96520">
        <w:rPr>
          <w:vertAlign w:val="superscript"/>
        </w:rPr>
        <w:t>a</w:t>
      </w:r>
      <w:r w:rsidRPr="00A96520">
        <w:t xml:space="preserve"> Patients with multiple events in the same category are counted only once in that category. Patients with events in more than 1 category are counted once in each of those categories.</w:t>
      </w:r>
    </w:p>
    <w:p w14:paraId="0A951994" w14:textId="77777777" w:rsidR="00A96520" w:rsidRPr="00A96520" w:rsidRDefault="00A96520" w:rsidP="00221BD1">
      <w:pPr>
        <w:pStyle w:val="TableDescription"/>
      </w:pPr>
      <w:r w:rsidRPr="00A96520">
        <w:rPr>
          <w:vertAlign w:val="superscript"/>
        </w:rPr>
        <w:t>b</w:t>
      </w:r>
      <w:r w:rsidRPr="00A96520">
        <w:t xml:space="preserve"> Causality was judged by the investigator.</w:t>
      </w:r>
    </w:p>
    <w:p w14:paraId="1502EE14" w14:textId="77777777" w:rsidR="00A96520" w:rsidRPr="00A96520" w:rsidRDefault="00A96520" w:rsidP="00A42632">
      <w:pPr>
        <w:pStyle w:val="TableDescription"/>
      </w:pPr>
      <w:r w:rsidRPr="00A96520">
        <w:t xml:space="preserve">AE, adverse event; </w:t>
      </w:r>
      <w:proofErr w:type="spellStart"/>
      <w:r w:rsidRPr="00A96520">
        <w:t>CTCAE</w:t>
      </w:r>
      <w:proofErr w:type="spellEnd"/>
      <w:r w:rsidRPr="00A96520">
        <w:t>, Common Terminology Criteria for Adverse Events; E, event; n, number of patients in category; N, number of patients in analysis set; NR, not reported; SAE, serious adverse event.</w:t>
      </w:r>
    </w:p>
    <w:p w14:paraId="7F3A9378" w14:textId="77777777" w:rsidR="00A96520" w:rsidRPr="00A96520" w:rsidRDefault="00A96520" w:rsidP="00A96520">
      <w:r w:rsidRPr="00A96520">
        <w:t xml:space="preserve">Across the 3 studies, hot flush was the most frequently reported AE in both treatment groups, experienced by 65.9% of patients in the 3.6 mg group and 70.6% of patients in the 10.8 mg group in Study </w:t>
      </w:r>
      <w:proofErr w:type="spellStart"/>
      <w:r w:rsidRPr="00A96520">
        <w:t>D8664C00004</w:t>
      </w:r>
      <w:proofErr w:type="spellEnd"/>
      <w:r w:rsidRPr="00A96520">
        <w:t xml:space="preserve">; 19.5% and 13.9% of patients in the 3.6 mg and 10.8 mg groups, respectively, in Study </w:t>
      </w:r>
      <w:proofErr w:type="spellStart"/>
      <w:r w:rsidRPr="00A96520">
        <w:t>D8666C00001</w:t>
      </w:r>
      <w:proofErr w:type="spellEnd"/>
      <w:r w:rsidRPr="00A96520">
        <w:t xml:space="preserve">, and 37.5% and 38.0% of patients in the 3.6 mg and 10.8 mg groups, respectively, in Study </w:t>
      </w:r>
      <w:proofErr w:type="spellStart"/>
      <w:r w:rsidRPr="00A96520">
        <w:t>D8664C00008</w:t>
      </w:r>
      <w:proofErr w:type="spellEnd"/>
      <w:r w:rsidRPr="00A96520">
        <w:t>.</w:t>
      </w:r>
    </w:p>
    <w:p w14:paraId="053854B7" w14:textId="77777777" w:rsidR="00A96520" w:rsidRPr="00A96520" w:rsidRDefault="00A96520" w:rsidP="00A96520">
      <w:r w:rsidRPr="00A96520">
        <w:t xml:space="preserve">In Study </w:t>
      </w:r>
      <w:proofErr w:type="spellStart"/>
      <w:r w:rsidRPr="00A96520">
        <w:t>D8664C00004</w:t>
      </w:r>
      <w:proofErr w:type="spellEnd"/>
      <w:r w:rsidRPr="00A96520">
        <w:t>, other AEs reported at a frequency of ≥10% included nasopharyngitis, headache, arthralgia, musculoskeletal stiffness, hyperhidrosis, back pain, and dizziness (all reported in both treatment groups), eczema and insomnia (</w:t>
      </w:r>
      <w:proofErr w:type="spellStart"/>
      <w:r w:rsidRPr="00A96520">
        <w:t>Zoladex</w:t>
      </w:r>
      <w:proofErr w:type="spellEnd"/>
      <w:r w:rsidRPr="00A96520">
        <w:t xml:space="preserve"> 10.8 mg group), and </w:t>
      </w:r>
      <w:proofErr w:type="spellStart"/>
      <w:r w:rsidRPr="00A96520">
        <w:t>hypoaesthesia</w:t>
      </w:r>
      <w:proofErr w:type="spellEnd"/>
      <w:r w:rsidRPr="00A96520">
        <w:t xml:space="preserve"> (</w:t>
      </w:r>
      <w:proofErr w:type="spellStart"/>
      <w:r w:rsidRPr="00A96520">
        <w:t>Zoladex</w:t>
      </w:r>
      <w:proofErr w:type="spellEnd"/>
      <w:r w:rsidRPr="00A96520">
        <w:t xml:space="preserve"> 3.6 mg group). In Study </w:t>
      </w:r>
      <w:proofErr w:type="spellStart"/>
      <w:r w:rsidRPr="00A96520">
        <w:t>D8664C00008</w:t>
      </w:r>
      <w:proofErr w:type="spellEnd"/>
      <w:r w:rsidRPr="00A96520">
        <w:t xml:space="preserve">, AEs of amenorrhoea, weight increased, and nasopharyngitis were reported in ≥10% of patients in both groups. In Study </w:t>
      </w:r>
      <w:proofErr w:type="spellStart"/>
      <w:r w:rsidRPr="00A96520">
        <w:t>D8666C00001</w:t>
      </w:r>
      <w:proofErr w:type="spellEnd"/>
      <w:r w:rsidRPr="00A96520">
        <w:t xml:space="preserve">, nasopharyngitis was reported in 12.0% of patients in the </w:t>
      </w:r>
      <w:proofErr w:type="spellStart"/>
      <w:r w:rsidRPr="00A96520">
        <w:t>Zoladex</w:t>
      </w:r>
      <w:proofErr w:type="spellEnd"/>
      <w:r w:rsidRPr="00A96520">
        <w:t xml:space="preserve"> 10.8 mg group.</w:t>
      </w:r>
    </w:p>
    <w:p w14:paraId="5D16962B" w14:textId="77777777" w:rsidR="00A96520" w:rsidRPr="00A96520" w:rsidRDefault="00A96520" w:rsidP="00A96520">
      <w:r w:rsidRPr="00A96520">
        <w:t xml:space="preserve">There were no AEs leading to death reported in Studies </w:t>
      </w:r>
      <w:proofErr w:type="spellStart"/>
      <w:r w:rsidRPr="00A96520">
        <w:t>D8664C00004</w:t>
      </w:r>
      <w:proofErr w:type="spellEnd"/>
      <w:r w:rsidRPr="00A96520">
        <w:t xml:space="preserve"> and </w:t>
      </w:r>
      <w:proofErr w:type="spellStart"/>
      <w:r w:rsidRPr="00A96520">
        <w:t>D8664C00008</w:t>
      </w:r>
      <w:proofErr w:type="spellEnd"/>
      <w:r w:rsidRPr="00A96520">
        <w:t>.</w:t>
      </w:r>
    </w:p>
    <w:p w14:paraId="468BD779" w14:textId="77777777" w:rsidR="00A96520" w:rsidRPr="00A96520" w:rsidRDefault="00A96520" w:rsidP="00A96520">
      <w:r w:rsidRPr="00A96520">
        <w:t xml:space="preserve">Two patients in Study </w:t>
      </w:r>
      <w:proofErr w:type="spellStart"/>
      <w:r w:rsidRPr="00A96520">
        <w:t>D8666C00001</w:t>
      </w:r>
      <w:proofErr w:type="spellEnd"/>
      <w:r w:rsidRPr="00A96520">
        <w:t xml:space="preserve"> experienced AEs with an outcome of death – one due to chest pain, vomiting and diarrhoea (assigned to the 10.8 mg group); and the other due to dyspnoea (assigned to the 3.6 mg group). Neither of the deaths was considered related to study treatment (</w:t>
      </w:r>
      <w:proofErr w:type="spellStart"/>
      <w:r w:rsidRPr="00A96520">
        <w:t>Zoladex</w:t>
      </w:r>
      <w:proofErr w:type="spellEnd"/>
      <w:r w:rsidRPr="00A96520">
        <w:t xml:space="preserve"> or tamoxifen) by the investigator.</w:t>
      </w:r>
    </w:p>
    <w:p w14:paraId="7DD60D5A" w14:textId="77777777" w:rsidR="00A96520" w:rsidRDefault="00A96520" w:rsidP="00A96520">
      <w:r w:rsidRPr="00A96520">
        <w:t xml:space="preserve">In Study </w:t>
      </w:r>
      <w:proofErr w:type="spellStart"/>
      <w:r w:rsidRPr="00A96520">
        <w:t>D8666C00001</w:t>
      </w:r>
      <w:proofErr w:type="spellEnd"/>
      <w:r w:rsidRPr="00A96520">
        <w:t>, 3 patients in the 3.6 mg group experienced serious AEs (</w:t>
      </w:r>
      <w:proofErr w:type="spellStart"/>
      <w:r w:rsidRPr="00A96520">
        <w:t>SAEs</w:t>
      </w:r>
      <w:proofErr w:type="spellEnd"/>
      <w:r w:rsidRPr="00A96520">
        <w:t xml:space="preserve">) of dyspnoea, and 2 </w:t>
      </w:r>
      <w:proofErr w:type="spellStart"/>
      <w:r w:rsidRPr="00A96520">
        <w:t>SAEs</w:t>
      </w:r>
      <w:proofErr w:type="spellEnd"/>
      <w:r w:rsidRPr="00A96520">
        <w:t xml:space="preserve"> of anaemia (1 each in the 3.6 mg and 10.8 mg groups) were reported. In Study </w:t>
      </w:r>
      <w:proofErr w:type="spellStart"/>
      <w:r w:rsidRPr="00A96520">
        <w:t>D8664C00008</w:t>
      </w:r>
      <w:proofErr w:type="spellEnd"/>
      <w:r w:rsidRPr="00A96520">
        <w:t xml:space="preserve">, </w:t>
      </w:r>
      <w:proofErr w:type="spellStart"/>
      <w:r w:rsidRPr="00A96520">
        <w:t>SAEs</w:t>
      </w:r>
      <w:proofErr w:type="spellEnd"/>
      <w:r w:rsidRPr="00A96520">
        <w:t xml:space="preserve"> of endometrial hyperplasia were reported in 2 patients (1 each in the 3.6 mg and 10.8 mg groups). The remaining </w:t>
      </w:r>
      <w:proofErr w:type="spellStart"/>
      <w:r w:rsidRPr="00A96520">
        <w:t>SAEs</w:t>
      </w:r>
      <w:proofErr w:type="spellEnd"/>
      <w:r w:rsidRPr="00A96520">
        <w:t xml:space="preserve"> in the studies were all single reports. None of the </w:t>
      </w:r>
      <w:proofErr w:type="spellStart"/>
      <w:r w:rsidRPr="00A96520">
        <w:t>SAEs</w:t>
      </w:r>
      <w:proofErr w:type="spellEnd"/>
      <w:r w:rsidRPr="00A96520">
        <w:t xml:space="preserve"> was considered causally related to the study treatment.</w:t>
      </w:r>
    </w:p>
    <w:p w14:paraId="2504E6B3" w14:textId="62833969" w:rsidR="00221BD1" w:rsidRDefault="00221BD1" w:rsidP="00221BD1">
      <w:r>
        <w:t xml:space="preserve">In Study </w:t>
      </w:r>
      <w:proofErr w:type="spellStart"/>
      <w:r>
        <w:t>D8666C00001</w:t>
      </w:r>
      <w:proofErr w:type="spellEnd"/>
      <w:r>
        <w:t xml:space="preserve">, a numerically higher rate of Grade 3 or 4 AEs and </w:t>
      </w:r>
      <w:proofErr w:type="spellStart"/>
      <w:r>
        <w:t>SAEs</w:t>
      </w:r>
      <w:proofErr w:type="spellEnd"/>
      <w:r>
        <w:t xml:space="preserve"> were noted in the 3.6 mg treatment group compared to the 10.8 mg arm </w:t>
      </w:r>
      <w:r w:rsidRPr="004E03D1">
        <w:t xml:space="preserve">(Table </w:t>
      </w:r>
      <w:r w:rsidR="004E03D1" w:rsidRPr="004E03D1">
        <w:t>2</w:t>
      </w:r>
      <w:r w:rsidR="004E03D1">
        <w:t>0</w:t>
      </w:r>
      <w:r w:rsidRPr="004E03D1">
        <w:t>)</w:t>
      </w:r>
      <w:r>
        <w:t xml:space="preserve">. The </w:t>
      </w:r>
      <w:r w:rsidR="00AC757F">
        <w:t>Sponsor</w:t>
      </w:r>
      <w:r>
        <w:t xml:space="preserve"> undertook a </w:t>
      </w:r>
      <w:r>
        <w:lastRenderedPageBreak/>
        <w:t>review of baseline characteristics and the narratives of the reported AEs. Baseline demographic and disease characteristics were considered broadly comparable between the treatment arms.</w:t>
      </w:r>
    </w:p>
    <w:p w14:paraId="4813364C" w14:textId="77777777" w:rsidR="00221BD1" w:rsidRDefault="00221BD1" w:rsidP="00221BD1">
      <w:r>
        <w:t xml:space="preserve">The </w:t>
      </w:r>
      <w:proofErr w:type="spellStart"/>
      <w:r>
        <w:t>SAEs</w:t>
      </w:r>
      <w:proofErr w:type="spellEnd"/>
      <w:r>
        <w:t xml:space="preserve"> and Grade ≥3 AEs were heterogeneous and distributed across unrelated preferred terms (</w:t>
      </w:r>
      <w:proofErr w:type="spellStart"/>
      <w:r>
        <w:t>PTs</w:t>
      </w:r>
      <w:proofErr w:type="spellEnd"/>
      <w:r>
        <w:t xml:space="preserve">), with most events supported by clinically plausible alternative aetiologies. Among the reported </w:t>
      </w:r>
      <w:proofErr w:type="spellStart"/>
      <w:r>
        <w:t>SAEs</w:t>
      </w:r>
      <w:proofErr w:type="spellEnd"/>
      <w:r>
        <w:t xml:space="preserve"> and Grade ≥3 AEs, dyspnoea was the only PT observed in more than one patient, with three serious cases occurring in the 3.6 mg group and one Grade 3, non-serious case in the 10.8 mg group. The observed dyspnoea events were clinically heterogeneous and more plausibly explained by disease-related pulmonary involvement, infective or embolic complications, respiratory comorbidity, metabolic disturbance, or opioid-related respiratory depression rather than a treatment-related pulmonary toxicity. LHRH agonists have no established direct pulmonary toxicity, and no consistent clinical pattern or safety concern suggestive of a study drug effect was identified.</w:t>
      </w:r>
    </w:p>
    <w:p w14:paraId="2416D036" w14:textId="6B17CFFA" w:rsidR="00221BD1" w:rsidRDefault="00221BD1" w:rsidP="00221BD1">
      <w:r>
        <w:t xml:space="preserve">The </w:t>
      </w:r>
      <w:r w:rsidR="00AC757F">
        <w:t>Sponsor</w:t>
      </w:r>
      <w:r>
        <w:t xml:space="preserve"> considered that observed numerical imbalance in SAE and Grade ≥3 event rates were most consistent with random variation in a limited dataset, given the heterogeneous distribution of events across unrelated </w:t>
      </w:r>
      <w:proofErr w:type="spellStart"/>
      <w:r>
        <w:t>PTs</w:t>
      </w:r>
      <w:proofErr w:type="spellEnd"/>
      <w:r>
        <w:t xml:space="preserve"> and absence of a treatment-related pattern. All events were assessed as not related to study drug by the investigator.</w:t>
      </w:r>
    </w:p>
    <w:p w14:paraId="038DD57F" w14:textId="107E08CD" w:rsidR="00221BD1" w:rsidRPr="00A96520" w:rsidRDefault="00221BD1" w:rsidP="00221BD1">
      <w:r>
        <w:t xml:space="preserve">The </w:t>
      </w:r>
      <w:r w:rsidR="00AC757F">
        <w:t>Sponsor</w:t>
      </w:r>
      <w:r>
        <w:t>’s assessment that the imbalance is most likely due to chance is acceptable. There is no imbalance seen in SAE or Grade ≥3 AE rates between treatment arms in the other 2 clinical studies.</w:t>
      </w:r>
    </w:p>
    <w:p w14:paraId="581E2032" w14:textId="77777777" w:rsidR="00A96520" w:rsidRPr="00A96520" w:rsidRDefault="00A96520" w:rsidP="00221BD1">
      <w:pPr>
        <w:pStyle w:val="Heading5"/>
      </w:pPr>
      <w:bookmarkStart w:id="71" w:name="_Ref237858036"/>
      <w:r w:rsidRPr="00A96520">
        <w:t>Effect of race on safety</w:t>
      </w:r>
      <w:bookmarkEnd w:id="71"/>
    </w:p>
    <w:p w14:paraId="16C5F263" w14:textId="77E4EF49" w:rsidR="00A96520" w:rsidRPr="00A96520" w:rsidRDefault="00A96520" w:rsidP="00A96520">
      <w:r w:rsidRPr="00A96520">
        <w:t>Racial information for patients is summarised for each of the 3 clinical studies in the</w:t>
      </w:r>
      <w:r w:rsidR="000250A5">
        <w:t xml:space="preserve"> section entitled</w:t>
      </w:r>
      <w:r w:rsidR="005F70F2">
        <w:t xml:space="preserve"> ‘</w:t>
      </w:r>
      <w:r w:rsidR="005F70F2">
        <w:fldChar w:fldCharType="begin"/>
      </w:r>
      <w:r w:rsidR="005F70F2">
        <w:instrText xml:space="preserve"> REF _Ref240631889 \h </w:instrText>
      </w:r>
      <w:r w:rsidR="005F70F2">
        <w:fldChar w:fldCharType="separate"/>
      </w:r>
      <w:r w:rsidR="005F70F2">
        <w:t>Summary of clinical studies</w:t>
      </w:r>
      <w:r w:rsidR="005F70F2">
        <w:fldChar w:fldCharType="end"/>
      </w:r>
      <w:r w:rsidR="005F70F2">
        <w:t>’</w:t>
      </w:r>
      <w:r w:rsidRPr="00A96520">
        <w:t xml:space="preserve"> (</w:t>
      </w:r>
      <w:proofErr w:type="spellStart"/>
      <w:r w:rsidRPr="00A96520">
        <w:t>p.</w:t>
      </w:r>
      <w:r w:rsidR="000250A5">
        <w:t>10</w:t>
      </w:r>
      <w:proofErr w:type="spellEnd"/>
      <w:r w:rsidRPr="00A96520">
        <w:t xml:space="preserve">). Assessment of safety endpoints by race is possible for Study </w:t>
      </w:r>
      <w:proofErr w:type="spellStart"/>
      <w:r w:rsidRPr="00A96520">
        <w:t>D8664C00008</w:t>
      </w:r>
      <w:proofErr w:type="spellEnd"/>
      <w:r w:rsidRPr="00A96520">
        <w:t xml:space="preserve"> and Study </w:t>
      </w:r>
      <w:proofErr w:type="spellStart"/>
      <w:r w:rsidRPr="00A96520">
        <w:t>D8666C00001</w:t>
      </w:r>
      <w:proofErr w:type="spellEnd"/>
      <w:r w:rsidRPr="00A96520">
        <w:t>.</w:t>
      </w:r>
    </w:p>
    <w:p w14:paraId="42F079BC" w14:textId="79305945" w:rsidR="00A96520" w:rsidRPr="00A96520" w:rsidRDefault="00A96520" w:rsidP="00A96520">
      <w:r w:rsidRPr="00A96520">
        <w:t xml:space="preserve">The overall incidences of AEs tended to be higher in Japanese patients in studies </w:t>
      </w:r>
      <w:proofErr w:type="spellStart"/>
      <w:r w:rsidRPr="00A96520">
        <w:t>D8664C00008</w:t>
      </w:r>
      <w:proofErr w:type="spellEnd"/>
      <w:r w:rsidRPr="00A96520">
        <w:t xml:space="preserve"> and </w:t>
      </w:r>
      <w:proofErr w:type="spellStart"/>
      <w:r w:rsidRPr="00A96520">
        <w:t>D8666C00001</w:t>
      </w:r>
      <w:proofErr w:type="spellEnd"/>
      <w:r w:rsidRPr="00A96520">
        <w:t xml:space="preserve"> (</w:t>
      </w:r>
      <w:r w:rsidR="00221BD1">
        <w:t>Table 2</w:t>
      </w:r>
      <w:r w:rsidR="004E03D1">
        <w:t>1</w:t>
      </w:r>
      <w:r w:rsidRPr="00A96520">
        <w:t xml:space="preserve">); the reason for this is unclear. It is acknowledged that AE reporting patterns vary between countries, reflecting differences in the reporting culture, clinical practice and underlying patient populations. It is not possible to fully comment on these differences in the clinical studies as, particularly in Study </w:t>
      </w:r>
      <w:proofErr w:type="spellStart"/>
      <w:r w:rsidRPr="00A96520">
        <w:t>D8664C00008</w:t>
      </w:r>
      <w:proofErr w:type="spellEnd"/>
      <w:r w:rsidRPr="00A96520">
        <w:t>, the denominators were small for exploring differences in the event frequencies.</w:t>
      </w:r>
    </w:p>
    <w:p w14:paraId="1E7AFCDD" w14:textId="77777777" w:rsidR="00A96520" w:rsidRPr="00A96520" w:rsidRDefault="00A96520" w:rsidP="00A96520">
      <w:r w:rsidRPr="00A96520">
        <w:t>There were no clear differences in the most common AEs between racial groups.</w:t>
      </w:r>
    </w:p>
    <w:p w14:paraId="6F435C69" w14:textId="56262971" w:rsidR="00A96520" w:rsidRPr="00A96520" w:rsidRDefault="00A96520" w:rsidP="00A42632">
      <w:pPr>
        <w:pStyle w:val="TableTitle"/>
      </w:pPr>
      <w:bookmarkStart w:id="72" w:name="_Ref237338197"/>
      <w:bookmarkStart w:id="73" w:name="_Ref237529159"/>
      <w:r w:rsidRPr="00A96520">
        <w:t>Table</w:t>
      </w:r>
      <w:bookmarkEnd w:id="72"/>
      <w:r w:rsidR="00221BD1">
        <w:t xml:space="preserve"> 2</w:t>
      </w:r>
      <w:r w:rsidR="004E03D1">
        <w:t>1</w:t>
      </w:r>
      <w:r w:rsidR="00221BD1">
        <w:t>.</w:t>
      </w:r>
      <w:r w:rsidRPr="00A96520">
        <w:t xml:space="preserve"> Summary of </w:t>
      </w:r>
      <w:r w:rsidR="004E03D1">
        <w:t>a</w:t>
      </w:r>
      <w:r w:rsidRPr="00A96520">
        <w:t xml:space="preserve">dverse </w:t>
      </w:r>
      <w:r w:rsidR="004E03D1">
        <w:t>e</w:t>
      </w:r>
      <w:r w:rsidRPr="00A96520">
        <w:t xml:space="preserve">vents in Studies </w:t>
      </w:r>
      <w:proofErr w:type="spellStart"/>
      <w:r w:rsidRPr="00A96520">
        <w:t>D8664C00008</w:t>
      </w:r>
      <w:proofErr w:type="spellEnd"/>
      <w:r w:rsidRPr="00A96520">
        <w:t xml:space="preserve"> and </w:t>
      </w:r>
      <w:proofErr w:type="spellStart"/>
      <w:r w:rsidRPr="00A96520">
        <w:t>D8666C00001</w:t>
      </w:r>
      <w:proofErr w:type="spellEnd"/>
      <w:r w:rsidRPr="00A96520">
        <w:t xml:space="preserve"> by </w:t>
      </w:r>
      <w:r w:rsidR="004E03D1">
        <w:t>r</w:t>
      </w:r>
      <w:r w:rsidRPr="00A96520">
        <w:t>ace (Safety Analysis Set)</w:t>
      </w:r>
      <w:bookmarkEnd w:id="73"/>
    </w:p>
    <w:p w14:paraId="063D15D8" w14:textId="43E83896" w:rsidR="00A96520" w:rsidRPr="00A96520" w:rsidRDefault="00221BD1" w:rsidP="00A42632">
      <w:r w:rsidRPr="00221BD1">
        <w:rPr>
          <w:noProof/>
        </w:rPr>
        <w:drawing>
          <wp:inline distT="0" distB="0" distL="0" distR="0" wp14:anchorId="3ECFA0DE" wp14:editId="46A22471">
            <wp:extent cx="5759450" cy="1790065"/>
            <wp:effectExtent l="0" t="0" r="0" b="635"/>
            <wp:docPr id="2068468846" name="Picture 1" descr="Table 21. Summary of adverse events in Studies D8664C00008 and D8666C00001 by race (Safety Analysis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468846" name="Picture 1" descr="Table 21. Summary of adverse events in Studies D8664C00008 and D8666C00001 by race (Safety Analysis Set)"/>
                    <pic:cNvPicPr/>
                  </pic:nvPicPr>
                  <pic:blipFill>
                    <a:blip r:embed="rId61">
                      <a:extLst>
                        <a:ext uri="{BEBA8EAE-BF5A-486C-A8C5-ECC9F3942E4B}">
                          <a14:imgProps xmlns:a14="http://schemas.microsoft.com/office/drawing/2010/main">
                            <a14:imgLayer r:embed="rId62">
                              <a14:imgEffect>
                                <a14:sharpenSoften amount="25000"/>
                              </a14:imgEffect>
                            </a14:imgLayer>
                          </a14:imgProps>
                        </a:ext>
                      </a:extLst>
                    </a:blip>
                    <a:stretch>
                      <a:fillRect/>
                    </a:stretch>
                  </pic:blipFill>
                  <pic:spPr>
                    <a:xfrm>
                      <a:off x="0" y="0"/>
                      <a:ext cx="5759450" cy="1790065"/>
                    </a:xfrm>
                    <a:prstGeom prst="rect">
                      <a:avLst/>
                    </a:prstGeom>
                  </pic:spPr>
                </pic:pic>
              </a:graphicData>
            </a:graphic>
          </wp:inline>
        </w:drawing>
      </w:r>
    </w:p>
    <w:p w14:paraId="707BAFF2" w14:textId="77777777" w:rsidR="00A96520" w:rsidRPr="00A96520" w:rsidRDefault="00A96520" w:rsidP="00221BD1">
      <w:pPr>
        <w:pStyle w:val="TableDescription"/>
      </w:pPr>
      <w:r w:rsidRPr="00A96520">
        <w:rPr>
          <w:vertAlign w:val="superscript"/>
        </w:rPr>
        <w:t>a</w:t>
      </w:r>
      <w:r w:rsidRPr="00A96520">
        <w:t xml:space="preserve"> Patients with multiple events in the same category are counted only once in that category. Patients with events in more than 1 category are counted once in each of those categories.</w:t>
      </w:r>
    </w:p>
    <w:p w14:paraId="5419C4C2" w14:textId="77777777" w:rsidR="00A96520" w:rsidRPr="00A96520" w:rsidRDefault="00A96520" w:rsidP="00221BD1">
      <w:pPr>
        <w:pStyle w:val="TableDescription"/>
      </w:pPr>
      <w:r w:rsidRPr="00A96520">
        <w:rPr>
          <w:vertAlign w:val="superscript"/>
        </w:rPr>
        <w:t>b</w:t>
      </w:r>
      <w:r w:rsidRPr="00A96520">
        <w:t xml:space="preserve"> Causality was judged by the investigator.</w:t>
      </w:r>
    </w:p>
    <w:p w14:paraId="7B9E2B67" w14:textId="77777777" w:rsidR="00A96520" w:rsidRPr="00A96520" w:rsidRDefault="00A96520" w:rsidP="00221BD1">
      <w:pPr>
        <w:pStyle w:val="TableDescription"/>
      </w:pPr>
      <w:r w:rsidRPr="00A96520">
        <w:t xml:space="preserve">AE, adverse event; </w:t>
      </w:r>
      <w:proofErr w:type="spellStart"/>
      <w:r w:rsidRPr="00A96520">
        <w:t>CTCAE</w:t>
      </w:r>
      <w:proofErr w:type="spellEnd"/>
      <w:r w:rsidRPr="00A96520">
        <w:t>, Common Terminology Criteria for Adverse Events; n, number of patients in category; N, number of patients in analysis set; SAE, serious adverse event.</w:t>
      </w:r>
    </w:p>
    <w:p w14:paraId="206A4303" w14:textId="77777777" w:rsidR="00A96520" w:rsidRPr="00A96520" w:rsidRDefault="00A96520" w:rsidP="00221BD1">
      <w:pPr>
        <w:pStyle w:val="Heading5"/>
      </w:pPr>
      <w:bookmarkStart w:id="74" w:name="_Ref237858181"/>
      <w:r w:rsidRPr="00A96520">
        <w:lastRenderedPageBreak/>
        <w:t>Postmarketing data</w:t>
      </w:r>
      <w:bookmarkEnd w:id="74"/>
    </w:p>
    <w:p w14:paraId="27997E18" w14:textId="77777777" w:rsidR="00A96520" w:rsidRPr="00A96520" w:rsidRDefault="00A96520" w:rsidP="00A42632">
      <w:r w:rsidRPr="00A96520">
        <w:t xml:space="preserve">The cumulative global postmarketing exposure to </w:t>
      </w:r>
      <w:proofErr w:type="spellStart"/>
      <w:r w:rsidRPr="00A96520">
        <w:t>Zoladex</w:t>
      </w:r>
      <w:proofErr w:type="spellEnd"/>
      <w:r w:rsidRPr="00A96520">
        <w:t xml:space="preserve"> from 2001 to 30 April 2020 is approximately 9,891,305 patient-years, including 6,834,111 patient-years globally for the 10.8 mg strength (Europe: 3,053,092; North America: 952,817).</w:t>
      </w:r>
    </w:p>
    <w:p w14:paraId="46871471" w14:textId="629B841D" w:rsidR="00A96520" w:rsidRPr="00A96520" w:rsidRDefault="00A96520" w:rsidP="00A96520">
      <w:r w:rsidRPr="00A96520">
        <w:t xml:space="preserve">From launch to 31 August 2020, the </w:t>
      </w:r>
      <w:r w:rsidR="00AC757F">
        <w:t>Sponsor</w:t>
      </w:r>
      <w:r w:rsidRPr="00A96520">
        <w:t xml:space="preserve"> has received a total of 2,122 AEs (356 serious) from 657 case reports with the use of </w:t>
      </w:r>
      <w:proofErr w:type="spellStart"/>
      <w:r w:rsidRPr="00A96520">
        <w:t>Zoladex</w:t>
      </w:r>
      <w:proofErr w:type="spellEnd"/>
      <w:r w:rsidRPr="00A96520">
        <w:t xml:space="preserve"> 10.8 mg in female patients. For </w:t>
      </w:r>
      <w:proofErr w:type="spellStart"/>
      <w:r w:rsidRPr="00A96520">
        <w:t>Zoladex</w:t>
      </w:r>
      <w:proofErr w:type="spellEnd"/>
      <w:r w:rsidRPr="00A96520">
        <w:t xml:space="preserve"> 3.6 mg, a total of 8,612 AEs (1,766 serious) from 4,244 case reports were reported in female patients.</w:t>
      </w:r>
    </w:p>
    <w:p w14:paraId="7A08B6FD" w14:textId="472815F5" w:rsidR="00A96520" w:rsidRPr="00A96520" w:rsidRDefault="00A96520" w:rsidP="00A96520">
      <w:r w:rsidRPr="00A96520">
        <w:t xml:space="preserve">There were no observed trends between </w:t>
      </w:r>
      <w:proofErr w:type="spellStart"/>
      <w:r w:rsidRPr="00A96520">
        <w:t>Zoladex</w:t>
      </w:r>
      <w:proofErr w:type="spellEnd"/>
      <w:r w:rsidRPr="00A96520">
        <w:t xml:space="preserve"> 10.8 mg and 3.6 mg in the type and severity of AEs reported in female patients. In patients treated with </w:t>
      </w:r>
      <w:proofErr w:type="spellStart"/>
      <w:r w:rsidRPr="00A96520">
        <w:t>Zoladex</w:t>
      </w:r>
      <w:proofErr w:type="spellEnd"/>
      <w:r w:rsidRPr="00A96520">
        <w:t xml:space="preserve"> 10.8 mg, the AEs reported at the highest numbers were hot flush, headache, amenorrhoea, and vaginal haemorrhage, which are expected pharmacological effects of sex hormone suppression. Similarly, with </w:t>
      </w:r>
      <w:proofErr w:type="spellStart"/>
      <w:r w:rsidRPr="00A96520">
        <w:t>Zoladex</w:t>
      </w:r>
      <w:proofErr w:type="spellEnd"/>
      <w:r w:rsidRPr="00A96520">
        <w:t xml:space="preserve"> 3.6 mg, the AEs reported at the highest numbers were hot flush, headache, arthralgia, nausea, and vaginal haemorrhage.</w:t>
      </w:r>
    </w:p>
    <w:p w14:paraId="2858B006" w14:textId="77777777" w:rsidR="00C22214" w:rsidRDefault="00C22214" w:rsidP="00C22214">
      <w:pPr>
        <w:pStyle w:val="Heading3"/>
        <w:rPr>
          <w:lang w:eastAsia="en-AU"/>
        </w:rPr>
      </w:pPr>
      <w:bookmarkStart w:id="75" w:name="_Toc103679298"/>
      <w:bookmarkStart w:id="76" w:name="_Toc241498816"/>
      <w:r>
        <w:rPr>
          <w:lang w:eastAsia="en-AU"/>
        </w:rPr>
        <w:t>Risk management plan</w:t>
      </w:r>
      <w:bookmarkEnd w:id="49"/>
      <w:bookmarkEnd w:id="75"/>
      <w:bookmarkEnd w:id="76"/>
    </w:p>
    <w:p w14:paraId="22FD02D6" w14:textId="07A77741" w:rsidR="00221BD1" w:rsidRPr="00221BD1" w:rsidRDefault="00221BD1" w:rsidP="00221BD1">
      <w:pPr>
        <w:rPr>
          <w:lang w:eastAsia="en-AU"/>
        </w:rPr>
      </w:pPr>
      <w:r>
        <w:rPr>
          <w:lang w:eastAsia="en-AU"/>
        </w:rPr>
        <w:t>A Risk Management Plan was not required for this submission</w:t>
      </w:r>
      <w:r w:rsidR="00A42632">
        <w:rPr>
          <w:lang w:eastAsia="en-AU"/>
        </w:rPr>
        <w:t>.</w:t>
      </w:r>
    </w:p>
    <w:p w14:paraId="74A4F87F" w14:textId="77777777" w:rsidR="00C22214" w:rsidRDefault="00C22214" w:rsidP="00C22214">
      <w:pPr>
        <w:pStyle w:val="Heading3"/>
      </w:pPr>
      <w:bookmarkStart w:id="77" w:name="_Toc247691531"/>
      <w:bookmarkStart w:id="78" w:name="_Toc314842515"/>
      <w:bookmarkStart w:id="79" w:name="_Toc103679299"/>
      <w:bookmarkStart w:id="80" w:name="_Toc241498817"/>
      <w:r>
        <w:t>Risk-benefit analysis</w:t>
      </w:r>
      <w:bookmarkEnd w:id="77"/>
      <w:bookmarkEnd w:id="78"/>
      <w:bookmarkEnd w:id="79"/>
      <w:bookmarkEnd w:id="80"/>
    </w:p>
    <w:p w14:paraId="4E805577" w14:textId="77777777" w:rsidR="00221BD1" w:rsidRPr="00221BD1" w:rsidRDefault="00221BD1" w:rsidP="00A42632">
      <w:pPr>
        <w:pStyle w:val="Heading4"/>
      </w:pPr>
      <w:bookmarkStart w:id="81" w:name="_Toc241498818"/>
      <w:r w:rsidRPr="00221BD1">
        <w:t>Comparability of the 10.8 mg and 3.6 mg goserelin implant strengths</w:t>
      </w:r>
      <w:bookmarkEnd w:id="81"/>
    </w:p>
    <w:p w14:paraId="2C5B8282" w14:textId="77777777" w:rsidR="00221BD1" w:rsidRPr="00221BD1" w:rsidRDefault="00221BD1" w:rsidP="00A42632">
      <w:pPr>
        <w:pStyle w:val="Heading5"/>
      </w:pPr>
      <w:r w:rsidRPr="00221BD1">
        <w:t>Ovarian function suppression</w:t>
      </w:r>
    </w:p>
    <w:p w14:paraId="4DAA8B9E" w14:textId="7B057F58" w:rsidR="00221BD1" w:rsidRPr="00221BD1" w:rsidRDefault="00221BD1" w:rsidP="00A42632">
      <w:r w:rsidRPr="00221BD1">
        <w:t xml:space="preserve">In Study D8664C00004, conducted in premenopausal patients with early breast cancer (age range 26 to 53 years), the primary endpoint was met: the adjusted </w:t>
      </w:r>
      <w:r w:rsidR="00E402B9" w:rsidRPr="00E402B9">
        <w:t xml:space="preserve">E2 </w:t>
      </w:r>
      <w:r w:rsidRPr="00221BD1">
        <w:t xml:space="preserve">AUC ratio for patients treated with 10.8 mg compared to 3.6 mg was 0.974, with a 95% CI of 0.799 to 1.188, remaining below the prespecified non-inferiority margin of 1.25. Additionally, almost all patients (≥98.8%) had E2 serum concentrations below 30 pg/mL from </w:t>
      </w:r>
      <w:r w:rsidR="005F70F2">
        <w:t>w</w:t>
      </w:r>
      <w:r w:rsidRPr="00221BD1">
        <w:t xml:space="preserve">eek 4 onwards, supporting sustained ovarian suppression across the dosing interval. The proportion of patients with E2 serum concentrations below 30 pg/mL was comparable between the 10.8 mg and 3.6 mg treatment groups </w:t>
      </w:r>
      <w:r w:rsidRPr="003B45D6">
        <w:t>(</w:t>
      </w:r>
      <w:r w:rsidR="005F70F2" w:rsidRPr="003B45D6">
        <w:t>Table 1</w:t>
      </w:r>
      <w:r w:rsidR="003B45D6" w:rsidRPr="003B45D6">
        <w:t>1</w:t>
      </w:r>
      <w:r w:rsidRPr="00221BD1">
        <w:t>).</w:t>
      </w:r>
    </w:p>
    <w:p w14:paraId="22BB16CC" w14:textId="0BF14304" w:rsidR="00221BD1" w:rsidRPr="00221BD1" w:rsidRDefault="00221BD1" w:rsidP="00A42632">
      <w:r w:rsidRPr="00221BD1">
        <w:t xml:space="preserve">The evidence in advanced breast cancer is also supportive. In Study D8666C00001 (age range 23 to 54 years), E2 suppression was similar between the two treatment groups at </w:t>
      </w:r>
      <w:r w:rsidR="005F70F2">
        <w:t>w</w:t>
      </w:r>
      <w:r w:rsidRPr="00221BD1">
        <w:t>eeks 12 and 24. The adjusted ratio of least square mean E2 concentrations for 10.8 mg compared with 3.6 mg was 0.92 at both Week 12 and Week 24 (</w:t>
      </w:r>
      <w:r w:rsidR="005F70F2" w:rsidRPr="003B45D6">
        <w:t xml:space="preserve">Table </w:t>
      </w:r>
      <w:r w:rsidR="003B45D6" w:rsidRPr="003B45D6">
        <w:t>9</w:t>
      </w:r>
      <w:r w:rsidRPr="00221BD1">
        <w:t xml:space="preserve">). The proportions of patients with E2 concentrations ≤30 pg/mL were also similar between treatment groups </w:t>
      </w:r>
      <w:r w:rsidRPr="003B45D6">
        <w:t>(</w:t>
      </w:r>
      <w:r w:rsidR="005F70F2" w:rsidRPr="003B45D6">
        <w:t xml:space="preserve">Table </w:t>
      </w:r>
      <w:r w:rsidR="003B45D6" w:rsidRPr="003B45D6">
        <w:t>8</w:t>
      </w:r>
      <w:r w:rsidRPr="00221BD1">
        <w:t xml:space="preserve">). Study D8664C00008 (age range 26 to 59 years) provided consistent supportive data: ANCOVA analyses indicated comparable E2 concentrations between treatment groups (ratio 0.93 at </w:t>
      </w:r>
      <w:r w:rsidR="005F70F2">
        <w:t>w</w:t>
      </w:r>
      <w:r w:rsidRPr="00221BD1">
        <w:t xml:space="preserve">eek 24; </w:t>
      </w:r>
      <w:r w:rsidR="005F70F2" w:rsidRPr="001A3106">
        <w:t>Table 1</w:t>
      </w:r>
      <w:r w:rsidR="001A3106" w:rsidRPr="001A3106">
        <w:t>2</w:t>
      </w:r>
      <w:r w:rsidR="005F70F2">
        <w:t>)</w:t>
      </w:r>
      <w:r w:rsidRPr="00221BD1">
        <w:t>.</w:t>
      </w:r>
    </w:p>
    <w:p w14:paraId="7E66673F" w14:textId="77777777" w:rsidR="00221BD1" w:rsidRPr="00221BD1" w:rsidRDefault="00221BD1" w:rsidP="00A42632">
      <w:pPr>
        <w:pStyle w:val="Heading5"/>
      </w:pPr>
      <w:r w:rsidRPr="00221BD1">
        <w:t>Other efficacy measures</w:t>
      </w:r>
    </w:p>
    <w:p w14:paraId="3993E59B" w14:textId="671D1182" w:rsidR="00221BD1" w:rsidRPr="00221BD1" w:rsidRDefault="00221BD1" w:rsidP="00A42632">
      <w:r w:rsidRPr="00221BD1">
        <w:t>Study D8666C00001 met its primary endpoint for PFS at Week 24, with 61.47% of patients remaining progression-free in the 10.8 mg group compared with 60.18% in the 3.6 mg group, and the confidence interval for the between-group difference remained within the prespecified non-inferiority margin (</w:t>
      </w:r>
      <w:r w:rsidR="005F70F2" w:rsidRPr="001A3106">
        <w:t>Table 1</w:t>
      </w:r>
      <w:r w:rsidR="001A3106" w:rsidRPr="001A3106">
        <w:t>3</w:t>
      </w:r>
      <w:r w:rsidRPr="00221BD1">
        <w:t>).</w:t>
      </w:r>
    </w:p>
    <w:p w14:paraId="79DC3FC0" w14:textId="77777777" w:rsidR="00221BD1" w:rsidRPr="00221BD1" w:rsidRDefault="00221BD1" w:rsidP="00221BD1">
      <w:r w:rsidRPr="00221BD1">
        <w:lastRenderedPageBreak/>
        <w:t>Study D8664C00008 was broadly consistent with Study D8666C00001, demonstrating numerically similar PFS at Week 24 in the 10.8 mg and 3.6 mg groups (n=34/49 and 36/49, respectively). However, Study D8664C00008 was underpowered due to early termination of recruitment and, therefore, non-inferiority cannot be determined, and the results should be interpreted with a degree of caution due to the smaller sample size reducing the certainty of the result.</w:t>
      </w:r>
    </w:p>
    <w:p w14:paraId="11869DCB" w14:textId="5D21D3F7" w:rsidR="00221BD1" w:rsidRPr="00221BD1" w:rsidRDefault="00221BD1" w:rsidP="00221BD1">
      <w:r w:rsidRPr="00221BD1">
        <w:t>Objective response rates were similar between 10.8 mg and 3.6 mg treatment groups in both Study D8666C00001 and Study D8664C00008 (</w:t>
      </w:r>
      <w:r w:rsidR="005F70F2" w:rsidRPr="001A3106">
        <w:t>Table 1</w:t>
      </w:r>
      <w:r w:rsidR="001A3106" w:rsidRPr="001A3106">
        <w:t>4</w:t>
      </w:r>
      <w:r w:rsidRPr="00221BD1">
        <w:t>).</w:t>
      </w:r>
    </w:p>
    <w:p w14:paraId="575CEB87" w14:textId="3F2A9D44" w:rsidR="00AD1177" w:rsidRDefault="00221BD1" w:rsidP="00221BD1">
      <w:pPr>
        <w:rPr>
          <w:b/>
          <w:bCs/>
        </w:rPr>
      </w:pPr>
      <w:r w:rsidRPr="00221BD1">
        <w:t>Overall, the submitted clinical data package provides adequate evidence of non-inferior efficacy of the 12-weekly goserelin 10.8 mg implant compared to the 4-weekly goserelin 3.6 mg implant for the proposed indication in premenopausal patients with early and advanced ER-positive breast cancer.</w:t>
      </w:r>
    </w:p>
    <w:p w14:paraId="2661767D" w14:textId="61D8AC1C" w:rsidR="00221BD1" w:rsidRPr="00221BD1" w:rsidRDefault="00221BD1" w:rsidP="00A42632">
      <w:pPr>
        <w:pStyle w:val="Heading5"/>
      </w:pPr>
      <w:r w:rsidRPr="00221BD1">
        <w:t>Use with aromatase inhibitors</w:t>
      </w:r>
    </w:p>
    <w:p w14:paraId="040B4E17" w14:textId="77777777" w:rsidR="00221BD1" w:rsidRPr="00221BD1" w:rsidRDefault="00221BD1" w:rsidP="00221BD1">
      <w:r w:rsidRPr="00221BD1">
        <w:t>A limitation of the submitted clinical studies is that the comparative data for goserelin 10.8 mg and 3.6 mg were generated with concomitant tamoxifen 20 mg daily. The studies did not directly evaluate either dose strength in combination with exemestane or another aromatase inhibitor (AI).</w:t>
      </w:r>
    </w:p>
    <w:p w14:paraId="40BF7011" w14:textId="7394C8E6" w:rsidR="00221BD1" w:rsidRPr="00221BD1" w:rsidRDefault="00221BD1" w:rsidP="00221BD1">
      <w:r w:rsidRPr="00221BD1">
        <w:t xml:space="preserve">It is important to note that the clinical evidence supporting the combination of AI and OFS in premenopausal patients with breast cancer was not dependent on the specific use of goserelin 3.6 mg. As described earlier in this report </w:t>
      </w:r>
      <w:r w:rsidRPr="001A3106">
        <w:t>(</w:t>
      </w:r>
      <w:r w:rsidR="001A3106" w:rsidRPr="001A3106">
        <w:t>see ‘</w:t>
      </w:r>
      <w:r w:rsidR="001A3106">
        <w:fldChar w:fldCharType="begin"/>
      </w:r>
      <w:r w:rsidR="001A3106">
        <w:instrText xml:space="preserve"> REF _Ref240635207 \h </w:instrText>
      </w:r>
      <w:r w:rsidR="001A3106">
        <w:fldChar w:fldCharType="separate"/>
      </w:r>
      <w:r w:rsidR="001A3106">
        <w:t>Condition and c</w:t>
      </w:r>
      <w:r w:rsidR="001A3106" w:rsidRPr="00BA2091">
        <w:t>urrent treatment options</w:t>
      </w:r>
      <w:r w:rsidR="001A3106">
        <w:fldChar w:fldCharType="end"/>
      </w:r>
      <w:r w:rsidR="001A3106" w:rsidRPr="001A3106">
        <w:t>’</w:t>
      </w:r>
      <w:r w:rsidRPr="001A3106">
        <w:t xml:space="preserve">, </w:t>
      </w:r>
      <w:proofErr w:type="spellStart"/>
      <w:r w:rsidRPr="001A3106">
        <w:t>p.</w:t>
      </w:r>
      <w:r w:rsidR="001A3106" w:rsidRPr="001A3106">
        <w:t>6</w:t>
      </w:r>
      <w:proofErr w:type="spellEnd"/>
      <w:r w:rsidRPr="001A3106">
        <w:t>)</w:t>
      </w:r>
      <w:r w:rsidRPr="00221BD1">
        <w:t xml:space="preserve"> the SOFT and TEXT studies provide the pivotal evidence for use of adjuvant OFS in combination with endocrine therapy (including exemestane). In these trials, OFS was achieved by triptorelin, oophorectomy or ovarian irradiation, not goserelin.</w:t>
      </w:r>
      <w:r w:rsidR="00AD1177">
        <w:rPr>
          <w:rStyle w:val="FootnoteReference"/>
        </w:rPr>
        <w:footnoteReference w:id="18"/>
      </w:r>
      <w:r w:rsidRPr="00221BD1">
        <w:t xml:space="preserve"> The current Australian use of exemestane with 4-weekly goserelin 3.6 mg</w:t>
      </w:r>
      <w:r w:rsidR="00AD1177">
        <w:rPr>
          <w:rStyle w:val="FootnoteReference"/>
        </w:rPr>
        <w:footnoteReference w:id="19"/>
      </w:r>
      <w:r w:rsidRPr="00221BD1">
        <w:t xml:space="preserve"> therefore already involves extrapolation from evidence generated with other accepted methods of OFS.</w:t>
      </w:r>
    </w:p>
    <w:p w14:paraId="0B3B205C" w14:textId="6CEECB6F" w:rsidR="00221BD1" w:rsidRPr="00221BD1" w:rsidRDefault="00221BD1" w:rsidP="00221BD1">
      <w:r w:rsidRPr="00221BD1">
        <w:t xml:space="preserve">Therefore, the key consideration is whether 12-weekly goserelin 10.8 mg provides comparable OFS to the currently approved 4-weekly goserelin 3.6 mg. The evidence submitted with this application establishes non-inferiority of OFS with 12-weekly goserelin 10.8 mg compared to 4-weekly goserelin 3.6 mg in premenopausal patients with early or advanced breast cancer. </w:t>
      </w:r>
      <w:r w:rsidR="00E402B9" w:rsidRPr="00E402B9">
        <w:t>E2</w:t>
      </w:r>
      <w:r w:rsidR="00E402B9">
        <w:t xml:space="preserve"> </w:t>
      </w:r>
      <w:r w:rsidRPr="00221BD1">
        <w:t xml:space="preserve">measurements collected immediately before the next goserelin dose confirm that OFS is in effect for the duration of the treatment interval </w:t>
      </w:r>
      <w:r w:rsidRPr="001A3106">
        <w:t xml:space="preserve">(see </w:t>
      </w:r>
      <w:r w:rsidR="001A3106" w:rsidRPr="001A3106">
        <w:t>‘</w:t>
      </w:r>
      <w:r w:rsidRPr="001A3106">
        <w:fldChar w:fldCharType="begin"/>
      </w:r>
      <w:r w:rsidRPr="001A3106">
        <w:instrText xml:space="preserve"> REF _Ref236313819 \h </w:instrText>
      </w:r>
      <w:r w:rsidR="00AD1177" w:rsidRPr="001A3106">
        <w:instrText xml:space="preserve"> \* MERGEFORMAT </w:instrText>
      </w:r>
      <w:r w:rsidRPr="001A3106">
        <w:fldChar w:fldCharType="separate"/>
      </w:r>
      <w:r w:rsidR="001A3106" w:rsidRPr="001A3106">
        <w:fldChar w:fldCharType="begin"/>
      </w:r>
      <w:r w:rsidR="001A3106" w:rsidRPr="001A3106">
        <w:instrText xml:space="preserve"> REF _Ref236313819 \h  \* MERGEFORMAT </w:instrText>
      </w:r>
      <w:r w:rsidR="001A3106" w:rsidRPr="001A3106">
        <w:fldChar w:fldCharType="separate"/>
      </w:r>
      <w:r w:rsidR="001A3106" w:rsidRPr="001A3106">
        <w:t>Pharmacodynamics</w:t>
      </w:r>
      <w:r w:rsidR="001A3106" w:rsidRPr="001A3106">
        <w:fldChar w:fldCharType="end"/>
      </w:r>
      <w:r w:rsidR="001A3106" w:rsidRPr="001A3106">
        <w:t>'</w:t>
      </w:r>
      <w:r w:rsidRPr="001A3106">
        <w:fldChar w:fldCharType="end"/>
      </w:r>
      <w:r w:rsidRPr="001A3106">
        <w:t xml:space="preserve">, p. </w:t>
      </w:r>
      <w:r w:rsidR="001A3106">
        <w:t>1</w:t>
      </w:r>
      <w:r w:rsidR="001A3106" w:rsidRPr="001A3106">
        <w:t>4</w:t>
      </w:r>
      <w:r w:rsidRPr="001A3106">
        <w:t>).</w:t>
      </w:r>
    </w:p>
    <w:p w14:paraId="76551746" w14:textId="77777777" w:rsidR="00221BD1" w:rsidRPr="00221BD1" w:rsidRDefault="00221BD1" w:rsidP="00221BD1">
      <w:r w:rsidRPr="00221BD1">
        <w:t>Overall, whilst direct comparative data including AI treatment would have provided more certainty, its absence should not preclude the proposed use of goserelin 10.8 mg and is, in fact, consistent with the current use of goserelin 3.6 mg.</w:t>
      </w:r>
    </w:p>
    <w:p w14:paraId="396ADEED" w14:textId="5F46DBC9" w:rsidR="00221BD1" w:rsidRPr="00221BD1" w:rsidRDefault="00221BD1" w:rsidP="00A42632">
      <w:pPr>
        <w:pStyle w:val="Heading5"/>
      </w:pPr>
      <w:r w:rsidRPr="00221BD1">
        <w:t>Racial/Ethnic characteristics in the supporting evidence</w:t>
      </w:r>
    </w:p>
    <w:p w14:paraId="53F705BC" w14:textId="3C6A8A7B" w:rsidR="00221BD1" w:rsidRPr="00221BD1" w:rsidRDefault="00221BD1" w:rsidP="00221BD1">
      <w:r w:rsidRPr="00221BD1">
        <w:t>The total of 490 study patients across the 3 supporting clinical trials included a substantial Japanese population (n=268; 54.7%), however, non-Japanese Asian (n=163; 33.2%) and Caucasian (n=59; 12.0%) subgroups were also represented.</w:t>
      </w:r>
    </w:p>
    <w:p w14:paraId="72C2012E" w14:textId="5E4F7011" w:rsidR="001A3106" w:rsidRDefault="00221BD1" w:rsidP="00221BD1">
      <w:r w:rsidRPr="00221BD1">
        <w:t xml:space="preserve">Pharmacodynamic comparisons did not identify notable differences in E2 suppression by race among patients treated with goserelin 10.8 mg </w:t>
      </w:r>
      <w:r w:rsidRPr="001A3106">
        <w:t xml:space="preserve">(see </w:t>
      </w:r>
      <w:r w:rsidR="005F70F2" w:rsidRPr="001A3106">
        <w:t>‘</w:t>
      </w:r>
      <w:r w:rsidR="005F70F2" w:rsidRPr="001A3106">
        <w:fldChar w:fldCharType="begin"/>
      </w:r>
      <w:r w:rsidR="005F70F2" w:rsidRPr="001A3106">
        <w:instrText xml:space="preserve"> REF _Ref240632098 \h </w:instrText>
      </w:r>
      <w:r w:rsidR="001A3106">
        <w:instrText xml:space="preserve"> \* MERGEFORMAT </w:instrText>
      </w:r>
      <w:r w:rsidR="005F70F2" w:rsidRPr="001A3106">
        <w:fldChar w:fldCharType="separate"/>
      </w:r>
      <w:r w:rsidR="005F70F2" w:rsidRPr="001A3106">
        <w:t>Effect of race on pharmacodynamics</w:t>
      </w:r>
      <w:r w:rsidR="005F70F2" w:rsidRPr="001A3106">
        <w:fldChar w:fldCharType="end"/>
      </w:r>
      <w:r w:rsidR="005F70F2" w:rsidRPr="001A3106">
        <w:t>’</w:t>
      </w:r>
      <w:r w:rsidRPr="001A3106">
        <w:t xml:space="preserve">, </w:t>
      </w:r>
      <w:proofErr w:type="spellStart"/>
      <w:r w:rsidRPr="001A3106">
        <w:t>p.</w:t>
      </w:r>
      <w:r w:rsidR="001A3106">
        <w:t>21</w:t>
      </w:r>
      <w:proofErr w:type="spellEnd"/>
      <w:r w:rsidRPr="001A3106">
        <w:t>)</w:t>
      </w:r>
      <w:r w:rsidRPr="00221BD1">
        <w:t>.</w:t>
      </w:r>
    </w:p>
    <w:p w14:paraId="1758C1B1" w14:textId="1460C96C" w:rsidR="00221BD1" w:rsidRPr="00221BD1" w:rsidRDefault="00221BD1" w:rsidP="00A42632">
      <w:r w:rsidRPr="00221BD1">
        <w:lastRenderedPageBreak/>
        <w:t xml:space="preserve">Subgroup analyses of PFS and ORR by race were exploratory and limited by small sample sizes, but there was no clear signal suggesting a clinically important difference between racial </w:t>
      </w:r>
      <w:r w:rsidRPr="001A3106">
        <w:t xml:space="preserve">subgroups (see </w:t>
      </w:r>
      <w:r w:rsidR="001A3106" w:rsidRPr="001A3106">
        <w:t>‘</w:t>
      </w:r>
      <w:r w:rsidR="001A3106" w:rsidRPr="001A3106">
        <w:fldChar w:fldCharType="begin"/>
      </w:r>
      <w:r w:rsidR="001A3106" w:rsidRPr="001A3106">
        <w:instrText xml:space="preserve"> REF _Ref240635386 \h  \* MERGEFORMAT </w:instrText>
      </w:r>
      <w:r w:rsidR="001A3106" w:rsidRPr="001A3106">
        <w:fldChar w:fldCharType="separate"/>
      </w:r>
      <w:r w:rsidR="001A3106" w:rsidRPr="001A3106">
        <w:t>Effect of race on progression-free survival and objective response rate</w:t>
      </w:r>
      <w:r w:rsidR="001A3106" w:rsidRPr="001A3106">
        <w:fldChar w:fldCharType="end"/>
      </w:r>
      <w:r w:rsidR="001A3106" w:rsidRPr="001A3106">
        <w:t>’</w:t>
      </w:r>
      <w:r w:rsidRPr="001A3106">
        <w:t xml:space="preserve"> </w:t>
      </w:r>
      <w:proofErr w:type="spellStart"/>
      <w:r w:rsidRPr="001A3106">
        <w:t>p.</w:t>
      </w:r>
      <w:r w:rsidR="001A3106">
        <w:t>21</w:t>
      </w:r>
      <w:proofErr w:type="spellEnd"/>
      <w:r w:rsidRPr="001A3106">
        <w:t>)</w:t>
      </w:r>
      <w:r w:rsidRPr="00221BD1">
        <w:t xml:space="preserve"> which is consistent with the pharmacodynamic results.</w:t>
      </w:r>
    </w:p>
    <w:p w14:paraId="430B5427" w14:textId="6C3FAF01" w:rsidR="00221BD1" w:rsidRPr="00221BD1" w:rsidRDefault="00221BD1" w:rsidP="00A42632">
      <w:r w:rsidRPr="00221BD1">
        <w:t xml:space="preserve">Safety analyses demonstrated no clear differences in the </w:t>
      </w:r>
      <w:proofErr w:type="gramStart"/>
      <w:r w:rsidRPr="00221BD1">
        <w:t>most commonly reported</w:t>
      </w:r>
      <w:proofErr w:type="gramEnd"/>
      <w:r w:rsidRPr="00221BD1">
        <w:t xml:space="preserve"> AEs. There was a tendency towards higher overall AE reporting in Japanese patients in some studies, however with the caveat that reporting patterns may vary by country and clinical practice </w:t>
      </w:r>
      <w:r w:rsidRPr="001A3106">
        <w:t xml:space="preserve">(see </w:t>
      </w:r>
      <w:r w:rsidR="001A3106" w:rsidRPr="001A3106">
        <w:t>‘</w:t>
      </w:r>
      <w:r w:rsidR="001A3106" w:rsidRPr="001A3106">
        <w:fldChar w:fldCharType="begin"/>
      </w:r>
      <w:r w:rsidR="001A3106" w:rsidRPr="001A3106">
        <w:instrText xml:space="preserve"> REF _Ref237858036 \h  \* MERGEFORMAT </w:instrText>
      </w:r>
      <w:r w:rsidR="001A3106" w:rsidRPr="001A3106">
        <w:fldChar w:fldCharType="separate"/>
      </w:r>
      <w:r w:rsidR="001A3106" w:rsidRPr="001A3106">
        <w:t>Effect of race on safety</w:t>
      </w:r>
      <w:r w:rsidR="001A3106" w:rsidRPr="001A3106">
        <w:fldChar w:fldCharType="end"/>
      </w:r>
      <w:r w:rsidR="001A3106" w:rsidRPr="001A3106">
        <w:t>’</w:t>
      </w:r>
      <w:r w:rsidRPr="001A3106">
        <w:t xml:space="preserve">, </w:t>
      </w:r>
      <w:proofErr w:type="spellStart"/>
      <w:r w:rsidRPr="001A3106">
        <w:t>p.</w:t>
      </w:r>
      <w:r w:rsidR="001A3106" w:rsidRPr="001A3106">
        <w:t>24</w:t>
      </w:r>
      <w:proofErr w:type="spellEnd"/>
      <w:r w:rsidRPr="001A3106">
        <w:t>)</w:t>
      </w:r>
      <w:r w:rsidRPr="00221BD1">
        <w:t xml:space="preserve">. The postmarketing data are also supportive, with extensive global exposure to Zoladex at both 3.6 mg and 10.8 mg, and no observed trends between the 10.8 mg and 3.6 mg strengths in the type or severity of AEs reported in female patients </w:t>
      </w:r>
      <w:r w:rsidRPr="001A3106">
        <w:t xml:space="preserve">worldwide (see </w:t>
      </w:r>
      <w:r w:rsidR="001A3106" w:rsidRPr="001A3106">
        <w:t>‘</w:t>
      </w:r>
      <w:r w:rsidR="001A3106" w:rsidRPr="001A3106">
        <w:fldChar w:fldCharType="begin"/>
      </w:r>
      <w:r w:rsidR="001A3106" w:rsidRPr="001A3106">
        <w:instrText xml:space="preserve"> REF _Ref237858181 \h  \* MERGEFORMAT </w:instrText>
      </w:r>
      <w:r w:rsidR="001A3106" w:rsidRPr="001A3106">
        <w:fldChar w:fldCharType="separate"/>
      </w:r>
      <w:r w:rsidR="001A3106" w:rsidRPr="001A3106">
        <w:t>Postmarketing data</w:t>
      </w:r>
      <w:r w:rsidR="001A3106" w:rsidRPr="001A3106">
        <w:fldChar w:fldCharType="end"/>
      </w:r>
      <w:r w:rsidR="001A3106" w:rsidRPr="001A3106">
        <w:t>’</w:t>
      </w:r>
      <w:r w:rsidRPr="001A3106">
        <w:t xml:space="preserve">, </w:t>
      </w:r>
      <w:proofErr w:type="spellStart"/>
      <w:r w:rsidRPr="001A3106">
        <w:t>p.</w:t>
      </w:r>
      <w:r w:rsidR="001A3106" w:rsidRPr="001A3106">
        <w:t>25</w:t>
      </w:r>
      <w:proofErr w:type="spellEnd"/>
      <w:r w:rsidRPr="001A3106">
        <w:t>).</w:t>
      </w:r>
    </w:p>
    <w:p w14:paraId="24A8467E" w14:textId="5AE1A956" w:rsidR="00221BD1" w:rsidRPr="00221BD1" w:rsidRDefault="00221BD1" w:rsidP="00A42632">
      <w:r w:rsidRPr="00221BD1">
        <w:t xml:space="preserve">Furthermore, the </w:t>
      </w:r>
      <w:r w:rsidR="00AC757F">
        <w:t>Sponsor</w:t>
      </w:r>
      <w:r w:rsidRPr="00221BD1">
        <w:t xml:space="preserve"> has provided the following additional justifications that goserelin 10.8 mg fulfils the criteria for low likelihood for ethnic sensitivity as described in Appendix D of the ICH E5 (R1) Guideline (ICH E5(R1) 1998), a guidance which has been adopted by the TGA.</w:t>
      </w:r>
      <w:r w:rsidR="0085130E">
        <w:rPr>
          <w:rStyle w:val="FootnoteReference"/>
        </w:rPr>
        <w:footnoteReference w:id="20"/>
      </w:r>
      <w:r w:rsidRPr="00221BD1">
        <w:t xml:space="preserve"> These factors include:</w:t>
      </w:r>
    </w:p>
    <w:p w14:paraId="66A51FF2" w14:textId="77777777" w:rsidR="00221BD1" w:rsidRPr="00221BD1" w:rsidRDefault="00221BD1" w:rsidP="00A42632">
      <w:pPr>
        <w:pStyle w:val="ListBullet"/>
      </w:pPr>
      <w:r w:rsidRPr="00221BD1">
        <w:t>A linear PK profile;</w:t>
      </w:r>
    </w:p>
    <w:p w14:paraId="67C76E63" w14:textId="77777777" w:rsidR="00221BD1" w:rsidRPr="00221BD1" w:rsidRDefault="00221BD1" w:rsidP="00A42632">
      <w:pPr>
        <w:pStyle w:val="ListBullet"/>
      </w:pPr>
      <w:r w:rsidRPr="00221BD1">
        <w:t>A flat PD (effect-concentration) curve across the dose range attributed to the mode of action of Zoladex (downregulation of LH-RH receptors);</w:t>
      </w:r>
    </w:p>
    <w:p w14:paraId="68E2C63F" w14:textId="77777777" w:rsidR="00221BD1" w:rsidRPr="00221BD1" w:rsidRDefault="00221BD1" w:rsidP="00A42632">
      <w:pPr>
        <w:pStyle w:val="ListBullet"/>
      </w:pPr>
      <w:r w:rsidRPr="00221BD1">
        <w:t>Metabolism through multiple pathways (hepatic and renal), reducing the risk of interactions arising due to extrinsic or intrinsic variations across populations;</w:t>
      </w:r>
    </w:p>
    <w:p w14:paraId="5EDC4982" w14:textId="77777777" w:rsidR="00221BD1" w:rsidRPr="00221BD1" w:rsidRDefault="00221BD1" w:rsidP="00A42632">
      <w:pPr>
        <w:pStyle w:val="ListBullet"/>
      </w:pPr>
      <w:r w:rsidRPr="00221BD1">
        <w:t>Low protein binding (20% to 28%);</w:t>
      </w:r>
    </w:p>
    <w:p w14:paraId="43FCEC46" w14:textId="77777777" w:rsidR="00221BD1" w:rsidRPr="00221BD1" w:rsidRDefault="00221BD1" w:rsidP="00A42632">
      <w:pPr>
        <w:pStyle w:val="ListBullet"/>
      </w:pPr>
      <w:r w:rsidRPr="00221BD1">
        <w:t>No known drug-drug or drug-diet interactions;</w:t>
      </w:r>
    </w:p>
    <w:p w14:paraId="5901106C" w14:textId="77777777" w:rsidR="00221BD1" w:rsidRPr="00221BD1" w:rsidRDefault="00221BD1" w:rsidP="00A42632">
      <w:pPr>
        <w:pStyle w:val="ListBullet"/>
      </w:pPr>
      <w:r w:rsidRPr="00221BD1">
        <w:t>Little potential for inappropriate use due to administration of the depot by a healthcare professional.</w:t>
      </w:r>
    </w:p>
    <w:p w14:paraId="18DFD4A8" w14:textId="77777777" w:rsidR="00221BD1" w:rsidRPr="00221BD1" w:rsidRDefault="00221BD1" w:rsidP="00A42632">
      <w:r w:rsidRPr="00221BD1">
        <w:t>Overall, the submitted evidence is sufficient to justify that differences in the efficacy or safety of goserelin 10.8 mg for the treatment of premenopausal breast cancer between races or ethnicities are unlikely. Thus, the data are acceptable to support an application for registration to treat Australian patients.</w:t>
      </w:r>
    </w:p>
    <w:p w14:paraId="5DEDE734" w14:textId="77777777" w:rsidR="00221BD1" w:rsidRPr="00221BD1" w:rsidRDefault="00221BD1" w:rsidP="00A42632">
      <w:pPr>
        <w:pStyle w:val="Heading4"/>
      </w:pPr>
      <w:bookmarkStart w:id="82" w:name="_Toc241498819"/>
      <w:r w:rsidRPr="00221BD1">
        <w:t>Conclusions</w:t>
      </w:r>
      <w:bookmarkEnd w:id="82"/>
    </w:p>
    <w:p w14:paraId="765A741D" w14:textId="77777777" w:rsidR="00221BD1" w:rsidRPr="00221BD1" w:rsidRDefault="00221BD1" w:rsidP="00A42632">
      <w:r w:rsidRPr="00221BD1">
        <w:t>The decision to register a prescription medicine requires that the quality, efficacy and safety for the proposed use be satisfactorily established.</w:t>
      </w:r>
    </w:p>
    <w:p w14:paraId="07256211" w14:textId="77777777" w:rsidR="00221BD1" w:rsidRPr="00221BD1" w:rsidRDefault="00221BD1" w:rsidP="00221BD1">
      <w:r w:rsidRPr="00221BD1">
        <w:t>No changes have been proposed to the ingredients, manufacturing or other quality aspects of the Zoladex (goserelin) 10.8 mg implant. Therefore, quality remains established.</w:t>
      </w:r>
    </w:p>
    <w:p w14:paraId="402FDE72" w14:textId="4CEFC1C5" w:rsidR="00221BD1" w:rsidRPr="00221BD1" w:rsidRDefault="00221BD1" w:rsidP="00221BD1">
      <w:r w:rsidRPr="00221BD1">
        <w:t>The key evidence demonstrates that 12‑weekly goserelin 10.8 mg provides non-inferior efficacy (</w:t>
      </w:r>
      <w:r w:rsidR="00E402B9" w:rsidRPr="00E402B9">
        <w:t>E2</w:t>
      </w:r>
      <w:r w:rsidR="00E402B9">
        <w:t xml:space="preserve"> </w:t>
      </w:r>
      <w:r w:rsidRPr="00221BD1">
        <w:t>suppression and PFS) to 4‑weekly goserelin 3.6 mg in premenopausal patients with early and advanced breast cancer. Therefore, efficacy is established.</w:t>
      </w:r>
    </w:p>
    <w:p w14:paraId="0775A511" w14:textId="5175D76D" w:rsidR="00221BD1" w:rsidRPr="00221BD1" w:rsidRDefault="00221BD1" w:rsidP="00221BD1">
      <w:r w:rsidRPr="00221BD1">
        <w:t>The submitted clinical trials did not demonstrate any meaningful or concerning differences in the safety of goserelin 10.8 mg compared to 3.6 mg in premenopausal patients with early and advanced breast cancer. Therefore, safety is established.</w:t>
      </w:r>
    </w:p>
    <w:p w14:paraId="307F236C" w14:textId="7FD19BD3" w:rsidR="00C22214" w:rsidRPr="002E238E" w:rsidRDefault="0046285C" w:rsidP="00A42632">
      <w:pPr>
        <w:pStyle w:val="Heading2"/>
      </w:pPr>
      <w:bookmarkStart w:id="83" w:name="_Toc247691532"/>
      <w:bookmarkStart w:id="84" w:name="_Toc314842516"/>
      <w:bookmarkStart w:id="85" w:name="_Toc103679300"/>
      <w:bookmarkStart w:id="86" w:name="_Toc241498820"/>
      <w:r>
        <w:lastRenderedPageBreak/>
        <w:t>Assessment</w:t>
      </w:r>
      <w:r w:rsidR="00190853">
        <w:t xml:space="preserve"> </w:t>
      </w:r>
      <w:r>
        <w:t>o</w:t>
      </w:r>
      <w:r w:rsidR="00C22214">
        <w:t>utcome</w:t>
      </w:r>
      <w:bookmarkEnd w:id="83"/>
      <w:bookmarkEnd w:id="84"/>
      <w:bookmarkEnd w:id="85"/>
      <w:bookmarkEnd w:id="86"/>
    </w:p>
    <w:p w14:paraId="4EF22939" w14:textId="341D7CFB" w:rsidR="00C22214" w:rsidRPr="0017005C" w:rsidRDefault="00C22214" w:rsidP="0006104E">
      <w:r w:rsidRPr="0017005C">
        <w:t xml:space="preserve">Based on a review of quality, safety, and efficacy, the TGA </w:t>
      </w:r>
      <w:r w:rsidR="00B46DFB">
        <w:t>decided to</w:t>
      </w:r>
      <w:r w:rsidRPr="0017005C">
        <w:t xml:space="preserve"> regist</w:t>
      </w:r>
      <w:r w:rsidR="00B46DFB">
        <w:t>er</w:t>
      </w:r>
      <w:r w:rsidRPr="0017005C">
        <w:t xml:space="preserve"> </w:t>
      </w:r>
      <w:r w:rsidR="0085130E" w:rsidRPr="0085130E">
        <w:t xml:space="preserve">Zoladex 10.8 Implant </w:t>
      </w:r>
      <w:r w:rsidR="0085130E">
        <w:t>(</w:t>
      </w:r>
      <w:r w:rsidR="0085130E" w:rsidRPr="0085130E">
        <w:t>goserelin</w:t>
      </w:r>
      <w:r w:rsidR="0085130E">
        <w:t>)</w:t>
      </w:r>
      <w:r w:rsidRPr="0017005C">
        <w:t xml:space="preserve"> for the following extension of indications:</w:t>
      </w:r>
    </w:p>
    <w:p w14:paraId="5647C03B" w14:textId="0C671632" w:rsidR="0085130E" w:rsidRPr="00A42632" w:rsidRDefault="0085130E" w:rsidP="00A42632">
      <w:pPr>
        <w:ind w:left="720"/>
        <w:rPr>
          <w:b/>
          <w:bCs/>
          <w:i/>
          <w:iCs/>
        </w:rPr>
      </w:pPr>
      <w:r w:rsidRPr="00A42632">
        <w:rPr>
          <w:b/>
          <w:bCs/>
          <w:i/>
          <w:iCs/>
        </w:rPr>
        <w:t>Breast cancer</w:t>
      </w:r>
    </w:p>
    <w:p w14:paraId="3B245AB5" w14:textId="19A67087" w:rsidR="00C22214" w:rsidRPr="00A42632" w:rsidRDefault="0085130E" w:rsidP="00A42632">
      <w:pPr>
        <w:ind w:left="720"/>
        <w:rPr>
          <w:i/>
          <w:iCs/>
        </w:rPr>
      </w:pPr>
      <w:r w:rsidRPr="00A42632">
        <w:rPr>
          <w:i/>
          <w:iCs/>
        </w:rPr>
        <w:t>Management of oestrogen-receptor (ER) positive early and advanced breast cancer in pre and peri menopausal women.</w:t>
      </w:r>
    </w:p>
    <w:p w14:paraId="0F9C1952" w14:textId="7F7FEF5A" w:rsidR="00BA657C" w:rsidRPr="00BA657C" w:rsidRDefault="00BA657C" w:rsidP="00A42632">
      <w:pPr>
        <w:pStyle w:val="Heading3"/>
      </w:pPr>
      <w:bookmarkStart w:id="87" w:name="_Toc196738290"/>
      <w:bookmarkStart w:id="88" w:name="_Toc241498821"/>
      <w:r w:rsidRPr="00BA657C">
        <w:t>Product Information and Consumer Medicine Information</w:t>
      </w:r>
      <w:bookmarkEnd w:id="87"/>
      <w:bookmarkEnd w:id="88"/>
    </w:p>
    <w:p w14:paraId="5F276616" w14:textId="6667B73D" w:rsidR="004D0933" w:rsidRPr="004D0933" w:rsidRDefault="004D0933" w:rsidP="004D0933">
      <w:bookmarkStart w:id="89" w:name="_Hlk200021736"/>
      <w:r w:rsidRPr="004D0933">
        <w:t xml:space="preserve">For the most recent Product Information (PI) and Consumer Medicine Information (CMI), please refer to the TGA </w:t>
      </w:r>
      <w:hyperlink r:id="rId63" w:history="1">
        <w:r w:rsidRPr="004D0933">
          <w:rPr>
            <w:rStyle w:val="Hyperlink"/>
          </w:rPr>
          <w:t>PI/CMI search facility.</w:t>
        </w:r>
      </w:hyperlink>
    </w:p>
    <w:bookmarkEnd w:id="89"/>
    <w:p w14:paraId="40740B65" w14:textId="5819D664" w:rsidR="00C22214" w:rsidRPr="008B4DA3" w:rsidRDefault="00C22214" w:rsidP="00C22214">
      <w:pPr>
        <w:autoSpaceDE w:val="0"/>
        <w:autoSpaceDN w:val="0"/>
        <w:adjustRightInd w:val="0"/>
        <w:spacing w:after="0"/>
      </w:pPr>
    </w:p>
    <w:p w14:paraId="53357BF3" w14:textId="276457B5" w:rsidR="00C22214" w:rsidRDefault="00C22214" w:rsidP="00C22214">
      <w:pPr>
        <w:rPr>
          <w:lang w:eastAsia="ja-JP"/>
        </w:rPr>
        <w:sectPr w:rsidR="00C22214" w:rsidSect="007452E8">
          <w:headerReference w:type="default" r:id="rId64"/>
          <w:footerReference w:type="default" r:id="rId65"/>
          <w:pgSz w:w="11906" w:h="16838" w:code="9"/>
          <w:pgMar w:top="1134" w:right="1418" w:bottom="1361" w:left="1418" w:header="573" w:footer="567" w:gutter="0"/>
          <w:cols w:space="708"/>
          <w:docGrid w:linePitch="360"/>
        </w:sectPr>
      </w:pPr>
    </w:p>
    <w:tbl>
      <w:tblPr>
        <w:tblW w:w="9145" w:type="dxa"/>
        <w:jc w:val="center"/>
        <w:tblLayout w:type="fixed"/>
        <w:tblCellMar>
          <w:left w:w="0" w:type="dxa"/>
          <w:right w:w="0" w:type="dxa"/>
        </w:tblCellMar>
        <w:tblLook w:val="04A0" w:firstRow="1" w:lastRow="0" w:firstColumn="1" w:lastColumn="0" w:noHBand="0" w:noVBand="1"/>
      </w:tblPr>
      <w:tblGrid>
        <w:gridCol w:w="9145"/>
      </w:tblGrid>
      <w:tr w:rsidR="00F02AEC" w:rsidRPr="00215D48" w14:paraId="3C0C07BF" w14:textId="77777777" w:rsidTr="007452E8">
        <w:trPr>
          <w:trHeight w:hRule="exact" w:val="565"/>
          <w:jc w:val="center"/>
        </w:trPr>
        <w:tc>
          <w:tcPr>
            <w:tcW w:w="9145" w:type="dxa"/>
          </w:tcPr>
          <w:bookmarkEnd w:id="2"/>
          <w:bookmarkEnd w:id="3"/>
          <w:p w14:paraId="7E090B86" w14:textId="77777777" w:rsidR="00F02AEC" w:rsidRPr="00215D48" w:rsidRDefault="00F02AEC" w:rsidP="007452E8">
            <w:pPr>
              <w:pStyle w:val="TGASignoff"/>
            </w:pPr>
            <w:r w:rsidRPr="00215D48">
              <w:lastRenderedPageBreak/>
              <w:t>Therapeutic Goods Administration</w:t>
            </w:r>
          </w:p>
        </w:tc>
      </w:tr>
      <w:tr w:rsidR="00F02AEC" w:rsidRPr="00215D48" w14:paraId="70F47EA1" w14:textId="77777777" w:rsidTr="007452E8">
        <w:trPr>
          <w:trHeight w:val="963"/>
          <w:jc w:val="center"/>
        </w:trPr>
        <w:tc>
          <w:tcPr>
            <w:tcW w:w="9145" w:type="dxa"/>
            <w:tcMar>
              <w:top w:w="28" w:type="dxa"/>
            </w:tcMar>
          </w:tcPr>
          <w:p w14:paraId="3491EBCD" w14:textId="77777777" w:rsidR="00F02AEC" w:rsidRPr="00215D48" w:rsidRDefault="00F02AEC" w:rsidP="007452E8">
            <w:pPr>
              <w:pStyle w:val="Address"/>
              <w:jc w:val="center"/>
            </w:pPr>
            <w:r w:rsidRPr="00215D48">
              <w:t>PO Box 100 Woden ACT 2606 Australia</w:t>
            </w:r>
          </w:p>
          <w:p w14:paraId="5D0FE0E7" w14:textId="53CB9479" w:rsidR="00F02AEC" w:rsidRDefault="00F02AEC">
            <w:pPr>
              <w:pStyle w:val="Address"/>
              <w:jc w:val="center"/>
              <w:rPr>
                <w:sz w:val="22"/>
                <w:szCs w:val="22"/>
              </w:rPr>
            </w:pPr>
            <w:r w:rsidRPr="00215D48">
              <w:t xml:space="preserve">Email: </w:t>
            </w:r>
            <w:hyperlink r:id="rId66" w:history="1">
              <w:r w:rsidRPr="00215D48">
                <w:rPr>
                  <w:rStyle w:val="Hyperlink"/>
                </w:rPr>
                <w:t>info@tga.gov.au</w:t>
              </w:r>
            </w:hyperlink>
            <w:r w:rsidRPr="00215D48">
              <w:t xml:space="preserve">  Phone: 1800 020 </w:t>
            </w:r>
            <w:proofErr w:type="gramStart"/>
            <w:r w:rsidRPr="00215D48">
              <w:t>653  Fax</w:t>
            </w:r>
            <w:proofErr w:type="gramEnd"/>
            <w:r w:rsidRPr="00215D48">
              <w:t xml:space="preserve">: </w:t>
            </w:r>
            <w:r w:rsidRPr="00BA0DFC">
              <w:t>02 6203 1605</w:t>
            </w:r>
          </w:p>
          <w:p w14:paraId="4533D80F" w14:textId="1519D7A3" w:rsidR="00F02AEC" w:rsidRPr="00215D48" w:rsidRDefault="00F02AEC">
            <w:pPr>
              <w:pStyle w:val="Address"/>
              <w:jc w:val="center"/>
              <w:rPr>
                <w:rStyle w:val="Hyperlink"/>
                <w:b/>
                <w:color w:val="auto"/>
                <w:sz w:val="22"/>
              </w:rPr>
            </w:pPr>
            <w:hyperlink r:id="rId67" w:history="1">
              <w:r w:rsidRPr="00C4721A">
                <w:rPr>
                  <w:rStyle w:val="Hyperlink"/>
                  <w:b/>
                </w:rPr>
                <w:t>https://www.tga.gov.au</w:t>
              </w:r>
            </w:hyperlink>
          </w:p>
        </w:tc>
      </w:tr>
    </w:tbl>
    <w:p w14:paraId="788B80FD" w14:textId="77777777" w:rsidR="007452E8" w:rsidRDefault="007452E8"/>
    <w:sectPr w:rsidR="007452E8" w:rsidSect="007452E8">
      <w:headerReference w:type="first" r:id="rId68"/>
      <w:footerReference w:type="first" r:id="rId69"/>
      <w:pgSz w:w="11906" w:h="16838" w:code="9"/>
      <w:pgMar w:top="13571" w:right="1701" w:bottom="567" w:left="1701" w:header="1134" w:footer="7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8CCA1" w14:textId="77777777" w:rsidR="003E75ED" w:rsidRDefault="003E75ED" w:rsidP="00F02AEC">
      <w:pPr>
        <w:spacing w:after="0" w:line="240" w:lineRule="auto"/>
      </w:pPr>
      <w:r>
        <w:separator/>
      </w:r>
    </w:p>
  </w:endnote>
  <w:endnote w:type="continuationSeparator" w:id="0">
    <w:p w14:paraId="7FD24F6C" w14:textId="77777777" w:rsidR="003E75ED" w:rsidRDefault="003E75ED" w:rsidP="00F02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A2E20" w14:textId="32DF121F" w:rsidR="007E4FF8" w:rsidRDefault="007E4FF8">
    <w:pPr>
      <w:pStyle w:val="Footer"/>
    </w:pPr>
    <w:r>
      <w:rPr>
        <w:noProof/>
      </w:rPr>
      <mc:AlternateContent>
        <mc:Choice Requires="wps">
          <w:drawing>
            <wp:anchor distT="0" distB="0" distL="0" distR="0" simplePos="0" relativeHeight="251658247" behindDoc="0" locked="0" layoutInCell="1" allowOverlap="1" wp14:anchorId="32C7110B" wp14:editId="569C8F27">
              <wp:simplePos x="635" y="635"/>
              <wp:positionH relativeFrom="page">
                <wp:align>center</wp:align>
              </wp:positionH>
              <wp:positionV relativeFrom="page">
                <wp:align>bottom</wp:align>
              </wp:positionV>
              <wp:extent cx="622300" cy="391160"/>
              <wp:effectExtent l="0" t="0" r="6350" b="0"/>
              <wp:wrapNone/>
              <wp:docPr id="177436847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933EE99" w14:textId="0855600B"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C7110B" id="_x0000_t202" coordsize="21600,21600" o:spt="202" path="m,l,21600r21600,l21600,xe">
              <v:stroke joinstyle="miter"/>
              <v:path gradientshapeok="t" o:connecttype="rect"/>
            </v:shapetype>
            <v:shape id="Text Box 7" o:spid="_x0000_s1028" type="#_x0000_t202" alt="OFFICIAL" style="position:absolute;margin-left:0;margin-top:0;width:49pt;height:30.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6933EE99" w14:textId="0855600B"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7452E8" w:rsidRPr="00257138" w14:paraId="162D69C2" w14:textId="77777777" w:rsidTr="007452E8">
      <w:trPr>
        <w:trHeight w:val="423"/>
      </w:trPr>
      <w:tc>
        <w:tcPr>
          <w:tcW w:w="4360" w:type="dxa"/>
          <w:tcBorders>
            <w:top w:val="single" w:sz="4" w:space="0" w:color="auto"/>
          </w:tcBorders>
        </w:tcPr>
        <w:p w14:paraId="32E1B782" w14:textId="7DAC4767" w:rsidR="007452E8" w:rsidRDefault="007E4FF8" w:rsidP="007452E8">
          <w:pPr>
            <w:pStyle w:val="Footer"/>
          </w:pPr>
          <w:r>
            <w:rPr>
              <w:noProof/>
            </w:rPr>
            <mc:AlternateContent>
              <mc:Choice Requires="wps">
                <w:drawing>
                  <wp:anchor distT="0" distB="0" distL="0" distR="0" simplePos="0" relativeHeight="251658248" behindDoc="0" locked="0" layoutInCell="1" allowOverlap="1" wp14:anchorId="553C4243" wp14:editId="46704321">
                    <wp:simplePos x="635" y="635"/>
                    <wp:positionH relativeFrom="page">
                      <wp:align>center</wp:align>
                    </wp:positionH>
                    <wp:positionV relativeFrom="page">
                      <wp:align>bottom</wp:align>
                    </wp:positionV>
                    <wp:extent cx="622300" cy="391160"/>
                    <wp:effectExtent l="0" t="0" r="6350" b="0"/>
                    <wp:wrapNone/>
                    <wp:docPr id="973010959"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1E1F748" w14:textId="24D8435A"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3C4243" id="_x0000_t202" coordsize="21600,21600" o:spt="202" path="m,l,21600r21600,l21600,xe">
                    <v:stroke joinstyle="miter"/>
                    <v:path gradientshapeok="t" o:connecttype="rect"/>
                  </v:shapetype>
                  <v:shape id="Text Box 8" o:spid="_x0000_s1029" type="#_x0000_t202" alt="OFFICIAL" style="position:absolute;margin-left:0;margin-top:0;width:49pt;height:30.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11E1F748" w14:textId="24D8435A"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p w14:paraId="1849C07C" w14:textId="77777777" w:rsidR="007452E8" w:rsidRPr="00257138" w:rsidRDefault="007452E8" w:rsidP="007452E8">
          <w:pPr>
            <w:pStyle w:val="Footer"/>
          </w:pPr>
          <w:r w:rsidRPr="00257138">
            <w:t>Document title</w:t>
          </w:r>
        </w:p>
      </w:tc>
      <w:tc>
        <w:tcPr>
          <w:tcW w:w="4360" w:type="dxa"/>
          <w:tcBorders>
            <w:top w:val="single" w:sz="4" w:space="0" w:color="auto"/>
          </w:tcBorders>
        </w:tcPr>
        <w:sdt>
          <w:sdtPr>
            <w:id w:val="1087729233"/>
            <w:docPartObj>
              <w:docPartGallery w:val="Page Numbers (Top of Page)"/>
              <w:docPartUnique/>
            </w:docPartObj>
          </w:sdtPr>
          <w:sdtEndPr/>
          <w:sdtContent>
            <w:p w14:paraId="606A08BF" w14:textId="77777777" w:rsidR="007452E8" w:rsidRDefault="007452E8" w:rsidP="007452E8">
              <w:pPr>
                <w:pStyle w:val="Footer"/>
                <w:jc w:val="right"/>
              </w:pPr>
            </w:p>
            <w:p w14:paraId="5EDE6DF6" w14:textId="77777777" w:rsidR="007452E8" w:rsidRPr="00257138" w:rsidRDefault="007452E8" w:rsidP="007452E8">
              <w:pPr>
                <w:pStyle w:val="Footer"/>
                <w:jc w:val="right"/>
              </w:pPr>
              <w:r w:rsidRPr="00257138">
                <w:t xml:space="preserve">Page </w:t>
              </w:r>
              <w:r>
                <w:fldChar w:fldCharType="begin"/>
              </w:r>
              <w:r>
                <w:instrText xml:space="preserve"> PAGE </w:instrText>
              </w:r>
              <w:r>
                <w:fldChar w:fldCharType="separate"/>
              </w:r>
              <w:r>
                <w:rPr>
                  <w:noProof/>
                </w:rPr>
                <w:t>2</w:t>
              </w:r>
              <w:r>
                <w:rPr>
                  <w:noProof/>
                </w:rPr>
                <w:fldChar w:fldCharType="end"/>
              </w:r>
              <w:r w:rsidRPr="00257138">
                <w:t xml:space="preserve"> of </w:t>
              </w:r>
              <w:r>
                <w:fldChar w:fldCharType="begin"/>
              </w:r>
              <w:r>
                <w:instrText xml:space="preserve"> NUMPAGES  </w:instrText>
              </w:r>
              <w:r>
                <w:fldChar w:fldCharType="separate"/>
              </w:r>
              <w:r>
                <w:rPr>
                  <w:noProof/>
                </w:rPr>
                <w:t>2</w:t>
              </w:r>
              <w:r>
                <w:rPr>
                  <w:noProof/>
                </w:rPr>
                <w:fldChar w:fldCharType="end"/>
              </w:r>
            </w:p>
          </w:sdtContent>
        </w:sdt>
      </w:tc>
    </w:tr>
    <w:tr w:rsidR="007452E8" w:rsidRPr="00257138" w14:paraId="280F09C8" w14:textId="77777777" w:rsidTr="007452E8">
      <w:trPr>
        <w:trHeight w:val="263"/>
      </w:trPr>
      <w:tc>
        <w:tcPr>
          <w:tcW w:w="4360" w:type="dxa"/>
        </w:tcPr>
        <w:p w14:paraId="673F06D3" w14:textId="77777777" w:rsidR="007452E8" w:rsidRPr="00257138" w:rsidRDefault="007452E8" w:rsidP="007452E8">
          <w:pPr>
            <w:pStyle w:val="Footer"/>
          </w:pPr>
          <w:proofErr w:type="spellStart"/>
          <w:r w:rsidRPr="00257138">
            <w:t>V1.0</w:t>
          </w:r>
          <w:proofErr w:type="spellEnd"/>
          <w:r w:rsidRPr="00257138">
            <w:t xml:space="preserve"> </w:t>
          </w:r>
          <w:r>
            <w:t>Month</w:t>
          </w:r>
          <w:r w:rsidRPr="00257138">
            <w:t xml:space="preserve"> 201</w:t>
          </w:r>
          <w:r>
            <w:t>2</w:t>
          </w:r>
        </w:p>
      </w:tc>
      <w:tc>
        <w:tcPr>
          <w:tcW w:w="4360" w:type="dxa"/>
        </w:tcPr>
        <w:p w14:paraId="77F5B433" w14:textId="77777777" w:rsidR="007452E8" w:rsidRPr="00257138" w:rsidRDefault="007452E8" w:rsidP="007452E8">
          <w:pPr>
            <w:pStyle w:val="Footer"/>
            <w:jc w:val="right"/>
          </w:pPr>
        </w:p>
      </w:tc>
    </w:tr>
  </w:tbl>
  <w:p w14:paraId="63F6FDDE" w14:textId="77777777" w:rsidR="007452E8" w:rsidRPr="00826007" w:rsidRDefault="007452E8" w:rsidP="007452E8">
    <w:pPr>
      <w:pStyle w:val="Footer"/>
      <w:tabs>
        <w:tab w:val="left" w:pos="7620"/>
        <w:tab w:val="right" w:pos="850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A29C" w14:textId="4A63FC35" w:rsidR="007452E8" w:rsidRDefault="007452E8" w:rsidP="007452E8">
    <w:pPr>
      <w:pStyle w:val="Footer"/>
      <w:ind w:left="-1701"/>
    </w:pPr>
    <w:r w:rsidRPr="002B29B2">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tblCellMar>
      <w:tblLook w:val="04A0" w:firstRow="1" w:lastRow="0" w:firstColumn="1" w:lastColumn="0" w:noHBand="0" w:noVBand="1"/>
    </w:tblPr>
    <w:tblGrid>
      <w:gridCol w:w="7338"/>
      <w:gridCol w:w="1734"/>
    </w:tblGrid>
    <w:tr w:rsidR="007452E8" w:rsidRPr="004A3084" w14:paraId="6266BC33" w14:textId="77777777" w:rsidTr="007452E8">
      <w:trPr>
        <w:trHeight w:val="423"/>
      </w:trPr>
      <w:tc>
        <w:tcPr>
          <w:tcW w:w="7338" w:type="dxa"/>
          <w:tcBorders>
            <w:top w:val="single" w:sz="4" w:space="0" w:color="auto"/>
          </w:tcBorders>
        </w:tcPr>
        <w:p w14:paraId="3C421323" w14:textId="0E6F02AC" w:rsidR="007452E8" w:rsidRPr="00B450BF" w:rsidRDefault="007452E8" w:rsidP="007452E8">
          <w:pPr>
            <w:pStyle w:val="Footer"/>
          </w:pPr>
          <w:proofErr w:type="spellStart"/>
          <w:r w:rsidRPr="00B450BF">
            <w:t>AusPAR</w:t>
          </w:r>
          <w:proofErr w:type="spellEnd"/>
          <w:r w:rsidRPr="00B450BF">
            <w:t xml:space="preserve"> </w:t>
          </w:r>
          <w:r w:rsidR="00874A46" w:rsidRPr="00B450BF">
            <w:t>–</w:t>
          </w:r>
          <w:r w:rsidRPr="00B450BF">
            <w:t xml:space="preserve"> </w:t>
          </w:r>
          <w:proofErr w:type="spellStart"/>
          <w:r w:rsidR="00874A46" w:rsidRPr="00B450BF">
            <w:t>Zoladex</w:t>
          </w:r>
          <w:proofErr w:type="spellEnd"/>
          <w:r w:rsidR="00874A46" w:rsidRPr="00B450BF">
            <w:t xml:space="preserve"> 10.8 Implant </w:t>
          </w:r>
          <w:r w:rsidRPr="00B450BF">
            <w:t>-</w:t>
          </w:r>
          <w:r w:rsidR="00874A46" w:rsidRPr="00B450BF">
            <w:t xml:space="preserve"> goserelin</w:t>
          </w:r>
          <w:r w:rsidRPr="00B450BF">
            <w:t xml:space="preserve"> </w:t>
          </w:r>
          <w:r w:rsidR="008C754C" w:rsidRPr="00B450BF">
            <w:t>-</w:t>
          </w:r>
          <w:r w:rsidRPr="00B450BF">
            <w:t xml:space="preserve"> </w:t>
          </w:r>
          <w:r w:rsidR="00874A46" w:rsidRPr="00B450BF">
            <w:t xml:space="preserve">PM-2026-01228-1-4 </w:t>
          </w:r>
          <w:r w:rsidRPr="00B450BF">
            <w:t xml:space="preserve">- </w:t>
          </w:r>
          <w:r w:rsidR="00874A46" w:rsidRPr="00B450BF">
            <w:t>AstraZeneca Pty Ltd – Type C</w:t>
          </w:r>
          <w:r w:rsidRPr="00B450BF">
            <w:br/>
            <w:t>Date of Finalisation</w:t>
          </w:r>
          <w:r w:rsidR="00B450BF" w:rsidRPr="00B450BF">
            <w:t>: 25 September 2026</w:t>
          </w:r>
        </w:p>
      </w:tc>
      <w:tc>
        <w:tcPr>
          <w:tcW w:w="1734" w:type="dxa"/>
          <w:tcBorders>
            <w:top w:val="single" w:sz="4" w:space="0" w:color="auto"/>
          </w:tcBorders>
        </w:tcPr>
        <w:sdt>
          <w:sdtPr>
            <w:id w:val="11571659"/>
            <w:docPartObj>
              <w:docPartGallery w:val="Page Numbers (Top of Page)"/>
              <w:docPartUnique/>
            </w:docPartObj>
          </w:sdtPr>
          <w:sdtEndPr/>
          <w:sdtContent>
            <w:p w14:paraId="4DE4ED0C" w14:textId="29F65FFD" w:rsidR="007452E8" w:rsidRPr="004A3084" w:rsidRDefault="007452E8" w:rsidP="007452E8">
              <w:pPr>
                <w:pStyle w:val="Footer"/>
                <w:jc w:val="right"/>
              </w:pPr>
              <w:r w:rsidRPr="004A3084">
                <w:t xml:space="preserve">Page </w:t>
              </w:r>
              <w:r>
                <w:fldChar w:fldCharType="begin"/>
              </w:r>
              <w:r>
                <w:instrText xml:space="preserve"> PAGE </w:instrText>
              </w:r>
              <w:r>
                <w:fldChar w:fldCharType="separate"/>
              </w:r>
              <w:r w:rsidR="006D6B44">
                <w:rPr>
                  <w:noProof/>
                </w:rPr>
                <w:t>13</w:t>
              </w:r>
              <w:r>
                <w:rPr>
                  <w:noProof/>
                </w:rPr>
                <w:fldChar w:fldCharType="end"/>
              </w:r>
              <w:r w:rsidRPr="004A3084">
                <w:t xml:space="preserve"> of </w:t>
              </w:r>
              <w:r w:rsidR="006D6B44">
                <w:fldChar w:fldCharType="begin"/>
              </w:r>
              <w:r w:rsidR="006D6B44">
                <w:instrText xml:space="preserve"> NUMPAGES  </w:instrText>
              </w:r>
              <w:r w:rsidR="006D6B44">
                <w:fldChar w:fldCharType="separate"/>
              </w:r>
              <w:r w:rsidR="006D6B44">
                <w:rPr>
                  <w:noProof/>
                </w:rPr>
                <w:t>17</w:t>
              </w:r>
              <w:r w:rsidR="006D6B44">
                <w:rPr>
                  <w:noProof/>
                </w:rPr>
                <w:fldChar w:fldCharType="end"/>
              </w:r>
            </w:p>
          </w:sdtContent>
        </w:sdt>
      </w:tc>
    </w:tr>
  </w:tbl>
  <w:p w14:paraId="1A4EDE60" w14:textId="77777777" w:rsidR="007452E8" w:rsidRPr="00826007" w:rsidRDefault="007452E8" w:rsidP="007452E8">
    <w:pPr>
      <w:pStyle w:val="Footer"/>
      <w:tabs>
        <w:tab w:val="left" w:pos="7620"/>
        <w:tab w:val="right" w:pos="8504"/>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F70A" w14:textId="26045BC3" w:rsidR="007452E8" w:rsidRPr="008E3C43" w:rsidRDefault="007E4FF8" w:rsidP="007452E8">
    <w:pPr>
      <w:pStyle w:val="Footer"/>
    </w:pPr>
    <w:r>
      <w:rPr>
        <w:noProof/>
      </w:rPr>
      <mc:AlternateContent>
        <mc:Choice Requires="wps">
          <w:drawing>
            <wp:anchor distT="0" distB="0" distL="0" distR="0" simplePos="0" relativeHeight="251658250" behindDoc="0" locked="0" layoutInCell="1" allowOverlap="1" wp14:anchorId="104118EA" wp14:editId="6897F4AA">
              <wp:simplePos x="635" y="635"/>
              <wp:positionH relativeFrom="page">
                <wp:align>center</wp:align>
              </wp:positionH>
              <wp:positionV relativeFrom="page">
                <wp:align>bottom</wp:align>
              </wp:positionV>
              <wp:extent cx="622300" cy="391160"/>
              <wp:effectExtent l="0" t="0" r="6350" b="0"/>
              <wp:wrapNone/>
              <wp:docPr id="909700883"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24C2C46" w14:textId="6F4B6194"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4118EA" id="_x0000_t202" coordsize="21600,21600" o:spt="202" path="m,l,21600r21600,l21600,xe">
              <v:stroke joinstyle="miter"/>
              <v:path gradientshapeok="t" o:connecttype="rect"/>
            </v:shapetype>
            <v:shape id="Text Box 10" o:spid="_x0000_s1031" type="#_x0000_t202" alt="OFFICIAL" style="position:absolute;margin-left:0;margin-top:0;width:49pt;height:30.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textbox style="mso-fit-shape-to-text:t" inset="0,0,0,15pt">
                <w:txbxContent>
                  <w:p w14:paraId="724C2C46" w14:textId="6F4B6194"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53F4D" w14:textId="77777777" w:rsidR="003E75ED" w:rsidRDefault="003E75ED" w:rsidP="00F02AEC">
      <w:pPr>
        <w:spacing w:after="0" w:line="240" w:lineRule="auto"/>
      </w:pPr>
      <w:r>
        <w:separator/>
      </w:r>
    </w:p>
  </w:footnote>
  <w:footnote w:type="continuationSeparator" w:id="0">
    <w:p w14:paraId="1779F61A" w14:textId="77777777" w:rsidR="003E75ED" w:rsidRDefault="003E75ED" w:rsidP="00F02AEC">
      <w:pPr>
        <w:spacing w:after="0" w:line="240" w:lineRule="auto"/>
      </w:pPr>
      <w:r>
        <w:continuationSeparator/>
      </w:r>
    </w:p>
  </w:footnote>
  <w:footnote w:id="1">
    <w:p w14:paraId="68402A9B" w14:textId="169151B9" w:rsidR="007452E8" w:rsidRPr="00A93DC6" w:rsidRDefault="007452E8">
      <w:pPr>
        <w:pStyle w:val="FootnoteText"/>
        <w:rPr>
          <w:lang w:val="en-GB"/>
        </w:rPr>
      </w:pPr>
      <w:r>
        <w:rPr>
          <w:rStyle w:val="FootnoteReference"/>
        </w:rPr>
        <w:footnoteRef/>
      </w:r>
      <w:r>
        <w:t xml:space="preserve"> </w:t>
      </w:r>
      <w:r w:rsidR="00FB236E">
        <w:t xml:space="preserve">This is the original indication proposed by the </w:t>
      </w:r>
      <w:r w:rsidR="00AC757F">
        <w:t>Sponsor</w:t>
      </w:r>
      <w:r w:rsidR="00FB236E">
        <w:rPr>
          <w:lang w:val="en-GB"/>
        </w:rPr>
        <w:t xml:space="preserve"> when the TGA commenced the evaluation of this submission. It </w:t>
      </w:r>
      <w:r w:rsidRPr="007452E8">
        <w:rPr>
          <w:lang w:val="en-GB"/>
        </w:rPr>
        <w:t xml:space="preserve">may </w:t>
      </w:r>
      <w:r w:rsidR="00FB236E">
        <w:rPr>
          <w:lang w:val="en-GB"/>
        </w:rPr>
        <w:t>differ</w:t>
      </w:r>
      <w:r w:rsidRPr="007452E8">
        <w:rPr>
          <w:lang w:val="en-GB"/>
        </w:rPr>
        <w:t xml:space="preserve"> to the final indication approved by th</w:t>
      </w:r>
      <w:r w:rsidR="00FB236E">
        <w:rPr>
          <w:lang w:val="en-GB"/>
        </w:rPr>
        <w:t xml:space="preserve">e TGA and registered </w:t>
      </w:r>
      <w:r w:rsidR="005C4B46">
        <w:rPr>
          <w:lang w:val="en-GB"/>
        </w:rPr>
        <w:t xml:space="preserve">in </w:t>
      </w:r>
      <w:r w:rsidR="00FB236E">
        <w:rPr>
          <w:lang w:val="en-GB"/>
        </w:rPr>
        <w:t>the Australian Register of Therapeutic Goods.</w:t>
      </w:r>
    </w:p>
  </w:footnote>
  <w:footnote w:id="2">
    <w:p w14:paraId="4CE04D7D" w14:textId="72026DA1" w:rsidR="00BA2091" w:rsidRDefault="00BA2091">
      <w:pPr>
        <w:pStyle w:val="FootnoteText"/>
      </w:pPr>
      <w:r>
        <w:rPr>
          <w:rStyle w:val="FootnoteReference"/>
        </w:rPr>
        <w:footnoteRef/>
      </w:r>
      <w:r>
        <w:t xml:space="preserve"> A</w:t>
      </w:r>
      <w:r w:rsidRPr="00BA2091">
        <w:t>ustralian Institute of Health and Welfare (</w:t>
      </w:r>
      <w:proofErr w:type="spellStart"/>
      <w:r w:rsidRPr="00BA2091">
        <w:t>AIHW</w:t>
      </w:r>
      <w:proofErr w:type="spellEnd"/>
      <w:r w:rsidRPr="00BA2091">
        <w:t xml:space="preserve">). (14 Jul 2026). </w:t>
      </w:r>
      <w:r w:rsidRPr="00BA2091">
        <w:rPr>
          <w:i/>
          <w:iCs/>
        </w:rPr>
        <w:t>Cancer data in Australia: Cancer summary data visualisation.</w:t>
      </w:r>
      <w:r w:rsidRPr="00BA2091">
        <w:t xml:space="preserve"> Last accessed 17 Jul 2026 from: </w:t>
      </w:r>
      <w:hyperlink r:id="rId1" w:history="1">
        <w:r w:rsidRPr="00BA2091">
          <w:rPr>
            <w:rStyle w:val="Hyperlink"/>
          </w:rPr>
          <w:t>https://www.aihw.gov.au/reports/cancer/cancer-data-in-australia/contents/summary-dashboard</w:t>
        </w:r>
      </w:hyperlink>
    </w:p>
  </w:footnote>
  <w:footnote w:id="3">
    <w:p w14:paraId="599C0110" w14:textId="1643DCC5" w:rsidR="00AC6B45" w:rsidRDefault="00AC6B45">
      <w:pPr>
        <w:pStyle w:val="FootnoteText"/>
      </w:pPr>
      <w:r>
        <w:rPr>
          <w:rStyle w:val="FootnoteReference"/>
        </w:rPr>
        <w:footnoteRef/>
      </w:r>
      <w:r>
        <w:t xml:space="preserve"> </w:t>
      </w:r>
      <w:r w:rsidRPr="00AC6B45">
        <w:t>A</w:t>
      </w:r>
      <w:r>
        <w:t xml:space="preserve">ustralian </w:t>
      </w:r>
      <w:r w:rsidRPr="00AC6B45">
        <w:t>I</w:t>
      </w:r>
      <w:r>
        <w:t xml:space="preserve">nstitute of </w:t>
      </w:r>
      <w:r w:rsidRPr="00AC6B45">
        <w:t>H</w:t>
      </w:r>
      <w:r>
        <w:t xml:space="preserve">ealth and </w:t>
      </w:r>
      <w:r w:rsidRPr="00AC6B45">
        <w:t>W</w:t>
      </w:r>
      <w:r>
        <w:t>elfare</w:t>
      </w:r>
      <w:r w:rsidRPr="00AC6B45">
        <w:t xml:space="preserve">. (14 Jul 2026). </w:t>
      </w:r>
      <w:r w:rsidRPr="00AC6B45">
        <w:rPr>
          <w:i/>
          <w:iCs/>
        </w:rPr>
        <w:t>Cancer data in Australia: Cancer mortality by age visualisation.</w:t>
      </w:r>
      <w:r w:rsidRPr="00AC6B45">
        <w:t xml:space="preserve"> Last accessed 17 Jul 2026 from: </w:t>
      </w:r>
      <w:hyperlink r:id="rId2" w:history="1">
        <w:r w:rsidRPr="00AC6B45">
          <w:rPr>
            <w:rStyle w:val="Hyperlink"/>
          </w:rPr>
          <w:t>https://www.aihw.gov.au/reports/cancer/cancer-data-in-australia/contents/cancer-mortality-by-age-visualisation</w:t>
        </w:r>
      </w:hyperlink>
    </w:p>
  </w:footnote>
  <w:footnote w:id="4">
    <w:p w14:paraId="403FD6E6" w14:textId="766057F3" w:rsidR="00AC6B45" w:rsidRDefault="00AC6B45">
      <w:pPr>
        <w:pStyle w:val="FootnoteText"/>
      </w:pPr>
      <w:r>
        <w:rPr>
          <w:rStyle w:val="FootnoteReference"/>
        </w:rPr>
        <w:footnoteRef/>
      </w:r>
      <w:r>
        <w:t xml:space="preserve"> </w:t>
      </w:r>
      <w:r w:rsidRPr="00AC6B45">
        <w:t xml:space="preserve">Australian Institute of Health and Welfare. (14 Jul 2026). </w:t>
      </w:r>
      <w:r w:rsidRPr="00AC6B45">
        <w:rPr>
          <w:i/>
          <w:iCs/>
        </w:rPr>
        <w:t>Cancer data in Australia: Cancer survival data visualisation</w:t>
      </w:r>
      <w:r w:rsidRPr="00AC6B45">
        <w:t xml:space="preserve">. Last accessed 17 Jul 2026 from: </w:t>
      </w:r>
      <w:hyperlink r:id="rId3" w:history="1">
        <w:r w:rsidRPr="00AC6B45">
          <w:rPr>
            <w:rStyle w:val="Hyperlink"/>
          </w:rPr>
          <w:t>https://www.aihw.gov.au/reports/cancer/cancer-data-in-australia/contents/survival</w:t>
        </w:r>
      </w:hyperlink>
    </w:p>
  </w:footnote>
  <w:footnote w:id="5">
    <w:p w14:paraId="6884D331" w14:textId="0A86B118" w:rsidR="00AC6B45" w:rsidRDefault="00AC6B45">
      <w:pPr>
        <w:pStyle w:val="FootnoteText"/>
      </w:pPr>
      <w:r>
        <w:rPr>
          <w:rStyle w:val="FootnoteReference"/>
        </w:rPr>
        <w:footnoteRef/>
      </w:r>
      <w:r>
        <w:t xml:space="preserve"> </w:t>
      </w:r>
      <w:r w:rsidRPr="00AC6B45">
        <w:t xml:space="preserve">Australian Institute of Health and Welfare. (14 Jul 2026). </w:t>
      </w:r>
      <w:r w:rsidRPr="00AC6B45">
        <w:rPr>
          <w:i/>
          <w:iCs/>
        </w:rPr>
        <w:t>Cancer data in Australia: First Nations cancer incidence, mortality and survival</w:t>
      </w:r>
      <w:r w:rsidRPr="00AC6B45">
        <w:t xml:space="preserve">. Last accessed 17 Jul 2026 from: </w:t>
      </w:r>
      <w:hyperlink r:id="rId4" w:history="1">
        <w:r w:rsidRPr="00AC6B45">
          <w:rPr>
            <w:rStyle w:val="Hyperlink"/>
          </w:rPr>
          <w:t>https://www.aihw.gov.au/reports/cancer/cancer-data-in-australia/contents/first-nations-cancer-incidence-mortality-and-survi</w:t>
        </w:r>
      </w:hyperlink>
    </w:p>
  </w:footnote>
  <w:footnote w:id="6">
    <w:p w14:paraId="2EF47A84" w14:textId="775DB020" w:rsidR="00AC6B45" w:rsidRDefault="00AC6B45">
      <w:pPr>
        <w:pStyle w:val="FootnoteText"/>
      </w:pPr>
      <w:r>
        <w:rPr>
          <w:rStyle w:val="FootnoteReference"/>
        </w:rPr>
        <w:footnoteRef/>
      </w:r>
      <w:r>
        <w:t xml:space="preserve"> </w:t>
      </w:r>
      <w:r w:rsidRPr="00AC6B45">
        <w:t xml:space="preserve">Australian Institute of Health and Welfare. (14 Jul 2026). </w:t>
      </w:r>
      <w:r w:rsidRPr="00AC6B45">
        <w:rPr>
          <w:i/>
          <w:iCs/>
        </w:rPr>
        <w:t xml:space="preserve">Cancer data in Australia: </w:t>
      </w:r>
      <w:proofErr w:type="spellStart"/>
      <w:r w:rsidRPr="00AC6B45">
        <w:rPr>
          <w:i/>
          <w:iCs/>
        </w:rPr>
        <w:t>SEIFA</w:t>
      </w:r>
      <w:proofErr w:type="spellEnd"/>
      <w:r w:rsidRPr="00AC6B45">
        <w:rPr>
          <w:i/>
          <w:iCs/>
        </w:rPr>
        <w:t xml:space="preserve"> - cancer incidence, mortality and survival</w:t>
      </w:r>
      <w:r w:rsidRPr="00AC6B45">
        <w:t xml:space="preserve">. Last accessed 17 Jul 2026 from: </w:t>
      </w:r>
      <w:hyperlink r:id="rId5" w:history="1">
        <w:r w:rsidRPr="00AC6B45">
          <w:rPr>
            <w:rStyle w:val="Hyperlink"/>
          </w:rPr>
          <w:t>https://www.aihw.gov.au/reports/cancer/cancer-data-in-australia/contents/socio-economic-disadvantage-cancer-incidence-morta</w:t>
        </w:r>
      </w:hyperlink>
    </w:p>
  </w:footnote>
  <w:footnote w:id="7">
    <w:p w14:paraId="788C0419" w14:textId="713596C6" w:rsidR="00F429D9" w:rsidRDefault="00F429D9">
      <w:pPr>
        <w:pStyle w:val="FootnoteText"/>
      </w:pPr>
      <w:r>
        <w:rPr>
          <w:rStyle w:val="FootnoteReference"/>
        </w:rPr>
        <w:footnoteRef/>
      </w:r>
      <w:r>
        <w:t xml:space="preserve"> </w:t>
      </w:r>
      <w:r w:rsidRPr="00F429D9">
        <w:t xml:space="preserve">Francis PA, Pagani O, Fleming GF, et al. Tailoring Adjuvant Endocrine Therapy for Premenopausal Breast Cancer. N Engl J Med. 2018;379(2):122-137. </w:t>
      </w:r>
      <w:proofErr w:type="spellStart"/>
      <w:r w:rsidRPr="00F429D9">
        <w:t>doi:10.1056</w:t>
      </w:r>
      <w:proofErr w:type="spellEnd"/>
      <w:r w:rsidRPr="00F429D9">
        <w:t>/</w:t>
      </w:r>
      <w:proofErr w:type="spellStart"/>
      <w:r w:rsidRPr="00F429D9">
        <w:t>NEJMoa1803164</w:t>
      </w:r>
      <w:proofErr w:type="spellEnd"/>
    </w:p>
  </w:footnote>
  <w:footnote w:id="8">
    <w:p w14:paraId="22B99154" w14:textId="601DE754" w:rsidR="001B7B06" w:rsidRDefault="001B7B06" w:rsidP="001B7B06">
      <w:pPr>
        <w:pStyle w:val="FootnoteText"/>
      </w:pPr>
      <w:r>
        <w:rPr>
          <w:rStyle w:val="FootnoteReference"/>
        </w:rPr>
        <w:footnoteRef/>
      </w:r>
      <w:r>
        <w:t xml:space="preserve"> </w:t>
      </w:r>
      <w:proofErr w:type="spellStart"/>
      <w:r>
        <w:t>Goldspiel</w:t>
      </w:r>
      <w:proofErr w:type="spellEnd"/>
      <w:r>
        <w:t xml:space="preserve"> BR, Kohler DR. Goserelin acetate implant: a depot luteinizing hormone-releasing hormone </w:t>
      </w:r>
      <w:proofErr w:type="spellStart"/>
      <w:r>
        <w:t>analog</w:t>
      </w:r>
      <w:proofErr w:type="spellEnd"/>
      <w:r>
        <w:t xml:space="preserve"> for advanced prostate cancer. </w:t>
      </w:r>
      <w:proofErr w:type="spellStart"/>
      <w:r>
        <w:t>DICP</w:t>
      </w:r>
      <w:proofErr w:type="spellEnd"/>
      <w:r>
        <w:t>. Ann Pharmacother. 1991;25(7-8):796-804.</w:t>
      </w:r>
    </w:p>
  </w:footnote>
  <w:footnote w:id="9">
    <w:p w14:paraId="5F6A1122" w14:textId="7DF96784" w:rsidR="001B7B06" w:rsidRDefault="001B7B06" w:rsidP="001B7B06">
      <w:pPr>
        <w:pStyle w:val="FootnoteText"/>
      </w:pPr>
      <w:r>
        <w:rPr>
          <w:rStyle w:val="FootnoteReference"/>
        </w:rPr>
        <w:footnoteRef/>
      </w:r>
      <w:r>
        <w:t xml:space="preserve"> Furr BJA. Pharmacology of the luteinising hormone-releasing hormone (LHRH) analogue, </w:t>
      </w:r>
      <w:proofErr w:type="spellStart"/>
      <w:r>
        <w:t>Zoladex</w:t>
      </w:r>
      <w:proofErr w:type="spellEnd"/>
      <w:r>
        <w:t>. Horm Res. 32:86-92.</w:t>
      </w:r>
    </w:p>
  </w:footnote>
  <w:footnote w:id="10">
    <w:p w14:paraId="727B79ED" w14:textId="3746C651" w:rsidR="001B7B06" w:rsidRDefault="001B7B06" w:rsidP="001B7B06">
      <w:pPr>
        <w:pStyle w:val="FootnoteText"/>
      </w:pPr>
      <w:r>
        <w:rPr>
          <w:rStyle w:val="FootnoteReference"/>
        </w:rPr>
        <w:footnoteRef/>
      </w:r>
      <w:r>
        <w:t xml:space="preserve"> Nicholson RI, Walker KJ, </w:t>
      </w:r>
      <w:proofErr w:type="spellStart"/>
      <w:r>
        <w:t>Turkes</w:t>
      </w:r>
      <w:proofErr w:type="spellEnd"/>
      <w:r>
        <w:t xml:space="preserve"> A, </w:t>
      </w:r>
      <w:proofErr w:type="spellStart"/>
      <w:r>
        <w:t>Turkes</w:t>
      </w:r>
      <w:proofErr w:type="spellEnd"/>
      <w:r>
        <w:t xml:space="preserve"> AO, Dyas J, Blamey </w:t>
      </w:r>
      <w:proofErr w:type="spellStart"/>
      <w:r>
        <w:t>RW</w:t>
      </w:r>
      <w:proofErr w:type="spellEnd"/>
      <w:r>
        <w:t xml:space="preserve">, et al. Therapeutic significance and the mechanism of action of the LH-RH agonist ICI 118630 in breast and prostate cancer. J Steroid </w:t>
      </w:r>
      <w:proofErr w:type="spellStart"/>
      <w:r>
        <w:t>Biochem</w:t>
      </w:r>
      <w:proofErr w:type="spellEnd"/>
      <w:r>
        <w:t>. 1984;20(1):129-35.</w:t>
      </w:r>
    </w:p>
  </w:footnote>
  <w:footnote w:id="11">
    <w:p w14:paraId="64B6E6A5" w14:textId="59FD1E00" w:rsidR="001B7B06" w:rsidRDefault="001B7B06" w:rsidP="001B7B06">
      <w:pPr>
        <w:pStyle w:val="FootnoteText"/>
      </w:pPr>
      <w:r>
        <w:rPr>
          <w:rStyle w:val="FootnoteReference"/>
        </w:rPr>
        <w:footnoteRef/>
      </w:r>
      <w:r>
        <w:t xml:space="preserve"> Nicholson RI, Walker KJ, Walker RF, Read GF, </w:t>
      </w:r>
      <w:proofErr w:type="spellStart"/>
      <w:r>
        <w:t>Turkes</w:t>
      </w:r>
      <w:proofErr w:type="spellEnd"/>
      <w:r>
        <w:t xml:space="preserve"> A, Robertson JFR, et al. Review of the endocrine actions of luteinising hormone-releasing hormone analogues in premenopausal women with breast cancer. Horm Res. 1989;32(Suppl 1):198-201.</w:t>
      </w:r>
    </w:p>
  </w:footnote>
  <w:footnote w:id="12">
    <w:p w14:paraId="09AC1F0D" w14:textId="7EC3B3C8" w:rsidR="001B7B06" w:rsidRDefault="001B7B06" w:rsidP="001B7B06">
      <w:pPr>
        <w:pStyle w:val="FootnoteText"/>
      </w:pPr>
      <w:r>
        <w:rPr>
          <w:rStyle w:val="FootnoteReference"/>
        </w:rPr>
        <w:footnoteRef/>
      </w:r>
      <w:r>
        <w:t xml:space="preserve"> Nicholson RI, Walker KJ. Use of the LH-RH agonists in the treatment of breast disease. Proc R Soc Edinb. 1989;95B:271-81.</w:t>
      </w:r>
    </w:p>
  </w:footnote>
  <w:footnote w:id="13">
    <w:p w14:paraId="42FF219C" w14:textId="47B1F8FD" w:rsidR="001B7B06" w:rsidRDefault="001B7B06" w:rsidP="001B7B06">
      <w:pPr>
        <w:pStyle w:val="FootnoteText"/>
      </w:pPr>
      <w:r>
        <w:rPr>
          <w:rStyle w:val="FootnoteReference"/>
        </w:rPr>
        <w:footnoteRef/>
      </w:r>
      <w:r>
        <w:t xml:space="preserve"> Lee JS, Ettinger B, Stanczyk FZ, Vittinghoff E, Hanes V, Cauley JA, et al. Comparison of methods to measure low serum </w:t>
      </w:r>
      <w:proofErr w:type="spellStart"/>
      <w:r>
        <w:t>estradiol</w:t>
      </w:r>
      <w:proofErr w:type="spellEnd"/>
      <w:r>
        <w:t xml:space="preserve"> levels in postmenopausal women. J Clin Endocrinol </w:t>
      </w:r>
      <w:proofErr w:type="spellStart"/>
      <w:r>
        <w:t>Metab</w:t>
      </w:r>
      <w:proofErr w:type="spellEnd"/>
      <w:r>
        <w:t>. 2006;91(10):3791-7.</w:t>
      </w:r>
    </w:p>
  </w:footnote>
  <w:footnote w:id="14">
    <w:p w14:paraId="6B22FE1D" w14:textId="77777777" w:rsidR="001708FB" w:rsidRDefault="001708FB" w:rsidP="001708FB">
      <w:pPr>
        <w:pStyle w:val="FootnoteText"/>
      </w:pPr>
      <w:r>
        <w:rPr>
          <w:rStyle w:val="FootnoteReference"/>
        </w:rPr>
        <w:footnoteRef/>
      </w:r>
      <w:r>
        <w:t xml:space="preserve"> In Australia, </w:t>
      </w:r>
      <w:proofErr w:type="spellStart"/>
      <w:r w:rsidRPr="009022C6">
        <w:t>pmol</w:t>
      </w:r>
      <w:proofErr w:type="spellEnd"/>
      <w:r w:rsidRPr="009022C6">
        <w:t>/L</w:t>
      </w:r>
      <w:r>
        <w:t xml:space="preserve"> are the units used for oestradiol. This report will generally use </w:t>
      </w:r>
      <w:proofErr w:type="spellStart"/>
      <w:r w:rsidRPr="00E3534E">
        <w:t>pg</w:t>
      </w:r>
      <w:proofErr w:type="spellEnd"/>
      <w:r w:rsidRPr="00E3534E">
        <w:t>/mL</w:t>
      </w:r>
      <w:r>
        <w:t xml:space="preserve"> for consistency with the submitted supporting data. To convert from </w:t>
      </w:r>
      <w:proofErr w:type="spellStart"/>
      <w:r w:rsidRPr="00A6342C">
        <w:t>pg</w:t>
      </w:r>
      <w:proofErr w:type="spellEnd"/>
      <w:r w:rsidRPr="00A6342C">
        <w:t xml:space="preserve">/mL to </w:t>
      </w:r>
      <w:proofErr w:type="spellStart"/>
      <w:r w:rsidRPr="00A6342C">
        <w:t>pmol</w:t>
      </w:r>
      <w:proofErr w:type="spellEnd"/>
      <w:r w:rsidRPr="00A6342C">
        <w:t>/L</w:t>
      </w:r>
      <w:r>
        <w:t>,</w:t>
      </w:r>
      <w:r w:rsidRPr="00A6342C">
        <w:t xml:space="preserve"> </w:t>
      </w:r>
      <w:r>
        <w:t>m</w:t>
      </w:r>
      <w:r w:rsidRPr="00A6342C">
        <w:t xml:space="preserve">ultiply the value in </w:t>
      </w:r>
      <w:proofErr w:type="spellStart"/>
      <w:r w:rsidRPr="00A6342C">
        <w:t>pg</w:t>
      </w:r>
      <w:proofErr w:type="spellEnd"/>
      <w:r w:rsidRPr="00A6342C">
        <w:t>/mL by 3.671</w:t>
      </w:r>
      <w:r>
        <w:t>.</w:t>
      </w:r>
    </w:p>
  </w:footnote>
  <w:footnote w:id="15">
    <w:p w14:paraId="387B961F" w14:textId="77777777" w:rsidR="001708FB" w:rsidRDefault="001708FB" w:rsidP="001708FB">
      <w:pPr>
        <w:pStyle w:val="FootnoteText"/>
      </w:pPr>
      <w:r>
        <w:rPr>
          <w:rStyle w:val="FootnoteReference"/>
        </w:rPr>
        <w:footnoteRef/>
      </w:r>
      <w:r>
        <w:t xml:space="preserve"> The supporting studies reported FSH in </w:t>
      </w:r>
      <w:proofErr w:type="spellStart"/>
      <w:r w:rsidRPr="00DF15E7">
        <w:t>mIU</w:t>
      </w:r>
      <w:proofErr w:type="spellEnd"/>
      <w:r w:rsidRPr="00DF15E7">
        <w:t>/mL</w:t>
      </w:r>
      <w:r>
        <w:t xml:space="preserve">, however, the Australian standard is IU/L. These units are numerically equivalent (i.e. 1 </w:t>
      </w:r>
      <w:proofErr w:type="spellStart"/>
      <w:r w:rsidRPr="0050324D">
        <w:t>mIU</w:t>
      </w:r>
      <w:proofErr w:type="spellEnd"/>
      <w:r w:rsidRPr="0050324D">
        <w:t>/mL</w:t>
      </w:r>
      <w:r>
        <w:t xml:space="preserve"> = 1 IU/L). This report uses </w:t>
      </w:r>
      <w:r w:rsidRPr="005B3452">
        <w:t>IU/L</w:t>
      </w:r>
      <w:r>
        <w:t>.</w:t>
      </w:r>
    </w:p>
  </w:footnote>
  <w:footnote w:id="16">
    <w:p w14:paraId="5FEC732A" w14:textId="68AB6F71" w:rsidR="00AF090B" w:rsidRDefault="00AF090B">
      <w:pPr>
        <w:pStyle w:val="FootnoteText"/>
      </w:pPr>
      <w:r>
        <w:rPr>
          <w:rStyle w:val="FootnoteReference"/>
        </w:rPr>
        <w:footnoteRef/>
      </w:r>
      <w:r w:rsidRPr="00550154">
        <w:rPr>
          <w:lang w:val="nl-BE"/>
        </w:rPr>
        <w:t xml:space="preserve"> </w:t>
      </w:r>
      <w:r w:rsidRPr="00550154">
        <w:rPr>
          <w:lang w:val="nl-BE"/>
        </w:rPr>
        <w:t xml:space="preserve">Lee, J. S., Ettinger, B., Stanczyk, F. Z., et al. </w:t>
      </w:r>
      <w:r w:rsidRPr="00AF090B">
        <w:t xml:space="preserve">(2006). Comparison of methods to measure low serum </w:t>
      </w:r>
      <w:proofErr w:type="spellStart"/>
      <w:r w:rsidRPr="00AF090B">
        <w:t>estradiol</w:t>
      </w:r>
      <w:proofErr w:type="spellEnd"/>
      <w:r w:rsidRPr="00AF090B">
        <w:t xml:space="preserve"> levels in postmenopausal women. </w:t>
      </w:r>
      <w:r w:rsidRPr="00AF090B">
        <w:rPr>
          <w:i/>
          <w:iCs/>
        </w:rPr>
        <w:t xml:space="preserve">J Clin Endocrinol </w:t>
      </w:r>
      <w:proofErr w:type="spellStart"/>
      <w:r w:rsidRPr="00AF090B">
        <w:rPr>
          <w:i/>
          <w:iCs/>
        </w:rPr>
        <w:t>Metab</w:t>
      </w:r>
      <w:proofErr w:type="spellEnd"/>
      <w:r w:rsidRPr="00AF090B">
        <w:rPr>
          <w:i/>
          <w:iCs/>
        </w:rPr>
        <w:t>., 91</w:t>
      </w:r>
      <w:r w:rsidRPr="00AF090B">
        <w:t xml:space="preserve">(10), 3791–3797. </w:t>
      </w:r>
      <w:hyperlink r:id="rId6" w:history="1">
        <w:r w:rsidRPr="00AF090B">
          <w:rPr>
            <w:rStyle w:val="Hyperlink"/>
          </w:rPr>
          <w:t>https://doi.org/10.1210/jc.2005-2378</w:t>
        </w:r>
      </w:hyperlink>
    </w:p>
  </w:footnote>
  <w:footnote w:id="17">
    <w:p w14:paraId="7A7518E0" w14:textId="77777777" w:rsidR="00045FA7" w:rsidRDefault="00045FA7" w:rsidP="00045FA7">
      <w:pPr>
        <w:pStyle w:val="FootnoteText"/>
      </w:pPr>
      <w:r>
        <w:rPr>
          <w:rStyle w:val="FootnoteReference"/>
        </w:rPr>
        <w:footnoteRef/>
      </w:r>
      <w:r>
        <w:t xml:space="preserve"> Note that Study </w:t>
      </w:r>
      <w:proofErr w:type="spellStart"/>
      <w:r w:rsidRPr="00394A1F">
        <w:t>D8664C00008</w:t>
      </w:r>
      <w:proofErr w:type="spellEnd"/>
      <w:r>
        <w:t xml:space="preserve"> presented </w:t>
      </w:r>
      <w:proofErr w:type="spellStart"/>
      <w:r>
        <w:t>E2</w:t>
      </w:r>
      <w:proofErr w:type="spellEnd"/>
      <w:r>
        <w:t xml:space="preserve"> results in </w:t>
      </w:r>
      <w:proofErr w:type="spellStart"/>
      <w:r w:rsidRPr="00226556">
        <w:t>pmol</w:t>
      </w:r>
      <w:proofErr w:type="spellEnd"/>
      <w:r w:rsidRPr="00226556">
        <w:t>/L</w:t>
      </w:r>
      <w:r>
        <w:t xml:space="preserve"> (compared to </w:t>
      </w:r>
      <w:proofErr w:type="spellStart"/>
      <w:r w:rsidRPr="00226556">
        <w:t>pg</w:t>
      </w:r>
      <w:proofErr w:type="spellEnd"/>
      <w:r w:rsidRPr="00226556">
        <w:t>/mL</w:t>
      </w:r>
      <w:r>
        <w:t xml:space="preserve"> in the other two clinical studies). </w:t>
      </w:r>
      <w:r w:rsidRPr="002C2929">
        <w:t xml:space="preserve">To convert from </w:t>
      </w:r>
      <w:proofErr w:type="spellStart"/>
      <w:r w:rsidRPr="002C2929">
        <w:t>pmol</w:t>
      </w:r>
      <w:proofErr w:type="spellEnd"/>
      <w:r w:rsidRPr="002C2929">
        <w:t xml:space="preserve">/L </w:t>
      </w:r>
      <w:r>
        <w:t xml:space="preserve">to </w:t>
      </w:r>
      <w:proofErr w:type="spellStart"/>
      <w:r w:rsidRPr="002C2929">
        <w:t>pg</w:t>
      </w:r>
      <w:proofErr w:type="spellEnd"/>
      <w:r w:rsidRPr="002C2929">
        <w:t xml:space="preserve">/mL, </w:t>
      </w:r>
      <w:r>
        <w:t>divide</w:t>
      </w:r>
      <w:r w:rsidRPr="002C2929">
        <w:t xml:space="preserve"> the value in </w:t>
      </w:r>
      <w:proofErr w:type="spellStart"/>
      <w:r w:rsidRPr="004E0931">
        <w:t>pmol</w:t>
      </w:r>
      <w:proofErr w:type="spellEnd"/>
      <w:r w:rsidRPr="004E0931">
        <w:t xml:space="preserve">/L </w:t>
      </w:r>
      <w:r w:rsidRPr="002C2929">
        <w:t>by 3.671.</w:t>
      </w:r>
    </w:p>
  </w:footnote>
  <w:footnote w:id="18">
    <w:p w14:paraId="21782299" w14:textId="10E65822" w:rsidR="00AD1177" w:rsidRDefault="00AD1177">
      <w:pPr>
        <w:pStyle w:val="FootnoteText"/>
      </w:pPr>
      <w:r>
        <w:rPr>
          <w:rStyle w:val="FootnoteReference"/>
        </w:rPr>
        <w:footnoteRef/>
      </w:r>
      <w:r>
        <w:t xml:space="preserve"> </w:t>
      </w:r>
      <w:r w:rsidRPr="00AD1177">
        <w:rPr>
          <w:vertAlign w:val="superscript"/>
        </w:rPr>
        <w:footnoteRef/>
      </w:r>
      <w:r w:rsidRPr="00AD1177">
        <w:t xml:space="preserve"> Pagani, O., Regan, M. M., Walley, B. A., et al. (2014). Adjuvant exemestane with ovarian suppression in premenopausal breast cancer. </w:t>
      </w:r>
      <w:r w:rsidRPr="00AD1177">
        <w:rPr>
          <w:i/>
          <w:iCs/>
        </w:rPr>
        <w:t>N Engl J Med, 371</w:t>
      </w:r>
      <w:r w:rsidRPr="00AD1177">
        <w:t xml:space="preserve">(2), 107–118. </w:t>
      </w:r>
      <w:hyperlink r:id="rId7" w:history="1">
        <w:r w:rsidRPr="00AD1177">
          <w:rPr>
            <w:rStyle w:val="Hyperlink"/>
          </w:rPr>
          <w:t>https://doi.org/10.1056/NEJMoa1404037</w:t>
        </w:r>
      </w:hyperlink>
    </w:p>
  </w:footnote>
  <w:footnote w:id="19">
    <w:p w14:paraId="7D60D1B5" w14:textId="55E54B9A" w:rsidR="00AD1177" w:rsidRDefault="00AD1177">
      <w:pPr>
        <w:pStyle w:val="FootnoteText"/>
      </w:pPr>
      <w:r>
        <w:rPr>
          <w:rStyle w:val="FootnoteReference"/>
        </w:rPr>
        <w:footnoteRef/>
      </w:r>
      <w:r>
        <w:t xml:space="preserve"> </w:t>
      </w:r>
      <w:proofErr w:type="spellStart"/>
      <w:r w:rsidRPr="00AD1177">
        <w:t>eviQ</w:t>
      </w:r>
      <w:proofErr w:type="spellEnd"/>
      <w:r w:rsidRPr="00AD1177">
        <w:t xml:space="preserve">. (5 Nov 2024). </w:t>
      </w:r>
      <w:r w:rsidRPr="00AD1177">
        <w:rPr>
          <w:i/>
          <w:iCs/>
        </w:rPr>
        <w:t xml:space="preserve">Breast adjuvant exemestane and goserelin. ID: 1785 </w:t>
      </w:r>
      <w:proofErr w:type="spellStart"/>
      <w:r w:rsidRPr="00AD1177">
        <w:rPr>
          <w:i/>
          <w:iCs/>
        </w:rPr>
        <w:t>v.4</w:t>
      </w:r>
      <w:proofErr w:type="spellEnd"/>
      <w:r w:rsidRPr="00AD1177">
        <w:t xml:space="preserve">. Last accessed 14 Aug 2026 from: </w:t>
      </w:r>
      <w:hyperlink r:id="rId8" w:history="1">
        <w:r w:rsidRPr="00AD1177">
          <w:rPr>
            <w:rStyle w:val="Hyperlink"/>
          </w:rPr>
          <w:t>https://www.eviq.org.au/medical-oncology/breast/neoadjuvant-adjuvant/1785-breast-adjuvant-exemestane-and-goserelin</w:t>
        </w:r>
      </w:hyperlink>
    </w:p>
  </w:footnote>
  <w:footnote w:id="20">
    <w:p w14:paraId="469B481C" w14:textId="5BBB8780" w:rsidR="0085130E" w:rsidRDefault="0085130E">
      <w:pPr>
        <w:pStyle w:val="FootnoteText"/>
      </w:pPr>
      <w:r>
        <w:rPr>
          <w:rStyle w:val="FootnoteReference"/>
        </w:rPr>
        <w:footnoteRef/>
      </w:r>
      <w:r>
        <w:t xml:space="preserve"> </w:t>
      </w:r>
      <w:r w:rsidRPr="0085130E">
        <w:t xml:space="preserve">Therapeutic Goods Administration. (16 Dec 2024). </w:t>
      </w:r>
      <w:r w:rsidRPr="0085130E">
        <w:rPr>
          <w:i/>
          <w:iCs/>
        </w:rPr>
        <w:t>International scientific guidelines adopted in Australia: ICH Topic E 5 (</w:t>
      </w:r>
      <w:proofErr w:type="spellStart"/>
      <w:r w:rsidRPr="0085130E">
        <w:rPr>
          <w:i/>
          <w:iCs/>
        </w:rPr>
        <w:t>R1</w:t>
      </w:r>
      <w:proofErr w:type="spellEnd"/>
      <w:r w:rsidRPr="0085130E">
        <w:rPr>
          <w:i/>
          <w:iCs/>
        </w:rPr>
        <w:t>) - Ethnic factors in the acceptability of foreign clinical data</w:t>
      </w:r>
      <w:r w:rsidRPr="0085130E">
        <w:t xml:space="preserve">. Last accessed 17 Aug 2026 from: </w:t>
      </w:r>
      <w:hyperlink r:id="rId9" w:history="1">
        <w:r w:rsidRPr="0085130E">
          <w:rPr>
            <w:rStyle w:val="Hyperlink"/>
          </w:rPr>
          <w:t>https://www.tga.gov.au/resources/resources/international-scientific-guidelines-adopted-australia/ich-topic-e-5-r1-ethnic-factors-acceptability-foreign-clinical-data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FCB3" w14:textId="093B1D27" w:rsidR="007E4FF8" w:rsidRDefault="007E4FF8">
    <w:pPr>
      <w:pStyle w:val="Header"/>
    </w:pPr>
    <w:r>
      <w:rPr>
        <w:noProof/>
      </w:rPr>
      <mc:AlternateContent>
        <mc:Choice Requires="wps">
          <w:drawing>
            <wp:anchor distT="0" distB="0" distL="0" distR="0" simplePos="0" relativeHeight="251658242" behindDoc="0" locked="0" layoutInCell="1" allowOverlap="1" wp14:anchorId="3BDA164B" wp14:editId="743987F4">
              <wp:simplePos x="635" y="635"/>
              <wp:positionH relativeFrom="page">
                <wp:align>center</wp:align>
              </wp:positionH>
              <wp:positionV relativeFrom="page">
                <wp:align>top</wp:align>
              </wp:positionV>
              <wp:extent cx="622300" cy="391160"/>
              <wp:effectExtent l="0" t="0" r="6350" b="8890"/>
              <wp:wrapNone/>
              <wp:docPr id="7843316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A1E6F48" w14:textId="2CA00EAD"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DA164B" id="_x0000_t202" coordsize="21600,21600" o:spt="202" path="m,l,21600r21600,l21600,xe">
              <v:stroke joinstyle="miter"/>
              <v:path gradientshapeok="t" o:connecttype="rect"/>
            </v:shapetype>
            <v:shape id="Text Box 2" o:spid="_x0000_s1026" type="#_x0000_t202" alt="OFFICIAL" style="position:absolute;left:0;text-align:left;margin-left:0;margin-top:0;width:49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6A1E6F48" w14:textId="2CA00EAD"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3517" w14:textId="495EEAE9" w:rsidR="007452E8" w:rsidRPr="00CB0550" w:rsidRDefault="007E4FF8" w:rsidP="00CB0550">
    <w:pPr>
      <w:pStyle w:val="Header"/>
      <w:jc w:val="left"/>
    </w:pPr>
    <w:r>
      <w:rPr>
        <w:noProof/>
      </w:rPr>
      <mc:AlternateContent>
        <mc:Choice Requires="wps">
          <w:drawing>
            <wp:anchor distT="0" distB="0" distL="0" distR="0" simplePos="0" relativeHeight="251658243" behindDoc="0" locked="0" layoutInCell="1" allowOverlap="1" wp14:anchorId="5966BD6A" wp14:editId="01118435">
              <wp:simplePos x="635" y="635"/>
              <wp:positionH relativeFrom="page">
                <wp:align>center</wp:align>
              </wp:positionH>
              <wp:positionV relativeFrom="page">
                <wp:align>top</wp:align>
              </wp:positionV>
              <wp:extent cx="622300" cy="391160"/>
              <wp:effectExtent l="0" t="0" r="6350" b="8890"/>
              <wp:wrapNone/>
              <wp:docPr id="157789699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962137D" w14:textId="0292724A"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66BD6A" id="_x0000_t202" coordsize="21600,21600" o:spt="202" path="m,l,21600r21600,l21600,xe">
              <v:stroke joinstyle="miter"/>
              <v:path gradientshapeok="t" o:connecttype="rect"/>
            </v:shapetype>
            <v:shape id="Text Box 3" o:spid="_x0000_s1027" type="#_x0000_t202" alt="OFFICIAL" style="position:absolute;margin-left:0;margin-top:0;width:49pt;height:30.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3962137D" w14:textId="0292724A"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1" w:tblpY="8999"/>
      <w:tblOverlap w:val="never"/>
      <w:tblW w:w="11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964"/>
    </w:tblGrid>
    <w:tr w:rsidR="007452E8" w:rsidRPr="002B29B2" w14:paraId="3E15C3BC" w14:textId="77777777" w:rsidTr="007452E8">
      <w:trPr>
        <w:trHeight w:hRule="exact" w:val="8845"/>
      </w:trPr>
      <w:tc>
        <w:tcPr>
          <w:tcW w:w="11964" w:type="dxa"/>
          <w:vAlign w:val="center"/>
        </w:tcPr>
        <w:p w14:paraId="6FDE4BFB" w14:textId="31E19A61" w:rsidR="007452E8" w:rsidRPr="002B29B2" w:rsidRDefault="007E4FF8" w:rsidP="007452E8">
          <w:pPr>
            <w:ind w:left="-57"/>
            <w:rPr>
              <w:noProof/>
            </w:rPr>
          </w:pPr>
          <w:r>
            <w:rPr>
              <w:noProof/>
            </w:rPr>
            <mc:AlternateContent>
              <mc:Choice Requires="wps">
                <w:drawing>
                  <wp:anchor distT="0" distB="0" distL="0" distR="0" simplePos="0" relativeHeight="251658241" behindDoc="0" locked="0" layoutInCell="1" allowOverlap="1" wp14:anchorId="36EC3BC1" wp14:editId="466B87D6">
                    <wp:simplePos x="635" y="635"/>
                    <wp:positionH relativeFrom="page">
                      <wp:align>center</wp:align>
                    </wp:positionH>
                    <wp:positionV relativeFrom="page">
                      <wp:align>top</wp:align>
                    </wp:positionV>
                    <wp:extent cx="622300" cy="391160"/>
                    <wp:effectExtent l="0" t="0" r="6350" b="8890"/>
                    <wp:wrapNone/>
                    <wp:docPr id="139457432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FFCA075" w14:textId="59A4754E"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EC3BC1" id="_x0000_t202" coordsize="21600,21600" o:spt="202" path="m,l,21600r21600,l21600,xe">
                    <v:stroke joinstyle="miter"/>
                    <v:path gradientshapeok="t" o:connecttype="rect"/>
                  </v:shapetype>
                  <v:shape id="Text Box 1" o:spid="_x0000_s1030" type="#_x0000_t202" alt="OFFICIAL" style="position:absolute;left:0;text-align:left;margin-left:0;margin-top:0;width:49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3FFCA075" w14:textId="59A4754E"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sdt>
            <w:sdtPr>
              <w:rPr>
                <w:noProof/>
              </w:rPr>
              <w:id w:val="1926993388"/>
              <w:showingPlcHdr/>
              <w:picture/>
            </w:sdtPr>
            <w:sdtEndPr/>
            <w:sdtContent>
              <w:r w:rsidR="007452E8" w:rsidRPr="00F71E1E">
                <w:rPr>
                  <w:noProof/>
                  <w:lang w:val="en-GB" w:eastAsia="en-GB"/>
                </w:rPr>
                <w:drawing>
                  <wp:inline distT="0" distB="0" distL="0" distR="0" wp14:anchorId="5C7F8AC9" wp14:editId="0A2E1A3B">
                    <wp:extent cx="7631430" cy="5691117"/>
                    <wp:effectExtent l="0" t="0" r="762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1"/>
                            <pic:cNvPicPr>
                              <a:picLocks noChangeAspect="1" noChangeArrowheads="1"/>
                            </pic:cNvPicPr>
                          </pic:nvPicPr>
                          <pic:blipFill>
                            <a:blip r:embed="rId1" cstate="print"/>
                            <a:srcRect/>
                            <a:stretch>
                              <a:fillRect/>
                            </a:stretch>
                          </pic:blipFill>
                          <pic:spPr bwMode="auto">
                            <a:xfrm>
                              <a:off x="0" y="0"/>
                              <a:ext cx="7633126" cy="5692382"/>
                            </a:xfrm>
                            <a:prstGeom prst="rect">
                              <a:avLst/>
                            </a:prstGeom>
                            <a:noFill/>
                            <a:ln w="9525">
                              <a:noFill/>
                              <a:miter lim="800000"/>
                              <a:headEnd/>
                              <a:tailEnd/>
                            </a:ln>
                          </pic:spPr>
                        </pic:pic>
                      </a:graphicData>
                    </a:graphic>
                  </wp:inline>
                </w:drawing>
              </w:r>
            </w:sdtContent>
          </w:sdt>
        </w:p>
      </w:tc>
    </w:tr>
  </w:tbl>
  <w:p w14:paraId="6402DE55" w14:textId="38802056" w:rsidR="007452E8" w:rsidRDefault="0006693A" w:rsidP="007452E8">
    <w:pPr>
      <w:rPr>
        <w:noProof/>
      </w:rPr>
    </w:pPr>
    <w:r>
      <w:rPr>
        <w:noProof/>
      </w:rPr>
      <w:drawing>
        <wp:inline distT="0" distB="0" distL="0" distR="0" wp14:anchorId="26654E9F" wp14:editId="78E105AB">
          <wp:extent cx="3344545" cy="694055"/>
          <wp:effectExtent l="0" t="0" r="8255" b="0"/>
          <wp:docPr id="1596027861"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27861" name="Picture 2" descr="A black background with a black square&#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4545" cy="694055"/>
                  </a:xfrm>
                  <a:prstGeom prst="rect">
                    <a:avLst/>
                  </a:prstGeom>
                  <a:noFill/>
                  <a:ln>
                    <a:noFill/>
                  </a:ln>
                </pic:spPr>
              </pic:pic>
            </a:graphicData>
          </a:graphic>
        </wp:inline>
      </w:drawing>
    </w:r>
    <w:r w:rsidR="007452E8" w:rsidRPr="002B29B2">
      <w:rPr>
        <w:noProof/>
        <w:lang w:val="en-GB" w:eastAsia="en-GB"/>
      </w:rPr>
      <w:drawing>
        <wp:anchor distT="0" distB="0" distL="114300" distR="114300" simplePos="0" relativeHeight="251658240" behindDoc="0" locked="0" layoutInCell="0" allowOverlap="1" wp14:anchorId="14BBEAC1" wp14:editId="5D9F0498">
          <wp:simplePos x="0" y="0"/>
          <wp:positionH relativeFrom="page">
            <wp:align>left</wp:align>
          </wp:positionH>
          <wp:positionV relativeFrom="page">
            <wp:posOffset>3239495</wp:posOffset>
          </wp:positionV>
          <wp:extent cx="7663815" cy="4323091"/>
          <wp:effectExtent l="0" t="0" r="0" b="127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7663815" cy="432309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1632D" w14:textId="53C62799" w:rsidR="007452E8" w:rsidRDefault="007452E8" w:rsidP="007452E8">
    <w:pPr>
      <w:pStyle w:val="Header"/>
    </w:pPr>
    <w:r w:rsidRPr="000F5176">
      <w:t>Therapeutic Goods Administration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477B" w14:textId="6A0E4B40" w:rsidR="007452E8" w:rsidRPr="00FE501F" w:rsidRDefault="007452E8" w:rsidP="007452E8">
    <w:pPr>
      <w:pStyle w:val="Headerno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53F11"/>
    <w:multiLevelType w:val="multilevel"/>
    <w:tmpl w:val="9B4A173E"/>
    <w:styleLink w:val="NumberBullet"/>
    <w:lvl w:ilvl="0">
      <w:start w:val="1"/>
      <w:numFmt w:val="decimal"/>
      <w:pStyle w:val="Numberbullet0"/>
      <w:lvlText w:val="%1."/>
      <w:lvlJc w:val="left"/>
      <w:pPr>
        <w:ind w:left="360" w:hanging="360"/>
      </w:pPr>
      <w:rPr>
        <w:rFonts w:ascii="Arial" w:hAnsi="Arial" w:hint="default"/>
      </w:rPr>
    </w:lvl>
    <w:lvl w:ilvl="1">
      <w:start w:val="1"/>
      <w:numFmt w:val="lowerLetter"/>
      <w:pStyle w:val="Numberbullet2"/>
      <w:lvlText w:val="%2."/>
      <w:lvlJc w:val="left"/>
      <w:pPr>
        <w:ind w:left="851" w:hanging="426"/>
      </w:pPr>
      <w:rPr>
        <w:rFonts w:hint="default"/>
      </w:rPr>
    </w:lvl>
    <w:lvl w:ilvl="2">
      <w:start w:val="1"/>
      <w:numFmt w:val="lowerRoman"/>
      <w:lvlText w:val="%3."/>
      <w:lvlJc w:val="left"/>
      <w:pPr>
        <w:ind w:left="1276" w:hanging="425"/>
      </w:pPr>
      <w:rPr>
        <w:rFonts w:hint="default"/>
      </w:rPr>
    </w:lvl>
    <w:lvl w:ilvl="3">
      <w:start w:val="1"/>
      <w:numFmt w:val="none"/>
      <w:lvlText w:val=""/>
      <w:lvlJc w:val="left"/>
      <w:pPr>
        <w:ind w:left="1276" w:hanging="425"/>
      </w:pPr>
      <w:rPr>
        <w:rFonts w:hint="default"/>
      </w:rPr>
    </w:lvl>
    <w:lvl w:ilvl="4">
      <w:start w:val="1"/>
      <w:numFmt w:val="none"/>
      <w:lvlText w:val=""/>
      <w:lvlJc w:val="left"/>
      <w:pPr>
        <w:ind w:left="1276" w:hanging="425"/>
      </w:pPr>
      <w:rPr>
        <w:rFonts w:hint="default"/>
      </w:rPr>
    </w:lvl>
    <w:lvl w:ilvl="5">
      <w:start w:val="1"/>
      <w:numFmt w:val="none"/>
      <w:lvlText w:val=""/>
      <w:lvlJc w:val="left"/>
      <w:pPr>
        <w:ind w:left="1276" w:hanging="425"/>
      </w:pPr>
      <w:rPr>
        <w:rFonts w:hint="default"/>
      </w:rPr>
    </w:lvl>
    <w:lvl w:ilvl="6">
      <w:start w:val="1"/>
      <w:numFmt w:val="none"/>
      <w:lvlText w:val="%7"/>
      <w:lvlJc w:val="left"/>
      <w:pPr>
        <w:ind w:left="1276" w:hanging="425"/>
      </w:pPr>
      <w:rPr>
        <w:rFonts w:hint="default"/>
      </w:rPr>
    </w:lvl>
    <w:lvl w:ilvl="7">
      <w:start w:val="1"/>
      <w:numFmt w:val="none"/>
      <w:lvlText w:val=""/>
      <w:lvlJc w:val="left"/>
      <w:pPr>
        <w:ind w:left="1276" w:hanging="425"/>
      </w:pPr>
      <w:rPr>
        <w:rFonts w:hint="default"/>
      </w:rPr>
    </w:lvl>
    <w:lvl w:ilvl="8">
      <w:start w:val="1"/>
      <w:numFmt w:val="none"/>
      <w:lvlText w:val=""/>
      <w:lvlJc w:val="left"/>
      <w:pPr>
        <w:ind w:left="1276" w:hanging="425"/>
      </w:pPr>
      <w:rPr>
        <w:rFonts w:hint="default"/>
      </w:rPr>
    </w:lvl>
  </w:abstractNum>
  <w:abstractNum w:abstractNumId="1" w15:restartNumberingAfterBreak="0">
    <w:nsid w:val="11954162"/>
    <w:multiLevelType w:val="hybridMultilevel"/>
    <w:tmpl w:val="21E0E150"/>
    <w:lvl w:ilvl="0" w:tplc="66A8C192">
      <w:start w:val="1"/>
      <w:numFmt w:val="bullet"/>
      <w:lvlText w:val=""/>
      <w:lvlJc w:val="left"/>
      <w:pPr>
        <w:ind w:left="720" w:hanging="360"/>
      </w:pPr>
      <w:rPr>
        <w:rFonts w:ascii="Symbol" w:hAnsi="Symbol"/>
      </w:rPr>
    </w:lvl>
    <w:lvl w:ilvl="1" w:tplc="816C6ABA">
      <w:start w:val="1"/>
      <w:numFmt w:val="bullet"/>
      <w:lvlText w:val=""/>
      <w:lvlJc w:val="left"/>
      <w:pPr>
        <w:ind w:left="720" w:hanging="360"/>
      </w:pPr>
      <w:rPr>
        <w:rFonts w:ascii="Symbol" w:hAnsi="Symbol"/>
      </w:rPr>
    </w:lvl>
    <w:lvl w:ilvl="2" w:tplc="FA228082">
      <w:start w:val="1"/>
      <w:numFmt w:val="bullet"/>
      <w:lvlText w:val=""/>
      <w:lvlJc w:val="left"/>
      <w:pPr>
        <w:ind w:left="720" w:hanging="360"/>
      </w:pPr>
      <w:rPr>
        <w:rFonts w:ascii="Symbol" w:hAnsi="Symbol"/>
      </w:rPr>
    </w:lvl>
    <w:lvl w:ilvl="3" w:tplc="5FFA528C">
      <w:start w:val="1"/>
      <w:numFmt w:val="bullet"/>
      <w:lvlText w:val=""/>
      <w:lvlJc w:val="left"/>
      <w:pPr>
        <w:ind w:left="720" w:hanging="360"/>
      </w:pPr>
      <w:rPr>
        <w:rFonts w:ascii="Symbol" w:hAnsi="Symbol"/>
      </w:rPr>
    </w:lvl>
    <w:lvl w:ilvl="4" w:tplc="1ADE0C1E">
      <w:start w:val="1"/>
      <w:numFmt w:val="bullet"/>
      <w:lvlText w:val=""/>
      <w:lvlJc w:val="left"/>
      <w:pPr>
        <w:ind w:left="720" w:hanging="360"/>
      </w:pPr>
      <w:rPr>
        <w:rFonts w:ascii="Symbol" w:hAnsi="Symbol"/>
      </w:rPr>
    </w:lvl>
    <w:lvl w:ilvl="5" w:tplc="1FC2A16A">
      <w:start w:val="1"/>
      <w:numFmt w:val="bullet"/>
      <w:lvlText w:val=""/>
      <w:lvlJc w:val="left"/>
      <w:pPr>
        <w:ind w:left="720" w:hanging="360"/>
      </w:pPr>
      <w:rPr>
        <w:rFonts w:ascii="Symbol" w:hAnsi="Symbol"/>
      </w:rPr>
    </w:lvl>
    <w:lvl w:ilvl="6" w:tplc="CC9273EE">
      <w:start w:val="1"/>
      <w:numFmt w:val="bullet"/>
      <w:lvlText w:val=""/>
      <w:lvlJc w:val="left"/>
      <w:pPr>
        <w:ind w:left="720" w:hanging="360"/>
      </w:pPr>
      <w:rPr>
        <w:rFonts w:ascii="Symbol" w:hAnsi="Symbol"/>
      </w:rPr>
    </w:lvl>
    <w:lvl w:ilvl="7" w:tplc="D0167D44">
      <w:start w:val="1"/>
      <w:numFmt w:val="bullet"/>
      <w:lvlText w:val=""/>
      <w:lvlJc w:val="left"/>
      <w:pPr>
        <w:ind w:left="720" w:hanging="360"/>
      </w:pPr>
      <w:rPr>
        <w:rFonts w:ascii="Symbol" w:hAnsi="Symbol"/>
      </w:rPr>
    </w:lvl>
    <w:lvl w:ilvl="8" w:tplc="19C639C8">
      <w:start w:val="1"/>
      <w:numFmt w:val="bullet"/>
      <w:lvlText w:val=""/>
      <w:lvlJc w:val="left"/>
      <w:pPr>
        <w:ind w:left="720" w:hanging="360"/>
      </w:pPr>
      <w:rPr>
        <w:rFonts w:ascii="Symbol" w:hAnsi="Symbol"/>
      </w:rPr>
    </w:lvl>
  </w:abstractNum>
  <w:abstractNum w:abstractNumId="2" w15:restartNumberingAfterBreak="0">
    <w:nsid w:val="163F187C"/>
    <w:multiLevelType w:val="hybridMultilevel"/>
    <w:tmpl w:val="20409048"/>
    <w:lvl w:ilvl="0" w:tplc="669A989C">
      <w:start w:val="4"/>
      <w:numFmt w:val="bullet"/>
      <w:pStyle w:val="ListBullet3"/>
      <w:lvlText w:val="▪"/>
      <w:lvlJc w:val="left"/>
      <w:pPr>
        <w:ind w:left="1571" w:hanging="360"/>
      </w:pPr>
      <w:rPr>
        <w:rFonts w:ascii="Arial" w:eastAsia="Cambria" w:hAnsi="Aria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3" w15:restartNumberingAfterBreak="0">
    <w:nsid w:val="168F13E9"/>
    <w:multiLevelType w:val="multilevel"/>
    <w:tmpl w:val="520883D8"/>
    <w:styleLink w:val="ListBullets"/>
    <w:lvl w:ilvl="0">
      <w:start w:val="4"/>
      <w:numFmt w:val="bullet"/>
      <w:pStyle w:val="ListBullet"/>
      <w:lvlText w:val="•"/>
      <w:lvlJc w:val="left"/>
      <w:pPr>
        <w:ind w:left="360" w:hanging="360"/>
      </w:pPr>
      <w:rPr>
        <w:rFonts w:ascii="Cambria" w:eastAsia="Cambria" w:hAnsi="Cambria" w:hint="default"/>
      </w:rPr>
    </w:lvl>
    <w:lvl w:ilvl="1">
      <w:start w:val="1"/>
      <w:numFmt w:val="bullet"/>
      <w:pStyle w:val="ListBullet2"/>
      <w:lvlText w:val="–"/>
      <w:lvlJc w:val="left"/>
      <w:pPr>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 w15:restartNumberingAfterBreak="0">
    <w:nsid w:val="17A53F58"/>
    <w:multiLevelType w:val="hybridMultilevel"/>
    <w:tmpl w:val="9006CE9C"/>
    <w:lvl w:ilvl="0" w:tplc="CCE608D2">
      <w:start w:val="1"/>
      <w:numFmt w:val="bullet"/>
      <w:lvlText w:val=""/>
      <w:lvlJc w:val="left"/>
      <w:pPr>
        <w:ind w:left="720" w:hanging="360"/>
      </w:pPr>
      <w:rPr>
        <w:rFonts w:ascii="Symbol" w:hAnsi="Symbol"/>
      </w:rPr>
    </w:lvl>
    <w:lvl w:ilvl="1" w:tplc="DD000D32">
      <w:start w:val="1"/>
      <w:numFmt w:val="bullet"/>
      <w:lvlText w:val=""/>
      <w:lvlJc w:val="left"/>
      <w:pPr>
        <w:ind w:left="720" w:hanging="360"/>
      </w:pPr>
      <w:rPr>
        <w:rFonts w:ascii="Symbol" w:hAnsi="Symbol"/>
      </w:rPr>
    </w:lvl>
    <w:lvl w:ilvl="2" w:tplc="B9A68454">
      <w:start w:val="1"/>
      <w:numFmt w:val="bullet"/>
      <w:lvlText w:val=""/>
      <w:lvlJc w:val="left"/>
      <w:pPr>
        <w:ind w:left="720" w:hanging="360"/>
      </w:pPr>
      <w:rPr>
        <w:rFonts w:ascii="Symbol" w:hAnsi="Symbol"/>
      </w:rPr>
    </w:lvl>
    <w:lvl w:ilvl="3" w:tplc="0F56BB88">
      <w:start w:val="1"/>
      <w:numFmt w:val="bullet"/>
      <w:lvlText w:val=""/>
      <w:lvlJc w:val="left"/>
      <w:pPr>
        <w:ind w:left="720" w:hanging="360"/>
      </w:pPr>
      <w:rPr>
        <w:rFonts w:ascii="Symbol" w:hAnsi="Symbol"/>
      </w:rPr>
    </w:lvl>
    <w:lvl w:ilvl="4" w:tplc="CD46838A">
      <w:start w:val="1"/>
      <w:numFmt w:val="bullet"/>
      <w:lvlText w:val=""/>
      <w:lvlJc w:val="left"/>
      <w:pPr>
        <w:ind w:left="720" w:hanging="360"/>
      </w:pPr>
      <w:rPr>
        <w:rFonts w:ascii="Symbol" w:hAnsi="Symbol"/>
      </w:rPr>
    </w:lvl>
    <w:lvl w:ilvl="5" w:tplc="BBAA1BCC">
      <w:start w:val="1"/>
      <w:numFmt w:val="bullet"/>
      <w:lvlText w:val=""/>
      <w:lvlJc w:val="left"/>
      <w:pPr>
        <w:ind w:left="720" w:hanging="360"/>
      </w:pPr>
      <w:rPr>
        <w:rFonts w:ascii="Symbol" w:hAnsi="Symbol"/>
      </w:rPr>
    </w:lvl>
    <w:lvl w:ilvl="6" w:tplc="BF04908C">
      <w:start w:val="1"/>
      <w:numFmt w:val="bullet"/>
      <w:lvlText w:val=""/>
      <w:lvlJc w:val="left"/>
      <w:pPr>
        <w:ind w:left="720" w:hanging="360"/>
      </w:pPr>
      <w:rPr>
        <w:rFonts w:ascii="Symbol" w:hAnsi="Symbol"/>
      </w:rPr>
    </w:lvl>
    <w:lvl w:ilvl="7" w:tplc="E4DC650E">
      <w:start w:val="1"/>
      <w:numFmt w:val="bullet"/>
      <w:lvlText w:val=""/>
      <w:lvlJc w:val="left"/>
      <w:pPr>
        <w:ind w:left="720" w:hanging="360"/>
      </w:pPr>
      <w:rPr>
        <w:rFonts w:ascii="Symbol" w:hAnsi="Symbol"/>
      </w:rPr>
    </w:lvl>
    <w:lvl w:ilvl="8" w:tplc="2CE8444E">
      <w:start w:val="1"/>
      <w:numFmt w:val="bullet"/>
      <w:lvlText w:val=""/>
      <w:lvlJc w:val="left"/>
      <w:pPr>
        <w:ind w:left="720" w:hanging="360"/>
      </w:pPr>
      <w:rPr>
        <w:rFonts w:ascii="Symbol" w:hAnsi="Symbol"/>
      </w:rPr>
    </w:lvl>
  </w:abstractNum>
  <w:abstractNum w:abstractNumId="5" w15:restartNumberingAfterBreak="0">
    <w:nsid w:val="23FB1C56"/>
    <w:multiLevelType w:val="multilevel"/>
    <w:tmpl w:val="339EBC96"/>
    <w:lvl w:ilvl="0">
      <w:start w:val="1"/>
      <w:numFmt w:val="bullet"/>
      <w:pStyle w:val="ListBullet-dotick"/>
      <w:lvlText w:val=""/>
      <w:lvlJc w:val="left"/>
      <w:pPr>
        <w:ind w:left="360" w:hanging="360"/>
      </w:pPr>
      <w:rPr>
        <w:rFonts w:ascii="Wingdings" w:hAnsi="Wingdings" w:hint="default"/>
        <w:b/>
        <w:i w:val="0"/>
        <w:color w:val="00B050"/>
        <w:sz w:val="24"/>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6" w15:restartNumberingAfterBreak="0">
    <w:nsid w:val="46836578"/>
    <w:multiLevelType w:val="hybridMultilevel"/>
    <w:tmpl w:val="F350D9EC"/>
    <w:lvl w:ilvl="0" w:tplc="B8AAF4A2">
      <w:start w:val="1"/>
      <w:numFmt w:val="bullet"/>
      <w:lvlText w:val=""/>
      <w:lvlJc w:val="left"/>
      <w:pPr>
        <w:ind w:left="720" w:hanging="360"/>
      </w:pPr>
      <w:rPr>
        <w:rFonts w:ascii="Symbol" w:hAnsi="Symbol"/>
      </w:rPr>
    </w:lvl>
    <w:lvl w:ilvl="1" w:tplc="B63ED5FC">
      <w:start w:val="1"/>
      <w:numFmt w:val="bullet"/>
      <w:lvlText w:val=""/>
      <w:lvlJc w:val="left"/>
      <w:pPr>
        <w:ind w:left="720" w:hanging="360"/>
      </w:pPr>
      <w:rPr>
        <w:rFonts w:ascii="Symbol" w:hAnsi="Symbol"/>
      </w:rPr>
    </w:lvl>
    <w:lvl w:ilvl="2" w:tplc="C9C41D84">
      <w:start w:val="1"/>
      <w:numFmt w:val="bullet"/>
      <w:lvlText w:val=""/>
      <w:lvlJc w:val="left"/>
      <w:pPr>
        <w:ind w:left="720" w:hanging="360"/>
      </w:pPr>
      <w:rPr>
        <w:rFonts w:ascii="Symbol" w:hAnsi="Symbol"/>
      </w:rPr>
    </w:lvl>
    <w:lvl w:ilvl="3" w:tplc="A9FCBD70">
      <w:start w:val="1"/>
      <w:numFmt w:val="bullet"/>
      <w:lvlText w:val=""/>
      <w:lvlJc w:val="left"/>
      <w:pPr>
        <w:ind w:left="720" w:hanging="360"/>
      </w:pPr>
      <w:rPr>
        <w:rFonts w:ascii="Symbol" w:hAnsi="Symbol"/>
      </w:rPr>
    </w:lvl>
    <w:lvl w:ilvl="4" w:tplc="28B4DAE8">
      <w:start w:val="1"/>
      <w:numFmt w:val="bullet"/>
      <w:lvlText w:val=""/>
      <w:lvlJc w:val="left"/>
      <w:pPr>
        <w:ind w:left="720" w:hanging="360"/>
      </w:pPr>
      <w:rPr>
        <w:rFonts w:ascii="Symbol" w:hAnsi="Symbol"/>
      </w:rPr>
    </w:lvl>
    <w:lvl w:ilvl="5" w:tplc="7C5A0216">
      <w:start w:val="1"/>
      <w:numFmt w:val="bullet"/>
      <w:lvlText w:val=""/>
      <w:lvlJc w:val="left"/>
      <w:pPr>
        <w:ind w:left="720" w:hanging="360"/>
      </w:pPr>
      <w:rPr>
        <w:rFonts w:ascii="Symbol" w:hAnsi="Symbol"/>
      </w:rPr>
    </w:lvl>
    <w:lvl w:ilvl="6" w:tplc="5D96E20E">
      <w:start w:val="1"/>
      <w:numFmt w:val="bullet"/>
      <w:lvlText w:val=""/>
      <w:lvlJc w:val="left"/>
      <w:pPr>
        <w:ind w:left="720" w:hanging="360"/>
      </w:pPr>
      <w:rPr>
        <w:rFonts w:ascii="Symbol" w:hAnsi="Symbol"/>
      </w:rPr>
    </w:lvl>
    <w:lvl w:ilvl="7" w:tplc="B96E25EA">
      <w:start w:val="1"/>
      <w:numFmt w:val="bullet"/>
      <w:lvlText w:val=""/>
      <w:lvlJc w:val="left"/>
      <w:pPr>
        <w:ind w:left="720" w:hanging="360"/>
      </w:pPr>
      <w:rPr>
        <w:rFonts w:ascii="Symbol" w:hAnsi="Symbol"/>
      </w:rPr>
    </w:lvl>
    <w:lvl w:ilvl="8" w:tplc="ECF04C6A">
      <w:start w:val="1"/>
      <w:numFmt w:val="bullet"/>
      <w:lvlText w:val=""/>
      <w:lvlJc w:val="left"/>
      <w:pPr>
        <w:ind w:left="720" w:hanging="360"/>
      </w:pPr>
      <w:rPr>
        <w:rFonts w:ascii="Symbol" w:hAnsi="Symbol"/>
      </w:rPr>
    </w:lvl>
  </w:abstractNum>
  <w:abstractNum w:abstractNumId="7" w15:restartNumberingAfterBreak="0">
    <w:nsid w:val="4F7912C9"/>
    <w:multiLevelType w:val="multilevel"/>
    <w:tmpl w:val="D6F4F1DE"/>
    <w:lvl w:ilvl="0">
      <w:start w:val="1"/>
      <w:numFmt w:val="bullet"/>
      <w:pStyle w:val="ListBullet-donotcross"/>
      <w:lvlText w:val=""/>
      <w:lvlJc w:val="left"/>
      <w:pPr>
        <w:ind w:left="785" w:hanging="360"/>
      </w:pPr>
      <w:rPr>
        <w:rFonts w:ascii="Wingdings" w:hAnsi="Wingdings" w:hint="default"/>
        <w:b/>
        <w:i w:val="0"/>
        <w:color w:val="800000"/>
        <w:sz w:val="26"/>
        <w:szCs w:val="22"/>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8" w15:restartNumberingAfterBreak="0">
    <w:nsid w:val="4F8D23DB"/>
    <w:multiLevelType w:val="hybridMultilevel"/>
    <w:tmpl w:val="9A4A81D0"/>
    <w:lvl w:ilvl="0" w:tplc="898EA3AA">
      <w:start w:val="1"/>
      <w:numFmt w:val="bullet"/>
      <w:lvlText w:val=""/>
      <w:lvlJc w:val="left"/>
      <w:pPr>
        <w:ind w:left="720" w:hanging="360"/>
      </w:pPr>
      <w:rPr>
        <w:rFonts w:ascii="Symbol" w:hAnsi="Symbol"/>
      </w:rPr>
    </w:lvl>
    <w:lvl w:ilvl="1" w:tplc="403E12E2">
      <w:start w:val="1"/>
      <w:numFmt w:val="bullet"/>
      <w:lvlText w:val=""/>
      <w:lvlJc w:val="left"/>
      <w:pPr>
        <w:ind w:left="720" w:hanging="360"/>
      </w:pPr>
      <w:rPr>
        <w:rFonts w:ascii="Symbol" w:hAnsi="Symbol"/>
      </w:rPr>
    </w:lvl>
    <w:lvl w:ilvl="2" w:tplc="C678A248">
      <w:start w:val="1"/>
      <w:numFmt w:val="bullet"/>
      <w:lvlText w:val=""/>
      <w:lvlJc w:val="left"/>
      <w:pPr>
        <w:ind w:left="720" w:hanging="360"/>
      </w:pPr>
      <w:rPr>
        <w:rFonts w:ascii="Symbol" w:hAnsi="Symbol"/>
      </w:rPr>
    </w:lvl>
    <w:lvl w:ilvl="3" w:tplc="4EE4EEBA">
      <w:start w:val="1"/>
      <w:numFmt w:val="bullet"/>
      <w:lvlText w:val=""/>
      <w:lvlJc w:val="left"/>
      <w:pPr>
        <w:ind w:left="720" w:hanging="360"/>
      </w:pPr>
      <w:rPr>
        <w:rFonts w:ascii="Symbol" w:hAnsi="Symbol"/>
      </w:rPr>
    </w:lvl>
    <w:lvl w:ilvl="4" w:tplc="F31E8080">
      <w:start w:val="1"/>
      <w:numFmt w:val="bullet"/>
      <w:lvlText w:val=""/>
      <w:lvlJc w:val="left"/>
      <w:pPr>
        <w:ind w:left="720" w:hanging="360"/>
      </w:pPr>
      <w:rPr>
        <w:rFonts w:ascii="Symbol" w:hAnsi="Symbol"/>
      </w:rPr>
    </w:lvl>
    <w:lvl w:ilvl="5" w:tplc="261AFD6A">
      <w:start w:val="1"/>
      <w:numFmt w:val="bullet"/>
      <w:lvlText w:val=""/>
      <w:lvlJc w:val="left"/>
      <w:pPr>
        <w:ind w:left="720" w:hanging="360"/>
      </w:pPr>
      <w:rPr>
        <w:rFonts w:ascii="Symbol" w:hAnsi="Symbol"/>
      </w:rPr>
    </w:lvl>
    <w:lvl w:ilvl="6" w:tplc="94FC1AF8">
      <w:start w:val="1"/>
      <w:numFmt w:val="bullet"/>
      <w:lvlText w:val=""/>
      <w:lvlJc w:val="left"/>
      <w:pPr>
        <w:ind w:left="720" w:hanging="360"/>
      </w:pPr>
      <w:rPr>
        <w:rFonts w:ascii="Symbol" w:hAnsi="Symbol"/>
      </w:rPr>
    </w:lvl>
    <w:lvl w:ilvl="7" w:tplc="FF503C7C">
      <w:start w:val="1"/>
      <w:numFmt w:val="bullet"/>
      <w:lvlText w:val=""/>
      <w:lvlJc w:val="left"/>
      <w:pPr>
        <w:ind w:left="720" w:hanging="360"/>
      </w:pPr>
      <w:rPr>
        <w:rFonts w:ascii="Symbol" w:hAnsi="Symbol"/>
      </w:rPr>
    </w:lvl>
    <w:lvl w:ilvl="8" w:tplc="E8B4BDE6">
      <w:start w:val="1"/>
      <w:numFmt w:val="bullet"/>
      <w:lvlText w:val=""/>
      <w:lvlJc w:val="left"/>
      <w:pPr>
        <w:ind w:left="720" w:hanging="360"/>
      </w:pPr>
      <w:rPr>
        <w:rFonts w:ascii="Symbol" w:hAnsi="Symbol"/>
      </w:rPr>
    </w:lvl>
  </w:abstractNum>
  <w:abstractNum w:abstractNumId="9" w15:restartNumberingAfterBreak="0">
    <w:nsid w:val="50336B0D"/>
    <w:multiLevelType w:val="hybridMultilevel"/>
    <w:tmpl w:val="5D54CD1A"/>
    <w:lvl w:ilvl="0" w:tplc="4EDE096A">
      <w:start w:val="1"/>
      <w:numFmt w:val="lowerRoman"/>
      <w:pStyle w:val="Numberbullet3"/>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9D22096"/>
    <w:multiLevelType w:val="hybridMultilevel"/>
    <w:tmpl w:val="9DF2F518"/>
    <w:lvl w:ilvl="0" w:tplc="480AF4BC">
      <w:start w:val="1"/>
      <w:numFmt w:val="bullet"/>
      <w:lvlText w:val=""/>
      <w:lvlJc w:val="left"/>
      <w:pPr>
        <w:ind w:left="720" w:hanging="360"/>
      </w:pPr>
      <w:rPr>
        <w:rFonts w:ascii="Symbol" w:hAnsi="Symbol"/>
      </w:rPr>
    </w:lvl>
    <w:lvl w:ilvl="1" w:tplc="519064D0">
      <w:start w:val="1"/>
      <w:numFmt w:val="bullet"/>
      <w:lvlText w:val=""/>
      <w:lvlJc w:val="left"/>
      <w:pPr>
        <w:ind w:left="720" w:hanging="360"/>
      </w:pPr>
      <w:rPr>
        <w:rFonts w:ascii="Symbol" w:hAnsi="Symbol"/>
      </w:rPr>
    </w:lvl>
    <w:lvl w:ilvl="2" w:tplc="D5968F16">
      <w:start w:val="1"/>
      <w:numFmt w:val="bullet"/>
      <w:lvlText w:val=""/>
      <w:lvlJc w:val="left"/>
      <w:pPr>
        <w:ind w:left="720" w:hanging="360"/>
      </w:pPr>
      <w:rPr>
        <w:rFonts w:ascii="Symbol" w:hAnsi="Symbol"/>
      </w:rPr>
    </w:lvl>
    <w:lvl w:ilvl="3" w:tplc="E800FA06">
      <w:start w:val="1"/>
      <w:numFmt w:val="bullet"/>
      <w:lvlText w:val=""/>
      <w:lvlJc w:val="left"/>
      <w:pPr>
        <w:ind w:left="720" w:hanging="360"/>
      </w:pPr>
      <w:rPr>
        <w:rFonts w:ascii="Symbol" w:hAnsi="Symbol"/>
      </w:rPr>
    </w:lvl>
    <w:lvl w:ilvl="4" w:tplc="6BCA7B38">
      <w:start w:val="1"/>
      <w:numFmt w:val="bullet"/>
      <w:lvlText w:val=""/>
      <w:lvlJc w:val="left"/>
      <w:pPr>
        <w:ind w:left="720" w:hanging="360"/>
      </w:pPr>
      <w:rPr>
        <w:rFonts w:ascii="Symbol" w:hAnsi="Symbol"/>
      </w:rPr>
    </w:lvl>
    <w:lvl w:ilvl="5" w:tplc="AA40038E">
      <w:start w:val="1"/>
      <w:numFmt w:val="bullet"/>
      <w:lvlText w:val=""/>
      <w:lvlJc w:val="left"/>
      <w:pPr>
        <w:ind w:left="720" w:hanging="360"/>
      </w:pPr>
      <w:rPr>
        <w:rFonts w:ascii="Symbol" w:hAnsi="Symbol"/>
      </w:rPr>
    </w:lvl>
    <w:lvl w:ilvl="6" w:tplc="D34480EE">
      <w:start w:val="1"/>
      <w:numFmt w:val="bullet"/>
      <w:lvlText w:val=""/>
      <w:lvlJc w:val="left"/>
      <w:pPr>
        <w:ind w:left="720" w:hanging="360"/>
      </w:pPr>
      <w:rPr>
        <w:rFonts w:ascii="Symbol" w:hAnsi="Symbol"/>
      </w:rPr>
    </w:lvl>
    <w:lvl w:ilvl="7" w:tplc="BABE86B6">
      <w:start w:val="1"/>
      <w:numFmt w:val="bullet"/>
      <w:lvlText w:val=""/>
      <w:lvlJc w:val="left"/>
      <w:pPr>
        <w:ind w:left="720" w:hanging="360"/>
      </w:pPr>
      <w:rPr>
        <w:rFonts w:ascii="Symbol" w:hAnsi="Symbol"/>
      </w:rPr>
    </w:lvl>
    <w:lvl w:ilvl="8" w:tplc="5AD2833C">
      <w:start w:val="1"/>
      <w:numFmt w:val="bullet"/>
      <w:lvlText w:val=""/>
      <w:lvlJc w:val="left"/>
      <w:pPr>
        <w:ind w:left="720" w:hanging="360"/>
      </w:pPr>
      <w:rPr>
        <w:rFonts w:ascii="Symbol" w:hAnsi="Symbol"/>
      </w:rPr>
    </w:lvl>
  </w:abstractNum>
  <w:abstractNum w:abstractNumId="11" w15:restartNumberingAfterBreak="0">
    <w:nsid w:val="62E1248D"/>
    <w:multiLevelType w:val="hybridMultilevel"/>
    <w:tmpl w:val="C43606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A6379A9"/>
    <w:multiLevelType w:val="hybridMultilevel"/>
    <w:tmpl w:val="4FE8D072"/>
    <w:lvl w:ilvl="0" w:tplc="40AA1BA0">
      <w:start w:val="1"/>
      <w:numFmt w:val="bullet"/>
      <w:lvlText w:val=""/>
      <w:lvlJc w:val="left"/>
      <w:pPr>
        <w:ind w:left="720" w:hanging="360"/>
      </w:pPr>
      <w:rPr>
        <w:rFonts w:ascii="Symbol" w:hAnsi="Symbol"/>
      </w:rPr>
    </w:lvl>
    <w:lvl w:ilvl="1" w:tplc="15A0EAC8">
      <w:start w:val="1"/>
      <w:numFmt w:val="bullet"/>
      <w:lvlText w:val=""/>
      <w:lvlJc w:val="left"/>
      <w:pPr>
        <w:ind w:left="720" w:hanging="360"/>
      </w:pPr>
      <w:rPr>
        <w:rFonts w:ascii="Symbol" w:hAnsi="Symbol"/>
      </w:rPr>
    </w:lvl>
    <w:lvl w:ilvl="2" w:tplc="A2A06F8A">
      <w:start w:val="1"/>
      <w:numFmt w:val="bullet"/>
      <w:lvlText w:val=""/>
      <w:lvlJc w:val="left"/>
      <w:pPr>
        <w:ind w:left="720" w:hanging="360"/>
      </w:pPr>
      <w:rPr>
        <w:rFonts w:ascii="Symbol" w:hAnsi="Symbol"/>
      </w:rPr>
    </w:lvl>
    <w:lvl w:ilvl="3" w:tplc="638C4750">
      <w:start w:val="1"/>
      <w:numFmt w:val="bullet"/>
      <w:lvlText w:val=""/>
      <w:lvlJc w:val="left"/>
      <w:pPr>
        <w:ind w:left="720" w:hanging="360"/>
      </w:pPr>
      <w:rPr>
        <w:rFonts w:ascii="Symbol" w:hAnsi="Symbol"/>
      </w:rPr>
    </w:lvl>
    <w:lvl w:ilvl="4" w:tplc="593CA732">
      <w:start w:val="1"/>
      <w:numFmt w:val="bullet"/>
      <w:lvlText w:val=""/>
      <w:lvlJc w:val="left"/>
      <w:pPr>
        <w:ind w:left="720" w:hanging="360"/>
      </w:pPr>
      <w:rPr>
        <w:rFonts w:ascii="Symbol" w:hAnsi="Symbol"/>
      </w:rPr>
    </w:lvl>
    <w:lvl w:ilvl="5" w:tplc="A2B0A4B0">
      <w:start w:val="1"/>
      <w:numFmt w:val="bullet"/>
      <w:lvlText w:val=""/>
      <w:lvlJc w:val="left"/>
      <w:pPr>
        <w:ind w:left="720" w:hanging="360"/>
      </w:pPr>
      <w:rPr>
        <w:rFonts w:ascii="Symbol" w:hAnsi="Symbol"/>
      </w:rPr>
    </w:lvl>
    <w:lvl w:ilvl="6" w:tplc="60CE26AE">
      <w:start w:val="1"/>
      <w:numFmt w:val="bullet"/>
      <w:lvlText w:val=""/>
      <w:lvlJc w:val="left"/>
      <w:pPr>
        <w:ind w:left="720" w:hanging="360"/>
      </w:pPr>
      <w:rPr>
        <w:rFonts w:ascii="Symbol" w:hAnsi="Symbol"/>
      </w:rPr>
    </w:lvl>
    <w:lvl w:ilvl="7" w:tplc="488A39BE">
      <w:start w:val="1"/>
      <w:numFmt w:val="bullet"/>
      <w:lvlText w:val=""/>
      <w:lvlJc w:val="left"/>
      <w:pPr>
        <w:ind w:left="720" w:hanging="360"/>
      </w:pPr>
      <w:rPr>
        <w:rFonts w:ascii="Symbol" w:hAnsi="Symbol"/>
      </w:rPr>
    </w:lvl>
    <w:lvl w:ilvl="8" w:tplc="C188F4DC">
      <w:start w:val="1"/>
      <w:numFmt w:val="bullet"/>
      <w:lvlText w:val=""/>
      <w:lvlJc w:val="left"/>
      <w:pPr>
        <w:ind w:left="720" w:hanging="360"/>
      </w:pPr>
      <w:rPr>
        <w:rFonts w:ascii="Symbol" w:hAnsi="Symbol"/>
      </w:rPr>
    </w:lvl>
  </w:abstractNum>
  <w:num w:numId="1" w16cid:durableId="1032997172">
    <w:abstractNumId w:val="3"/>
  </w:num>
  <w:num w:numId="2" w16cid:durableId="1856573705">
    <w:abstractNumId w:val="0"/>
  </w:num>
  <w:num w:numId="3" w16cid:durableId="357703499">
    <w:abstractNumId w:val="2"/>
  </w:num>
  <w:num w:numId="4" w16cid:durableId="1869176708">
    <w:abstractNumId w:val="9"/>
  </w:num>
  <w:num w:numId="5" w16cid:durableId="1652950129">
    <w:abstractNumId w:val="5"/>
  </w:num>
  <w:num w:numId="6" w16cid:durableId="1053193207">
    <w:abstractNumId w:val="7"/>
  </w:num>
  <w:num w:numId="7" w16cid:durableId="201135927">
    <w:abstractNumId w:val="0"/>
    <w:lvlOverride w:ilvl="0">
      <w:startOverride w:val="1"/>
      <w:lvl w:ilvl="0">
        <w:start w:val="1"/>
        <w:numFmt w:val="decimal"/>
        <w:pStyle w:val="Numberbullet0"/>
        <w:lvlText w:val="%1."/>
        <w:lvlJc w:val="left"/>
        <w:pPr>
          <w:ind w:left="425" w:hanging="425"/>
        </w:pPr>
        <w:rPr>
          <w:rFonts w:ascii="Cambria" w:hAnsi="Cambria" w:hint="default"/>
        </w:rPr>
      </w:lvl>
    </w:lvlOverride>
    <w:lvlOverride w:ilvl="1">
      <w:startOverride w:val="1"/>
      <w:lvl w:ilvl="1">
        <w:start w:val="1"/>
        <w:numFmt w:val="lowerLetter"/>
        <w:pStyle w:val="Numberbullet2"/>
        <w:lvlText w:val="%2."/>
        <w:lvlJc w:val="left"/>
        <w:pPr>
          <w:ind w:left="851" w:hanging="426"/>
        </w:pPr>
        <w:rPr>
          <w:rFonts w:hint="default"/>
        </w:rPr>
      </w:lvl>
    </w:lvlOverride>
    <w:lvlOverride w:ilvl="2">
      <w:startOverride w:val="1"/>
      <w:lvl w:ilvl="2">
        <w:start w:val="1"/>
        <w:numFmt w:val="lowerRoman"/>
        <w:lvlText w:val="%3."/>
        <w:lvlJc w:val="left"/>
        <w:pPr>
          <w:ind w:left="1276" w:hanging="425"/>
        </w:pPr>
        <w:rPr>
          <w:rFonts w:hint="default"/>
        </w:rPr>
      </w:lvl>
    </w:lvlOverride>
    <w:lvlOverride w:ilvl="3">
      <w:startOverride w:val="1"/>
      <w:lvl w:ilvl="3">
        <w:start w:val="1"/>
        <w:numFmt w:val="none"/>
        <w:lvlText w:val=""/>
        <w:lvlJc w:val="left"/>
        <w:pPr>
          <w:ind w:left="1276" w:hanging="425"/>
        </w:pPr>
        <w:rPr>
          <w:rFonts w:hint="default"/>
        </w:rPr>
      </w:lvl>
    </w:lvlOverride>
    <w:lvlOverride w:ilvl="4">
      <w:startOverride w:val="1"/>
      <w:lvl w:ilvl="4">
        <w:start w:val="1"/>
        <w:numFmt w:val="none"/>
        <w:lvlText w:val=""/>
        <w:lvlJc w:val="left"/>
        <w:pPr>
          <w:ind w:left="1276" w:hanging="425"/>
        </w:pPr>
        <w:rPr>
          <w:rFonts w:hint="default"/>
        </w:rPr>
      </w:lvl>
    </w:lvlOverride>
    <w:lvlOverride w:ilvl="5">
      <w:startOverride w:val="1"/>
      <w:lvl w:ilvl="5">
        <w:start w:val="1"/>
        <w:numFmt w:val="none"/>
        <w:lvlText w:val=""/>
        <w:lvlJc w:val="left"/>
        <w:pPr>
          <w:ind w:left="1276" w:hanging="425"/>
        </w:pPr>
        <w:rPr>
          <w:rFonts w:hint="default"/>
        </w:rPr>
      </w:lvl>
    </w:lvlOverride>
    <w:lvlOverride w:ilvl="6">
      <w:startOverride w:val="1"/>
      <w:lvl w:ilvl="6">
        <w:start w:val="1"/>
        <w:numFmt w:val="none"/>
        <w:lvlText w:val="%7"/>
        <w:lvlJc w:val="left"/>
        <w:pPr>
          <w:ind w:left="1276" w:hanging="425"/>
        </w:pPr>
        <w:rPr>
          <w:rFonts w:hint="default"/>
        </w:rPr>
      </w:lvl>
    </w:lvlOverride>
    <w:lvlOverride w:ilvl="7">
      <w:startOverride w:val="1"/>
      <w:lvl w:ilvl="7">
        <w:start w:val="1"/>
        <w:numFmt w:val="none"/>
        <w:lvlText w:val=""/>
        <w:lvlJc w:val="left"/>
        <w:pPr>
          <w:ind w:left="1276" w:hanging="425"/>
        </w:pPr>
        <w:rPr>
          <w:rFonts w:hint="default"/>
        </w:rPr>
      </w:lvl>
    </w:lvlOverride>
    <w:lvlOverride w:ilvl="8">
      <w:startOverride w:val="1"/>
      <w:lvl w:ilvl="8">
        <w:start w:val="1"/>
        <w:numFmt w:val="none"/>
        <w:lvlText w:val=""/>
        <w:lvlJc w:val="left"/>
        <w:pPr>
          <w:ind w:left="1276" w:hanging="425"/>
        </w:pPr>
        <w:rPr>
          <w:rFonts w:hint="default"/>
        </w:rPr>
      </w:lvl>
    </w:lvlOverride>
  </w:num>
  <w:num w:numId="8" w16cid:durableId="1604608059">
    <w:abstractNumId w:val="8"/>
  </w:num>
  <w:num w:numId="9" w16cid:durableId="173421270">
    <w:abstractNumId w:val="1"/>
  </w:num>
  <w:num w:numId="10" w16cid:durableId="2108043357">
    <w:abstractNumId w:val="4"/>
  </w:num>
  <w:num w:numId="11" w16cid:durableId="1725904230">
    <w:abstractNumId w:val="6"/>
  </w:num>
  <w:num w:numId="12" w16cid:durableId="141579354">
    <w:abstractNumId w:val="10"/>
  </w:num>
  <w:num w:numId="13" w16cid:durableId="283735081">
    <w:abstractNumId w:val="12"/>
  </w:num>
  <w:num w:numId="14" w16cid:durableId="8117489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EC2"/>
    <w:rsid w:val="00000E6E"/>
    <w:rsid w:val="00004431"/>
    <w:rsid w:val="00005062"/>
    <w:rsid w:val="00005DFC"/>
    <w:rsid w:val="0001064C"/>
    <w:rsid w:val="0001384A"/>
    <w:rsid w:val="00021C13"/>
    <w:rsid w:val="000250A5"/>
    <w:rsid w:val="00032A0F"/>
    <w:rsid w:val="00040D8D"/>
    <w:rsid w:val="00045FA7"/>
    <w:rsid w:val="00046423"/>
    <w:rsid w:val="000477F5"/>
    <w:rsid w:val="0005067C"/>
    <w:rsid w:val="0006104E"/>
    <w:rsid w:val="000640BD"/>
    <w:rsid w:val="00065839"/>
    <w:rsid w:val="00065FDF"/>
    <w:rsid w:val="0006693A"/>
    <w:rsid w:val="00073EAF"/>
    <w:rsid w:val="00077844"/>
    <w:rsid w:val="00083763"/>
    <w:rsid w:val="0009023D"/>
    <w:rsid w:val="00090510"/>
    <w:rsid w:val="000917AE"/>
    <w:rsid w:val="00094B81"/>
    <w:rsid w:val="00095C6A"/>
    <w:rsid w:val="000975AA"/>
    <w:rsid w:val="000A1A6D"/>
    <w:rsid w:val="000B6B15"/>
    <w:rsid w:val="000C25A7"/>
    <w:rsid w:val="000C733B"/>
    <w:rsid w:val="000D78EC"/>
    <w:rsid w:val="000D7934"/>
    <w:rsid w:val="000E2434"/>
    <w:rsid w:val="000E2597"/>
    <w:rsid w:val="000E504E"/>
    <w:rsid w:val="000E6746"/>
    <w:rsid w:val="000F7B51"/>
    <w:rsid w:val="00101BEE"/>
    <w:rsid w:val="00101CE6"/>
    <w:rsid w:val="00101FB1"/>
    <w:rsid w:val="0010558A"/>
    <w:rsid w:val="0010623F"/>
    <w:rsid w:val="001101FF"/>
    <w:rsid w:val="00111989"/>
    <w:rsid w:val="00113F9F"/>
    <w:rsid w:val="00114025"/>
    <w:rsid w:val="00117F2A"/>
    <w:rsid w:val="0012473C"/>
    <w:rsid w:val="00127A74"/>
    <w:rsid w:val="0013132F"/>
    <w:rsid w:val="00131B1B"/>
    <w:rsid w:val="0013306D"/>
    <w:rsid w:val="0013528C"/>
    <w:rsid w:val="001374BD"/>
    <w:rsid w:val="001442A2"/>
    <w:rsid w:val="001468CA"/>
    <w:rsid w:val="001500A8"/>
    <w:rsid w:val="00155D85"/>
    <w:rsid w:val="00155DF4"/>
    <w:rsid w:val="001633D9"/>
    <w:rsid w:val="00165D28"/>
    <w:rsid w:val="0017005C"/>
    <w:rsid w:val="001708FB"/>
    <w:rsid w:val="00171C6B"/>
    <w:rsid w:val="00175CD8"/>
    <w:rsid w:val="00182BD8"/>
    <w:rsid w:val="00190853"/>
    <w:rsid w:val="001A2E56"/>
    <w:rsid w:val="001A3106"/>
    <w:rsid w:val="001A76F9"/>
    <w:rsid w:val="001B06FF"/>
    <w:rsid w:val="001B1703"/>
    <w:rsid w:val="001B2B5D"/>
    <w:rsid w:val="001B7B06"/>
    <w:rsid w:val="001C1C2E"/>
    <w:rsid w:val="001C31A1"/>
    <w:rsid w:val="001C3FA2"/>
    <w:rsid w:val="001C5EE2"/>
    <w:rsid w:val="001D0077"/>
    <w:rsid w:val="001D2D64"/>
    <w:rsid w:val="001E407B"/>
    <w:rsid w:val="001E7FC6"/>
    <w:rsid w:val="001F2502"/>
    <w:rsid w:val="001F70A5"/>
    <w:rsid w:val="0020235D"/>
    <w:rsid w:val="0020369B"/>
    <w:rsid w:val="00207B4D"/>
    <w:rsid w:val="00210F9B"/>
    <w:rsid w:val="002117B1"/>
    <w:rsid w:val="00214DA6"/>
    <w:rsid w:val="00217CCE"/>
    <w:rsid w:val="002203B1"/>
    <w:rsid w:val="00221BD1"/>
    <w:rsid w:val="00225E13"/>
    <w:rsid w:val="00226F39"/>
    <w:rsid w:val="002334AD"/>
    <w:rsid w:val="00234375"/>
    <w:rsid w:val="00236F91"/>
    <w:rsid w:val="00241B60"/>
    <w:rsid w:val="0025785B"/>
    <w:rsid w:val="00257969"/>
    <w:rsid w:val="00265CD1"/>
    <w:rsid w:val="0027721C"/>
    <w:rsid w:val="00280048"/>
    <w:rsid w:val="0028489E"/>
    <w:rsid w:val="002848DE"/>
    <w:rsid w:val="0028794E"/>
    <w:rsid w:val="002924A1"/>
    <w:rsid w:val="00296F96"/>
    <w:rsid w:val="0029733B"/>
    <w:rsid w:val="002A24D2"/>
    <w:rsid w:val="002A5841"/>
    <w:rsid w:val="002B1EDF"/>
    <w:rsid w:val="002B2061"/>
    <w:rsid w:val="002B33C3"/>
    <w:rsid w:val="002C1232"/>
    <w:rsid w:val="002C1E44"/>
    <w:rsid w:val="002C5C92"/>
    <w:rsid w:val="002C5E29"/>
    <w:rsid w:val="002C74F2"/>
    <w:rsid w:val="002D0478"/>
    <w:rsid w:val="002D30B9"/>
    <w:rsid w:val="002D7127"/>
    <w:rsid w:val="002F599E"/>
    <w:rsid w:val="002F7ADC"/>
    <w:rsid w:val="003008D8"/>
    <w:rsid w:val="00301D9A"/>
    <w:rsid w:val="00303959"/>
    <w:rsid w:val="00306E72"/>
    <w:rsid w:val="003125A6"/>
    <w:rsid w:val="00312AC3"/>
    <w:rsid w:val="00314430"/>
    <w:rsid w:val="003163BC"/>
    <w:rsid w:val="003212D9"/>
    <w:rsid w:val="0032351A"/>
    <w:rsid w:val="00324B33"/>
    <w:rsid w:val="00327488"/>
    <w:rsid w:val="003302FF"/>
    <w:rsid w:val="0033413A"/>
    <w:rsid w:val="00336411"/>
    <w:rsid w:val="00336FE1"/>
    <w:rsid w:val="00337BD8"/>
    <w:rsid w:val="00342D56"/>
    <w:rsid w:val="003456E7"/>
    <w:rsid w:val="00346EC2"/>
    <w:rsid w:val="003477F9"/>
    <w:rsid w:val="0035444D"/>
    <w:rsid w:val="00356D62"/>
    <w:rsid w:val="00363EE3"/>
    <w:rsid w:val="003735F3"/>
    <w:rsid w:val="00374729"/>
    <w:rsid w:val="0037664E"/>
    <w:rsid w:val="00387298"/>
    <w:rsid w:val="00387984"/>
    <w:rsid w:val="00390A1D"/>
    <w:rsid w:val="00395140"/>
    <w:rsid w:val="003A2422"/>
    <w:rsid w:val="003A552C"/>
    <w:rsid w:val="003A6871"/>
    <w:rsid w:val="003B149C"/>
    <w:rsid w:val="003B45D6"/>
    <w:rsid w:val="003C0FDB"/>
    <w:rsid w:val="003C1192"/>
    <w:rsid w:val="003C55E2"/>
    <w:rsid w:val="003C63D5"/>
    <w:rsid w:val="003C755E"/>
    <w:rsid w:val="003C7AA8"/>
    <w:rsid w:val="003D71A1"/>
    <w:rsid w:val="003E75ED"/>
    <w:rsid w:val="0041688F"/>
    <w:rsid w:val="00421571"/>
    <w:rsid w:val="0042376F"/>
    <w:rsid w:val="004246B8"/>
    <w:rsid w:val="004248F1"/>
    <w:rsid w:val="00432F98"/>
    <w:rsid w:val="00433318"/>
    <w:rsid w:val="004411D9"/>
    <w:rsid w:val="00442A56"/>
    <w:rsid w:val="004444B0"/>
    <w:rsid w:val="0045060B"/>
    <w:rsid w:val="004626FF"/>
    <w:rsid w:val="0046285C"/>
    <w:rsid w:val="00470A52"/>
    <w:rsid w:val="00471BD5"/>
    <w:rsid w:val="00477C4E"/>
    <w:rsid w:val="00477F07"/>
    <w:rsid w:val="00481503"/>
    <w:rsid w:val="00481D12"/>
    <w:rsid w:val="00482D8E"/>
    <w:rsid w:val="004854A6"/>
    <w:rsid w:val="00491A55"/>
    <w:rsid w:val="00494108"/>
    <w:rsid w:val="00494C3E"/>
    <w:rsid w:val="00497DF1"/>
    <w:rsid w:val="004A20BC"/>
    <w:rsid w:val="004A318E"/>
    <w:rsid w:val="004A45D4"/>
    <w:rsid w:val="004A57E8"/>
    <w:rsid w:val="004B0854"/>
    <w:rsid w:val="004B2938"/>
    <w:rsid w:val="004B3081"/>
    <w:rsid w:val="004B4A09"/>
    <w:rsid w:val="004B51B0"/>
    <w:rsid w:val="004B6FD1"/>
    <w:rsid w:val="004C138A"/>
    <w:rsid w:val="004C41CE"/>
    <w:rsid w:val="004C631B"/>
    <w:rsid w:val="004D0933"/>
    <w:rsid w:val="004D2F00"/>
    <w:rsid w:val="004D31D8"/>
    <w:rsid w:val="004D35D1"/>
    <w:rsid w:val="004D4AD5"/>
    <w:rsid w:val="004D5388"/>
    <w:rsid w:val="004E03D1"/>
    <w:rsid w:val="004E5E1B"/>
    <w:rsid w:val="004E7F16"/>
    <w:rsid w:val="004F18EC"/>
    <w:rsid w:val="00500D68"/>
    <w:rsid w:val="0052271B"/>
    <w:rsid w:val="00532E25"/>
    <w:rsid w:val="0053377D"/>
    <w:rsid w:val="00535DFE"/>
    <w:rsid w:val="005373B5"/>
    <w:rsid w:val="00537AB7"/>
    <w:rsid w:val="0054669B"/>
    <w:rsid w:val="00550154"/>
    <w:rsid w:val="005542BC"/>
    <w:rsid w:val="00557684"/>
    <w:rsid w:val="00560EC1"/>
    <w:rsid w:val="005610D1"/>
    <w:rsid w:val="00562F42"/>
    <w:rsid w:val="0056522D"/>
    <w:rsid w:val="00565739"/>
    <w:rsid w:val="0056766D"/>
    <w:rsid w:val="00575215"/>
    <w:rsid w:val="005775D0"/>
    <w:rsid w:val="00581138"/>
    <w:rsid w:val="00583F2C"/>
    <w:rsid w:val="0058575E"/>
    <w:rsid w:val="00586BA1"/>
    <w:rsid w:val="0058783C"/>
    <w:rsid w:val="005911AE"/>
    <w:rsid w:val="005926E2"/>
    <w:rsid w:val="0059313A"/>
    <w:rsid w:val="00593A7C"/>
    <w:rsid w:val="005A54EA"/>
    <w:rsid w:val="005B023F"/>
    <w:rsid w:val="005B02A2"/>
    <w:rsid w:val="005B1417"/>
    <w:rsid w:val="005B58F0"/>
    <w:rsid w:val="005B69CF"/>
    <w:rsid w:val="005B70C8"/>
    <w:rsid w:val="005C3F07"/>
    <w:rsid w:val="005C4B46"/>
    <w:rsid w:val="005C5DC5"/>
    <w:rsid w:val="005D0E1E"/>
    <w:rsid w:val="005D2089"/>
    <w:rsid w:val="005D4762"/>
    <w:rsid w:val="005D5491"/>
    <w:rsid w:val="005D7514"/>
    <w:rsid w:val="005E0FC6"/>
    <w:rsid w:val="005E1A7B"/>
    <w:rsid w:val="005E231F"/>
    <w:rsid w:val="005E64E8"/>
    <w:rsid w:val="005F70F2"/>
    <w:rsid w:val="0060000A"/>
    <w:rsid w:val="00602D6E"/>
    <w:rsid w:val="00605C05"/>
    <w:rsid w:val="00611351"/>
    <w:rsid w:val="0061217D"/>
    <w:rsid w:val="006129AE"/>
    <w:rsid w:val="006277A1"/>
    <w:rsid w:val="00633BD7"/>
    <w:rsid w:val="00634580"/>
    <w:rsid w:val="00634884"/>
    <w:rsid w:val="006351D9"/>
    <w:rsid w:val="00637130"/>
    <w:rsid w:val="00637F0E"/>
    <w:rsid w:val="006423F2"/>
    <w:rsid w:val="006428C5"/>
    <w:rsid w:val="00650234"/>
    <w:rsid w:val="00652835"/>
    <w:rsid w:val="0066044B"/>
    <w:rsid w:val="006630AA"/>
    <w:rsid w:val="00663544"/>
    <w:rsid w:val="006659A1"/>
    <w:rsid w:val="00666539"/>
    <w:rsid w:val="00666911"/>
    <w:rsid w:val="00675F81"/>
    <w:rsid w:val="00677A1D"/>
    <w:rsid w:val="00677B74"/>
    <w:rsid w:val="00680193"/>
    <w:rsid w:val="0068143E"/>
    <w:rsid w:val="0068507D"/>
    <w:rsid w:val="00691AF2"/>
    <w:rsid w:val="00692B80"/>
    <w:rsid w:val="00692CCD"/>
    <w:rsid w:val="00692D51"/>
    <w:rsid w:val="00694DD7"/>
    <w:rsid w:val="0069636B"/>
    <w:rsid w:val="006A1762"/>
    <w:rsid w:val="006A19CE"/>
    <w:rsid w:val="006A1F0B"/>
    <w:rsid w:val="006A277A"/>
    <w:rsid w:val="006A5973"/>
    <w:rsid w:val="006B04F3"/>
    <w:rsid w:val="006B1748"/>
    <w:rsid w:val="006B5E64"/>
    <w:rsid w:val="006B7126"/>
    <w:rsid w:val="006C6B86"/>
    <w:rsid w:val="006D4553"/>
    <w:rsid w:val="006D4A35"/>
    <w:rsid w:val="006D6B44"/>
    <w:rsid w:val="006E0F71"/>
    <w:rsid w:val="006E27FE"/>
    <w:rsid w:val="006E6059"/>
    <w:rsid w:val="006F063B"/>
    <w:rsid w:val="00701110"/>
    <w:rsid w:val="007027C4"/>
    <w:rsid w:val="00702E91"/>
    <w:rsid w:val="0070330F"/>
    <w:rsid w:val="00703624"/>
    <w:rsid w:val="007046ED"/>
    <w:rsid w:val="0070541F"/>
    <w:rsid w:val="007072A1"/>
    <w:rsid w:val="0071060C"/>
    <w:rsid w:val="00710BC5"/>
    <w:rsid w:val="007121CA"/>
    <w:rsid w:val="00717AB6"/>
    <w:rsid w:val="0072003B"/>
    <w:rsid w:val="00721059"/>
    <w:rsid w:val="007211E6"/>
    <w:rsid w:val="007220C4"/>
    <w:rsid w:val="00722E1E"/>
    <w:rsid w:val="007305ED"/>
    <w:rsid w:val="0073100B"/>
    <w:rsid w:val="007311B9"/>
    <w:rsid w:val="00732361"/>
    <w:rsid w:val="00733250"/>
    <w:rsid w:val="007357B9"/>
    <w:rsid w:val="00740AB9"/>
    <w:rsid w:val="00741AB9"/>
    <w:rsid w:val="00742D03"/>
    <w:rsid w:val="00744216"/>
    <w:rsid w:val="007452E8"/>
    <w:rsid w:val="00746990"/>
    <w:rsid w:val="00747093"/>
    <w:rsid w:val="00747BF0"/>
    <w:rsid w:val="00750D70"/>
    <w:rsid w:val="00755F65"/>
    <w:rsid w:val="007575D0"/>
    <w:rsid w:val="00764ACE"/>
    <w:rsid w:val="007662E0"/>
    <w:rsid w:val="00767884"/>
    <w:rsid w:val="00772055"/>
    <w:rsid w:val="0077576D"/>
    <w:rsid w:val="007762CD"/>
    <w:rsid w:val="00776E9C"/>
    <w:rsid w:val="007816D8"/>
    <w:rsid w:val="00784150"/>
    <w:rsid w:val="00793272"/>
    <w:rsid w:val="0079499A"/>
    <w:rsid w:val="00794B64"/>
    <w:rsid w:val="007967C3"/>
    <w:rsid w:val="007A0A33"/>
    <w:rsid w:val="007A21CF"/>
    <w:rsid w:val="007A5E1A"/>
    <w:rsid w:val="007B04DE"/>
    <w:rsid w:val="007B0AE6"/>
    <w:rsid w:val="007C0F0B"/>
    <w:rsid w:val="007C57BC"/>
    <w:rsid w:val="007D04CA"/>
    <w:rsid w:val="007D0A2B"/>
    <w:rsid w:val="007D12A1"/>
    <w:rsid w:val="007D40E5"/>
    <w:rsid w:val="007D4138"/>
    <w:rsid w:val="007E4178"/>
    <w:rsid w:val="007E4FF8"/>
    <w:rsid w:val="007E6443"/>
    <w:rsid w:val="007F0A77"/>
    <w:rsid w:val="007F1E37"/>
    <w:rsid w:val="007F50D3"/>
    <w:rsid w:val="007F6B1F"/>
    <w:rsid w:val="008013F0"/>
    <w:rsid w:val="00802F91"/>
    <w:rsid w:val="00803926"/>
    <w:rsid w:val="00804897"/>
    <w:rsid w:val="00816EB2"/>
    <w:rsid w:val="00821D2F"/>
    <w:rsid w:val="008329DB"/>
    <w:rsid w:val="00834F89"/>
    <w:rsid w:val="008361C5"/>
    <w:rsid w:val="0083628F"/>
    <w:rsid w:val="00837AB9"/>
    <w:rsid w:val="00837C51"/>
    <w:rsid w:val="00850637"/>
    <w:rsid w:val="0085130E"/>
    <w:rsid w:val="0085431B"/>
    <w:rsid w:val="00854D98"/>
    <w:rsid w:val="0085751E"/>
    <w:rsid w:val="00860B29"/>
    <w:rsid w:val="008622E8"/>
    <w:rsid w:val="008645EE"/>
    <w:rsid w:val="008667B7"/>
    <w:rsid w:val="00866DFA"/>
    <w:rsid w:val="00870144"/>
    <w:rsid w:val="0087072C"/>
    <w:rsid w:val="00871312"/>
    <w:rsid w:val="00873D7A"/>
    <w:rsid w:val="00874A46"/>
    <w:rsid w:val="00877CB3"/>
    <w:rsid w:val="008804CF"/>
    <w:rsid w:val="00882D58"/>
    <w:rsid w:val="00882F19"/>
    <w:rsid w:val="00883D35"/>
    <w:rsid w:val="00884569"/>
    <w:rsid w:val="00887A51"/>
    <w:rsid w:val="0089038A"/>
    <w:rsid w:val="00890D9B"/>
    <w:rsid w:val="00891C6C"/>
    <w:rsid w:val="00893CCD"/>
    <w:rsid w:val="008955DA"/>
    <w:rsid w:val="008964B3"/>
    <w:rsid w:val="008B1CB5"/>
    <w:rsid w:val="008B4302"/>
    <w:rsid w:val="008C2D69"/>
    <w:rsid w:val="008C341F"/>
    <w:rsid w:val="008C4579"/>
    <w:rsid w:val="008C49C6"/>
    <w:rsid w:val="008C754C"/>
    <w:rsid w:val="008D0CAC"/>
    <w:rsid w:val="008D56C9"/>
    <w:rsid w:val="008D56CA"/>
    <w:rsid w:val="008D6A54"/>
    <w:rsid w:val="008E2585"/>
    <w:rsid w:val="008E2D7A"/>
    <w:rsid w:val="008F3215"/>
    <w:rsid w:val="008F4A62"/>
    <w:rsid w:val="008F7256"/>
    <w:rsid w:val="008F7F10"/>
    <w:rsid w:val="0090424C"/>
    <w:rsid w:val="0090605E"/>
    <w:rsid w:val="00906C74"/>
    <w:rsid w:val="009108CE"/>
    <w:rsid w:val="0091222D"/>
    <w:rsid w:val="009149EF"/>
    <w:rsid w:val="00915A9F"/>
    <w:rsid w:val="00920364"/>
    <w:rsid w:val="009249E6"/>
    <w:rsid w:val="00930D58"/>
    <w:rsid w:val="00935AAA"/>
    <w:rsid w:val="00944FF6"/>
    <w:rsid w:val="0095031E"/>
    <w:rsid w:val="00954297"/>
    <w:rsid w:val="00960A56"/>
    <w:rsid w:val="00966EF1"/>
    <w:rsid w:val="00967223"/>
    <w:rsid w:val="009751F7"/>
    <w:rsid w:val="0098168B"/>
    <w:rsid w:val="0098350E"/>
    <w:rsid w:val="0098666B"/>
    <w:rsid w:val="00990C12"/>
    <w:rsid w:val="0099404F"/>
    <w:rsid w:val="00996FA5"/>
    <w:rsid w:val="009B5662"/>
    <w:rsid w:val="009B6EAF"/>
    <w:rsid w:val="009C2211"/>
    <w:rsid w:val="009C2E90"/>
    <w:rsid w:val="009C40E8"/>
    <w:rsid w:val="009C45C5"/>
    <w:rsid w:val="009E45D7"/>
    <w:rsid w:val="009E6858"/>
    <w:rsid w:val="009E6F8C"/>
    <w:rsid w:val="009F405F"/>
    <w:rsid w:val="009F5787"/>
    <w:rsid w:val="00A01C56"/>
    <w:rsid w:val="00A122DB"/>
    <w:rsid w:val="00A23492"/>
    <w:rsid w:val="00A32C50"/>
    <w:rsid w:val="00A358E7"/>
    <w:rsid w:val="00A42632"/>
    <w:rsid w:val="00A4380B"/>
    <w:rsid w:val="00A45365"/>
    <w:rsid w:val="00A51A2D"/>
    <w:rsid w:val="00A5596B"/>
    <w:rsid w:val="00A63C07"/>
    <w:rsid w:val="00A63D9B"/>
    <w:rsid w:val="00A704DC"/>
    <w:rsid w:val="00A87172"/>
    <w:rsid w:val="00A93DC6"/>
    <w:rsid w:val="00A9411A"/>
    <w:rsid w:val="00A96520"/>
    <w:rsid w:val="00AA4A4B"/>
    <w:rsid w:val="00AA6682"/>
    <w:rsid w:val="00AA763D"/>
    <w:rsid w:val="00AB0408"/>
    <w:rsid w:val="00AB0613"/>
    <w:rsid w:val="00AB3F3C"/>
    <w:rsid w:val="00AB7C5C"/>
    <w:rsid w:val="00AB7CBF"/>
    <w:rsid w:val="00AC6B45"/>
    <w:rsid w:val="00AC757F"/>
    <w:rsid w:val="00AD0111"/>
    <w:rsid w:val="00AD089E"/>
    <w:rsid w:val="00AD0B68"/>
    <w:rsid w:val="00AD1177"/>
    <w:rsid w:val="00AD40C3"/>
    <w:rsid w:val="00AD4C72"/>
    <w:rsid w:val="00AD5451"/>
    <w:rsid w:val="00AE1947"/>
    <w:rsid w:val="00AE2997"/>
    <w:rsid w:val="00AF090B"/>
    <w:rsid w:val="00AF1C8B"/>
    <w:rsid w:val="00AF299B"/>
    <w:rsid w:val="00AF4872"/>
    <w:rsid w:val="00AF69CC"/>
    <w:rsid w:val="00AF7E43"/>
    <w:rsid w:val="00B004D6"/>
    <w:rsid w:val="00B02AE0"/>
    <w:rsid w:val="00B03F25"/>
    <w:rsid w:val="00B05326"/>
    <w:rsid w:val="00B14545"/>
    <w:rsid w:val="00B14E60"/>
    <w:rsid w:val="00B17BA2"/>
    <w:rsid w:val="00B26DC3"/>
    <w:rsid w:val="00B30B9D"/>
    <w:rsid w:val="00B3132C"/>
    <w:rsid w:val="00B33AE4"/>
    <w:rsid w:val="00B450BF"/>
    <w:rsid w:val="00B4574D"/>
    <w:rsid w:val="00B468E1"/>
    <w:rsid w:val="00B46BC0"/>
    <w:rsid w:val="00B46DFB"/>
    <w:rsid w:val="00B5141B"/>
    <w:rsid w:val="00B54BA4"/>
    <w:rsid w:val="00B55681"/>
    <w:rsid w:val="00B57AAD"/>
    <w:rsid w:val="00B6374E"/>
    <w:rsid w:val="00B65218"/>
    <w:rsid w:val="00B72B16"/>
    <w:rsid w:val="00B74A3E"/>
    <w:rsid w:val="00B7537D"/>
    <w:rsid w:val="00B76CD5"/>
    <w:rsid w:val="00B80408"/>
    <w:rsid w:val="00B81397"/>
    <w:rsid w:val="00B925DB"/>
    <w:rsid w:val="00B967FF"/>
    <w:rsid w:val="00B96C49"/>
    <w:rsid w:val="00B974B9"/>
    <w:rsid w:val="00BA2091"/>
    <w:rsid w:val="00BA3F6D"/>
    <w:rsid w:val="00BA4BE6"/>
    <w:rsid w:val="00BA4FC0"/>
    <w:rsid w:val="00BA61E0"/>
    <w:rsid w:val="00BA657C"/>
    <w:rsid w:val="00BA7F7D"/>
    <w:rsid w:val="00BB1C14"/>
    <w:rsid w:val="00BB37C8"/>
    <w:rsid w:val="00BB6847"/>
    <w:rsid w:val="00BB7F8F"/>
    <w:rsid w:val="00BC46B5"/>
    <w:rsid w:val="00BC716A"/>
    <w:rsid w:val="00BD07DF"/>
    <w:rsid w:val="00BD15C7"/>
    <w:rsid w:val="00BD26F4"/>
    <w:rsid w:val="00BD4A9B"/>
    <w:rsid w:val="00BD5DBD"/>
    <w:rsid w:val="00BD5DF6"/>
    <w:rsid w:val="00BE0041"/>
    <w:rsid w:val="00BE640F"/>
    <w:rsid w:val="00BE6D2A"/>
    <w:rsid w:val="00BF4638"/>
    <w:rsid w:val="00BF502D"/>
    <w:rsid w:val="00BF5130"/>
    <w:rsid w:val="00C00844"/>
    <w:rsid w:val="00C059D0"/>
    <w:rsid w:val="00C07551"/>
    <w:rsid w:val="00C1109F"/>
    <w:rsid w:val="00C12D65"/>
    <w:rsid w:val="00C133AB"/>
    <w:rsid w:val="00C20B56"/>
    <w:rsid w:val="00C22214"/>
    <w:rsid w:val="00C246CD"/>
    <w:rsid w:val="00C26F72"/>
    <w:rsid w:val="00C309A7"/>
    <w:rsid w:val="00C334E4"/>
    <w:rsid w:val="00C335AB"/>
    <w:rsid w:val="00C407AB"/>
    <w:rsid w:val="00C52B7B"/>
    <w:rsid w:val="00C547CD"/>
    <w:rsid w:val="00C570FF"/>
    <w:rsid w:val="00C57CEA"/>
    <w:rsid w:val="00C60FEC"/>
    <w:rsid w:val="00C62B1C"/>
    <w:rsid w:val="00C6574E"/>
    <w:rsid w:val="00C663D1"/>
    <w:rsid w:val="00C707FD"/>
    <w:rsid w:val="00C734CB"/>
    <w:rsid w:val="00C76DEB"/>
    <w:rsid w:val="00C76EFE"/>
    <w:rsid w:val="00C80E54"/>
    <w:rsid w:val="00C811D8"/>
    <w:rsid w:val="00C816C6"/>
    <w:rsid w:val="00C863A7"/>
    <w:rsid w:val="00C912F4"/>
    <w:rsid w:val="00C9156F"/>
    <w:rsid w:val="00C9581A"/>
    <w:rsid w:val="00C96D3F"/>
    <w:rsid w:val="00C97D29"/>
    <w:rsid w:val="00CB0550"/>
    <w:rsid w:val="00CB5877"/>
    <w:rsid w:val="00CB6813"/>
    <w:rsid w:val="00CC1AAF"/>
    <w:rsid w:val="00CC205B"/>
    <w:rsid w:val="00CD75B8"/>
    <w:rsid w:val="00CF5243"/>
    <w:rsid w:val="00CF6A55"/>
    <w:rsid w:val="00CF6DC6"/>
    <w:rsid w:val="00CF6DCF"/>
    <w:rsid w:val="00D01DDB"/>
    <w:rsid w:val="00D078BE"/>
    <w:rsid w:val="00D13F8A"/>
    <w:rsid w:val="00D16F60"/>
    <w:rsid w:val="00D22981"/>
    <w:rsid w:val="00D268C3"/>
    <w:rsid w:val="00D3349B"/>
    <w:rsid w:val="00D369BE"/>
    <w:rsid w:val="00D424A8"/>
    <w:rsid w:val="00D53496"/>
    <w:rsid w:val="00D53978"/>
    <w:rsid w:val="00D6036F"/>
    <w:rsid w:val="00D62844"/>
    <w:rsid w:val="00D62877"/>
    <w:rsid w:val="00D63760"/>
    <w:rsid w:val="00D6703F"/>
    <w:rsid w:val="00D734EB"/>
    <w:rsid w:val="00D82713"/>
    <w:rsid w:val="00D86F00"/>
    <w:rsid w:val="00D918D5"/>
    <w:rsid w:val="00D94C8E"/>
    <w:rsid w:val="00DA4C19"/>
    <w:rsid w:val="00DB1372"/>
    <w:rsid w:val="00DB192C"/>
    <w:rsid w:val="00DB1CF3"/>
    <w:rsid w:val="00DB5425"/>
    <w:rsid w:val="00DB72A6"/>
    <w:rsid w:val="00DC1F14"/>
    <w:rsid w:val="00DC33AF"/>
    <w:rsid w:val="00DC6611"/>
    <w:rsid w:val="00DD5AFB"/>
    <w:rsid w:val="00DE1344"/>
    <w:rsid w:val="00DE4BBF"/>
    <w:rsid w:val="00DF1CFD"/>
    <w:rsid w:val="00DF5BFE"/>
    <w:rsid w:val="00E0523F"/>
    <w:rsid w:val="00E13FE2"/>
    <w:rsid w:val="00E23E50"/>
    <w:rsid w:val="00E26213"/>
    <w:rsid w:val="00E274DF"/>
    <w:rsid w:val="00E3319D"/>
    <w:rsid w:val="00E34D66"/>
    <w:rsid w:val="00E362C4"/>
    <w:rsid w:val="00E402B9"/>
    <w:rsid w:val="00E46CC2"/>
    <w:rsid w:val="00E47E0C"/>
    <w:rsid w:val="00E47ED2"/>
    <w:rsid w:val="00E51813"/>
    <w:rsid w:val="00E52C0B"/>
    <w:rsid w:val="00E53D3F"/>
    <w:rsid w:val="00E5579B"/>
    <w:rsid w:val="00E57FF4"/>
    <w:rsid w:val="00E61FF4"/>
    <w:rsid w:val="00E62208"/>
    <w:rsid w:val="00E679D1"/>
    <w:rsid w:val="00E67C1C"/>
    <w:rsid w:val="00E779AB"/>
    <w:rsid w:val="00E833AA"/>
    <w:rsid w:val="00E85209"/>
    <w:rsid w:val="00E91F11"/>
    <w:rsid w:val="00E9706D"/>
    <w:rsid w:val="00EA3AF4"/>
    <w:rsid w:val="00EA3C8D"/>
    <w:rsid w:val="00EA72A7"/>
    <w:rsid w:val="00EC6916"/>
    <w:rsid w:val="00ED007F"/>
    <w:rsid w:val="00ED1726"/>
    <w:rsid w:val="00EE4B01"/>
    <w:rsid w:val="00EF3F0B"/>
    <w:rsid w:val="00EF5583"/>
    <w:rsid w:val="00F0289D"/>
    <w:rsid w:val="00F02AEC"/>
    <w:rsid w:val="00F07572"/>
    <w:rsid w:val="00F157FC"/>
    <w:rsid w:val="00F30AF3"/>
    <w:rsid w:val="00F37EA9"/>
    <w:rsid w:val="00F429D9"/>
    <w:rsid w:val="00F43CD1"/>
    <w:rsid w:val="00F45AE0"/>
    <w:rsid w:val="00F57421"/>
    <w:rsid w:val="00F60CF2"/>
    <w:rsid w:val="00F657B4"/>
    <w:rsid w:val="00F71F24"/>
    <w:rsid w:val="00F72725"/>
    <w:rsid w:val="00F7649F"/>
    <w:rsid w:val="00F8083B"/>
    <w:rsid w:val="00F82D1B"/>
    <w:rsid w:val="00F83E9B"/>
    <w:rsid w:val="00F8448B"/>
    <w:rsid w:val="00F8568E"/>
    <w:rsid w:val="00F865A7"/>
    <w:rsid w:val="00F94D3F"/>
    <w:rsid w:val="00FA0754"/>
    <w:rsid w:val="00FA1BC9"/>
    <w:rsid w:val="00FA49C3"/>
    <w:rsid w:val="00FB236E"/>
    <w:rsid w:val="00FB3F7B"/>
    <w:rsid w:val="00FB4C2A"/>
    <w:rsid w:val="00FC2107"/>
    <w:rsid w:val="00FC48FE"/>
    <w:rsid w:val="00FC6F56"/>
    <w:rsid w:val="00FD0E10"/>
    <w:rsid w:val="00FD5923"/>
    <w:rsid w:val="00FE087C"/>
    <w:rsid w:val="00FE79A0"/>
    <w:rsid w:val="00FF0939"/>
    <w:rsid w:val="00FF11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4C024"/>
  <w15:chartTrackingRefBased/>
  <w15:docId w15:val="{3B7A0CE6-F5BB-4D40-8ED5-1531A62F0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632"/>
    <w:rPr>
      <w:rFonts w:ascii="Cambria" w:hAnsi="Cambria"/>
      <w:sz w:val="22"/>
    </w:rPr>
  </w:style>
  <w:style w:type="paragraph" w:styleId="Heading1">
    <w:name w:val="heading 1"/>
    <w:basedOn w:val="Normal"/>
    <w:next w:val="Normal"/>
    <w:link w:val="Heading1Char"/>
    <w:uiPriority w:val="9"/>
    <w:qFormat/>
    <w:rsid w:val="00A234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F02AEC"/>
    <w:pPr>
      <w:keepNext/>
      <w:keepLines/>
      <w:spacing w:before="480" w:line="240" w:lineRule="atLeast"/>
      <w:outlineLvl w:val="1"/>
    </w:pPr>
    <w:rPr>
      <w:rFonts w:ascii="Arial" w:eastAsia="Times New Roman" w:hAnsi="Arial" w:cs="Times New Roman"/>
      <w:b/>
      <w:bCs/>
      <w:color w:val="001871"/>
      <w:sz w:val="38"/>
      <w:szCs w:val="38"/>
    </w:rPr>
  </w:style>
  <w:style w:type="paragraph" w:styleId="Heading3">
    <w:name w:val="heading 3"/>
    <w:basedOn w:val="Normal"/>
    <w:next w:val="Normal"/>
    <w:link w:val="Heading3Char"/>
    <w:qFormat/>
    <w:rsid w:val="00F02AEC"/>
    <w:pPr>
      <w:keepNext/>
      <w:keepLines/>
      <w:spacing w:before="480" w:line="240" w:lineRule="atLeast"/>
      <w:outlineLvl w:val="2"/>
    </w:pPr>
    <w:rPr>
      <w:rFonts w:ascii="Arial" w:eastAsia="Times New Roman" w:hAnsi="Arial" w:cs="Times New Roman"/>
      <w:b/>
      <w:bCs/>
      <w:color w:val="001871"/>
      <w:sz w:val="32"/>
      <w:szCs w:val="32"/>
    </w:rPr>
  </w:style>
  <w:style w:type="paragraph" w:styleId="Heading4">
    <w:name w:val="heading 4"/>
    <w:basedOn w:val="Normal"/>
    <w:next w:val="Normal"/>
    <w:link w:val="Heading4Char"/>
    <w:qFormat/>
    <w:rsid w:val="00F02AEC"/>
    <w:pPr>
      <w:keepNext/>
      <w:keepLines/>
      <w:spacing w:before="360" w:line="240" w:lineRule="atLeast"/>
      <w:outlineLvl w:val="3"/>
    </w:pPr>
    <w:rPr>
      <w:rFonts w:ascii="Arial" w:eastAsia="Cambria" w:hAnsi="Arial" w:cs="Times New Roman"/>
      <w:b/>
      <w:bCs/>
      <w:color w:val="001871"/>
      <w:sz w:val="28"/>
      <w:szCs w:val="26"/>
    </w:rPr>
  </w:style>
  <w:style w:type="paragraph" w:styleId="Heading5">
    <w:name w:val="heading 5"/>
    <w:basedOn w:val="Normal"/>
    <w:next w:val="Normal"/>
    <w:link w:val="Heading5Char"/>
    <w:uiPriority w:val="9"/>
    <w:rsid w:val="00F02AEC"/>
    <w:pPr>
      <w:keepNext/>
      <w:keepLines/>
      <w:spacing w:before="240" w:line="240" w:lineRule="atLeast"/>
      <w:outlineLvl w:val="4"/>
    </w:pPr>
    <w:rPr>
      <w:rFonts w:ascii="Arial" w:eastAsia="Times New Roman" w:hAnsi="Arial" w:cs="Times New Roman"/>
      <w:b/>
      <w:bCs/>
      <w:i/>
      <w:color w:val="001871"/>
      <w:sz w:val="26"/>
      <w:szCs w:val="26"/>
    </w:rPr>
  </w:style>
  <w:style w:type="paragraph" w:styleId="Heading6">
    <w:name w:val="heading 6"/>
    <w:basedOn w:val="Normal"/>
    <w:next w:val="Normal"/>
    <w:link w:val="Heading6Char"/>
    <w:uiPriority w:val="9"/>
    <w:rsid w:val="00F02AEC"/>
    <w:pPr>
      <w:keepNext/>
      <w:keepLines/>
      <w:spacing w:before="240" w:line="240" w:lineRule="atLeast"/>
      <w:outlineLvl w:val="5"/>
    </w:pPr>
    <w:rPr>
      <w:rFonts w:ascii="Arial" w:eastAsia="Times New Roman" w:hAnsi="Arial" w:cs="Times New Roman"/>
      <w:b/>
      <w:bCs/>
      <w:i/>
      <w:color w:val="001871"/>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TGAblue2023">
    <w:name w:val="Table TGA blue 2023"/>
    <w:basedOn w:val="TableNormal"/>
    <w:uiPriority w:val="99"/>
    <w:qFormat/>
    <w:rsid w:val="008329DB"/>
    <w:pPr>
      <w:spacing w:before="80" w:after="40" w:line="264" w:lineRule="auto"/>
      <w:ind w:left="113"/>
    </w:pPr>
    <w:rPr>
      <w:rFonts w:ascii="Arial" w:eastAsia="Cambria" w:hAnsi="Arial" w:cs="Times New Roman"/>
      <w:color w:val="000000"/>
      <w:sz w:val="18"/>
      <w:szCs w:val="21"/>
      <w:lang w:eastAsia="en-AU"/>
    </w:rPr>
    <w:tblPr>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Pr>
    <w:trPr>
      <w:cantSplit/>
    </w:trPr>
    <w:tcPr>
      <w:shd w:val="clear" w:color="auto" w:fill="FFFFFF" w:themeFill="background1"/>
    </w:tcPr>
    <w:tblStylePr w:type="firstRow">
      <w:pPr>
        <w:keepNext/>
        <w:wordWrap/>
      </w:pPr>
      <w:rPr>
        <w:rFonts w:ascii="Arial" w:hAnsi="Arial"/>
        <w:b/>
        <w:color w:val="263287"/>
        <w:sz w:val="22"/>
      </w:rPr>
      <w:tblPr/>
      <w:trPr>
        <w:tblHeader/>
      </w:trPr>
      <w:tcPr>
        <w:shd w:val="clear" w:color="auto" w:fill="DEEAF6" w:themeFill="accent5" w:themeFillTint="33"/>
      </w:tcPr>
    </w:tblStylePr>
    <w:tblStylePr w:type="firstCol">
      <w:pPr>
        <w:keepNext w:val="0"/>
        <w:wordWrap/>
      </w:pPr>
    </w:tblStylePr>
  </w:style>
  <w:style w:type="character" w:customStyle="1" w:styleId="Heading2Char">
    <w:name w:val="Heading 2 Char"/>
    <w:basedOn w:val="DefaultParagraphFont"/>
    <w:link w:val="Heading2"/>
    <w:rsid w:val="00F02AEC"/>
    <w:rPr>
      <w:rFonts w:ascii="Arial" w:eastAsia="Times New Roman" w:hAnsi="Arial" w:cs="Times New Roman"/>
      <w:b/>
      <w:bCs/>
      <w:color w:val="001871"/>
      <w:sz w:val="38"/>
      <w:szCs w:val="38"/>
    </w:rPr>
  </w:style>
  <w:style w:type="character" w:customStyle="1" w:styleId="Heading3Char">
    <w:name w:val="Heading 3 Char"/>
    <w:basedOn w:val="DefaultParagraphFont"/>
    <w:link w:val="Heading3"/>
    <w:rsid w:val="00F02AEC"/>
    <w:rPr>
      <w:rFonts w:ascii="Arial" w:eastAsia="Times New Roman" w:hAnsi="Arial" w:cs="Times New Roman"/>
      <w:b/>
      <w:bCs/>
      <w:color w:val="001871"/>
      <w:sz w:val="32"/>
      <w:szCs w:val="32"/>
    </w:rPr>
  </w:style>
  <w:style w:type="character" w:customStyle="1" w:styleId="Heading4Char">
    <w:name w:val="Heading 4 Char"/>
    <w:basedOn w:val="DefaultParagraphFont"/>
    <w:link w:val="Heading4"/>
    <w:rsid w:val="00F02AEC"/>
    <w:rPr>
      <w:rFonts w:ascii="Arial" w:eastAsia="Cambria" w:hAnsi="Arial" w:cs="Times New Roman"/>
      <w:b/>
      <w:bCs/>
      <w:color w:val="001871"/>
      <w:sz w:val="28"/>
      <w:szCs w:val="26"/>
    </w:rPr>
  </w:style>
  <w:style w:type="character" w:customStyle="1" w:styleId="Heading5Char">
    <w:name w:val="Heading 5 Char"/>
    <w:basedOn w:val="DefaultParagraphFont"/>
    <w:link w:val="Heading5"/>
    <w:uiPriority w:val="9"/>
    <w:rsid w:val="00F02AEC"/>
    <w:rPr>
      <w:rFonts w:ascii="Arial" w:eastAsia="Times New Roman" w:hAnsi="Arial" w:cs="Times New Roman"/>
      <w:b/>
      <w:bCs/>
      <w:i/>
      <w:color w:val="001871"/>
      <w:sz w:val="26"/>
      <w:szCs w:val="26"/>
    </w:rPr>
  </w:style>
  <w:style w:type="character" w:customStyle="1" w:styleId="Heading6Char">
    <w:name w:val="Heading 6 Char"/>
    <w:basedOn w:val="DefaultParagraphFont"/>
    <w:link w:val="Heading6"/>
    <w:uiPriority w:val="9"/>
    <w:rsid w:val="00F02AEC"/>
    <w:rPr>
      <w:rFonts w:ascii="Arial" w:eastAsia="Times New Roman" w:hAnsi="Arial" w:cs="Times New Roman"/>
      <w:b/>
      <w:bCs/>
      <w:i/>
      <w:color w:val="001871"/>
      <w:sz w:val="24"/>
      <w:szCs w:val="21"/>
    </w:rPr>
  </w:style>
  <w:style w:type="paragraph" w:styleId="Date">
    <w:name w:val="Date"/>
    <w:basedOn w:val="Normal"/>
    <w:next w:val="Normal"/>
    <w:link w:val="DateChar"/>
    <w:uiPriority w:val="99"/>
    <w:rsid w:val="00F02AEC"/>
    <w:pPr>
      <w:spacing w:before="120" w:after="0" w:line="240" w:lineRule="atLeast"/>
    </w:pPr>
    <w:rPr>
      <w:rFonts w:ascii="Arial" w:eastAsia="Cambria" w:hAnsi="Arial" w:cs="Times New Roman"/>
      <w:color w:val="333F4A"/>
      <w:sz w:val="28"/>
    </w:rPr>
  </w:style>
  <w:style w:type="character" w:customStyle="1" w:styleId="DateChar">
    <w:name w:val="Date Char"/>
    <w:basedOn w:val="DefaultParagraphFont"/>
    <w:link w:val="Date"/>
    <w:uiPriority w:val="99"/>
    <w:rsid w:val="00F02AEC"/>
    <w:rPr>
      <w:rFonts w:ascii="Arial" w:eastAsia="Cambria" w:hAnsi="Arial" w:cs="Times New Roman"/>
      <w:color w:val="333F4A"/>
      <w:sz w:val="28"/>
      <w:szCs w:val="20"/>
    </w:rPr>
  </w:style>
  <w:style w:type="paragraph" w:styleId="Footer">
    <w:name w:val="footer"/>
    <w:basedOn w:val="Normal"/>
    <w:link w:val="FooterChar"/>
    <w:uiPriority w:val="99"/>
    <w:rsid w:val="0056766D"/>
    <w:pPr>
      <w:tabs>
        <w:tab w:val="center" w:pos="4513"/>
        <w:tab w:val="right" w:pos="9026"/>
      </w:tabs>
      <w:spacing w:after="0" w:line="240" w:lineRule="auto"/>
    </w:pPr>
    <w:rPr>
      <w:rFonts w:eastAsia="Cambria" w:cs="Times New Roman"/>
      <w:color w:val="333F4A"/>
      <w:sz w:val="17"/>
    </w:rPr>
  </w:style>
  <w:style w:type="character" w:customStyle="1" w:styleId="FooterChar">
    <w:name w:val="Footer Char"/>
    <w:basedOn w:val="DefaultParagraphFont"/>
    <w:link w:val="Footer"/>
    <w:uiPriority w:val="99"/>
    <w:rsid w:val="0056766D"/>
    <w:rPr>
      <w:rFonts w:ascii="Cambria" w:eastAsia="Cambria" w:hAnsi="Cambria" w:cs="Times New Roman"/>
      <w:color w:val="333F4A"/>
      <w:sz w:val="17"/>
    </w:rPr>
  </w:style>
  <w:style w:type="paragraph" w:styleId="Header">
    <w:name w:val="header"/>
    <w:basedOn w:val="Normal"/>
    <w:link w:val="HeaderChar"/>
    <w:uiPriority w:val="99"/>
    <w:rsid w:val="00F02AEC"/>
    <w:pPr>
      <w:pBdr>
        <w:bottom w:val="single" w:sz="4" w:space="3" w:color="auto"/>
      </w:pBdr>
      <w:tabs>
        <w:tab w:val="center" w:pos="4513"/>
        <w:tab w:val="right" w:pos="9026"/>
      </w:tabs>
      <w:spacing w:after="0" w:line="240" w:lineRule="auto"/>
      <w:jc w:val="right"/>
    </w:pPr>
    <w:rPr>
      <w:rFonts w:ascii="Arial" w:eastAsia="Cambria" w:hAnsi="Arial" w:cs="Times New Roman"/>
      <w:color w:val="333F4A"/>
      <w:sz w:val="17"/>
    </w:rPr>
  </w:style>
  <w:style w:type="character" w:customStyle="1" w:styleId="HeaderChar">
    <w:name w:val="Header Char"/>
    <w:basedOn w:val="DefaultParagraphFont"/>
    <w:link w:val="Header"/>
    <w:uiPriority w:val="99"/>
    <w:rsid w:val="00F02AEC"/>
    <w:rPr>
      <w:rFonts w:ascii="Arial" w:eastAsia="Cambria" w:hAnsi="Arial" w:cs="Times New Roman"/>
      <w:color w:val="333F4A"/>
      <w:sz w:val="17"/>
      <w:szCs w:val="20"/>
    </w:rPr>
  </w:style>
  <w:style w:type="character" w:styleId="Hyperlink">
    <w:name w:val="Hyperlink"/>
    <w:basedOn w:val="DefaultParagraphFont"/>
    <w:uiPriority w:val="99"/>
    <w:unhideWhenUsed/>
    <w:rsid w:val="0056766D"/>
    <w:rPr>
      <w:rFonts w:ascii="Cambria" w:hAnsi="Cambria"/>
      <w:color w:val="0000FF"/>
      <w:u w:val="single"/>
    </w:rPr>
  </w:style>
  <w:style w:type="paragraph" w:customStyle="1" w:styleId="LegalCopy">
    <w:name w:val="Legal Copy"/>
    <w:basedOn w:val="Footer"/>
    <w:rsid w:val="0056766D"/>
  </w:style>
  <w:style w:type="paragraph" w:customStyle="1" w:styleId="LegalSubheading">
    <w:name w:val="Legal Subheading"/>
    <w:basedOn w:val="Footer"/>
    <w:rsid w:val="0056766D"/>
    <w:pPr>
      <w:outlineLvl w:val="1"/>
    </w:pPr>
    <w:rPr>
      <w:b/>
    </w:rPr>
  </w:style>
  <w:style w:type="paragraph" w:styleId="ListBullet">
    <w:name w:val="List Bullet"/>
    <w:basedOn w:val="Normal"/>
    <w:uiPriority w:val="2"/>
    <w:qFormat/>
    <w:rsid w:val="00FC6F56"/>
    <w:pPr>
      <w:numPr>
        <w:numId w:val="1"/>
      </w:numPr>
      <w:spacing w:before="120" w:after="180" w:line="240" w:lineRule="atLeast"/>
    </w:pPr>
    <w:rPr>
      <w:rFonts w:eastAsia="Cambria" w:cs="Times New Roman"/>
      <w:color w:val="000000" w:themeColor="text1"/>
    </w:rPr>
  </w:style>
  <w:style w:type="paragraph" w:styleId="ListBullet2">
    <w:name w:val="List Bullet 2"/>
    <w:basedOn w:val="Normal"/>
    <w:uiPriority w:val="2"/>
    <w:qFormat/>
    <w:rsid w:val="00FC6F56"/>
    <w:pPr>
      <w:numPr>
        <w:ilvl w:val="1"/>
        <w:numId w:val="1"/>
      </w:numPr>
      <w:spacing w:before="120" w:after="180" w:line="240" w:lineRule="atLeast"/>
      <w:ind w:left="850" w:hanging="425"/>
    </w:pPr>
    <w:rPr>
      <w:rFonts w:eastAsia="Cambria" w:cs="Times New Roman"/>
      <w:color w:val="000000" w:themeColor="text1"/>
    </w:rPr>
  </w:style>
  <w:style w:type="paragraph" w:styleId="ListBullet3">
    <w:name w:val="List Bullet 3"/>
    <w:basedOn w:val="Normal"/>
    <w:uiPriority w:val="2"/>
    <w:qFormat/>
    <w:rsid w:val="00FC6F56"/>
    <w:pPr>
      <w:numPr>
        <w:numId w:val="3"/>
      </w:numPr>
      <w:spacing w:before="120" w:after="180" w:line="240" w:lineRule="atLeast"/>
      <w:ind w:left="1276" w:hanging="425"/>
    </w:pPr>
    <w:rPr>
      <w:rFonts w:eastAsia="Cambria" w:cs="Times New Roman"/>
    </w:rPr>
  </w:style>
  <w:style w:type="numbering" w:customStyle="1" w:styleId="ListBullets">
    <w:name w:val="ListBullets"/>
    <w:uiPriority w:val="99"/>
    <w:locked/>
    <w:rsid w:val="00F02AEC"/>
    <w:pPr>
      <w:numPr>
        <w:numId w:val="1"/>
      </w:numPr>
    </w:pPr>
  </w:style>
  <w:style w:type="paragraph" w:customStyle="1" w:styleId="Numberbullet0">
    <w:name w:val="Number bullet"/>
    <w:basedOn w:val="ListBullet"/>
    <w:uiPriority w:val="2"/>
    <w:qFormat/>
    <w:rsid w:val="00FC6F56"/>
    <w:pPr>
      <w:numPr>
        <w:numId w:val="2"/>
      </w:numPr>
    </w:pPr>
  </w:style>
  <w:style w:type="paragraph" w:customStyle="1" w:styleId="Numberbullet2">
    <w:name w:val="Number bullet 2"/>
    <w:basedOn w:val="ListBullet2"/>
    <w:uiPriority w:val="2"/>
    <w:qFormat/>
    <w:rsid w:val="00F02AEC"/>
    <w:pPr>
      <w:numPr>
        <w:numId w:val="2"/>
      </w:numPr>
      <w:ind w:left="850" w:hanging="425"/>
    </w:pPr>
  </w:style>
  <w:style w:type="paragraph" w:customStyle="1" w:styleId="Numberbullet3">
    <w:name w:val="Number bullet 3"/>
    <w:basedOn w:val="Normal"/>
    <w:uiPriority w:val="2"/>
    <w:qFormat/>
    <w:rsid w:val="00F02AEC"/>
    <w:pPr>
      <w:numPr>
        <w:numId w:val="4"/>
      </w:numPr>
      <w:spacing w:before="120" w:after="180" w:line="240" w:lineRule="atLeast"/>
      <w:ind w:left="1361" w:hanging="397"/>
    </w:pPr>
    <w:rPr>
      <w:rFonts w:ascii="Arial" w:eastAsia="Cambria" w:hAnsi="Arial" w:cs="Times New Roman"/>
      <w:color w:val="333F48"/>
    </w:rPr>
  </w:style>
  <w:style w:type="numbering" w:customStyle="1" w:styleId="NumberBullet">
    <w:name w:val="NumberBullet"/>
    <w:uiPriority w:val="99"/>
    <w:locked/>
    <w:rsid w:val="00F02AEC"/>
    <w:pPr>
      <w:numPr>
        <w:numId w:val="2"/>
      </w:numPr>
    </w:pPr>
  </w:style>
  <w:style w:type="paragraph" w:styleId="Subtitle">
    <w:name w:val="Subtitle"/>
    <w:basedOn w:val="Normal"/>
    <w:link w:val="SubtitleChar"/>
    <w:uiPriority w:val="11"/>
    <w:rsid w:val="00F02AEC"/>
    <w:pPr>
      <w:numPr>
        <w:ilvl w:val="1"/>
      </w:numPr>
      <w:spacing w:after="0" w:line="240" w:lineRule="atLeast"/>
      <w:ind w:left="170"/>
    </w:pPr>
    <w:rPr>
      <w:rFonts w:ascii="Arial" w:eastAsia="Times New Roman" w:hAnsi="Arial" w:cs="Times New Roman"/>
      <w:bCs/>
      <w:iCs/>
      <w:color w:val="006BA6"/>
      <w:sz w:val="40"/>
      <w:szCs w:val="24"/>
    </w:rPr>
  </w:style>
  <w:style w:type="character" w:customStyle="1" w:styleId="SubtitleChar">
    <w:name w:val="Subtitle Char"/>
    <w:basedOn w:val="DefaultParagraphFont"/>
    <w:link w:val="Subtitle"/>
    <w:uiPriority w:val="11"/>
    <w:rsid w:val="00F02AEC"/>
    <w:rPr>
      <w:rFonts w:ascii="Arial" w:eastAsia="Times New Roman" w:hAnsi="Arial" w:cs="Times New Roman"/>
      <w:bCs/>
      <w:iCs/>
      <w:color w:val="006BA6"/>
      <w:sz w:val="40"/>
      <w:szCs w:val="24"/>
    </w:rPr>
  </w:style>
  <w:style w:type="table" w:styleId="TableGrid">
    <w:name w:val="Table Grid"/>
    <w:basedOn w:val="TableNormal"/>
    <w:uiPriority w:val="59"/>
    <w:rsid w:val="00F02AEC"/>
    <w:pPr>
      <w:spacing w:after="0" w:line="240" w:lineRule="auto"/>
    </w:pPr>
    <w:rPr>
      <w:rFonts w:ascii="Cambria" w:eastAsia="Cambria" w:hAnsi="Cambria" w:cs="Times New Roman"/>
      <w:sz w:val="21"/>
      <w:szCs w:val="21"/>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GASignoff">
    <w:name w:val="TGA Signoff"/>
    <w:basedOn w:val="Normal"/>
    <w:rsid w:val="00F02AEC"/>
    <w:pPr>
      <w:spacing w:before="120" w:after="360" w:line="240" w:lineRule="atLeast"/>
      <w:jc w:val="center"/>
    </w:pPr>
    <w:rPr>
      <w:rFonts w:ascii="Arial" w:eastAsia="Cambria" w:hAnsi="Arial" w:cs="Times New Roman"/>
      <w:b/>
      <w:color w:val="333F48"/>
      <w:sz w:val="28"/>
    </w:rPr>
  </w:style>
  <w:style w:type="paragraph" w:styleId="Title">
    <w:name w:val="Title"/>
    <w:link w:val="TitleChar"/>
    <w:uiPriority w:val="10"/>
    <w:rsid w:val="00F02AEC"/>
    <w:pPr>
      <w:spacing w:line="240" w:lineRule="auto"/>
      <w:contextualSpacing/>
      <w:outlineLvl w:val="0"/>
    </w:pPr>
    <w:rPr>
      <w:rFonts w:ascii="Arial" w:eastAsia="Times New Roman" w:hAnsi="Arial" w:cs="Times New Roman"/>
      <w:color w:val="001871"/>
      <w:spacing w:val="5"/>
      <w:kern w:val="28"/>
      <w:sz w:val="52"/>
      <w:szCs w:val="52"/>
    </w:rPr>
  </w:style>
  <w:style w:type="character" w:customStyle="1" w:styleId="TitleChar">
    <w:name w:val="Title Char"/>
    <w:basedOn w:val="DefaultParagraphFont"/>
    <w:link w:val="Title"/>
    <w:uiPriority w:val="10"/>
    <w:rsid w:val="00F02AEC"/>
    <w:rPr>
      <w:rFonts w:ascii="Arial" w:eastAsia="Times New Roman" w:hAnsi="Arial" w:cs="Times New Roman"/>
      <w:color w:val="001871"/>
      <w:spacing w:val="5"/>
      <w:kern w:val="28"/>
      <w:sz w:val="52"/>
      <w:szCs w:val="52"/>
    </w:rPr>
  </w:style>
  <w:style w:type="paragraph" w:styleId="TOC1">
    <w:name w:val="toc 1"/>
    <w:basedOn w:val="Normal"/>
    <w:next w:val="Normal"/>
    <w:uiPriority w:val="39"/>
    <w:unhideWhenUsed/>
    <w:rsid w:val="00F02AEC"/>
    <w:pPr>
      <w:keepNext/>
      <w:keepLines/>
      <w:tabs>
        <w:tab w:val="right" w:leader="underscore" w:pos="8505"/>
      </w:tabs>
      <w:spacing w:before="120" w:after="200" w:line="240" w:lineRule="atLeast"/>
    </w:pPr>
    <w:rPr>
      <w:rFonts w:ascii="Arial" w:eastAsia="Cambria" w:hAnsi="Arial" w:cs="Times New Roman"/>
      <w:b/>
      <w:color w:val="333F48"/>
      <w:sz w:val="32"/>
    </w:rPr>
  </w:style>
  <w:style w:type="paragraph" w:styleId="TOC2">
    <w:name w:val="toc 2"/>
    <w:basedOn w:val="Normal"/>
    <w:next w:val="Normal"/>
    <w:uiPriority w:val="39"/>
    <w:unhideWhenUsed/>
    <w:rsid w:val="00F02AEC"/>
    <w:pPr>
      <w:keepNext/>
      <w:keepLines/>
      <w:tabs>
        <w:tab w:val="right" w:leader="underscore" w:pos="8505"/>
      </w:tabs>
      <w:spacing w:before="120" w:after="100" w:line="240" w:lineRule="atLeast"/>
      <w:ind w:left="425"/>
    </w:pPr>
    <w:rPr>
      <w:rFonts w:ascii="Arial" w:eastAsia="Cambria" w:hAnsi="Arial" w:cs="Times New Roman"/>
      <w:b/>
      <w:color w:val="333F48"/>
      <w:sz w:val="25"/>
    </w:rPr>
  </w:style>
  <w:style w:type="paragraph" w:styleId="TOC3">
    <w:name w:val="toc 3"/>
    <w:basedOn w:val="Normal"/>
    <w:next w:val="Normal"/>
    <w:uiPriority w:val="39"/>
    <w:unhideWhenUsed/>
    <w:rsid w:val="00F02AEC"/>
    <w:pPr>
      <w:keepNext/>
      <w:keepLines/>
      <w:tabs>
        <w:tab w:val="right" w:leader="hyphen" w:pos="8505"/>
      </w:tabs>
      <w:spacing w:before="120" w:after="100" w:line="240" w:lineRule="atLeast"/>
      <w:ind w:left="851"/>
    </w:pPr>
    <w:rPr>
      <w:rFonts w:ascii="Arial" w:eastAsia="Cambria" w:hAnsi="Arial" w:cs="Times New Roman"/>
      <w:b/>
      <w:color w:val="333F48"/>
    </w:rPr>
  </w:style>
  <w:style w:type="paragraph" w:styleId="FootnoteText">
    <w:name w:val="footnote text"/>
    <w:basedOn w:val="Normal"/>
    <w:link w:val="FootnoteTextChar"/>
    <w:qFormat/>
    <w:rsid w:val="00FE087C"/>
    <w:pPr>
      <w:keepLines/>
      <w:spacing w:after="0" w:line="240" w:lineRule="atLeast"/>
    </w:pPr>
    <w:rPr>
      <w:rFonts w:eastAsia="Cambria" w:cs="Times New Roman"/>
      <w:color w:val="333F48"/>
      <w:sz w:val="17"/>
    </w:rPr>
  </w:style>
  <w:style w:type="character" w:customStyle="1" w:styleId="FootnoteTextChar">
    <w:name w:val="Footnote Text Char"/>
    <w:basedOn w:val="DefaultParagraphFont"/>
    <w:link w:val="FootnoteText"/>
    <w:rsid w:val="00FE087C"/>
    <w:rPr>
      <w:rFonts w:ascii="Cambria" w:eastAsia="Cambria" w:hAnsi="Cambria" w:cs="Times New Roman"/>
      <w:color w:val="333F48"/>
      <w:sz w:val="17"/>
    </w:rPr>
  </w:style>
  <w:style w:type="character" w:styleId="FootnoteReference">
    <w:name w:val="footnote reference"/>
    <w:basedOn w:val="DefaultParagraphFont"/>
    <w:uiPriority w:val="99"/>
    <w:semiHidden/>
    <w:unhideWhenUsed/>
    <w:rsid w:val="00F02AEC"/>
    <w:rPr>
      <w:vertAlign w:val="superscript"/>
    </w:rPr>
  </w:style>
  <w:style w:type="paragraph" w:customStyle="1" w:styleId="NonTOCheading2">
    <w:name w:val="Non TOC heading 2"/>
    <w:basedOn w:val="Normal"/>
    <w:next w:val="Normal"/>
    <w:rsid w:val="00F02AEC"/>
    <w:pPr>
      <w:keepNext/>
      <w:keepLines/>
      <w:pageBreakBefore/>
      <w:spacing w:after="180" w:line="240" w:lineRule="atLeast"/>
      <w:outlineLvl w:val="1"/>
    </w:pPr>
    <w:rPr>
      <w:rFonts w:ascii="Arial" w:eastAsia="Cambria" w:hAnsi="Arial" w:cs="Times New Roman"/>
      <w:b/>
      <w:color w:val="001871"/>
      <w:sz w:val="38"/>
    </w:rPr>
  </w:style>
  <w:style w:type="paragraph" w:customStyle="1" w:styleId="Headernoline">
    <w:name w:val="Header no line"/>
    <w:basedOn w:val="Header"/>
    <w:rsid w:val="00F02AEC"/>
    <w:pPr>
      <w:pBdr>
        <w:bottom w:val="none" w:sz="0" w:space="0" w:color="auto"/>
      </w:pBdr>
      <w:spacing w:line="240" w:lineRule="atLeast"/>
    </w:pPr>
  </w:style>
  <w:style w:type="paragraph" w:customStyle="1" w:styleId="Address">
    <w:name w:val="Address"/>
    <w:basedOn w:val="Normal"/>
    <w:rsid w:val="00F02AEC"/>
    <w:pPr>
      <w:spacing w:after="0" w:line="240" w:lineRule="auto"/>
    </w:pPr>
    <w:rPr>
      <w:rFonts w:ascii="Arial" w:eastAsia="Cambria" w:hAnsi="Arial" w:cs="Times New Roman"/>
      <w:color w:val="333F48"/>
      <w:sz w:val="21"/>
    </w:rPr>
  </w:style>
  <w:style w:type="paragraph" w:customStyle="1" w:styleId="ListBullet-dotick">
    <w:name w:val="List Bullet - do (tick)"/>
    <w:basedOn w:val="ListBullet"/>
    <w:autoRedefine/>
    <w:uiPriority w:val="1"/>
    <w:rsid w:val="00F02AEC"/>
    <w:pPr>
      <w:numPr>
        <w:numId w:val="5"/>
      </w:numPr>
      <w:tabs>
        <w:tab w:val="left" w:pos="425"/>
      </w:tabs>
    </w:pPr>
  </w:style>
  <w:style w:type="paragraph" w:customStyle="1" w:styleId="ListBullet-donotcross">
    <w:name w:val="List Bullet - do not (cross)"/>
    <w:basedOn w:val="ListBullet"/>
    <w:autoRedefine/>
    <w:uiPriority w:val="1"/>
    <w:rsid w:val="00F02AEC"/>
    <w:pPr>
      <w:numPr>
        <w:numId w:val="6"/>
      </w:numPr>
      <w:ind w:left="357" w:hanging="357"/>
    </w:pPr>
    <w:rPr>
      <w:rFonts w:eastAsiaTheme="minorHAnsi" w:cstheme="minorBidi"/>
      <w:szCs w:val="22"/>
    </w:rPr>
  </w:style>
  <w:style w:type="table" w:customStyle="1" w:styleId="TGABlack2023">
    <w:name w:val="TGA Black 2023"/>
    <w:basedOn w:val="TableTGAblue2023"/>
    <w:uiPriority w:val="99"/>
    <w:rsid w:val="00FA49C3"/>
    <w:pPr>
      <w:spacing w:line="240" w:lineRule="auto"/>
    </w:pPr>
    <w:tblP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Pr>
    <w:tblStylePr w:type="firstRow">
      <w:pPr>
        <w:keepNext/>
        <w:wordWrap/>
      </w:pPr>
      <w:rPr>
        <w:rFonts w:ascii="Arial" w:hAnsi="Arial"/>
        <w:b/>
        <w:color w:val="FFFFFF" w:themeColor="background1"/>
        <w:sz w:val="22"/>
      </w:rPr>
      <w:tblPr/>
      <w:trPr>
        <w:tblHeader/>
      </w:trPr>
      <w:tcPr>
        <w:shd w:val="clear" w:color="auto" w:fill="171717" w:themeFill="background2" w:themeFillShade="1A"/>
      </w:tcPr>
    </w:tblStylePr>
    <w:tblStylePr w:type="firstCol">
      <w:pPr>
        <w:keepNext w:val="0"/>
        <w:wordWrap/>
      </w:pPr>
    </w:tblStylePr>
  </w:style>
  <w:style w:type="paragraph" w:customStyle="1" w:styleId="NonTOCHeading20">
    <w:name w:val="Non TOC Heading 2"/>
    <w:basedOn w:val="Normal"/>
    <w:rsid w:val="00346EC2"/>
    <w:pPr>
      <w:spacing w:before="240" w:line="240" w:lineRule="atLeast"/>
      <w:outlineLvl w:val="1"/>
    </w:pPr>
    <w:rPr>
      <w:rFonts w:ascii="Arial" w:eastAsia="Cambria" w:hAnsi="Arial" w:cs="Times New Roman"/>
      <w:b/>
      <w:sz w:val="32"/>
      <w:szCs w:val="22"/>
    </w:rPr>
  </w:style>
  <w:style w:type="table" w:customStyle="1" w:styleId="TableTGAblue">
    <w:name w:val="Table TGA blue"/>
    <w:basedOn w:val="TableNormal"/>
    <w:uiPriority w:val="99"/>
    <w:qFormat/>
    <w:rsid w:val="00324B33"/>
    <w:pPr>
      <w:spacing w:after="0" w:line="240" w:lineRule="auto"/>
      <w:ind w:left="170" w:right="170"/>
    </w:pPr>
    <w:rPr>
      <w:rFonts w:ascii="Cambria" w:hAnsi="Cambria" w:cs="Times New Roman"/>
      <w:color w:val="000000" w:themeColor="text1"/>
      <w:sz w:val="22"/>
      <w:szCs w:val="21"/>
      <w:lang w:eastAsia="en-AU"/>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auto"/>
    </w:tcPr>
    <w:tblStylePr w:type="firstRow">
      <w:pPr>
        <w:keepNext/>
        <w:wordWrap/>
      </w:pPr>
      <w:rPr>
        <w:rFonts w:ascii="Cambria" w:hAnsi="Cambria"/>
        <w:b/>
        <w:color w:val="FFFFFF" w:themeColor="background1"/>
        <w:sz w:val="22"/>
      </w:rPr>
      <w:tblPr/>
      <w:trPr>
        <w:tblHeader/>
      </w:tr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l2br w:val="nil"/>
          <w:tr2bl w:val="nil"/>
        </w:tcBorders>
        <w:shd w:val="clear" w:color="auto" w:fill="006DA7"/>
      </w:tcPr>
    </w:tblStylePr>
  </w:style>
  <w:style w:type="paragraph" w:customStyle="1" w:styleId="Instructions">
    <w:name w:val="Instructions"/>
    <w:basedOn w:val="Normal"/>
    <w:next w:val="Normal"/>
    <w:uiPriority w:val="1"/>
    <w:qFormat/>
    <w:rsid w:val="00324B33"/>
    <w:pPr>
      <w:spacing w:before="120" w:line="240" w:lineRule="atLeast"/>
    </w:pPr>
    <w:rPr>
      <w:rFonts w:eastAsia="Cambria" w:cs="Times New Roman"/>
      <w:i/>
      <w:color w:val="007099"/>
      <w:szCs w:val="22"/>
    </w:rPr>
  </w:style>
  <w:style w:type="paragraph" w:customStyle="1" w:styleId="TableTitle">
    <w:name w:val="Table Title"/>
    <w:basedOn w:val="Normal"/>
    <w:rsid w:val="00324B33"/>
    <w:pPr>
      <w:keepNext/>
      <w:spacing w:before="120" w:line="240" w:lineRule="atLeast"/>
    </w:pPr>
    <w:rPr>
      <w:rFonts w:eastAsia="Cambria" w:cs="Times New Roman"/>
      <w:b/>
      <w:szCs w:val="22"/>
    </w:rPr>
  </w:style>
  <w:style w:type="paragraph" w:customStyle="1" w:styleId="TableDescription">
    <w:name w:val="Table Description"/>
    <w:basedOn w:val="Normal"/>
    <w:autoRedefine/>
    <w:qFormat/>
    <w:rsid w:val="00550154"/>
    <w:pPr>
      <w:spacing w:before="120" w:line="240" w:lineRule="auto"/>
      <w:contextualSpacing/>
    </w:pPr>
    <w:rPr>
      <w:rFonts w:eastAsia="Cambria" w:cs="Times New Roman"/>
      <w:sz w:val="18"/>
      <w:szCs w:val="19"/>
    </w:rPr>
  </w:style>
  <w:style w:type="character" w:styleId="CommentReference">
    <w:name w:val="annotation reference"/>
    <w:basedOn w:val="DefaultParagraphFont"/>
    <w:uiPriority w:val="99"/>
    <w:semiHidden/>
    <w:unhideWhenUsed/>
    <w:rsid w:val="00E47E0C"/>
    <w:rPr>
      <w:sz w:val="16"/>
      <w:szCs w:val="16"/>
    </w:rPr>
  </w:style>
  <w:style w:type="paragraph" w:styleId="CommentText">
    <w:name w:val="annotation text"/>
    <w:basedOn w:val="Normal"/>
    <w:link w:val="CommentTextChar"/>
    <w:uiPriority w:val="99"/>
    <w:unhideWhenUsed/>
    <w:rsid w:val="00E47E0C"/>
    <w:pPr>
      <w:spacing w:line="240" w:lineRule="auto"/>
    </w:pPr>
  </w:style>
  <w:style w:type="character" w:customStyle="1" w:styleId="CommentTextChar">
    <w:name w:val="Comment Text Char"/>
    <w:basedOn w:val="DefaultParagraphFont"/>
    <w:link w:val="CommentText"/>
    <w:uiPriority w:val="99"/>
    <w:rsid w:val="00E47E0C"/>
    <w:rPr>
      <w:rFonts w:ascii="Cambria" w:hAnsi="Cambria"/>
    </w:rPr>
  </w:style>
  <w:style w:type="paragraph" w:styleId="CommentSubject">
    <w:name w:val="annotation subject"/>
    <w:basedOn w:val="CommentText"/>
    <w:next w:val="CommentText"/>
    <w:link w:val="CommentSubjectChar"/>
    <w:uiPriority w:val="99"/>
    <w:semiHidden/>
    <w:unhideWhenUsed/>
    <w:rsid w:val="00E47E0C"/>
    <w:rPr>
      <w:b/>
      <w:bCs/>
    </w:rPr>
  </w:style>
  <w:style w:type="character" w:customStyle="1" w:styleId="CommentSubjectChar">
    <w:name w:val="Comment Subject Char"/>
    <w:basedOn w:val="CommentTextChar"/>
    <w:link w:val="CommentSubject"/>
    <w:uiPriority w:val="99"/>
    <w:semiHidden/>
    <w:rsid w:val="00E47E0C"/>
    <w:rPr>
      <w:rFonts w:ascii="Cambria" w:hAnsi="Cambria"/>
      <w:b/>
      <w:bCs/>
    </w:rPr>
  </w:style>
  <w:style w:type="paragraph" w:styleId="BalloonText">
    <w:name w:val="Balloon Text"/>
    <w:basedOn w:val="Normal"/>
    <w:link w:val="BalloonTextChar"/>
    <w:uiPriority w:val="99"/>
    <w:semiHidden/>
    <w:unhideWhenUsed/>
    <w:rsid w:val="00D63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760"/>
    <w:rPr>
      <w:rFonts w:ascii="Segoe UI" w:hAnsi="Segoe UI" w:cs="Segoe UI"/>
      <w:sz w:val="18"/>
      <w:szCs w:val="18"/>
    </w:rPr>
  </w:style>
  <w:style w:type="character" w:styleId="FollowedHyperlink">
    <w:name w:val="FollowedHyperlink"/>
    <w:basedOn w:val="DefaultParagraphFont"/>
    <w:uiPriority w:val="99"/>
    <w:semiHidden/>
    <w:unhideWhenUsed/>
    <w:rsid w:val="001C1C2E"/>
    <w:rPr>
      <w:color w:val="954F72" w:themeColor="followedHyperlink"/>
      <w:u w:val="single"/>
    </w:rPr>
  </w:style>
  <w:style w:type="paragraph" w:styleId="Revision">
    <w:name w:val="Revision"/>
    <w:hidden/>
    <w:uiPriority w:val="99"/>
    <w:semiHidden/>
    <w:rsid w:val="008964B3"/>
    <w:pPr>
      <w:spacing w:after="0" w:line="240" w:lineRule="auto"/>
    </w:pPr>
    <w:rPr>
      <w:rFonts w:ascii="Cambria" w:hAnsi="Cambria"/>
    </w:rPr>
  </w:style>
  <w:style w:type="character" w:styleId="UnresolvedMention">
    <w:name w:val="Unresolved Mention"/>
    <w:basedOn w:val="DefaultParagraphFont"/>
    <w:uiPriority w:val="99"/>
    <w:semiHidden/>
    <w:unhideWhenUsed/>
    <w:rsid w:val="00966EF1"/>
    <w:rPr>
      <w:color w:val="605E5C"/>
      <w:shd w:val="clear" w:color="auto" w:fill="E1DFDD"/>
    </w:rPr>
  </w:style>
  <w:style w:type="paragraph" w:customStyle="1" w:styleId="TableText">
    <w:name w:val="Table Text"/>
    <w:basedOn w:val="FootnoteText"/>
    <w:qFormat/>
    <w:rsid w:val="005B69CF"/>
    <w:rPr>
      <w:color w:val="000000" w:themeColor="text1"/>
      <w:sz w:val="22"/>
      <w:lang w:val="en-GB"/>
    </w:rPr>
  </w:style>
  <w:style w:type="paragraph" w:customStyle="1" w:styleId="FigureTitle">
    <w:name w:val="Figure Title"/>
    <w:basedOn w:val="Normal"/>
    <w:autoRedefine/>
    <w:qFormat/>
    <w:rsid w:val="00550154"/>
    <w:pPr>
      <w:keepNext/>
      <w:spacing w:before="120" w:line="240" w:lineRule="auto"/>
      <w:contextualSpacing/>
    </w:pPr>
    <w:rPr>
      <w:b/>
    </w:rPr>
  </w:style>
  <w:style w:type="paragraph" w:styleId="Caption">
    <w:name w:val="caption"/>
    <w:basedOn w:val="Normal"/>
    <w:next w:val="Normal"/>
    <w:uiPriority w:val="35"/>
    <w:unhideWhenUsed/>
    <w:qFormat/>
    <w:rsid w:val="0098350E"/>
    <w:pPr>
      <w:spacing w:after="200" w:line="240" w:lineRule="auto"/>
    </w:pPr>
    <w:rPr>
      <w:i/>
      <w:iCs/>
      <w:color w:val="44546A" w:themeColor="text2"/>
      <w:sz w:val="18"/>
      <w:szCs w:val="18"/>
    </w:rPr>
  </w:style>
  <w:style w:type="paragraph" w:customStyle="1" w:styleId="FigureDescription">
    <w:name w:val="Figure Description"/>
    <w:basedOn w:val="FigureTitle"/>
    <w:autoRedefine/>
    <w:qFormat/>
    <w:rsid w:val="00B96C49"/>
    <w:rPr>
      <w:b w:val="0"/>
      <w:sz w:val="18"/>
    </w:rPr>
  </w:style>
  <w:style w:type="paragraph" w:styleId="ListParagraph">
    <w:name w:val="List Paragraph"/>
    <w:basedOn w:val="Normal"/>
    <w:link w:val="ListParagraphChar"/>
    <w:uiPriority w:val="34"/>
    <w:qFormat/>
    <w:rsid w:val="006B7126"/>
    <w:pPr>
      <w:spacing w:after="160"/>
      <w:ind w:left="720"/>
      <w:contextualSpacing/>
    </w:pPr>
    <w:rPr>
      <w:rFonts w:ascii="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6B7126"/>
    <w:rPr>
      <w:rFonts w:ascii="Times New Roman" w:hAnsi="Times New Roman" w:cs="Times New Roman"/>
      <w:sz w:val="24"/>
      <w:szCs w:val="24"/>
    </w:rPr>
  </w:style>
  <w:style w:type="paragraph" w:customStyle="1" w:styleId="Indication">
    <w:name w:val="Indication"/>
    <w:basedOn w:val="Normal"/>
    <w:next w:val="Normal"/>
    <w:qFormat/>
    <w:rsid w:val="00BA3F6D"/>
    <w:pPr>
      <w:spacing w:before="120" w:line="240" w:lineRule="atLeast"/>
      <w:ind w:left="720"/>
      <w:contextualSpacing/>
    </w:pPr>
    <w:rPr>
      <w:i/>
      <w:color w:val="000000" w:themeColor="text1"/>
    </w:rPr>
  </w:style>
  <w:style w:type="paragraph" w:customStyle="1" w:styleId="DelegatesQuestions">
    <w:name w:val="Delegate's Questions"/>
    <w:basedOn w:val="Numberbullet0"/>
    <w:qFormat/>
    <w:rsid w:val="007575D0"/>
    <w:rPr>
      <w:b/>
      <w:bCs/>
      <w:i/>
      <w:iCs/>
    </w:rPr>
  </w:style>
  <w:style w:type="character" w:customStyle="1" w:styleId="Heading1Char">
    <w:name w:val="Heading 1 Char"/>
    <w:basedOn w:val="DefaultParagraphFont"/>
    <w:link w:val="Heading1"/>
    <w:uiPriority w:val="9"/>
    <w:rsid w:val="00A23492"/>
    <w:rPr>
      <w:rFonts w:asciiTheme="majorHAnsi" w:eastAsiaTheme="majorEastAsia" w:hAnsiTheme="majorHAnsi" w:cstheme="majorBidi"/>
      <w:color w:val="2F5496" w:themeColor="accent1" w:themeShade="BF"/>
      <w:sz w:val="32"/>
      <w:szCs w:val="32"/>
    </w:rPr>
  </w:style>
  <w:style w:type="paragraph" w:styleId="EndnoteText">
    <w:name w:val="endnote text"/>
    <w:basedOn w:val="Normal"/>
    <w:link w:val="EndnoteTextChar"/>
    <w:uiPriority w:val="99"/>
    <w:semiHidden/>
    <w:unhideWhenUsed/>
    <w:rsid w:val="00BA2091"/>
    <w:pPr>
      <w:spacing w:after="0" w:line="240" w:lineRule="auto"/>
    </w:pPr>
    <w:rPr>
      <w:rFonts w:eastAsia="Cambria" w:cs="Times New Roman"/>
      <w:sz w:val="20"/>
    </w:rPr>
  </w:style>
  <w:style w:type="character" w:customStyle="1" w:styleId="EndnoteTextChar">
    <w:name w:val="Endnote Text Char"/>
    <w:basedOn w:val="DefaultParagraphFont"/>
    <w:link w:val="EndnoteText"/>
    <w:uiPriority w:val="99"/>
    <w:semiHidden/>
    <w:rsid w:val="00BA2091"/>
    <w:rPr>
      <w:rFonts w:ascii="Cambria" w:eastAsia="Cambria" w:hAnsi="Cambria" w:cs="Times New Roman"/>
    </w:rPr>
  </w:style>
  <w:style w:type="character" w:styleId="EndnoteReference">
    <w:name w:val="endnote reference"/>
    <w:basedOn w:val="DefaultParagraphFont"/>
    <w:uiPriority w:val="99"/>
    <w:unhideWhenUsed/>
    <w:rsid w:val="00BA20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15028">
      <w:bodyDiv w:val="1"/>
      <w:marLeft w:val="0"/>
      <w:marRight w:val="0"/>
      <w:marTop w:val="0"/>
      <w:marBottom w:val="0"/>
      <w:divBdr>
        <w:top w:val="none" w:sz="0" w:space="0" w:color="auto"/>
        <w:left w:val="none" w:sz="0" w:space="0" w:color="auto"/>
        <w:bottom w:val="none" w:sz="0" w:space="0" w:color="auto"/>
        <w:right w:val="none" w:sz="0" w:space="0" w:color="auto"/>
      </w:divBdr>
    </w:div>
    <w:div w:id="695735718">
      <w:bodyDiv w:val="1"/>
      <w:marLeft w:val="0"/>
      <w:marRight w:val="0"/>
      <w:marTop w:val="0"/>
      <w:marBottom w:val="0"/>
      <w:divBdr>
        <w:top w:val="none" w:sz="0" w:space="0" w:color="auto"/>
        <w:left w:val="none" w:sz="0" w:space="0" w:color="auto"/>
        <w:bottom w:val="none" w:sz="0" w:space="0" w:color="auto"/>
        <w:right w:val="none" w:sz="0" w:space="0" w:color="auto"/>
      </w:divBdr>
    </w:div>
    <w:div w:id="129370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ga.gov.au/resources/artg/24368" TargetMode="External"/><Relationship Id="rId21" Type="http://schemas.openxmlformats.org/officeDocument/2006/relationships/hyperlink" Target="https://www.tga.gov.au/resources/artg/55242" TargetMode="External"/><Relationship Id="rId42" Type="http://schemas.openxmlformats.org/officeDocument/2006/relationships/image" Target="media/image11.png"/><Relationship Id="rId47" Type="http://schemas.microsoft.com/office/2007/relationships/hdphoto" Target="media/hdphoto9.wdp"/><Relationship Id="rId63" Type="http://schemas.openxmlformats.org/officeDocument/2006/relationships/hyperlink" Target="https://www.ebs.tga.gov.au/" TargetMode="External"/><Relationship Id="rId68" Type="http://schemas.openxmlformats.org/officeDocument/2006/relationships/header" Target="header5.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4.png"/><Relationship Id="rId11" Type="http://schemas.openxmlformats.org/officeDocument/2006/relationships/endnotes" Target="endnotes.xml"/><Relationship Id="rId24" Type="http://schemas.openxmlformats.org/officeDocument/2006/relationships/hyperlink" Target="https://www.tga.gov.au/products/medicines/find-information-about-medicine/prescribing-medicines-pregnancy-database" TargetMode="External"/><Relationship Id="rId32" Type="http://schemas.microsoft.com/office/2007/relationships/hdphoto" Target="media/hdphoto2.wdp"/><Relationship Id="rId37" Type="http://schemas.openxmlformats.org/officeDocument/2006/relationships/image" Target="media/image8.png"/><Relationship Id="rId40" Type="http://schemas.openxmlformats.org/officeDocument/2006/relationships/image" Target="media/image10.png"/><Relationship Id="rId45" Type="http://schemas.microsoft.com/office/2007/relationships/hdphoto" Target="media/hdphoto8.wdp"/><Relationship Id="rId53" Type="http://schemas.microsoft.com/office/2007/relationships/hdphoto" Target="media/hdphoto11.wdp"/><Relationship Id="rId58" Type="http://schemas.openxmlformats.org/officeDocument/2006/relationships/image" Target="media/image20.png"/><Relationship Id="rId66" Type="http://schemas.openxmlformats.org/officeDocument/2006/relationships/hyperlink" Target="mailto:info@tga.gov.au" TargetMode="External"/><Relationship Id="rId5" Type="http://schemas.openxmlformats.org/officeDocument/2006/relationships/customXml" Target="../customXml/item5.xml"/><Relationship Id="rId61" Type="http://schemas.openxmlformats.org/officeDocument/2006/relationships/image" Target="media/image22.png"/><Relationship Id="rId19" Type="http://schemas.openxmlformats.org/officeDocument/2006/relationships/hyperlink" Target="https://www.tga.gov.au/australian-public-assessment-report-auspar-guidance" TargetMode="External"/><Relationship Id="rId14" Type="http://schemas.openxmlformats.org/officeDocument/2006/relationships/footer" Target="footer1.xml"/><Relationship Id="rId22" Type="http://schemas.openxmlformats.org/officeDocument/2006/relationships/hyperlink" Target="https://www.tga.gov.au/black-triangle-scheme" TargetMode="External"/><Relationship Id="rId27" Type="http://schemas.openxmlformats.org/officeDocument/2006/relationships/hyperlink" Target="https://www.tga.gov.au/resources/artg/55242" TargetMode="External"/><Relationship Id="rId30" Type="http://schemas.microsoft.com/office/2007/relationships/hdphoto" Target="media/hdphoto1.wdp"/><Relationship Id="rId35" Type="http://schemas.openxmlformats.org/officeDocument/2006/relationships/image" Target="media/image7.png"/><Relationship Id="rId43" Type="http://schemas.microsoft.com/office/2007/relationships/hdphoto" Target="media/hdphoto7.wdp"/><Relationship Id="rId48" Type="http://schemas.openxmlformats.org/officeDocument/2006/relationships/image" Target="media/image14.png"/><Relationship Id="rId56" Type="http://schemas.openxmlformats.org/officeDocument/2006/relationships/image" Target="media/image19.png"/><Relationship Id="rId64" Type="http://schemas.openxmlformats.org/officeDocument/2006/relationships/header" Target="header4.xml"/><Relationship Id="rId69" Type="http://schemas.openxmlformats.org/officeDocument/2006/relationships/footer" Target="footer5.xml"/><Relationship Id="rId8" Type="http://schemas.openxmlformats.org/officeDocument/2006/relationships/settings" Target="settings.xml"/><Relationship Id="rId51" Type="http://schemas.openxmlformats.org/officeDocument/2006/relationships/image" Target="media/image16.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tga.gov.au/obstetric-drug-information-services" TargetMode="External"/><Relationship Id="rId33" Type="http://schemas.openxmlformats.org/officeDocument/2006/relationships/image" Target="media/image6.png"/><Relationship Id="rId38" Type="http://schemas.microsoft.com/office/2007/relationships/hdphoto" Target="media/hdphoto5.wdp"/><Relationship Id="rId46" Type="http://schemas.openxmlformats.org/officeDocument/2006/relationships/image" Target="media/image13.png"/><Relationship Id="rId59" Type="http://schemas.microsoft.com/office/2007/relationships/hdphoto" Target="media/hdphoto14.wdp"/><Relationship Id="rId67" Type="http://schemas.openxmlformats.org/officeDocument/2006/relationships/hyperlink" Target="https://www.tga.gov.au" TargetMode="External"/><Relationship Id="rId20" Type="http://schemas.openxmlformats.org/officeDocument/2006/relationships/hyperlink" Target="mailto:tga.copyright@tga.gov.au" TargetMode="External"/><Relationship Id="rId41" Type="http://schemas.microsoft.com/office/2007/relationships/hdphoto" Target="media/hdphoto6.wdp"/><Relationship Id="rId54" Type="http://schemas.openxmlformats.org/officeDocument/2006/relationships/image" Target="media/image18.png"/><Relationship Id="rId62" Type="http://schemas.microsoft.com/office/2007/relationships/hdphoto" Target="media/hdphoto15.wdp"/><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ebs.tga.gov.au/" TargetMode="External"/><Relationship Id="rId28" Type="http://schemas.openxmlformats.org/officeDocument/2006/relationships/hyperlink" Target="https://www.tga.gov.au/products/medicines/prescription-medicines/application-and-market-authorisation/supply-prescription-medicine/application-process-prescription-medicines/comparable-overseas-regulators/comparable-overseas-regulators-cors-timeframes-and-milestones" TargetMode="External"/><Relationship Id="rId36" Type="http://schemas.microsoft.com/office/2007/relationships/hdphoto" Target="media/hdphoto4.wdp"/><Relationship Id="rId49" Type="http://schemas.openxmlformats.org/officeDocument/2006/relationships/image" Target="media/image15.png"/><Relationship Id="rId57" Type="http://schemas.microsoft.com/office/2007/relationships/hdphoto" Target="media/hdphoto13.wdp"/><Relationship Id="rId10" Type="http://schemas.openxmlformats.org/officeDocument/2006/relationships/footnotes" Target="footnotes.xml"/><Relationship Id="rId31" Type="http://schemas.openxmlformats.org/officeDocument/2006/relationships/image" Target="media/image5.png"/><Relationship Id="rId44" Type="http://schemas.openxmlformats.org/officeDocument/2006/relationships/image" Target="media/image12.png"/><Relationship Id="rId52" Type="http://schemas.openxmlformats.org/officeDocument/2006/relationships/image" Target="media/image17.png"/><Relationship Id="rId60" Type="http://schemas.openxmlformats.org/officeDocument/2006/relationships/image" Target="media/image21.png"/><Relationship Id="rId65"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tga.gov.au/" TargetMode="External"/><Relationship Id="rId39" Type="http://schemas.openxmlformats.org/officeDocument/2006/relationships/image" Target="media/image9.png"/><Relationship Id="rId34" Type="http://schemas.microsoft.com/office/2007/relationships/hdphoto" Target="media/hdphoto3.wdp"/><Relationship Id="rId50" Type="http://schemas.microsoft.com/office/2007/relationships/hdphoto" Target="media/hdphoto10.wdp"/><Relationship Id="rId55" Type="http://schemas.microsoft.com/office/2007/relationships/hdphoto" Target="media/hdphoto12.wdp"/></Relationships>
</file>

<file path=word/_rels/footnotes.xml.rels><?xml version="1.0" encoding="UTF-8" standalone="yes"?>
<Relationships xmlns="http://schemas.openxmlformats.org/package/2006/relationships"><Relationship Id="rId8" Type="http://schemas.openxmlformats.org/officeDocument/2006/relationships/hyperlink" Target="https://www.eviq.org.au/medical-oncology/breast/neoadjuvant-adjuvant/1785-breast-adjuvant-exemestane-and-goserelin" TargetMode="External"/><Relationship Id="rId3" Type="http://schemas.openxmlformats.org/officeDocument/2006/relationships/hyperlink" Target="https://www.aihw.gov.au/reports/cancer/cancer-data-in-australia/contents/survival" TargetMode="External"/><Relationship Id="rId7" Type="http://schemas.openxmlformats.org/officeDocument/2006/relationships/hyperlink" Target="https://doi.org/10.1056/NEJMoa1404037" TargetMode="External"/><Relationship Id="rId2" Type="http://schemas.openxmlformats.org/officeDocument/2006/relationships/hyperlink" Target="https://www.aihw.gov.au/reports/cancer/cancer-data-in-australia/contents/cancer-mortality-by-age-visualisation" TargetMode="External"/><Relationship Id="rId1" Type="http://schemas.openxmlformats.org/officeDocument/2006/relationships/hyperlink" Target="https://www.aihw.gov.au/reports/cancer/cancer-data-in-australia/contents/summary-dashboard" TargetMode="External"/><Relationship Id="rId6" Type="http://schemas.openxmlformats.org/officeDocument/2006/relationships/hyperlink" Target="https://doi.org/10.1210/jc.2005-2378" TargetMode="External"/><Relationship Id="rId5" Type="http://schemas.openxmlformats.org/officeDocument/2006/relationships/hyperlink" Target="https://www.aihw.gov.au/reports/cancer/cancer-data-in-australia/contents/socio-economic-disadvantage-cancer-incidence-morta" TargetMode="External"/><Relationship Id="rId4" Type="http://schemas.openxmlformats.org/officeDocument/2006/relationships/hyperlink" Target="https://www.aihw.gov.au/reports/cancer/cancer-data-in-australia/contents/first-nations-cancer-incidence-mortality-and-survi" TargetMode="External"/><Relationship Id="rId9" Type="http://schemas.openxmlformats.org/officeDocument/2006/relationships/hyperlink" Target="https://www.tga.gov.au/resources/resources/international-scientific-guidelines-adopted-australia/ich-topic-e-5-r1-ethnic-factors-acceptability-foreign-clinical-data"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231BE603C21345B961C0FB23D3FD5A" ma:contentTypeVersion="16" ma:contentTypeDescription="Create a new document." ma:contentTypeScope="" ma:versionID="01293d775a7381d7bf401271cc16390f">
  <xsd:schema xmlns:xsd="http://www.w3.org/2001/XMLSchema" xmlns:xs="http://www.w3.org/2001/XMLSchema" xmlns:p="http://schemas.microsoft.com/office/2006/metadata/properties" xmlns:ns2="44a56295-c29e-4898-8136-a54736c65b82" xmlns:ns3="6e8b1d16-2485-4ed1-bc44-b1a55dcf43b7" xmlns:ns4="e79b160c-132c-4bdb-adf9-d2f2878e3662" targetNamespace="http://schemas.microsoft.com/office/2006/metadata/properties" ma:root="true" ma:fieldsID="62a4d78bf69d82e60337042d987d1c18" ns2:_="" ns3:_="" ns4:_="">
    <xsd:import namespace="44a56295-c29e-4898-8136-a54736c65b82"/>
    <xsd:import namespace="6e8b1d16-2485-4ed1-bc44-b1a55dcf43b7"/>
    <xsd:import namespace="e79b160c-132c-4bdb-adf9-d2f2878e3662"/>
    <xsd:element name="properties">
      <xsd:complexType>
        <xsd:sequence>
          <xsd:element name="documentManagement">
            <xsd:complexType>
              <xsd:all>
                <xsd:element ref="ns2:Descriptions" minOccurs="0"/>
                <xsd:element ref="ns2:Keywor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56295-c29e-4898-8136-a54736c65b82" elementFormDefault="qualified">
    <xsd:import namespace="http://schemas.microsoft.com/office/2006/documentManagement/types"/>
    <xsd:import namespace="http://schemas.microsoft.com/office/infopath/2007/PartnerControls"/>
    <xsd:element name="Descriptions" ma:index="8" nillable="true" ma:displayName="Descriptions" ma:description="Describe your document to make it appear at the top of search results" ma:internalName="Descriptions">
      <xsd:simpleType>
        <xsd:restriction base="dms:Note">
          <xsd:maxLength value="255"/>
        </xsd:restriction>
      </xsd:simpleType>
    </xsd:element>
    <xsd:element name="Keyword" ma:index="9" nillable="true" ma:displayName="Keyword" ma:description="Enter list of terms separated by semi-colon(;)" ma:internalName="Keyw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8b1d16-2485-4ed1-bc44-b1a55dcf43b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ee89e71-04cd-405e-9ca3-99e020c1694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9b160c-132c-4bdb-adf9-d2f2878e366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43fb073-0ce5-4c3b-98c1-91256c495183}" ma:internalName="TaxCatchAll" ma:showField="CatchAllData" ma:web="e79b160c-132c-4bdb-adf9-d2f2878e36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eyword xmlns="44a56295-c29e-4898-8136-a54736c65b82" xsi:nil="true"/>
    <lcf76f155ced4ddcb4097134ff3c332f xmlns="6e8b1d16-2485-4ed1-bc44-b1a55dcf43b7">
      <Terms xmlns="http://schemas.microsoft.com/office/infopath/2007/PartnerControls"/>
    </lcf76f155ced4ddcb4097134ff3c332f>
    <TaxCatchAll xmlns="e79b160c-132c-4bdb-adf9-d2f2878e3662" xsi:nil="true"/>
    <Descriptions xmlns="44a56295-c29e-4898-8136-a54736c65b82" xsi:nil="true"/>
  </documentManagement>
</p:properties>
</file>

<file path=customXml/item3.xml><?xml version="1.0" encoding="utf-8"?>
<?mso-contentType ?>
<SharedContentType xmlns="Microsoft.SharePoint.Taxonomy.ContentTypeSync" SourceId="1ee89e71-04cd-405e-9ca3-99e020c1694d" ContentTypeId="0x010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F3FD4D-0782-419C-A62B-CAFD77F19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56295-c29e-4898-8136-a54736c65b82"/>
    <ds:schemaRef ds:uri="6e8b1d16-2485-4ed1-bc44-b1a55dcf43b7"/>
    <ds:schemaRef ds:uri="e79b160c-132c-4bdb-adf9-d2f2878e36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5356D1-A2C3-4A0B-AA4D-AEDF0A56277B}">
  <ds:schemaRefs>
    <ds:schemaRef ds:uri="http://schemas.microsoft.com/office/2006/metadata/properties"/>
    <ds:schemaRef ds:uri="http://schemas.microsoft.com/office/infopath/2007/PartnerControls"/>
    <ds:schemaRef ds:uri="44a56295-c29e-4898-8136-a54736c65b82"/>
    <ds:schemaRef ds:uri="6e8b1d16-2485-4ed1-bc44-b1a55dcf43b7"/>
    <ds:schemaRef ds:uri="e79b160c-132c-4bdb-adf9-d2f2878e3662"/>
  </ds:schemaRefs>
</ds:datastoreItem>
</file>

<file path=customXml/itemProps3.xml><?xml version="1.0" encoding="utf-8"?>
<ds:datastoreItem xmlns:ds="http://schemas.openxmlformats.org/officeDocument/2006/customXml" ds:itemID="{F4B3A466-DAE7-449A-89AC-57E40AF1A0B5}">
  <ds:schemaRefs>
    <ds:schemaRef ds:uri="Microsoft.SharePoint.Taxonomy.ContentTypeSync"/>
  </ds:schemaRefs>
</ds:datastoreItem>
</file>

<file path=customXml/itemProps4.xml><?xml version="1.0" encoding="utf-8"?>
<ds:datastoreItem xmlns:ds="http://schemas.openxmlformats.org/officeDocument/2006/customXml" ds:itemID="{5911AE68-6449-47E6-9F10-0220946BAFE5}">
  <ds:schemaRefs>
    <ds:schemaRef ds:uri="http://schemas.openxmlformats.org/officeDocument/2006/bibliography"/>
  </ds:schemaRefs>
</ds:datastoreItem>
</file>

<file path=customXml/itemProps5.xml><?xml version="1.0" encoding="utf-8"?>
<ds:datastoreItem xmlns:ds="http://schemas.openxmlformats.org/officeDocument/2006/customXml" ds:itemID="{6FD84BD9-F612-424C-8C42-4D1429DE83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30</Pages>
  <Words>8894</Words>
  <Characters>50698</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Australian public assessment report for</vt:lpstr>
    </vt:vector>
  </TitlesOfParts>
  <Company>Department of Health, Disability and Ageing</Company>
  <LinksUpToDate>false</LinksUpToDate>
  <CharactersWithSpaces>59474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Public Assessment Report for Zoladex</dc:title>
  <dc:subject>Prescription medicines</dc:subject>
  <dc:creator>Therapeutic Goods Administration</dc:creator>
  <cp:keywords/>
  <dc:description/>
  <dcterms:created xsi:type="dcterms:W3CDTF">2026-09-28T01:58:00Z</dcterms:created>
  <dcterms:modified xsi:type="dcterms:W3CDTF">2026-09-28T04:40:00Z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531f83f9,2ebff39c,5e0ccc27,69b65320,1d12e39c</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1733f83e,69c2b6dd,39fef80f,322f80f5,3638ef13</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2026-01-08T03:49:00Z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813969f0-483d-4e03-912d-ee2c69b78162</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0x010100D4231BE603C21345B961C0FB23D3FD5A</vt:lpwstr>
  </property>
  <property fmtid="{D5CDD505-2E9C-101B-9397-08002B2CF9AE}" pid="18" name="docLang">
    <vt:lpwstr>en</vt:lpwstr>
  </property>
</Properties>
</file>