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38D59" w14:textId="77777777" w:rsidR="008B6261" w:rsidRDefault="004C6B8B">
      <w:pPr>
        <w:pStyle w:val="BodyText"/>
        <w:spacing w:before="44" w:line="223" w:lineRule="auto"/>
        <w:ind w:left="23" w:right="871"/>
        <w:jc w:val="both"/>
      </w:pPr>
      <w:r>
        <w:rPr>
          <w:rFonts w:ascii="SimSun" w:hAnsi="SimSun"/>
          <w:position w:val="2"/>
          <w:sz w:val="40"/>
        </w:rPr>
        <w:t>▼</w:t>
      </w:r>
      <w:r>
        <w:t>This</w:t>
      </w:r>
      <w:r>
        <w:rPr>
          <w:spacing w:val="-3"/>
        </w:rPr>
        <w:t xml:space="preserve"> </w:t>
      </w:r>
      <w:r>
        <w:t>medicinal</w:t>
      </w:r>
      <w:r>
        <w:rPr>
          <w:spacing w:val="-3"/>
        </w:rPr>
        <w:t xml:space="preserve"> </w:t>
      </w:r>
      <w:r>
        <w:t>product</w:t>
      </w:r>
      <w:r>
        <w:rPr>
          <w:spacing w:val="-3"/>
        </w:rPr>
        <w:t xml:space="preserve"> </w:t>
      </w:r>
      <w:r>
        <w:t>is</w:t>
      </w:r>
      <w:r>
        <w:rPr>
          <w:spacing w:val="-3"/>
        </w:rPr>
        <w:t xml:space="preserve"> </w:t>
      </w:r>
      <w:r>
        <w:t>subject</w:t>
      </w:r>
      <w:r>
        <w:rPr>
          <w:spacing w:val="-3"/>
        </w:rPr>
        <w:t xml:space="preserve"> </w:t>
      </w:r>
      <w:r>
        <w:t>to</w:t>
      </w:r>
      <w:r>
        <w:rPr>
          <w:spacing w:val="-3"/>
        </w:rPr>
        <w:t xml:space="preserve"> </w:t>
      </w:r>
      <w:r>
        <w:t>additional</w:t>
      </w:r>
      <w:r>
        <w:rPr>
          <w:spacing w:val="-3"/>
        </w:rPr>
        <w:t xml:space="preserve"> </w:t>
      </w:r>
      <w:r>
        <w:t>monitoring</w:t>
      </w:r>
      <w:r>
        <w:rPr>
          <w:spacing w:val="-3"/>
        </w:rPr>
        <w:t xml:space="preserve"> </w:t>
      </w:r>
      <w:r>
        <w:t>in</w:t>
      </w:r>
      <w:r>
        <w:rPr>
          <w:spacing w:val="-3"/>
        </w:rPr>
        <w:t xml:space="preserve"> </w:t>
      </w:r>
      <w:r>
        <w:t>Australia.</w:t>
      </w:r>
      <w:r>
        <w:rPr>
          <w:spacing w:val="-3"/>
        </w:rPr>
        <w:t xml:space="preserve"> </w:t>
      </w:r>
      <w:r>
        <w:t>This</w:t>
      </w:r>
      <w:r>
        <w:rPr>
          <w:spacing w:val="-3"/>
        </w:rPr>
        <w:t xml:space="preserve"> </w:t>
      </w:r>
      <w:r>
        <w:t>will</w:t>
      </w:r>
      <w:r>
        <w:rPr>
          <w:spacing w:val="-3"/>
        </w:rPr>
        <w:t xml:space="preserve"> </w:t>
      </w:r>
      <w:r>
        <w:t>allow quick</w:t>
      </w:r>
      <w:r>
        <w:rPr>
          <w:spacing w:val="-4"/>
        </w:rPr>
        <w:t xml:space="preserve"> </w:t>
      </w:r>
      <w:r>
        <w:t>identification</w:t>
      </w:r>
      <w:r>
        <w:rPr>
          <w:spacing w:val="-4"/>
        </w:rPr>
        <w:t xml:space="preserve"> </w:t>
      </w:r>
      <w:r>
        <w:t>of</w:t>
      </w:r>
      <w:r>
        <w:rPr>
          <w:spacing w:val="-5"/>
        </w:rPr>
        <w:t xml:space="preserve"> </w:t>
      </w:r>
      <w:r>
        <w:t>new</w:t>
      </w:r>
      <w:r>
        <w:rPr>
          <w:spacing w:val="-5"/>
        </w:rPr>
        <w:t xml:space="preserve"> </w:t>
      </w:r>
      <w:r>
        <w:t>safety</w:t>
      </w:r>
      <w:r>
        <w:rPr>
          <w:spacing w:val="-4"/>
        </w:rPr>
        <w:t xml:space="preserve"> </w:t>
      </w:r>
      <w:r>
        <w:t>information.</w:t>
      </w:r>
      <w:r>
        <w:rPr>
          <w:spacing w:val="-4"/>
        </w:rPr>
        <w:t xml:space="preserve"> </w:t>
      </w:r>
      <w:r>
        <w:t>Healthcare</w:t>
      </w:r>
      <w:r>
        <w:rPr>
          <w:spacing w:val="-5"/>
        </w:rPr>
        <w:t xml:space="preserve"> </w:t>
      </w:r>
      <w:r>
        <w:t>professionals</w:t>
      </w:r>
      <w:r>
        <w:rPr>
          <w:spacing w:val="-2"/>
        </w:rPr>
        <w:t xml:space="preserve"> </w:t>
      </w:r>
      <w:r>
        <w:t>are</w:t>
      </w:r>
      <w:r>
        <w:rPr>
          <w:spacing w:val="-3"/>
        </w:rPr>
        <w:t xml:space="preserve"> </w:t>
      </w:r>
      <w:r>
        <w:t>asked</w:t>
      </w:r>
      <w:r>
        <w:rPr>
          <w:spacing w:val="-4"/>
        </w:rPr>
        <w:t xml:space="preserve"> </w:t>
      </w:r>
      <w:r>
        <w:t>to</w:t>
      </w:r>
      <w:r>
        <w:rPr>
          <w:spacing w:val="-4"/>
        </w:rPr>
        <w:t xml:space="preserve"> </w:t>
      </w:r>
      <w:r>
        <w:t xml:space="preserve">report any suspected adverse events at </w:t>
      </w:r>
      <w:hyperlink r:id="rId7">
        <w:r>
          <w:t>www.tga.gov.au/reporting-problems.</w:t>
        </w:r>
      </w:hyperlink>
    </w:p>
    <w:p w14:paraId="53B38D5A" w14:textId="77777777" w:rsidR="008B6261" w:rsidRDefault="008B6261">
      <w:pPr>
        <w:pStyle w:val="BodyText"/>
        <w:spacing w:before="208"/>
      </w:pPr>
    </w:p>
    <w:p w14:paraId="53B38D5B" w14:textId="77777777" w:rsidR="008B6261" w:rsidRDefault="004C6B8B">
      <w:pPr>
        <w:ind w:left="23" w:right="567" w:hanging="1"/>
        <w:rPr>
          <w:rFonts w:ascii="Arial" w:hAnsi="Arial"/>
          <w:b/>
          <w:sz w:val="28"/>
        </w:rPr>
      </w:pPr>
      <w:bookmarkStart w:id="0" w:name="Australian_product_Information_–_cenrifk"/>
      <w:bookmarkEnd w:id="0"/>
      <w:r>
        <w:rPr>
          <w:rFonts w:ascii="Arial" w:hAnsi="Arial"/>
          <w:b/>
          <w:sz w:val="28"/>
        </w:rPr>
        <w:t>AUSTRALIAN</w:t>
      </w:r>
      <w:r>
        <w:rPr>
          <w:rFonts w:ascii="Arial" w:hAnsi="Arial"/>
          <w:b/>
          <w:spacing w:val="-6"/>
          <w:sz w:val="28"/>
        </w:rPr>
        <w:t xml:space="preserve"> </w:t>
      </w:r>
      <w:r>
        <w:rPr>
          <w:rFonts w:ascii="Arial" w:hAnsi="Arial"/>
          <w:b/>
          <w:sz w:val="28"/>
        </w:rPr>
        <w:t>PRODUCT</w:t>
      </w:r>
      <w:r>
        <w:rPr>
          <w:rFonts w:ascii="Arial" w:hAnsi="Arial"/>
          <w:b/>
          <w:spacing w:val="-8"/>
          <w:sz w:val="28"/>
        </w:rPr>
        <w:t xml:space="preserve"> </w:t>
      </w:r>
      <w:r>
        <w:rPr>
          <w:rFonts w:ascii="Arial" w:hAnsi="Arial"/>
          <w:b/>
          <w:sz w:val="28"/>
        </w:rPr>
        <w:t>INFORMATION</w:t>
      </w:r>
      <w:r>
        <w:rPr>
          <w:rFonts w:ascii="Arial" w:hAnsi="Arial"/>
          <w:b/>
          <w:spacing w:val="-8"/>
          <w:sz w:val="28"/>
        </w:rPr>
        <w:t xml:space="preserve"> </w:t>
      </w:r>
      <w:r>
        <w:rPr>
          <w:rFonts w:ascii="Arial" w:hAnsi="Arial"/>
          <w:b/>
          <w:sz w:val="28"/>
        </w:rPr>
        <w:t>–</w:t>
      </w:r>
      <w:r>
        <w:rPr>
          <w:rFonts w:ascii="Arial" w:hAnsi="Arial"/>
          <w:b/>
          <w:spacing w:val="-10"/>
          <w:sz w:val="28"/>
        </w:rPr>
        <w:t xml:space="preserve"> </w:t>
      </w:r>
      <w:r>
        <w:rPr>
          <w:rFonts w:ascii="Arial" w:hAnsi="Arial"/>
          <w:b/>
          <w:sz w:val="28"/>
        </w:rPr>
        <w:t>CENRIFKI</w:t>
      </w:r>
      <w:r>
        <w:rPr>
          <w:rFonts w:ascii="Arial" w:hAnsi="Arial"/>
          <w:b/>
          <w:sz w:val="28"/>
          <w:vertAlign w:val="superscript"/>
        </w:rPr>
        <w:t>®</w:t>
      </w:r>
      <w:r>
        <w:rPr>
          <w:rFonts w:ascii="Arial" w:hAnsi="Arial"/>
          <w:b/>
          <w:sz w:val="28"/>
        </w:rPr>
        <w:t xml:space="preserve"> </w:t>
      </w:r>
      <w:r>
        <w:rPr>
          <w:rFonts w:ascii="Arial" w:hAnsi="Arial"/>
          <w:b/>
          <w:spacing w:val="-2"/>
          <w:sz w:val="28"/>
        </w:rPr>
        <w:t>(TOLEBRUTINIB)</w:t>
      </w:r>
    </w:p>
    <w:p w14:paraId="53B38D5C" w14:textId="77777777" w:rsidR="008B6261" w:rsidRDefault="008B6261">
      <w:pPr>
        <w:pStyle w:val="BodyText"/>
        <w:spacing w:before="0"/>
        <w:rPr>
          <w:rFonts w:ascii="Arial"/>
          <w:b/>
          <w:sz w:val="20"/>
        </w:rPr>
      </w:pPr>
    </w:p>
    <w:p w14:paraId="53B38D5E" w14:textId="15263C4B" w:rsidR="008B6261" w:rsidRDefault="004C6B8B" w:rsidP="00A77020">
      <w:pPr>
        <w:pStyle w:val="BodyText"/>
        <w:spacing w:before="105"/>
        <w:rPr>
          <w:rFonts w:ascii="Arial"/>
          <w:b/>
          <w:sz w:val="28"/>
        </w:rPr>
      </w:pPr>
      <w:r>
        <w:rPr>
          <w:rFonts w:ascii="Arial"/>
          <w:b/>
          <w:noProof/>
          <w:sz w:val="20"/>
        </w:rPr>
        <mc:AlternateContent>
          <mc:Choice Requires="wps">
            <w:drawing>
              <wp:anchor distT="0" distB="0" distL="0" distR="0" simplePos="0" relativeHeight="487587840" behindDoc="1" locked="0" layoutInCell="1" allowOverlap="1" wp14:anchorId="53B39073" wp14:editId="53B39074">
                <wp:simplePos x="0" y="0"/>
                <wp:positionH relativeFrom="page">
                  <wp:posOffset>914400</wp:posOffset>
                </wp:positionH>
                <wp:positionV relativeFrom="paragraph">
                  <wp:posOffset>233426</wp:posOffset>
                </wp:positionV>
                <wp:extent cx="6047105" cy="320040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7105" cy="3200400"/>
                        </a:xfrm>
                        <a:prstGeom prst="rect">
                          <a:avLst/>
                        </a:prstGeom>
                        <a:ln w="9525">
                          <a:solidFill>
                            <a:srgbClr val="000000"/>
                          </a:solidFill>
                          <a:prstDash val="solid"/>
                        </a:ln>
                      </wps:spPr>
                      <wps:txbx>
                        <w:txbxContent>
                          <w:p w14:paraId="53B39088" w14:textId="77777777" w:rsidR="008B6261" w:rsidRDefault="004C6B8B">
                            <w:pPr>
                              <w:spacing w:before="191"/>
                              <w:ind w:left="3592"/>
                              <w:rPr>
                                <w:b/>
                                <w:sz w:val="24"/>
                              </w:rPr>
                            </w:pPr>
                            <w:r>
                              <w:rPr>
                                <w:b/>
                                <w:sz w:val="24"/>
                              </w:rPr>
                              <w:t>Warning:</w:t>
                            </w:r>
                            <w:r>
                              <w:rPr>
                                <w:b/>
                                <w:spacing w:val="-2"/>
                                <w:sz w:val="24"/>
                              </w:rPr>
                              <w:t xml:space="preserve"> </w:t>
                            </w:r>
                            <w:r>
                              <w:rPr>
                                <w:b/>
                                <w:sz w:val="24"/>
                              </w:rPr>
                              <w:t>Liver</w:t>
                            </w:r>
                            <w:r>
                              <w:rPr>
                                <w:b/>
                                <w:spacing w:val="-2"/>
                                <w:sz w:val="24"/>
                              </w:rPr>
                              <w:t xml:space="preserve"> injury</w:t>
                            </w:r>
                          </w:p>
                          <w:p w14:paraId="53B39089" w14:textId="77777777" w:rsidR="008B6261" w:rsidRDefault="004C6B8B">
                            <w:pPr>
                              <w:spacing w:before="120"/>
                              <w:ind w:left="143"/>
                              <w:rPr>
                                <w:b/>
                                <w:sz w:val="24"/>
                              </w:rPr>
                            </w:pPr>
                            <w:r>
                              <w:rPr>
                                <w:b/>
                                <w:sz w:val="24"/>
                              </w:rPr>
                              <w:t>Cenrifki</w:t>
                            </w:r>
                            <w:r>
                              <w:rPr>
                                <w:b/>
                                <w:spacing w:val="-3"/>
                                <w:sz w:val="24"/>
                              </w:rPr>
                              <w:t xml:space="preserve"> </w:t>
                            </w:r>
                            <w:r>
                              <w:rPr>
                                <w:b/>
                                <w:sz w:val="24"/>
                              </w:rPr>
                              <w:t>can</w:t>
                            </w:r>
                            <w:r>
                              <w:rPr>
                                <w:b/>
                                <w:spacing w:val="-3"/>
                                <w:sz w:val="24"/>
                              </w:rPr>
                              <w:t xml:space="preserve"> </w:t>
                            </w:r>
                            <w:r>
                              <w:rPr>
                                <w:b/>
                                <w:sz w:val="24"/>
                              </w:rPr>
                              <w:t>cause</w:t>
                            </w:r>
                            <w:r>
                              <w:rPr>
                                <w:b/>
                                <w:spacing w:val="-4"/>
                                <w:sz w:val="24"/>
                              </w:rPr>
                              <w:t xml:space="preserve"> </w:t>
                            </w:r>
                            <w:r>
                              <w:rPr>
                                <w:b/>
                                <w:sz w:val="24"/>
                              </w:rPr>
                              <w:t>serious</w:t>
                            </w:r>
                            <w:r>
                              <w:rPr>
                                <w:b/>
                                <w:spacing w:val="-3"/>
                                <w:sz w:val="24"/>
                              </w:rPr>
                              <w:t xml:space="preserve"> </w:t>
                            </w:r>
                            <w:r>
                              <w:rPr>
                                <w:b/>
                                <w:sz w:val="24"/>
                              </w:rPr>
                              <w:t>and</w:t>
                            </w:r>
                            <w:r>
                              <w:rPr>
                                <w:b/>
                                <w:spacing w:val="-5"/>
                                <w:sz w:val="24"/>
                              </w:rPr>
                              <w:t xml:space="preserve"> </w:t>
                            </w:r>
                            <w:r>
                              <w:rPr>
                                <w:b/>
                                <w:sz w:val="24"/>
                              </w:rPr>
                              <w:t>potentially</w:t>
                            </w:r>
                            <w:r>
                              <w:rPr>
                                <w:b/>
                                <w:spacing w:val="-3"/>
                                <w:sz w:val="24"/>
                              </w:rPr>
                              <w:t xml:space="preserve"> </w:t>
                            </w:r>
                            <w:r>
                              <w:rPr>
                                <w:b/>
                                <w:sz w:val="24"/>
                              </w:rPr>
                              <w:t>fatal</w:t>
                            </w:r>
                            <w:r>
                              <w:rPr>
                                <w:b/>
                                <w:spacing w:val="-3"/>
                                <w:sz w:val="24"/>
                              </w:rPr>
                              <w:t xml:space="preserve"> </w:t>
                            </w:r>
                            <w:r>
                              <w:rPr>
                                <w:b/>
                                <w:sz w:val="24"/>
                              </w:rPr>
                              <w:t>liver</w:t>
                            </w:r>
                            <w:r>
                              <w:rPr>
                                <w:b/>
                                <w:spacing w:val="-4"/>
                                <w:sz w:val="24"/>
                              </w:rPr>
                              <w:t xml:space="preserve"> </w:t>
                            </w:r>
                            <w:r>
                              <w:rPr>
                                <w:b/>
                                <w:sz w:val="24"/>
                              </w:rPr>
                              <w:t>injury.</w:t>
                            </w:r>
                            <w:r>
                              <w:rPr>
                                <w:b/>
                                <w:spacing w:val="-3"/>
                                <w:sz w:val="24"/>
                              </w:rPr>
                              <w:t xml:space="preserve"> </w:t>
                            </w:r>
                            <w:r>
                              <w:rPr>
                                <w:b/>
                                <w:sz w:val="24"/>
                              </w:rPr>
                              <w:t>Acute</w:t>
                            </w:r>
                            <w:r>
                              <w:rPr>
                                <w:b/>
                                <w:spacing w:val="-4"/>
                                <w:sz w:val="24"/>
                              </w:rPr>
                              <w:t xml:space="preserve"> </w:t>
                            </w:r>
                            <w:r>
                              <w:rPr>
                                <w:b/>
                                <w:sz w:val="24"/>
                              </w:rPr>
                              <w:t>liver</w:t>
                            </w:r>
                            <w:r>
                              <w:rPr>
                                <w:b/>
                                <w:spacing w:val="-4"/>
                                <w:sz w:val="24"/>
                              </w:rPr>
                              <w:t xml:space="preserve"> </w:t>
                            </w:r>
                            <w:r>
                              <w:rPr>
                                <w:b/>
                                <w:sz w:val="24"/>
                              </w:rPr>
                              <w:t>failure</w:t>
                            </w:r>
                            <w:r>
                              <w:rPr>
                                <w:b/>
                                <w:spacing w:val="-4"/>
                                <w:sz w:val="24"/>
                              </w:rPr>
                              <w:t xml:space="preserve"> </w:t>
                            </w:r>
                            <w:r>
                              <w:rPr>
                                <w:b/>
                                <w:sz w:val="24"/>
                              </w:rPr>
                              <w:t>requiring liver transplantation has been reported.</w:t>
                            </w:r>
                          </w:p>
                          <w:p w14:paraId="53B3908A" w14:textId="77777777" w:rsidR="008B6261" w:rsidRDefault="004C6B8B">
                            <w:pPr>
                              <w:spacing w:before="120"/>
                              <w:ind w:left="143" w:right="86"/>
                              <w:rPr>
                                <w:b/>
                                <w:sz w:val="24"/>
                              </w:rPr>
                            </w:pPr>
                            <w:r>
                              <w:rPr>
                                <w:b/>
                                <w:sz w:val="24"/>
                              </w:rPr>
                              <w:t>Liver function tests (ALT, AST, alkaline phosphatase and total bilirubin) must be performed prior to initiation of treatment, and after treatment initiation, weekly during the</w:t>
                            </w:r>
                            <w:r>
                              <w:rPr>
                                <w:b/>
                                <w:spacing w:val="-4"/>
                                <w:sz w:val="24"/>
                              </w:rPr>
                              <w:t xml:space="preserve"> </w:t>
                            </w:r>
                            <w:r>
                              <w:rPr>
                                <w:b/>
                                <w:sz w:val="24"/>
                              </w:rPr>
                              <w:t>first</w:t>
                            </w:r>
                            <w:r>
                              <w:rPr>
                                <w:b/>
                                <w:spacing w:val="-4"/>
                                <w:sz w:val="24"/>
                              </w:rPr>
                              <w:t xml:space="preserve"> </w:t>
                            </w:r>
                            <w:r>
                              <w:rPr>
                                <w:b/>
                                <w:sz w:val="24"/>
                              </w:rPr>
                              <w:t>12</w:t>
                            </w:r>
                            <w:r>
                              <w:rPr>
                                <w:b/>
                                <w:spacing w:val="-3"/>
                                <w:sz w:val="24"/>
                              </w:rPr>
                              <w:t xml:space="preserve"> </w:t>
                            </w:r>
                            <w:r>
                              <w:rPr>
                                <w:b/>
                                <w:sz w:val="24"/>
                              </w:rPr>
                              <w:t>weeks,</w:t>
                            </w:r>
                            <w:r>
                              <w:rPr>
                                <w:b/>
                                <w:spacing w:val="-3"/>
                                <w:sz w:val="24"/>
                              </w:rPr>
                              <w:t xml:space="preserve"> </w:t>
                            </w:r>
                            <w:r>
                              <w:rPr>
                                <w:b/>
                                <w:sz w:val="24"/>
                              </w:rPr>
                              <w:t>monthly</w:t>
                            </w:r>
                            <w:r>
                              <w:rPr>
                                <w:b/>
                                <w:spacing w:val="-3"/>
                                <w:sz w:val="24"/>
                              </w:rPr>
                              <w:t xml:space="preserve"> </w:t>
                            </w:r>
                            <w:r>
                              <w:rPr>
                                <w:b/>
                                <w:sz w:val="24"/>
                              </w:rPr>
                              <w:t>during</w:t>
                            </w:r>
                            <w:r>
                              <w:rPr>
                                <w:b/>
                                <w:spacing w:val="-3"/>
                                <w:sz w:val="24"/>
                              </w:rPr>
                              <w:t xml:space="preserve"> </w:t>
                            </w:r>
                            <w:r>
                              <w:rPr>
                                <w:b/>
                                <w:sz w:val="24"/>
                              </w:rPr>
                              <w:t>months</w:t>
                            </w:r>
                            <w:r>
                              <w:rPr>
                                <w:b/>
                                <w:spacing w:val="-3"/>
                                <w:sz w:val="24"/>
                              </w:rPr>
                              <w:t xml:space="preserve"> </w:t>
                            </w:r>
                            <w:r>
                              <w:rPr>
                                <w:b/>
                                <w:sz w:val="24"/>
                              </w:rPr>
                              <w:t>4</w:t>
                            </w:r>
                            <w:r>
                              <w:rPr>
                                <w:b/>
                                <w:spacing w:val="-3"/>
                                <w:sz w:val="24"/>
                              </w:rPr>
                              <w:t xml:space="preserve"> </w:t>
                            </w:r>
                            <w:r>
                              <w:rPr>
                                <w:b/>
                                <w:sz w:val="24"/>
                              </w:rPr>
                              <w:t>to</w:t>
                            </w:r>
                            <w:r>
                              <w:rPr>
                                <w:b/>
                                <w:spacing w:val="-3"/>
                                <w:sz w:val="24"/>
                              </w:rPr>
                              <w:t xml:space="preserve"> </w:t>
                            </w:r>
                            <w:r>
                              <w:rPr>
                                <w:b/>
                                <w:sz w:val="24"/>
                              </w:rPr>
                              <w:t>12,</w:t>
                            </w:r>
                            <w:r>
                              <w:rPr>
                                <w:b/>
                                <w:spacing w:val="-3"/>
                                <w:sz w:val="24"/>
                              </w:rPr>
                              <w:t xml:space="preserve"> </w:t>
                            </w:r>
                            <w:r>
                              <w:rPr>
                                <w:b/>
                                <w:sz w:val="24"/>
                              </w:rPr>
                              <w:t>and</w:t>
                            </w:r>
                            <w:r>
                              <w:rPr>
                                <w:b/>
                                <w:spacing w:val="-3"/>
                                <w:sz w:val="24"/>
                              </w:rPr>
                              <w:t xml:space="preserve"> </w:t>
                            </w:r>
                            <w:r>
                              <w:rPr>
                                <w:b/>
                                <w:sz w:val="24"/>
                              </w:rPr>
                              <w:t>every</w:t>
                            </w:r>
                            <w:r>
                              <w:rPr>
                                <w:b/>
                                <w:spacing w:val="-3"/>
                                <w:sz w:val="24"/>
                              </w:rPr>
                              <w:t xml:space="preserve"> </w:t>
                            </w:r>
                            <w:r>
                              <w:rPr>
                                <w:b/>
                                <w:sz w:val="24"/>
                              </w:rPr>
                              <w:t>6</w:t>
                            </w:r>
                            <w:r>
                              <w:rPr>
                                <w:b/>
                                <w:spacing w:val="-3"/>
                                <w:sz w:val="24"/>
                              </w:rPr>
                              <w:t xml:space="preserve"> </w:t>
                            </w:r>
                            <w:r>
                              <w:rPr>
                                <w:b/>
                                <w:sz w:val="24"/>
                              </w:rPr>
                              <w:t>months</w:t>
                            </w:r>
                            <w:r>
                              <w:rPr>
                                <w:b/>
                                <w:spacing w:val="-6"/>
                                <w:sz w:val="24"/>
                              </w:rPr>
                              <w:t xml:space="preserve"> </w:t>
                            </w:r>
                            <w:r>
                              <w:rPr>
                                <w:b/>
                                <w:sz w:val="24"/>
                              </w:rPr>
                              <w:t>thereafter.</w:t>
                            </w:r>
                            <w:r>
                              <w:rPr>
                                <w:b/>
                                <w:spacing w:val="-3"/>
                                <w:sz w:val="24"/>
                              </w:rPr>
                              <w:t xml:space="preserve"> </w:t>
                            </w:r>
                            <w:r>
                              <w:rPr>
                                <w:b/>
                                <w:sz w:val="24"/>
                              </w:rPr>
                              <w:t>Weekly monitoring should be restarted following treatment interruption due to abnormal liver function tests, or due to a gap in treatment of 1 year or longer.</w:t>
                            </w:r>
                          </w:p>
                          <w:p w14:paraId="53B3908B" w14:textId="77777777" w:rsidR="008B6261" w:rsidRDefault="004C6B8B">
                            <w:pPr>
                              <w:spacing w:before="121"/>
                              <w:ind w:left="143"/>
                              <w:rPr>
                                <w:b/>
                                <w:sz w:val="24"/>
                              </w:rPr>
                            </w:pPr>
                            <w:r>
                              <w:rPr>
                                <w:b/>
                                <w:sz w:val="24"/>
                              </w:rPr>
                              <w:t>Cenrifki</w:t>
                            </w:r>
                            <w:r>
                              <w:rPr>
                                <w:b/>
                                <w:spacing w:val="-4"/>
                                <w:sz w:val="24"/>
                              </w:rPr>
                              <w:t xml:space="preserve"> </w:t>
                            </w:r>
                            <w:r>
                              <w:rPr>
                                <w:b/>
                                <w:sz w:val="24"/>
                              </w:rPr>
                              <w:t>is</w:t>
                            </w:r>
                            <w:r>
                              <w:rPr>
                                <w:b/>
                                <w:spacing w:val="-4"/>
                                <w:sz w:val="24"/>
                              </w:rPr>
                              <w:t xml:space="preserve"> </w:t>
                            </w:r>
                            <w:r>
                              <w:rPr>
                                <w:b/>
                                <w:sz w:val="24"/>
                              </w:rPr>
                              <w:t>contraindicated</w:t>
                            </w:r>
                            <w:r>
                              <w:rPr>
                                <w:b/>
                                <w:spacing w:val="-4"/>
                                <w:sz w:val="24"/>
                              </w:rPr>
                              <w:t xml:space="preserve"> </w:t>
                            </w:r>
                            <w:r>
                              <w:rPr>
                                <w:b/>
                                <w:sz w:val="24"/>
                              </w:rPr>
                              <w:t>in</w:t>
                            </w:r>
                            <w:r>
                              <w:rPr>
                                <w:b/>
                                <w:spacing w:val="-4"/>
                                <w:sz w:val="24"/>
                              </w:rPr>
                              <w:t xml:space="preserve"> </w:t>
                            </w:r>
                            <w:r>
                              <w:rPr>
                                <w:b/>
                                <w:sz w:val="24"/>
                              </w:rPr>
                              <w:t>patients</w:t>
                            </w:r>
                            <w:r>
                              <w:rPr>
                                <w:b/>
                                <w:spacing w:val="-4"/>
                                <w:sz w:val="24"/>
                              </w:rPr>
                              <w:t xml:space="preserve"> </w:t>
                            </w:r>
                            <w:r>
                              <w:rPr>
                                <w:b/>
                                <w:sz w:val="24"/>
                              </w:rPr>
                              <w:t>with</w:t>
                            </w:r>
                            <w:r>
                              <w:rPr>
                                <w:b/>
                                <w:spacing w:val="-4"/>
                                <w:sz w:val="24"/>
                              </w:rPr>
                              <w:t xml:space="preserve"> </w:t>
                            </w:r>
                            <w:r>
                              <w:rPr>
                                <w:b/>
                                <w:sz w:val="24"/>
                              </w:rPr>
                              <w:t>severe</w:t>
                            </w:r>
                            <w:r>
                              <w:rPr>
                                <w:b/>
                                <w:spacing w:val="-4"/>
                                <w:sz w:val="24"/>
                              </w:rPr>
                              <w:t xml:space="preserve"> </w:t>
                            </w:r>
                            <w:r>
                              <w:rPr>
                                <w:b/>
                                <w:sz w:val="24"/>
                              </w:rPr>
                              <w:t>hepatic</w:t>
                            </w:r>
                            <w:r>
                              <w:rPr>
                                <w:b/>
                                <w:spacing w:val="-4"/>
                                <w:sz w:val="24"/>
                              </w:rPr>
                              <w:t xml:space="preserve"> </w:t>
                            </w:r>
                            <w:r>
                              <w:rPr>
                                <w:b/>
                                <w:sz w:val="24"/>
                              </w:rPr>
                              <w:t>impairment</w:t>
                            </w:r>
                            <w:r>
                              <w:rPr>
                                <w:b/>
                                <w:spacing w:val="-4"/>
                                <w:sz w:val="24"/>
                              </w:rPr>
                              <w:t xml:space="preserve"> </w:t>
                            </w:r>
                            <w:r>
                              <w:rPr>
                                <w:b/>
                                <w:sz w:val="24"/>
                              </w:rPr>
                              <w:t>(see</w:t>
                            </w:r>
                            <w:r>
                              <w:rPr>
                                <w:b/>
                                <w:spacing w:val="-4"/>
                                <w:sz w:val="24"/>
                              </w:rPr>
                              <w:t xml:space="preserve"> </w:t>
                            </w:r>
                            <w:r>
                              <w:rPr>
                                <w:b/>
                                <w:sz w:val="24"/>
                              </w:rPr>
                              <w:t>Section</w:t>
                            </w:r>
                            <w:r>
                              <w:rPr>
                                <w:b/>
                                <w:spacing w:val="-4"/>
                                <w:sz w:val="24"/>
                              </w:rPr>
                              <w:t xml:space="preserve"> </w:t>
                            </w:r>
                            <w:r>
                              <w:rPr>
                                <w:b/>
                                <w:sz w:val="24"/>
                              </w:rPr>
                              <w:t xml:space="preserve">4.3 </w:t>
                            </w:r>
                            <w:r>
                              <w:rPr>
                                <w:b/>
                                <w:spacing w:val="-2"/>
                                <w:sz w:val="24"/>
                              </w:rPr>
                              <w:t>Contraindications).</w:t>
                            </w:r>
                          </w:p>
                          <w:p w14:paraId="53B3908C" w14:textId="77777777" w:rsidR="008B6261" w:rsidRDefault="004C6B8B">
                            <w:pPr>
                              <w:spacing w:before="120"/>
                              <w:ind w:left="143"/>
                              <w:rPr>
                                <w:b/>
                                <w:sz w:val="24"/>
                              </w:rPr>
                            </w:pPr>
                            <w:r>
                              <w:rPr>
                                <w:b/>
                                <w:sz w:val="24"/>
                              </w:rPr>
                              <w:t>Concomitant</w:t>
                            </w:r>
                            <w:r>
                              <w:rPr>
                                <w:b/>
                                <w:spacing w:val="-5"/>
                                <w:sz w:val="24"/>
                              </w:rPr>
                              <w:t xml:space="preserve"> </w:t>
                            </w:r>
                            <w:r>
                              <w:rPr>
                                <w:b/>
                                <w:sz w:val="24"/>
                              </w:rPr>
                              <w:t>use</w:t>
                            </w:r>
                            <w:r>
                              <w:rPr>
                                <w:b/>
                                <w:spacing w:val="-5"/>
                                <w:sz w:val="24"/>
                              </w:rPr>
                              <w:t xml:space="preserve"> </w:t>
                            </w:r>
                            <w:r>
                              <w:rPr>
                                <w:b/>
                                <w:sz w:val="24"/>
                              </w:rPr>
                              <w:t>of</w:t>
                            </w:r>
                            <w:r>
                              <w:rPr>
                                <w:b/>
                                <w:spacing w:val="-5"/>
                                <w:sz w:val="24"/>
                              </w:rPr>
                              <w:t xml:space="preserve"> </w:t>
                            </w:r>
                            <w:r>
                              <w:rPr>
                                <w:b/>
                                <w:sz w:val="24"/>
                              </w:rPr>
                              <w:t>Cenrifki</w:t>
                            </w:r>
                            <w:r>
                              <w:rPr>
                                <w:b/>
                                <w:spacing w:val="-4"/>
                                <w:sz w:val="24"/>
                              </w:rPr>
                              <w:t xml:space="preserve"> </w:t>
                            </w:r>
                            <w:r>
                              <w:rPr>
                                <w:b/>
                                <w:sz w:val="24"/>
                              </w:rPr>
                              <w:t>with</w:t>
                            </w:r>
                            <w:r>
                              <w:rPr>
                                <w:b/>
                                <w:spacing w:val="-4"/>
                                <w:sz w:val="24"/>
                              </w:rPr>
                              <w:t xml:space="preserve"> </w:t>
                            </w:r>
                            <w:r>
                              <w:rPr>
                                <w:b/>
                                <w:sz w:val="24"/>
                              </w:rPr>
                              <w:t>other</w:t>
                            </w:r>
                            <w:r>
                              <w:rPr>
                                <w:b/>
                                <w:spacing w:val="-5"/>
                                <w:sz w:val="24"/>
                              </w:rPr>
                              <w:t xml:space="preserve"> </w:t>
                            </w:r>
                            <w:r>
                              <w:rPr>
                                <w:b/>
                                <w:sz w:val="24"/>
                              </w:rPr>
                              <w:t>hepatotoxic</w:t>
                            </w:r>
                            <w:r>
                              <w:rPr>
                                <w:b/>
                                <w:spacing w:val="-5"/>
                                <w:sz w:val="24"/>
                              </w:rPr>
                              <w:t xml:space="preserve"> </w:t>
                            </w:r>
                            <w:r>
                              <w:rPr>
                                <w:b/>
                                <w:sz w:val="24"/>
                              </w:rPr>
                              <w:t>medicinal</w:t>
                            </w:r>
                            <w:r>
                              <w:rPr>
                                <w:b/>
                                <w:spacing w:val="-4"/>
                                <w:sz w:val="24"/>
                              </w:rPr>
                              <w:t xml:space="preserve"> </w:t>
                            </w:r>
                            <w:r>
                              <w:rPr>
                                <w:b/>
                                <w:sz w:val="24"/>
                              </w:rPr>
                              <w:t>products,</w:t>
                            </w:r>
                            <w:r>
                              <w:rPr>
                                <w:b/>
                                <w:spacing w:val="-4"/>
                                <w:sz w:val="24"/>
                              </w:rPr>
                              <w:t xml:space="preserve"> </w:t>
                            </w:r>
                            <w:r>
                              <w:rPr>
                                <w:b/>
                                <w:sz w:val="24"/>
                              </w:rPr>
                              <w:t>herbal</w:t>
                            </w:r>
                            <w:r>
                              <w:rPr>
                                <w:b/>
                                <w:spacing w:val="-4"/>
                                <w:sz w:val="24"/>
                              </w:rPr>
                              <w:t xml:space="preserve"> </w:t>
                            </w:r>
                            <w:r>
                              <w:rPr>
                                <w:b/>
                                <w:sz w:val="24"/>
                              </w:rPr>
                              <w:t>or</w:t>
                            </w:r>
                            <w:r>
                              <w:rPr>
                                <w:b/>
                                <w:spacing w:val="-5"/>
                                <w:sz w:val="24"/>
                              </w:rPr>
                              <w:t xml:space="preserve"> </w:t>
                            </w:r>
                            <w:r>
                              <w:rPr>
                                <w:b/>
                                <w:sz w:val="24"/>
                              </w:rPr>
                              <w:t>dietary supplements may increase the risk of severe liver injury.</w:t>
                            </w:r>
                          </w:p>
                          <w:p w14:paraId="53B3908D" w14:textId="77777777" w:rsidR="008B6261" w:rsidRDefault="004C6B8B">
                            <w:pPr>
                              <w:spacing w:before="120"/>
                              <w:ind w:left="143" w:right="207"/>
                              <w:rPr>
                                <w:b/>
                                <w:sz w:val="24"/>
                              </w:rPr>
                            </w:pPr>
                            <w:r>
                              <w:rPr>
                                <w:b/>
                                <w:sz w:val="24"/>
                              </w:rPr>
                              <w:t>If drug-induced liver injury (DILI) is suspected to be induced by Cenrifki, treatment must</w:t>
                            </w:r>
                            <w:r>
                              <w:rPr>
                                <w:b/>
                                <w:spacing w:val="-4"/>
                                <w:sz w:val="24"/>
                              </w:rPr>
                              <w:t xml:space="preserve"> </w:t>
                            </w:r>
                            <w:r>
                              <w:rPr>
                                <w:b/>
                                <w:sz w:val="24"/>
                              </w:rPr>
                              <w:t>be</w:t>
                            </w:r>
                            <w:r>
                              <w:rPr>
                                <w:b/>
                                <w:spacing w:val="-4"/>
                                <w:sz w:val="24"/>
                              </w:rPr>
                              <w:t xml:space="preserve"> </w:t>
                            </w:r>
                            <w:r>
                              <w:rPr>
                                <w:b/>
                                <w:sz w:val="24"/>
                              </w:rPr>
                              <w:t>discontinued</w:t>
                            </w:r>
                            <w:r>
                              <w:rPr>
                                <w:b/>
                                <w:spacing w:val="-3"/>
                                <w:sz w:val="24"/>
                              </w:rPr>
                              <w:t xml:space="preserve"> </w:t>
                            </w:r>
                            <w:r>
                              <w:rPr>
                                <w:b/>
                                <w:sz w:val="24"/>
                              </w:rPr>
                              <w:t>(see</w:t>
                            </w:r>
                            <w:r>
                              <w:rPr>
                                <w:b/>
                                <w:spacing w:val="-4"/>
                                <w:sz w:val="24"/>
                              </w:rPr>
                              <w:t xml:space="preserve"> </w:t>
                            </w:r>
                            <w:r>
                              <w:rPr>
                                <w:b/>
                                <w:sz w:val="24"/>
                              </w:rPr>
                              <w:t>Sections</w:t>
                            </w:r>
                            <w:r>
                              <w:rPr>
                                <w:b/>
                                <w:spacing w:val="-3"/>
                                <w:sz w:val="24"/>
                              </w:rPr>
                              <w:t xml:space="preserve"> </w:t>
                            </w:r>
                            <w:r>
                              <w:rPr>
                                <w:b/>
                                <w:sz w:val="24"/>
                              </w:rPr>
                              <w:t>4.2</w:t>
                            </w:r>
                            <w:r>
                              <w:rPr>
                                <w:b/>
                                <w:spacing w:val="-3"/>
                                <w:sz w:val="24"/>
                              </w:rPr>
                              <w:t xml:space="preserve"> </w:t>
                            </w:r>
                            <w:r>
                              <w:rPr>
                                <w:b/>
                                <w:sz w:val="24"/>
                              </w:rPr>
                              <w:t>Dose</w:t>
                            </w:r>
                            <w:r>
                              <w:rPr>
                                <w:b/>
                                <w:spacing w:val="-4"/>
                                <w:sz w:val="24"/>
                              </w:rPr>
                              <w:t xml:space="preserve"> </w:t>
                            </w:r>
                            <w:r>
                              <w:rPr>
                                <w:b/>
                                <w:sz w:val="24"/>
                              </w:rPr>
                              <w:t>and</w:t>
                            </w:r>
                            <w:r>
                              <w:rPr>
                                <w:b/>
                                <w:spacing w:val="-3"/>
                                <w:sz w:val="24"/>
                              </w:rPr>
                              <w:t xml:space="preserve"> </w:t>
                            </w:r>
                            <w:r>
                              <w:rPr>
                                <w:b/>
                                <w:sz w:val="24"/>
                              </w:rPr>
                              <w:t>method</w:t>
                            </w:r>
                            <w:r>
                              <w:rPr>
                                <w:b/>
                                <w:spacing w:val="-3"/>
                                <w:sz w:val="24"/>
                              </w:rPr>
                              <w:t xml:space="preserve"> </w:t>
                            </w:r>
                            <w:r>
                              <w:rPr>
                                <w:b/>
                                <w:sz w:val="24"/>
                              </w:rPr>
                              <w:t>of</w:t>
                            </w:r>
                            <w:r>
                              <w:rPr>
                                <w:b/>
                                <w:spacing w:val="-4"/>
                                <w:sz w:val="24"/>
                              </w:rPr>
                              <w:t xml:space="preserve"> </w:t>
                            </w:r>
                            <w:r>
                              <w:rPr>
                                <w:b/>
                                <w:sz w:val="24"/>
                              </w:rPr>
                              <w:t>administration</w:t>
                            </w:r>
                            <w:r>
                              <w:rPr>
                                <w:b/>
                                <w:spacing w:val="-3"/>
                                <w:sz w:val="24"/>
                              </w:rPr>
                              <w:t xml:space="preserve"> </w:t>
                            </w:r>
                            <w:r>
                              <w:rPr>
                                <w:b/>
                                <w:sz w:val="24"/>
                              </w:rPr>
                              <w:t>and</w:t>
                            </w:r>
                            <w:r>
                              <w:rPr>
                                <w:b/>
                                <w:spacing w:val="-3"/>
                                <w:sz w:val="24"/>
                              </w:rPr>
                              <w:t xml:space="preserve"> </w:t>
                            </w:r>
                            <w:r>
                              <w:rPr>
                                <w:b/>
                                <w:sz w:val="24"/>
                              </w:rPr>
                              <w:t>4.4</w:t>
                            </w:r>
                            <w:r>
                              <w:rPr>
                                <w:b/>
                                <w:spacing w:val="-3"/>
                                <w:sz w:val="24"/>
                              </w:rPr>
                              <w:t xml:space="preserve"> </w:t>
                            </w:r>
                            <w:r>
                              <w:rPr>
                                <w:b/>
                                <w:sz w:val="24"/>
                              </w:rPr>
                              <w:t>Special warnings and precautions for use).</w:t>
                            </w:r>
                          </w:p>
                        </w:txbxContent>
                      </wps:txbx>
                      <wps:bodyPr wrap="square" lIns="0" tIns="0" rIns="0" bIns="0" rtlCol="0">
                        <a:noAutofit/>
                      </wps:bodyPr>
                    </wps:wsp>
                  </a:graphicData>
                </a:graphic>
              </wp:anchor>
            </w:drawing>
          </mc:Choice>
          <mc:Fallback>
            <w:pict>
              <v:shapetype w14:anchorId="53B39073" id="_x0000_t202" coordsize="21600,21600" o:spt="202" path="m,l,21600r21600,l21600,xe">
                <v:stroke joinstyle="miter"/>
                <v:path gradientshapeok="t" o:connecttype="rect"/>
              </v:shapetype>
              <v:shape id="Textbox 3" o:spid="_x0000_s1026" type="#_x0000_t202" style="position:absolute;margin-left:1in;margin-top:18.4pt;width:476.15pt;height:252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" filled="f">
                <v:path arrowok="t"/>
                <v:textbox inset="0,0,0,0">
                  <w:txbxContent>
                    <w:p w14:paraId="53B39088" w14:textId="77777777" w:rsidR="008B6261" w:rsidRDefault="004C6B8B">
                      <w:pPr>
                        <w:spacing w:before="191"/>
                        <w:ind w:left="3592"/>
                        <w:rPr>
                          <w:b/>
                          <w:sz w:val="24"/>
                        </w:rPr>
                      </w:pPr>
                      <w:r>
                        <w:rPr>
                          <w:b/>
                          <w:sz w:val="24"/>
                        </w:rPr>
                        <w:t>Warning:</w:t>
                      </w:r>
                      <w:r>
                        <w:rPr>
                          <w:b/>
                          <w:spacing w:val="-2"/>
                          <w:sz w:val="24"/>
                        </w:rPr>
                        <w:t xml:space="preserve"> </w:t>
                      </w:r>
                      <w:r>
                        <w:rPr>
                          <w:b/>
                          <w:sz w:val="24"/>
                        </w:rPr>
                        <w:t>Liver</w:t>
                      </w:r>
                      <w:r>
                        <w:rPr>
                          <w:b/>
                          <w:spacing w:val="-2"/>
                          <w:sz w:val="24"/>
                        </w:rPr>
                        <w:t xml:space="preserve"> injury</w:t>
                      </w:r>
                    </w:p>
                    <w:p w14:paraId="53B39089" w14:textId="77777777" w:rsidR="008B6261" w:rsidRDefault="004C6B8B">
                      <w:pPr>
                        <w:spacing w:before="120"/>
                        <w:ind w:left="143"/>
                        <w:rPr>
                          <w:b/>
                          <w:sz w:val="24"/>
                        </w:rPr>
                      </w:pPr>
                      <w:r>
                        <w:rPr>
                          <w:b/>
                          <w:sz w:val="24"/>
                        </w:rPr>
                        <w:t>Cenrifki</w:t>
                      </w:r>
                      <w:r>
                        <w:rPr>
                          <w:b/>
                          <w:spacing w:val="-3"/>
                          <w:sz w:val="24"/>
                        </w:rPr>
                        <w:t xml:space="preserve"> </w:t>
                      </w:r>
                      <w:r>
                        <w:rPr>
                          <w:b/>
                          <w:sz w:val="24"/>
                        </w:rPr>
                        <w:t>can</w:t>
                      </w:r>
                      <w:r>
                        <w:rPr>
                          <w:b/>
                          <w:spacing w:val="-3"/>
                          <w:sz w:val="24"/>
                        </w:rPr>
                        <w:t xml:space="preserve"> </w:t>
                      </w:r>
                      <w:r>
                        <w:rPr>
                          <w:b/>
                          <w:sz w:val="24"/>
                        </w:rPr>
                        <w:t>cause</w:t>
                      </w:r>
                      <w:r>
                        <w:rPr>
                          <w:b/>
                          <w:spacing w:val="-4"/>
                          <w:sz w:val="24"/>
                        </w:rPr>
                        <w:t xml:space="preserve"> </w:t>
                      </w:r>
                      <w:r>
                        <w:rPr>
                          <w:b/>
                          <w:sz w:val="24"/>
                        </w:rPr>
                        <w:t>serious</w:t>
                      </w:r>
                      <w:r>
                        <w:rPr>
                          <w:b/>
                          <w:spacing w:val="-3"/>
                          <w:sz w:val="24"/>
                        </w:rPr>
                        <w:t xml:space="preserve"> </w:t>
                      </w:r>
                      <w:r>
                        <w:rPr>
                          <w:b/>
                          <w:sz w:val="24"/>
                        </w:rPr>
                        <w:t>and</w:t>
                      </w:r>
                      <w:r>
                        <w:rPr>
                          <w:b/>
                          <w:spacing w:val="-5"/>
                          <w:sz w:val="24"/>
                        </w:rPr>
                        <w:t xml:space="preserve"> </w:t>
                      </w:r>
                      <w:r>
                        <w:rPr>
                          <w:b/>
                          <w:sz w:val="24"/>
                        </w:rPr>
                        <w:t>potentially</w:t>
                      </w:r>
                      <w:r>
                        <w:rPr>
                          <w:b/>
                          <w:spacing w:val="-3"/>
                          <w:sz w:val="24"/>
                        </w:rPr>
                        <w:t xml:space="preserve"> </w:t>
                      </w:r>
                      <w:r>
                        <w:rPr>
                          <w:b/>
                          <w:sz w:val="24"/>
                        </w:rPr>
                        <w:t>fatal</w:t>
                      </w:r>
                      <w:r>
                        <w:rPr>
                          <w:b/>
                          <w:spacing w:val="-3"/>
                          <w:sz w:val="24"/>
                        </w:rPr>
                        <w:t xml:space="preserve"> </w:t>
                      </w:r>
                      <w:r>
                        <w:rPr>
                          <w:b/>
                          <w:sz w:val="24"/>
                        </w:rPr>
                        <w:t>liver</w:t>
                      </w:r>
                      <w:r>
                        <w:rPr>
                          <w:b/>
                          <w:spacing w:val="-4"/>
                          <w:sz w:val="24"/>
                        </w:rPr>
                        <w:t xml:space="preserve"> </w:t>
                      </w:r>
                      <w:r>
                        <w:rPr>
                          <w:b/>
                          <w:sz w:val="24"/>
                        </w:rPr>
                        <w:t>injury.</w:t>
                      </w:r>
                      <w:r>
                        <w:rPr>
                          <w:b/>
                          <w:spacing w:val="-3"/>
                          <w:sz w:val="24"/>
                        </w:rPr>
                        <w:t xml:space="preserve"> </w:t>
                      </w:r>
                      <w:r>
                        <w:rPr>
                          <w:b/>
                          <w:sz w:val="24"/>
                        </w:rPr>
                        <w:t>Acute</w:t>
                      </w:r>
                      <w:r>
                        <w:rPr>
                          <w:b/>
                          <w:spacing w:val="-4"/>
                          <w:sz w:val="24"/>
                        </w:rPr>
                        <w:t xml:space="preserve"> </w:t>
                      </w:r>
                      <w:r>
                        <w:rPr>
                          <w:b/>
                          <w:sz w:val="24"/>
                        </w:rPr>
                        <w:t>liver</w:t>
                      </w:r>
                      <w:r>
                        <w:rPr>
                          <w:b/>
                          <w:spacing w:val="-4"/>
                          <w:sz w:val="24"/>
                        </w:rPr>
                        <w:t xml:space="preserve"> </w:t>
                      </w:r>
                      <w:r>
                        <w:rPr>
                          <w:b/>
                          <w:sz w:val="24"/>
                        </w:rPr>
                        <w:t>failure</w:t>
                      </w:r>
                      <w:r>
                        <w:rPr>
                          <w:b/>
                          <w:spacing w:val="-4"/>
                          <w:sz w:val="24"/>
                        </w:rPr>
                        <w:t xml:space="preserve"> </w:t>
                      </w:r>
                      <w:r>
                        <w:rPr>
                          <w:b/>
                          <w:sz w:val="24"/>
                        </w:rPr>
                        <w:t>requiring liver transplantation has been reported.</w:t>
                      </w:r>
                    </w:p>
                    <w:p w14:paraId="53B3908A" w14:textId="77777777" w:rsidR="008B6261" w:rsidRDefault="004C6B8B">
                      <w:pPr>
                        <w:spacing w:before="120"/>
                        <w:ind w:left="143" w:right="86"/>
                        <w:rPr>
                          <w:b/>
                          <w:sz w:val="24"/>
                        </w:rPr>
                      </w:pPr>
                      <w:r>
                        <w:rPr>
                          <w:b/>
                          <w:sz w:val="24"/>
                        </w:rPr>
                        <w:t>Liver function tests (ALT, AST, alkaline phosphatase and total bilirubin) must be performed prior to initiation of treatment, and after treatment initiation, weekly during the</w:t>
                      </w:r>
                      <w:r>
                        <w:rPr>
                          <w:b/>
                          <w:spacing w:val="-4"/>
                          <w:sz w:val="24"/>
                        </w:rPr>
                        <w:t xml:space="preserve"> </w:t>
                      </w:r>
                      <w:r>
                        <w:rPr>
                          <w:b/>
                          <w:sz w:val="24"/>
                        </w:rPr>
                        <w:t>first</w:t>
                      </w:r>
                      <w:r>
                        <w:rPr>
                          <w:b/>
                          <w:spacing w:val="-4"/>
                          <w:sz w:val="24"/>
                        </w:rPr>
                        <w:t xml:space="preserve"> </w:t>
                      </w:r>
                      <w:r>
                        <w:rPr>
                          <w:b/>
                          <w:sz w:val="24"/>
                        </w:rPr>
                        <w:t>12</w:t>
                      </w:r>
                      <w:r>
                        <w:rPr>
                          <w:b/>
                          <w:spacing w:val="-3"/>
                          <w:sz w:val="24"/>
                        </w:rPr>
                        <w:t xml:space="preserve"> </w:t>
                      </w:r>
                      <w:r>
                        <w:rPr>
                          <w:b/>
                          <w:sz w:val="24"/>
                        </w:rPr>
                        <w:t>weeks,</w:t>
                      </w:r>
                      <w:r>
                        <w:rPr>
                          <w:b/>
                          <w:spacing w:val="-3"/>
                          <w:sz w:val="24"/>
                        </w:rPr>
                        <w:t xml:space="preserve"> </w:t>
                      </w:r>
                      <w:r>
                        <w:rPr>
                          <w:b/>
                          <w:sz w:val="24"/>
                        </w:rPr>
                        <w:t>monthly</w:t>
                      </w:r>
                      <w:r>
                        <w:rPr>
                          <w:b/>
                          <w:spacing w:val="-3"/>
                          <w:sz w:val="24"/>
                        </w:rPr>
                        <w:t xml:space="preserve"> </w:t>
                      </w:r>
                      <w:r>
                        <w:rPr>
                          <w:b/>
                          <w:sz w:val="24"/>
                        </w:rPr>
                        <w:t>during</w:t>
                      </w:r>
                      <w:r>
                        <w:rPr>
                          <w:b/>
                          <w:spacing w:val="-3"/>
                          <w:sz w:val="24"/>
                        </w:rPr>
                        <w:t xml:space="preserve"> </w:t>
                      </w:r>
                      <w:r>
                        <w:rPr>
                          <w:b/>
                          <w:sz w:val="24"/>
                        </w:rPr>
                        <w:t>months</w:t>
                      </w:r>
                      <w:r>
                        <w:rPr>
                          <w:b/>
                          <w:spacing w:val="-3"/>
                          <w:sz w:val="24"/>
                        </w:rPr>
                        <w:t xml:space="preserve"> </w:t>
                      </w:r>
                      <w:r>
                        <w:rPr>
                          <w:b/>
                          <w:sz w:val="24"/>
                        </w:rPr>
                        <w:t>4</w:t>
                      </w:r>
                      <w:r>
                        <w:rPr>
                          <w:b/>
                          <w:spacing w:val="-3"/>
                          <w:sz w:val="24"/>
                        </w:rPr>
                        <w:t xml:space="preserve"> </w:t>
                      </w:r>
                      <w:r>
                        <w:rPr>
                          <w:b/>
                          <w:sz w:val="24"/>
                        </w:rPr>
                        <w:t>to</w:t>
                      </w:r>
                      <w:r>
                        <w:rPr>
                          <w:b/>
                          <w:spacing w:val="-3"/>
                          <w:sz w:val="24"/>
                        </w:rPr>
                        <w:t xml:space="preserve"> </w:t>
                      </w:r>
                      <w:r>
                        <w:rPr>
                          <w:b/>
                          <w:sz w:val="24"/>
                        </w:rPr>
                        <w:t>12,</w:t>
                      </w:r>
                      <w:r>
                        <w:rPr>
                          <w:b/>
                          <w:spacing w:val="-3"/>
                          <w:sz w:val="24"/>
                        </w:rPr>
                        <w:t xml:space="preserve"> </w:t>
                      </w:r>
                      <w:r>
                        <w:rPr>
                          <w:b/>
                          <w:sz w:val="24"/>
                        </w:rPr>
                        <w:t>and</w:t>
                      </w:r>
                      <w:r>
                        <w:rPr>
                          <w:b/>
                          <w:spacing w:val="-3"/>
                          <w:sz w:val="24"/>
                        </w:rPr>
                        <w:t xml:space="preserve"> </w:t>
                      </w:r>
                      <w:r>
                        <w:rPr>
                          <w:b/>
                          <w:sz w:val="24"/>
                        </w:rPr>
                        <w:t>every</w:t>
                      </w:r>
                      <w:r>
                        <w:rPr>
                          <w:b/>
                          <w:spacing w:val="-3"/>
                          <w:sz w:val="24"/>
                        </w:rPr>
                        <w:t xml:space="preserve"> </w:t>
                      </w:r>
                      <w:r>
                        <w:rPr>
                          <w:b/>
                          <w:sz w:val="24"/>
                        </w:rPr>
                        <w:t>6</w:t>
                      </w:r>
                      <w:r>
                        <w:rPr>
                          <w:b/>
                          <w:spacing w:val="-3"/>
                          <w:sz w:val="24"/>
                        </w:rPr>
                        <w:t xml:space="preserve"> </w:t>
                      </w:r>
                      <w:r>
                        <w:rPr>
                          <w:b/>
                          <w:sz w:val="24"/>
                        </w:rPr>
                        <w:t>months</w:t>
                      </w:r>
                      <w:r>
                        <w:rPr>
                          <w:b/>
                          <w:spacing w:val="-6"/>
                          <w:sz w:val="24"/>
                        </w:rPr>
                        <w:t xml:space="preserve"> </w:t>
                      </w:r>
                      <w:r>
                        <w:rPr>
                          <w:b/>
                          <w:sz w:val="24"/>
                        </w:rPr>
                        <w:t>thereafter.</w:t>
                      </w:r>
                      <w:r>
                        <w:rPr>
                          <w:b/>
                          <w:spacing w:val="-3"/>
                          <w:sz w:val="24"/>
                        </w:rPr>
                        <w:t xml:space="preserve"> </w:t>
                      </w:r>
                      <w:r>
                        <w:rPr>
                          <w:b/>
                          <w:sz w:val="24"/>
                        </w:rPr>
                        <w:t>Weekly monitoring should be restarted following treatment interruption due to abnormal liver function tests, or due to a gap in treatment of 1 year or longer.</w:t>
                      </w:r>
                    </w:p>
                    <w:p w14:paraId="53B3908B" w14:textId="77777777" w:rsidR="008B6261" w:rsidRDefault="004C6B8B">
                      <w:pPr>
                        <w:spacing w:before="121"/>
                        <w:ind w:left="143"/>
                        <w:rPr>
                          <w:b/>
                          <w:sz w:val="24"/>
                        </w:rPr>
                      </w:pPr>
                      <w:r>
                        <w:rPr>
                          <w:b/>
                          <w:sz w:val="24"/>
                        </w:rPr>
                        <w:t>Cenrifki</w:t>
                      </w:r>
                      <w:r>
                        <w:rPr>
                          <w:b/>
                          <w:spacing w:val="-4"/>
                          <w:sz w:val="24"/>
                        </w:rPr>
                        <w:t xml:space="preserve"> </w:t>
                      </w:r>
                      <w:r>
                        <w:rPr>
                          <w:b/>
                          <w:sz w:val="24"/>
                        </w:rPr>
                        <w:t>is</w:t>
                      </w:r>
                      <w:r>
                        <w:rPr>
                          <w:b/>
                          <w:spacing w:val="-4"/>
                          <w:sz w:val="24"/>
                        </w:rPr>
                        <w:t xml:space="preserve"> </w:t>
                      </w:r>
                      <w:r>
                        <w:rPr>
                          <w:b/>
                          <w:sz w:val="24"/>
                        </w:rPr>
                        <w:t>contraindicated</w:t>
                      </w:r>
                      <w:r>
                        <w:rPr>
                          <w:b/>
                          <w:spacing w:val="-4"/>
                          <w:sz w:val="24"/>
                        </w:rPr>
                        <w:t xml:space="preserve"> </w:t>
                      </w:r>
                      <w:r>
                        <w:rPr>
                          <w:b/>
                          <w:sz w:val="24"/>
                        </w:rPr>
                        <w:t>in</w:t>
                      </w:r>
                      <w:r>
                        <w:rPr>
                          <w:b/>
                          <w:spacing w:val="-4"/>
                          <w:sz w:val="24"/>
                        </w:rPr>
                        <w:t xml:space="preserve"> </w:t>
                      </w:r>
                      <w:r>
                        <w:rPr>
                          <w:b/>
                          <w:sz w:val="24"/>
                        </w:rPr>
                        <w:t>patients</w:t>
                      </w:r>
                      <w:r>
                        <w:rPr>
                          <w:b/>
                          <w:spacing w:val="-4"/>
                          <w:sz w:val="24"/>
                        </w:rPr>
                        <w:t xml:space="preserve"> </w:t>
                      </w:r>
                      <w:r>
                        <w:rPr>
                          <w:b/>
                          <w:sz w:val="24"/>
                        </w:rPr>
                        <w:t>with</w:t>
                      </w:r>
                      <w:r>
                        <w:rPr>
                          <w:b/>
                          <w:spacing w:val="-4"/>
                          <w:sz w:val="24"/>
                        </w:rPr>
                        <w:t xml:space="preserve"> </w:t>
                      </w:r>
                      <w:r>
                        <w:rPr>
                          <w:b/>
                          <w:sz w:val="24"/>
                        </w:rPr>
                        <w:t>severe</w:t>
                      </w:r>
                      <w:r>
                        <w:rPr>
                          <w:b/>
                          <w:spacing w:val="-4"/>
                          <w:sz w:val="24"/>
                        </w:rPr>
                        <w:t xml:space="preserve"> </w:t>
                      </w:r>
                      <w:r>
                        <w:rPr>
                          <w:b/>
                          <w:sz w:val="24"/>
                        </w:rPr>
                        <w:t>hepatic</w:t>
                      </w:r>
                      <w:r>
                        <w:rPr>
                          <w:b/>
                          <w:spacing w:val="-4"/>
                          <w:sz w:val="24"/>
                        </w:rPr>
                        <w:t xml:space="preserve"> </w:t>
                      </w:r>
                      <w:r>
                        <w:rPr>
                          <w:b/>
                          <w:sz w:val="24"/>
                        </w:rPr>
                        <w:t>impairment</w:t>
                      </w:r>
                      <w:r>
                        <w:rPr>
                          <w:b/>
                          <w:spacing w:val="-4"/>
                          <w:sz w:val="24"/>
                        </w:rPr>
                        <w:t xml:space="preserve"> </w:t>
                      </w:r>
                      <w:r>
                        <w:rPr>
                          <w:b/>
                          <w:sz w:val="24"/>
                        </w:rPr>
                        <w:t>(see</w:t>
                      </w:r>
                      <w:r>
                        <w:rPr>
                          <w:b/>
                          <w:spacing w:val="-4"/>
                          <w:sz w:val="24"/>
                        </w:rPr>
                        <w:t xml:space="preserve"> </w:t>
                      </w:r>
                      <w:r>
                        <w:rPr>
                          <w:b/>
                          <w:sz w:val="24"/>
                        </w:rPr>
                        <w:t>Section</w:t>
                      </w:r>
                      <w:r>
                        <w:rPr>
                          <w:b/>
                          <w:spacing w:val="-4"/>
                          <w:sz w:val="24"/>
                        </w:rPr>
                        <w:t xml:space="preserve"> </w:t>
                      </w:r>
                      <w:r>
                        <w:rPr>
                          <w:b/>
                          <w:sz w:val="24"/>
                        </w:rPr>
                        <w:t xml:space="preserve">4.3 </w:t>
                      </w:r>
                      <w:r>
                        <w:rPr>
                          <w:b/>
                          <w:spacing w:val="-2"/>
                          <w:sz w:val="24"/>
                        </w:rPr>
                        <w:t>Contraindications).</w:t>
                      </w:r>
                    </w:p>
                    <w:p w14:paraId="53B3908C" w14:textId="77777777" w:rsidR="008B6261" w:rsidRDefault="004C6B8B">
                      <w:pPr>
                        <w:spacing w:before="120"/>
                        <w:ind w:left="143"/>
                        <w:rPr>
                          <w:b/>
                          <w:sz w:val="24"/>
                        </w:rPr>
                      </w:pPr>
                      <w:r>
                        <w:rPr>
                          <w:b/>
                          <w:sz w:val="24"/>
                        </w:rPr>
                        <w:t>Concomitant</w:t>
                      </w:r>
                      <w:r>
                        <w:rPr>
                          <w:b/>
                          <w:spacing w:val="-5"/>
                          <w:sz w:val="24"/>
                        </w:rPr>
                        <w:t xml:space="preserve"> </w:t>
                      </w:r>
                      <w:r>
                        <w:rPr>
                          <w:b/>
                          <w:sz w:val="24"/>
                        </w:rPr>
                        <w:t>use</w:t>
                      </w:r>
                      <w:r>
                        <w:rPr>
                          <w:b/>
                          <w:spacing w:val="-5"/>
                          <w:sz w:val="24"/>
                        </w:rPr>
                        <w:t xml:space="preserve"> </w:t>
                      </w:r>
                      <w:r>
                        <w:rPr>
                          <w:b/>
                          <w:sz w:val="24"/>
                        </w:rPr>
                        <w:t>of</w:t>
                      </w:r>
                      <w:r>
                        <w:rPr>
                          <w:b/>
                          <w:spacing w:val="-5"/>
                          <w:sz w:val="24"/>
                        </w:rPr>
                        <w:t xml:space="preserve"> </w:t>
                      </w:r>
                      <w:r>
                        <w:rPr>
                          <w:b/>
                          <w:sz w:val="24"/>
                        </w:rPr>
                        <w:t>Cenrifki</w:t>
                      </w:r>
                      <w:r>
                        <w:rPr>
                          <w:b/>
                          <w:spacing w:val="-4"/>
                          <w:sz w:val="24"/>
                        </w:rPr>
                        <w:t xml:space="preserve"> </w:t>
                      </w:r>
                      <w:r>
                        <w:rPr>
                          <w:b/>
                          <w:sz w:val="24"/>
                        </w:rPr>
                        <w:t>with</w:t>
                      </w:r>
                      <w:r>
                        <w:rPr>
                          <w:b/>
                          <w:spacing w:val="-4"/>
                          <w:sz w:val="24"/>
                        </w:rPr>
                        <w:t xml:space="preserve"> </w:t>
                      </w:r>
                      <w:r>
                        <w:rPr>
                          <w:b/>
                          <w:sz w:val="24"/>
                        </w:rPr>
                        <w:t>other</w:t>
                      </w:r>
                      <w:r>
                        <w:rPr>
                          <w:b/>
                          <w:spacing w:val="-5"/>
                          <w:sz w:val="24"/>
                        </w:rPr>
                        <w:t xml:space="preserve"> </w:t>
                      </w:r>
                      <w:r>
                        <w:rPr>
                          <w:b/>
                          <w:sz w:val="24"/>
                        </w:rPr>
                        <w:t>hepatotoxic</w:t>
                      </w:r>
                      <w:r>
                        <w:rPr>
                          <w:b/>
                          <w:spacing w:val="-5"/>
                          <w:sz w:val="24"/>
                        </w:rPr>
                        <w:t xml:space="preserve"> </w:t>
                      </w:r>
                      <w:r>
                        <w:rPr>
                          <w:b/>
                          <w:sz w:val="24"/>
                        </w:rPr>
                        <w:t>medicinal</w:t>
                      </w:r>
                      <w:r>
                        <w:rPr>
                          <w:b/>
                          <w:spacing w:val="-4"/>
                          <w:sz w:val="24"/>
                        </w:rPr>
                        <w:t xml:space="preserve"> </w:t>
                      </w:r>
                      <w:r>
                        <w:rPr>
                          <w:b/>
                          <w:sz w:val="24"/>
                        </w:rPr>
                        <w:t>products,</w:t>
                      </w:r>
                      <w:r>
                        <w:rPr>
                          <w:b/>
                          <w:spacing w:val="-4"/>
                          <w:sz w:val="24"/>
                        </w:rPr>
                        <w:t xml:space="preserve"> </w:t>
                      </w:r>
                      <w:r>
                        <w:rPr>
                          <w:b/>
                          <w:sz w:val="24"/>
                        </w:rPr>
                        <w:t>herbal</w:t>
                      </w:r>
                      <w:r>
                        <w:rPr>
                          <w:b/>
                          <w:spacing w:val="-4"/>
                          <w:sz w:val="24"/>
                        </w:rPr>
                        <w:t xml:space="preserve"> </w:t>
                      </w:r>
                      <w:r>
                        <w:rPr>
                          <w:b/>
                          <w:sz w:val="24"/>
                        </w:rPr>
                        <w:t>or</w:t>
                      </w:r>
                      <w:r>
                        <w:rPr>
                          <w:b/>
                          <w:spacing w:val="-5"/>
                          <w:sz w:val="24"/>
                        </w:rPr>
                        <w:t xml:space="preserve"> </w:t>
                      </w:r>
                      <w:r>
                        <w:rPr>
                          <w:b/>
                          <w:sz w:val="24"/>
                        </w:rPr>
                        <w:t>dietary supplements may increase the risk of severe liver injury.</w:t>
                      </w:r>
                    </w:p>
                    <w:p w14:paraId="53B3908D" w14:textId="77777777" w:rsidR="008B6261" w:rsidRDefault="004C6B8B">
                      <w:pPr>
                        <w:spacing w:before="120"/>
                        <w:ind w:left="143" w:right="207"/>
                        <w:rPr>
                          <w:b/>
                          <w:sz w:val="24"/>
                        </w:rPr>
                      </w:pPr>
                      <w:r>
                        <w:rPr>
                          <w:b/>
                          <w:sz w:val="24"/>
                        </w:rPr>
                        <w:t>If drug-induced liver injury (DILI) is suspected to be induced by Cenrifki, treatment must</w:t>
                      </w:r>
                      <w:r>
                        <w:rPr>
                          <w:b/>
                          <w:spacing w:val="-4"/>
                          <w:sz w:val="24"/>
                        </w:rPr>
                        <w:t xml:space="preserve"> </w:t>
                      </w:r>
                      <w:r>
                        <w:rPr>
                          <w:b/>
                          <w:sz w:val="24"/>
                        </w:rPr>
                        <w:t>be</w:t>
                      </w:r>
                      <w:r>
                        <w:rPr>
                          <w:b/>
                          <w:spacing w:val="-4"/>
                          <w:sz w:val="24"/>
                        </w:rPr>
                        <w:t xml:space="preserve"> </w:t>
                      </w:r>
                      <w:r>
                        <w:rPr>
                          <w:b/>
                          <w:sz w:val="24"/>
                        </w:rPr>
                        <w:t>discontinued</w:t>
                      </w:r>
                      <w:r>
                        <w:rPr>
                          <w:b/>
                          <w:spacing w:val="-3"/>
                          <w:sz w:val="24"/>
                        </w:rPr>
                        <w:t xml:space="preserve"> </w:t>
                      </w:r>
                      <w:r>
                        <w:rPr>
                          <w:b/>
                          <w:sz w:val="24"/>
                        </w:rPr>
                        <w:t>(see</w:t>
                      </w:r>
                      <w:r>
                        <w:rPr>
                          <w:b/>
                          <w:spacing w:val="-4"/>
                          <w:sz w:val="24"/>
                        </w:rPr>
                        <w:t xml:space="preserve"> </w:t>
                      </w:r>
                      <w:r>
                        <w:rPr>
                          <w:b/>
                          <w:sz w:val="24"/>
                        </w:rPr>
                        <w:t>Sections</w:t>
                      </w:r>
                      <w:r>
                        <w:rPr>
                          <w:b/>
                          <w:spacing w:val="-3"/>
                          <w:sz w:val="24"/>
                        </w:rPr>
                        <w:t xml:space="preserve"> </w:t>
                      </w:r>
                      <w:r>
                        <w:rPr>
                          <w:b/>
                          <w:sz w:val="24"/>
                        </w:rPr>
                        <w:t>4.2</w:t>
                      </w:r>
                      <w:r>
                        <w:rPr>
                          <w:b/>
                          <w:spacing w:val="-3"/>
                          <w:sz w:val="24"/>
                        </w:rPr>
                        <w:t xml:space="preserve"> </w:t>
                      </w:r>
                      <w:r>
                        <w:rPr>
                          <w:b/>
                          <w:sz w:val="24"/>
                        </w:rPr>
                        <w:t>Dose</w:t>
                      </w:r>
                      <w:r>
                        <w:rPr>
                          <w:b/>
                          <w:spacing w:val="-4"/>
                          <w:sz w:val="24"/>
                        </w:rPr>
                        <w:t xml:space="preserve"> </w:t>
                      </w:r>
                      <w:r>
                        <w:rPr>
                          <w:b/>
                          <w:sz w:val="24"/>
                        </w:rPr>
                        <w:t>and</w:t>
                      </w:r>
                      <w:r>
                        <w:rPr>
                          <w:b/>
                          <w:spacing w:val="-3"/>
                          <w:sz w:val="24"/>
                        </w:rPr>
                        <w:t xml:space="preserve"> </w:t>
                      </w:r>
                      <w:r>
                        <w:rPr>
                          <w:b/>
                          <w:sz w:val="24"/>
                        </w:rPr>
                        <w:t>method</w:t>
                      </w:r>
                      <w:r>
                        <w:rPr>
                          <w:b/>
                          <w:spacing w:val="-3"/>
                          <w:sz w:val="24"/>
                        </w:rPr>
                        <w:t xml:space="preserve"> </w:t>
                      </w:r>
                      <w:r>
                        <w:rPr>
                          <w:b/>
                          <w:sz w:val="24"/>
                        </w:rPr>
                        <w:t>of</w:t>
                      </w:r>
                      <w:r>
                        <w:rPr>
                          <w:b/>
                          <w:spacing w:val="-4"/>
                          <w:sz w:val="24"/>
                        </w:rPr>
                        <w:t xml:space="preserve"> </w:t>
                      </w:r>
                      <w:r>
                        <w:rPr>
                          <w:b/>
                          <w:sz w:val="24"/>
                        </w:rPr>
                        <w:t>administration</w:t>
                      </w:r>
                      <w:r>
                        <w:rPr>
                          <w:b/>
                          <w:spacing w:val="-3"/>
                          <w:sz w:val="24"/>
                        </w:rPr>
                        <w:t xml:space="preserve"> </w:t>
                      </w:r>
                      <w:r>
                        <w:rPr>
                          <w:b/>
                          <w:sz w:val="24"/>
                        </w:rPr>
                        <w:t>and</w:t>
                      </w:r>
                      <w:r>
                        <w:rPr>
                          <w:b/>
                          <w:spacing w:val="-3"/>
                          <w:sz w:val="24"/>
                        </w:rPr>
                        <w:t xml:space="preserve"> </w:t>
                      </w:r>
                      <w:r>
                        <w:rPr>
                          <w:b/>
                          <w:sz w:val="24"/>
                        </w:rPr>
                        <w:t>4.4</w:t>
                      </w:r>
                      <w:r>
                        <w:rPr>
                          <w:b/>
                          <w:spacing w:val="-3"/>
                          <w:sz w:val="24"/>
                        </w:rPr>
                        <w:t xml:space="preserve"> </w:t>
                      </w:r>
                      <w:r>
                        <w:rPr>
                          <w:b/>
                          <w:sz w:val="24"/>
                        </w:rPr>
                        <w:t>Special warnings and precautions for use).</w:t>
                      </w:r>
                    </w:p>
                  </w:txbxContent>
                </v:textbox>
                <w10:wrap type="topAndBottom" anchorx="page"/>
              </v:shape>
            </w:pict>
          </mc:Fallback>
        </mc:AlternateContent>
      </w:r>
    </w:p>
    <w:p w14:paraId="53B38D5F" w14:textId="77777777" w:rsidR="008B6261" w:rsidRDefault="004C6B8B">
      <w:pPr>
        <w:pStyle w:val="Heading1"/>
        <w:numPr>
          <w:ilvl w:val="0"/>
          <w:numId w:val="4"/>
        </w:numPr>
        <w:tabs>
          <w:tab w:val="left" w:pos="702"/>
        </w:tabs>
        <w:ind w:hanging="679"/>
      </w:pPr>
      <w:bookmarkStart w:id="1" w:name="1_Name_of_the_medicine"/>
      <w:bookmarkEnd w:id="1"/>
      <w:r>
        <w:t>NAME</w:t>
      </w:r>
      <w:r>
        <w:rPr>
          <w:spacing w:val="-4"/>
        </w:rPr>
        <w:t xml:space="preserve"> </w:t>
      </w:r>
      <w:r>
        <w:t>OF</w:t>
      </w:r>
      <w:r>
        <w:rPr>
          <w:spacing w:val="-1"/>
        </w:rPr>
        <w:t xml:space="preserve"> </w:t>
      </w:r>
      <w:r>
        <w:t>THE</w:t>
      </w:r>
      <w:r>
        <w:rPr>
          <w:spacing w:val="-5"/>
        </w:rPr>
        <w:t xml:space="preserve"> </w:t>
      </w:r>
      <w:r>
        <w:rPr>
          <w:spacing w:val="-2"/>
        </w:rPr>
        <w:t>MEDICINE</w:t>
      </w:r>
    </w:p>
    <w:p w14:paraId="53B38D60" w14:textId="77777777" w:rsidR="008B6261" w:rsidRDefault="004C6B8B">
      <w:pPr>
        <w:pStyle w:val="BodyText"/>
        <w:spacing w:before="240"/>
        <w:ind w:left="23"/>
      </w:pPr>
      <w:r>
        <w:rPr>
          <w:spacing w:val="-2"/>
        </w:rPr>
        <w:t>Tolebrutinib</w:t>
      </w:r>
    </w:p>
    <w:p w14:paraId="53B38D61" w14:textId="77777777" w:rsidR="008B6261" w:rsidRDefault="008B6261">
      <w:pPr>
        <w:pStyle w:val="BodyText"/>
        <w:spacing w:before="240"/>
      </w:pPr>
    </w:p>
    <w:p w14:paraId="53B38D62" w14:textId="77777777" w:rsidR="008B6261" w:rsidRDefault="004C6B8B">
      <w:pPr>
        <w:pStyle w:val="Heading1"/>
        <w:numPr>
          <w:ilvl w:val="0"/>
          <w:numId w:val="4"/>
        </w:numPr>
        <w:tabs>
          <w:tab w:val="left" w:pos="702"/>
        </w:tabs>
        <w:ind w:hanging="679"/>
      </w:pPr>
      <w:bookmarkStart w:id="2" w:name="2_Qualitative_and_quantitative_compositi"/>
      <w:bookmarkEnd w:id="2"/>
      <w:r>
        <w:t>QUALITATIVE</w:t>
      </w:r>
      <w:r>
        <w:rPr>
          <w:spacing w:val="-11"/>
        </w:rPr>
        <w:t xml:space="preserve"> </w:t>
      </w:r>
      <w:r>
        <w:t>AND</w:t>
      </w:r>
      <w:r>
        <w:rPr>
          <w:spacing w:val="-8"/>
        </w:rPr>
        <w:t xml:space="preserve"> </w:t>
      </w:r>
      <w:r>
        <w:t>QUANTITATIVE</w:t>
      </w:r>
      <w:r>
        <w:rPr>
          <w:spacing w:val="-10"/>
        </w:rPr>
        <w:t xml:space="preserve"> </w:t>
      </w:r>
      <w:r>
        <w:rPr>
          <w:spacing w:val="-2"/>
        </w:rPr>
        <w:t>COMPOSITION</w:t>
      </w:r>
    </w:p>
    <w:p w14:paraId="53B38D63" w14:textId="77777777" w:rsidR="008B6261" w:rsidRDefault="004C6B8B">
      <w:pPr>
        <w:pStyle w:val="BodyText"/>
        <w:spacing w:before="240"/>
        <w:ind w:left="23"/>
      </w:pPr>
      <w:r>
        <w:t>Each</w:t>
      </w:r>
      <w:r>
        <w:rPr>
          <w:spacing w:val="-4"/>
        </w:rPr>
        <w:t xml:space="preserve"> </w:t>
      </w:r>
      <w:r>
        <w:t>film-coated</w:t>
      </w:r>
      <w:r>
        <w:rPr>
          <w:spacing w:val="-1"/>
        </w:rPr>
        <w:t xml:space="preserve"> </w:t>
      </w:r>
      <w:r>
        <w:t>tablet</w:t>
      </w:r>
      <w:r>
        <w:rPr>
          <w:spacing w:val="-1"/>
        </w:rPr>
        <w:t xml:space="preserve"> </w:t>
      </w:r>
      <w:r>
        <w:t>contains</w:t>
      </w:r>
      <w:r>
        <w:rPr>
          <w:spacing w:val="-2"/>
        </w:rPr>
        <w:t xml:space="preserve"> </w:t>
      </w:r>
      <w:r>
        <w:t>60</w:t>
      </w:r>
      <w:r>
        <w:rPr>
          <w:spacing w:val="-1"/>
        </w:rPr>
        <w:t xml:space="preserve"> </w:t>
      </w:r>
      <w:r>
        <w:t>mg</w:t>
      </w:r>
      <w:r>
        <w:rPr>
          <w:spacing w:val="-1"/>
        </w:rPr>
        <w:t xml:space="preserve"> </w:t>
      </w:r>
      <w:r>
        <w:t>of</w:t>
      </w:r>
      <w:r>
        <w:rPr>
          <w:spacing w:val="-2"/>
        </w:rPr>
        <w:t xml:space="preserve"> tolebrutinib.</w:t>
      </w:r>
    </w:p>
    <w:p w14:paraId="53B38D64" w14:textId="77777777" w:rsidR="008B6261" w:rsidRDefault="004C6B8B">
      <w:pPr>
        <w:pStyle w:val="BodyText"/>
        <w:spacing w:before="240"/>
        <w:ind w:left="23"/>
      </w:pPr>
      <w:r>
        <w:t>Contains</w:t>
      </w:r>
      <w:r>
        <w:rPr>
          <w:spacing w:val="-4"/>
        </w:rPr>
        <w:t xml:space="preserve"> </w:t>
      </w:r>
      <w:r>
        <w:t>sugars</w:t>
      </w:r>
      <w:r>
        <w:rPr>
          <w:spacing w:val="-1"/>
        </w:rPr>
        <w:t xml:space="preserve"> </w:t>
      </w:r>
      <w:r>
        <w:t>as</w:t>
      </w:r>
      <w:r>
        <w:rPr>
          <w:spacing w:val="-1"/>
        </w:rPr>
        <w:t xml:space="preserve"> </w:t>
      </w:r>
      <w:r>
        <w:t>lactose.</w:t>
      </w:r>
      <w:r>
        <w:rPr>
          <w:spacing w:val="-1"/>
        </w:rPr>
        <w:t xml:space="preserve"> </w:t>
      </w:r>
      <w:r>
        <w:t>For</w:t>
      </w:r>
      <w:r>
        <w:rPr>
          <w:spacing w:val="-2"/>
        </w:rPr>
        <w:t xml:space="preserve"> </w:t>
      </w:r>
      <w:r>
        <w:t>the full</w:t>
      </w:r>
      <w:r>
        <w:rPr>
          <w:spacing w:val="-1"/>
        </w:rPr>
        <w:t xml:space="preserve"> </w:t>
      </w:r>
      <w:r>
        <w:t>list</w:t>
      </w:r>
      <w:r>
        <w:rPr>
          <w:spacing w:val="-1"/>
        </w:rPr>
        <w:t xml:space="preserve"> </w:t>
      </w:r>
      <w:r>
        <w:t>of</w:t>
      </w:r>
      <w:r>
        <w:rPr>
          <w:spacing w:val="-2"/>
        </w:rPr>
        <w:t xml:space="preserve"> </w:t>
      </w:r>
      <w:r>
        <w:t>excipients,</w:t>
      </w:r>
      <w:r>
        <w:rPr>
          <w:spacing w:val="-1"/>
        </w:rPr>
        <w:t xml:space="preserve"> </w:t>
      </w:r>
      <w:r>
        <w:t>see</w:t>
      </w:r>
      <w:r>
        <w:rPr>
          <w:spacing w:val="-2"/>
        </w:rPr>
        <w:t xml:space="preserve"> </w:t>
      </w:r>
      <w:r>
        <w:t>Section</w:t>
      </w:r>
      <w:r>
        <w:rPr>
          <w:spacing w:val="-1"/>
        </w:rPr>
        <w:t xml:space="preserve"> </w:t>
      </w:r>
      <w:hyperlink w:anchor="_bookmark14" w:history="1">
        <w:r>
          <w:t>6.1</w:t>
        </w:r>
      </w:hyperlink>
      <w:r>
        <w:rPr>
          <w:spacing w:val="-1"/>
        </w:rPr>
        <w:t xml:space="preserve"> </w:t>
      </w:r>
      <w:r>
        <w:t>List</w:t>
      </w:r>
      <w:r>
        <w:rPr>
          <w:spacing w:val="-1"/>
        </w:rPr>
        <w:t xml:space="preserve"> </w:t>
      </w:r>
      <w:r>
        <w:t>of</w:t>
      </w:r>
      <w:r>
        <w:rPr>
          <w:spacing w:val="-2"/>
        </w:rPr>
        <w:t xml:space="preserve"> Excipients.</w:t>
      </w:r>
    </w:p>
    <w:p w14:paraId="53B38D65" w14:textId="77777777" w:rsidR="008B6261" w:rsidRDefault="008B6261">
      <w:pPr>
        <w:pStyle w:val="BodyText"/>
        <w:spacing w:before="239"/>
      </w:pPr>
    </w:p>
    <w:p w14:paraId="53B38D66" w14:textId="77777777" w:rsidR="008B6261" w:rsidRDefault="004C6B8B">
      <w:pPr>
        <w:pStyle w:val="Heading1"/>
        <w:numPr>
          <w:ilvl w:val="0"/>
          <w:numId w:val="4"/>
        </w:numPr>
        <w:tabs>
          <w:tab w:val="left" w:pos="702"/>
        </w:tabs>
        <w:spacing w:before="1"/>
        <w:ind w:hanging="679"/>
      </w:pPr>
      <w:bookmarkStart w:id="3" w:name="3_Pharmaceutical_form"/>
      <w:bookmarkEnd w:id="3"/>
      <w:r>
        <w:t>PHARMACEUTICAL</w:t>
      </w:r>
      <w:r>
        <w:rPr>
          <w:spacing w:val="-16"/>
        </w:rPr>
        <w:t xml:space="preserve"> </w:t>
      </w:r>
      <w:r>
        <w:rPr>
          <w:spacing w:val="-4"/>
        </w:rPr>
        <w:t>FORM</w:t>
      </w:r>
    </w:p>
    <w:p w14:paraId="53B38D67" w14:textId="77777777" w:rsidR="008B6261" w:rsidRDefault="004C6B8B">
      <w:pPr>
        <w:pStyle w:val="BodyText"/>
        <w:spacing w:before="242"/>
        <w:ind w:left="23"/>
      </w:pPr>
      <w:r>
        <w:t>Film-coated</w:t>
      </w:r>
      <w:r>
        <w:rPr>
          <w:spacing w:val="-6"/>
        </w:rPr>
        <w:t xml:space="preserve"> </w:t>
      </w:r>
      <w:r>
        <w:rPr>
          <w:spacing w:val="-2"/>
        </w:rPr>
        <w:t>tablet.</w:t>
      </w:r>
    </w:p>
    <w:p w14:paraId="1C471A4D" w14:textId="78594C95" w:rsidR="00A77020" w:rsidRDefault="004C6B8B" w:rsidP="00790B46">
      <w:pPr>
        <w:pStyle w:val="BodyText"/>
        <w:spacing w:before="240"/>
        <w:ind w:left="23" w:right="221"/>
        <w:rPr>
          <w:spacing w:val="-2"/>
        </w:rPr>
      </w:pPr>
      <w:r>
        <w:t>CENRIFKI</w:t>
      </w:r>
      <w:r>
        <w:rPr>
          <w:spacing w:val="-11"/>
        </w:rPr>
        <w:t xml:space="preserve"> </w:t>
      </w:r>
      <w:r>
        <w:t>is</w:t>
      </w:r>
      <w:r>
        <w:rPr>
          <w:spacing w:val="-8"/>
        </w:rPr>
        <w:t xml:space="preserve"> </w:t>
      </w:r>
      <w:r>
        <w:t>formulated</w:t>
      </w:r>
      <w:r>
        <w:rPr>
          <w:spacing w:val="-6"/>
        </w:rPr>
        <w:t xml:space="preserve"> </w:t>
      </w:r>
      <w:r>
        <w:t>as</w:t>
      </w:r>
      <w:r>
        <w:rPr>
          <w:spacing w:val="-8"/>
        </w:rPr>
        <w:t xml:space="preserve"> </w:t>
      </w:r>
      <w:r>
        <w:t>a</w:t>
      </w:r>
      <w:r>
        <w:rPr>
          <w:spacing w:val="-9"/>
        </w:rPr>
        <w:t xml:space="preserve"> </w:t>
      </w:r>
      <w:r>
        <w:t>drop</w:t>
      </w:r>
      <w:r>
        <w:rPr>
          <w:spacing w:val="-8"/>
        </w:rPr>
        <w:t xml:space="preserve"> </w:t>
      </w:r>
      <w:r>
        <w:t>shape,</w:t>
      </w:r>
      <w:r>
        <w:rPr>
          <w:spacing w:val="-8"/>
        </w:rPr>
        <w:t xml:space="preserve"> </w:t>
      </w:r>
      <w:r>
        <w:t>orange</w:t>
      </w:r>
      <w:r>
        <w:rPr>
          <w:spacing w:val="-9"/>
        </w:rPr>
        <w:t xml:space="preserve"> </w:t>
      </w:r>
      <w:r>
        <w:t>film-coated</w:t>
      </w:r>
      <w:r>
        <w:rPr>
          <w:spacing w:val="-8"/>
        </w:rPr>
        <w:t xml:space="preserve"> </w:t>
      </w:r>
      <w:r>
        <w:t>tablet</w:t>
      </w:r>
      <w:r>
        <w:rPr>
          <w:spacing w:val="-8"/>
        </w:rPr>
        <w:t xml:space="preserve"> </w:t>
      </w:r>
      <w:r>
        <w:t>debossed</w:t>
      </w:r>
      <w:r>
        <w:rPr>
          <w:spacing w:val="-8"/>
        </w:rPr>
        <w:t xml:space="preserve"> </w:t>
      </w:r>
      <w:r>
        <w:t>with</w:t>
      </w:r>
      <w:r>
        <w:rPr>
          <w:spacing w:val="-8"/>
        </w:rPr>
        <w:t xml:space="preserve"> </w:t>
      </w:r>
      <w:r>
        <w:t>‘60’</w:t>
      </w:r>
      <w:r>
        <w:rPr>
          <w:spacing w:val="-9"/>
        </w:rPr>
        <w:t xml:space="preserve"> </w:t>
      </w:r>
      <w:r>
        <w:t>on</w:t>
      </w:r>
      <w:r>
        <w:rPr>
          <w:spacing w:val="-8"/>
        </w:rPr>
        <w:t xml:space="preserve"> </w:t>
      </w:r>
      <w:r>
        <w:t xml:space="preserve">one </w:t>
      </w:r>
      <w:r>
        <w:rPr>
          <w:spacing w:val="-2"/>
        </w:rPr>
        <w:t>side.</w:t>
      </w:r>
    </w:p>
    <w:p w14:paraId="53B38D6A" w14:textId="77777777" w:rsidR="008B6261" w:rsidRPr="00A77020" w:rsidRDefault="004C6B8B" w:rsidP="00790B46">
      <w:pPr>
        <w:pStyle w:val="Heading1"/>
        <w:pageBreakBefore/>
        <w:numPr>
          <w:ilvl w:val="0"/>
          <w:numId w:val="4"/>
        </w:numPr>
        <w:tabs>
          <w:tab w:val="left" w:pos="702"/>
        </w:tabs>
        <w:spacing w:before="76"/>
        <w:ind w:left="703"/>
      </w:pPr>
      <w:bookmarkStart w:id="4" w:name="4_Clinical_particulars"/>
      <w:bookmarkEnd w:id="4"/>
      <w:r>
        <w:lastRenderedPageBreak/>
        <w:t>CLINICAL</w:t>
      </w:r>
      <w:r>
        <w:rPr>
          <w:spacing w:val="-5"/>
        </w:rPr>
        <w:t xml:space="preserve"> </w:t>
      </w:r>
      <w:r>
        <w:rPr>
          <w:spacing w:val="-2"/>
        </w:rPr>
        <w:t>PARTICULARS</w:t>
      </w:r>
    </w:p>
    <w:p w14:paraId="256F8FE6" w14:textId="77777777" w:rsidR="00A77020" w:rsidRPr="00A77020" w:rsidRDefault="00A77020" w:rsidP="00790B46">
      <w:pPr>
        <w:pStyle w:val="BodyText"/>
        <w:spacing w:before="240"/>
        <w:ind w:right="221"/>
        <w:rPr>
          <w:spacing w:val="-2"/>
        </w:rPr>
      </w:pPr>
    </w:p>
    <w:p w14:paraId="53B38D6B" w14:textId="77777777" w:rsidR="008B6261" w:rsidRDefault="004C6B8B">
      <w:pPr>
        <w:pStyle w:val="ListParagraph"/>
        <w:numPr>
          <w:ilvl w:val="1"/>
          <w:numId w:val="4"/>
        </w:numPr>
        <w:tabs>
          <w:tab w:val="left" w:pos="702"/>
        </w:tabs>
        <w:spacing w:before="121"/>
        <w:ind w:hanging="679"/>
        <w:rPr>
          <w:b/>
        </w:rPr>
      </w:pPr>
      <w:bookmarkStart w:id="5" w:name="4.1_Therapeutic_indications"/>
      <w:bookmarkEnd w:id="5"/>
      <w:r>
        <w:rPr>
          <w:b/>
        </w:rPr>
        <w:t>THERAPEUTIC</w:t>
      </w:r>
      <w:r>
        <w:rPr>
          <w:b/>
          <w:spacing w:val="-10"/>
        </w:rPr>
        <w:t xml:space="preserve"> </w:t>
      </w:r>
      <w:r>
        <w:rPr>
          <w:b/>
          <w:spacing w:val="-2"/>
        </w:rPr>
        <w:t>INDICATIONS</w:t>
      </w:r>
    </w:p>
    <w:p w14:paraId="1D2FC8F3" w14:textId="77777777" w:rsidR="00A77020" w:rsidRDefault="00A77020" w:rsidP="00B04EA6">
      <w:pPr>
        <w:pStyle w:val="BodyText"/>
        <w:spacing w:before="1"/>
        <w:jc w:val="both"/>
      </w:pPr>
    </w:p>
    <w:p w14:paraId="53B38D6D" w14:textId="7DED8C64" w:rsidR="008B6261" w:rsidRDefault="004C6B8B" w:rsidP="00B04EA6">
      <w:pPr>
        <w:pStyle w:val="BodyText"/>
        <w:spacing w:before="1"/>
        <w:jc w:val="both"/>
      </w:pPr>
      <w:r>
        <w:t>CENRIFKI</w:t>
      </w:r>
      <w:r>
        <w:rPr>
          <w:spacing w:val="-6"/>
        </w:rPr>
        <w:t xml:space="preserve"> </w:t>
      </w:r>
      <w:r>
        <w:t>is</w:t>
      </w:r>
      <w:r>
        <w:rPr>
          <w:spacing w:val="-1"/>
        </w:rPr>
        <w:t xml:space="preserve"> </w:t>
      </w:r>
      <w:r>
        <w:t>indicated</w:t>
      </w:r>
      <w:r>
        <w:rPr>
          <w:spacing w:val="-1"/>
        </w:rPr>
        <w:t xml:space="preserve"> </w:t>
      </w:r>
      <w:r>
        <w:t>in</w:t>
      </w:r>
      <w:r>
        <w:rPr>
          <w:spacing w:val="-1"/>
        </w:rPr>
        <w:t xml:space="preserve"> </w:t>
      </w:r>
      <w:r>
        <w:rPr>
          <w:spacing w:val="-2"/>
        </w:rPr>
        <w:t>adults:</w:t>
      </w:r>
    </w:p>
    <w:p w14:paraId="53B38D6E" w14:textId="77777777" w:rsidR="008B6261" w:rsidRDefault="004C6B8B">
      <w:pPr>
        <w:pStyle w:val="ListParagraph"/>
        <w:numPr>
          <w:ilvl w:val="2"/>
          <w:numId w:val="4"/>
        </w:numPr>
        <w:tabs>
          <w:tab w:val="left" w:pos="742"/>
        </w:tabs>
        <w:spacing w:before="240"/>
        <w:ind w:left="742" w:hanging="357"/>
        <w:rPr>
          <w:rFonts w:ascii="Symbol" w:hAnsi="Symbol"/>
        </w:rPr>
      </w:pPr>
      <w:r>
        <w:rPr>
          <w:rFonts w:ascii="Times New Roman" w:hAnsi="Times New Roman"/>
          <w:sz w:val="24"/>
        </w:rPr>
        <w:t>for</w:t>
      </w:r>
      <w:r>
        <w:rPr>
          <w:rFonts w:ascii="Times New Roman" w:hAnsi="Times New Roman"/>
          <w:spacing w:val="-8"/>
          <w:sz w:val="24"/>
        </w:rPr>
        <w:t xml:space="preserve"> </w:t>
      </w:r>
      <w:r>
        <w:rPr>
          <w:rFonts w:ascii="Times New Roman" w:hAnsi="Times New Roman"/>
          <w:sz w:val="24"/>
        </w:rPr>
        <w:t>the</w:t>
      </w:r>
      <w:r>
        <w:rPr>
          <w:rFonts w:ascii="Times New Roman" w:hAnsi="Times New Roman"/>
          <w:spacing w:val="-5"/>
          <w:sz w:val="24"/>
        </w:rPr>
        <w:t xml:space="preserve"> </w:t>
      </w:r>
      <w:r>
        <w:rPr>
          <w:rFonts w:ascii="Times New Roman" w:hAnsi="Times New Roman"/>
          <w:sz w:val="24"/>
        </w:rPr>
        <w:t>treatment</w:t>
      </w:r>
      <w:r>
        <w:rPr>
          <w:rFonts w:ascii="Times New Roman" w:hAnsi="Times New Roman"/>
          <w:spacing w:val="-6"/>
          <w:sz w:val="24"/>
        </w:rPr>
        <w:t xml:space="preserve"> </w:t>
      </w:r>
      <w:r>
        <w:rPr>
          <w:rFonts w:ascii="Times New Roman" w:hAnsi="Times New Roman"/>
          <w:sz w:val="24"/>
        </w:rPr>
        <w:t>of</w:t>
      </w:r>
      <w:r>
        <w:rPr>
          <w:rFonts w:ascii="Times New Roman" w:hAnsi="Times New Roman"/>
          <w:spacing w:val="-5"/>
          <w:sz w:val="24"/>
        </w:rPr>
        <w:t xml:space="preserve"> </w:t>
      </w:r>
      <w:r>
        <w:rPr>
          <w:rFonts w:ascii="Times New Roman" w:hAnsi="Times New Roman"/>
          <w:sz w:val="24"/>
        </w:rPr>
        <w:t>non-relapsing</w:t>
      </w:r>
      <w:r>
        <w:rPr>
          <w:rFonts w:ascii="Times New Roman" w:hAnsi="Times New Roman"/>
          <w:spacing w:val="-6"/>
          <w:sz w:val="24"/>
        </w:rPr>
        <w:t xml:space="preserve"> </w:t>
      </w:r>
      <w:r>
        <w:rPr>
          <w:rFonts w:ascii="Times New Roman" w:hAnsi="Times New Roman"/>
          <w:sz w:val="24"/>
        </w:rPr>
        <w:t>Secondary</w:t>
      </w:r>
      <w:r>
        <w:rPr>
          <w:rFonts w:ascii="Times New Roman" w:hAnsi="Times New Roman"/>
          <w:spacing w:val="-6"/>
          <w:sz w:val="24"/>
        </w:rPr>
        <w:t xml:space="preserve"> </w:t>
      </w:r>
      <w:r>
        <w:rPr>
          <w:rFonts w:ascii="Times New Roman" w:hAnsi="Times New Roman"/>
          <w:sz w:val="24"/>
        </w:rPr>
        <w:t>Progressive</w:t>
      </w:r>
      <w:r>
        <w:rPr>
          <w:rFonts w:ascii="Times New Roman" w:hAnsi="Times New Roman"/>
          <w:spacing w:val="-7"/>
          <w:sz w:val="24"/>
        </w:rPr>
        <w:t xml:space="preserve"> </w:t>
      </w:r>
      <w:r>
        <w:rPr>
          <w:rFonts w:ascii="Times New Roman" w:hAnsi="Times New Roman"/>
          <w:sz w:val="24"/>
        </w:rPr>
        <w:t>Multiple</w:t>
      </w:r>
      <w:r>
        <w:rPr>
          <w:rFonts w:ascii="Times New Roman" w:hAnsi="Times New Roman"/>
          <w:spacing w:val="-7"/>
          <w:sz w:val="24"/>
        </w:rPr>
        <w:t xml:space="preserve"> </w:t>
      </w:r>
      <w:r>
        <w:rPr>
          <w:rFonts w:ascii="Times New Roman" w:hAnsi="Times New Roman"/>
          <w:sz w:val="24"/>
        </w:rPr>
        <w:t>Sclerosis</w:t>
      </w:r>
      <w:r>
        <w:rPr>
          <w:rFonts w:ascii="Times New Roman" w:hAnsi="Times New Roman"/>
          <w:spacing w:val="-6"/>
          <w:sz w:val="24"/>
        </w:rPr>
        <w:t xml:space="preserve"> </w:t>
      </w:r>
      <w:r>
        <w:rPr>
          <w:rFonts w:ascii="Times New Roman" w:hAnsi="Times New Roman"/>
          <w:spacing w:val="-2"/>
          <w:sz w:val="24"/>
        </w:rPr>
        <w:t>(nrSPMS)</w:t>
      </w:r>
    </w:p>
    <w:p w14:paraId="53B38D6F" w14:textId="77777777" w:rsidR="008B6261" w:rsidRDefault="004C6B8B">
      <w:pPr>
        <w:pStyle w:val="ListParagraph"/>
        <w:numPr>
          <w:ilvl w:val="2"/>
          <w:numId w:val="4"/>
        </w:numPr>
        <w:tabs>
          <w:tab w:val="left" w:pos="743"/>
        </w:tabs>
        <w:spacing w:before="119"/>
        <w:ind w:right="587"/>
        <w:rPr>
          <w:rFonts w:ascii="Symbol" w:hAnsi="Symbol"/>
          <w:sz w:val="24"/>
        </w:rPr>
      </w:pPr>
      <w:r>
        <w:rPr>
          <w:rFonts w:ascii="Times New Roman" w:hAnsi="Times New Roman"/>
          <w:sz w:val="24"/>
        </w:rPr>
        <w:t>to</w:t>
      </w:r>
      <w:r>
        <w:rPr>
          <w:rFonts w:ascii="Times New Roman" w:hAnsi="Times New Roman"/>
          <w:spacing w:val="40"/>
          <w:sz w:val="24"/>
        </w:rPr>
        <w:t xml:space="preserve"> </w:t>
      </w:r>
      <w:r>
        <w:rPr>
          <w:rFonts w:ascii="Times New Roman" w:hAnsi="Times New Roman"/>
          <w:sz w:val="24"/>
        </w:rPr>
        <w:t>slow</w:t>
      </w:r>
      <w:r>
        <w:rPr>
          <w:rFonts w:ascii="Times New Roman" w:hAnsi="Times New Roman"/>
          <w:spacing w:val="40"/>
          <w:sz w:val="24"/>
        </w:rPr>
        <w:t xml:space="preserve"> </w:t>
      </w:r>
      <w:r>
        <w:rPr>
          <w:rFonts w:ascii="Times New Roman" w:hAnsi="Times New Roman"/>
          <w:sz w:val="24"/>
        </w:rPr>
        <w:t>disability</w:t>
      </w:r>
      <w:r>
        <w:rPr>
          <w:rFonts w:ascii="Times New Roman" w:hAnsi="Times New Roman"/>
          <w:spacing w:val="40"/>
          <w:sz w:val="24"/>
        </w:rPr>
        <w:t xml:space="preserve"> </w:t>
      </w:r>
      <w:r>
        <w:rPr>
          <w:rFonts w:ascii="Times New Roman" w:hAnsi="Times New Roman"/>
          <w:sz w:val="24"/>
        </w:rPr>
        <w:t>accumulation</w:t>
      </w:r>
      <w:r>
        <w:rPr>
          <w:rFonts w:ascii="Times New Roman" w:hAnsi="Times New Roman"/>
          <w:spacing w:val="40"/>
          <w:sz w:val="24"/>
        </w:rPr>
        <w:t xml:space="preserve"> </w:t>
      </w:r>
      <w:r>
        <w:rPr>
          <w:rFonts w:ascii="Times New Roman" w:hAnsi="Times New Roman"/>
          <w:sz w:val="24"/>
        </w:rPr>
        <w:t>in</w:t>
      </w:r>
      <w:r>
        <w:rPr>
          <w:rFonts w:ascii="Times New Roman" w:hAnsi="Times New Roman"/>
          <w:spacing w:val="40"/>
          <w:sz w:val="24"/>
        </w:rPr>
        <w:t xml:space="preserve"> </w:t>
      </w:r>
      <w:r>
        <w:rPr>
          <w:rFonts w:ascii="Times New Roman" w:hAnsi="Times New Roman"/>
          <w:sz w:val="24"/>
        </w:rPr>
        <w:t>the</w:t>
      </w:r>
      <w:r>
        <w:rPr>
          <w:rFonts w:ascii="Times New Roman" w:hAnsi="Times New Roman"/>
          <w:spacing w:val="40"/>
          <w:sz w:val="24"/>
        </w:rPr>
        <w:t xml:space="preserve"> </w:t>
      </w:r>
      <w:r>
        <w:rPr>
          <w:rFonts w:ascii="Times New Roman" w:hAnsi="Times New Roman"/>
          <w:sz w:val="24"/>
        </w:rPr>
        <w:t>absence</w:t>
      </w:r>
      <w:r>
        <w:rPr>
          <w:rFonts w:ascii="Times New Roman" w:hAnsi="Times New Roman"/>
          <w:spacing w:val="40"/>
          <w:sz w:val="24"/>
        </w:rPr>
        <w:t xml:space="preserve"> </w:t>
      </w:r>
      <w:r>
        <w:rPr>
          <w:rFonts w:ascii="Times New Roman" w:hAnsi="Times New Roman"/>
          <w:sz w:val="24"/>
        </w:rPr>
        <w:t>of</w:t>
      </w:r>
      <w:r>
        <w:rPr>
          <w:rFonts w:ascii="Times New Roman" w:hAnsi="Times New Roman"/>
          <w:spacing w:val="40"/>
          <w:sz w:val="24"/>
        </w:rPr>
        <w:t xml:space="preserve"> </w:t>
      </w:r>
      <w:r>
        <w:rPr>
          <w:rFonts w:ascii="Times New Roman" w:hAnsi="Times New Roman"/>
          <w:sz w:val="24"/>
        </w:rPr>
        <w:t>relapse</w:t>
      </w:r>
      <w:r>
        <w:rPr>
          <w:rFonts w:ascii="Times New Roman" w:hAnsi="Times New Roman"/>
          <w:spacing w:val="40"/>
          <w:sz w:val="24"/>
        </w:rPr>
        <w:t xml:space="preserve"> </w:t>
      </w:r>
      <w:r>
        <w:rPr>
          <w:rFonts w:ascii="Times New Roman" w:hAnsi="Times New Roman"/>
          <w:sz w:val="24"/>
        </w:rPr>
        <w:t>activity</w:t>
      </w:r>
      <w:r>
        <w:rPr>
          <w:rFonts w:ascii="Times New Roman" w:hAnsi="Times New Roman"/>
          <w:spacing w:val="40"/>
          <w:sz w:val="24"/>
        </w:rPr>
        <w:t xml:space="preserve"> </w:t>
      </w:r>
      <w:r>
        <w:rPr>
          <w:rFonts w:ascii="Times New Roman" w:hAnsi="Times New Roman"/>
          <w:sz w:val="24"/>
        </w:rPr>
        <w:t>with</w:t>
      </w:r>
      <w:r>
        <w:rPr>
          <w:rFonts w:ascii="Times New Roman" w:hAnsi="Times New Roman"/>
          <w:spacing w:val="40"/>
          <w:sz w:val="24"/>
        </w:rPr>
        <w:t xml:space="preserve"> </w:t>
      </w:r>
      <w:r>
        <w:rPr>
          <w:rFonts w:ascii="Times New Roman" w:hAnsi="Times New Roman"/>
          <w:sz w:val="24"/>
        </w:rPr>
        <w:t>Secondary Progressive Multiple Sclerosis (SPMS)</w:t>
      </w:r>
    </w:p>
    <w:p w14:paraId="53B38D70" w14:textId="77777777" w:rsidR="008B6261" w:rsidRDefault="008B6261">
      <w:pPr>
        <w:pStyle w:val="BodyText"/>
        <w:spacing w:before="120"/>
      </w:pPr>
    </w:p>
    <w:p w14:paraId="53B38D71" w14:textId="77777777" w:rsidR="008B6261" w:rsidRDefault="004C6B8B">
      <w:pPr>
        <w:pStyle w:val="ListParagraph"/>
        <w:numPr>
          <w:ilvl w:val="1"/>
          <w:numId w:val="4"/>
        </w:numPr>
        <w:tabs>
          <w:tab w:val="left" w:pos="702"/>
        </w:tabs>
        <w:ind w:hanging="679"/>
        <w:rPr>
          <w:b/>
        </w:rPr>
      </w:pPr>
      <w:bookmarkStart w:id="6" w:name="4.2_Dose_and_method_of_administration"/>
      <w:bookmarkStart w:id="7" w:name="_bookmark0"/>
      <w:bookmarkEnd w:id="6"/>
      <w:bookmarkEnd w:id="7"/>
      <w:r>
        <w:rPr>
          <w:b/>
        </w:rPr>
        <w:t>DOSE</w:t>
      </w:r>
      <w:r>
        <w:rPr>
          <w:b/>
          <w:spacing w:val="-5"/>
        </w:rPr>
        <w:t xml:space="preserve"> </w:t>
      </w:r>
      <w:r>
        <w:rPr>
          <w:b/>
        </w:rPr>
        <w:t>AND</w:t>
      </w:r>
      <w:r>
        <w:rPr>
          <w:b/>
          <w:spacing w:val="-3"/>
        </w:rPr>
        <w:t xml:space="preserve"> </w:t>
      </w:r>
      <w:r>
        <w:rPr>
          <w:b/>
        </w:rPr>
        <w:t>METHOD</w:t>
      </w:r>
      <w:r>
        <w:rPr>
          <w:b/>
          <w:spacing w:val="-6"/>
        </w:rPr>
        <w:t xml:space="preserve"> </w:t>
      </w:r>
      <w:r>
        <w:rPr>
          <w:b/>
        </w:rPr>
        <w:t>OF</w:t>
      </w:r>
      <w:r>
        <w:rPr>
          <w:b/>
          <w:spacing w:val="-2"/>
        </w:rPr>
        <w:t xml:space="preserve"> ADMINISTRATION</w:t>
      </w:r>
    </w:p>
    <w:p w14:paraId="53B38D72" w14:textId="77777777" w:rsidR="008B6261" w:rsidRDefault="004C6B8B">
      <w:pPr>
        <w:pStyle w:val="BodyText"/>
        <w:ind w:left="23" w:right="589"/>
        <w:jc w:val="both"/>
      </w:pPr>
      <w:r>
        <w:t>The treatment should be initiated and supervised by a healthcare professional experienced in the management of multiple sclerosis.</w:t>
      </w:r>
    </w:p>
    <w:p w14:paraId="53B38D73" w14:textId="77777777" w:rsidR="008B6261" w:rsidRDefault="004C6B8B">
      <w:pPr>
        <w:spacing w:before="241"/>
        <w:ind w:left="23"/>
        <w:rPr>
          <w:rFonts w:ascii="Arial"/>
          <w:b/>
        </w:rPr>
      </w:pPr>
      <w:bookmarkStart w:id="8" w:name="Dose"/>
      <w:bookmarkEnd w:id="8"/>
      <w:r>
        <w:rPr>
          <w:rFonts w:ascii="Arial"/>
          <w:b/>
          <w:spacing w:val="-4"/>
        </w:rPr>
        <w:t>Dose</w:t>
      </w:r>
    </w:p>
    <w:p w14:paraId="53B38D74" w14:textId="77777777" w:rsidR="008B6261" w:rsidRDefault="004C6B8B">
      <w:pPr>
        <w:pStyle w:val="BodyText"/>
        <w:ind w:left="22" w:right="588"/>
        <w:jc w:val="both"/>
      </w:pPr>
      <w:r>
        <w:t xml:space="preserve">The recommended dose of CENRIFKI in adults is 60 mg orally once daily (see Section </w:t>
      </w:r>
      <w:hyperlink w:anchor="_bookmark3" w:history="1">
        <w:r>
          <w:t>4.4</w:t>
        </w:r>
      </w:hyperlink>
      <w:r>
        <w:t xml:space="preserve"> Special Warnings and Precautions for use).</w:t>
      </w:r>
    </w:p>
    <w:p w14:paraId="53B38D75" w14:textId="77777777" w:rsidR="008B6261" w:rsidRDefault="008B6261">
      <w:pPr>
        <w:pStyle w:val="BodyText"/>
        <w:spacing w:before="85"/>
      </w:pPr>
    </w:p>
    <w:p w14:paraId="53B38D76" w14:textId="77777777" w:rsidR="008B6261" w:rsidRDefault="004C6B8B">
      <w:pPr>
        <w:ind w:left="23"/>
        <w:rPr>
          <w:rFonts w:ascii="Arial"/>
          <w:b/>
        </w:rPr>
      </w:pPr>
      <w:bookmarkStart w:id="9" w:name="Method_of_administration"/>
      <w:bookmarkEnd w:id="9"/>
      <w:r>
        <w:rPr>
          <w:rFonts w:ascii="Arial"/>
          <w:b/>
        </w:rPr>
        <w:t>Method</w:t>
      </w:r>
      <w:r>
        <w:rPr>
          <w:rFonts w:ascii="Arial"/>
          <w:b/>
          <w:spacing w:val="-4"/>
        </w:rPr>
        <w:t xml:space="preserve"> </w:t>
      </w:r>
      <w:r>
        <w:rPr>
          <w:rFonts w:ascii="Arial"/>
          <w:b/>
        </w:rPr>
        <w:t>of</w:t>
      </w:r>
      <w:r>
        <w:rPr>
          <w:rFonts w:ascii="Arial"/>
          <w:b/>
          <w:spacing w:val="-3"/>
        </w:rPr>
        <w:t xml:space="preserve"> </w:t>
      </w:r>
      <w:r>
        <w:rPr>
          <w:rFonts w:ascii="Arial"/>
          <w:b/>
          <w:spacing w:val="-2"/>
        </w:rPr>
        <w:t>administration</w:t>
      </w:r>
    </w:p>
    <w:p w14:paraId="53B38D77" w14:textId="77777777" w:rsidR="008B6261" w:rsidRDefault="004C6B8B">
      <w:pPr>
        <w:pStyle w:val="BodyText"/>
        <w:spacing w:before="241"/>
        <w:ind w:left="23" w:right="589"/>
        <w:jc w:val="both"/>
      </w:pPr>
      <w:r>
        <w:t xml:space="preserve">CENRIFKI must be taken with a meal preferably at the same time each day. Swallow tablets whole with water. Do not cut, crush, or chew the tablets (see Section </w:t>
      </w:r>
      <w:hyperlink w:anchor="_bookmark12" w:history="1">
        <w:r>
          <w:t>5.2</w:t>
        </w:r>
      </w:hyperlink>
      <w:r>
        <w:t xml:space="preserve"> Pharmacokinetic </w:t>
      </w:r>
      <w:r>
        <w:rPr>
          <w:spacing w:val="-2"/>
        </w:rPr>
        <w:t>properties).</w:t>
      </w:r>
    </w:p>
    <w:p w14:paraId="53B38D78" w14:textId="77777777" w:rsidR="008B6261" w:rsidRDefault="008B6261">
      <w:pPr>
        <w:pStyle w:val="BodyText"/>
        <w:spacing w:before="241"/>
      </w:pPr>
    </w:p>
    <w:p w14:paraId="53B38D79" w14:textId="77777777" w:rsidR="008B6261" w:rsidRDefault="004C6B8B">
      <w:pPr>
        <w:ind w:left="23"/>
        <w:rPr>
          <w:rFonts w:ascii="Arial"/>
          <w:b/>
        </w:rPr>
      </w:pPr>
      <w:bookmarkStart w:id="10" w:name="Dose_modifications_for_aminotransferase_"/>
      <w:bookmarkEnd w:id="10"/>
      <w:r>
        <w:rPr>
          <w:rFonts w:ascii="Arial"/>
          <w:b/>
        </w:rPr>
        <w:t>Dose</w:t>
      </w:r>
      <w:r>
        <w:rPr>
          <w:rFonts w:ascii="Arial"/>
          <w:b/>
          <w:spacing w:val="-7"/>
        </w:rPr>
        <w:t xml:space="preserve"> </w:t>
      </w:r>
      <w:r>
        <w:rPr>
          <w:rFonts w:ascii="Arial"/>
          <w:b/>
        </w:rPr>
        <w:t>modifications</w:t>
      </w:r>
      <w:r>
        <w:rPr>
          <w:rFonts w:ascii="Arial"/>
          <w:b/>
          <w:spacing w:val="-9"/>
        </w:rPr>
        <w:t xml:space="preserve"> </w:t>
      </w:r>
      <w:r>
        <w:rPr>
          <w:rFonts w:ascii="Arial"/>
          <w:b/>
        </w:rPr>
        <w:t>for</w:t>
      </w:r>
      <w:r>
        <w:rPr>
          <w:rFonts w:ascii="Arial"/>
          <w:b/>
          <w:spacing w:val="-8"/>
        </w:rPr>
        <w:t xml:space="preserve"> </w:t>
      </w:r>
      <w:r>
        <w:rPr>
          <w:rFonts w:ascii="Arial"/>
          <w:b/>
        </w:rPr>
        <w:t>aminotransferase</w:t>
      </w:r>
      <w:r>
        <w:rPr>
          <w:rFonts w:ascii="Arial"/>
          <w:b/>
          <w:spacing w:val="-6"/>
        </w:rPr>
        <w:t xml:space="preserve"> </w:t>
      </w:r>
      <w:r>
        <w:rPr>
          <w:rFonts w:ascii="Arial"/>
          <w:b/>
          <w:spacing w:val="-2"/>
        </w:rPr>
        <w:t>elevations</w:t>
      </w:r>
    </w:p>
    <w:p w14:paraId="53B38D7A" w14:textId="77777777" w:rsidR="008B6261" w:rsidRDefault="004C6B8B">
      <w:pPr>
        <w:pStyle w:val="BodyText"/>
        <w:ind w:left="22" w:right="585"/>
        <w:jc w:val="both"/>
      </w:pPr>
      <w:hyperlink w:anchor="_bookmark1" w:history="1">
        <w:r>
          <w:t>Table</w:t>
        </w:r>
        <w:r>
          <w:rPr>
            <w:spacing w:val="-4"/>
          </w:rPr>
          <w:t xml:space="preserve"> </w:t>
        </w:r>
        <w:r>
          <w:t>1</w:t>
        </w:r>
      </w:hyperlink>
      <w:r>
        <w:t xml:space="preserve"> summarises recommendations for dose adjustment and monitoring for patients who develop elevated transaminases during therapy with CENRIFKI (see Section </w:t>
      </w:r>
      <w:hyperlink w:anchor="_bookmark3" w:history="1">
        <w:r>
          <w:t>4.4</w:t>
        </w:r>
      </w:hyperlink>
      <w:r>
        <w:t xml:space="preserve"> Special Warnings and Precautions for use).</w:t>
      </w:r>
    </w:p>
    <w:p w14:paraId="53B38D7B" w14:textId="77777777" w:rsidR="008B6261" w:rsidRDefault="008B6261">
      <w:pPr>
        <w:pStyle w:val="BodyText"/>
        <w:spacing w:before="84"/>
      </w:pPr>
    </w:p>
    <w:p w14:paraId="53B38D7C" w14:textId="77777777" w:rsidR="008B6261" w:rsidRDefault="004C6B8B">
      <w:pPr>
        <w:spacing w:before="1"/>
        <w:ind w:left="990"/>
        <w:rPr>
          <w:rFonts w:ascii="Arial"/>
          <w:b/>
          <w:sz w:val="20"/>
        </w:rPr>
      </w:pPr>
      <w:bookmarkStart w:id="11" w:name="_bookmark1"/>
      <w:bookmarkEnd w:id="11"/>
      <w:r>
        <w:rPr>
          <w:rFonts w:ascii="Arial"/>
          <w:b/>
          <w:sz w:val="20"/>
        </w:rPr>
        <w:t>Table</w:t>
      </w:r>
      <w:r>
        <w:rPr>
          <w:rFonts w:ascii="Arial"/>
          <w:b/>
          <w:spacing w:val="-8"/>
          <w:sz w:val="20"/>
        </w:rPr>
        <w:t xml:space="preserve"> </w:t>
      </w:r>
      <w:r>
        <w:rPr>
          <w:rFonts w:ascii="Arial"/>
          <w:b/>
          <w:sz w:val="20"/>
        </w:rPr>
        <w:t>1</w:t>
      </w:r>
      <w:r>
        <w:rPr>
          <w:rFonts w:ascii="Arial"/>
          <w:b/>
          <w:spacing w:val="-7"/>
          <w:sz w:val="20"/>
        </w:rPr>
        <w:t xml:space="preserve"> </w:t>
      </w:r>
      <w:r>
        <w:rPr>
          <w:rFonts w:ascii="Arial"/>
          <w:b/>
          <w:sz w:val="20"/>
        </w:rPr>
        <w:t>-</w:t>
      </w:r>
      <w:r>
        <w:rPr>
          <w:rFonts w:ascii="Arial"/>
          <w:b/>
          <w:spacing w:val="-7"/>
          <w:sz w:val="20"/>
        </w:rPr>
        <w:t xml:space="preserve"> </w:t>
      </w:r>
      <w:r>
        <w:rPr>
          <w:rFonts w:ascii="Arial"/>
          <w:b/>
          <w:sz w:val="20"/>
        </w:rPr>
        <w:t>Therapy</w:t>
      </w:r>
      <w:r>
        <w:rPr>
          <w:rFonts w:ascii="Arial"/>
          <w:b/>
          <w:spacing w:val="-7"/>
          <w:sz w:val="20"/>
        </w:rPr>
        <w:t xml:space="preserve"> </w:t>
      </w:r>
      <w:r>
        <w:rPr>
          <w:rFonts w:ascii="Arial"/>
          <w:b/>
          <w:sz w:val="20"/>
        </w:rPr>
        <w:t>modifications</w:t>
      </w:r>
      <w:r>
        <w:rPr>
          <w:rFonts w:ascii="Arial"/>
          <w:b/>
          <w:spacing w:val="-8"/>
          <w:sz w:val="20"/>
        </w:rPr>
        <w:t xml:space="preserve"> </w:t>
      </w:r>
      <w:r>
        <w:rPr>
          <w:rFonts w:ascii="Arial"/>
          <w:b/>
          <w:sz w:val="20"/>
        </w:rPr>
        <w:t>and</w:t>
      </w:r>
      <w:r>
        <w:rPr>
          <w:rFonts w:ascii="Arial"/>
          <w:b/>
          <w:spacing w:val="-6"/>
          <w:sz w:val="20"/>
        </w:rPr>
        <w:t xml:space="preserve"> </w:t>
      </w:r>
      <w:r>
        <w:rPr>
          <w:rFonts w:ascii="Arial"/>
          <w:b/>
          <w:sz w:val="20"/>
        </w:rPr>
        <w:t>monitoring</w:t>
      </w:r>
      <w:r>
        <w:rPr>
          <w:rFonts w:ascii="Arial"/>
          <w:b/>
          <w:spacing w:val="-7"/>
          <w:sz w:val="20"/>
        </w:rPr>
        <w:t xml:space="preserve"> </w:t>
      </w:r>
      <w:r>
        <w:rPr>
          <w:rFonts w:ascii="Arial"/>
          <w:b/>
          <w:sz w:val="20"/>
        </w:rPr>
        <w:t>for</w:t>
      </w:r>
      <w:r>
        <w:rPr>
          <w:rFonts w:ascii="Arial"/>
          <w:b/>
          <w:spacing w:val="-8"/>
          <w:sz w:val="20"/>
        </w:rPr>
        <w:t xml:space="preserve"> </w:t>
      </w:r>
      <w:r>
        <w:rPr>
          <w:rFonts w:ascii="Arial"/>
          <w:b/>
          <w:sz w:val="20"/>
        </w:rPr>
        <w:t>elevated</w:t>
      </w:r>
      <w:r>
        <w:rPr>
          <w:rFonts w:ascii="Arial"/>
          <w:b/>
          <w:spacing w:val="-7"/>
          <w:sz w:val="20"/>
        </w:rPr>
        <w:t xml:space="preserve"> </w:t>
      </w:r>
      <w:r>
        <w:rPr>
          <w:rFonts w:ascii="Arial"/>
          <w:b/>
          <w:spacing w:val="-2"/>
          <w:sz w:val="20"/>
        </w:rPr>
        <w:t>transaminases</w:t>
      </w:r>
    </w:p>
    <w:p w14:paraId="53B38D7D" w14:textId="77777777" w:rsidR="008B6261" w:rsidRDefault="008B6261">
      <w:pPr>
        <w:pStyle w:val="BodyText"/>
        <w:spacing w:before="5"/>
        <w:rPr>
          <w:rFonts w:ascii="Arial"/>
          <w:b/>
          <w:sz w:val="1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7"/>
        <w:gridCol w:w="6069"/>
      </w:tblGrid>
      <w:tr w:rsidR="008B6261" w14:paraId="53B38D80" w14:textId="77777777" w:rsidTr="00A77020">
        <w:trPr>
          <w:trHeight w:val="352"/>
          <w:tblHeader/>
        </w:trPr>
        <w:tc>
          <w:tcPr>
            <w:tcW w:w="2947" w:type="dxa"/>
          </w:tcPr>
          <w:p w14:paraId="53B38D7E" w14:textId="77777777" w:rsidR="008B6261" w:rsidRDefault="004C6B8B">
            <w:pPr>
              <w:pStyle w:val="TableParagraph"/>
              <w:spacing w:before="59"/>
              <w:ind w:left="273"/>
              <w:rPr>
                <w:rFonts w:ascii="Arial"/>
                <w:b/>
                <w:sz w:val="20"/>
              </w:rPr>
            </w:pPr>
            <w:r>
              <w:rPr>
                <w:rFonts w:ascii="Arial"/>
                <w:b/>
                <w:sz w:val="20"/>
              </w:rPr>
              <w:t>Laboratory</w:t>
            </w:r>
            <w:r>
              <w:rPr>
                <w:rFonts w:ascii="Arial"/>
                <w:b/>
                <w:spacing w:val="-14"/>
                <w:sz w:val="20"/>
              </w:rPr>
              <w:t xml:space="preserve"> </w:t>
            </w:r>
            <w:r>
              <w:rPr>
                <w:rFonts w:ascii="Arial"/>
                <w:b/>
                <w:spacing w:val="-2"/>
                <w:sz w:val="20"/>
              </w:rPr>
              <w:t>abnormalities</w:t>
            </w:r>
          </w:p>
        </w:tc>
        <w:tc>
          <w:tcPr>
            <w:tcW w:w="6069" w:type="dxa"/>
          </w:tcPr>
          <w:p w14:paraId="53B38D7F" w14:textId="77777777" w:rsidR="008B6261" w:rsidRDefault="004C6B8B">
            <w:pPr>
              <w:pStyle w:val="TableParagraph"/>
              <w:spacing w:before="59"/>
              <w:ind w:left="1473"/>
              <w:rPr>
                <w:rFonts w:ascii="Arial"/>
                <w:b/>
                <w:sz w:val="20"/>
              </w:rPr>
            </w:pPr>
            <w:r>
              <w:rPr>
                <w:rFonts w:ascii="Arial"/>
                <w:b/>
                <w:sz w:val="20"/>
              </w:rPr>
              <w:t>CENRIFKI</w:t>
            </w:r>
            <w:r>
              <w:rPr>
                <w:rFonts w:ascii="Arial"/>
                <w:b/>
                <w:spacing w:val="-11"/>
                <w:sz w:val="20"/>
              </w:rPr>
              <w:t xml:space="preserve"> </w:t>
            </w:r>
            <w:r>
              <w:rPr>
                <w:rFonts w:ascii="Arial"/>
                <w:b/>
                <w:sz w:val="20"/>
              </w:rPr>
              <w:t>Therapy</w:t>
            </w:r>
            <w:r>
              <w:rPr>
                <w:rFonts w:ascii="Arial"/>
                <w:b/>
                <w:spacing w:val="-10"/>
                <w:sz w:val="20"/>
              </w:rPr>
              <w:t xml:space="preserve"> </w:t>
            </w:r>
            <w:r>
              <w:rPr>
                <w:rFonts w:ascii="Arial"/>
                <w:b/>
                <w:spacing w:val="-2"/>
                <w:sz w:val="20"/>
              </w:rPr>
              <w:t>Modifications</w:t>
            </w:r>
          </w:p>
        </w:tc>
      </w:tr>
      <w:tr w:rsidR="00B04EA6" w14:paraId="53B38D88" w14:textId="77777777">
        <w:trPr>
          <w:trHeight w:val="1163"/>
        </w:trPr>
        <w:tc>
          <w:tcPr>
            <w:tcW w:w="2947" w:type="dxa"/>
            <w:vMerge w:val="restart"/>
          </w:tcPr>
          <w:p w14:paraId="53B38D81" w14:textId="77777777" w:rsidR="00B04EA6" w:rsidRDefault="00B04EA6">
            <w:pPr>
              <w:pStyle w:val="TableParagraph"/>
              <w:spacing w:before="59"/>
              <w:ind w:left="107" w:right="73"/>
              <w:rPr>
                <w:sz w:val="20"/>
              </w:rPr>
            </w:pPr>
            <w:r>
              <w:rPr>
                <w:sz w:val="20"/>
              </w:rPr>
              <w:t>ALT</w:t>
            </w:r>
            <w:r>
              <w:rPr>
                <w:position w:val="5"/>
                <w:sz w:val="13"/>
              </w:rPr>
              <w:t>†</w:t>
            </w:r>
            <w:r>
              <w:rPr>
                <w:spacing w:val="40"/>
                <w:position w:val="5"/>
                <w:sz w:val="13"/>
              </w:rPr>
              <w:t xml:space="preserve"> </w:t>
            </w:r>
            <w:r>
              <w:rPr>
                <w:sz w:val="20"/>
              </w:rPr>
              <w:t>or</w:t>
            </w:r>
            <w:r>
              <w:rPr>
                <w:spacing w:val="-4"/>
                <w:sz w:val="20"/>
              </w:rPr>
              <w:t xml:space="preserve"> </w:t>
            </w:r>
            <w:r>
              <w:rPr>
                <w:sz w:val="20"/>
              </w:rPr>
              <w:t>AST</w:t>
            </w:r>
            <w:r>
              <w:rPr>
                <w:position w:val="5"/>
                <w:sz w:val="13"/>
              </w:rPr>
              <w:t>†</w:t>
            </w:r>
            <w:r>
              <w:rPr>
                <w:spacing w:val="40"/>
                <w:position w:val="5"/>
                <w:sz w:val="13"/>
              </w:rPr>
              <w:t xml:space="preserve"> </w:t>
            </w:r>
            <w:r>
              <w:rPr>
                <w:sz w:val="20"/>
              </w:rPr>
              <w:t>&gt;</w:t>
            </w:r>
            <w:r>
              <w:rPr>
                <w:spacing w:val="-4"/>
                <w:sz w:val="20"/>
              </w:rPr>
              <w:t xml:space="preserve"> </w:t>
            </w:r>
            <w:r>
              <w:rPr>
                <w:sz w:val="20"/>
              </w:rPr>
              <w:t>3x</w:t>
            </w:r>
            <w:r>
              <w:rPr>
                <w:spacing w:val="-5"/>
                <w:sz w:val="20"/>
              </w:rPr>
              <w:t xml:space="preserve"> </w:t>
            </w:r>
            <w:r>
              <w:rPr>
                <w:sz w:val="20"/>
              </w:rPr>
              <w:t>and</w:t>
            </w:r>
            <w:r>
              <w:rPr>
                <w:spacing w:val="-4"/>
                <w:sz w:val="20"/>
              </w:rPr>
              <w:t xml:space="preserve"> </w:t>
            </w:r>
            <w:r>
              <w:rPr>
                <w:sz w:val="20"/>
              </w:rPr>
              <w:t>≤</w:t>
            </w:r>
            <w:r>
              <w:rPr>
                <w:spacing w:val="-3"/>
                <w:sz w:val="20"/>
              </w:rPr>
              <w:t xml:space="preserve"> </w:t>
            </w:r>
            <w:r>
              <w:rPr>
                <w:sz w:val="20"/>
              </w:rPr>
              <w:t>5x</w:t>
            </w:r>
            <w:r>
              <w:rPr>
                <w:spacing w:val="-5"/>
                <w:sz w:val="20"/>
              </w:rPr>
              <w:t xml:space="preserve"> </w:t>
            </w:r>
            <w:r>
              <w:rPr>
                <w:sz w:val="20"/>
              </w:rPr>
              <w:t>ULN</w:t>
            </w:r>
            <w:r>
              <w:rPr>
                <w:position w:val="5"/>
                <w:sz w:val="13"/>
              </w:rPr>
              <w:t>†</w:t>
            </w:r>
            <w:r>
              <w:rPr>
                <w:spacing w:val="40"/>
                <w:position w:val="5"/>
                <w:sz w:val="13"/>
              </w:rPr>
              <w:t xml:space="preserve"> </w:t>
            </w:r>
            <w:r>
              <w:rPr>
                <w:sz w:val="20"/>
              </w:rPr>
              <w:t>with clinical symptoms</w:t>
            </w:r>
            <w:r>
              <w:rPr>
                <w:position w:val="5"/>
                <w:sz w:val="13"/>
              </w:rPr>
              <w:t>‡</w:t>
            </w:r>
            <w:r>
              <w:rPr>
                <w:spacing w:val="40"/>
                <w:position w:val="5"/>
                <w:sz w:val="13"/>
              </w:rPr>
              <w:t xml:space="preserve"> </w:t>
            </w:r>
            <w:r>
              <w:rPr>
                <w:sz w:val="20"/>
              </w:rPr>
              <w:t>OR with concurrent total bilirubin &gt; 2x ULN</w:t>
            </w:r>
          </w:p>
          <w:p w14:paraId="53B38D82" w14:textId="77777777" w:rsidR="00B04EA6" w:rsidRDefault="00B04EA6">
            <w:pPr>
              <w:pStyle w:val="TableParagraph"/>
              <w:spacing w:before="121"/>
              <w:rPr>
                <w:rFonts w:ascii="Arial"/>
                <w:b/>
                <w:sz w:val="20"/>
              </w:rPr>
            </w:pPr>
          </w:p>
          <w:p w14:paraId="53B38D83" w14:textId="77777777" w:rsidR="00B04EA6" w:rsidRDefault="00B04EA6">
            <w:pPr>
              <w:pStyle w:val="TableParagraph"/>
              <w:spacing w:before="0"/>
              <w:ind w:left="107"/>
              <w:rPr>
                <w:sz w:val="20"/>
              </w:rPr>
            </w:pPr>
            <w:r>
              <w:rPr>
                <w:sz w:val="20"/>
              </w:rPr>
              <w:t>ALT</w:t>
            </w:r>
            <w:r>
              <w:rPr>
                <w:spacing w:val="-2"/>
                <w:sz w:val="20"/>
              </w:rPr>
              <w:t xml:space="preserve"> </w:t>
            </w:r>
            <w:r>
              <w:rPr>
                <w:sz w:val="20"/>
              </w:rPr>
              <w:t>or</w:t>
            </w:r>
            <w:r>
              <w:rPr>
                <w:spacing w:val="-3"/>
                <w:sz w:val="20"/>
              </w:rPr>
              <w:t xml:space="preserve"> </w:t>
            </w:r>
            <w:r>
              <w:rPr>
                <w:sz w:val="20"/>
              </w:rPr>
              <w:t>AST</w:t>
            </w:r>
            <w:r>
              <w:rPr>
                <w:spacing w:val="-2"/>
                <w:sz w:val="20"/>
              </w:rPr>
              <w:t xml:space="preserve"> </w:t>
            </w:r>
            <w:r>
              <w:rPr>
                <w:sz w:val="20"/>
              </w:rPr>
              <w:t>&gt;</w:t>
            </w:r>
            <w:r>
              <w:rPr>
                <w:spacing w:val="-2"/>
                <w:sz w:val="20"/>
              </w:rPr>
              <w:t xml:space="preserve"> </w:t>
            </w:r>
            <w:r>
              <w:rPr>
                <w:sz w:val="20"/>
              </w:rPr>
              <w:t>5x</w:t>
            </w:r>
            <w:r>
              <w:rPr>
                <w:spacing w:val="-4"/>
                <w:sz w:val="20"/>
              </w:rPr>
              <w:t xml:space="preserve"> </w:t>
            </w:r>
            <w:r>
              <w:rPr>
                <w:spacing w:val="-5"/>
                <w:sz w:val="20"/>
              </w:rPr>
              <w:t>ULN</w:t>
            </w:r>
          </w:p>
        </w:tc>
        <w:tc>
          <w:tcPr>
            <w:tcW w:w="6069" w:type="dxa"/>
          </w:tcPr>
          <w:p w14:paraId="53B38D84" w14:textId="77777777" w:rsidR="00B04EA6" w:rsidRDefault="00B04EA6">
            <w:pPr>
              <w:pStyle w:val="TableParagraph"/>
              <w:spacing w:before="59"/>
              <w:ind w:left="107"/>
              <w:rPr>
                <w:sz w:val="20"/>
              </w:rPr>
            </w:pPr>
            <w:r>
              <w:rPr>
                <w:sz w:val="20"/>
              </w:rPr>
              <w:t>Withhold</w:t>
            </w:r>
            <w:r>
              <w:rPr>
                <w:spacing w:val="-9"/>
                <w:sz w:val="20"/>
              </w:rPr>
              <w:t xml:space="preserve"> </w:t>
            </w:r>
            <w:r>
              <w:rPr>
                <w:sz w:val="20"/>
              </w:rPr>
              <w:t>CENRIFKI</w:t>
            </w:r>
            <w:r>
              <w:rPr>
                <w:spacing w:val="-8"/>
                <w:sz w:val="20"/>
              </w:rPr>
              <w:t xml:space="preserve"> </w:t>
            </w:r>
            <w:r>
              <w:rPr>
                <w:spacing w:val="-2"/>
                <w:sz w:val="20"/>
              </w:rPr>
              <w:t>treatment.</w:t>
            </w:r>
          </w:p>
          <w:p w14:paraId="53B38D85" w14:textId="77777777" w:rsidR="00B04EA6" w:rsidRDefault="00B04EA6">
            <w:pPr>
              <w:pStyle w:val="TableParagraph"/>
              <w:spacing w:before="59"/>
              <w:ind w:left="107"/>
              <w:rPr>
                <w:sz w:val="20"/>
              </w:rPr>
            </w:pPr>
            <w:r>
              <w:rPr>
                <w:sz w:val="20"/>
              </w:rPr>
              <w:t>Repeat</w:t>
            </w:r>
            <w:r>
              <w:rPr>
                <w:spacing w:val="-5"/>
                <w:sz w:val="20"/>
              </w:rPr>
              <w:t xml:space="preserve"> </w:t>
            </w:r>
            <w:r>
              <w:rPr>
                <w:sz w:val="20"/>
              </w:rPr>
              <w:t>labs</w:t>
            </w:r>
            <w:r>
              <w:rPr>
                <w:spacing w:val="-6"/>
                <w:sz w:val="20"/>
              </w:rPr>
              <w:t xml:space="preserve"> </w:t>
            </w:r>
            <w:r>
              <w:rPr>
                <w:sz w:val="20"/>
              </w:rPr>
              <w:t>every</w:t>
            </w:r>
            <w:r>
              <w:rPr>
                <w:spacing w:val="-5"/>
                <w:sz w:val="20"/>
              </w:rPr>
              <w:t xml:space="preserve"> </w:t>
            </w:r>
            <w:r>
              <w:rPr>
                <w:sz w:val="20"/>
              </w:rPr>
              <w:t>2-3</w:t>
            </w:r>
            <w:r>
              <w:rPr>
                <w:spacing w:val="-5"/>
                <w:sz w:val="20"/>
              </w:rPr>
              <w:t xml:space="preserve"> </w:t>
            </w:r>
            <w:r>
              <w:rPr>
                <w:sz w:val="20"/>
              </w:rPr>
              <w:t>days</w:t>
            </w:r>
            <w:r>
              <w:rPr>
                <w:spacing w:val="-5"/>
                <w:sz w:val="20"/>
              </w:rPr>
              <w:t xml:space="preserve"> </w:t>
            </w:r>
            <w:r>
              <w:rPr>
                <w:sz w:val="20"/>
              </w:rPr>
              <w:t>until</w:t>
            </w:r>
            <w:r>
              <w:rPr>
                <w:spacing w:val="-3"/>
                <w:sz w:val="20"/>
              </w:rPr>
              <w:t xml:space="preserve"> </w:t>
            </w:r>
            <w:r>
              <w:rPr>
                <w:sz w:val="20"/>
              </w:rPr>
              <w:t>ALT</w:t>
            </w:r>
            <w:r>
              <w:rPr>
                <w:spacing w:val="-4"/>
                <w:sz w:val="20"/>
              </w:rPr>
              <w:t xml:space="preserve"> </w:t>
            </w:r>
            <w:r>
              <w:rPr>
                <w:sz w:val="20"/>
              </w:rPr>
              <w:t>or</w:t>
            </w:r>
            <w:r>
              <w:rPr>
                <w:spacing w:val="-4"/>
                <w:sz w:val="20"/>
              </w:rPr>
              <w:t xml:space="preserve"> </w:t>
            </w:r>
            <w:r>
              <w:rPr>
                <w:sz w:val="20"/>
              </w:rPr>
              <w:t>AST</w:t>
            </w:r>
            <w:r>
              <w:rPr>
                <w:spacing w:val="-4"/>
                <w:sz w:val="20"/>
              </w:rPr>
              <w:t xml:space="preserve"> </w:t>
            </w:r>
            <w:r>
              <w:rPr>
                <w:sz w:val="20"/>
              </w:rPr>
              <w:t>down-trending</w:t>
            </w:r>
            <w:r>
              <w:rPr>
                <w:spacing w:val="-5"/>
                <w:sz w:val="20"/>
              </w:rPr>
              <w:t xml:space="preserve"> </w:t>
            </w:r>
            <w:r>
              <w:rPr>
                <w:sz w:val="20"/>
              </w:rPr>
              <w:t>and</w:t>
            </w:r>
            <w:r>
              <w:rPr>
                <w:spacing w:val="-4"/>
                <w:sz w:val="20"/>
              </w:rPr>
              <w:t xml:space="preserve"> </w:t>
            </w:r>
            <w:r>
              <w:rPr>
                <w:sz w:val="20"/>
              </w:rPr>
              <w:t>monitor</w:t>
            </w:r>
            <w:r>
              <w:rPr>
                <w:spacing w:val="-5"/>
                <w:sz w:val="20"/>
              </w:rPr>
              <w:t xml:space="preserve"> </w:t>
            </w:r>
            <w:r>
              <w:rPr>
                <w:spacing w:val="-2"/>
                <w:sz w:val="20"/>
              </w:rPr>
              <w:t>weekly</w:t>
            </w:r>
          </w:p>
          <w:p w14:paraId="53B38D86" w14:textId="77777777" w:rsidR="00B04EA6" w:rsidRDefault="00B04EA6">
            <w:pPr>
              <w:pStyle w:val="TableParagraph"/>
              <w:spacing w:before="1"/>
              <w:ind w:left="107"/>
              <w:rPr>
                <w:sz w:val="20"/>
              </w:rPr>
            </w:pPr>
            <w:r>
              <w:rPr>
                <w:sz w:val="20"/>
              </w:rPr>
              <w:t>until</w:t>
            </w:r>
            <w:r>
              <w:rPr>
                <w:spacing w:val="-4"/>
                <w:sz w:val="20"/>
              </w:rPr>
              <w:t xml:space="preserve"> </w:t>
            </w:r>
            <w:r>
              <w:rPr>
                <w:sz w:val="20"/>
              </w:rPr>
              <w:t>ALT</w:t>
            </w:r>
            <w:r>
              <w:rPr>
                <w:spacing w:val="-2"/>
                <w:sz w:val="20"/>
              </w:rPr>
              <w:t xml:space="preserve"> </w:t>
            </w:r>
            <w:r>
              <w:rPr>
                <w:sz w:val="20"/>
              </w:rPr>
              <w:t>or</w:t>
            </w:r>
            <w:r>
              <w:rPr>
                <w:spacing w:val="-3"/>
                <w:sz w:val="20"/>
              </w:rPr>
              <w:t xml:space="preserve"> </w:t>
            </w:r>
            <w:r>
              <w:rPr>
                <w:sz w:val="20"/>
              </w:rPr>
              <w:t>AST</w:t>
            </w:r>
            <w:r>
              <w:rPr>
                <w:spacing w:val="-2"/>
                <w:sz w:val="20"/>
              </w:rPr>
              <w:t xml:space="preserve"> </w:t>
            </w:r>
            <w:r>
              <w:rPr>
                <w:sz w:val="20"/>
              </w:rPr>
              <w:t>less</w:t>
            </w:r>
            <w:r>
              <w:rPr>
                <w:spacing w:val="-4"/>
                <w:sz w:val="20"/>
              </w:rPr>
              <w:t xml:space="preserve"> </w:t>
            </w:r>
            <w:r>
              <w:rPr>
                <w:sz w:val="20"/>
              </w:rPr>
              <w:t>than</w:t>
            </w:r>
            <w:r>
              <w:rPr>
                <w:spacing w:val="-3"/>
                <w:sz w:val="20"/>
              </w:rPr>
              <w:t xml:space="preserve"> </w:t>
            </w:r>
            <w:r>
              <w:rPr>
                <w:sz w:val="20"/>
              </w:rPr>
              <w:t>1.5</w:t>
            </w:r>
            <w:r>
              <w:rPr>
                <w:spacing w:val="-3"/>
                <w:sz w:val="20"/>
              </w:rPr>
              <w:t xml:space="preserve"> </w:t>
            </w:r>
            <w:r>
              <w:rPr>
                <w:sz w:val="20"/>
              </w:rPr>
              <w:t>x</w:t>
            </w:r>
            <w:r>
              <w:rPr>
                <w:spacing w:val="-1"/>
                <w:sz w:val="20"/>
              </w:rPr>
              <w:t xml:space="preserve"> </w:t>
            </w:r>
            <w:r>
              <w:rPr>
                <w:spacing w:val="-4"/>
                <w:sz w:val="20"/>
              </w:rPr>
              <w:t>ULN.</w:t>
            </w:r>
          </w:p>
          <w:p w14:paraId="53B38D87" w14:textId="77777777" w:rsidR="00B04EA6" w:rsidRDefault="00B04EA6">
            <w:pPr>
              <w:pStyle w:val="TableParagraph"/>
              <w:spacing w:before="61"/>
              <w:ind w:left="107"/>
              <w:rPr>
                <w:sz w:val="20"/>
              </w:rPr>
            </w:pPr>
            <w:r>
              <w:rPr>
                <w:sz w:val="20"/>
              </w:rPr>
              <w:t>Investigate</w:t>
            </w:r>
            <w:r>
              <w:rPr>
                <w:spacing w:val="-7"/>
                <w:sz w:val="20"/>
              </w:rPr>
              <w:t xml:space="preserve"> </w:t>
            </w:r>
            <w:r>
              <w:rPr>
                <w:sz w:val="20"/>
              </w:rPr>
              <w:t>to</w:t>
            </w:r>
            <w:r>
              <w:rPr>
                <w:spacing w:val="-7"/>
                <w:sz w:val="20"/>
              </w:rPr>
              <w:t xml:space="preserve"> </w:t>
            </w:r>
            <w:r>
              <w:rPr>
                <w:sz w:val="20"/>
              </w:rPr>
              <w:t>identify</w:t>
            </w:r>
            <w:r>
              <w:rPr>
                <w:spacing w:val="-8"/>
                <w:sz w:val="20"/>
              </w:rPr>
              <w:t xml:space="preserve"> </w:t>
            </w:r>
            <w:r>
              <w:rPr>
                <w:sz w:val="20"/>
              </w:rPr>
              <w:t>probable</w:t>
            </w:r>
            <w:r>
              <w:rPr>
                <w:spacing w:val="-6"/>
                <w:sz w:val="20"/>
              </w:rPr>
              <w:t xml:space="preserve"> </w:t>
            </w:r>
            <w:r>
              <w:rPr>
                <w:spacing w:val="-2"/>
                <w:sz w:val="20"/>
              </w:rPr>
              <w:t>causes.</w:t>
            </w:r>
          </w:p>
        </w:tc>
      </w:tr>
      <w:tr w:rsidR="00B04EA6" w14:paraId="53B38D8B" w14:textId="77777777" w:rsidTr="0017753D">
        <w:trPr>
          <w:trHeight w:val="1326"/>
        </w:trPr>
        <w:tc>
          <w:tcPr>
            <w:tcW w:w="2947" w:type="dxa"/>
            <w:vMerge/>
          </w:tcPr>
          <w:p w14:paraId="53B38D89" w14:textId="77777777" w:rsidR="00B04EA6" w:rsidRDefault="00B04EA6">
            <w:pPr>
              <w:rPr>
                <w:sz w:val="2"/>
                <w:szCs w:val="2"/>
              </w:rPr>
            </w:pPr>
          </w:p>
        </w:tc>
        <w:tc>
          <w:tcPr>
            <w:tcW w:w="6069" w:type="dxa"/>
          </w:tcPr>
          <w:p w14:paraId="53B38D8A" w14:textId="77777777" w:rsidR="00B04EA6" w:rsidRDefault="00B04EA6">
            <w:pPr>
              <w:pStyle w:val="TableParagraph"/>
              <w:spacing w:before="59"/>
              <w:ind w:left="108" w:right="9"/>
              <w:rPr>
                <w:sz w:val="20"/>
              </w:rPr>
            </w:pPr>
            <w:r>
              <w:rPr>
                <w:sz w:val="20"/>
              </w:rPr>
              <w:t>If an alternative cause other than drug-induced liver injury (DILI) is identified, reinitiation</w:t>
            </w:r>
            <w:r>
              <w:rPr>
                <w:spacing w:val="-4"/>
                <w:sz w:val="20"/>
              </w:rPr>
              <w:t xml:space="preserve"> </w:t>
            </w:r>
            <w:r>
              <w:rPr>
                <w:sz w:val="20"/>
              </w:rPr>
              <w:t>of</w:t>
            </w:r>
            <w:r>
              <w:rPr>
                <w:spacing w:val="-4"/>
                <w:sz w:val="20"/>
              </w:rPr>
              <w:t xml:space="preserve"> </w:t>
            </w:r>
            <w:r>
              <w:rPr>
                <w:sz w:val="20"/>
              </w:rPr>
              <w:t>CENRIFKI</w:t>
            </w:r>
            <w:r>
              <w:rPr>
                <w:spacing w:val="-2"/>
                <w:sz w:val="20"/>
              </w:rPr>
              <w:t xml:space="preserve"> </w:t>
            </w:r>
            <w:r>
              <w:rPr>
                <w:sz w:val="20"/>
              </w:rPr>
              <w:t>can</w:t>
            </w:r>
            <w:r>
              <w:rPr>
                <w:spacing w:val="-4"/>
                <w:sz w:val="20"/>
              </w:rPr>
              <w:t xml:space="preserve"> </w:t>
            </w:r>
            <w:r>
              <w:rPr>
                <w:sz w:val="20"/>
              </w:rPr>
              <w:t>be</w:t>
            </w:r>
            <w:r>
              <w:rPr>
                <w:spacing w:val="-4"/>
                <w:sz w:val="20"/>
              </w:rPr>
              <w:t xml:space="preserve"> </w:t>
            </w:r>
            <w:r>
              <w:rPr>
                <w:sz w:val="20"/>
              </w:rPr>
              <w:t>considered</w:t>
            </w:r>
            <w:r>
              <w:rPr>
                <w:spacing w:val="-4"/>
                <w:sz w:val="20"/>
              </w:rPr>
              <w:t xml:space="preserve"> </w:t>
            </w:r>
            <w:r>
              <w:rPr>
                <w:sz w:val="20"/>
              </w:rPr>
              <w:t>when</w:t>
            </w:r>
            <w:r>
              <w:rPr>
                <w:spacing w:val="-4"/>
                <w:sz w:val="20"/>
              </w:rPr>
              <w:t xml:space="preserve"> </w:t>
            </w:r>
            <w:r>
              <w:rPr>
                <w:sz w:val="20"/>
              </w:rPr>
              <w:t>ALT</w:t>
            </w:r>
            <w:r>
              <w:rPr>
                <w:spacing w:val="-3"/>
                <w:sz w:val="20"/>
              </w:rPr>
              <w:t xml:space="preserve"> </w:t>
            </w:r>
            <w:r>
              <w:rPr>
                <w:sz w:val="20"/>
              </w:rPr>
              <w:t>or</w:t>
            </w:r>
            <w:r>
              <w:rPr>
                <w:spacing w:val="-4"/>
                <w:sz w:val="20"/>
              </w:rPr>
              <w:t xml:space="preserve"> </w:t>
            </w:r>
            <w:r>
              <w:rPr>
                <w:sz w:val="20"/>
              </w:rPr>
              <w:t>AST</w:t>
            </w:r>
            <w:r>
              <w:rPr>
                <w:spacing w:val="-3"/>
                <w:sz w:val="20"/>
              </w:rPr>
              <w:t xml:space="preserve"> </w:t>
            </w:r>
            <w:r>
              <w:rPr>
                <w:sz w:val="20"/>
              </w:rPr>
              <w:t>decreases</w:t>
            </w:r>
            <w:r>
              <w:rPr>
                <w:spacing w:val="-5"/>
                <w:sz w:val="20"/>
              </w:rPr>
              <w:t xml:space="preserve"> </w:t>
            </w:r>
            <w:r>
              <w:rPr>
                <w:sz w:val="20"/>
              </w:rPr>
              <w:t>to</w:t>
            </w:r>
            <w:r>
              <w:rPr>
                <w:spacing w:val="-4"/>
                <w:sz w:val="20"/>
              </w:rPr>
              <w:t xml:space="preserve"> </w:t>
            </w:r>
            <w:r>
              <w:rPr>
                <w:sz w:val="20"/>
              </w:rPr>
              <w:t>less than 1.5 x ULN. Upon reinitiation of CENRIFKI, if ALT or AST greater than 3x ULN, permanently discontinue CENRIFKI treatment.</w:t>
            </w:r>
          </w:p>
        </w:tc>
      </w:tr>
      <w:tr w:rsidR="00B04EA6" w14:paraId="53B38D96" w14:textId="77777777">
        <w:trPr>
          <w:trHeight w:val="1657"/>
        </w:trPr>
        <w:tc>
          <w:tcPr>
            <w:tcW w:w="2947" w:type="dxa"/>
            <w:vMerge/>
          </w:tcPr>
          <w:p w14:paraId="53B38D90" w14:textId="77777777" w:rsidR="00B04EA6" w:rsidRDefault="00B04EA6">
            <w:pPr>
              <w:pStyle w:val="TableParagraph"/>
              <w:spacing w:before="0"/>
              <w:rPr>
                <w:rFonts w:ascii="Times New Roman"/>
              </w:rPr>
            </w:pPr>
          </w:p>
        </w:tc>
        <w:tc>
          <w:tcPr>
            <w:tcW w:w="6069" w:type="dxa"/>
          </w:tcPr>
          <w:p w14:paraId="53B38D91" w14:textId="77777777" w:rsidR="00B04EA6" w:rsidRDefault="00B04EA6">
            <w:pPr>
              <w:pStyle w:val="TableParagraph"/>
              <w:spacing w:before="59"/>
              <w:ind w:left="108"/>
              <w:rPr>
                <w:sz w:val="20"/>
              </w:rPr>
            </w:pPr>
            <w:r>
              <w:rPr>
                <w:sz w:val="20"/>
              </w:rPr>
              <w:t>If</w:t>
            </w:r>
            <w:r>
              <w:rPr>
                <w:spacing w:val="-4"/>
                <w:sz w:val="20"/>
              </w:rPr>
              <w:t xml:space="preserve"> </w:t>
            </w:r>
            <w:r>
              <w:rPr>
                <w:sz w:val="20"/>
              </w:rPr>
              <w:t>no</w:t>
            </w:r>
            <w:r>
              <w:rPr>
                <w:spacing w:val="-4"/>
                <w:sz w:val="20"/>
              </w:rPr>
              <w:t xml:space="preserve"> </w:t>
            </w:r>
            <w:r>
              <w:rPr>
                <w:sz w:val="20"/>
              </w:rPr>
              <w:t>alternative</w:t>
            </w:r>
            <w:r>
              <w:rPr>
                <w:spacing w:val="-4"/>
                <w:sz w:val="20"/>
              </w:rPr>
              <w:t xml:space="preserve"> </w:t>
            </w:r>
            <w:r>
              <w:rPr>
                <w:sz w:val="20"/>
              </w:rPr>
              <w:t>cause</w:t>
            </w:r>
            <w:r>
              <w:rPr>
                <w:spacing w:val="-4"/>
                <w:sz w:val="20"/>
              </w:rPr>
              <w:t xml:space="preserve"> </w:t>
            </w:r>
            <w:r>
              <w:rPr>
                <w:sz w:val="20"/>
              </w:rPr>
              <w:t>to</w:t>
            </w:r>
            <w:r>
              <w:rPr>
                <w:spacing w:val="-4"/>
                <w:sz w:val="20"/>
              </w:rPr>
              <w:t xml:space="preserve"> </w:t>
            </w:r>
            <w:r>
              <w:rPr>
                <w:sz w:val="20"/>
              </w:rPr>
              <w:t>DILI</w:t>
            </w:r>
            <w:r>
              <w:rPr>
                <w:spacing w:val="-4"/>
                <w:sz w:val="20"/>
              </w:rPr>
              <w:t xml:space="preserve"> </w:t>
            </w:r>
            <w:r>
              <w:rPr>
                <w:sz w:val="20"/>
              </w:rPr>
              <w:t>is</w:t>
            </w:r>
            <w:r>
              <w:rPr>
                <w:spacing w:val="-3"/>
                <w:sz w:val="20"/>
              </w:rPr>
              <w:t xml:space="preserve"> </w:t>
            </w:r>
            <w:r>
              <w:rPr>
                <w:sz w:val="20"/>
              </w:rPr>
              <w:t>identified,</w:t>
            </w:r>
            <w:r>
              <w:rPr>
                <w:spacing w:val="-4"/>
                <w:sz w:val="20"/>
              </w:rPr>
              <w:t xml:space="preserve"> </w:t>
            </w:r>
            <w:r>
              <w:rPr>
                <w:sz w:val="20"/>
              </w:rPr>
              <w:t>permanently</w:t>
            </w:r>
            <w:r>
              <w:rPr>
                <w:spacing w:val="-5"/>
                <w:sz w:val="20"/>
              </w:rPr>
              <w:t xml:space="preserve"> </w:t>
            </w:r>
            <w:r>
              <w:rPr>
                <w:sz w:val="20"/>
              </w:rPr>
              <w:t>discontinue</w:t>
            </w:r>
            <w:r>
              <w:rPr>
                <w:spacing w:val="-4"/>
                <w:sz w:val="20"/>
              </w:rPr>
              <w:t xml:space="preserve"> </w:t>
            </w:r>
            <w:r>
              <w:rPr>
                <w:sz w:val="20"/>
              </w:rPr>
              <w:t>CENRIFKI treatment if any of the following occurred as the initial event:</w:t>
            </w:r>
          </w:p>
          <w:p w14:paraId="53B38D92" w14:textId="77777777" w:rsidR="00B04EA6" w:rsidRDefault="00B04EA6">
            <w:pPr>
              <w:pStyle w:val="TableParagraph"/>
              <w:numPr>
                <w:ilvl w:val="0"/>
                <w:numId w:val="3"/>
              </w:numPr>
              <w:tabs>
                <w:tab w:val="left" w:pos="323"/>
              </w:tabs>
              <w:spacing w:before="61" w:line="245" w:lineRule="exact"/>
              <w:ind w:left="323" w:hanging="215"/>
              <w:rPr>
                <w:sz w:val="20"/>
              </w:rPr>
            </w:pPr>
            <w:r>
              <w:rPr>
                <w:sz w:val="20"/>
              </w:rPr>
              <w:t>ALT</w:t>
            </w:r>
            <w:r>
              <w:rPr>
                <w:spacing w:val="-3"/>
                <w:sz w:val="20"/>
              </w:rPr>
              <w:t xml:space="preserve"> </w:t>
            </w:r>
            <w:r>
              <w:rPr>
                <w:sz w:val="20"/>
              </w:rPr>
              <w:t>or</w:t>
            </w:r>
            <w:r>
              <w:rPr>
                <w:spacing w:val="-2"/>
                <w:sz w:val="20"/>
              </w:rPr>
              <w:t xml:space="preserve"> </w:t>
            </w:r>
            <w:r>
              <w:rPr>
                <w:sz w:val="20"/>
              </w:rPr>
              <w:t>AST</w:t>
            </w:r>
            <w:r>
              <w:rPr>
                <w:spacing w:val="-2"/>
                <w:sz w:val="20"/>
              </w:rPr>
              <w:t xml:space="preserve"> </w:t>
            </w:r>
            <w:r>
              <w:rPr>
                <w:sz w:val="20"/>
              </w:rPr>
              <w:t>greater</w:t>
            </w:r>
            <w:r>
              <w:rPr>
                <w:spacing w:val="-3"/>
                <w:sz w:val="20"/>
              </w:rPr>
              <w:t xml:space="preserve"> </w:t>
            </w:r>
            <w:r>
              <w:rPr>
                <w:sz w:val="20"/>
              </w:rPr>
              <w:t>than</w:t>
            </w:r>
            <w:r>
              <w:rPr>
                <w:spacing w:val="-3"/>
                <w:sz w:val="20"/>
              </w:rPr>
              <w:t xml:space="preserve"> </w:t>
            </w:r>
            <w:r>
              <w:rPr>
                <w:sz w:val="20"/>
              </w:rPr>
              <w:t>8</w:t>
            </w:r>
            <w:r>
              <w:rPr>
                <w:spacing w:val="-3"/>
                <w:sz w:val="20"/>
              </w:rPr>
              <w:t xml:space="preserve"> </w:t>
            </w:r>
            <w:r>
              <w:rPr>
                <w:sz w:val="20"/>
              </w:rPr>
              <w:t>x</w:t>
            </w:r>
            <w:r>
              <w:rPr>
                <w:spacing w:val="-4"/>
                <w:sz w:val="20"/>
              </w:rPr>
              <w:t xml:space="preserve"> </w:t>
            </w:r>
            <w:r>
              <w:rPr>
                <w:spacing w:val="-5"/>
                <w:sz w:val="20"/>
              </w:rPr>
              <w:t>ULN</w:t>
            </w:r>
          </w:p>
          <w:p w14:paraId="53B38D93" w14:textId="77777777" w:rsidR="00B04EA6" w:rsidRDefault="00B04EA6">
            <w:pPr>
              <w:pStyle w:val="TableParagraph"/>
              <w:numPr>
                <w:ilvl w:val="0"/>
                <w:numId w:val="3"/>
              </w:numPr>
              <w:tabs>
                <w:tab w:val="left" w:pos="323"/>
              </w:tabs>
              <w:spacing w:before="0" w:line="244" w:lineRule="exact"/>
              <w:ind w:left="323" w:hanging="215"/>
              <w:rPr>
                <w:sz w:val="20"/>
              </w:rPr>
            </w:pPr>
            <w:r>
              <w:rPr>
                <w:sz w:val="20"/>
              </w:rPr>
              <w:t>ALT</w:t>
            </w:r>
            <w:r>
              <w:rPr>
                <w:spacing w:val="-3"/>
                <w:sz w:val="20"/>
              </w:rPr>
              <w:t xml:space="preserve"> </w:t>
            </w:r>
            <w:r>
              <w:rPr>
                <w:sz w:val="20"/>
              </w:rPr>
              <w:t>or</w:t>
            </w:r>
            <w:r>
              <w:rPr>
                <w:spacing w:val="-3"/>
                <w:sz w:val="20"/>
              </w:rPr>
              <w:t xml:space="preserve"> </w:t>
            </w:r>
            <w:r>
              <w:rPr>
                <w:sz w:val="20"/>
              </w:rPr>
              <w:t>AST</w:t>
            </w:r>
            <w:r>
              <w:rPr>
                <w:spacing w:val="-2"/>
                <w:sz w:val="20"/>
              </w:rPr>
              <w:t xml:space="preserve"> </w:t>
            </w:r>
            <w:r>
              <w:rPr>
                <w:sz w:val="20"/>
              </w:rPr>
              <w:t>greater</w:t>
            </w:r>
            <w:r>
              <w:rPr>
                <w:spacing w:val="-3"/>
                <w:sz w:val="20"/>
              </w:rPr>
              <w:t xml:space="preserve"> </w:t>
            </w:r>
            <w:r>
              <w:rPr>
                <w:sz w:val="20"/>
              </w:rPr>
              <w:t>than</w:t>
            </w:r>
            <w:r>
              <w:rPr>
                <w:spacing w:val="-3"/>
                <w:sz w:val="20"/>
              </w:rPr>
              <w:t xml:space="preserve"> </w:t>
            </w:r>
            <w:r>
              <w:rPr>
                <w:sz w:val="20"/>
              </w:rPr>
              <w:t>5</w:t>
            </w:r>
            <w:r>
              <w:rPr>
                <w:spacing w:val="-3"/>
                <w:sz w:val="20"/>
              </w:rPr>
              <w:t xml:space="preserve"> </w:t>
            </w:r>
            <w:r>
              <w:rPr>
                <w:sz w:val="20"/>
              </w:rPr>
              <w:t>x</w:t>
            </w:r>
            <w:r>
              <w:rPr>
                <w:spacing w:val="-4"/>
                <w:sz w:val="20"/>
              </w:rPr>
              <w:t xml:space="preserve"> </w:t>
            </w:r>
            <w:r>
              <w:rPr>
                <w:sz w:val="20"/>
              </w:rPr>
              <w:t>ULN</w:t>
            </w:r>
            <w:r>
              <w:rPr>
                <w:spacing w:val="-1"/>
                <w:sz w:val="20"/>
              </w:rPr>
              <w:t xml:space="preserve"> </w:t>
            </w:r>
            <w:r>
              <w:rPr>
                <w:sz w:val="20"/>
              </w:rPr>
              <w:t>for</w:t>
            </w:r>
            <w:r>
              <w:rPr>
                <w:spacing w:val="-3"/>
                <w:sz w:val="20"/>
              </w:rPr>
              <w:t xml:space="preserve"> </w:t>
            </w:r>
            <w:r>
              <w:rPr>
                <w:sz w:val="20"/>
              </w:rPr>
              <w:t>greater</w:t>
            </w:r>
            <w:r>
              <w:rPr>
                <w:spacing w:val="-3"/>
                <w:sz w:val="20"/>
              </w:rPr>
              <w:t xml:space="preserve"> </w:t>
            </w:r>
            <w:r>
              <w:rPr>
                <w:sz w:val="20"/>
              </w:rPr>
              <w:t>than</w:t>
            </w:r>
            <w:r>
              <w:rPr>
                <w:spacing w:val="-3"/>
                <w:sz w:val="20"/>
              </w:rPr>
              <w:t xml:space="preserve"> </w:t>
            </w:r>
            <w:r>
              <w:rPr>
                <w:sz w:val="20"/>
              </w:rPr>
              <w:t>2</w:t>
            </w:r>
            <w:r>
              <w:rPr>
                <w:spacing w:val="-3"/>
                <w:sz w:val="20"/>
              </w:rPr>
              <w:t xml:space="preserve"> </w:t>
            </w:r>
            <w:r>
              <w:rPr>
                <w:spacing w:val="-4"/>
                <w:sz w:val="20"/>
              </w:rPr>
              <w:t>weeks</w:t>
            </w:r>
          </w:p>
          <w:p w14:paraId="53B38D94" w14:textId="77777777" w:rsidR="00B04EA6" w:rsidRDefault="00B04EA6">
            <w:pPr>
              <w:pStyle w:val="TableParagraph"/>
              <w:numPr>
                <w:ilvl w:val="0"/>
                <w:numId w:val="3"/>
              </w:numPr>
              <w:tabs>
                <w:tab w:val="left" w:pos="323"/>
              </w:tabs>
              <w:spacing w:before="0" w:line="244" w:lineRule="exact"/>
              <w:ind w:left="323" w:hanging="215"/>
              <w:rPr>
                <w:sz w:val="20"/>
              </w:rPr>
            </w:pPr>
            <w:r>
              <w:rPr>
                <w:sz w:val="20"/>
              </w:rPr>
              <w:t>ALT</w:t>
            </w:r>
            <w:r>
              <w:rPr>
                <w:spacing w:val="-3"/>
                <w:sz w:val="20"/>
              </w:rPr>
              <w:t xml:space="preserve"> </w:t>
            </w:r>
            <w:r>
              <w:rPr>
                <w:sz w:val="20"/>
              </w:rPr>
              <w:t>or</w:t>
            </w:r>
            <w:r>
              <w:rPr>
                <w:spacing w:val="-3"/>
                <w:sz w:val="20"/>
              </w:rPr>
              <w:t xml:space="preserve"> </w:t>
            </w:r>
            <w:r>
              <w:rPr>
                <w:sz w:val="20"/>
              </w:rPr>
              <w:t>AST</w:t>
            </w:r>
            <w:r>
              <w:rPr>
                <w:spacing w:val="-3"/>
                <w:sz w:val="20"/>
              </w:rPr>
              <w:t xml:space="preserve"> </w:t>
            </w:r>
            <w:r>
              <w:rPr>
                <w:sz w:val="20"/>
              </w:rPr>
              <w:t>greater</w:t>
            </w:r>
            <w:r>
              <w:rPr>
                <w:spacing w:val="-3"/>
                <w:sz w:val="20"/>
              </w:rPr>
              <w:t xml:space="preserve"> </w:t>
            </w:r>
            <w:r>
              <w:rPr>
                <w:sz w:val="20"/>
              </w:rPr>
              <w:t>than</w:t>
            </w:r>
            <w:r>
              <w:rPr>
                <w:spacing w:val="-4"/>
                <w:sz w:val="20"/>
              </w:rPr>
              <w:t xml:space="preserve"> </w:t>
            </w:r>
            <w:r>
              <w:rPr>
                <w:sz w:val="20"/>
              </w:rPr>
              <w:t>3</w:t>
            </w:r>
            <w:r>
              <w:rPr>
                <w:spacing w:val="-3"/>
                <w:sz w:val="20"/>
              </w:rPr>
              <w:t xml:space="preserve"> </w:t>
            </w:r>
            <w:r>
              <w:rPr>
                <w:sz w:val="20"/>
              </w:rPr>
              <w:t>x</w:t>
            </w:r>
            <w:r>
              <w:rPr>
                <w:spacing w:val="-4"/>
                <w:sz w:val="20"/>
              </w:rPr>
              <w:t xml:space="preserve"> </w:t>
            </w:r>
            <w:r>
              <w:rPr>
                <w:sz w:val="20"/>
              </w:rPr>
              <w:t>ULN</w:t>
            </w:r>
            <w:r>
              <w:rPr>
                <w:spacing w:val="-2"/>
                <w:sz w:val="20"/>
              </w:rPr>
              <w:t xml:space="preserve"> </w:t>
            </w:r>
            <w:r>
              <w:rPr>
                <w:sz w:val="20"/>
              </w:rPr>
              <w:t>and</w:t>
            </w:r>
            <w:r>
              <w:rPr>
                <w:spacing w:val="-3"/>
                <w:sz w:val="20"/>
              </w:rPr>
              <w:t xml:space="preserve"> </w:t>
            </w:r>
            <w:r>
              <w:rPr>
                <w:sz w:val="20"/>
              </w:rPr>
              <w:t>total</w:t>
            </w:r>
            <w:r>
              <w:rPr>
                <w:spacing w:val="-4"/>
                <w:sz w:val="20"/>
              </w:rPr>
              <w:t xml:space="preserve"> </w:t>
            </w:r>
            <w:r>
              <w:rPr>
                <w:sz w:val="20"/>
              </w:rPr>
              <w:t>bilirubin</w:t>
            </w:r>
            <w:r>
              <w:rPr>
                <w:spacing w:val="-4"/>
                <w:sz w:val="20"/>
              </w:rPr>
              <w:t xml:space="preserve"> </w:t>
            </w:r>
            <w:r>
              <w:rPr>
                <w:sz w:val="20"/>
              </w:rPr>
              <w:t>greater</w:t>
            </w:r>
            <w:r>
              <w:rPr>
                <w:spacing w:val="-3"/>
                <w:sz w:val="20"/>
              </w:rPr>
              <w:t xml:space="preserve"> </w:t>
            </w:r>
            <w:r>
              <w:rPr>
                <w:sz w:val="20"/>
              </w:rPr>
              <w:t>than</w:t>
            </w:r>
            <w:r>
              <w:rPr>
                <w:spacing w:val="-3"/>
                <w:sz w:val="20"/>
              </w:rPr>
              <w:t xml:space="preserve"> </w:t>
            </w:r>
            <w:r>
              <w:rPr>
                <w:sz w:val="20"/>
              </w:rPr>
              <w:t>2</w:t>
            </w:r>
            <w:r>
              <w:rPr>
                <w:spacing w:val="-4"/>
                <w:sz w:val="20"/>
              </w:rPr>
              <w:t xml:space="preserve"> </w:t>
            </w:r>
            <w:r>
              <w:rPr>
                <w:sz w:val="20"/>
              </w:rPr>
              <w:t>x</w:t>
            </w:r>
            <w:r>
              <w:rPr>
                <w:spacing w:val="-4"/>
                <w:sz w:val="20"/>
              </w:rPr>
              <w:t xml:space="preserve"> </w:t>
            </w:r>
            <w:r>
              <w:rPr>
                <w:spacing w:val="-5"/>
                <w:sz w:val="20"/>
              </w:rPr>
              <w:t>ULN</w:t>
            </w:r>
          </w:p>
          <w:p w14:paraId="53B38D95" w14:textId="77777777" w:rsidR="00B04EA6" w:rsidRDefault="00B04EA6">
            <w:pPr>
              <w:pStyle w:val="TableParagraph"/>
              <w:spacing w:before="56"/>
              <w:ind w:left="108"/>
              <w:rPr>
                <w:sz w:val="20"/>
              </w:rPr>
            </w:pPr>
            <w:r>
              <w:rPr>
                <w:sz w:val="20"/>
              </w:rPr>
              <w:t>If</w:t>
            </w:r>
            <w:r>
              <w:rPr>
                <w:spacing w:val="-5"/>
                <w:sz w:val="20"/>
              </w:rPr>
              <w:t xml:space="preserve"> </w:t>
            </w:r>
            <w:r>
              <w:rPr>
                <w:sz w:val="20"/>
              </w:rPr>
              <w:t>the</w:t>
            </w:r>
            <w:r>
              <w:rPr>
                <w:spacing w:val="-5"/>
                <w:sz w:val="20"/>
              </w:rPr>
              <w:t xml:space="preserve"> </w:t>
            </w:r>
            <w:r>
              <w:rPr>
                <w:sz w:val="20"/>
              </w:rPr>
              <w:t>above</w:t>
            </w:r>
            <w:r>
              <w:rPr>
                <w:spacing w:val="-5"/>
                <w:sz w:val="20"/>
              </w:rPr>
              <w:t xml:space="preserve"> </w:t>
            </w:r>
            <w:r>
              <w:rPr>
                <w:sz w:val="20"/>
              </w:rPr>
              <w:t>criteria</w:t>
            </w:r>
            <w:r>
              <w:rPr>
                <w:spacing w:val="-4"/>
                <w:sz w:val="20"/>
              </w:rPr>
              <w:t xml:space="preserve"> </w:t>
            </w:r>
            <w:r>
              <w:rPr>
                <w:sz w:val="20"/>
              </w:rPr>
              <w:t>are</w:t>
            </w:r>
            <w:r>
              <w:rPr>
                <w:spacing w:val="-5"/>
                <w:sz w:val="20"/>
              </w:rPr>
              <w:t xml:space="preserve"> </w:t>
            </w:r>
            <w:r>
              <w:rPr>
                <w:sz w:val="20"/>
              </w:rPr>
              <w:t>not</w:t>
            </w:r>
            <w:r>
              <w:rPr>
                <w:spacing w:val="-5"/>
                <w:sz w:val="20"/>
              </w:rPr>
              <w:t xml:space="preserve"> </w:t>
            </w:r>
            <w:r>
              <w:rPr>
                <w:sz w:val="20"/>
              </w:rPr>
              <w:t>met,</w:t>
            </w:r>
            <w:r>
              <w:rPr>
                <w:spacing w:val="-4"/>
                <w:sz w:val="20"/>
              </w:rPr>
              <w:t xml:space="preserve"> </w:t>
            </w:r>
            <w:r>
              <w:rPr>
                <w:sz w:val="20"/>
              </w:rPr>
              <w:t>continue</w:t>
            </w:r>
            <w:r>
              <w:rPr>
                <w:spacing w:val="-5"/>
                <w:sz w:val="20"/>
              </w:rPr>
              <w:t xml:space="preserve"> </w:t>
            </w:r>
            <w:r>
              <w:rPr>
                <w:sz w:val="20"/>
              </w:rPr>
              <w:t>treatment</w:t>
            </w:r>
            <w:r>
              <w:rPr>
                <w:spacing w:val="-5"/>
                <w:sz w:val="20"/>
              </w:rPr>
              <w:t xml:space="preserve"> </w:t>
            </w:r>
            <w:r>
              <w:rPr>
                <w:sz w:val="20"/>
              </w:rPr>
              <w:t>as</w:t>
            </w:r>
            <w:r>
              <w:rPr>
                <w:spacing w:val="-5"/>
                <w:sz w:val="20"/>
              </w:rPr>
              <w:t xml:space="preserve"> </w:t>
            </w:r>
            <w:r>
              <w:rPr>
                <w:sz w:val="20"/>
              </w:rPr>
              <w:t>clinically</w:t>
            </w:r>
            <w:r>
              <w:rPr>
                <w:spacing w:val="-6"/>
                <w:sz w:val="20"/>
              </w:rPr>
              <w:t xml:space="preserve"> </w:t>
            </w:r>
            <w:r>
              <w:rPr>
                <w:spacing w:val="-2"/>
                <w:sz w:val="20"/>
              </w:rPr>
              <w:t>indicated.</w:t>
            </w:r>
          </w:p>
        </w:tc>
      </w:tr>
    </w:tbl>
    <w:p w14:paraId="53B38D97" w14:textId="77777777" w:rsidR="008B6261" w:rsidRDefault="004C6B8B">
      <w:pPr>
        <w:spacing w:before="143"/>
        <w:ind w:left="23"/>
        <w:rPr>
          <w:sz w:val="20"/>
        </w:rPr>
      </w:pPr>
      <w:r>
        <w:rPr>
          <w:noProof/>
          <w:sz w:val="20"/>
        </w:rPr>
        <mc:AlternateContent>
          <mc:Choice Requires="wps">
            <w:drawing>
              <wp:anchor distT="0" distB="0" distL="0" distR="0" simplePos="0" relativeHeight="15729152" behindDoc="0" locked="0" layoutInCell="1" allowOverlap="1" wp14:anchorId="53B39075" wp14:editId="53B39076">
                <wp:simplePos x="0" y="0"/>
                <wp:positionH relativeFrom="page">
                  <wp:posOffset>4450080</wp:posOffset>
                </wp:positionH>
                <wp:positionV relativeFrom="paragraph">
                  <wp:posOffset>217042</wp:posOffset>
                </wp:positionV>
                <wp:extent cx="35560" cy="1841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8415"/>
                        </a:xfrm>
                        <a:custGeom>
                          <a:avLst/>
                          <a:gdLst/>
                          <a:ahLst/>
                          <a:cxnLst/>
                          <a:rect l="l" t="t" r="r" b="b"/>
                          <a:pathLst>
                            <a:path w="35560" h="18415">
                              <a:moveTo>
                                <a:pt x="35039" y="15240"/>
                              </a:moveTo>
                              <a:lnTo>
                                <a:pt x="0" y="15240"/>
                              </a:lnTo>
                              <a:lnTo>
                                <a:pt x="0" y="18288"/>
                              </a:lnTo>
                              <a:lnTo>
                                <a:pt x="35039" y="18288"/>
                              </a:lnTo>
                              <a:lnTo>
                                <a:pt x="35039" y="15240"/>
                              </a:lnTo>
                              <a:close/>
                            </a:path>
                            <a:path w="35560" h="18415">
                              <a:moveTo>
                                <a:pt x="35039" y="0"/>
                              </a:moveTo>
                              <a:lnTo>
                                <a:pt x="0" y="0"/>
                              </a:lnTo>
                              <a:lnTo>
                                <a:pt x="0" y="3048"/>
                              </a:lnTo>
                              <a:lnTo>
                                <a:pt x="35039" y="3048"/>
                              </a:lnTo>
                              <a:lnTo>
                                <a:pt x="35039" y="0"/>
                              </a:lnTo>
                              <a:close/>
                            </a:path>
                          </a:pathLst>
                        </a:custGeom>
                        <a:solidFill>
                          <a:srgbClr val="6F2F9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6776C3" id="Graphic 4" o:spid="_x0000_s1026" style="position:absolute;margin-left:350.4pt;margin-top:17.1pt;width:2.8pt;height:1.45pt;z-index:15729152;visibility:visible;mso-wrap-style:square;mso-wrap-distance-left:0;mso-wrap-distance-top:0;mso-wrap-distance-right:0;mso-wrap-distance-bottom:0;mso-position-horizontal:absolute;mso-position-horizontal-relative:page;mso-position-vertical:absolute;mso-position-vertical-relative:text;v-text-anchor:top" coordsize="355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" path="m35039,15240l,15240r,3048l35039,18288r,-3048xem35039,l,,,3048r35039,l35039,xe" fillcolor="#6f2f9f" stroked="f">
                <v:path arrowok="t"/>
                <w10:wrap anchorx="page"/>
              </v:shape>
            </w:pict>
          </mc:Fallback>
        </mc:AlternateContent>
      </w:r>
      <w:r>
        <w:rPr>
          <w:sz w:val="20"/>
        </w:rPr>
        <w:t>†</w:t>
      </w:r>
      <w:r>
        <w:rPr>
          <w:spacing w:val="-5"/>
          <w:sz w:val="20"/>
        </w:rPr>
        <w:t xml:space="preserve"> </w:t>
      </w:r>
      <w:r>
        <w:rPr>
          <w:sz w:val="20"/>
        </w:rPr>
        <w:t>ALT</w:t>
      </w:r>
      <w:r>
        <w:rPr>
          <w:spacing w:val="-4"/>
          <w:sz w:val="20"/>
        </w:rPr>
        <w:t xml:space="preserve"> </w:t>
      </w:r>
      <w:r>
        <w:rPr>
          <w:sz w:val="20"/>
        </w:rPr>
        <w:t>=</w:t>
      </w:r>
      <w:r>
        <w:rPr>
          <w:spacing w:val="-6"/>
          <w:sz w:val="20"/>
        </w:rPr>
        <w:t xml:space="preserve"> </w:t>
      </w:r>
      <w:r>
        <w:rPr>
          <w:sz w:val="20"/>
        </w:rPr>
        <w:t>alanine</w:t>
      </w:r>
      <w:r>
        <w:rPr>
          <w:spacing w:val="-5"/>
          <w:sz w:val="20"/>
        </w:rPr>
        <w:t xml:space="preserve"> </w:t>
      </w:r>
      <w:r>
        <w:rPr>
          <w:sz w:val="20"/>
        </w:rPr>
        <w:t>aminotransferase;</w:t>
      </w:r>
      <w:r>
        <w:rPr>
          <w:spacing w:val="-6"/>
          <w:sz w:val="20"/>
        </w:rPr>
        <w:t xml:space="preserve"> </w:t>
      </w:r>
      <w:r>
        <w:rPr>
          <w:sz w:val="20"/>
        </w:rPr>
        <w:t>AST</w:t>
      </w:r>
      <w:r>
        <w:rPr>
          <w:spacing w:val="-4"/>
          <w:sz w:val="20"/>
        </w:rPr>
        <w:t xml:space="preserve"> </w:t>
      </w:r>
      <w:r>
        <w:rPr>
          <w:sz w:val="20"/>
        </w:rPr>
        <w:t>=</w:t>
      </w:r>
      <w:r>
        <w:rPr>
          <w:spacing w:val="-5"/>
          <w:sz w:val="20"/>
        </w:rPr>
        <w:t xml:space="preserve"> </w:t>
      </w:r>
      <w:r>
        <w:rPr>
          <w:sz w:val="20"/>
        </w:rPr>
        <w:t>aspartate</w:t>
      </w:r>
      <w:r>
        <w:rPr>
          <w:spacing w:val="-6"/>
          <w:sz w:val="20"/>
        </w:rPr>
        <w:t xml:space="preserve"> </w:t>
      </w:r>
      <w:r>
        <w:rPr>
          <w:sz w:val="20"/>
        </w:rPr>
        <w:t>aminotransferase</w:t>
      </w:r>
      <w:r>
        <w:rPr>
          <w:color w:val="6F2F9F"/>
          <w:sz w:val="20"/>
        </w:rPr>
        <w:t>;</w:t>
      </w:r>
      <w:r>
        <w:rPr>
          <w:color w:val="6F2F9F"/>
          <w:spacing w:val="-5"/>
          <w:sz w:val="20"/>
        </w:rPr>
        <w:t xml:space="preserve"> </w:t>
      </w:r>
      <w:r>
        <w:rPr>
          <w:sz w:val="20"/>
        </w:rPr>
        <w:t>ULN</w:t>
      </w:r>
      <w:r>
        <w:rPr>
          <w:spacing w:val="-6"/>
          <w:sz w:val="20"/>
        </w:rPr>
        <w:t xml:space="preserve"> </w:t>
      </w:r>
      <w:r>
        <w:rPr>
          <w:sz w:val="20"/>
        </w:rPr>
        <w:t>=</w:t>
      </w:r>
      <w:r>
        <w:rPr>
          <w:spacing w:val="-5"/>
          <w:sz w:val="20"/>
        </w:rPr>
        <w:t xml:space="preserve"> </w:t>
      </w:r>
      <w:r>
        <w:rPr>
          <w:sz w:val="20"/>
        </w:rPr>
        <w:t>upper</w:t>
      </w:r>
      <w:r>
        <w:rPr>
          <w:spacing w:val="-4"/>
          <w:sz w:val="20"/>
        </w:rPr>
        <w:t xml:space="preserve"> </w:t>
      </w:r>
      <w:r>
        <w:rPr>
          <w:sz w:val="20"/>
        </w:rPr>
        <w:t>limit</w:t>
      </w:r>
      <w:r>
        <w:rPr>
          <w:spacing w:val="-8"/>
          <w:sz w:val="20"/>
        </w:rPr>
        <w:t xml:space="preserve"> </w:t>
      </w:r>
      <w:r>
        <w:rPr>
          <w:sz w:val="20"/>
        </w:rPr>
        <w:t>of</w:t>
      </w:r>
      <w:r>
        <w:rPr>
          <w:spacing w:val="-5"/>
          <w:sz w:val="20"/>
        </w:rPr>
        <w:t xml:space="preserve"> </w:t>
      </w:r>
      <w:r>
        <w:rPr>
          <w:spacing w:val="-2"/>
          <w:sz w:val="20"/>
        </w:rPr>
        <w:t>normal</w:t>
      </w:r>
    </w:p>
    <w:p w14:paraId="53B38D98" w14:textId="77777777" w:rsidR="008B6261" w:rsidRDefault="004C6B8B">
      <w:pPr>
        <w:spacing w:before="120"/>
        <w:ind w:left="23" w:right="567"/>
        <w:rPr>
          <w:spacing w:val="-2"/>
          <w:sz w:val="20"/>
        </w:rPr>
      </w:pPr>
      <w:r>
        <w:rPr>
          <w:sz w:val="20"/>
        </w:rPr>
        <w:t>‡</w:t>
      </w:r>
      <w:r>
        <w:rPr>
          <w:spacing w:val="30"/>
          <w:sz w:val="20"/>
        </w:rPr>
        <w:t xml:space="preserve"> </w:t>
      </w:r>
      <w:r>
        <w:rPr>
          <w:sz w:val="20"/>
        </w:rPr>
        <w:t>Fatigue,</w:t>
      </w:r>
      <w:r>
        <w:rPr>
          <w:spacing w:val="30"/>
          <w:sz w:val="20"/>
        </w:rPr>
        <w:t xml:space="preserve"> </w:t>
      </w:r>
      <w:r>
        <w:rPr>
          <w:sz w:val="20"/>
        </w:rPr>
        <w:t>nausea,</w:t>
      </w:r>
      <w:r>
        <w:rPr>
          <w:spacing w:val="30"/>
          <w:sz w:val="20"/>
        </w:rPr>
        <w:t xml:space="preserve"> </w:t>
      </w:r>
      <w:r>
        <w:rPr>
          <w:sz w:val="20"/>
        </w:rPr>
        <w:t>vomiting,</w:t>
      </w:r>
      <w:r>
        <w:rPr>
          <w:spacing w:val="27"/>
          <w:sz w:val="20"/>
        </w:rPr>
        <w:t xml:space="preserve"> </w:t>
      </w:r>
      <w:r>
        <w:rPr>
          <w:sz w:val="20"/>
        </w:rPr>
        <w:t>right</w:t>
      </w:r>
      <w:r>
        <w:rPr>
          <w:spacing w:val="29"/>
          <w:sz w:val="20"/>
        </w:rPr>
        <w:t xml:space="preserve"> </w:t>
      </w:r>
      <w:r>
        <w:rPr>
          <w:sz w:val="20"/>
        </w:rPr>
        <w:t>upper</w:t>
      </w:r>
      <w:r>
        <w:rPr>
          <w:spacing w:val="30"/>
          <w:sz w:val="20"/>
        </w:rPr>
        <w:t xml:space="preserve"> </w:t>
      </w:r>
      <w:r>
        <w:rPr>
          <w:sz w:val="20"/>
        </w:rPr>
        <w:t>quadrant</w:t>
      </w:r>
      <w:r>
        <w:rPr>
          <w:spacing w:val="29"/>
          <w:sz w:val="20"/>
        </w:rPr>
        <w:t xml:space="preserve"> </w:t>
      </w:r>
      <w:r>
        <w:rPr>
          <w:sz w:val="20"/>
        </w:rPr>
        <w:t>pain</w:t>
      </w:r>
      <w:r>
        <w:rPr>
          <w:spacing w:val="30"/>
          <w:sz w:val="20"/>
        </w:rPr>
        <w:t xml:space="preserve"> </w:t>
      </w:r>
      <w:r>
        <w:rPr>
          <w:sz w:val="20"/>
        </w:rPr>
        <w:t>or</w:t>
      </w:r>
      <w:r>
        <w:rPr>
          <w:spacing w:val="28"/>
          <w:sz w:val="20"/>
        </w:rPr>
        <w:t xml:space="preserve"> </w:t>
      </w:r>
      <w:r>
        <w:rPr>
          <w:sz w:val="20"/>
        </w:rPr>
        <w:t>tenderness,</w:t>
      </w:r>
      <w:r>
        <w:rPr>
          <w:spacing w:val="30"/>
          <w:sz w:val="20"/>
        </w:rPr>
        <w:t xml:space="preserve"> </w:t>
      </w:r>
      <w:r>
        <w:rPr>
          <w:sz w:val="20"/>
        </w:rPr>
        <w:t>fever,</w:t>
      </w:r>
      <w:r>
        <w:rPr>
          <w:spacing w:val="30"/>
          <w:sz w:val="20"/>
        </w:rPr>
        <w:t xml:space="preserve"> </w:t>
      </w:r>
      <w:r>
        <w:rPr>
          <w:sz w:val="20"/>
        </w:rPr>
        <w:t>rash,</w:t>
      </w:r>
      <w:r>
        <w:rPr>
          <w:spacing w:val="30"/>
          <w:sz w:val="20"/>
        </w:rPr>
        <w:t xml:space="preserve"> </w:t>
      </w:r>
      <w:r>
        <w:rPr>
          <w:sz w:val="20"/>
        </w:rPr>
        <w:t>anorexia,</w:t>
      </w:r>
      <w:r>
        <w:rPr>
          <w:spacing w:val="30"/>
          <w:sz w:val="20"/>
        </w:rPr>
        <w:t xml:space="preserve"> </w:t>
      </w:r>
      <w:r>
        <w:rPr>
          <w:sz w:val="20"/>
        </w:rPr>
        <w:t>jaundice,</w:t>
      </w:r>
      <w:r>
        <w:rPr>
          <w:spacing w:val="30"/>
          <w:sz w:val="20"/>
        </w:rPr>
        <w:t xml:space="preserve"> </w:t>
      </w:r>
      <w:r>
        <w:rPr>
          <w:sz w:val="20"/>
        </w:rPr>
        <w:t xml:space="preserve">and/or </w:t>
      </w:r>
      <w:r>
        <w:rPr>
          <w:spacing w:val="-2"/>
          <w:sz w:val="20"/>
        </w:rPr>
        <w:t>eosinophilia</w:t>
      </w:r>
    </w:p>
    <w:p w14:paraId="043CF883" w14:textId="77777777" w:rsidR="00A77020" w:rsidRDefault="00A77020">
      <w:pPr>
        <w:spacing w:before="120"/>
        <w:ind w:left="23" w:right="567"/>
        <w:rPr>
          <w:sz w:val="20"/>
        </w:rPr>
      </w:pPr>
    </w:p>
    <w:p w14:paraId="53B38D9A" w14:textId="77777777" w:rsidR="008B6261" w:rsidRDefault="004C6B8B" w:rsidP="00B04EA6">
      <w:pPr>
        <w:rPr>
          <w:rFonts w:ascii="Arial"/>
          <w:b/>
        </w:rPr>
      </w:pPr>
      <w:bookmarkStart w:id="12" w:name="Missed_dose"/>
      <w:bookmarkEnd w:id="12"/>
      <w:r>
        <w:rPr>
          <w:rFonts w:ascii="Arial"/>
          <w:b/>
        </w:rPr>
        <w:t>Missed</w:t>
      </w:r>
      <w:r>
        <w:rPr>
          <w:rFonts w:ascii="Arial"/>
          <w:b/>
          <w:spacing w:val="-4"/>
        </w:rPr>
        <w:t xml:space="preserve"> dose</w:t>
      </w:r>
    </w:p>
    <w:p w14:paraId="53B38D9B" w14:textId="77777777" w:rsidR="008B6261" w:rsidRDefault="004C6B8B">
      <w:pPr>
        <w:pStyle w:val="BodyText"/>
        <w:spacing w:before="241"/>
        <w:ind w:left="23" w:right="589"/>
        <w:jc w:val="both"/>
      </w:pPr>
      <w:r>
        <w:rPr>
          <w:color w:val="1F1F1F"/>
        </w:rPr>
        <w:t>If</w:t>
      </w:r>
      <w:r>
        <w:rPr>
          <w:color w:val="1F1F1F"/>
          <w:spacing w:val="-9"/>
        </w:rPr>
        <w:t xml:space="preserve"> </w:t>
      </w:r>
      <w:r>
        <w:rPr>
          <w:color w:val="1F1F1F"/>
        </w:rPr>
        <w:t>a</w:t>
      </w:r>
      <w:r>
        <w:rPr>
          <w:color w:val="1F1F1F"/>
          <w:spacing w:val="-7"/>
        </w:rPr>
        <w:t xml:space="preserve"> </w:t>
      </w:r>
      <w:r>
        <w:rPr>
          <w:color w:val="1F1F1F"/>
        </w:rPr>
        <w:t>dose</w:t>
      </w:r>
      <w:r>
        <w:rPr>
          <w:color w:val="1F1F1F"/>
          <w:spacing w:val="-10"/>
        </w:rPr>
        <w:t xml:space="preserve"> </w:t>
      </w:r>
      <w:r>
        <w:rPr>
          <w:color w:val="1F1F1F"/>
        </w:rPr>
        <w:t>of</w:t>
      </w:r>
      <w:r>
        <w:rPr>
          <w:color w:val="1F1F1F"/>
          <w:spacing w:val="-9"/>
        </w:rPr>
        <w:t xml:space="preserve"> </w:t>
      </w:r>
      <w:r>
        <w:t>CENRIFKI</w:t>
      </w:r>
      <w:r>
        <w:rPr>
          <w:spacing w:val="-9"/>
        </w:rPr>
        <w:t xml:space="preserve"> </w:t>
      </w:r>
      <w:r>
        <w:rPr>
          <w:color w:val="1F1F1F"/>
        </w:rPr>
        <w:t>is</w:t>
      </w:r>
      <w:r>
        <w:rPr>
          <w:color w:val="1F1F1F"/>
          <w:spacing w:val="-8"/>
        </w:rPr>
        <w:t xml:space="preserve"> </w:t>
      </w:r>
      <w:r>
        <w:rPr>
          <w:color w:val="1F1F1F"/>
        </w:rPr>
        <w:t>missed</w:t>
      </w:r>
      <w:r>
        <w:rPr>
          <w:color w:val="1F1F1F"/>
          <w:spacing w:val="-9"/>
        </w:rPr>
        <w:t xml:space="preserve"> </w:t>
      </w:r>
      <w:r>
        <w:rPr>
          <w:color w:val="1F1F1F"/>
        </w:rPr>
        <w:t>on</w:t>
      </w:r>
      <w:r>
        <w:rPr>
          <w:color w:val="1F1F1F"/>
          <w:spacing w:val="-9"/>
        </w:rPr>
        <w:t xml:space="preserve"> </w:t>
      </w:r>
      <w:r>
        <w:rPr>
          <w:color w:val="1F1F1F"/>
        </w:rPr>
        <w:t>the</w:t>
      </w:r>
      <w:r>
        <w:rPr>
          <w:color w:val="1F1F1F"/>
          <w:spacing w:val="-7"/>
        </w:rPr>
        <w:t xml:space="preserve"> </w:t>
      </w:r>
      <w:r>
        <w:rPr>
          <w:color w:val="1F1F1F"/>
        </w:rPr>
        <w:t>intended</w:t>
      </w:r>
      <w:r>
        <w:rPr>
          <w:color w:val="1F1F1F"/>
          <w:spacing w:val="-9"/>
        </w:rPr>
        <w:t xml:space="preserve"> </w:t>
      </w:r>
      <w:r>
        <w:rPr>
          <w:color w:val="1F1F1F"/>
        </w:rPr>
        <w:t>time</w:t>
      </w:r>
      <w:r>
        <w:rPr>
          <w:color w:val="1F1F1F"/>
          <w:spacing w:val="-10"/>
        </w:rPr>
        <w:t xml:space="preserve"> </w:t>
      </w:r>
      <w:r>
        <w:rPr>
          <w:color w:val="1F1F1F"/>
        </w:rPr>
        <w:t>of</w:t>
      </w:r>
      <w:r>
        <w:rPr>
          <w:color w:val="1F1F1F"/>
          <w:spacing w:val="-9"/>
        </w:rPr>
        <w:t xml:space="preserve"> </w:t>
      </w:r>
      <w:r>
        <w:rPr>
          <w:color w:val="1F1F1F"/>
        </w:rPr>
        <w:t>day,</w:t>
      </w:r>
      <w:r>
        <w:rPr>
          <w:color w:val="1F1F1F"/>
          <w:spacing w:val="-9"/>
        </w:rPr>
        <w:t xml:space="preserve"> </w:t>
      </w:r>
      <w:r>
        <w:rPr>
          <w:color w:val="1F1F1F"/>
        </w:rPr>
        <w:t>take</w:t>
      </w:r>
      <w:r>
        <w:rPr>
          <w:color w:val="1F1F1F"/>
          <w:spacing w:val="-10"/>
        </w:rPr>
        <w:t xml:space="preserve"> </w:t>
      </w:r>
      <w:r>
        <w:rPr>
          <w:color w:val="1F1F1F"/>
        </w:rPr>
        <w:t>the</w:t>
      </w:r>
      <w:r>
        <w:rPr>
          <w:color w:val="1F1F1F"/>
          <w:spacing w:val="-7"/>
        </w:rPr>
        <w:t xml:space="preserve"> </w:t>
      </w:r>
      <w:r>
        <w:rPr>
          <w:color w:val="1F1F1F"/>
        </w:rPr>
        <w:t>dose</w:t>
      </w:r>
      <w:r>
        <w:rPr>
          <w:color w:val="1F1F1F"/>
          <w:spacing w:val="-7"/>
        </w:rPr>
        <w:t xml:space="preserve"> </w:t>
      </w:r>
      <w:r>
        <w:rPr>
          <w:color w:val="1F1F1F"/>
        </w:rPr>
        <w:t>as</w:t>
      </w:r>
      <w:r>
        <w:rPr>
          <w:color w:val="1F1F1F"/>
          <w:spacing w:val="-8"/>
        </w:rPr>
        <w:t xml:space="preserve"> </w:t>
      </w:r>
      <w:r>
        <w:rPr>
          <w:color w:val="1F1F1F"/>
        </w:rPr>
        <w:t>soon</w:t>
      </w:r>
      <w:r>
        <w:rPr>
          <w:color w:val="1F1F1F"/>
          <w:spacing w:val="-9"/>
        </w:rPr>
        <w:t xml:space="preserve"> </w:t>
      </w:r>
      <w:r>
        <w:rPr>
          <w:color w:val="1F1F1F"/>
        </w:rPr>
        <w:t>as</w:t>
      </w:r>
      <w:r>
        <w:rPr>
          <w:color w:val="1F1F1F"/>
          <w:spacing w:val="-6"/>
        </w:rPr>
        <w:t xml:space="preserve"> </w:t>
      </w:r>
      <w:r>
        <w:rPr>
          <w:color w:val="1F1F1F"/>
        </w:rPr>
        <w:t>possible on the same day. Do not double the dose the next day to make up for a missed dose.</w:t>
      </w:r>
    </w:p>
    <w:p w14:paraId="53B38D9C" w14:textId="77777777" w:rsidR="008B6261" w:rsidRDefault="008B6261">
      <w:pPr>
        <w:pStyle w:val="BodyText"/>
        <w:spacing w:before="85"/>
      </w:pPr>
    </w:p>
    <w:p w14:paraId="53B38D9D" w14:textId="77777777" w:rsidR="008B6261" w:rsidRDefault="004C6B8B">
      <w:pPr>
        <w:ind w:left="23"/>
        <w:rPr>
          <w:rFonts w:ascii="Arial"/>
          <w:b/>
        </w:rPr>
      </w:pPr>
      <w:bookmarkStart w:id="13" w:name="Dosage_modifications_for_concomitant_the"/>
      <w:bookmarkEnd w:id="13"/>
      <w:r>
        <w:rPr>
          <w:rFonts w:ascii="Arial"/>
          <w:b/>
        </w:rPr>
        <w:t>Dosage</w:t>
      </w:r>
      <w:r>
        <w:rPr>
          <w:rFonts w:ascii="Arial"/>
          <w:b/>
          <w:spacing w:val="-7"/>
        </w:rPr>
        <w:t xml:space="preserve"> </w:t>
      </w:r>
      <w:r>
        <w:rPr>
          <w:rFonts w:ascii="Arial"/>
          <w:b/>
        </w:rPr>
        <w:t>modifications</w:t>
      </w:r>
      <w:r>
        <w:rPr>
          <w:rFonts w:ascii="Arial"/>
          <w:b/>
          <w:spacing w:val="-9"/>
        </w:rPr>
        <w:t xml:space="preserve"> </w:t>
      </w:r>
      <w:r>
        <w:rPr>
          <w:rFonts w:ascii="Arial"/>
          <w:b/>
        </w:rPr>
        <w:t>for</w:t>
      </w:r>
      <w:r>
        <w:rPr>
          <w:rFonts w:ascii="Arial"/>
          <w:b/>
          <w:spacing w:val="-6"/>
        </w:rPr>
        <w:t xml:space="preserve"> </w:t>
      </w:r>
      <w:r>
        <w:rPr>
          <w:rFonts w:ascii="Arial"/>
          <w:b/>
        </w:rPr>
        <w:t>concomitant</w:t>
      </w:r>
      <w:r>
        <w:rPr>
          <w:rFonts w:ascii="Arial"/>
          <w:b/>
          <w:spacing w:val="-7"/>
        </w:rPr>
        <w:t xml:space="preserve"> </w:t>
      </w:r>
      <w:r>
        <w:rPr>
          <w:rFonts w:ascii="Arial"/>
          <w:b/>
          <w:spacing w:val="-2"/>
        </w:rPr>
        <w:t>therapy</w:t>
      </w:r>
    </w:p>
    <w:p w14:paraId="53B38D9E" w14:textId="77777777" w:rsidR="008B6261" w:rsidRDefault="004C6B8B">
      <w:pPr>
        <w:pStyle w:val="BodyText"/>
        <w:ind w:left="22" w:right="584"/>
        <w:jc w:val="both"/>
      </w:pPr>
      <w:r>
        <w:t>Avoid concomitant use</w:t>
      </w:r>
      <w:r>
        <w:rPr>
          <w:spacing w:val="-1"/>
        </w:rPr>
        <w:t xml:space="preserve"> </w:t>
      </w:r>
      <w:r>
        <w:t>of</w:t>
      </w:r>
      <w:r>
        <w:rPr>
          <w:spacing w:val="-1"/>
        </w:rPr>
        <w:t xml:space="preserve"> </w:t>
      </w:r>
      <w:r>
        <w:t>CENRIFKI</w:t>
      </w:r>
      <w:r>
        <w:rPr>
          <w:spacing w:val="-1"/>
        </w:rPr>
        <w:t xml:space="preserve"> </w:t>
      </w:r>
      <w:r>
        <w:t>with moderate</w:t>
      </w:r>
      <w:r>
        <w:rPr>
          <w:spacing w:val="-1"/>
        </w:rPr>
        <w:t xml:space="preserve"> </w:t>
      </w:r>
      <w:r>
        <w:t>or</w:t>
      </w:r>
      <w:r>
        <w:rPr>
          <w:spacing w:val="-1"/>
        </w:rPr>
        <w:t xml:space="preserve"> </w:t>
      </w:r>
      <w:r>
        <w:t>strong CYP2C8 inhibitors or</w:t>
      </w:r>
      <w:r>
        <w:rPr>
          <w:spacing w:val="-1"/>
        </w:rPr>
        <w:t xml:space="preserve"> </w:t>
      </w:r>
      <w:r>
        <w:t xml:space="preserve">CYP3A inducers. If moderate or strong CYP2C8 inhibitors will be used short-term, treatment with CENRIFKI must be interrupted (see Section </w:t>
      </w:r>
      <w:hyperlink w:anchor="_bookmark4" w:history="1">
        <w:r>
          <w:t>4.5</w:t>
        </w:r>
      </w:hyperlink>
      <w:r>
        <w:t xml:space="preserve"> Interactions with other medicines and other forms of interactions).</w:t>
      </w:r>
    </w:p>
    <w:p w14:paraId="53B38D9F" w14:textId="77777777" w:rsidR="008B6261" w:rsidRDefault="008B6261">
      <w:pPr>
        <w:pStyle w:val="BodyText"/>
        <w:spacing w:before="85"/>
      </w:pPr>
    </w:p>
    <w:p w14:paraId="53B38DA0" w14:textId="77777777" w:rsidR="008B6261" w:rsidRDefault="004C6B8B">
      <w:pPr>
        <w:ind w:left="23"/>
        <w:rPr>
          <w:rFonts w:ascii="Arial"/>
          <w:b/>
          <w:i/>
        </w:rPr>
      </w:pPr>
      <w:r>
        <w:rPr>
          <w:rFonts w:ascii="Arial"/>
          <w:b/>
          <w:i/>
        </w:rPr>
        <w:t>Hepatic</w:t>
      </w:r>
      <w:r>
        <w:rPr>
          <w:rFonts w:ascii="Arial"/>
          <w:b/>
          <w:i/>
          <w:spacing w:val="-6"/>
        </w:rPr>
        <w:t xml:space="preserve"> </w:t>
      </w:r>
      <w:r>
        <w:rPr>
          <w:rFonts w:ascii="Arial"/>
          <w:b/>
          <w:i/>
          <w:spacing w:val="-2"/>
        </w:rPr>
        <w:t>impairment</w:t>
      </w:r>
    </w:p>
    <w:p w14:paraId="53B38DA1" w14:textId="77777777" w:rsidR="008B6261" w:rsidRDefault="004C6B8B">
      <w:pPr>
        <w:pStyle w:val="BodyText"/>
        <w:spacing w:before="240"/>
        <w:ind w:left="22" w:right="584"/>
        <w:jc w:val="both"/>
      </w:pPr>
      <w:r>
        <w:t>No dosage adjustment is necessary for patients with mild hepatic impairment (Child-Pugh Class A), although caution must be exercised when initiating treatment in these patients. CENRIFKI</w:t>
      </w:r>
      <w:r>
        <w:rPr>
          <w:spacing w:val="-15"/>
        </w:rPr>
        <w:t xml:space="preserve"> </w:t>
      </w:r>
      <w:r>
        <w:t>is</w:t>
      </w:r>
      <w:r>
        <w:rPr>
          <w:spacing w:val="-14"/>
        </w:rPr>
        <w:t xml:space="preserve"> </w:t>
      </w:r>
      <w:r>
        <w:t>contraindicated</w:t>
      </w:r>
      <w:r>
        <w:rPr>
          <w:spacing w:val="-14"/>
        </w:rPr>
        <w:t xml:space="preserve"> </w:t>
      </w:r>
      <w:r>
        <w:t>in</w:t>
      </w:r>
      <w:r>
        <w:rPr>
          <w:spacing w:val="-14"/>
        </w:rPr>
        <w:t xml:space="preserve"> </w:t>
      </w:r>
      <w:r>
        <w:t>patients</w:t>
      </w:r>
      <w:r>
        <w:rPr>
          <w:spacing w:val="-14"/>
        </w:rPr>
        <w:t xml:space="preserve"> </w:t>
      </w:r>
      <w:r>
        <w:t>with</w:t>
      </w:r>
      <w:r>
        <w:rPr>
          <w:spacing w:val="-14"/>
        </w:rPr>
        <w:t xml:space="preserve"> </w:t>
      </w:r>
      <w:r>
        <w:t>moderate</w:t>
      </w:r>
      <w:r>
        <w:rPr>
          <w:spacing w:val="-13"/>
        </w:rPr>
        <w:t xml:space="preserve"> </w:t>
      </w:r>
      <w:r>
        <w:t>(Child-Pugh</w:t>
      </w:r>
      <w:r>
        <w:rPr>
          <w:spacing w:val="-14"/>
        </w:rPr>
        <w:t xml:space="preserve"> </w:t>
      </w:r>
      <w:r>
        <w:t>Class</w:t>
      </w:r>
      <w:r>
        <w:rPr>
          <w:spacing w:val="-12"/>
        </w:rPr>
        <w:t xml:space="preserve"> </w:t>
      </w:r>
      <w:r>
        <w:t>B)</w:t>
      </w:r>
      <w:r>
        <w:rPr>
          <w:spacing w:val="-15"/>
        </w:rPr>
        <w:t xml:space="preserve"> </w:t>
      </w:r>
      <w:r>
        <w:t>to</w:t>
      </w:r>
      <w:r>
        <w:rPr>
          <w:spacing w:val="-14"/>
        </w:rPr>
        <w:t xml:space="preserve"> </w:t>
      </w:r>
      <w:r>
        <w:t>severe</w:t>
      </w:r>
      <w:r>
        <w:rPr>
          <w:spacing w:val="-13"/>
        </w:rPr>
        <w:t xml:space="preserve"> </w:t>
      </w:r>
      <w:r>
        <w:t xml:space="preserve">(Child-Pugh Class C) hepatic impairment and in patients with pre-existing acute or chronic liver disease or with baseline serum ALT or AST greater than 1.5 x ULN, alkaline phosphatase greater than 2 x ULN (unless explained by a stable chronic liver disorder) or total bilirubin greater than 1.5 x ULN (unless due to Gilbert syndrome or non-liver-related disorder) (see Section </w:t>
      </w:r>
      <w:hyperlink w:anchor="_bookmark2" w:history="1">
        <w:r>
          <w:t>4.3</w:t>
        </w:r>
      </w:hyperlink>
      <w:r>
        <w:t xml:space="preserve"> Contraindications, Section </w:t>
      </w:r>
      <w:hyperlink w:anchor="_bookmark3" w:history="1">
        <w:r>
          <w:t>4.4</w:t>
        </w:r>
      </w:hyperlink>
      <w:r>
        <w:t xml:space="preserve"> Special Warnings and Precautions for Use, and Section </w:t>
      </w:r>
      <w:hyperlink w:anchor="_bookmark12" w:history="1">
        <w:r>
          <w:t>5.2</w:t>
        </w:r>
      </w:hyperlink>
      <w:r>
        <w:t xml:space="preserve"> Pharmacokinetic properties).</w:t>
      </w:r>
    </w:p>
    <w:p w14:paraId="53B38DA2" w14:textId="77777777" w:rsidR="008B6261" w:rsidRDefault="008B6261">
      <w:pPr>
        <w:pStyle w:val="BodyText"/>
        <w:spacing w:before="85"/>
      </w:pPr>
    </w:p>
    <w:p w14:paraId="53B38DA3" w14:textId="77777777" w:rsidR="008B6261" w:rsidRDefault="004C6B8B">
      <w:pPr>
        <w:spacing w:before="1"/>
        <w:ind w:left="23"/>
        <w:rPr>
          <w:rFonts w:ascii="Arial"/>
          <w:b/>
          <w:i/>
        </w:rPr>
      </w:pPr>
      <w:r>
        <w:rPr>
          <w:rFonts w:ascii="Arial"/>
          <w:b/>
          <w:i/>
        </w:rPr>
        <w:t>Renal</w:t>
      </w:r>
      <w:r>
        <w:rPr>
          <w:rFonts w:ascii="Arial"/>
          <w:b/>
          <w:i/>
          <w:spacing w:val="-3"/>
        </w:rPr>
        <w:t xml:space="preserve"> </w:t>
      </w:r>
      <w:r>
        <w:rPr>
          <w:rFonts w:ascii="Arial"/>
          <w:b/>
          <w:i/>
          <w:spacing w:val="-2"/>
        </w:rPr>
        <w:t>impairment</w:t>
      </w:r>
    </w:p>
    <w:p w14:paraId="53B38DA4" w14:textId="77777777" w:rsidR="008B6261" w:rsidRDefault="004C6B8B">
      <w:pPr>
        <w:pStyle w:val="BodyText"/>
        <w:ind w:left="23" w:right="590"/>
        <w:jc w:val="both"/>
      </w:pPr>
      <w:r>
        <w:t xml:space="preserve">No dose adjustment is necessary for patients with renal impairment. CENRIFKI has not been studied in patients requiring dialysis (see Section </w:t>
      </w:r>
      <w:hyperlink w:anchor="_bookmark12" w:history="1">
        <w:r>
          <w:t>5.2</w:t>
        </w:r>
      </w:hyperlink>
      <w:r>
        <w:t xml:space="preserve"> Pharmacokinetic properties).</w:t>
      </w:r>
    </w:p>
    <w:p w14:paraId="53B38DA5" w14:textId="77777777" w:rsidR="008B6261" w:rsidRDefault="008B6261">
      <w:pPr>
        <w:pStyle w:val="BodyText"/>
        <w:spacing w:before="240"/>
      </w:pPr>
    </w:p>
    <w:p w14:paraId="53B38DA6" w14:textId="77777777" w:rsidR="008B6261" w:rsidRDefault="004C6B8B">
      <w:pPr>
        <w:pStyle w:val="ListParagraph"/>
        <w:numPr>
          <w:ilvl w:val="1"/>
          <w:numId w:val="4"/>
        </w:numPr>
        <w:tabs>
          <w:tab w:val="left" w:pos="702"/>
        </w:tabs>
        <w:spacing w:before="1"/>
        <w:ind w:hanging="679"/>
        <w:rPr>
          <w:b/>
        </w:rPr>
      </w:pPr>
      <w:bookmarkStart w:id="14" w:name="4.3_Contraindications"/>
      <w:bookmarkStart w:id="15" w:name="_bookmark2"/>
      <w:bookmarkEnd w:id="14"/>
      <w:bookmarkEnd w:id="15"/>
      <w:r>
        <w:rPr>
          <w:b/>
          <w:spacing w:val="-2"/>
        </w:rPr>
        <w:t>CONTRAINDICATIONS</w:t>
      </w:r>
    </w:p>
    <w:p w14:paraId="53B38DA7" w14:textId="77777777" w:rsidR="008B6261" w:rsidRDefault="004C6B8B">
      <w:pPr>
        <w:pStyle w:val="BodyText"/>
        <w:ind w:left="22" w:right="584"/>
        <w:jc w:val="both"/>
      </w:pPr>
      <w:r>
        <w:t>Patients with moderate to severe liver hepatic impairment. Patients with pre-existing acute or chronic liver disease or with baseline serum ALT or AST greater than 1.5 x ULN, alkaline phosphatase</w:t>
      </w:r>
      <w:r>
        <w:rPr>
          <w:spacing w:val="-6"/>
        </w:rPr>
        <w:t xml:space="preserve"> </w:t>
      </w:r>
      <w:r>
        <w:t>greater</w:t>
      </w:r>
      <w:r>
        <w:rPr>
          <w:spacing w:val="-6"/>
        </w:rPr>
        <w:t xml:space="preserve"> </w:t>
      </w:r>
      <w:r>
        <w:t>than</w:t>
      </w:r>
      <w:r>
        <w:rPr>
          <w:spacing w:val="-2"/>
        </w:rPr>
        <w:t xml:space="preserve"> </w:t>
      </w:r>
      <w:r>
        <w:t>2</w:t>
      </w:r>
      <w:r>
        <w:rPr>
          <w:spacing w:val="-5"/>
        </w:rPr>
        <w:t xml:space="preserve"> </w:t>
      </w:r>
      <w:r>
        <w:t>x</w:t>
      </w:r>
      <w:r>
        <w:rPr>
          <w:spacing w:val="-5"/>
        </w:rPr>
        <w:t xml:space="preserve"> </w:t>
      </w:r>
      <w:r>
        <w:t>ULN</w:t>
      </w:r>
      <w:r>
        <w:rPr>
          <w:spacing w:val="-5"/>
        </w:rPr>
        <w:t xml:space="preserve"> </w:t>
      </w:r>
      <w:r>
        <w:t>(unless</w:t>
      </w:r>
      <w:r>
        <w:rPr>
          <w:spacing w:val="-2"/>
        </w:rPr>
        <w:t xml:space="preserve"> </w:t>
      </w:r>
      <w:r>
        <w:t>explained</w:t>
      </w:r>
      <w:r>
        <w:rPr>
          <w:spacing w:val="-5"/>
        </w:rPr>
        <w:t xml:space="preserve"> </w:t>
      </w:r>
      <w:r>
        <w:t>by</w:t>
      </w:r>
      <w:r>
        <w:rPr>
          <w:spacing w:val="-5"/>
        </w:rPr>
        <w:t xml:space="preserve"> </w:t>
      </w:r>
      <w:r>
        <w:t>a</w:t>
      </w:r>
      <w:r>
        <w:rPr>
          <w:spacing w:val="-6"/>
        </w:rPr>
        <w:t xml:space="preserve"> </w:t>
      </w:r>
      <w:r>
        <w:t>stable</w:t>
      </w:r>
      <w:r>
        <w:rPr>
          <w:spacing w:val="-3"/>
        </w:rPr>
        <w:t xml:space="preserve"> </w:t>
      </w:r>
      <w:r>
        <w:t>chronic</w:t>
      </w:r>
      <w:r>
        <w:rPr>
          <w:spacing w:val="-3"/>
        </w:rPr>
        <w:t xml:space="preserve"> </w:t>
      </w:r>
      <w:r>
        <w:t>liver</w:t>
      </w:r>
      <w:r>
        <w:rPr>
          <w:spacing w:val="-6"/>
        </w:rPr>
        <w:t xml:space="preserve"> </w:t>
      </w:r>
      <w:r>
        <w:t>disorder)</w:t>
      </w:r>
      <w:r>
        <w:rPr>
          <w:spacing w:val="-6"/>
        </w:rPr>
        <w:t xml:space="preserve"> </w:t>
      </w:r>
      <w:r>
        <w:t>or</w:t>
      </w:r>
      <w:r>
        <w:rPr>
          <w:spacing w:val="-6"/>
        </w:rPr>
        <w:t xml:space="preserve"> </w:t>
      </w:r>
      <w:r>
        <w:t>total bilirubin</w:t>
      </w:r>
      <w:r>
        <w:rPr>
          <w:spacing w:val="-10"/>
        </w:rPr>
        <w:t xml:space="preserve"> </w:t>
      </w:r>
      <w:r>
        <w:t>greater</w:t>
      </w:r>
      <w:r>
        <w:rPr>
          <w:spacing w:val="-10"/>
        </w:rPr>
        <w:t xml:space="preserve"> </w:t>
      </w:r>
      <w:r>
        <w:t>than</w:t>
      </w:r>
      <w:r>
        <w:rPr>
          <w:spacing w:val="-10"/>
        </w:rPr>
        <w:t xml:space="preserve"> </w:t>
      </w:r>
      <w:r>
        <w:t>1.5</w:t>
      </w:r>
      <w:r>
        <w:rPr>
          <w:spacing w:val="-6"/>
        </w:rPr>
        <w:t xml:space="preserve"> </w:t>
      </w:r>
      <w:r>
        <w:t>x</w:t>
      </w:r>
      <w:r>
        <w:rPr>
          <w:spacing w:val="-10"/>
        </w:rPr>
        <w:t xml:space="preserve"> </w:t>
      </w:r>
      <w:r>
        <w:t>ULN</w:t>
      </w:r>
      <w:r>
        <w:rPr>
          <w:spacing w:val="-10"/>
        </w:rPr>
        <w:t xml:space="preserve"> </w:t>
      </w:r>
      <w:r>
        <w:t>(unless</w:t>
      </w:r>
      <w:r>
        <w:rPr>
          <w:spacing w:val="-9"/>
        </w:rPr>
        <w:t xml:space="preserve"> </w:t>
      </w:r>
      <w:r>
        <w:t>due</w:t>
      </w:r>
      <w:r>
        <w:rPr>
          <w:spacing w:val="-8"/>
        </w:rPr>
        <w:t xml:space="preserve"> </w:t>
      </w:r>
      <w:r>
        <w:t>to</w:t>
      </w:r>
      <w:r>
        <w:rPr>
          <w:spacing w:val="-10"/>
        </w:rPr>
        <w:t xml:space="preserve"> </w:t>
      </w:r>
      <w:r>
        <w:t>Gilbert</w:t>
      </w:r>
      <w:r>
        <w:rPr>
          <w:spacing w:val="-9"/>
        </w:rPr>
        <w:t xml:space="preserve"> </w:t>
      </w:r>
      <w:r>
        <w:t>syndrome</w:t>
      </w:r>
      <w:r>
        <w:rPr>
          <w:spacing w:val="-11"/>
        </w:rPr>
        <w:t xml:space="preserve"> </w:t>
      </w:r>
      <w:r>
        <w:t>or</w:t>
      </w:r>
      <w:r>
        <w:rPr>
          <w:spacing w:val="-10"/>
        </w:rPr>
        <w:t xml:space="preserve"> </w:t>
      </w:r>
      <w:r>
        <w:t>non-liver-related</w:t>
      </w:r>
      <w:r>
        <w:rPr>
          <w:spacing w:val="-10"/>
        </w:rPr>
        <w:t xml:space="preserve"> </w:t>
      </w:r>
      <w:r>
        <w:t xml:space="preserve">disorder) (see Section </w:t>
      </w:r>
      <w:hyperlink w:anchor="_bookmark0" w:history="1">
        <w:r>
          <w:t>4.2</w:t>
        </w:r>
      </w:hyperlink>
      <w:r>
        <w:t xml:space="preserve"> Dose and Method of Administration, Section </w:t>
      </w:r>
      <w:hyperlink w:anchor="_bookmark3" w:history="1">
        <w:r>
          <w:t>4.4</w:t>
        </w:r>
      </w:hyperlink>
      <w:r>
        <w:t xml:space="preserve"> Special Warnings and Precautions for use and Section </w:t>
      </w:r>
      <w:hyperlink w:anchor="_bookmark12" w:history="1">
        <w:r>
          <w:t>5.2</w:t>
        </w:r>
      </w:hyperlink>
      <w:r>
        <w:t xml:space="preserve"> Pharmacokinetic properties).</w:t>
      </w:r>
    </w:p>
    <w:p w14:paraId="53216FE6" w14:textId="77777777" w:rsidR="00790B46" w:rsidRDefault="00790B46">
      <w:pPr>
        <w:pStyle w:val="BodyText"/>
        <w:ind w:left="22" w:right="584"/>
        <w:jc w:val="both"/>
      </w:pPr>
    </w:p>
    <w:p w14:paraId="53B38DA9" w14:textId="77777777" w:rsidR="008B6261" w:rsidRDefault="004C6B8B">
      <w:pPr>
        <w:pStyle w:val="BodyText"/>
        <w:spacing w:before="60"/>
        <w:ind w:left="23" w:right="584"/>
        <w:jc w:val="both"/>
      </w:pPr>
      <w:r>
        <w:t>Hypersensitivity</w:t>
      </w:r>
      <w:r>
        <w:rPr>
          <w:spacing w:val="-2"/>
        </w:rPr>
        <w:t xml:space="preserve"> </w:t>
      </w:r>
      <w:r>
        <w:t>to</w:t>
      </w:r>
      <w:r>
        <w:rPr>
          <w:spacing w:val="-2"/>
        </w:rPr>
        <w:t xml:space="preserve"> </w:t>
      </w:r>
      <w:r>
        <w:t>the</w:t>
      </w:r>
      <w:r>
        <w:rPr>
          <w:spacing w:val="-3"/>
        </w:rPr>
        <w:t xml:space="preserve"> </w:t>
      </w:r>
      <w:r>
        <w:t>active</w:t>
      </w:r>
      <w:r>
        <w:rPr>
          <w:spacing w:val="-3"/>
        </w:rPr>
        <w:t xml:space="preserve"> </w:t>
      </w:r>
      <w:r>
        <w:t>substance</w:t>
      </w:r>
      <w:r>
        <w:rPr>
          <w:spacing w:val="-3"/>
        </w:rPr>
        <w:t xml:space="preserve"> </w:t>
      </w:r>
      <w:r>
        <w:t>or</w:t>
      </w:r>
      <w:r>
        <w:rPr>
          <w:spacing w:val="-3"/>
        </w:rPr>
        <w:t xml:space="preserve"> </w:t>
      </w:r>
      <w:r>
        <w:t>to</w:t>
      </w:r>
      <w:r>
        <w:rPr>
          <w:spacing w:val="-2"/>
        </w:rPr>
        <w:t xml:space="preserve"> </w:t>
      </w:r>
      <w:r>
        <w:t>any</w:t>
      </w:r>
      <w:r>
        <w:rPr>
          <w:spacing w:val="-1"/>
        </w:rPr>
        <w:t xml:space="preserve"> </w:t>
      </w:r>
      <w:r>
        <w:t>of</w:t>
      </w:r>
      <w:r>
        <w:rPr>
          <w:spacing w:val="-3"/>
        </w:rPr>
        <w:t xml:space="preserve"> </w:t>
      </w:r>
      <w:r>
        <w:t>the</w:t>
      </w:r>
      <w:r>
        <w:rPr>
          <w:spacing w:val="-3"/>
        </w:rPr>
        <w:t xml:space="preserve"> </w:t>
      </w:r>
      <w:r>
        <w:t>excipients</w:t>
      </w:r>
      <w:r>
        <w:rPr>
          <w:spacing w:val="-2"/>
        </w:rPr>
        <w:t xml:space="preserve"> </w:t>
      </w:r>
      <w:r>
        <w:t>listed</w:t>
      </w:r>
      <w:r>
        <w:rPr>
          <w:spacing w:val="-2"/>
        </w:rPr>
        <w:t xml:space="preserve"> </w:t>
      </w:r>
      <w:r>
        <w:t>in</w:t>
      </w:r>
      <w:r>
        <w:rPr>
          <w:spacing w:val="-2"/>
        </w:rPr>
        <w:t xml:space="preserve"> </w:t>
      </w:r>
      <w:r>
        <w:t>Section</w:t>
      </w:r>
      <w:r>
        <w:rPr>
          <w:spacing w:val="-2"/>
        </w:rPr>
        <w:t xml:space="preserve"> </w:t>
      </w:r>
      <w:hyperlink w:anchor="_bookmark14" w:history="1">
        <w:r>
          <w:t>6.1</w:t>
        </w:r>
      </w:hyperlink>
      <w:r>
        <w:rPr>
          <w:spacing w:val="-2"/>
        </w:rPr>
        <w:t xml:space="preserve"> </w:t>
      </w:r>
      <w:r>
        <w:t>List</w:t>
      </w:r>
      <w:r>
        <w:rPr>
          <w:spacing w:val="-2"/>
        </w:rPr>
        <w:t xml:space="preserve"> </w:t>
      </w:r>
      <w:r>
        <w:t xml:space="preserve">of </w:t>
      </w:r>
      <w:r>
        <w:rPr>
          <w:spacing w:val="-2"/>
        </w:rPr>
        <w:t>Excipients.</w:t>
      </w:r>
    </w:p>
    <w:p w14:paraId="53B38DAA" w14:textId="77777777" w:rsidR="008B6261" w:rsidRDefault="008B6261">
      <w:pPr>
        <w:pStyle w:val="BodyText"/>
        <w:spacing w:before="121"/>
      </w:pPr>
    </w:p>
    <w:p w14:paraId="53B38DAB" w14:textId="77777777" w:rsidR="008B6261" w:rsidRDefault="004C6B8B">
      <w:pPr>
        <w:pStyle w:val="ListParagraph"/>
        <w:numPr>
          <w:ilvl w:val="1"/>
          <w:numId w:val="4"/>
        </w:numPr>
        <w:tabs>
          <w:tab w:val="left" w:pos="702"/>
        </w:tabs>
        <w:ind w:hanging="679"/>
        <w:rPr>
          <w:b/>
        </w:rPr>
      </w:pPr>
      <w:bookmarkStart w:id="16" w:name="4.4_Special_warnings_and_precautions_for"/>
      <w:bookmarkStart w:id="17" w:name="_bookmark3"/>
      <w:bookmarkEnd w:id="16"/>
      <w:bookmarkEnd w:id="17"/>
      <w:r>
        <w:rPr>
          <w:b/>
        </w:rPr>
        <w:t>SPECIAL</w:t>
      </w:r>
      <w:r>
        <w:rPr>
          <w:b/>
          <w:spacing w:val="-7"/>
        </w:rPr>
        <w:t xml:space="preserve"> </w:t>
      </w:r>
      <w:r>
        <w:rPr>
          <w:b/>
        </w:rPr>
        <w:t>WARNINGS</w:t>
      </w:r>
      <w:r>
        <w:rPr>
          <w:b/>
          <w:spacing w:val="-6"/>
        </w:rPr>
        <w:t xml:space="preserve"> </w:t>
      </w:r>
      <w:r>
        <w:rPr>
          <w:b/>
        </w:rPr>
        <w:t>AND</w:t>
      </w:r>
      <w:r>
        <w:rPr>
          <w:b/>
          <w:spacing w:val="-5"/>
        </w:rPr>
        <w:t xml:space="preserve"> </w:t>
      </w:r>
      <w:r>
        <w:rPr>
          <w:b/>
        </w:rPr>
        <w:t>PRECAUTIONS</w:t>
      </w:r>
      <w:r>
        <w:rPr>
          <w:b/>
          <w:spacing w:val="-4"/>
        </w:rPr>
        <w:t xml:space="preserve"> </w:t>
      </w:r>
      <w:r>
        <w:rPr>
          <w:b/>
        </w:rPr>
        <w:t>FOR</w:t>
      </w:r>
      <w:r>
        <w:rPr>
          <w:b/>
          <w:spacing w:val="-4"/>
        </w:rPr>
        <w:t xml:space="preserve"> </w:t>
      </w:r>
      <w:r>
        <w:rPr>
          <w:b/>
          <w:spacing w:val="-5"/>
        </w:rPr>
        <w:t>USE</w:t>
      </w:r>
    </w:p>
    <w:p w14:paraId="53B38DAC" w14:textId="77777777" w:rsidR="008B6261" w:rsidRDefault="008B6261">
      <w:pPr>
        <w:pStyle w:val="BodyText"/>
        <w:spacing w:before="106"/>
        <w:rPr>
          <w:rFonts w:ascii="Arial"/>
          <w:b/>
          <w:sz w:val="22"/>
        </w:rPr>
      </w:pPr>
    </w:p>
    <w:p w14:paraId="53B38DAD" w14:textId="77777777" w:rsidR="008B6261" w:rsidRDefault="004C6B8B">
      <w:pPr>
        <w:spacing w:before="1"/>
        <w:ind w:left="23"/>
        <w:jc w:val="both"/>
        <w:rPr>
          <w:rFonts w:ascii="Arial"/>
          <w:b/>
        </w:rPr>
      </w:pPr>
      <w:bookmarkStart w:id="18" w:name="Liver_Injury"/>
      <w:bookmarkEnd w:id="18"/>
      <w:r>
        <w:rPr>
          <w:rFonts w:ascii="Arial"/>
          <w:b/>
        </w:rPr>
        <w:t>Liver</w:t>
      </w:r>
      <w:r>
        <w:rPr>
          <w:rFonts w:ascii="Arial"/>
          <w:b/>
          <w:spacing w:val="-5"/>
        </w:rPr>
        <w:t xml:space="preserve"> </w:t>
      </w:r>
      <w:r>
        <w:rPr>
          <w:rFonts w:ascii="Arial"/>
          <w:b/>
          <w:spacing w:val="-2"/>
        </w:rPr>
        <w:t>Injury</w:t>
      </w:r>
    </w:p>
    <w:p w14:paraId="53B38DAE" w14:textId="77777777" w:rsidR="008B6261" w:rsidRDefault="004C6B8B">
      <w:pPr>
        <w:pStyle w:val="BodyText"/>
        <w:spacing w:before="240"/>
        <w:ind w:left="22" w:right="585"/>
        <w:jc w:val="both"/>
      </w:pPr>
      <w:r>
        <w:t>Clinically</w:t>
      </w:r>
      <w:r>
        <w:rPr>
          <w:spacing w:val="-11"/>
        </w:rPr>
        <w:t xml:space="preserve"> </w:t>
      </w:r>
      <w:r>
        <w:t>significant</w:t>
      </w:r>
      <w:r>
        <w:rPr>
          <w:spacing w:val="-10"/>
        </w:rPr>
        <w:t xml:space="preserve"> </w:t>
      </w:r>
      <w:r>
        <w:t>liver</w:t>
      </w:r>
      <w:r>
        <w:rPr>
          <w:spacing w:val="-11"/>
        </w:rPr>
        <w:t xml:space="preserve"> </w:t>
      </w:r>
      <w:r>
        <w:t>injury,</w:t>
      </w:r>
      <w:r>
        <w:rPr>
          <w:spacing w:val="-11"/>
        </w:rPr>
        <w:t xml:space="preserve"> </w:t>
      </w:r>
      <w:r>
        <w:t>including</w:t>
      </w:r>
      <w:r>
        <w:rPr>
          <w:spacing w:val="-11"/>
        </w:rPr>
        <w:t xml:space="preserve"> </w:t>
      </w:r>
      <w:r>
        <w:t>acute</w:t>
      </w:r>
      <w:r>
        <w:rPr>
          <w:spacing w:val="-11"/>
        </w:rPr>
        <w:t xml:space="preserve"> </w:t>
      </w:r>
      <w:r>
        <w:t>liver</w:t>
      </w:r>
      <w:r>
        <w:rPr>
          <w:spacing w:val="-11"/>
        </w:rPr>
        <w:t xml:space="preserve"> </w:t>
      </w:r>
      <w:r>
        <w:t>failure</w:t>
      </w:r>
      <w:r>
        <w:rPr>
          <w:spacing w:val="-9"/>
        </w:rPr>
        <w:t xml:space="preserve"> </w:t>
      </w:r>
      <w:r>
        <w:t>resulting</w:t>
      </w:r>
      <w:r>
        <w:rPr>
          <w:spacing w:val="-11"/>
        </w:rPr>
        <w:t xml:space="preserve"> </w:t>
      </w:r>
      <w:r>
        <w:t>in/leading</w:t>
      </w:r>
      <w:r>
        <w:rPr>
          <w:spacing w:val="-11"/>
        </w:rPr>
        <w:t xml:space="preserve"> </w:t>
      </w:r>
      <w:r>
        <w:t>to</w:t>
      </w:r>
      <w:r>
        <w:rPr>
          <w:spacing w:val="-11"/>
        </w:rPr>
        <w:t xml:space="preserve"> </w:t>
      </w:r>
      <w:r>
        <w:t>transplant and/or death, has been reported in patients treated with Bruton tyrosine kinase inhibitors, including CENRIFKI in clinical trials. Patients with pre-existing liver disease and patients taking other hepatotoxic drugs, herbal or dietary supplements may be at increased risk for developing liver injury when taking CENRIFKI. Prior to initiating CENRIFKI, evaluate patients for concomitant use of hepatotoxic drugs, herbal products, and dietary supplements. Concomitant use of CENRIFKI with other hepatotoxic drugs especially during the first 12 weeks of administration should be undertaken with caution, and alternative options for those drugs</w:t>
      </w:r>
      <w:r>
        <w:rPr>
          <w:spacing w:val="-8"/>
        </w:rPr>
        <w:t xml:space="preserve"> </w:t>
      </w:r>
      <w:r>
        <w:t>should</w:t>
      </w:r>
      <w:r>
        <w:rPr>
          <w:spacing w:val="-8"/>
        </w:rPr>
        <w:t xml:space="preserve"> </w:t>
      </w:r>
      <w:r>
        <w:t>be</w:t>
      </w:r>
      <w:r>
        <w:rPr>
          <w:spacing w:val="-8"/>
        </w:rPr>
        <w:t xml:space="preserve"> </w:t>
      </w:r>
      <w:r>
        <w:t>considered</w:t>
      </w:r>
      <w:r>
        <w:rPr>
          <w:spacing w:val="-8"/>
        </w:rPr>
        <w:t xml:space="preserve"> </w:t>
      </w:r>
      <w:r>
        <w:t>if</w:t>
      </w:r>
      <w:r>
        <w:rPr>
          <w:spacing w:val="-8"/>
        </w:rPr>
        <w:t xml:space="preserve"> </w:t>
      </w:r>
      <w:r>
        <w:t>possible.</w:t>
      </w:r>
      <w:r>
        <w:rPr>
          <w:spacing w:val="-8"/>
        </w:rPr>
        <w:t xml:space="preserve"> </w:t>
      </w:r>
      <w:r>
        <w:t>The</w:t>
      </w:r>
      <w:r>
        <w:rPr>
          <w:spacing w:val="-8"/>
        </w:rPr>
        <w:t xml:space="preserve"> </w:t>
      </w:r>
      <w:r>
        <w:t>use</w:t>
      </w:r>
      <w:r>
        <w:rPr>
          <w:spacing w:val="-8"/>
        </w:rPr>
        <w:t xml:space="preserve"> </w:t>
      </w:r>
      <w:r>
        <w:t>of</w:t>
      </w:r>
      <w:r>
        <w:rPr>
          <w:spacing w:val="-7"/>
        </w:rPr>
        <w:t xml:space="preserve"> </w:t>
      </w:r>
      <w:r>
        <w:t>herbal</w:t>
      </w:r>
      <w:r>
        <w:rPr>
          <w:spacing w:val="-8"/>
        </w:rPr>
        <w:t xml:space="preserve"> </w:t>
      </w:r>
      <w:r>
        <w:t>or</w:t>
      </w:r>
      <w:r>
        <w:rPr>
          <w:spacing w:val="-8"/>
        </w:rPr>
        <w:t xml:space="preserve"> </w:t>
      </w:r>
      <w:r>
        <w:t>dietary</w:t>
      </w:r>
      <w:r>
        <w:rPr>
          <w:spacing w:val="-8"/>
        </w:rPr>
        <w:t xml:space="preserve"> </w:t>
      </w:r>
      <w:r>
        <w:t>supplements</w:t>
      </w:r>
      <w:r>
        <w:rPr>
          <w:spacing w:val="-8"/>
        </w:rPr>
        <w:t xml:space="preserve"> </w:t>
      </w:r>
      <w:r>
        <w:t>with</w:t>
      </w:r>
      <w:r>
        <w:rPr>
          <w:spacing w:val="-8"/>
        </w:rPr>
        <w:t xml:space="preserve"> </w:t>
      </w:r>
      <w:r>
        <w:t>potential hepatotoxicity should be avoided during CENRIFKI</w:t>
      </w:r>
      <w:r>
        <w:rPr>
          <w:spacing w:val="-2"/>
        </w:rPr>
        <w:t xml:space="preserve"> </w:t>
      </w:r>
      <w:r>
        <w:t xml:space="preserve">treatment. CENRIFKI is contraindicated in patients with moderate to severe hepatic impairment (see Section </w:t>
      </w:r>
      <w:hyperlink w:anchor="_bookmark2" w:history="1">
        <w:r>
          <w:t>4.3</w:t>
        </w:r>
      </w:hyperlink>
      <w:r>
        <w:t xml:space="preserve"> Contraindications).</w:t>
      </w:r>
    </w:p>
    <w:p w14:paraId="53B38DAF" w14:textId="77777777" w:rsidR="008B6261" w:rsidRDefault="004C6B8B">
      <w:pPr>
        <w:pStyle w:val="BodyText"/>
        <w:spacing w:before="240"/>
        <w:ind w:left="22" w:right="584"/>
        <w:jc w:val="both"/>
      </w:pPr>
      <w:r>
        <w:t>In</w:t>
      </w:r>
      <w:r>
        <w:rPr>
          <w:spacing w:val="-6"/>
        </w:rPr>
        <w:t xml:space="preserve"> </w:t>
      </w:r>
      <w:r>
        <w:t>Phase</w:t>
      </w:r>
      <w:r>
        <w:rPr>
          <w:spacing w:val="-7"/>
        </w:rPr>
        <w:t xml:space="preserve"> </w:t>
      </w:r>
      <w:r>
        <w:t>3</w:t>
      </w:r>
      <w:r>
        <w:rPr>
          <w:spacing w:val="-6"/>
        </w:rPr>
        <w:t xml:space="preserve"> </w:t>
      </w:r>
      <w:r>
        <w:t>clinical</w:t>
      </w:r>
      <w:r>
        <w:rPr>
          <w:spacing w:val="-5"/>
        </w:rPr>
        <w:t xml:space="preserve"> </w:t>
      </w:r>
      <w:r>
        <w:t>trials</w:t>
      </w:r>
      <w:r>
        <w:rPr>
          <w:spacing w:val="-6"/>
        </w:rPr>
        <w:t xml:space="preserve"> </w:t>
      </w:r>
      <w:r>
        <w:t>for</w:t>
      </w:r>
      <w:r>
        <w:rPr>
          <w:spacing w:val="-7"/>
        </w:rPr>
        <w:t xml:space="preserve"> </w:t>
      </w:r>
      <w:r>
        <w:t>Relapsing</w:t>
      </w:r>
      <w:r>
        <w:rPr>
          <w:spacing w:val="-6"/>
        </w:rPr>
        <w:t xml:space="preserve"> </w:t>
      </w:r>
      <w:r>
        <w:t>Multiple</w:t>
      </w:r>
      <w:r>
        <w:rPr>
          <w:spacing w:val="-9"/>
        </w:rPr>
        <w:t xml:space="preserve"> </w:t>
      </w:r>
      <w:r>
        <w:t>Sclerosis</w:t>
      </w:r>
      <w:r>
        <w:rPr>
          <w:spacing w:val="-6"/>
        </w:rPr>
        <w:t xml:space="preserve"> </w:t>
      </w:r>
      <w:r>
        <w:t>(RMS)</w:t>
      </w:r>
      <w:r>
        <w:rPr>
          <w:spacing w:val="-7"/>
        </w:rPr>
        <w:t xml:space="preserve"> </w:t>
      </w:r>
      <w:r>
        <w:t>and</w:t>
      </w:r>
      <w:r>
        <w:rPr>
          <w:spacing w:val="-6"/>
        </w:rPr>
        <w:t xml:space="preserve"> </w:t>
      </w:r>
      <w:r>
        <w:t>non-relapsing</w:t>
      </w:r>
      <w:r>
        <w:rPr>
          <w:spacing w:val="-6"/>
        </w:rPr>
        <w:t xml:space="preserve"> </w:t>
      </w:r>
      <w:r>
        <w:t>Secondary Progressive Multiple Sclerosis (nrSPMS), ALT elevations greater than three times the upper limit of normal (ULN) were observed in 4.9% of patients treated with CENRIFKI, 6.3% of RMS patients treated with teriflunomide, and 1.6% of nrSPMS patients receiving placebo. Among</w:t>
      </w:r>
      <w:r>
        <w:rPr>
          <w:spacing w:val="-4"/>
        </w:rPr>
        <w:t xml:space="preserve"> </w:t>
      </w:r>
      <w:r>
        <w:t>the</w:t>
      </w:r>
      <w:r>
        <w:rPr>
          <w:spacing w:val="-5"/>
        </w:rPr>
        <w:t xml:space="preserve"> </w:t>
      </w:r>
      <w:r>
        <w:t>1685</w:t>
      </w:r>
      <w:r>
        <w:rPr>
          <w:spacing w:val="-4"/>
        </w:rPr>
        <w:t xml:space="preserve"> </w:t>
      </w:r>
      <w:r>
        <w:t>CENRIFKI-treated</w:t>
      </w:r>
      <w:r>
        <w:rPr>
          <w:spacing w:val="-4"/>
        </w:rPr>
        <w:t xml:space="preserve"> </w:t>
      </w:r>
      <w:r>
        <w:t>patients,</w:t>
      </w:r>
      <w:r>
        <w:rPr>
          <w:spacing w:val="-4"/>
        </w:rPr>
        <w:t xml:space="preserve"> </w:t>
      </w:r>
      <w:r>
        <w:t>0.42%</w:t>
      </w:r>
      <w:r>
        <w:rPr>
          <w:spacing w:val="-5"/>
        </w:rPr>
        <w:t xml:space="preserve"> </w:t>
      </w:r>
      <w:r>
        <w:t>experienced</w:t>
      </w:r>
      <w:r>
        <w:rPr>
          <w:spacing w:val="-4"/>
        </w:rPr>
        <w:t xml:space="preserve"> </w:t>
      </w:r>
      <w:r>
        <w:t>ALT</w:t>
      </w:r>
      <w:r>
        <w:rPr>
          <w:spacing w:val="-5"/>
        </w:rPr>
        <w:t xml:space="preserve"> </w:t>
      </w:r>
      <w:r>
        <w:t>elevations</w:t>
      </w:r>
      <w:r>
        <w:rPr>
          <w:spacing w:val="-4"/>
        </w:rPr>
        <w:t xml:space="preserve"> </w:t>
      </w:r>
      <w:r>
        <w:t>greater</w:t>
      </w:r>
      <w:r>
        <w:rPr>
          <w:spacing w:val="-5"/>
        </w:rPr>
        <w:t xml:space="preserve"> </w:t>
      </w:r>
      <w:r>
        <w:t>than twenty</w:t>
      </w:r>
      <w:r>
        <w:rPr>
          <w:spacing w:val="-15"/>
        </w:rPr>
        <w:t xml:space="preserve"> </w:t>
      </w:r>
      <w:r>
        <w:t>times</w:t>
      </w:r>
      <w:r>
        <w:rPr>
          <w:spacing w:val="-15"/>
        </w:rPr>
        <w:t xml:space="preserve"> </w:t>
      </w:r>
      <w:r>
        <w:t>ULN,</w:t>
      </w:r>
      <w:r>
        <w:rPr>
          <w:spacing w:val="-15"/>
        </w:rPr>
        <w:t xml:space="preserve"> </w:t>
      </w:r>
      <w:r>
        <w:t>and</w:t>
      </w:r>
      <w:r>
        <w:rPr>
          <w:spacing w:val="-15"/>
        </w:rPr>
        <w:t xml:space="preserve"> </w:t>
      </w:r>
      <w:r>
        <w:t>0.2%</w:t>
      </w:r>
      <w:r>
        <w:rPr>
          <w:spacing w:val="-15"/>
        </w:rPr>
        <w:t xml:space="preserve"> </w:t>
      </w:r>
      <w:r>
        <w:t>had</w:t>
      </w:r>
      <w:r>
        <w:rPr>
          <w:spacing w:val="-15"/>
        </w:rPr>
        <w:t xml:space="preserve"> </w:t>
      </w:r>
      <w:r>
        <w:t>ALT</w:t>
      </w:r>
      <w:r>
        <w:rPr>
          <w:spacing w:val="-15"/>
        </w:rPr>
        <w:t xml:space="preserve"> </w:t>
      </w:r>
      <w:r>
        <w:t>elevations</w:t>
      </w:r>
      <w:r>
        <w:rPr>
          <w:spacing w:val="-15"/>
        </w:rPr>
        <w:t xml:space="preserve"> </w:t>
      </w:r>
      <w:r>
        <w:t>greater</w:t>
      </w:r>
      <w:r>
        <w:rPr>
          <w:spacing w:val="-15"/>
        </w:rPr>
        <w:t xml:space="preserve"> </w:t>
      </w:r>
      <w:r>
        <w:t>than</w:t>
      </w:r>
      <w:r>
        <w:rPr>
          <w:spacing w:val="-15"/>
        </w:rPr>
        <w:t xml:space="preserve"> </w:t>
      </w:r>
      <w:r>
        <w:t>three</w:t>
      </w:r>
      <w:r>
        <w:rPr>
          <w:spacing w:val="-15"/>
        </w:rPr>
        <w:t xml:space="preserve"> </w:t>
      </w:r>
      <w:r>
        <w:t>times</w:t>
      </w:r>
      <w:r>
        <w:rPr>
          <w:spacing w:val="-15"/>
        </w:rPr>
        <w:t xml:space="preserve"> </w:t>
      </w:r>
      <w:r>
        <w:t>ULN</w:t>
      </w:r>
      <w:r>
        <w:rPr>
          <w:spacing w:val="-15"/>
        </w:rPr>
        <w:t xml:space="preserve"> </w:t>
      </w:r>
      <w:r>
        <w:t>with</w:t>
      </w:r>
      <w:r>
        <w:rPr>
          <w:spacing w:val="-15"/>
        </w:rPr>
        <w:t xml:space="preserve"> </w:t>
      </w:r>
      <w:r>
        <w:t>concurrent bilirubin increases greater than two times ULN, all without alternative causes of liver injury and all occurred within three months of initiating CENRIFKI treatment. All but one patient’s liver enzymes resolved spontaneously without sequelae following permanent discontinuation of</w:t>
      </w:r>
      <w:r>
        <w:rPr>
          <w:spacing w:val="-15"/>
        </w:rPr>
        <w:t xml:space="preserve"> </w:t>
      </w:r>
      <w:r>
        <w:t>CENRIFKI.</w:t>
      </w:r>
      <w:r>
        <w:rPr>
          <w:spacing w:val="-14"/>
        </w:rPr>
        <w:t xml:space="preserve"> </w:t>
      </w:r>
      <w:r>
        <w:t>One</w:t>
      </w:r>
      <w:r>
        <w:rPr>
          <w:spacing w:val="-15"/>
        </w:rPr>
        <w:t xml:space="preserve"> </w:t>
      </w:r>
      <w:r>
        <w:t>patient</w:t>
      </w:r>
      <w:r>
        <w:rPr>
          <w:spacing w:val="-14"/>
        </w:rPr>
        <w:t xml:space="preserve"> </w:t>
      </w:r>
      <w:r>
        <w:t>developed</w:t>
      </w:r>
      <w:r>
        <w:rPr>
          <w:spacing w:val="-14"/>
        </w:rPr>
        <w:t xml:space="preserve"> </w:t>
      </w:r>
      <w:r>
        <w:t>liver</w:t>
      </w:r>
      <w:r>
        <w:rPr>
          <w:spacing w:val="-13"/>
        </w:rPr>
        <w:t xml:space="preserve"> </w:t>
      </w:r>
      <w:r>
        <w:t>failure</w:t>
      </w:r>
      <w:r>
        <w:rPr>
          <w:spacing w:val="-13"/>
        </w:rPr>
        <w:t xml:space="preserve"> </w:t>
      </w:r>
      <w:r>
        <w:t>requiring</w:t>
      </w:r>
      <w:r>
        <w:rPr>
          <w:spacing w:val="-14"/>
        </w:rPr>
        <w:t xml:space="preserve"> </w:t>
      </w:r>
      <w:r>
        <w:t>a</w:t>
      </w:r>
      <w:r>
        <w:rPr>
          <w:spacing w:val="-15"/>
        </w:rPr>
        <w:t xml:space="preserve"> </w:t>
      </w:r>
      <w:r>
        <w:t>liver</w:t>
      </w:r>
      <w:r>
        <w:rPr>
          <w:spacing w:val="-15"/>
        </w:rPr>
        <w:t xml:space="preserve"> </w:t>
      </w:r>
      <w:r>
        <w:t>transplant</w:t>
      </w:r>
      <w:r>
        <w:rPr>
          <w:spacing w:val="-14"/>
        </w:rPr>
        <w:t xml:space="preserve"> </w:t>
      </w:r>
      <w:r>
        <w:t>and</w:t>
      </w:r>
      <w:r>
        <w:rPr>
          <w:spacing w:val="-15"/>
        </w:rPr>
        <w:t xml:space="preserve"> </w:t>
      </w:r>
      <w:r>
        <w:t xml:space="preserve">subsequently </w:t>
      </w:r>
      <w:bookmarkStart w:id="19" w:name="Safety_measures_to_be_taken_to_mitigate_"/>
      <w:bookmarkEnd w:id="19"/>
      <w:r>
        <w:t>died due to a post-transplant complication.</w:t>
      </w:r>
    </w:p>
    <w:p w14:paraId="53B38DB0" w14:textId="77777777" w:rsidR="008B6261" w:rsidRDefault="008B6261">
      <w:pPr>
        <w:pStyle w:val="BodyText"/>
        <w:spacing w:before="85"/>
      </w:pPr>
    </w:p>
    <w:p w14:paraId="53B38DB1" w14:textId="77777777" w:rsidR="008B6261" w:rsidRDefault="004C6B8B">
      <w:pPr>
        <w:ind w:left="23"/>
        <w:jc w:val="both"/>
        <w:rPr>
          <w:rFonts w:ascii="Arial"/>
          <w:b/>
          <w:i/>
        </w:rPr>
      </w:pPr>
      <w:r>
        <w:rPr>
          <w:rFonts w:ascii="Arial"/>
          <w:b/>
          <w:i/>
        </w:rPr>
        <w:t>Safety</w:t>
      </w:r>
      <w:r>
        <w:rPr>
          <w:rFonts w:ascii="Arial"/>
          <w:b/>
          <w:i/>
          <w:spacing w:val="-7"/>
        </w:rPr>
        <w:t xml:space="preserve"> </w:t>
      </w:r>
      <w:r>
        <w:rPr>
          <w:rFonts w:ascii="Arial"/>
          <w:b/>
          <w:i/>
        </w:rPr>
        <w:t>measures</w:t>
      </w:r>
      <w:r>
        <w:rPr>
          <w:rFonts w:ascii="Arial"/>
          <w:b/>
          <w:i/>
          <w:spacing w:val="-5"/>
        </w:rPr>
        <w:t xml:space="preserve"> </w:t>
      </w:r>
      <w:r>
        <w:rPr>
          <w:rFonts w:ascii="Arial"/>
          <w:b/>
          <w:i/>
        </w:rPr>
        <w:t>to</w:t>
      </w:r>
      <w:r>
        <w:rPr>
          <w:rFonts w:ascii="Arial"/>
          <w:b/>
          <w:i/>
          <w:spacing w:val="-4"/>
        </w:rPr>
        <w:t xml:space="preserve"> </w:t>
      </w:r>
      <w:r>
        <w:rPr>
          <w:rFonts w:ascii="Arial"/>
          <w:b/>
          <w:i/>
        </w:rPr>
        <w:t>be</w:t>
      </w:r>
      <w:r>
        <w:rPr>
          <w:rFonts w:ascii="Arial"/>
          <w:b/>
          <w:i/>
          <w:spacing w:val="-5"/>
        </w:rPr>
        <w:t xml:space="preserve"> </w:t>
      </w:r>
      <w:r>
        <w:rPr>
          <w:rFonts w:ascii="Arial"/>
          <w:b/>
          <w:i/>
        </w:rPr>
        <w:t>taken</w:t>
      </w:r>
      <w:r>
        <w:rPr>
          <w:rFonts w:ascii="Arial"/>
          <w:b/>
          <w:i/>
          <w:spacing w:val="-4"/>
        </w:rPr>
        <w:t xml:space="preserve"> </w:t>
      </w:r>
      <w:r>
        <w:rPr>
          <w:rFonts w:ascii="Arial"/>
          <w:b/>
          <w:i/>
        </w:rPr>
        <w:t>to</w:t>
      </w:r>
      <w:r>
        <w:rPr>
          <w:rFonts w:ascii="Arial"/>
          <w:b/>
          <w:i/>
          <w:spacing w:val="-5"/>
        </w:rPr>
        <w:t xml:space="preserve"> </w:t>
      </w:r>
      <w:r>
        <w:rPr>
          <w:rFonts w:ascii="Arial"/>
          <w:b/>
          <w:i/>
        </w:rPr>
        <w:t>mitigate</w:t>
      </w:r>
      <w:r>
        <w:rPr>
          <w:rFonts w:ascii="Arial"/>
          <w:b/>
          <w:i/>
          <w:spacing w:val="-4"/>
        </w:rPr>
        <w:t xml:space="preserve"> </w:t>
      </w:r>
      <w:r>
        <w:rPr>
          <w:rFonts w:ascii="Arial"/>
          <w:b/>
          <w:i/>
        </w:rPr>
        <w:t>the</w:t>
      </w:r>
      <w:r>
        <w:rPr>
          <w:rFonts w:ascii="Arial"/>
          <w:b/>
          <w:i/>
          <w:spacing w:val="-3"/>
        </w:rPr>
        <w:t xml:space="preserve"> </w:t>
      </w:r>
      <w:r>
        <w:rPr>
          <w:rFonts w:ascii="Arial"/>
          <w:b/>
          <w:i/>
        </w:rPr>
        <w:t>risk</w:t>
      </w:r>
      <w:r>
        <w:rPr>
          <w:rFonts w:ascii="Arial"/>
          <w:b/>
          <w:i/>
          <w:spacing w:val="-3"/>
        </w:rPr>
        <w:t xml:space="preserve"> </w:t>
      </w:r>
      <w:r>
        <w:rPr>
          <w:rFonts w:ascii="Arial"/>
          <w:b/>
          <w:i/>
        </w:rPr>
        <w:t>of</w:t>
      </w:r>
      <w:r>
        <w:rPr>
          <w:rFonts w:ascii="Arial"/>
          <w:b/>
          <w:i/>
          <w:spacing w:val="-3"/>
        </w:rPr>
        <w:t xml:space="preserve"> </w:t>
      </w:r>
      <w:r>
        <w:rPr>
          <w:rFonts w:ascii="Arial"/>
          <w:b/>
          <w:i/>
        </w:rPr>
        <w:t>severe</w:t>
      </w:r>
      <w:r>
        <w:rPr>
          <w:rFonts w:ascii="Arial"/>
          <w:b/>
          <w:i/>
          <w:spacing w:val="-5"/>
        </w:rPr>
        <w:t xml:space="preserve"> </w:t>
      </w:r>
      <w:r>
        <w:rPr>
          <w:rFonts w:ascii="Arial"/>
          <w:b/>
          <w:i/>
        </w:rPr>
        <w:t>liver</w:t>
      </w:r>
      <w:r>
        <w:rPr>
          <w:rFonts w:ascii="Arial"/>
          <w:b/>
          <w:i/>
          <w:spacing w:val="-3"/>
        </w:rPr>
        <w:t xml:space="preserve"> </w:t>
      </w:r>
      <w:r>
        <w:rPr>
          <w:rFonts w:ascii="Arial"/>
          <w:b/>
          <w:i/>
          <w:spacing w:val="-2"/>
        </w:rPr>
        <w:t>injury</w:t>
      </w:r>
    </w:p>
    <w:p w14:paraId="53B38DB2" w14:textId="77777777" w:rsidR="008B6261" w:rsidRDefault="004C6B8B">
      <w:pPr>
        <w:pStyle w:val="BodyText"/>
        <w:spacing w:before="239"/>
        <w:ind w:left="22" w:right="589"/>
        <w:jc w:val="both"/>
      </w:pPr>
      <w:r>
        <w:t>Do</w:t>
      </w:r>
      <w:r>
        <w:rPr>
          <w:spacing w:val="-4"/>
        </w:rPr>
        <w:t xml:space="preserve"> </w:t>
      </w:r>
      <w:r>
        <w:t>not</w:t>
      </w:r>
      <w:r>
        <w:rPr>
          <w:spacing w:val="-3"/>
        </w:rPr>
        <w:t xml:space="preserve"> </w:t>
      </w:r>
      <w:r>
        <w:t>initiate</w:t>
      </w:r>
      <w:r>
        <w:rPr>
          <w:spacing w:val="-5"/>
        </w:rPr>
        <w:t xml:space="preserve"> </w:t>
      </w:r>
      <w:r>
        <w:t>CENRIFKI</w:t>
      </w:r>
      <w:r>
        <w:rPr>
          <w:spacing w:val="-7"/>
        </w:rPr>
        <w:t xml:space="preserve"> </w:t>
      </w:r>
      <w:r>
        <w:t>in</w:t>
      </w:r>
      <w:r>
        <w:rPr>
          <w:spacing w:val="-4"/>
        </w:rPr>
        <w:t xml:space="preserve"> </w:t>
      </w:r>
      <w:r>
        <w:t>patients</w:t>
      </w:r>
      <w:r>
        <w:rPr>
          <w:spacing w:val="-4"/>
        </w:rPr>
        <w:t xml:space="preserve"> </w:t>
      </w:r>
      <w:r>
        <w:t>with</w:t>
      </w:r>
      <w:r>
        <w:rPr>
          <w:spacing w:val="-4"/>
        </w:rPr>
        <w:t xml:space="preserve"> </w:t>
      </w:r>
      <w:r>
        <w:t>pre-existing</w:t>
      </w:r>
      <w:r>
        <w:rPr>
          <w:spacing w:val="-4"/>
        </w:rPr>
        <w:t xml:space="preserve"> </w:t>
      </w:r>
      <w:r>
        <w:t>acute</w:t>
      </w:r>
      <w:r>
        <w:rPr>
          <w:spacing w:val="-5"/>
        </w:rPr>
        <w:t xml:space="preserve"> </w:t>
      </w:r>
      <w:r>
        <w:t>or</w:t>
      </w:r>
      <w:r>
        <w:rPr>
          <w:spacing w:val="-2"/>
        </w:rPr>
        <w:t xml:space="preserve"> </w:t>
      </w:r>
      <w:r>
        <w:t>chronic</w:t>
      </w:r>
      <w:r>
        <w:rPr>
          <w:spacing w:val="-5"/>
        </w:rPr>
        <w:t xml:space="preserve"> </w:t>
      </w:r>
      <w:r>
        <w:t>liver</w:t>
      </w:r>
      <w:r>
        <w:rPr>
          <w:spacing w:val="-5"/>
        </w:rPr>
        <w:t xml:space="preserve"> </w:t>
      </w:r>
      <w:r>
        <w:t>disease,</w:t>
      </w:r>
      <w:r>
        <w:rPr>
          <w:spacing w:val="-4"/>
        </w:rPr>
        <w:t xml:space="preserve"> </w:t>
      </w:r>
      <w:r>
        <w:t>or</w:t>
      </w:r>
      <w:r>
        <w:rPr>
          <w:spacing w:val="-5"/>
        </w:rPr>
        <w:t xml:space="preserve"> </w:t>
      </w:r>
      <w:r>
        <w:t>those with baseline serum ALT or AST greater than 1.5 times ULN, alkaline phosphatase greater than</w:t>
      </w:r>
      <w:r>
        <w:rPr>
          <w:spacing w:val="-8"/>
        </w:rPr>
        <w:t xml:space="preserve"> </w:t>
      </w:r>
      <w:r>
        <w:t>2</w:t>
      </w:r>
      <w:r>
        <w:rPr>
          <w:spacing w:val="-8"/>
        </w:rPr>
        <w:t xml:space="preserve"> </w:t>
      </w:r>
      <w:r>
        <w:t>times</w:t>
      </w:r>
      <w:r>
        <w:rPr>
          <w:spacing w:val="-8"/>
        </w:rPr>
        <w:t xml:space="preserve"> </w:t>
      </w:r>
      <w:r>
        <w:t>ULN</w:t>
      </w:r>
      <w:r>
        <w:rPr>
          <w:spacing w:val="-9"/>
        </w:rPr>
        <w:t xml:space="preserve"> </w:t>
      </w:r>
      <w:r>
        <w:t>(unless</w:t>
      </w:r>
      <w:r>
        <w:rPr>
          <w:spacing w:val="-11"/>
        </w:rPr>
        <w:t xml:space="preserve"> </w:t>
      </w:r>
      <w:r>
        <w:t>explained</w:t>
      </w:r>
      <w:r>
        <w:rPr>
          <w:spacing w:val="-8"/>
        </w:rPr>
        <w:t xml:space="preserve"> </w:t>
      </w:r>
      <w:r>
        <w:t>by</w:t>
      </w:r>
      <w:r>
        <w:rPr>
          <w:spacing w:val="-8"/>
        </w:rPr>
        <w:t xml:space="preserve"> </w:t>
      </w:r>
      <w:r>
        <w:t>a</w:t>
      </w:r>
      <w:r>
        <w:rPr>
          <w:spacing w:val="-9"/>
        </w:rPr>
        <w:t xml:space="preserve"> </w:t>
      </w:r>
      <w:r>
        <w:t>stable</w:t>
      </w:r>
      <w:r>
        <w:rPr>
          <w:spacing w:val="-9"/>
        </w:rPr>
        <w:t xml:space="preserve"> </w:t>
      </w:r>
      <w:r>
        <w:t>chronic</w:t>
      </w:r>
      <w:r>
        <w:rPr>
          <w:spacing w:val="-9"/>
        </w:rPr>
        <w:t xml:space="preserve"> </w:t>
      </w:r>
      <w:r>
        <w:t>liver</w:t>
      </w:r>
      <w:r>
        <w:rPr>
          <w:spacing w:val="-9"/>
        </w:rPr>
        <w:t xml:space="preserve"> </w:t>
      </w:r>
      <w:r>
        <w:t>disorder)</w:t>
      </w:r>
      <w:r>
        <w:rPr>
          <w:spacing w:val="-9"/>
        </w:rPr>
        <w:t xml:space="preserve"> </w:t>
      </w:r>
      <w:r>
        <w:t>or</w:t>
      </w:r>
      <w:r>
        <w:rPr>
          <w:spacing w:val="-9"/>
        </w:rPr>
        <w:t xml:space="preserve"> </w:t>
      </w:r>
      <w:r>
        <w:t>total</w:t>
      </w:r>
      <w:r>
        <w:rPr>
          <w:spacing w:val="-8"/>
        </w:rPr>
        <w:t xml:space="preserve"> </w:t>
      </w:r>
      <w:r>
        <w:t>bilirubin</w:t>
      </w:r>
      <w:r>
        <w:rPr>
          <w:spacing w:val="-8"/>
        </w:rPr>
        <w:t xml:space="preserve"> </w:t>
      </w:r>
      <w:r>
        <w:t>greater than 1.5 times ULN (unless due to Gilbert syndrome or non-liver-related disorder).</w:t>
      </w:r>
    </w:p>
    <w:p w14:paraId="53B38DB5" w14:textId="453A9CB7" w:rsidR="008B6261" w:rsidRPr="00B04EA6" w:rsidRDefault="004C6B8B" w:rsidP="00B04EA6">
      <w:pPr>
        <w:pStyle w:val="BodyText"/>
        <w:spacing w:before="240"/>
        <w:ind w:left="22" w:right="585"/>
        <w:jc w:val="both"/>
        <w:rPr>
          <w:spacing w:val="-5"/>
        </w:rPr>
      </w:pPr>
      <w:r>
        <w:t>To mitigate the risk of significant or irreversible liver injury, perform blood testing for ALT, AST, alkaline phosphatase, and bilirubin prior to initiation then weekly in the first 12 weeks and monthly in months 4 to 12 after initiation of treatment. From month 12 onwards, perform monitoring every 6 months. Weekly monitoring should be restarted following treatment interruption due to elevated transaminases or due to a gap in treatment of 1 year or longer. Monitor</w:t>
      </w:r>
      <w:r>
        <w:rPr>
          <w:spacing w:val="-13"/>
        </w:rPr>
        <w:t xml:space="preserve"> </w:t>
      </w:r>
      <w:r>
        <w:t>serum</w:t>
      </w:r>
      <w:r>
        <w:rPr>
          <w:spacing w:val="-12"/>
        </w:rPr>
        <w:t xml:space="preserve"> </w:t>
      </w:r>
      <w:r>
        <w:t>transaminases</w:t>
      </w:r>
      <w:r>
        <w:rPr>
          <w:spacing w:val="-12"/>
        </w:rPr>
        <w:t xml:space="preserve"> </w:t>
      </w:r>
      <w:r>
        <w:t>and</w:t>
      </w:r>
      <w:r>
        <w:rPr>
          <w:spacing w:val="-12"/>
        </w:rPr>
        <w:t xml:space="preserve"> </w:t>
      </w:r>
      <w:r>
        <w:t>bilirubin</w:t>
      </w:r>
      <w:r>
        <w:rPr>
          <w:spacing w:val="-12"/>
        </w:rPr>
        <w:t xml:space="preserve"> </w:t>
      </w:r>
      <w:r>
        <w:t>on</w:t>
      </w:r>
      <w:r>
        <w:rPr>
          <w:spacing w:val="-12"/>
        </w:rPr>
        <w:t xml:space="preserve"> </w:t>
      </w:r>
      <w:r>
        <w:t>CENRIFKI</w:t>
      </w:r>
      <w:r>
        <w:rPr>
          <w:spacing w:val="-15"/>
        </w:rPr>
        <w:t xml:space="preserve"> </w:t>
      </w:r>
      <w:r>
        <w:t>therapy,</w:t>
      </w:r>
      <w:r>
        <w:rPr>
          <w:spacing w:val="-12"/>
        </w:rPr>
        <w:t xml:space="preserve"> </w:t>
      </w:r>
      <w:r>
        <w:t>particularly</w:t>
      </w:r>
      <w:r>
        <w:rPr>
          <w:spacing w:val="-12"/>
        </w:rPr>
        <w:t xml:space="preserve"> </w:t>
      </w:r>
      <w:r>
        <w:t>in</w:t>
      </w:r>
      <w:r>
        <w:rPr>
          <w:spacing w:val="-12"/>
        </w:rPr>
        <w:t xml:space="preserve"> </w:t>
      </w:r>
      <w:r>
        <w:t>patients</w:t>
      </w:r>
      <w:r>
        <w:rPr>
          <w:spacing w:val="-12"/>
        </w:rPr>
        <w:t xml:space="preserve"> </w:t>
      </w:r>
      <w:r>
        <w:t>who develop symptoms suggestive of hepatic dysfunction such as fatigue, nausea, vomiting, right upper quadrant abdominal pain or tenderness, fever, rash, anorexia, or jaundice and/or eosinophilia. Consider</w:t>
      </w:r>
      <w:r>
        <w:rPr>
          <w:spacing w:val="-1"/>
        </w:rPr>
        <w:t xml:space="preserve"> </w:t>
      </w:r>
      <w:r>
        <w:t>additional monitoring when CENRIFKI</w:t>
      </w:r>
      <w:r>
        <w:rPr>
          <w:spacing w:val="-1"/>
        </w:rPr>
        <w:t xml:space="preserve"> </w:t>
      </w:r>
      <w:r>
        <w:t>is given with other</w:t>
      </w:r>
      <w:r>
        <w:rPr>
          <w:spacing w:val="-1"/>
        </w:rPr>
        <w:t xml:space="preserve"> </w:t>
      </w:r>
      <w:r>
        <w:t>potentially hepatotoxic</w:t>
      </w:r>
      <w:r>
        <w:rPr>
          <w:spacing w:val="-9"/>
        </w:rPr>
        <w:t xml:space="preserve"> </w:t>
      </w:r>
      <w:r>
        <w:t>drugs.</w:t>
      </w:r>
      <w:r>
        <w:rPr>
          <w:spacing w:val="-8"/>
        </w:rPr>
        <w:t xml:space="preserve"> </w:t>
      </w:r>
      <w:r>
        <w:t>At</w:t>
      </w:r>
      <w:r>
        <w:rPr>
          <w:spacing w:val="-8"/>
        </w:rPr>
        <w:t xml:space="preserve"> </w:t>
      </w:r>
      <w:r>
        <w:t>each</w:t>
      </w:r>
      <w:r>
        <w:rPr>
          <w:spacing w:val="-8"/>
        </w:rPr>
        <w:t xml:space="preserve"> </w:t>
      </w:r>
      <w:r>
        <w:t>scheduled</w:t>
      </w:r>
      <w:r>
        <w:rPr>
          <w:spacing w:val="-8"/>
        </w:rPr>
        <w:t xml:space="preserve"> </w:t>
      </w:r>
      <w:r>
        <w:t>visit,</w:t>
      </w:r>
      <w:r>
        <w:rPr>
          <w:spacing w:val="-8"/>
        </w:rPr>
        <w:t xml:space="preserve"> </w:t>
      </w:r>
      <w:r>
        <w:t>prescribers</w:t>
      </w:r>
      <w:r>
        <w:rPr>
          <w:spacing w:val="-8"/>
        </w:rPr>
        <w:t xml:space="preserve"> </w:t>
      </w:r>
      <w:r>
        <w:t>should</w:t>
      </w:r>
      <w:r>
        <w:rPr>
          <w:spacing w:val="-8"/>
        </w:rPr>
        <w:t xml:space="preserve"> </w:t>
      </w:r>
      <w:r>
        <w:t>reassess</w:t>
      </w:r>
      <w:r>
        <w:rPr>
          <w:spacing w:val="-8"/>
        </w:rPr>
        <w:t xml:space="preserve"> </w:t>
      </w:r>
      <w:r>
        <w:t>the</w:t>
      </w:r>
      <w:r>
        <w:rPr>
          <w:spacing w:val="-9"/>
        </w:rPr>
        <w:t xml:space="preserve"> </w:t>
      </w:r>
      <w:r>
        <w:t>benefit-risk</w:t>
      </w:r>
      <w:r>
        <w:rPr>
          <w:spacing w:val="-8"/>
        </w:rPr>
        <w:t xml:space="preserve"> </w:t>
      </w:r>
      <w:r>
        <w:t xml:space="preserve">balance </w:t>
      </w:r>
      <w:r>
        <w:lastRenderedPageBreak/>
        <w:t>of</w:t>
      </w:r>
      <w:r>
        <w:rPr>
          <w:spacing w:val="61"/>
          <w:w w:val="150"/>
        </w:rPr>
        <w:t xml:space="preserve"> </w:t>
      </w:r>
      <w:r>
        <w:t>continuing</w:t>
      </w:r>
      <w:r>
        <w:rPr>
          <w:spacing w:val="64"/>
          <w:w w:val="150"/>
        </w:rPr>
        <w:t xml:space="preserve"> </w:t>
      </w:r>
      <w:r>
        <w:t>CENRIFKI</w:t>
      </w:r>
      <w:r>
        <w:rPr>
          <w:spacing w:val="61"/>
          <w:w w:val="150"/>
        </w:rPr>
        <w:t xml:space="preserve"> </w:t>
      </w:r>
      <w:r>
        <w:t>treatment,</w:t>
      </w:r>
      <w:r>
        <w:rPr>
          <w:spacing w:val="64"/>
          <w:w w:val="150"/>
        </w:rPr>
        <w:t xml:space="preserve"> </w:t>
      </w:r>
      <w:r>
        <w:t>considering</w:t>
      </w:r>
      <w:r>
        <w:rPr>
          <w:spacing w:val="65"/>
          <w:w w:val="150"/>
        </w:rPr>
        <w:t xml:space="preserve"> </w:t>
      </w:r>
      <w:r>
        <w:t>hepatic</w:t>
      </w:r>
      <w:r>
        <w:rPr>
          <w:spacing w:val="63"/>
          <w:w w:val="150"/>
        </w:rPr>
        <w:t xml:space="preserve"> </w:t>
      </w:r>
      <w:r>
        <w:t>function,</w:t>
      </w:r>
      <w:r>
        <w:rPr>
          <w:spacing w:val="65"/>
          <w:w w:val="150"/>
        </w:rPr>
        <w:t xml:space="preserve"> </w:t>
      </w:r>
      <w:r>
        <w:t>disease</w:t>
      </w:r>
      <w:r>
        <w:rPr>
          <w:spacing w:val="63"/>
          <w:w w:val="150"/>
        </w:rPr>
        <w:t xml:space="preserve"> </w:t>
      </w:r>
      <w:r>
        <w:t>status,</w:t>
      </w:r>
      <w:r>
        <w:rPr>
          <w:spacing w:val="67"/>
          <w:w w:val="150"/>
        </w:rPr>
        <w:t xml:space="preserve"> </w:t>
      </w:r>
      <w:r>
        <w:rPr>
          <w:spacing w:val="-5"/>
        </w:rPr>
        <w:t>and</w:t>
      </w:r>
      <w:r w:rsidR="00B04EA6">
        <w:rPr>
          <w:spacing w:val="-5"/>
        </w:rPr>
        <w:t xml:space="preserve"> </w:t>
      </w:r>
      <w:r>
        <w:t>concomitant medications. If liver injury is suspected to be CENRIFKI-induced, discontinue CENRIFKI.</w:t>
      </w:r>
      <w:r>
        <w:rPr>
          <w:spacing w:val="-4"/>
        </w:rPr>
        <w:t xml:space="preserve"> </w:t>
      </w:r>
      <w:r>
        <w:t>If</w:t>
      </w:r>
      <w:r>
        <w:rPr>
          <w:spacing w:val="-8"/>
        </w:rPr>
        <w:t xml:space="preserve"> </w:t>
      </w:r>
      <w:r>
        <w:t>CENRIFKI-induced</w:t>
      </w:r>
      <w:r>
        <w:rPr>
          <w:spacing w:val="-7"/>
        </w:rPr>
        <w:t xml:space="preserve"> </w:t>
      </w:r>
      <w:r>
        <w:t>liver</w:t>
      </w:r>
      <w:r>
        <w:rPr>
          <w:spacing w:val="-8"/>
        </w:rPr>
        <w:t xml:space="preserve"> </w:t>
      </w:r>
      <w:r>
        <w:t>injury</w:t>
      </w:r>
      <w:r>
        <w:rPr>
          <w:spacing w:val="-7"/>
        </w:rPr>
        <w:t xml:space="preserve"> </w:t>
      </w:r>
      <w:r>
        <w:t>is</w:t>
      </w:r>
      <w:r>
        <w:rPr>
          <w:spacing w:val="-7"/>
        </w:rPr>
        <w:t xml:space="preserve"> </w:t>
      </w:r>
      <w:r>
        <w:t>unlikely</w:t>
      </w:r>
      <w:r>
        <w:rPr>
          <w:spacing w:val="-7"/>
        </w:rPr>
        <w:t xml:space="preserve"> </w:t>
      </w:r>
      <w:r>
        <w:t>because</w:t>
      </w:r>
      <w:r>
        <w:rPr>
          <w:spacing w:val="-8"/>
        </w:rPr>
        <w:t xml:space="preserve"> </w:t>
      </w:r>
      <w:r>
        <w:t>another</w:t>
      </w:r>
      <w:r>
        <w:rPr>
          <w:spacing w:val="-5"/>
        </w:rPr>
        <w:t xml:space="preserve"> </w:t>
      </w:r>
      <w:r>
        <w:t>probable</w:t>
      </w:r>
      <w:r>
        <w:rPr>
          <w:spacing w:val="-8"/>
        </w:rPr>
        <w:t xml:space="preserve"> </w:t>
      </w:r>
      <w:r>
        <w:t>cause</w:t>
      </w:r>
      <w:r>
        <w:rPr>
          <w:spacing w:val="-8"/>
        </w:rPr>
        <w:t xml:space="preserve"> </w:t>
      </w:r>
      <w:r>
        <w:t>has been</w:t>
      </w:r>
      <w:r>
        <w:rPr>
          <w:spacing w:val="-15"/>
        </w:rPr>
        <w:t xml:space="preserve"> </w:t>
      </w:r>
      <w:r>
        <w:t>found,</w:t>
      </w:r>
      <w:r>
        <w:rPr>
          <w:spacing w:val="-15"/>
        </w:rPr>
        <w:t xml:space="preserve"> </w:t>
      </w:r>
      <w:r>
        <w:t>resumption</w:t>
      </w:r>
      <w:r>
        <w:rPr>
          <w:spacing w:val="-15"/>
        </w:rPr>
        <w:t xml:space="preserve"> </w:t>
      </w:r>
      <w:r>
        <w:t>of</w:t>
      </w:r>
      <w:r>
        <w:rPr>
          <w:spacing w:val="-15"/>
        </w:rPr>
        <w:t xml:space="preserve"> </w:t>
      </w:r>
      <w:r>
        <w:t>CENRIFKI</w:t>
      </w:r>
      <w:r>
        <w:rPr>
          <w:spacing w:val="-15"/>
        </w:rPr>
        <w:t xml:space="preserve"> </w:t>
      </w:r>
      <w:r>
        <w:t>therapy</w:t>
      </w:r>
      <w:r>
        <w:rPr>
          <w:spacing w:val="-15"/>
        </w:rPr>
        <w:t xml:space="preserve"> </w:t>
      </w:r>
      <w:r>
        <w:t>may</w:t>
      </w:r>
      <w:r>
        <w:rPr>
          <w:spacing w:val="-15"/>
        </w:rPr>
        <w:t xml:space="preserve"> </w:t>
      </w:r>
      <w:r>
        <w:t>be</w:t>
      </w:r>
      <w:r>
        <w:rPr>
          <w:spacing w:val="-15"/>
        </w:rPr>
        <w:t xml:space="preserve"> </w:t>
      </w:r>
      <w:r>
        <w:t>considered</w:t>
      </w:r>
      <w:r>
        <w:rPr>
          <w:spacing w:val="-15"/>
        </w:rPr>
        <w:t xml:space="preserve"> </w:t>
      </w:r>
      <w:r>
        <w:t>when</w:t>
      </w:r>
      <w:r>
        <w:rPr>
          <w:spacing w:val="-15"/>
        </w:rPr>
        <w:t xml:space="preserve"> </w:t>
      </w:r>
      <w:r>
        <w:t>ALT</w:t>
      </w:r>
      <w:r>
        <w:rPr>
          <w:spacing w:val="-15"/>
        </w:rPr>
        <w:t xml:space="preserve"> </w:t>
      </w:r>
      <w:r>
        <w:t>or</w:t>
      </w:r>
      <w:r>
        <w:rPr>
          <w:spacing w:val="-15"/>
        </w:rPr>
        <w:t xml:space="preserve"> </w:t>
      </w:r>
      <w:r>
        <w:t>AST</w:t>
      </w:r>
      <w:r>
        <w:rPr>
          <w:spacing w:val="-15"/>
        </w:rPr>
        <w:t xml:space="preserve"> </w:t>
      </w:r>
      <w:r>
        <w:t xml:space="preserve">decreases to less than 1.5 x ULN. Withhold or permanently discontinue CENRIFKI if no alternative causes of liver injury are identified (see Section </w:t>
      </w:r>
      <w:hyperlink w:anchor="_bookmark0" w:history="1">
        <w:r>
          <w:t>4.2</w:t>
        </w:r>
      </w:hyperlink>
      <w:r>
        <w:t xml:space="preserve"> Dose and Method of Administration).</w:t>
      </w:r>
    </w:p>
    <w:p w14:paraId="53B38DB6" w14:textId="77777777" w:rsidR="008B6261" w:rsidRDefault="004C6B8B">
      <w:pPr>
        <w:pStyle w:val="BodyText"/>
        <w:spacing w:before="241"/>
        <w:ind w:left="22" w:right="585"/>
        <w:jc w:val="both"/>
      </w:pPr>
      <w:r>
        <w:t>All healthcare professionals must be familiar with the CENRIFKI educational materials prepared for the management of the liver injury risk, including the monitoring of the liver function.</w:t>
      </w:r>
      <w:r>
        <w:rPr>
          <w:spacing w:val="-11"/>
        </w:rPr>
        <w:t xml:space="preserve"> </w:t>
      </w:r>
      <w:r>
        <w:t>Prescribers</w:t>
      </w:r>
      <w:r>
        <w:rPr>
          <w:spacing w:val="-10"/>
        </w:rPr>
        <w:t xml:space="preserve"> </w:t>
      </w:r>
      <w:r>
        <w:t>must</w:t>
      </w:r>
      <w:r>
        <w:rPr>
          <w:spacing w:val="-10"/>
        </w:rPr>
        <w:t xml:space="preserve"> </w:t>
      </w:r>
      <w:r>
        <w:t>ensure</w:t>
      </w:r>
      <w:r>
        <w:rPr>
          <w:spacing w:val="-12"/>
        </w:rPr>
        <w:t xml:space="preserve"> </w:t>
      </w:r>
      <w:r>
        <w:t>the</w:t>
      </w:r>
      <w:r>
        <w:rPr>
          <w:spacing w:val="-12"/>
        </w:rPr>
        <w:t xml:space="preserve"> </w:t>
      </w:r>
      <w:r>
        <w:t>patient</w:t>
      </w:r>
      <w:r>
        <w:rPr>
          <w:spacing w:val="-10"/>
        </w:rPr>
        <w:t xml:space="preserve"> </w:t>
      </w:r>
      <w:r>
        <w:t>/</w:t>
      </w:r>
      <w:r>
        <w:rPr>
          <w:spacing w:val="-10"/>
        </w:rPr>
        <w:t xml:space="preserve"> </w:t>
      </w:r>
      <w:r>
        <w:t>caregiver</w:t>
      </w:r>
      <w:r>
        <w:rPr>
          <w:spacing w:val="-11"/>
        </w:rPr>
        <w:t xml:space="preserve"> </w:t>
      </w:r>
      <w:r>
        <w:t>is</w:t>
      </w:r>
      <w:r>
        <w:rPr>
          <w:spacing w:val="-10"/>
        </w:rPr>
        <w:t xml:space="preserve"> </w:t>
      </w:r>
      <w:r>
        <w:t>aware</w:t>
      </w:r>
      <w:r>
        <w:rPr>
          <w:spacing w:val="-12"/>
        </w:rPr>
        <w:t xml:space="preserve"> </w:t>
      </w:r>
      <w:r>
        <w:t>of</w:t>
      </w:r>
      <w:r>
        <w:rPr>
          <w:spacing w:val="-11"/>
        </w:rPr>
        <w:t xml:space="preserve"> </w:t>
      </w:r>
      <w:r>
        <w:t>or</w:t>
      </w:r>
      <w:r>
        <w:rPr>
          <w:spacing w:val="-11"/>
        </w:rPr>
        <w:t xml:space="preserve"> </w:t>
      </w:r>
      <w:r>
        <w:t>have</w:t>
      </w:r>
      <w:r>
        <w:rPr>
          <w:spacing w:val="-9"/>
        </w:rPr>
        <w:t xml:space="preserve"> </w:t>
      </w:r>
      <w:r>
        <w:t>been</w:t>
      </w:r>
      <w:r>
        <w:rPr>
          <w:spacing w:val="-11"/>
        </w:rPr>
        <w:t xml:space="preserve"> </w:t>
      </w:r>
      <w:r>
        <w:t>provided</w:t>
      </w:r>
      <w:r>
        <w:rPr>
          <w:spacing w:val="-11"/>
        </w:rPr>
        <w:t xml:space="preserve"> </w:t>
      </w:r>
      <w:r>
        <w:t>with the</w:t>
      </w:r>
      <w:r>
        <w:rPr>
          <w:spacing w:val="-11"/>
        </w:rPr>
        <w:t xml:space="preserve"> </w:t>
      </w:r>
      <w:r>
        <w:t>patient</w:t>
      </w:r>
      <w:r>
        <w:rPr>
          <w:spacing w:val="-9"/>
        </w:rPr>
        <w:t xml:space="preserve"> </w:t>
      </w:r>
      <w:r>
        <w:t>guide</w:t>
      </w:r>
      <w:r>
        <w:rPr>
          <w:spacing w:val="-11"/>
        </w:rPr>
        <w:t xml:space="preserve"> </w:t>
      </w:r>
      <w:r>
        <w:t>and</w:t>
      </w:r>
      <w:r>
        <w:rPr>
          <w:spacing w:val="-10"/>
        </w:rPr>
        <w:t xml:space="preserve"> </w:t>
      </w:r>
      <w:r>
        <w:t>patient</w:t>
      </w:r>
      <w:r>
        <w:rPr>
          <w:spacing w:val="-9"/>
        </w:rPr>
        <w:t xml:space="preserve"> </w:t>
      </w:r>
      <w:r>
        <w:t>card</w:t>
      </w:r>
      <w:r>
        <w:rPr>
          <w:spacing w:val="-7"/>
        </w:rPr>
        <w:t xml:space="preserve"> </w:t>
      </w:r>
      <w:r>
        <w:t>and</w:t>
      </w:r>
      <w:r>
        <w:rPr>
          <w:spacing w:val="-10"/>
        </w:rPr>
        <w:t xml:space="preserve"> </w:t>
      </w:r>
      <w:r>
        <w:t>have</w:t>
      </w:r>
      <w:r>
        <w:rPr>
          <w:spacing w:val="-9"/>
        </w:rPr>
        <w:t xml:space="preserve"> </w:t>
      </w:r>
      <w:r>
        <w:t>educated</w:t>
      </w:r>
      <w:r>
        <w:rPr>
          <w:spacing w:val="-10"/>
        </w:rPr>
        <w:t xml:space="preserve"> </w:t>
      </w:r>
      <w:r>
        <w:t>them</w:t>
      </w:r>
      <w:r>
        <w:rPr>
          <w:spacing w:val="-9"/>
        </w:rPr>
        <w:t xml:space="preserve"> </w:t>
      </w:r>
      <w:r>
        <w:t>on</w:t>
      </w:r>
      <w:r>
        <w:rPr>
          <w:spacing w:val="-10"/>
        </w:rPr>
        <w:t xml:space="preserve"> </w:t>
      </w:r>
      <w:r>
        <w:t>the</w:t>
      </w:r>
      <w:r>
        <w:rPr>
          <w:spacing w:val="-11"/>
        </w:rPr>
        <w:t xml:space="preserve"> </w:t>
      </w:r>
      <w:r>
        <w:t>importance</w:t>
      </w:r>
      <w:r>
        <w:rPr>
          <w:spacing w:val="-8"/>
        </w:rPr>
        <w:t xml:space="preserve"> </w:t>
      </w:r>
      <w:r>
        <w:t>of</w:t>
      </w:r>
      <w:r>
        <w:rPr>
          <w:spacing w:val="-10"/>
        </w:rPr>
        <w:t xml:space="preserve"> </w:t>
      </w:r>
      <w:r>
        <w:t>adherence</w:t>
      </w:r>
      <w:r>
        <w:rPr>
          <w:spacing w:val="-8"/>
        </w:rPr>
        <w:t xml:space="preserve"> </w:t>
      </w:r>
      <w:r>
        <w:t xml:space="preserve">with scheduled laboratory monitoring, early signs and symptoms of liver injury, and what to do should they experience signs of liver injury. Prior to initiating treatment with CENRIFKI, prescribers must complete the Risk Awareness Dialogue Form with the patient/caregiver to confirm that the key safety information regarding liver injury risk has been discussed and </w:t>
      </w:r>
      <w:bookmarkStart w:id="20" w:name="Infections"/>
      <w:bookmarkEnd w:id="20"/>
      <w:r>
        <w:rPr>
          <w:spacing w:val="-2"/>
        </w:rPr>
        <w:t>understood.</w:t>
      </w:r>
    </w:p>
    <w:p w14:paraId="53B38DB7" w14:textId="77777777" w:rsidR="008B6261" w:rsidRDefault="008B6261">
      <w:pPr>
        <w:pStyle w:val="BodyText"/>
        <w:spacing w:before="85"/>
      </w:pPr>
    </w:p>
    <w:p w14:paraId="53B38DB8" w14:textId="77777777" w:rsidR="008B6261" w:rsidRDefault="004C6B8B">
      <w:pPr>
        <w:ind w:left="23"/>
        <w:rPr>
          <w:rFonts w:ascii="Arial"/>
          <w:b/>
        </w:rPr>
      </w:pPr>
      <w:r>
        <w:rPr>
          <w:rFonts w:ascii="Arial"/>
          <w:b/>
          <w:spacing w:val="-2"/>
        </w:rPr>
        <w:t>Infections</w:t>
      </w:r>
    </w:p>
    <w:p w14:paraId="53B38DB9" w14:textId="77777777" w:rsidR="008B6261" w:rsidRDefault="004C6B8B">
      <w:pPr>
        <w:pStyle w:val="BodyText"/>
        <w:ind w:left="23" w:right="586"/>
        <w:jc w:val="both"/>
      </w:pPr>
      <w:r>
        <w:t>Serious, including fatal, infections have been reported in patients receiving CENRIFKI in phase</w:t>
      </w:r>
      <w:r>
        <w:rPr>
          <w:spacing w:val="-9"/>
        </w:rPr>
        <w:t xml:space="preserve"> </w:t>
      </w:r>
      <w:r>
        <w:t>3</w:t>
      </w:r>
      <w:r>
        <w:rPr>
          <w:spacing w:val="-8"/>
        </w:rPr>
        <w:t xml:space="preserve"> </w:t>
      </w:r>
      <w:r>
        <w:t>clinical</w:t>
      </w:r>
      <w:r>
        <w:rPr>
          <w:spacing w:val="-8"/>
        </w:rPr>
        <w:t xml:space="preserve"> </w:t>
      </w:r>
      <w:r>
        <w:t>trials.</w:t>
      </w:r>
      <w:r>
        <w:rPr>
          <w:spacing w:val="-8"/>
        </w:rPr>
        <w:t xml:space="preserve"> </w:t>
      </w:r>
      <w:r>
        <w:t>The</w:t>
      </w:r>
      <w:r>
        <w:rPr>
          <w:spacing w:val="-9"/>
        </w:rPr>
        <w:t xml:space="preserve"> </w:t>
      </w:r>
      <w:r>
        <w:t>most</w:t>
      </w:r>
      <w:r>
        <w:rPr>
          <w:spacing w:val="-8"/>
        </w:rPr>
        <w:t xml:space="preserve"> </w:t>
      </w:r>
      <w:r>
        <w:t>common</w:t>
      </w:r>
      <w:r>
        <w:rPr>
          <w:spacing w:val="-8"/>
        </w:rPr>
        <w:t xml:space="preserve"> </w:t>
      </w:r>
      <w:r>
        <w:t>infection</w:t>
      </w:r>
      <w:r>
        <w:rPr>
          <w:spacing w:val="-8"/>
        </w:rPr>
        <w:t xml:space="preserve"> </w:t>
      </w:r>
      <w:r>
        <w:t>adverse</w:t>
      </w:r>
      <w:r>
        <w:rPr>
          <w:spacing w:val="-9"/>
        </w:rPr>
        <w:t xml:space="preserve"> </w:t>
      </w:r>
      <w:r>
        <w:t>reactions</w:t>
      </w:r>
      <w:r>
        <w:rPr>
          <w:spacing w:val="-8"/>
        </w:rPr>
        <w:t xml:space="preserve"> </w:t>
      </w:r>
      <w:r>
        <w:t>were</w:t>
      </w:r>
      <w:r>
        <w:rPr>
          <w:spacing w:val="-9"/>
        </w:rPr>
        <w:t xml:space="preserve"> </w:t>
      </w:r>
      <w:r>
        <w:t>COVID-19</w:t>
      </w:r>
      <w:r>
        <w:rPr>
          <w:spacing w:val="-8"/>
        </w:rPr>
        <w:t xml:space="preserve"> </w:t>
      </w:r>
      <w:r>
        <w:t>(24.7%) and nasopharyngitis (11.2%) in the CENRIFKI</w:t>
      </w:r>
      <w:r>
        <w:rPr>
          <w:spacing w:val="-2"/>
        </w:rPr>
        <w:t xml:space="preserve"> </w:t>
      </w:r>
      <w:r>
        <w:t>60</w:t>
      </w:r>
      <w:r>
        <w:rPr>
          <w:spacing w:val="-3"/>
        </w:rPr>
        <w:t xml:space="preserve"> </w:t>
      </w:r>
      <w:r>
        <w:t>mg group. The majority of infections were Grade</w:t>
      </w:r>
      <w:r>
        <w:rPr>
          <w:spacing w:val="-2"/>
        </w:rPr>
        <w:t xml:space="preserve"> </w:t>
      </w:r>
      <w:r>
        <w:t>1</w:t>
      </w:r>
      <w:r>
        <w:rPr>
          <w:spacing w:val="-1"/>
        </w:rPr>
        <w:t xml:space="preserve"> </w:t>
      </w:r>
      <w:r>
        <w:t>or</w:t>
      </w:r>
      <w:r>
        <w:rPr>
          <w:spacing w:val="-2"/>
        </w:rPr>
        <w:t xml:space="preserve"> </w:t>
      </w:r>
      <w:r>
        <w:t>2.</w:t>
      </w:r>
      <w:r>
        <w:rPr>
          <w:spacing w:val="-1"/>
        </w:rPr>
        <w:t xml:space="preserve"> </w:t>
      </w:r>
      <w:r>
        <w:rPr>
          <w:color w:val="232323"/>
        </w:rPr>
        <w:t>A</w:t>
      </w:r>
      <w:r>
        <w:rPr>
          <w:color w:val="232323"/>
          <w:spacing w:val="-2"/>
        </w:rPr>
        <w:t xml:space="preserve"> </w:t>
      </w:r>
      <w:r>
        <w:rPr>
          <w:color w:val="232323"/>
        </w:rPr>
        <w:t>higher</w:t>
      </w:r>
      <w:r>
        <w:rPr>
          <w:color w:val="232323"/>
          <w:spacing w:val="-2"/>
        </w:rPr>
        <w:t xml:space="preserve"> </w:t>
      </w:r>
      <w:r>
        <w:rPr>
          <w:color w:val="232323"/>
        </w:rPr>
        <w:t>proportion</w:t>
      </w:r>
      <w:r>
        <w:rPr>
          <w:color w:val="232323"/>
          <w:spacing w:val="-1"/>
        </w:rPr>
        <w:t xml:space="preserve"> </w:t>
      </w:r>
      <w:r>
        <w:rPr>
          <w:color w:val="232323"/>
        </w:rPr>
        <w:t>of</w:t>
      </w:r>
      <w:r>
        <w:rPr>
          <w:color w:val="232323"/>
          <w:spacing w:val="-4"/>
        </w:rPr>
        <w:t xml:space="preserve"> </w:t>
      </w:r>
      <w:r>
        <w:t>CENRIFKI</w:t>
      </w:r>
      <w:r>
        <w:rPr>
          <w:i/>
        </w:rPr>
        <w:t>-</w:t>
      </w:r>
      <w:r>
        <w:rPr>
          <w:color w:val="232323"/>
        </w:rPr>
        <w:t>treated</w:t>
      </w:r>
      <w:r>
        <w:rPr>
          <w:color w:val="232323"/>
          <w:spacing w:val="-1"/>
        </w:rPr>
        <w:t xml:space="preserve"> </w:t>
      </w:r>
      <w:r>
        <w:rPr>
          <w:color w:val="232323"/>
        </w:rPr>
        <w:t>patients</w:t>
      </w:r>
      <w:r>
        <w:rPr>
          <w:color w:val="232323"/>
          <w:spacing w:val="-1"/>
        </w:rPr>
        <w:t xml:space="preserve"> </w:t>
      </w:r>
      <w:r>
        <w:rPr>
          <w:color w:val="232323"/>
        </w:rPr>
        <w:t>experienced</w:t>
      </w:r>
      <w:r>
        <w:rPr>
          <w:color w:val="232323"/>
          <w:spacing w:val="-1"/>
        </w:rPr>
        <w:t xml:space="preserve"> </w:t>
      </w:r>
      <w:r>
        <w:rPr>
          <w:color w:val="232323"/>
        </w:rPr>
        <w:t>severe</w:t>
      </w:r>
      <w:r>
        <w:rPr>
          <w:color w:val="232323"/>
          <w:spacing w:val="-2"/>
        </w:rPr>
        <w:t xml:space="preserve"> </w:t>
      </w:r>
      <w:r>
        <w:rPr>
          <w:color w:val="232323"/>
        </w:rPr>
        <w:t>(Grade</w:t>
      </w:r>
      <w:r>
        <w:rPr>
          <w:color w:val="232323"/>
          <w:spacing w:val="-2"/>
        </w:rPr>
        <w:t xml:space="preserve"> </w:t>
      </w:r>
      <w:r>
        <w:rPr>
          <w:color w:val="232323"/>
        </w:rPr>
        <w:t>3 or</w:t>
      </w:r>
      <w:r>
        <w:rPr>
          <w:color w:val="232323"/>
          <w:spacing w:val="-10"/>
        </w:rPr>
        <w:t xml:space="preserve"> </w:t>
      </w:r>
      <w:r>
        <w:rPr>
          <w:color w:val="232323"/>
        </w:rPr>
        <w:t>higher)</w:t>
      </w:r>
      <w:r>
        <w:rPr>
          <w:color w:val="232323"/>
          <w:spacing w:val="-10"/>
        </w:rPr>
        <w:t xml:space="preserve"> </w:t>
      </w:r>
      <w:r>
        <w:rPr>
          <w:color w:val="232323"/>
        </w:rPr>
        <w:t>infections</w:t>
      </w:r>
      <w:r>
        <w:rPr>
          <w:color w:val="232323"/>
          <w:spacing w:val="-9"/>
        </w:rPr>
        <w:t xml:space="preserve"> </w:t>
      </w:r>
      <w:r>
        <w:rPr>
          <w:color w:val="232323"/>
        </w:rPr>
        <w:t>(3.6%)</w:t>
      </w:r>
      <w:r>
        <w:rPr>
          <w:color w:val="232323"/>
          <w:spacing w:val="-10"/>
        </w:rPr>
        <w:t xml:space="preserve"> </w:t>
      </w:r>
      <w:r>
        <w:rPr>
          <w:color w:val="232323"/>
        </w:rPr>
        <w:t>compared</w:t>
      </w:r>
      <w:r>
        <w:rPr>
          <w:color w:val="232323"/>
          <w:spacing w:val="-10"/>
        </w:rPr>
        <w:t xml:space="preserve"> </w:t>
      </w:r>
      <w:r>
        <w:rPr>
          <w:color w:val="232323"/>
        </w:rPr>
        <w:t>to</w:t>
      </w:r>
      <w:r>
        <w:rPr>
          <w:color w:val="232323"/>
          <w:spacing w:val="-10"/>
        </w:rPr>
        <w:t xml:space="preserve"> </w:t>
      </w:r>
      <w:r>
        <w:rPr>
          <w:color w:val="232323"/>
        </w:rPr>
        <w:t>those</w:t>
      </w:r>
      <w:r>
        <w:rPr>
          <w:color w:val="232323"/>
          <w:spacing w:val="-11"/>
        </w:rPr>
        <w:t xml:space="preserve"> </w:t>
      </w:r>
      <w:r>
        <w:rPr>
          <w:color w:val="232323"/>
        </w:rPr>
        <w:t>on</w:t>
      </w:r>
      <w:r>
        <w:rPr>
          <w:color w:val="232323"/>
          <w:spacing w:val="-7"/>
        </w:rPr>
        <w:t xml:space="preserve"> </w:t>
      </w:r>
      <w:r>
        <w:rPr>
          <w:color w:val="232323"/>
        </w:rPr>
        <w:t>teriflunomide</w:t>
      </w:r>
      <w:r>
        <w:rPr>
          <w:color w:val="232323"/>
          <w:spacing w:val="-11"/>
        </w:rPr>
        <w:t xml:space="preserve"> </w:t>
      </w:r>
      <w:r>
        <w:rPr>
          <w:color w:val="232323"/>
        </w:rPr>
        <w:t>(1.9%)</w:t>
      </w:r>
      <w:r>
        <w:rPr>
          <w:color w:val="232323"/>
          <w:spacing w:val="-10"/>
        </w:rPr>
        <w:t xml:space="preserve"> </w:t>
      </w:r>
      <w:r>
        <w:rPr>
          <w:color w:val="232323"/>
        </w:rPr>
        <w:t>or</w:t>
      </w:r>
      <w:r>
        <w:rPr>
          <w:color w:val="232323"/>
          <w:spacing w:val="-10"/>
        </w:rPr>
        <w:t xml:space="preserve"> </w:t>
      </w:r>
      <w:r>
        <w:rPr>
          <w:color w:val="232323"/>
        </w:rPr>
        <w:t>placebo</w:t>
      </w:r>
      <w:r>
        <w:rPr>
          <w:color w:val="232323"/>
          <w:spacing w:val="-10"/>
        </w:rPr>
        <w:t xml:space="preserve"> </w:t>
      </w:r>
      <w:r>
        <w:rPr>
          <w:color w:val="232323"/>
        </w:rPr>
        <w:t>(2.9%)</w:t>
      </w:r>
      <w:r>
        <w:rPr>
          <w:color w:val="232323"/>
          <w:spacing w:val="-11"/>
        </w:rPr>
        <w:t xml:space="preserve"> </w:t>
      </w:r>
      <w:r>
        <w:t>[see section 4.8]. The majority of these patients had symptom resolution without permanent discontinuation</w:t>
      </w:r>
      <w:r>
        <w:rPr>
          <w:spacing w:val="-8"/>
        </w:rPr>
        <w:t xml:space="preserve"> </w:t>
      </w:r>
      <w:r>
        <w:t>of</w:t>
      </w:r>
      <w:r>
        <w:rPr>
          <w:spacing w:val="-9"/>
        </w:rPr>
        <w:t xml:space="preserve"> </w:t>
      </w:r>
      <w:r>
        <w:t>CENRIFKI.</w:t>
      </w:r>
      <w:r>
        <w:rPr>
          <w:spacing w:val="-6"/>
        </w:rPr>
        <w:t xml:space="preserve"> </w:t>
      </w:r>
      <w:r>
        <w:t>However,</w:t>
      </w:r>
      <w:r>
        <w:rPr>
          <w:spacing w:val="-8"/>
        </w:rPr>
        <w:t xml:space="preserve"> </w:t>
      </w:r>
      <w:r>
        <w:t>one</w:t>
      </w:r>
      <w:r>
        <w:rPr>
          <w:spacing w:val="-9"/>
        </w:rPr>
        <w:t xml:space="preserve"> </w:t>
      </w:r>
      <w:r>
        <w:t>fatal</w:t>
      </w:r>
      <w:r>
        <w:rPr>
          <w:spacing w:val="-5"/>
        </w:rPr>
        <w:t xml:space="preserve"> </w:t>
      </w:r>
      <w:r>
        <w:t>case</w:t>
      </w:r>
      <w:r>
        <w:rPr>
          <w:spacing w:val="-7"/>
        </w:rPr>
        <w:t xml:space="preserve"> </w:t>
      </w:r>
      <w:r>
        <w:t>of</w:t>
      </w:r>
      <w:r>
        <w:rPr>
          <w:spacing w:val="-9"/>
        </w:rPr>
        <w:t xml:space="preserve"> </w:t>
      </w:r>
      <w:r>
        <w:t>pneumonia</w:t>
      </w:r>
      <w:r>
        <w:rPr>
          <w:spacing w:val="-9"/>
        </w:rPr>
        <w:t xml:space="preserve"> </w:t>
      </w:r>
      <w:r>
        <w:t>(bacterial)</w:t>
      </w:r>
      <w:r>
        <w:rPr>
          <w:spacing w:val="-9"/>
        </w:rPr>
        <w:t xml:space="preserve"> </w:t>
      </w:r>
      <w:r>
        <w:t>occurred</w:t>
      </w:r>
      <w:r>
        <w:rPr>
          <w:spacing w:val="-8"/>
        </w:rPr>
        <w:t xml:space="preserve"> </w:t>
      </w:r>
      <w:r>
        <w:t>in</w:t>
      </w:r>
      <w:r>
        <w:rPr>
          <w:spacing w:val="-6"/>
        </w:rPr>
        <w:t xml:space="preserve"> </w:t>
      </w:r>
      <w:r>
        <w:t>a patient</w:t>
      </w:r>
      <w:r>
        <w:rPr>
          <w:spacing w:val="-7"/>
        </w:rPr>
        <w:t xml:space="preserve"> </w:t>
      </w:r>
      <w:r>
        <w:t>with</w:t>
      </w:r>
      <w:r>
        <w:rPr>
          <w:spacing w:val="-7"/>
        </w:rPr>
        <w:t xml:space="preserve"> </w:t>
      </w:r>
      <w:r>
        <w:t>Expanded</w:t>
      </w:r>
      <w:r>
        <w:rPr>
          <w:spacing w:val="-5"/>
        </w:rPr>
        <w:t xml:space="preserve"> </w:t>
      </w:r>
      <w:r>
        <w:t>Disability</w:t>
      </w:r>
      <w:r>
        <w:rPr>
          <w:spacing w:val="-7"/>
        </w:rPr>
        <w:t xml:space="preserve"> </w:t>
      </w:r>
      <w:r>
        <w:t>Status</w:t>
      </w:r>
      <w:r>
        <w:rPr>
          <w:spacing w:val="-7"/>
        </w:rPr>
        <w:t xml:space="preserve"> </w:t>
      </w:r>
      <w:r>
        <w:t>Scale</w:t>
      </w:r>
      <w:r>
        <w:rPr>
          <w:spacing w:val="-8"/>
        </w:rPr>
        <w:t xml:space="preserve"> </w:t>
      </w:r>
      <w:r>
        <w:t>(EDSS)</w:t>
      </w:r>
      <w:r>
        <w:rPr>
          <w:spacing w:val="-8"/>
        </w:rPr>
        <w:t xml:space="preserve"> </w:t>
      </w:r>
      <w:r>
        <w:t>score</w:t>
      </w:r>
      <w:r>
        <w:rPr>
          <w:spacing w:val="-8"/>
        </w:rPr>
        <w:t xml:space="preserve"> </w:t>
      </w:r>
      <w:r>
        <w:t>of</w:t>
      </w:r>
      <w:r>
        <w:rPr>
          <w:spacing w:val="-6"/>
        </w:rPr>
        <w:t xml:space="preserve"> </w:t>
      </w:r>
      <w:r>
        <w:t>6.5</w:t>
      </w:r>
      <w:r>
        <w:rPr>
          <w:spacing w:val="-7"/>
        </w:rPr>
        <w:t xml:space="preserve"> </w:t>
      </w:r>
      <w:r>
        <w:t>who</w:t>
      </w:r>
      <w:r>
        <w:rPr>
          <w:spacing w:val="-7"/>
        </w:rPr>
        <w:t xml:space="preserve"> </w:t>
      </w:r>
      <w:r>
        <w:t>had</w:t>
      </w:r>
      <w:r>
        <w:rPr>
          <w:spacing w:val="-5"/>
        </w:rPr>
        <w:t xml:space="preserve"> </w:t>
      </w:r>
      <w:r>
        <w:t>a</w:t>
      </w:r>
      <w:r>
        <w:rPr>
          <w:spacing w:val="-8"/>
        </w:rPr>
        <w:t xml:space="preserve"> </w:t>
      </w:r>
      <w:r>
        <w:t>significant</w:t>
      </w:r>
      <w:r>
        <w:rPr>
          <w:spacing w:val="-7"/>
        </w:rPr>
        <w:t xml:space="preserve"> </w:t>
      </w:r>
      <w:r>
        <w:t>delay in seeking and receiving treatment. The patient was taking CENRIFKI 60 mg for 1.8 years.</w:t>
      </w:r>
    </w:p>
    <w:p w14:paraId="53B38DBA" w14:textId="77777777" w:rsidR="008B6261" w:rsidRDefault="004C6B8B">
      <w:pPr>
        <w:pStyle w:val="BodyText"/>
        <w:spacing w:before="240"/>
        <w:ind w:left="23" w:right="586"/>
        <w:jc w:val="both"/>
      </w:pPr>
      <w:r>
        <w:rPr>
          <w:color w:val="212121"/>
        </w:rPr>
        <w:t xml:space="preserve">CENRIFKI is not recommended for patients with severe immunodeficiency, bone marrow disease, or severe, uncontrolled infections. Immunomodulators like CENRIFKI may cause patients to be more susceptible to infections. </w:t>
      </w:r>
      <w:r>
        <w:t>The use of live attenuated or live vaccines may carry a risk of infections and must therefore be avoided. Patients with active acute or chronic infections</w:t>
      </w:r>
      <w:r>
        <w:rPr>
          <w:spacing w:val="-1"/>
        </w:rPr>
        <w:t xml:space="preserve"> </w:t>
      </w:r>
      <w:r>
        <w:t>must not</w:t>
      </w:r>
      <w:r>
        <w:rPr>
          <w:spacing w:val="-1"/>
        </w:rPr>
        <w:t xml:space="preserve"> </w:t>
      </w:r>
      <w:r>
        <w:t>start</w:t>
      </w:r>
      <w:r>
        <w:rPr>
          <w:spacing w:val="-1"/>
        </w:rPr>
        <w:t xml:space="preserve"> </w:t>
      </w:r>
      <w:r>
        <w:t>treatment</w:t>
      </w:r>
      <w:r>
        <w:rPr>
          <w:spacing w:val="-1"/>
        </w:rPr>
        <w:t xml:space="preserve"> </w:t>
      </w:r>
      <w:r>
        <w:t>until</w:t>
      </w:r>
      <w:r>
        <w:rPr>
          <w:spacing w:val="-1"/>
        </w:rPr>
        <w:t xml:space="preserve"> </w:t>
      </w:r>
      <w:r>
        <w:t>the</w:t>
      </w:r>
      <w:r>
        <w:rPr>
          <w:spacing w:val="-2"/>
        </w:rPr>
        <w:t xml:space="preserve"> </w:t>
      </w:r>
      <w:r>
        <w:t>infection(s)</w:t>
      </w:r>
      <w:r>
        <w:rPr>
          <w:spacing w:val="-2"/>
        </w:rPr>
        <w:t xml:space="preserve"> </w:t>
      </w:r>
      <w:r>
        <w:t>is</w:t>
      </w:r>
      <w:r>
        <w:rPr>
          <w:spacing w:val="-1"/>
        </w:rPr>
        <w:t xml:space="preserve"> </w:t>
      </w:r>
      <w:r>
        <w:t>resolved.</w:t>
      </w:r>
      <w:r>
        <w:rPr>
          <w:spacing w:val="-1"/>
        </w:rPr>
        <w:t xml:space="preserve"> </w:t>
      </w:r>
      <w:r>
        <w:t>Monitor</w:t>
      </w:r>
      <w:r>
        <w:rPr>
          <w:spacing w:val="-2"/>
        </w:rPr>
        <w:t xml:space="preserve"> </w:t>
      </w:r>
      <w:r>
        <w:t>patients</w:t>
      </w:r>
      <w:r>
        <w:rPr>
          <w:spacing w:val="-1"/>
        </w:rPr>
        <w:t xml:space="preserve"> </w:t>
      </w:r>
      <w:r>
        <w:t>for</w:t>
      </w:r>
      <w:r>
        <w:rPr>
          <w:spacing w:val="-2"/>
        </w:rPr>
        <w:t xml:space="preserve"> </w:t>
      </w:r>
      <w:r>
        <w:t>signs and symptoms of infection, evaluate promptly, and treat appropriately.</w:t>
      </w:r>
    </w:p>
    <w:p w14:paraId="53B38DBB" w14:textId="77777777" w:rsidR="008B6261" w:rsidRDefault="008B6261">
      <w:pPr>
        <w:pStyle w:val="BodyText"/>
        <w:spacing w:before="85"/>
      </w:pPr>
    </w:p>
    <w:p w14:paraId="53B38DBC" w14:textId="77777777" w:rsidR="008B6261" w:rsidRDefault="004C6B8B">
      <w:pPr>
        <w:ind w:left="23"/>
        <w:rPr>
          <w:rFonts w:ascii="Arial"/>
          <w:b/>
        </w:rPr>
      </w:pPr>
      <w:bookmarkStart w:id="21" w:name="Use_in_hepatic_impairment"/>
      <w:bookmarkEnd w:id="21"/>
      <w:r>
        <w:rPr>
          <w:rFonts w:ascii="Arial"/>
          <w:b/>
        </w:rPr>
        <w:t>Use</w:t>
      </w:r>
      <w:r>
        <w:rPr>
          <w:rFonts w:ascii="Arial"/>
          <w:b/>
          <w:spacing w:val="-3"/>
        </w:rPr>
        <w:t xml:space="preserve"> </w:t>
      </w:r>
      <w:r>
        <w:rPr>
          <w:rFonts w:ascii="Arial"/>
          <w:b/>
        </w:rPr>
        <w:t>in</w:t>
      </w:r>
      <w:r>
        <w:rPr>
          <w:rFonts w:ascii="Arial"/>
          <w:b/>
          <w:spacing w:val="-2"/>
        </w:rPr>
        <w:t xml:space="preserve"> </w:t>
      </w:r>
      <w:r>
        <w:rPr>
          <w:rFonts w:ascii="Arial"/>
          <w:b/>
        </w:rPr>
        <w:t>hepatic</w:t>
      </w:r>
      <w:r>
        <w:rPr>
          <w:rFonts w:ascii="Arial"/>
          <w:b/>
          <w:spacing w:val="-6"/>
        </w:rPr>
        <w:t xml:space="preserve"> </w:t>
      </w:r>
      <w:r>
        <w:rPr>
          <w:rFonts w:ascii="Arial"/>
          <w:b/>
          <w:spacing w:val="-2"/>
        </w:rPr>
        <w:t>impairment</w:t>
      </w:r>
    </w:p>
    <w:p w14:paraId="53B38DBD" w14:textId="77777777" w:rsidR="008B6261" w:rsidRDefault="004C6B8B">
      <w:pPr>
        <w:pStyle w:val="BodyText"/>
        <w:spacing w:before="241"/>
        <w:ind w:left="22" w:right="584"/>
        <w:jc w:val="both"/>
      </w:pPr>
      <w:r>
        <w:t>No dosage adjustment is necessary for patients with mild hepatic impairment (Child-Pugh Class A), although caution must be exercised when initiating treatment in these patients. CENRIFKI</w:t>
      </w:r>
      <w:r>
        <w:rPr>
          <w:spacing w:val="-15"/>
        </w:rPr>
        <w:t xml:space="preserve"> </w:t>
      </w:r>
      <w:r>
        <w:t>is</w:t>
      </w:r>
      <w:r>
        <w:rPr>
          <w:spacing w:val="-14"/>
        </w:rPr>
        <w:t xml:space="preserve"> </w:t>
      </w:r>
      <w:r>
        <w:t>contraindicated</w:t>
      </w:r>
      <w:r>
        <w:rPr>
          <w:spacing w:val="-14"/>
        </w:rPr>
        <w:t xml:space="preserve"> </w:t>
      </w:r>
      <w:r>
        <w:t>in</w:t>
      </w:r>
      <w:r>
        <w:rPr>
          <w:spacing w:val="-14"/>
        </w:rPr>
        <w:t xml:space="preserve"> </w:t>
      </w:r>
      <w:r>
        <w:t>patients</w:t>
      </w:r>
      <w:r>
        <w:rPr>
          <w:spacing w:val="-14"/>
        </w:rPr>
        <w:t xml:space="preserve"> </w:t>
      </w:r>
      <w:r>
        <w:t>with</w:t>
      </w:r>
      <w:r>
        <w:rPr>
          <w:spacing w:val="-14"/>
        </w:rPr>
        <w:t xml:space="preserve"> </w:t>
      </w:r>
      <w:r>
        <w:t>moderate</w:t>
      </w:r>
      <w:r>
        <w:rPr>
          <w:spacing w:val="-13"/>
        </w:rPr>
        <w:t xml:space="preserve"> </w:t>
      </w:r>
      <w:r>
        <w:t>(Child-Pugh</w:t>
      </w:r>
      <w:r>
        <w:rPr>
          <w:spacing w:val="-14"/>
        </w:rPr>
        <w:t xml:space="preserve"> </w:t>
      </w:r>
      <w:r>
        <w:t>Class</w:t>
      </w:r>
      <w:r>
        <w:rPr>
          <w:spacing w:val="-12"/>
        </w:rPr>
        <w:t xml:space="preserve"> </w:t>
      </w:r>
      <w:r>
        <w:t>B)</w:t>
      </w:r>
      <w:r>
        <w:rPr>
          <w:spacing w:val="-15"/>
        </w:rPr>
        <w:t xml:space="preserve"> </w:t>
      </w:r>
      <w:r>
        <w:t>to</w:t>
      </w:r>
      <w:r>
        <w:rPr>
          <w:spacing w:val="-14"/>
        </w:rPr>
        <w:t xml:space="preserve"> </w:t>
      </w:r>
      <w:r>
        <w:t>severe</w:t>
      </w:r>
      <w:r>
        <w:rPr>
          <w:spacing w:val="-13"/>
        </w:rPr>
        <w:t xml:space="preserve"> </w:t>
      </w:r>
      <w:r>
        <w:t xml:space="preserve">(Child-Pugh Class C) hepatic impairment and in patients with pre-existing acute or chronic liver disease or with baseline serum ALT or AST greater than 1.5 x ULN, alkaline phosphatase greater than 2 x ULN (unless explained by a stable chronic liver disorder) or total bilirubin greater than 1.5 x ULN (unless due to Gilbert syndrome or non-liver-related disorder) (see Section </w:t>
      </w:r>
      <w:hyperlink w:anchor="_bookmark2" w:history="1">
        <w:r>
          <w:t>4.3</w:t>
        </w:r>
      </w:hyperlink>
      <w:r>
        <w:t xml:space="preserve"> Contraindications, Section </w:t>
      </w:r>
      <w:hyperlink w:anchor="_bookmark3" w:history="1">
        <w:r>
          <w:t>4.4</w:t>
        </w:r>
      </w:hyperlink>
      <w:r>
        <w:t xml:space="preserve"> Special Warnings and Precautions for Use, and Section </w:t>
      </w:r>
      <w:hyperlink w:anchor="_bookmark12" w:history="1">
        <w:r>
          <w:t>5.2</w:t>
        </w:r>
      </w:hyperlink>
      <w:r>
        <w:t xml:space="preserve"> Pharmacokinetic properties).</w:t>
      </w:r>
    </w:p>
    <w:p w14:paraId="305A2EB0" w14:textId="77777777" w:rsidR="00B04EA6" w:rsidRDefault="00B04EA6">
      <w:pPr>
        <w:spacing w:before="81"/>
        <w:ind w:left="23"/>
        <w:rPr>
          <w:rFonts w:ascii="Arial"/>
          <w:b/>
        </w:rPr>
      </w:pPr>
      <w:bookmarkStart w:id="22" w:name="Use_in_renal_impairment"/>
      <w:bookmarkEnd w:id="22"/>
    </w:p>
    <w:p w14:paraId="53B38DBF" w14:textId="7C8FB686" w:rsidR="008B6261" w:rsidRDefault="004C6B8B" w:rsidP="00A77020">
      <w:pPr>
        <w:pageBreakBefore/>
        <w:spacing w:before="81"/>
        <w:ind w:left="23"/>
        <w:rPr>
          <w:rFonts w:ascii="Arial"/>
          <w:b/>
        </w:rPr>
      </w:pPr>
      <w:r>
        <w:rPr>
          <w:rFonts w:ascii="Arial"/>
          <w:b/>
        </w:rPr>
        <w:lastRenderedPageBreak/>
        <w:t>Use</w:t>
      </w:r>
      <w:r>
        <w:rPr>
          <w:rFonts w:ascii="Arial"/>
          <w:b/>
          <w:spacing w:val="-2"/>
        </w:rPr>
        <w:t xml:space="preserve"> </w:t>
      </w:r>
      <w:r>
        <w:rPr>
          <w:rFonts w:ascii="Arial"/>
          <w:b/>
        </w:rPr>
        <w:t>in</w:t>
      </w:r>
      <w:r>
        <w:rPr>
          <w:rFonts w:ascii="Arial"/>
          <w:b/>
          <w:spacing w:val="-4"/>
        </w:rPr>
        <w:t xml:space="preserve"> </w:t>
      </w:r>
      <w:r>
        <w:rPr>
          <w:rFonts w:ascii="Arial"/>
          <w:b/>
        </w:rPr>
        <w:t>renal</w:t>
      </w:r>
      <w:r>
        <w:rPr>
          <w:rFonts w:ascii="Arial"/>
          <w:b/>
          <w:spacing w:val="-1"/>
        </w:rPr>
        <w:t xml:space="preserve"> </w:t>
      </w:r>
      <w:r>
        <w:rPr>
          <w:rFonts w:ascii="Arial"/>
          <w:b/>
          <w:spacing w:val="-2"/>
        </w:rPr>
        <w:t>impairment</w:t>
      </w:r>
    </w:p>
    <w:p w14:paraId="53B38DC0" w14:textId="77777777" w:rsidR="008B6261" w:rsidRDefault="004C6B8B">
      <w:pPr>
        <w:pStyle w:val="BodyText"/>
        <w:ind w:left="23" w:right="590"/>
        <w:jc w:val="both"/>
      </w:pPr>
      <w:r>
        <w:t xml:space="preserve">No dose adjustment is necessary for patients with renal impairment. CENRIFKI has not been </w:t>
      </w:r>
      <w:bookmarkStart w:id="23" w:name="Concomitant_use_with_immunosuppressants"/>
      <w:bookmarkEnd w:id="23"/>
      <w:r>
        <w:t xml:space="preserve">studied in patients requiring dialysis (see Section </w:t>
      </w:r>
      <w:hyperlink w:anchor="_bookmark12" w:history="1">
        <w:r>
          <w:t>5.2</w:t>
        </w:r>
      </w:hyperlink>
      <w:r>
        <w:t xml:space="preserve"> Pharmacokinetic properties).</w:t>
      </w:r>
    </w:p>
    <w:p w14:paraId="53B38DC1" w14:textId="77777777" w:rsidR="008B6261" w:rsidRDefault="008B6261">
      <w:pPr>
        <w:pStyle w:val="BodyText"/>
        <w:spacing w:before="85"/>
      </w:pPr>
    </w:p>
    <w:p w14:paraId="53B38DC2" w14:textId="77777777" w:rsidR="008B6261" w:rsidRDefault="004C6B8B">
      <w:pPr>
        <w:ind w:left="23"/>
        <w:rPr>
          <w:rFonts w:ascii="Arial"/>
          <w:b/>
        </w:rPr>
      </w:pPr>
      <w:r>
        <w:rPr>
          <w:rFonts w:ascii="Arial"/>
          <w:b/>
        </w:rPr>
        <w:t>Concomitant</w:t>
      </w:r>
      <w:r>
        <w:rPr>
          <w:rFonts w:ascii="Arial"/>
          <w:b/>
          <w:spacing w:val="-3"/>
        </w:rPr>
        <w:t xml:space="preserve"> </w:t>
      </w:r>
      <w:r>
        <w:rPr>
          <w:rFonts w:ascii="Arial"/>
          <w:b/>
        </w:rPr>
        <w:t>use</w:t>
      </w:r>
      <w:r>
        <w:rPr>
          <w:rFonts w:ascii="Arial"/>
          <w:b/>
          <w:spacing w:val="-8"/>
        </w:rPr>
        <w:t xml:space="preserve"> </w:t>
      </w:r>
      <w:r>
        <w:rPr>
          <w:rFonts w:ascii="Arial"/>
          <w:b/>
        </w:rPr>
        <w:t>with</w:t>
      </w:r>
      <w:r>
        <w:rPr>
          <w:rFonts w:ascii="Arial"/>
          <w:b/>
          <w:spacing w:val="-5"/>
        </w:rPr>
        <w:t xml:space="preserve"> </w:t>
      </w:r>
      <w:r>
        <w:rPr>
          <w:rFonts w:ascii="Arial"/>
          <w:b/>
          <w:spacing w:val="-2"/>
        </w:rPr>
        <w:t>immunosuppressants</w:t>
      </w:r>
    </w:p>
    <w:p w14:paraId="53B38DC3" w14:textId="77777777" w:rsidR="008B6261" w:rsidRDefault="004C6B8B">
      <w:pPr>
        <w:pStyle w:val="BodyText"/>
        <w:spacing w:before="241"/>
        <w:ind w:left="23" w:right="585"/>
        <w:jc w:val="both"/>
      </w:pPr>
      <w:r>
        <w:t>The safety of concomitant use of immunosuppressants with tolebrutinib has not been studied. However,</w:t>
      </w:r>
      <w:r>
        <w:rPr>
          <w:spacing w:val="-11"/>
        </w:rPr>
        <w:t xml:space="preserve"> </w:t>
      </w:r>
      <w:r>
        <w:t>higher</w:t>
      </w:r>
      <w:r>
        <w:rPr>
          <w:spacing w:val="-11"/>
        </w:rPr>
        <w:t xml:space="preserve"> </w:t>
      </w:r>
      <w:r>
        <w:t>infection</w:t>
      </w:r>
      <w:r>
        <w:rPr>
          <w:spacing w:val="-11"/>
        </w:rPr>
        <w:t xml:space="preserve"> </w:t>
      </w:r>
      <w:r>
        <w:t>rates</w:t>
      </w:r>
      <w:r>
        <w:rPr>
          <w:spacing w:val="-10"/>
        </w:rPr>
        <w:t xml:space="preserve"> </w:t>
      </w:r>
      <w:r>
        <w:t>were</w:t>
      </w:r>
      <w:r>
        <w:rPr>
          <w:spacing w:val="-12"/>
        </w:rPr>
        <w:t xml:space="preserve"> </w:t>
      </w:r>
      <w:r>
        <w:t>observed</w:t>
      </w:r>
      <w:r>
        <w:rPr>
          <w:spacing w:val="-8"/>
        </w:rPr>
        <w:t xml:space="preserve"> </w:t>
      </w:r>
      <w:r>
        <w:t>when</w:t>
      </w:r>
      <w:r>
        <w:rPr>
          <w:spacing w:val="-11"/>
        </w:rPr>
        <w:t xml:space="preserve"> </w:t>
      </w:r>
      <w:r>
        <w:t>tolebrutinib</w:t>
      </w:r>
      <w:r>
        <w:rPr>
          <w:spacing w:val="-11"/>
        </w:rPr>
        <w:t xml:space="preserve"> </w:t>
      </w:r>
      <w:r>
        <w:t>was</w:t>
      </w:r>
      <w:r>
        <w:rPr>
          <w:spacing w:val="-10"/>
        </w:rPr>
        <w:t xml:space="preserve"> </w:t>
      </w:r>
      <w:r>
        <w:t>used</w:t>
      </w:r>
      <w:r>
        <w:rPr>
          <w:spacing w:val="-8"/>
        </w:rPr>
        <w:t xml:space="preserve"> </w:t>
      </w:r>
      <w:r>
        <w:t>concomitantly</w:t>
      </w:r>
      <w:r>
        <w:rPr>
          <w:spacing w:val="-11"/>
        </w:rPr>
        <w:t xml:space="preserve"> </w:t>
      </w:r>
      <w:r>
        <w:t>with immunosuppressants</w:t>
      </w:r>
      <w:r>
        <w:rPr>
          <w:spacing w:val="-1"/>
        </w:rPr>
        <w:t xml:space="preserve"> </w:t>
      </w:r>
      <w:r>
        <w:t>including</w:t>
      </w:r>
      <w:r>
        <w:rPr>
          <w:spacing w:val="-1"/>
        </w:rPr>
        <w:t xml:space="preserve"> </w:t>
      </w:r>
      <w:r>
        <w:t>corticosteroids.</w:t>
      </w:r>
      <w:r>
        <w:rPr>
          <w:spacing w:val="-1"/>
        </w:rPr>
        <w:t xml:space="preserve"> </w:t>
      </w:r>
      <w:r>
        <w:t>Caution</w:t>
      </w:r>
      <w:r>
        <w:rPr>
          <w:spacing w:val="-1"/>
        </w:rPr>
        <w:t xml:space="preserve"> </w:t>
      </w:r>
      <w:r>
        <w:t>should</w:t>
      </w:r>
      <w:r>
        <w:rPr>
          <w:spacing w:val="-1"/>
        </w:rPr>
        <w:t xml:space="preserve"> </w:t>
      </w:r>
      <w:r>
        <w:t>be</w:t>
      </w:r>
      <w:r>
        <w:rPr>
          <w:spacing w:val="-2"/>
        </w:rPr>
        <w:t xml:space="preserve"> </w:t>
      </w:r>
      <w:r>
        <w:t>exercised when</w:t>
      </w:r>
      <w:r>
        <w:rPr>
          <w:spacing w:val="-1"/>
        </w:rPr>
        <w:t xml:space="preserve"> </w:t>
      </w:r>
      <w:r>
        <w:t>using</w:t>
      </w:r>
      <w:r>
        <w:rPr>
          <w:spacing w:val="-1"/>
        </w:rPr>
        <w:t xml:space="preserve"> </w:t>
      </w:r>
      <w:r>
        <w:t>other immunosuppressant</w:t>
      </w:r>
      <w:r>
        <w:rPr>
          <w:spacing w:val="-15"/>
        </w:rPr>
        <w:t xml:space="preserve"> </w:t>
      </w:r>
      <w:r>
        <w:t>medicinal</w:t>
      </w:r>
      <w:r>
        <w:rPr>
          <w:spacing w:val="-15"/>
        </w:rPr>
        <w:t xml:space="preserve"> </w:t>
      </w:r>
      <w:r>
        <w:t>products</w:t>
      </w:r>
      <w:r>
        <w:rPr>
          <w:spacing w:val="-14"/>
        </w:rPr>
        <w:t xml:space="preserve"> </w:t>
      </w:r>
      <w:r>
        <w:t>concomitantly</w:t>
      </w:r>
      <w:r>
        <w:rPr>
          <w:spacing w:val="-15"/>
        </w:rPr>
        <w:t xml:space="preserve"> </w:t>
      </w:r>
      <w:r>
        <w:t>with</w:t>
      </w:r>
      <w:r>
        <w:rPr>
          <w:spacing w:val="-15"/>
        </w:rPr>
        <w:t xml:space="preserve"> </w:t>
      </w:r>
      <w:r>
        <w:t>tolebrutinib.</w:t>
      </w:r>
      <w:r>
        <w:rPr>
          <w:spacing w:val="-14"/>
        </w:rPr>
        <w:t xml:space="preserve"> </w:t>
      </w:r>
      <w:r>
        <w:t>Data</w:t>
      </w:r>
      <w:r>
        <w:rPr>
          <w:spacing w:val="-15"/>
        </w:rPr>
        <w:t xml:space="preserve"> </w:t>
      </w:r>
      <w:r>
        <w:t>are</w:t>
      </w:r>
      <w:r>
        <w:rPr>
          <w:spacing w:val="-15"/>
        </w:rPr>
        <w:t xml:space="preserve"> </w:t>
      </w:r>
      <w:r>
        <w:t>inconclusive as to whether concomitant steroid use for symptomatic treatment of relapses was associated with</w:t>
      </w:r>
      <w:r>
        <w:rPr>
          <w:spacing w:val="-13"/>
        </w:rPr>
        <w:t xml:space="preserve"> </w:t>
      </w:r>
      <w:r>
        <w:t>an</w:t>
      </w:r>
      <w:r>
        <w:rPr>
          <w:spacing w:val="-15"/>
        </w:rPr>
        <w:t xml:space="preserve"> </w:t>
      </w:r>
      <w:r>
        <w:t>increased</w:t>
      </w:r>
      <w:r>
        <w:rPr>
          <w:spacing w:val="-13"/>
        </w:rPr>
        <w:t xml:space="preserve"> </w:t>
      </w:r>
      <w:r>
        <w:t>risk</w:t>
      </w:r>
      <w:r>
        <w:rPr>
          <w:spacing w:val="-15"/>
        </w:rPr>
        <w:t xml:space="preserve"> </w:t>
      </w:r>
      <w:r>
        <w:t>of</w:t>
      </w:r>
      <w:r>
        <w:rPr>
          <w:spacing w:val="-14"/>
        </w:rPr>
        <w:t xml:space="preserve"> </w:t>
      </w:r>
      <w:r>
        <w:t>infections</w:t>
      </w:r>
      <w:r>
        <w:rPr>
          <w:spacing w:val="-13"/>
        </w:rPr>
        <w:t xml:space="preserve"> </w:t>
      </w:r>
      <w:r>
        <w:t>(see</w:t>
      </w:r>
      <w:r>
        <w:rPr>
          <w:spacing w:val="-14"/>
        </w:rPr>
        <w:t xml:space="preserve"> </w:t>
      </w:r>
      <w:r>
        <w:t>Section</w:t>
      </w:r>
      <w:r>
        <w:rPr>
          <w:spacing w:val="-15"/>
        </w:rPr>
        <w:t xml:space="preserve"> </w:t>
      </w:r>
      <w:hyperlink w:anchor="_bookmark4" w:history="1">
        <w:r>
          <w:t>4.5</w:t>
        </w:r>
      </w:hyperlink>
      <w:r>
        <w:rPr>
          <w:spacing w:val="-11"/>
        </w:rPr>
        <w:t xml:space="preserve"> </w:t>
      </w:r>
      <w:r>
        <w:t>Interactions</w:t>
      </w:r>
      <w:r>
        <w:rPr>
          <w:spacing w:val="-15"/>
        </w:rPr>
        <w:t xml:space="preserve"> </w:t>
      </w:r>
      <w:r>
        <w:t>with</w:t>
      </w:r>
      <w:r>
        <w:rPr>
          <w:spacing w:val="-15"/>
        </w:rPr>
        <w:t xml:space="preserve"> </w:t>
      </w:r>
      <w:r>
        <w:t>other</w:t>
      </w:r>
      <w:r>
        <w:rPr>
          <w:spacing w:val="-14"/>
        </w:rPr>
        <w:t xml:space="preserve"> </w:t>
      </w:r>
      <w:r>
        <w:t>medicines</w:t>
      </w:r>
      <w:r>
        <w:rPr>
          <w:spacing w:val="-13"/>
        </w:rPr>
        <w:t xml:space="preserve"> </w:t>
      </w:r>
      <w:r>
        <w:t>and</w:t>
      </w:r>
      <w:r>
        <w:rPr>
          <w:spacing w:val="-15"/>
        </w:rPr>
        <w:t xml:space="preserve"> </w:t>
      </w:r>
      <w:r>
        <w:t>other forms of interactions).</w:t>
      </w:r>
    </w:p>
    <w:p w14:paraId="53B38DC4" w14:textId="77777777" w:rsidR="008B6261" w:rsidRDefault="008B6261">
      <w:pPr>
        <w:pStyle w:val="BodyText"/>
        <w:spacing w:before="85"/>
      </w:pPr>
    </w:p>
    <w:p w14:paraId="53B38DC5" w14:textId="77777777" w:rsidR="008B6261" w:rsidRDefault="004C6B8B" w:rsidP="00A77020">
      <w:pPr>
        <w:ind w:left="23"/>
        <w:rPr>
          <w:rFonts w:ascii="Arial"/>
          <w:b/>
        </w:rPr>
      </w:pPr>
      <w:r>
        <w:rPr>
          <w:rFonts w:ascii="Arial"/>
          <w:b/>
          <w:spacing w:val="-2"/>
        </w:rPr>
        <w:t>Immunisations</w:t>
      </w:r>
    </w:p>
    <w:p w14:paraId="53B38DC6" w14:textId="77777777" w:rsidR="008B6261" w:rsidRDefault="004C6B8B">
      <w:pPr>
        <w:pStyle w:val="BodyText"/>
        <w:ind w:left="22" w:right="585"/>
        <w:jc w:val="both"/>
      </w:pPr>
      <w:r>
        <w:t>The safety of immunisation with live attenuated or live vaccines following tolebrutinib treatment</w:t>
      </w:r>
      <w:r>
        <w:rPr>
          <w:spacing w:val="-3"/>
        </w:rPr>
        <w:t xml:space="preserve"> </w:t>
      </w:r>
      <w:r>
        <w:t>has</w:t>
      </w:r>
      <w:r>
        <w:rPr>
          <w:spacing w:val="-3"/>
        </w:rPr>
        <w:t xml:space="preserve"> </w:t>
      </w:r>
      <w:r>
        <w:t>not</w:t>
      </w:r>
      <w:r>
        <w:rPr>
          <w:spacing w:val="-3"/>
        </w:rPr>
        <w:t xml:space="preserve"> </w:t>
      </w:r>
      <w:r>
        <w:t>been</w:t>
      </w:r>
      <w:r>
        <w:rPr>
          <w:spacing w:val="-3"/>
        </w:rPr>
        <w:t xml:space="preserve"> </w:t>
      </w:r>
      <w:r>
        <w:t>studied.</w:t>
      </w:r>
      <w:r>
        <w:rPr>
          <w:spacing w:val="-3"/>
        </w:rPr>
        <w:t xml:space="preserve"> </w:t>
      </w:r>
      <w:r>
        <w:t>However,</w:t>
      </w:r>
      <w:r>
        <w:rPr>
          <w:spacing w:val="-3"/>
        </w:rPr>
        <w:t xml:space="preserve"> </w:t>
      </w:r>
      <w:r>
        <w:t>the</w:t>
      </w:r>
      <w:r>
        <w:rPr>
          <w:spacing w:val="-4"/>
        </w:rPr>
        <w:t xml:space="preserve"> </w:t>
      </w:r>
      <w:r>
        <w:t>use</w:t>
      </w:r>
      <w:r>
        <w:rPr>
          <w:spacing w:val="-2"/>
        </w:rPr>
        <w:t xml:space="preserve"> </w:t>
      </w:r>
      <w:r>
        <w:t>of</w:t>
      </w:r>
      <w:r>
        <w:rPr>
          <w:spacing w:val="-4"/>
        </w:rPr>
        <w:t xml:space="preserve"> </w:t>
      </w:r>
      <w:r>
        <w:t>live</w:t>
      </w:r>
      <w:r>
        <w:rPr>
          <w:spacing w:val="-4"/>
        </w:rPr>
        <w:t xml:space="preserve"> </w:t>
      </w:r>
      <w:r>
        <w:t>attenuated</w:t>
      </w:r>
      <w:r>
        <w:rPr>
          <w:spacing w:val="-3"/>
        </w:rPr>
        <w:t xml:space="preserve"> </w:t>
      </w:r>
      <w:r>
        <w:t>or</w:t>
      </w:r>
      <w:r>
        <w:rPr>
          <w:spacing w:val="-4"/>
        </w:rPr>
        <w:t xml:space="preserve"> </w:t>
      </w:r>
      <w:r>
        <w:t>live</w:t>
      </w:r>
      <w:r>
        <w:rPr>
          <w:spacing w:val="-2"/>
        </w:rPr>
        <w:t xml:space="preserve"> </w:t>
      </w:r>
      <w:r>
        <w:t>vaccines</w:t>
      </w:r>
      <w:r>
        <w:rPr>
          <w:spacing w:val="-3"/>
        </w:rPr>
        <w:t xml:space="preserve"> </w:t>
      </w:r>
      <w:r>
        <w:t>may</w:t>
      </w:r>
      <w:r>
        <w:rPr>
          <w:spacing w:val="-1"/>
        </w:rPr>
        <w:t xml:space="preserve"> </w:t>
      </w:r>
      <w:r>
        <w:t>carry a</w:t>
      </w:r>
      <w:r>
        <w:rPr>
          <w:spacing w:val="-15"/>
        </w:rPr>
        <w:t xml:space="preserve"> </w:t>
      </w:r>
      <w:r>
        <w:t>risk</w:t>
      </w:r>
      <w:r>
        <w:rPr>
          <w:spacing w:val="-14"/>
        </w:rPr>
        <w:t xml:space="preserve"> </w:t>
      </w:r>
      <w:r>
        <w:t>of</w:t>
      </w:r>
      <w:r>
        <w:rPr>
          <w:spacing w:val="-15"/>
        </w:rPr>
        <w:t xml:space="preserve"> </w:t>
      </w:r>
      <w:r>
        <w:t>infections</w:t>
      </w:r>
      <w:r>
        <w:rPr>
          <w:spacing w:val="-14"/>
        </w:rPr>
        <w:t xml:space="preserve"> </w:t>
      </w:r>
      <w:r>
        <w:t>and</w:t>
      </w:r>
      <w:r>
        <w:rPr>
          <w:spacing w:val="-14"/>
        </w:rPr>
        <w:t xml:space="preserve"> </w:t>
      </w:r>
      <w:r>
        <w:t>must</w:t>
      </w:r>
      <w:r>
        <w:rPr>
          <w:spacing w:val="-14"/>
        </w:rPr>
        <w:t xml:space="preserve"> </w:t>
      </w:r>
      <w:r>
        <w:t>therefore</w:t>
      </w:r>
      <w:r>
        <w:rPr>
          <w:spacing w:val="-15"/>
        </w:rPr>
        <w:t xml:space="preserve"> </w:t>
      </w:r>
      <w:r>
        <w:t>be</w:t>
      </w:r>
      <w:r>
        <w:rPr>
          <w:spacing w:val="-15"/>
        </w:rPr>
        <w:t xml:space="preserve"> </w:t>
      </w:r>
      <w:r>
        <w:t>avoided.</w:t>
      </w:r>
      <w:r>
        <w:rPr>
          <w:spacing w:val="-12"/>
        </w:rPr>
        <w:t xml:space="preserve"> </w:t>
      </w:r>
      <w:r>
        <w:t>If</w:t>
      </w:r>
      <w:r>
        <w:rPr>
          <w:spacing w:val="-15"/>
        </w:rPr>
        <w:t xml:space="preserve"> </w:t>
      </w:r>
      <w:r>
        <w:t>live</w:t>
      </w:r>
      <w:r>
        <w:rPr>
          <w:spacing w:val="-15"/>
        </w:rPr>
        <w:t xml:space="preserve"> </w:t>
      </w:r>
      <w:r>
        <w:t>attenuated</w:t>
      </w:r>
      <w:r>
        <w:rPr>
          <w:spacing w:val="-14"/>
        </w:rPr>
        <w:t xml:space="preserve"> </w:t>
      </w:r>
      <w:r>
        <w:t>or</w:t>
      </w:r>
      <w:r>
        <w:rPr>
          <w:spacing w:val="-15"/>
        </w:rPr>
        <w:t xml:space="preserve"> </w:t>
      </w:r>
      <w:r>
        <w:t>live</w:t>
      </w:r>
      <w:r>
        <w:rPr>
          <w:spacing w:val="-15"/>
        </w:rPr>
        <w:t xml:space="preserve"> </w:t>
      </w:r>
      <w:r>
        <w:t>vaccines</w:t>
      </w:r>
      <w:r>
        <w:rPr>
          <w:spacing w:val="-12"/>
        </w:rPr>
        <w:t xml:space="preserve"> </w:t>
      </w:r>
      <w:r>
        <w:t>are</w:t>
      </w:r>
      <w:r>
        <w:rPr>
          <w:spacing w:val="-15"/>
        </w:rPr>
        <w:t xml:space="preserve"> </w:t>
      </w:r>
      <w:r>
        <w:t xml:space="preserve">needed, they should be administered at least 2 months before initiating tolebrutinib treatment. Due to its mechanism of action on B-cell function, tolebrutinib may interfere with the immune response of non-live vaccines. When possible, complete all age-appropriate non-live vaccinations according to current immunisation guidelines prior to initiating tolebrutinib treatment (see Section </w:t>
      </w:r>
      <w:hyperlink w:anchor="_bookmark4" w:history="1">
        <w:r>
          <w:t>4.5</w:t>
        </w:r>
      </w:hyperlink>
      <w:r>
        <w:t xml:space="preserve"> Interactions with other medicines and other forms of interactions).</w:t>
      </w:r>
    </w:p>
    <w:p w14:paraId="53B38DC7" w14:textId="77777777" w:rsidR="008B6261" w:rsidRDefault="008B6261">
      <w:pPr>
        <w:pStyle w:val="BodyText"/>
        <w:spacing w:before="85"/>
      </w:pPr>
    </w:p>
    <w:p w14:paraId="53B38DC8" w14:textId="77777777" w:rsidR="008B6261" w:rsidRDefault="004C6B8B">
      <w:pPr>
        <w:ind w:left="23"/>
        <w:rPr>
          <w:rFonts w:ascii="Arial"/>
          <w:b/>
        </w:rPr>
      </w:pPr>
      <w:bookmarkStart w:id="24" w:name="Haemorrhages"/>
      <w:bookmarkEnd w:id="24"/>
      <w:r>
        <w:rPr>
          <w:rFonts w:ascii="Arial"/>
          <w:b/>
          <w:spacing w:val="-2"/>
        </w:rPr>
        <w:t>Haemorrhages</w:t>
      </w:r>
    </w:p>
    <w:p w14:paraId="53B38DC9" w14:textId="77777777" w:rsidR="008B6261" w:rsidRDefault="004C6B8B">
      <w:pPr>
        <w:pStyle w:val="BodyText"/>
        <w:ind w:left="23" w:right="585"/>
        <w:jc w:val="both"/>
      </w:pPr>
      <w:r>
        <w:t xml:space="preserve">Haemorrhagic events were reported in patients treated with tolebrutinib (see Section </w:t>
      </w:r>
      <w:hyperlink w:anchor="_bookmark5" w:history="1">
        <w:r>
          <w:t>4.8</w:t>
        </w:r>
      </w:hyperlink>
      <w:r>
        <w:t xml:space="preserve"> Adverse effects). The most commonly reported bleeding events were mucocutaneous manifestations including petechiae, contusions, increased tendency to bruise, and heavy menstrual bleeding. Most cases were mild. No bleeding events were associated with thrombocytopenia.</w:t>
      </w:r>
      <w:r>
        <w:rPr>
          <w:spacing w:val="-1"/>
        </w:rPr>
        <w:t xml:space="preserve"> </w:t>
      </w:r>
      <w:r>
        <w:t>Monitor</w:t>
      </w:r>
      <w:r>
        <w:rPr>
          <w:spacing w:val="-2"/>
        </w:rPr>
        <w:t xml:space="preserve"> </w:t>
      </w:r>
      <w:r>
        <w:t>patients</w:t>
      </w:r>
      <w:r>
        <w:rPr>
          <w:spacing w:val="-1"/>
        </w:rPr>
        <w:t xml:space="preserve"> </w:t>
      </w:r>
      <w:r>
        <w:t>for</w:t>
      </w:r>
      <w:r>
        <w:rPr>
          <w:spacing w:val="-2"/>
        </w:rPr>
        <w:t xml:space="preserve"> </w:t>
      </w:r>
      <w:r>
        <w:t>signs</w:t>
      </w:r>
      <w:r>
        <w:rPr>
          <w:spacing w:val="-1"/>
        </w:rPr>
        <w:t xml:space="preserve"> </w:t>
      </w:r>
      <w:r>
        <w:t>and</w:t>
      </w:r>
      <w:r>
        <w:rPr>
          <w:spacing w:val="-1"/>
        </w:rPr>
        <w:t xml:space="preserve"> </w:t>
      </w:r>
      <w:r>
        <w:t>symptoms</w:t>
      </w:r>
      <w:r>
        <w:rPr>
          <w:spacing w:val="-1"/>
        </w:rPr>
        <w:t xml:space="preserve"> </w:t>
      </w:r>
      <w:r>
        <w:t>of</w:t>
      </w:r>
      <w:r>
        <w:rPr>
          <w:spacing w:val="-2"/>
        </w:rPr>
        <w:t xml:space="preserve"> </w:t>
      </w:r>
      <w:r>
        <w:t>bleeding,</w:t>
      </w:r>
      <w:r>
        <w:rPr>
          <w:spacing w:val="-1"/>
        </w:rPr>
        <w:t xml:space="preserve"> </w:t>
      </w:r>
      <w:r>
        <w:t>including</w:t>
      </w:r>
      <w:r>
        <w:rPr>
          <w:spacing w:val="-1"/>
        </w:rPr>
        <w:t xml:space="preserve"> </w:t>
      </w:r>
      <w:r>
        <w:t xml:space="preserve">petechiae, bruising, and unusual bleeding. Exercise caution in patients with bleeding disorders, known platelet dysfunction, platelet counts below 150,000/mcL or when using tolebrutinib concomitantly with anticoagulants, antiplatelet agents, or other medicinal products that may increase bleeding risk (see Section </w:t>
      </w:r>
      <w:hyperlink w:anchor="_bookmark4" w:history="1">
        <w:r>
          <w:t>4.5</w:t>
        </w:r>
      </w:hyperlink>
      <w:r>
        <w:t xml:space="preserve"> Interactions with other medicines and other forms of interactions). If concurrent administration cannot be avoided, increase monitoring frequency for bleeding signs and symptoms. When planning surgical interventions, weigh the benefits and risks of withholding tolebrutinib treatment for 3 to 7 days both prior to and following the procedure, considering the nature of the surgery and the risk of bleeding. Depending on bleeding severity, interrupt or discontinue tolebrutinib and provide appropriate symptomatic </w:t>
      </w:r>
      <w:bookmarkStart w:id="25" w:name="Malignancies"/>
      <w:bookmarkEnd w:id="25"/>
      <w:r>
        <w:rPr>
          <w:spacing w:val="-2"/>
        </w:rPr>
        <w:t>treatment.</w:t>
      </w:r>
    </w:p>
    <w:p w14:paraId="53B38DCA" w14:textId="77777777" w:rsidR="008B6261" w:rsidRDefault="008B6261">
      <w:pPr>
        <w:pStyle w:val="BodyText"/>
        <w:spacing w:before="85"/>
      </w:pPr>
    </w:p>
    <w:p w14:paraId="53B38DCB" w14:textId="77777777" w:rsidR="008B6261" w:rsidRDefault="004C6B8B">
      <w:pPr>
        <w:spacing w:before="1"/>
        <w:ind w:left="23"/>
        <w:rPr>
          <w:rFonts w:ascii="Arial"/>
          <w:b/>
        </w:rPr>
      </w:pPr>
      <w:r>
        <w:rPr>
          <w:rFonts w:ascii="Arial"/>
          <w:b/>
          <w:spacing w:val="-2"/>
        </w:rPr>
        <w:t>Malignancies</w:t>
      </w:r>
    </w:p>
    <w:p w14:paraId="53B38DCC" w14:textId="77777777" w:rsidR="008B6261" w:rsidRDefault="004C6B8B">
      <w:pPr>
        <w:pStyle w:val="BodyText"/>
        <w:spacing w:before="240"/>
        <w:ind w:left="23" w:right="585"/>
        <w:jc w:val="both"/>
        <w:rPr>
          <w:spacing w:val="-2"/>
        </w:rPr>
      </w:pPr>
      <w:r>
        <w:t xml:space="preserve">There does not appear to be an increased risk of malignancy with tolebrutinib in the clinical trial experience. However, second primary malignancies have been reported in oncology patients treated with BTK inhibitors, with the most frequent type being non-melanoma skin </w:t>
      </w:r>
      <w:r>
        <w:rPr>
          <w:spacing w:val="-2"/>
        </w:rPr>
        <w:lastRenderedPageBreak/>
        <w:t>cancers.</w:t>
      </w:r>
    </w:p>
    <w:p w14:paraId="53B38DCE" w14:textId="1238B015" w:rsidR="008B6261" w:rsidRDefault="004C6B8B" w:rsidP="00A77020">
      <w:pPr>
        <w:spacing w:before="81"/>
        <w:rPr>
          <w:rFonts w:ascii="Arial"/>
          <w:b/>
        </w:rPr>
      </w:pPr>
      <w:bookmarkStart w:id="26" w:name="Atrial_fibrillation/flutter"/>
      <w:bookmarkEnd w:id="26"/>
      <w:r>
        <w:rPr>
          <w:rFonts w:ascii="Arial"/>
          <w:b/>
        </w:rPr>
        <w:t>Atrial</w:t>
      </w:r>
      <w:r>
        <w:rPr>
          <w:rFonts w:ascii="Arial"/>
          <w:b/>
          <w:spacing w:val="-3"/>
        </w:rPr>
        <w:t xml:space="preserve"> </w:t>
      </w:r>
      <w:r>
        <w:rPr>
          <w:rFonts w:ascii="Arial"/>
          <w:b/>
          <w:spacing w:val="-2"/>
        </w:rPr>
        <w:t>fibrillation/flutter</w:t>
      </w:r>
    </w:p>
    <w:p w14:paraId="53B38DCF" w14:textId="77777777" w:rsidR="008B6261" w:rsidRDefault="004C6B8B">
      <w:pPr>
        <w:pStyle w:val="BodyText"/>
        <w:ind w:left="22" w:right="587"/>
        <w:jc w:val="both"/>
      </w:pPr>
      <w:r>
        <w:t>Atrial fibrillation/flutter were reported in patients treated with tolebrutinib. Patients with a history</w:t>
      </w:r>
      <w:r>
        <w:rPr>
          <w:spacing w:val="-6"/>
        </w:rPr>
        <w:t xml:space="preserve"> </w:t>
      </w:r>
      <w:r>
        <w:t>of</w:t>
      </w:r>
      <w:r>
        <w:rPr>
          <w:spacing w:val="-7"/>
        </w:rPr>
        <w:t xml:space="preserve"> </w:t>
      </w:r>
      <w:r>
        <w:t>cardiac</w:t>
      </w:r>
      <w:r>
        <w:rPr>
          <w:spacing w:val="-4"/>
        </w:rPr>
        <w:t xml:space="preserve"> </w:t>
      </w:r>
      <w:r>
        <w:t>arrhythmias,</w:t>
      </w:r>
      <w:r>
        <w:rPr>
          <w:spacing w:val="-6"/>
        </w:rPr>
        <w:t xml:space="preserve"> </w:t>
      </w:r>
      <w:r>
        <w:t>particularly</w:t>
      </w:r>
      <w:r>
        <w:rPr>
          <w:spacing w:val="-6"/>
        </w:rPr>
        <w:t xml:space="preserve"> </w:t>
      </w:r>
      <w:r>
        <w:t>atrial</w:t>
      </w:r>
      <w:r>
        <w:rPr>
          <w:spacing w:val="-5"/>
        </w:rPr>
        <w:t xml:space="preserve"> </w:t>
      </w:r>
      <w:r>
        <w:t>fibrillation/flutter,</w:t>
      </w:r>
      <w:r>
        <w:rPr>
          <w:spacing w:val="-6"/>
        </w:rPr>
        <w:t xml:space="preserve"> </w:t>
      </w:r>
      <w:r>
        <w:t>and</w:t>
      </w:r>
      <w:r>
        <w:rPr>
          <w:spacing w:val="-6"/>
        </w:rPr>
        <w:t xml:space="preserve"> </w:t>
      </w:r>
      <w:r>
        <w:t>those</w:t>
      </w:r>
      <w:r>
        <w:rPr>
          <w:spacing w:val="-7"/>
        </w:rPr>
        <w:t xml:space="preserve"> </w:t>
      </w:r>
      <w:r>
        <w:t>with</w:t>
      </w:r>
      <w:r>
        <w:rPr>
          <w:spacing w:val="-6"/>
        </w:rPr>
        <w:t xml:space="preserve"> </w:t>
      </w:r>
      <w:r>
        <w:t>risk</w:t>
      </w:r>
      <w:r>
        <w:rPr>
          <w:spacing w:val="-6"/>
        </w:rPr>
        <w:t xml:space="preserve"> </w:t>
      </w:r>
      <w:r>
        <w:t>factors for</w:t>
      </w:r>
      <w:r>
        <w:rPr>
          <w:spacing w:val="-15"/>
        </w:rPr>
        <w:t xml:space="preserve"> </w:t>
      </w:r>
      <w:r>
        <w:t>developing</w:t>
      </w:r>
      <w:r>
        <w:rPr>
          <w:spacing w:val="-15"/>
        </w:rPr>
        <w:t xml:space="preserve"> </w:t>
      </w:r>
      <w:r>
        <w:t>atrial</w:t>
      </w:r>
      <w:r>
        <w:rPr>
          <w:spacing w:val="-14"/>
        </w:rPr>
        <w:t xml:space="preserve"> </w:t>
      </w:r>
      <w:r>
        <w:t>fibrillation</w:t>
      </w:r>
      <w:r>
        <w:rPr>
          <w:spacing w:val="-14"/>
        </w:rPr>
        <w:t xml:space="preserve"> </w:t>
      </w:r>
      <w:r>
        <w:t>(such</w:t>
      </w:r>
      <w:r>
        <w:rPr>
          <w:spacing w:val="-14"/>
        </w:rPr>
        <w:t xml:space="preserve"> </w:t>
      </w:r>
      <w:r>
        <w:t>as</w:t>
      </w:r>
      <w:r>
        <w:rPr>
          <w:spacing w:val="-14"/>
        </w:rPr>
        <w:t xml:space="preserve"> </w:t>
      </w:r>
      <w:r>
        <w:t>heart</w:t>
      </w:r>
      <w:r>
        <w:rPr>
          <w:spacing w:val="-14"/>
        </w:rPr>
        <w:t xml:space="preserve"> </w:t>
      </w:r>
      <w:r>
        <w:t>failure</w:t>
      </w:r>
      <w:r>
        <w:rPr>
          <w:spacing w:val="-15"/>
        </w:rPr>
        <w:t xml:space="preserve"> </w:t>
      </w:r>
      <w:r>
        <w:t>or</w:t>
      </w:r>
      <w:r>
        <w:rPr>
          <w:spacing w:val="-15"/>
        </w:rPr>
        <w:t xml:space="preserve"> </w:t>
      </w:r>
      <w:r>
        <w:t>hypertension)</w:t>
      </w:r>
      <w:r>
        <w:rPr>
          <w:spacing w:val="-15"/>
        </w:rPr>
        <w:t xml:space="preserve"> </w:t>
      </w:r>
      <w:r>
        <w:t>may</w:t>
      </w:r>
      <w:r>
        <w:rPr>
          <w:spacing w:val="-12"/>
        </w:rPr>
        <w:t xml:space="preserve"> </w:t>
      </w:r>
      <w:r>
        <w:t>be</w:t>
      </w:r>
      <w:r>
        <w:rPr>
          <w:spacing w:val="-15"/>
        </w:rPr>
        <w:t xml:space="preserve"> </w:t>
      </w:r>
      <w:r>
        <w:t>at</w:t>
      </w:r>
      <w:r>
        <w:rPr>
          <w:spacing w:val="-14"/>
        </w:rPr>
        <w:t xml:space="preserve"> </w:t>
      </w:r>
      <w:r>
        <w:t>increased</w:t>
      </w:r>
      <w:r>
        <w:rPr>
          <w:spacing w:val="-12"/>
        </w:rPr>
        <w:t xml:space="preserve"> </w:t>
      </w:r>
      <w:r>
        <w:t>risk. Monitor signs and symptoms for atrial fibrillation/flutter including palpitations, dizziness, shortness of breath, or chest discomfort, and manage as appropriate.</w:t>
      </w:r>
    </w:p>
    <w:p w14:paraId="53B38DD0" w14:textId="77777777" w:rsidR="008B6261" w:rsidRDefault="008B6261">
      <w:pPr>
        <w:pStyle w:val="BodyText"/>
        <w:spacing w:before="85"/>
      </w:pPr>
    </w:p>
    <w:p w14:paraId="53B38DD1" w14:textId="77777777" w:rsidR="008B6261" w:rsidRDefault="004C6B8B">
      <w:pPr>
        <w:spacing w:before="1"/>
        <w:ind w:left="23"/>
        <w:rPr>
          <w:rFonts w:ascii="Arial"/>
          <w:b/>
        </w:rPr>
      </w:pPr>
      <w:bookmarkStart w:id="27" w:name="Suicidal_ideation_and_behaviour"/>
      <w:bookmarkEnd w:id="27"/>
      <w:r>
        <w:rPr>
          <w:rFonts w:ascii="Arial"/>
          <w:b/>
        </w:rPr>
        <w:t>Suicidal</w:t>
      </w:r>
      <w:r>
        <w:rPr>
          <w:rFonts w:ascii="Arial"/>
          <w:b/>
          <w:spacing w:val="-6"/>
        </w:rPr>
        <w:t xml:space="preserve"> </w:t>
      </w:r>
      <w:r>
        <w:rPr>
          <w:rFonts w:ascii="Arial"/>
          <w:b/>
        </w:rPr>
        <w:t>ideation</w:t>
      </w:r>
      <w:r>
        <w:rPr>
          <w:rFonts w:ascii="Arial"/>
          <w:b/>
          <w:spacing w:val="-4"/>
        </w:rPr>
        <w:t xml:space="preserve"> </w:t>
      </w:r>
      <w:r>
        <w:rPr>
          <w:rFonts w:ascii="Arial"/>
          <w:b/>
        </w:rPr>
        <w:t>and</w:t>
      </w:r>
      <w:r>
        <w:rPr>
          <w:rFonts w:ascii="Arial"/>
          <w:b/>
          <w:spacing w:val="-4"/>
        </w:rPr>
        <w:t xml:space="preserve"> </w:t>
      </w:r>
      <w:r>
        <w:rPr>
          <w:rFonts w:ascii="Arial"/>
          <w:b/>
          <w:spacing w:val="-2"/>
        </w:rPr>
        <w:t>behaviour</w:t>
      </w:r>
    </w:p>
    <w:p w14:paraId="53B38DD2" w14:textId="77777777" w:rsidR="008B6261" w:rsidRDefault="004C6B8B">
      <w:pPr>
        <w:pStyle w:val="BodyText"/>
        <w:spacing w:before="240"/>
        <w:ind w:left="23" w:right="590"/>
        <w:jc w:val="both"/>
      </w:pPr>
      <w:r>
        <w:t>A</w:t>
      </w:r>
      <w:r>
        <w:rPr>
          <w:spacing w:val="-14"/>
        </w:rPr>
        <w:t xml:space="preserve"> </w:t>
      </w:r>
      <w:r>
        <w:t>causal</w:t>
      </w:r>
      <w:r>
        <w:rPr>
          <w:spacing w:val="-13"/>
        </w:rPr>
        <w:t xml:space="preserve"> </w:t>
      </w:r>
      <w:r>
        <w:t>association</w:t>
      </w:r>
      <w:r>
        <w:rPr>
          <w:spacing w:val="-13"/>
        </w:rPr>
        <w:t xml:space="preserve"> </w:t>
      </w:r>
      <w:r>
        <w:t>between</w:t>
      </w:r>
      <w:r>
        <w:rPr>
          <w:spacing w:val="-13"/>
        </w:rPr>
        <w:t xml:space="preserve"> </w:t>
      </w:r>
      <w:r>
        <w:t>treatment</w:t>
      </w:r>
      <w:r>
        <w:rPr>
          <w:spacing w:val="-13"/>
        </w:rPr>
        <w:t xml:space="preserve"> </w:t>
      </w:r>
      <w:r>
        <w:t>with</w:t>
      </w:r>
      <w:r>
        <w:rPr>
          <w:spacing w:val="-13"/>
        </w:rPr>
        <w:t xml:space="preserve"> </w:t>
      </w:r>
      <w:r>
        <w:t>tolebrutinib</w:t>
      </w:r>
      <w:r>
        <w:rPr>
          <w:spacing w:val="-13"/>
        </w:rPr>
        <w:t xml:space="preserve"> </w:t>
      </w:r>
      <w:r>
        <w:t>and</w:t>
      </w:r>
      <w:r>
        <w:rPr>
          <w:spacing w:val="-13"/>
        </w:rPr>
        <w:t xml:space="preserve"> </w:t>
      </w:r>
      <w:r>
        <w:t>increased</w:t>
      </w:r>
      <w:r>
        <w:rPr>
          <w:spacing w:val="-11"/>
        </w:rPr>
        <w:t xml:space="preserve"> </w:t>
      </w:r>
      <w:r>
        <w:t>risk</w:t>
      </w:r>
      <w:r>
        <w:rPr>
          <w:spacing w:val="-13"/>
        </w:rPr>
        <w:t xml:space="preserve"> </w:t>
      </w:r>
      <w:r>
        <w:t>of</w:t>
      </w:r>
      <w:r>
        <w:rPr>
          <w:spacing w:val="-14"/>
        </w:rPr>
        <w:t xml:space="preserve"> </w:t>
      </w:r>
      <w:r>
        <w:t>suicidal</w:t>
      </w:r>
      <w:r>
        <w:rPr>
          <w:spacing w:val="-13"/>
        </w:rPr>
        <w:t xml:space="preserve"> </w:t>
      </w:r>
      <w:r>
        <w:t>ideation and</w:t>
      </w:r>
      <w:r>
        <w:rPr>
          <w:spacing w:val="-11"/>
        </w:rPr>
        <w:t xml:space="preserve"> </w:t>
      </w:r>
      <w:r>
        <w:t>behaviour</w:t>
      </w:r>
      <w:r>
        <w:rPr>
          <w:spacing w:val="-11"/>
        </w:rPr>
        <w:t xml:space="preserve"> </w:t>
      </w:r>
      <w:r>
        <w:t>has</w:t>
      </w:r>
      <w:r>
        <w:rPr>
          <w:spacing w:val="-10"/>
        </w:rPr>
        <w:t xml:space="preserve"> </w:t>
      </w:r>
      <w:r>
        <w:t>not</w:t>
      </w:r>
      <w:r>
        <w:rPr>
          <w:spacing w:val="-10"/>
        </w:rPr>
        <w:t xml:space="preserve"> </w:t>
      </w:r>
      <w:r>
        <w:t>been</w:t>
      </w:r>
      <w:r>
        <w:rPr>
          <w:spacing w:val="-11"/>
        </w:rPr>
        <w:t xml:space="preserve"> </w:t>
      </w:r>
      <w:r>
        <w:t>established,</w:t>
      </w:r>
      <w:r>
        <w:rPr>
          <w:spacing w:val="-11"/>
        </w:rPr>
        <w:t xml:space="preserve"> </w:t>
      </w:r>
      <w:r>
        <w:t>however</w:t>
      </w:r>
      <w:r>
        <w:rPr>
          <w:spacing w:val="-9"/>
        </w:rPr>
        <w:t xml:space="preserve"> </w:t>
      </w:r>
      <w:r>
        <w:t>cases</w:t>
      </w:r>
      <w:r>
        <w:rPr>
          <w:spacing w:val="-10"/>
        </w:rPr>
        <w:t xml:space="preserve"> </w:t>
      </w:r>
      <w:r>
        <w:t>of</w:t>
      </w:r>
      <w:r>
        <w:rPr>
          <w:spacing w:val="-11"/>
        </w:rPr>
        <w:t xml:space="preserve"> </w:t>
      </w:r>
      <w:r>
        <w:t>suicidal</w:t>
      </w:r>
      <w:r>
        <w:rPr>
          <w:spacing w:val="-10"/>
        </w:rPr>
        <w:t xml:space="preserve"> </w:t>
      </w:r>
      <w:r>
        <w:t>ideation</w:t>
      </w:r>
      <w:r>
        <w:rPr>
          <w:spacing w:val="-11"/>
        </w:rPr>
        <w:t xml:space="preserve"> </w:t>
      </w:r>
      <w:r>
        <w:t>and</w:t>
      </w:r>
      <w:r>
        <w:rPr>
          <w:spacing w:val="-11"/>
        </w:rPr>
        <w:t xml:space="preserve"> </w:t>
      </w:r>
      <w:r>
        <w:t>behaviour</w:t>
      </w:r>
      <w:r>
        <w:rPr>
          <w:spacing w:val="-11"/>
        </w:rPr>
        <w:t xml:space="preserve"> </w:t>
      </w:r>
      <w:r>
        <w:t>were reported</w:t>
      </w:r>
      <w:r>
        <w:rPr>
          <w:spacing w:val="-11"/>
        </w:rPr>
        <w:t xml:space="preserve"> </w:t>
      </w:r>
      <w:r>
        <w:t>in</w:t>
      </w:r>
      <w:r>
        <w:rPr>
          <w:spacing w:val="-11"/>
        </w:rPr>
        <w:t xml:space="preserve"> </w:t>
      </w:r>
      <w:r>
        <w:t>patients</w:t>
      </w:r>
      <w:r>
        <w:rPr>
          <w:spacing w:val="-10"/>
        </w:rPr>
        <w:t xml:space="preserve"> </w:t>
      </w:r>
      <w:r>
        <w:t>receiving</w:t>
      </w:r>
      <w:r>
        <w:rPr>
          <w:spacing w:val="-11"/>
        </w:rPr>
        <w:t xml:space="preserve"> </w:t>
      </w:r>
      <w:r>
        <w:t>tolebrutinib.</w:t>
      </w:r>
      <w:r>
        <w:rPr>
          <w:spacing w:val="-11"/>
        </w:rPr>
        <w:t xml:space="preserve"> </w:t>
      </w:r>
      <w:r>
        <w:t>Patients</w:t>
      </w:r>
      <w:r>
        <w:rPr>
          <w:spacing w:val="-10"/>
        </w:rPr>
        <w:t xml:space="preserve"> </w:t>
      </w:r>
      <w:r>
        <w:t>and</w:t>
      </w:r>
      <w:r>
        <w:rPr>
          <w:spacing w:val="-11"/>
        </w:rPr>
        <w:t xml:space="preserve"> </w:t>
      </w:r>
      <w:r>
        <w:t>caregivers</w:t>
      </w:r>
      <w:r>
        <w:rPr>
          <w:spacing w:val="-10"/>
        </w:rPr>
        <w:t xml:space="preserve"> </w:t>
      </w:r>
      <w:r>
        <w:t>should</w:t>
      </w:r>
      <w:r>
        <w:rPr>
          <w:spacing w:val="-11"/>
        </w:rPr>
        <w:t xml:space="preserve"> </w:t>
      </w:r>
      <w:r>
        <w:t>be</w:t>
      </w:r>
      <w:r>
        <w:rPr>
          <w:spacing w:val="-12"/>
        </w:rPr>
        <w:t xml:space="preserve"> </w:t>
      </w:r>
      <w:r>
        <w:t>advised</w:t>
      </w:r>
      <w:r>
        <w:rPr>
          <w:spacing w:val="-11"/>
        </w:rPr>
        <w:t xml:space="preserve"> </w:t>
      </w:r>
      <w:r>
        <w:t>to</w:t>
      </w:r>
      <w:r>
        <w:rPr>
          <w:spacing w:val="-11"/>
        </w:rPr>
        <w:t xml:space="preserve"> </w:t>
      </w:r>
      <w:r>
        <w:t>be</w:t>
      </w:r>
      <w:r>
        <w:rPr>
          <w:spacing w:val="-9"/>
        </w:rPr>
        <w:t xml:space="preserve"> </w:t>
      </w:r>
      <w:r>
        <w:t xml:space="preserve">alert for unusual changes in mood or behaviour, or the emergence of suicidal thoughts, behaviour, or thoughts about self-harm, and to report such symptoms immediately to healthcare </w:t>
      </w:r>
      <w:bookmarkStart w:id="28" w:name="Use_in_the_elderly"/>
      <w:bookmarkEnd w:id="28"/>
      <w:r>
        <w:rPr>
          <w:spacing w:val="-2"/>
        </w:rPr>
        <w:t>professionals.</w:t>
      </w:r>
    </w:p>
    <w:p w14:paraId="53B38DD3" w14:textId="77777777" w:rsidR="008B6261" w:rsidRDefault="008B6261">
      <w:pPr>
        <w:pStyle w:val="BodyText"/>
        <w:spacing w:before="85"/>
      </w:pPr>
    </w:p>
    <w:p w14:paraId="53B38DD4" w14:textId="77777777" w:rsidR="008B6261" w:rsidRDefault="004C6B8B">
      <w:pPr>
        <w:ind w:left="23"/>
        <w:rPr>
          <w:rFonts w:ascii="Arial"/>
          <w:b/>
        </w:rPr>
      </w:pPr>
      <w:r>
        <w:rPr>
          <w:rFonts w:ascii="Arial"/>
          <w:b/>
        </w:rPr>
        <w:t>Use</w:t>
      </w:r>
      <w:r>
        <w:rPr>
          <w:rFonts w:ascii="Arial"/>
          <w:b/>
          <w:spacing w:val="-2"/>
        </w:rPr>
        <w:t xml:space="preserve"> </w:t>
      </w:r>
      <w:r>
        <w:rPr>
          <w:rFonts w:ascii="Arial"/>
          <w:b/>
        </w:rPr>
        <w:t>in</w:t>
      </w:r>
      <w:r>
        <w:rPr>
          <w:rFonts w:ascii="Arial"/>
          <w:b/>
          <w:spacing w:val="-2"/>
        </w:rPr>
        <w:t xml:space="preserve"> </w:t>
      </w:r>
      <w:r>
        <w:rPr>
          <w:rFonts w:ascii="Arial"/>
          <w:b/>
        </w:rPr>
        <w:t>the</w:t>
      </w:r>
      <w:r>
        <w:rPr>
          <w:rFonts w:ascii="Arial"/>
          <w:b/>
          <w:spacing w:val="-1"/>
        </w:rPr>
        <w:t xml:space="preserve"> </w:t>
      </w:r>
      <w:r>
        <w:rPr>
          <w:rFonts w:ascii="Arial"/>
          <w:b/>
          <w:spacing w:val="-2"/>
        </w:rPr>
        <w:t>elderly</w:t>
      </w:r>
    </w:p>
    <w:p w14:paraId="53B38DD5" w14:textId="77777777" w:rsidR="008B6261" w:rsidRDefault="004C6B8B">
      <w:pPr>
        <w:pStyle w:val="BodyText"/>
        <w:ind w:left="23" w:right="590"/>
        <w:jc w:val="both"/>
      </w:pPr>
      <w:r>
        <w:t xml:space="preserve">The safety and efficacy of CENRIFKI in patients greater than 65 years of age have not been </w:t>
      </w:r>
      <w:bookmarkStart w:id="29" w:name="Paediatric_use"/>
      <w:bookmarkEnd w:id="29"/>
      <w:r>
        <w:rPr>
          <w:spacing w:val="-2"/>
        </w:rPr>
        <w:t>established.</w:t>
      </w:r>
    </w:p>
    <w:p w14:paraId="53B38DD6" w14:textId="77777777" w:rsidR="008B6261" w:rsidRDefault="008B6261">
      <w:pPr>
        <w:pStyle w:val="BodyText"/>
        <w:spacing w:before="85"/>
      </w:pPr>
    </w:p>
    <w:p w14:paraId="53B38DD7" w14:textId="77777777" w:rsidR="008B6261" w:rsidRDefault="004C6B8B">
      <w:pPr>
        <w:ind w:left="23"/>
        <w:rPr>
          <w:rFonts w:ascii="Arial"/>
          <w:b/>
        </w:rPr>
      </w:pPr>
      <w:r>
        <w:rPr>
          <w:rFonts w:ascii="Arial"/>
          <w:b/>
        </w:rPr>
        <w:t>Paediatric</w:t>
      </w:r>
      <w:r>
        <w:rPr>
          <w:rFonts w:ascii="Arial"/>
          <w:b/>
          <w:spacing w:val="-5"/>
        </w:rPr>
        <w:t xml:space="preserve"> use</w:t>
      </w:r>
    </w:p>
    <w:p w14:paraId="53B38DD8" w14:textId="77777777" w:rsidR="008B6261" w:rsidRDefault="004C6B8B">
      <w:pPr>
        <w:pStyle w:val="BodyText"/>
        <w:ind w:left="23" w:right="587"/>
        <w:jc w:val="both"/>
      </w:pPr>
      <w:r>
        <w:t>The</w:t>
      </w:r>
      <w:r>
        <w:rPr>
          <w:spacing w:val="-3"/>
        </w:rPr>
        <w:t xml:space="preserve"> </w:t>
      </w:r>
      <w:r>
        <w:t>safety</w:t>
      </w:r>
      <w:r>
        <w:rPr>
          <w:spacing w:val="-2"/>
        </w:rPr>
        <w:t xml:space="preserve"> </w:t>
      </w:r>
      <w:r>
        <w:t>and efficacy of</w:t>
      </w:r>
      <w:r>
        <w:rPr>
          <w:spacing w:val="-3"/>
        </w:rPr>
        <w:t xml:space="preserve"> </w:t>
      </w:r>
      <w:r>
        <w:t>CENRIFKI</w:t>
      </w:r>
      <w:r>
        <w:rPr>
          <w:spacing w:val="-3"/>
        </w:rPr>
        <w:t xml:space="preserve"> </w:t>
      </w:r>
      <w:r>
        <w:t>in</w:t>
      </w:r>
      <w:r>
        <w:rPr>
          <w:spacing w:val="-2"/>
        </w:rPr>
        <w:t xml:space="preserve"> </w:t>
      </w:r>
      <w:r>
        <w:t>children and</w:t>
      </w:r>
      <w:r>
        <w:rPr>
          <w:spacing w:val="-2"/>
        </w:rPr>
        <w:t xml:space="preserve"> </w:t>
      </w:r>
      <w:r>
        <w:t>adolescents</w:t>
      </w:r>
      <w:r>
        <w:rPr>
          <w:spacing w:val="-2"/>
        </w:rPr>
        <w:t xml:space="preserve"> </w:t>
      </w:r>
      <w:r>
        <w:t>below</w:t>
      </w:r>
      <w:r>
        <w:rPr>
          <w:spacing w:val="-1"/>
        </w:rPr>
        <w:t xml:space="preserve"> </w:t>
      </w:r>
      <w:r>
        <w:t>18</w:t>
      </w:r>
      <w:r>
        <w:rPr>
          <w:spacing w:val="-2"/>
        </w:rPr>
        <w:t xml:space="preserve"> </w:t>
      </w:r>
      <w:r>
        <w:t>years of</w:t>
      </w:r>
      <w:r>
        <w:rPr>
          <w:spacing w:val="-3"/>
        </w:rPr>
        <w:t xml:space="preserve"> </w:t>
      </w:r>
      <w:r>
        <w:t>age</w:t>
      </w:r>
      <w:r>
        <w:rPr>
          <w:spacing w:val="-3"/>
        </w:rPr>
        <w:t xml:space="preserve"> </w:t>
      </w:r>
      <w:r>
        <w:t>have not been established. No data are available.</w:t>
      </w:r>
    </w:p>
    <w:p w14:paraId="53B38DD9" w14:textId="77777777" w:rsidR="008B6261" w:rsidRDefault="008B6261">
      <w:pPr>
        <w:pStyle w:val="BodyText"/>
        <w:spacing w:before="85"/>
      </w:pPr>
    </w:p>
    <w:p w14:paraId="53B38DDA" w14:textId="77777777" w:rsidR="008B6261" w:rsidRDefault="004C6B8B">
      <w:pPr>
        <w:ind w:left="23"/>
        <w:rPr>
          <w:rFonts w:ascii="Arial"/>
          <w:b/>
        </w:rPr>
      </w:pPr>
      <w:bookmarkStart w:id="30" w:name="Effects_on_laboratory_tests"/>
      <w:bookmarkEnd w:id="30"/>
      <w:r>
        <w:rPr>
          <w:rFonts w:ascii="Arial"/>
          <w:b/>
        </w:rPr>
        <w:t>Effects</w:t>
      </w:r>
      <w:r>
        <w:rPr>
          <w:rFonts w:ascii="Arial"/>
          <w:b/>
          <w:spacing w:val="-6"/>
        </w:rPr>
        <w:t xml:space="preserve"> </w:t>
      </w:r>
      <w:r>
        <w:rPr>
          <w:rFonts w:ascii="Arial"/>
          <w:b/>
        </w:rPr>
        <w:t>on</w:t>
      </w:r>
      <w:r>
        <w:rPr>
          <w:rFonts w:ascii="Arial"/>
          <w:b/>
          <w:spacing w:val="-5"/>
        </w:rPr>
        <w:t xml:space="preserve"> </w:t>
      </w:r>
      <w:r>
        <w:rPr>
          <w:rFonts w:ascii="Arial"/>
          <w:b/>
        </w:rPr>
        <w:t>laboratory</w:t>
      </w:r>
      <w:r>
        <w:rPr>
          <w:rFonts w:ascii="Arial"/>
          <w:b/>
          <w:spacing w:val="-5"/>
        </w:rPr>
        <w:t xml:space="preserve"> </w:t>
      </w:r>
      <w:r>
        <w:rPr>
          <w:rFonts w:ascii="Arial"/>
          <w:b/>
          <w:spacing w:val="-2"/>
        </w:rPr>
        <w:t>tests</w:t>
      </w:r>
    </w:p>
    <w:p w14:paraId="53B38DDB" w14:textId="77777777" w:rsidR="008B6261" w:rsidRDefault="004C6B8B">
      <w:pPr>
        <w:pStyle w:val="BodyText"/>
        <w:spacing w:before="241"/>
        <w:ind w:left="23"/>
        <w:jc w:val="both"/>
      </w:pPr>
      <w:r>
        <w:t>No</w:t>
      </w:r>
      <w:r>
        <w:rPr>
          <w:spacing w:val="-1"/>
        </w:rPr>
        <w:t xml:space="preserve"> </w:t>
      </w:r>
      <w:r>
        <w:t>data</w:t>
      </w:r>
      <w:r>
        <w:rPr>
          <w:spacing w:val="-2"/>
        </w:rPr>
        <w:t xml:space="preserve"> available.</w:t>
      </w:r>
    </w:p>
    <w:p w14:paraId="53B38DDC" w14:textId="77777777" w:rsidR="008B6261" w:rsidRDefault="008B6261">
      <w:pPr>
        <w:pStyle w:val="BodyText"/>
        <w:spacing w:before="241"/>
      </w:pPr>
    </w:p>
    <w:p w14:paraId="53B38DDD" w14:textId="77777777" w:rsidR="008B6261" w:rsidRDefault="004C6B8B">
      <w:pPr>
        <w:pStyle w:val="ListParagraph"/>
        <w:numPr>
          <w:ilvl w:val="1"/>
          <w:numId w:val="4"/>
        </w:numPr>
        <w:tabs>
          <w:tab w:val="left" w:pos="702"/>
        </w:tabs>
        <w:ind w:right="1951"/>
        <w:rPr>
          <w:b/>
        </w:rPr>
      </w:pPr>
      <w:bookmarkStart w:id="31" w:name="4.5_Interactions_with_other_medicines_an"/>
      <w:bookmarkStart w:id="32" w:name="_bookmark4"/>
      <w:bookmarkEnd w:id="31"/>
      <w:bookmarkEnd w:id="32"/>
      <w:r>
        <w:rPr>
          <w:b/>
        </w:rPr>
        <w:t>INTERACTIONS</w:t>
      </w:r>
      <w:r>
        <w:rPr>
          <w:b/>
          <w:spacing w:val="-4"/>
        </w:rPr>
        <w:t xml:space="preserve"> </w:t>
      </w:r>
      <w:r>
        <w:rPr>
          <w:b/>
        </w:rPr>
        <w:t>WITH</w:t>
      </w:r>
      <w:r>
        <w:rPr>
          <w:b/>
          <w:spacing w:val="-7"/>
        </w:rPr>
        <w:t xml:space="preserve"> </w:t>
      </w:r>
      <w:r>
        <w:rPr>
          <w:b/>
        </w:rPr>
        <w:t>OTHER</w:t>
      </w:r>
      <w:r>
        <w:rPr>
          <w:b/>
          <w:spacing w:val="-4"/>
        </w:rPr>
        <w:t xml:space="preserve"> </w:t>
      </w:r>
      <w:r>
        <w:rPr>
          <w:b/>
        </w:rPr>
        <w:t>MEDICINES</w:t>
      </w:r>
      <w:r>
        <w:rPr>
          <w:b/>
          <w:spacing w:val="-6"/>
        </w:rPr>
        <w:t xml:space="preserve"> </w:t>
      </w:r>
      <w:r>
        <w:rPr>
          <w:b/>
        </w:rPr>
        <w:t>AND</w:t>
      </w:r>
      <w:r>
        <w:rPr>
          <w:b/>
          <w:spacing w:val="-4"/>
        </w:rPr>
        <w:t xml:space="preserve"> </w:t>
      </w:r>
      <w:r>
        <w:rPr>
          <w:b/>
        </w:rPr>
        <w:t>OTHER</w:t>
      </w:r>
      <w:r>
        <w:rPr>
          <w:b/>
          <w:spacing w:val="-4"/>
        </w:rPr>
        <w:t xml:space="preserve"> </w:t>
      </w:r>
      <w:r>
        <w:rPr>
          <w:b/>
        </w:rPr>
        <w:t>FORMS</w:t>
      </w:r>
      <w:r>
        <w:rPr>
          <w:b/>
          <w:spacing w:val="-6"/>
        </w:rPr>
        <w:t xml:space="preserve"> </w:t>
      </w:r>
      <w:r>
        <w:rPr>
          <w:b/>
        </w:rPr>
        <w:t xml:space="preserve">OF </w:t>
      </w:r>
      <w:r>
        <w:rPr>
          <w:b/>
          <w:spacing w:val="-2"/>
        </w:rPr>
        <w:t>INTERACTIONS</w:t>
      </w:r>
    </w:p>
    <w:p w14:paraId="53B38DDE" w14:textId="77777777" w:rsidR="008B6261" w:rsidRDefault="008B6261">
      <w:pPr>
        <w:pStyle w:val="BodyText"/>
        <w:spacing w:before="107"/>
        <w:rPr>
          <w:rFonts w:ascii="Arial"/>
          <w:b/>
          <w:sz w:val="22"/>
        </w:rPr>
      </w:pPr>
    </w:p>
    <w:p w14:paraId="53B38DDF" w14:textId="77777777" w:rsidR="008B6261" w:rsidRDefault="004C6B8B">
      <w:pPr>
        <w:ind w:left="23"/>
        <w:rPr>
          <w:rFonts w:ascii="Arial"/>
          <w:b/>
        </w:rPr>
      </w:pPr>
      <w:bookmarkStart w:id="33" w:name="Effect_of_enzymes_and_transporters_on_to"/>
      <w:bookmarkEnd w:id="33"/>
      <w:r>
        <w:rPr>
          <w:rFonts w:ascii="Arial"/>
          <w:b/>
        </w:rPr>
        <w:t>Effect</w:t>
      </w:r>
      <w:r>
        <w:rPr>
          <w:rFonts w:ascii="Arial"/>
          <w:b/>
          <w:spacing w:val="-5"/>
        </w:rPr>
        <w:t xml:space="preserve"> </w:t>
      </w:r>
      <w:r>
        <w:rPr>
          <w:rFonts w:ascii="Arial"/>
          <w:b/>
        </w:rPr>
        <w:t>of</w:t>
      </w:r>
      <w:r>
        <w:rPr>
          <w:rFonts w:ascii="Arial"/>
          <w:b/>
          <w:spacing w:val="-5"/>
        </w:rPr>
        <w:t xml:space="preserve"> </w:t>
      </w:r>
      <w:r>
        <w:rPr>
          <w:rFonts w:ascii="Arial"/>
          <w:b/>
        </w:rPr>
        <w:t>enzymes</w:t>
      </w:r>
      <w:r>
        <w:rPr>
          <w:rFonts w:ascii="Arial"/>
          <w:b/>
          <w:spacing w:val="-3"/>
        </w:rPr>
        <w:t xml:space="preserve"> </w:t>
      </w:r>
      <w:r>
        <w:rPr>
          <w:rFonts w:ascii="Arial"/>
          <w:b/>
        </w:rPr>
        <w:t>and</w:t>
      </w:r>
      <w:r>
        <w:rPr>
          <w:rFonts w:ascii="Arial"/>
          <w:b/>
          <w:spacing w:val="-9"/>
        </w:rPr>
        <w:t xml:space="preserve"> </w:t>
      </w:r>
      <w:r>
        <w:rPr>
          <w:rFonts w:ascii="Arial"/>
          <w:b/>
        </w:rPr>
        <w:t>transporters</w:t>
      </w:r>
      <w:r>
        <w:rPr>
          <w:rFonts w:ascii="Arial"/>
          <w:b/>
          <w:spacing w:val="-5"/>
        </w:rPr>
        <w:t xml:space="preserve"> </w:t>
      </w:r>
      <w:r>
        <w:rPr>
          <w:rFonts w:ascii="Arial"/>
          <w:b/>
        </w:rPr>
        <w:t>on</w:t>
      </w:r>
      <w:r>
        <w:rPr>
          <w:rFonts w:ascii="Arial"/>
          <w:b/>
          <w:spacing w:val="-5"/>
        </w:rPr>
        <w:t xml:space="preserve"> </w:t>
      </w:r>
      <w:r>
        <w:rPr>
          <w:rFonts w:ascii="Arial"/>
          <w:b/>
          <w:spacing w:val="-2"/>
        </w:rPr>
        <w:t>tolebrutinib</w:t>
      </w:r>
    </w:p>
    <w:p w14:paraId="53B38DE0" w14:textId="77777777" w:rsidR="008B6261" w:rsidRDefault="008B6261">
      <w:pPr>
        <w:pStyle w:val="BodyText"/>
        <w:spacing w:before="106"/>
        <w:rPr>
          <w:rFonts w:ascii="Arial"/>
          <w:b/>
          <w:sz w:val="22"/>
        </w:rPr>
      </w:pPr>
    </w:p>
    <w:p w14:paraId="53B38DE1" w14:textId="77777777" w:rsidR="008B6261" w:rsidRDefault="004C6B8B">
      <w:pPr>
        <w:ind w:left="23"/>
        <w:rPr>
          <w:rFonts w:ascii="Arial"/>
          <w:b/>
          <w:i/>
        </w:rPr>
      </w:pPr>
      <w:r>
        <w:rPr>
          <w:rFonts w:ascii="Arial"/>
          <w:b/>
          <w:i/>
          <w:spacing w:val="-2"/>
        </w:rPr>
        <w:t>Enzymes</w:t>
      </w:r>
    </w:p>
    <w:p w14:paraId="53B38DE2" w14:textId="77777777" w:rsidR="008B6261" w:rsidRDefault="004C6B8B">
      <w:pPr>
        <w:pStyle w:val="BodyText"/>
        <w:ind w:left="23" w:right="584"/>
        <w:jc w:val="both"/>
      </w:pPr>
      <w:r>
        <w:rPr>
          <w:i/>
        </w:rPr>
        <w:t>In</w:t>
      </w:r>
      <w:r>
        <w:rPr>
          <w:i/>
          <w:spacing w:val="-1"/>
        </w:rPr>
        <w:t xml:space="preserve"> </w:t>
      </w:r>
      <w:r>
        <w:rPr>
          <w:i/>
        </w:rPr>
        <w:t>vitro</w:t>
      </w:r>
      <w:r>
        <w:rPr>
          <w:i/>
          <w:spacing w:val="-1"/>
        </w:rPr>
        <w:t xml:space="preserve"> </w:t>
      </w:r>
      <w:r>
        <w:t>tolebrutinib</w:t>
      </w:r>
      <w:r>
        <w:rPr>
          <w:spacing w:val="-3"/>
        </w:rPr>
        <w:t xml:space="preserve"> </w:t>
      </w:r>
      <w:r>
        <w:t>is</w:t>
      </w:r>
      <w:r>
        <w:rPr>
          <w:spacing w:val="-1"/>
        </w:rPr>
        <w:t xml:space="preserve"> </w:t>
      </w:r>
      <w:r>
        <w:t>metabolised</w:t>
      </w:r>
      <w:r>
        <w:rPr>
          <w:spacing w:val="-1"/>
        </w:rPr>
        <w:t xml:space="preserve"> </w:t>
      </w:r>
      <w:r>
        <w:t>mainly</w:t>
      </w:r>
      <w:r>
        <w:rPr>
          <w:spacing w:val="-1"/>
        </w:rPr>
        <w:t xml:space="preserve"> </w:t>
      </w:r>
      <w:r>
        <w:t>by</w:t>
      </w:r>
      <w:r>
        <w:rPr>
          <w:spacing w:val="-1"/>
        </w:rPr>
        <w:t xml:space="preserve"> </w:t>
      </w:r>
      <w:r>
        <w:t>CYP2C8</w:t>
      </w:r>
      <w:r>
        <w:rPr>
          <w:spacing w:val="-1"/>
        </w:rPr>
        <w:t xml:space="preserve"> </w:t>
      </w:r>
      <w:r>
        <w:t>and</w:t>
      </w:r>
      <w:r>
        <w:rPr>
          <w:spacing w:val="-1"/>
        </w:rPr>
        <w:t xml:space="preserve"> </w:t>
      </w:r>
      <w:r>
        <w:t>CYP3A4</w:t>
      </w:r>
      <w:r>
        <w:rPr>
          <w:spacing w:val="-1"/>
        </w:rPr>
        <w:t xml:space="preserve"> </w:t>
      </w:r>
      <w:r>
        <w:t>and</w:t>
      </w:r>
      <w:r>
        <w:rPr>
          <w:spacing w:val="-1"/>
        </w:rPr>
        <w:t xml:space="preserve"> </w:t>
      </w:r>
      <w:r>
        <w:t>to</w:t>
      </w:r>
      <w:r>
        <w:rPr>
          <w:spacing w:val="-1"/>
        </w:rPr>
        <w:t xml:space="preserve"> </w:t>
      </w:r>
      <w:r>
        <w:t>a</w:t>
      </w:r>
      <w:r>
        <w:rPr>
          <w:spacing w:val="-2"/>
        </w:rPr>
        <w:t xml:space="preserve"> </w:t>
      </w:r>
      <w:r>
        <w:t>lesser</w:t>
      </w:r>
      <w:r>
        <w:rPr>
          <w:spacing w:val="-2"/>
        </w:rPr>
        <w:t xml:space="preserve"> </w:t>
      </w:r>
      <w:r>
        <w:t>extent</w:t>
      </w:r>
      <w:r>
        <w:rPr>
          <w:spacing w:val="-1"/>
        </w:rPr>
        <w:t xml:space="preserve"> </w:t>
      </w:r>
      <w:r>
        <w:t xml:space="preserve">by CYP2J2 and CYP2D6. </w:t>
      </w:r>
      <w:r>
        <w:rPr>
          <w:i/>
        </w:rPr>
        <w:t>In vivo</w:t>
      </w:r>
      <w:r>
        <w:t>, tolebrutinib is mainly metabolised by CYP2C8 and to a</w:t>
      </w:r>
      <w:r>
        <w:rPr>
          <w:spacing w:val="-1"/>
        </w:rPr>
        <w:t xml:space="preserve"> </w:t>
      </w:r>
      <w:r>
        <w:t>lesser extent by CYP3A4. The active metabolite M2 is formed from tolebrutinib exclusively via CYP2C8 and is mainly metabolised by CYP3A4/5 and, to a lesser extent, by CYP2D6.</w:t>
      </w:r>
    </w:p>
    <w:p w14:paraId="53B38DE3" w14:textId="77777777" w:rsidR="008B6261" w:rsidRDefault="008B6261">
      <w:pPr>
        <w:pStyle w:val="BodyText"/>
        <w:spacing w:before="85"/>
      </w:pPr>
    </w:p>
    <w:p w14:paraId="53B38DE4" w14:textId="77777777" w:rsidR="008B6261" w:rsidRDefault="004C6B8B">
      <w:pPr>
        <w:ind w:left="23"/>
        <w:rPr>
          <w:rFonts w:ascii="Arial"/>
          <w:b/>
          <w:i/>
        </w:rPr>
      </w:pPr>
      <w:r>
        <w:rPr>
          <w:rFonts w:ascii="Arial"/>
          <w:b/>
          <w:i/>
          <w:spacing w:val="-2"/>
        </w:rPr>
        <w:t>Transporters</w:t>
      </w:r>
    </w:p>
    <w:p w14:paraId="53B38DE5" w14:textId="77777777" w:rsidR="008B6261" w:rsidRDefault="004C6B8B">
      <w:pPr>
        <w:pStyle w:val="BodyText"/>
        <w:spacing w:before="241"/>
        <w:ind w:left="23" w:right="585"/>
        <w:jc w:val="both"/>
        <w:rPr>
          <w:spacing w:val="-2"/>
        </w:rPr>
      </w:pPr>
      <w:r>
        <w:t>Tolebrutinib</w:t>
      </w:r>
      <w:r>
        <w:rPr>
          <w:spacing w:val="-5"/>
        </w:rPr>
        <w:t xml:space="preserve"> </w:t>
      </w:r>
      <w:r>
        <w:t>is</w:t>
      </w:r>
      <w:r>
        <w:rPr>
          <w:spacing w:val="-5"/>
        </w:rPr>
        <w:t xml:space="preserve"> </w:t>
      </w:r>
      <w:r>
        <w:t>not</w:t>
      </w:r>
      <w:r>
        <w:rPr>
          <w:spacing w:val="-4"/>
        </w:rPr>
        <w:t xml:space="preserve"> </w:t>
      </w:r>
      <w:r>
        <w:t>a</w:t>
      </w:r>
      <w:r>
        <w:rPr>
          <w:spacing w:val="-6"/>
        </w:rPr>
        <w:t xml:space="preserve"> </w:t>
      </w:r>
      <w:r>
        <w:t>substrate</w:t>
      </w:r>
      <w:r>
        <w:rPr>
          <w:spacing w:val="-6"/>
        </w:rPr>
        <w:t xml:space="preserve"> </w:t>
      </w:r>
      <w:r>
        <w:t>of</w:t>
      </w:r>
      <w:r>
        <w:rPr>
          <w:spacing w:val="-3"/>
        </w:rPr>
        <w:t xml:space="preserve"> </w:t>
      </w:r>
      <w:r>
        <w:t>P-glycoprotein,</w:t>
      </w:r>
      <w:r>
        <w:rPr>
          <w:spacing w:val="-5"/>
        </w:rPr>
        <w:t xml:space="preserve"> </w:t>
      </w:r>
      <w:r>
        <w:t>BCRP,</w:t>
      </w:r>
      <w:r>
        <w:rPr>
          <w:spacing w:val="-5"/>
        </w:rPr>
        <w:t xml:space="preserve"> </w:t>
      </w:r>
      <w:r>
        <w:t>BSEP,</w:t>
      </w:r>
      <w:r>
        <w:rPr>
          <w:spacing w:val="-5"/>
        </w:rPr>
        <w:t xml:space="preserve"> </w:t>
      </w:r>
      <w:r>
        <w:t>MRP2,</w:t>
      </w:r>
      <w:r>
        <w:rPr>
          <w:spacing w:val="-5"/>
        </w:rPr>
        <w:t xml:space="preserve"> </w:t>
      </w:r>
      <w:r>
        <w:t>OATP,</w:t>
      </w:r>
      <w:r>
        <w:rPr>
          <w:spacing w:val="-5"/>
        </w:rPr>
        <w:t xml:space="preserve"> </w:t>
      </w:r>
      <w:r>
        <w:t>OCT1,</w:t>
      </w:r>
      <w:r>
        <w:rPr>
          <w:spacing w:val="-5"/>
        </w:rPr>
        <w:t xml:space="preserve"> </w:t>
      </w:r>
      <w:r>
        <w:t>NTCP, OCT2,</w:t>
      </w:r>
      <w:r>
        <w:rPr>
          <w:spacing w:val="-12"/>
        </w:rPr>
        <w:t xml:space="preserve"> </w:t>
      </w:r>
      <w:r>
        <w:t>OAT1,</w:t>
      </w:r>
      <w:r>
        <w:rPr>
          <w:spacing w:val="-12"/>
        </w:rPr>
        <w:t xml:space="preserve"> </w:t>
      </w:r>
      <w:r>
        <w:t>OAT3,</w:t>
      </w:r>
      <w:r>
        <w:rPr>
          <w:spacing w:val="-10"/>
        </w:rPr>
        <w:t xml:space="preserve"> </w:t>
      </w:r>
      <w:r>
        <w:t>MATE1</w:t>
      </w:r>
      <w:r>
        <w:rPr>
          <w:spacing w:val="-12"/>
        </w:rPr>
        <w:t xml:space="preserve"> </w:t>
      </w:r>
      <w:r>
        <w:t>and</w:t>
      </w:r>
      <w:r>
        <w:rPr>
          <w:spacing w:val="-12"/>
        </w:rPr>
        <w:t xml:space="preserve"> </w:t>
      </w:r>
      <w:r>
        <w:t>MATE2-K.</w:t>
      </w:r>
      <w:r>
        <w:rPr>
          <w:spacing w:val="-12"/>
        </w:rPr>
        <w:t xml:space="preserve"> </w:t>
      </w:r>
      <w:r>
        <w:t>M2</w:t>
      </w:r>
      <w:r>
        <w:rPr>
          <w:spacing w:val="-12"/>
        </w:rPr>
        <w:t xml:space="preserve"> </w:t>
      </w:r>
      <w:r>
        <w:t>is</w:t>
      </w:r>
      <w:r>
        <w:rPr>
          <w:spacing w:val="-12"/>
        </w:rPr>
        <w:t xml:space="preserve"> </w:t>
      </w:r>
      <w:r>
        <w:t>a</w:t>
      </w:r>
      <w:r>
        <w:rPr>
          <w:spacing w:val="-13"/>
        </w:rPr>
        <w:t xml:space="preserve"> </w:t>
      </w:r>
      <w:r>
        <w:t>substrate</w:t>
      </w:r>
      <w:r>
        <w:rPr>
          <w:spacing w:val="-13"/>
        </w:rPr>
        <w:t xml:space="preserve"> </w:t>
      </w:r>
      <w:r>
        <w:t>of</w:t>
      </w:r>
      <w:r>
        <w:rPr>
          <w:spacing w:val="-13"/>
        </w:rPr>
        <w:t xml:space="preserve"> </w:t>
      </w:r>
      <w:r>
        <w:t>P-glycoprotein,</w:t>
      </w:r>
      <w:r>
        <w:rPr>
          <w:spacing w:val="-12"/>
        </w:rPr>
        <w:t xml:space="preserve"> </w:t>
      </w:r>
      <w:r>
        <w:t>BCRP</w:t>
      </w:r>
      <w:r>
        <w:rPr>
          <w:spacing w:val="-11"/>
        </w:rPr>
        <w:t xml:space="preserve"> </w:t>
      </w:r>
      <w:r>
        <w:t xml:space="preserve">and </w:t>
      </w:r>
      <w:r>
        <w:rPr>
          <w:spacing w:val="-2"/>
        </w:rPr>
        <w:lastRenderedPageBreak/>
        <w:t>MATE1,</w:t>
      </w:r>
      <w:r>
        <w:rPr>
          <w:spacing w:val="-10"/>
        </w:rPr>
        <w:t xml:space="preserve"> </w:t>
      </w:r>
      <w:r>
        <w:rPr>
          <w:spacing w:val="-2"/>
        </w:rPr>
        <w:t>but</w:t>
      </w:r>
      <w:r>
        <w:rPr>
          <w:spacing w:val="-6"/>
        </w:rPr>
        <w:t xml:space="preserve"> </w:t>
      </w:r>
      <w:r>
        <w:rPr>
          <w:spacing w:val="-2"/>
        </w:rPr>
        <w:t>not</w:t>
      </w:r>
      <w:r>
        <w:rPr>
          <w:spacing w:val="-6"/>
        </w:rPr>
        <w:t xml:space="preserve"> </w:t>
      </w:r>
      <w:r>
        <w:rPr>
          <w:spacing w:val="-2"/>
        </w:rPr>
        <w:t>of</w:t>
      </w:r>
      <w:r>
        <w:rPr>
          <w:spacing w:val="-5"/>
        </w:rPr>
        <w:t xml:space="preserve"> </w:t>
      </w:r>
      <w:r>
        <w:rPr>
          <w:spacing w:val="-2"/>
        </w:rPr>
        <w:t>BSEP,</w:t>
      </w:r>
      <w:r>
        <w:rPr>
          <w:spacing w:val="-8"/>
        </w:rPr>
        <w:t xml:space="preserve"> </w:t>
      </w:r>
      <w:r>
        <w:rPr>
          <w:spacing w:val="-2"/>
        </w:rPr>
        <w:t>MRP2,</w:t>
      </w:r>
      <w:r>
        <w:rPr>
          <w:spacing w:val="-7"/>
        </w:rPr>
        <w:t xml:space="preserve"> </w:t>
      </w:r>
      <w:r>
        <w:rPr>
          <w:spacing w:val="-2"/>
        </w:rPr>
        <w:t>OCT2,</w:t>
      </w:r>
      <w:r>
        <w:rPr>
          <w:spacing w:val="-7"/>
        </w:rPr>
        <w:t xml:space="preserve"> </w:t>
      </w:r>
      <w:r>
        <w:rPr>
          <w:spacing w:val="-2"/>
        </w:rPr>
        <w:t>OAT1,</w:t>
      </w:r>
      <w:r>
        <w:rPr>
          <w:spacing w:val="-4"/>
        </w:rPr>
        <w:t xml:space="preserve"> </w:t>
      </w:r>
      <w:r>
        <w:rPr>
          <w:spacing w:val="-2"/>
        </w:rPr>
        <w:t>OAT3,</w:t>
      </w:r>
      <w:r>
        <w:rPr>
          <w:spacing w:val="-8"/>
        </w:rPr>
        <w:t xml:space="preserve"> </w:t>
      </w:r>
      <w:r>
        <w:rPr>
          <w:spacing w:val="-2"/>
        </w:rPr>
        <w:t>MATE2-K,</w:t>
      </w:r>
      <w:r>
        <w:rPr>
          <w:spacing w:val="-7"/>
        </w:rPr>
        <w:t xml:space="preserve"> </w:t>
      </w:r>
      <w:r>
        <w:rPr>
          <w:spacing w:val="-2"/>
        </w:rPr>
        <w:t>OATP,</w:t>
      </w:r>
      <w:r>
        <w:rPr>
          <w:spacing w:val="-4"/>
        </w:rPr>
        <w:t xml:space="preserve"> </w:t>
      </w:r>
      <w:r>
        <w:rPr>
          <w:spacing w:val="-2"/>
        </w:rPr>
        <w:t>OCT1</w:t>
      </w:r>
      <w:r>
        <w:rPr>
          <w:spacing w:val="-7"/>
        </w:rPr>
        <w:t xml:space="preserve"> </w:t>
      </w:r>
      <w:r>
        <w:rPr>
          <w:spacing w:val="-2"/>
        </w:rPr>
        <w:t>and</w:t>
      </w:r>
      <w:r>
        <w:rPr>
          <w:spacing w:val="-7"/>
        </w:rPr>
        <w:t xml:space="preserve"> </w:t>
      </w:r>
      <w:r>
        <w:rPr>
          <w:spacing w:val="-2"/>
        </w:rPr>
        <w:t>NTCP.</w:t>
      </w:r>
    </w:p>
    <w:p w14:paraId="4A317E13" w14:textId="77777777" w:rsidR="00790B46" w:rsidRDefault="00790B46">
      <w:pPr>
        <w:pStyle w:val="BodyText"/>
        <w:spacing w:before="241"/>
        <w:ind w:left="23" w:right="585"/>
        <w:jc w:val="both"/>
        <w:rPr>
          <w:spacing w:val="-2"/>
        </w:rPr>
      </w:pPr>
    </w:p>
    <w:p w14:paraId="53B38DE7" w14:textId="1CAE6810" w:rsidR="008B6261" w:rsidRDefault="004C6B8B" w:rsidP="00A77020">
      <w:pPr>
        <w:spacing w:before="81"/>
        <w:rPr>
          <w:rFonts w:ascii="Arial"/>
          <w:b/>
        </w:rPr>
      </w:pPr>
      <w:bookmarkStart w:id="34" w:name="Effect_of_other_medicinal_products_on_to"/>
      <w:bookmarkEnd w:id="34"/>
      <w:r>
        <w:rPr>
          <w:rFonts w:ascii="Arial"/>
          <w:b/>
        </w:rPr>
        <w:t>Effect</w:t>
      </w:r>
      <w:r>
        <w:rPr>
          <w:rFonts w:ascii="Arial"/>
          <w:b/>
          <w:spacing w:val="-5"/>
        </w:rPr>
        <w:t xml:space="preserve"> </w:t>
      </w:r>
      <w:r>
        <w:rPr>
          <w:rFonts w:ascii="Arial"/>
          <w:b/>
        </w:rPr>
        <w:t>of</w:t>
      </w:r>
      <w:r>
        <w:rPr>
          <w:rFonts w:ascii="Arial"/>
          <w:b/>
          <w:spacing w:val="-5"/>
        </w:rPr>
        <w:t xml:space="preserve"> </w:t>
      </w:r>
      <w:r>
        <w:rPr>
          <w:rFonts w:ascii="Arial"/>
          <w:b/>
        </w:rPr>
        <w:t>other</w:t>
      </w:r>
      <w:r>
        <w:rPr>
          <w:rFonts w:ascii="Arial"/>
          <w:b/>
          <w:spacing w:val="-5"/>
        </w:rPr>
        <w:t xml:space="preserve"> </w:t>
      </w:r>
      <w:r>
        <w:rPr>
          <w:rFonts w:ascii="Arial"/>
          <w:b/>
        </w:rPr>
        <w:t>medicinal</w:t>
      </w:r>
      <w:r>
        <w:rPr>
          <w:rFonts w:ascii="Arial"/>
          <w:b/>
          <w:spacing w:val="-3"/>
        </w:rPr>
        <w:t xml:space="preserve"> </w:t>
      </w:r>
      <w:r>
        <w:rPr>
          <w:rFonts w:ascii="Arial"/>
          <w:b/>
        </w:rPr>
        <w:t>products</w:t>
      </w:r>
      <w:r>
        <w:rPr>
          <w:rFonts w:ascii="Arial"/>
          <w:b/>
          <w:spacing w:val="-4"/>
        </w:rPr>
        <w:t xml:space="preserve"> </w:t>
      </w:r>
      <w:r>
        <w:rPr>
          <w:rFonts w:ascii="Arial"/>
          <w:b/>
        </w:rPr>
        <w:t>on</w:t>
      </w:r>
      <w:r>
        <w:rPr>
          <w:rFonts w:ascii="Arial"/>
          <w:b/>
          <w:spacing w:val="-5"/>
        </w:rPr>
        <w:t xml:space="preserve"> </w:t>
      </w:r>
      <w:r>
        <w:rPr>
          <w:rFonts w:ascii="Arial"/>
          <w:b/>
          <w:spacing w:val="-2"/>
        </w:rPr>
        <w:t>tolebrutinib</w:t>
      </w:r>
    </w:p>
    <w:p w14:paraId="53B38DE8" w14:textId="77777777" w:rsidR="008B6261" w:rsidRDefault="008B6261">
      <w:pPr>
        <w:pStyle w:val="BodyText"/>
        <w:spacing w:before="106"/>
        <w:rPr>
          <w:rFonts w:ascii="Arial"/>
          <w:b/>
          <w:sz w:val="22"/>
        </w:rPr>
      </w:pPr>
    </w:p>
    <w:p w14:paraId="53B38DE9" w14:textId="77777777" w:rsidR="008B6261" w:rsidRDefault="004C6B8B">
      <w:pPr>
        <w:ind w:left="23"/>
        <w:rPr>
          <w:rFonts w:ascii="Arial"/>
          <w:b/>
          <w:i/>
        </w:rPr>
      </w:pPr>
      <w:bookmarkStart w:id="35" w:name="Immunosuppressants"/>
      <w:bookmarkEnd w:id="35"/>
      <w:r>
        <w:rPr>
          <w:rFonts w:ascii="Arial"/>
          <w:b/>
          <w:i/>
          <w:spacing w:val="-2"/>
        </w:rPr>
        <w:t>Immunosuppressants</w:t>
      </w:r>
    </w:p>
    <w:p w14:paraId="53B38DEA" w14:textId="77777777" w:rsidR="008B6261" w:rsidRDefault="004C6B8B">
      <w:pPr>
        <w:pStyle w:val="BodyText"/>
        <w:spacing w:before="241"/>
        <w:ind w:left="23" w:right="586"/>
        <w:jc w:val="both"/>
      </w:pPr>
      <w:r>
        <w:t>Caution should be exercised when using other immunosuppressant drugs (e.g., chronic corticosteroids,</w:t>
      </w:r>
      <w:r>
        <w:rPr>
          <w:spacing w:val="-15"/>
        </w:rPr>
        <w:t xml:space="preserve"> </w:t>
      </w:r>
      <w:r>
        <w:t>non-biologic</w:t>
      </w:r>
      <w:r>
        <w:rPr>
          <w:spacing w:val="-15"/>
        </w:rPr>
        <w:t xml:space="preserve"> </w:t>
      </w:r>
      <w:r>
        <w:t>and</w:t>
      </w:r>
      <w:r>
        <w:rPr>
          <w:spacing w:val="-15"/>
        </w:rPr>
        <w:t xml:space="preserve"> </w:t>
      </w:r>
      <w:r>
        <w:t>biologic</w:t>
      </w:r>
      <w:r>
        <w:rPr>
          <w:spacing w:val="-15"/>
        </w:rPr>
        <w:t xml:space="preserve"> </w:t>
      </w:r>
      <w:r>
        <w:t>disease-modifying</w:t>
      </w:r>
      <w:r>
        <w:rPr>
          <w:spacing w:val="-15"/>
        </w:rPr>
        <w:t xml:space="preserve"> </w:t>
      </w:r>
      <w:r>
        <w:t>antirheumatic</w:t>
      </w:r>
      <w:r>
        <w:rPr>
          <w:spacing w:val="-15"/>
        </w:rPr>
        <w:t xml:space="preserve"> </w:t>
      </w:r>
      <w:r>
        <w:t>drugs</w:t>
      </w:r>
      <w:r>
        <w:rPr>
          <w:spacing w:val="-15"/>
        </w:rPr>
        <w:t xml:space="preserve"> </w:t>
      </w:r>
      <w:r>
        <w:t>[DMARDS], mycophenolate</w:t>
      </w:r>
      <w:r>
        <w:rPr>
          <w:spacing w:val="-13"/>
        </w:rPr>
        <w:t xml:space="preserve"> </w:t>
      </w:r>
      <w:r>
        <w:t>mofetil,</w:t>
      </w:r>
      <w:r>
        <w:rPr>
          <w:spacing w:val="-12"/>
        </w:rPr>
        <w:t xml:space="preserve"> </w:t>
      </w:r>
      <w:r>
        <w:t>cyclophosphamide,</w:t>
      </w:r>
      <w:r>
        <w:rPr>
          <w:spacing w:val="-12"/>
        </w:rPr>
        <w:t xml:space="preserve"> </w:t>
      </w:r>
      <w:r>
        <w:t>azathioprine)</w:t>
      </w:r>
      <w:r>
        <w:rPr>
          <w:spacing w:val="-10"/>
        </w:rPr>
        <w:t xml:space="preserve"> </w:t>
      </w:r>
      <w:r>
        <w:t>concomitantly</w:t>
      </w:r>
      <w:r>
        <w:rPr>
          <w:spacing w:val="-12"/>
        </w:rPr>
        <w:t xml:space="preserve"> </w:t>
      </w:r>
      <w:r>
        <w:t>with</w:t>
      </w:r>
      <w:r>
        <w:rPr>
          <w:spacing w:val="-12"/>
        </w:rPr>
        <w:t xml:space="preserve"> </w:t>
      </w:r>
      <w:r>
        <w:t>tolebrutinib</w:t>
      </w:r>
      <w:r>
        <w:rPr>
          <w:spacing w:val="-12"/>
        </w:rPr>
        <w:t xml:space="preserve"> </w:t>
      </w:r>
      <w:r>
        <w:t xml:space="preserve">(see Section </w:t>
      </w:r>
      <w:hyperlink w:anchor="_bookmark3" w:history="1">
        <w:r>
          <w:t>4.4</w:t>
        </w:r>
      </w:hyperlink>
      <w:r>
        <w:t xml:space="preserve"> Special Warnings and Precautions for use).</w:t>
      </w:r>
    </w:p>
    <w:p w14:paraId="53B38DEB" w14:textId="77777777" w:rsidR="008B6261" w:rsidRDefault="008B6261">
      <w:pPr>
        <w:pStyle w:val="BodyText"/>
        <w:spacing w:before="85"/>
      </w:pPr>
    </w:p>
    <w:p w14:paraId="53B38DEC" w14:textId="77777777" w:rsidR="008B6261" w:rsidRDefault="004C6B8B">
      <w:pPr>
        <w:ind w:left="23"/>
        <w:rPr>
          <w:rFonts w:ascii="Arial"/>
          <w:b/>
          <w:i/>
        </w:rPr>
      </w:pPr>
      <w:bookmarkStart w:id="36" w:name="Immunisations"/>
      <w:bookmarkEnd w:id="36"/>
      <w:r>
        <w:rPr>
          <w:rFonts w:ascii="Arial"/>
          <w:b/>
          <w:i/>
          <w:spacing w:val="-2"/>
        </w:rPr>
        <w:t>Immunisations</w:t>
      </w:r>
    </w:p>
    <w:p w14:paraId="53B38DED" w14:textId="77777777" w:rsidR="008B6261" w:rsidRDefault="004C6B8B">
      <w:pPr>
        <w:pStyle w:val="BodyText"/>
        <w:ind w:left="23" w:right="585"/>
        <w:jc w:val="both"/>
      </w:pPr>
      <w:r>
        <w:t>The safety of immunisation with live attenuated or live vaccines (e.g., varicella zoster, oral polio,</w:t>
      </w:r>
      <w:r>
        <w:rPr>
          <w:spacing w:val="-10"/>
        </w:rPr>
        <w:t xml:space="preserve"> </w:t>
      </w:r>
      <w:r>
        <w:t>nasal</w:t>
      </w:r>
      <w:r>
        <w:rPr>
          <w:spacing w:val="-9"/>
        </w:rPr>
        <w:t xml:space="preserve"> </w:t>
      </w:r>
      <w:r>
        <w:t>influenza</w:t>
      </w:r>
      <w:r>
        <w:rPr>
          <w:spacing w:val="-11"/>
        </w:rPr>
        <w:t xml:space="preserve"> </w:t>
      </w:r>
      <w:r>
        <w:t>vaccines)</w:t>
      </w:r>
      <w:r>
        <w:rPr>
          <w:spacing w:val="-10"/>
        </w:rPr>
        <w:t xml:space="preserve"> </w:t>
      </w:r>
      <w:r>
        <w:t>following</w:t>
      </w:r>
      <w:r>
        <w:rPr>
          <w:spacing w:val="-10"/>
        </w:rPr>
        <w:t xml:space="preserve"> </w:t>
      </w:r>
      <w:r>
        <w:t>tolebrutinib</w:t>
      </w:r>
      <w:r>
        <w:rPr>
          <w:spacing w:val="-10"/>
        </w:rPr>
        <w:t xml:space="preserve"> </w:t>
      </w:r>
      <w:r>
        <w:t>treatment</w:t>
      </w:r>
      <w:r>
        <w:rPr>
          <w:spacing w:val="-9"/>
        </w:rPr>
        <w:t xml:space="preserve"> </w:t>
      </w:r>
      <w:r>
        <w:t>has</w:t>
      </w:r>
      <w:r>
        <w:rPr>
          <w:spacing w:val="-9"/>
        </w:rPr>
        <w:t xml:space="preserve"> </w:t>
      </w:r>
      <w:r>
        <w:t>not</w:t>
      </w:r>
      <w:r>
        <w:rPr>
          <w:spacing w:val="-9"/>
        </w:rPr>
        <w:t xml:space="preserve"> </w:t>
      </w:r>
      <w:r>
        <w:t>been</w:t>
      </w:r>
      <w:r>
        <w:rPr>
          <w:spacing w:val="-10"/>
        </w:rPr>
        <w:t xml:space="preserve"> </w:t>
      </w:r>
      <w:r>
        <w:t>studied</w:t>
      </w:r>
      <w:r>
        <w:rPr>
          <w:spacing w:val="-10"/>
        </w:rPr>
        <w:t xml:space="preserve"> </w:t>
      </w:r>
      <w:r>
        <w:t>and</w:t>
      </w:r>
      <w:r>
        <w:rPr>
          <w:spacing w:val="-10"/>
        </w:rPr>
        <w:t xml:space="preserve"> </w:t>
      </w:r>
      <w:r>
        <w:t>must be avoided due to the potential risk of infections. The efficacy of non-live vaccines may be reduced</w:t>
      </w:r>
      <w:r>
        <w:rPr>
          <w:spacing w:val="-2"/>
        </w:rPr>
        <w:t xml:space="preserve"> </w:t>
      </w:r>
      <w:r>
        <w:t>during</w:t>
      </w:r>
      <w:r>
        <w:rPr>
          <w:spacing w:val="-2"/>
        </w:rPr>
        <w:t xml:space="preserve"> </w:t>
      </w:r>
      <w:r>
        <w:t>treatment</w:t>
      </w:r>
      <w:r>
        <w:rPr>
          <w:spacing w:val="-2"/>
        </w:rPr>
        <w:t xml:space="preserve"> </w:t>
      </w:r>
      <w:r>
        <w:t>with</w:t>
      </w:r>
      <w:r>
        <w:rPr>
          <w:spacing w:val="-2"/>
        </w:rPr>
        <w:t xml:space="preserve"> </w:t>
      </w:r>
      <w:r>
        <w:t>tolebrutinib</w:t>
      </w:r>
      <w:r>
        <w:rPr>
          <w:spacing w:val="-4"/>
        </w:rPr>
        <w:t xml:space="preserve"> </w:t>
      </w:r>
      <w:r>
        <w:t>(see</w:t>
      </w:r>
      <w:r>
        <w:rPr>
          <w:spacing w:val="-3"/>
        </w:rPr>
        <w:t xml:space="preserve"> </w:t>
      </w:r>
      <w:r>
        <w:t>Section</w:t>
      </w:r>
      <w:r>
        <w:rPr>
          <w:spacing w:val="-2"/>
        </w:rPr>
        <w:t xml:space="preserve"> </w:t>
      </w:r>
      <w:hyperlink w:anchor="_bookmark3" w:history="1">
        <w:r>
          <w:t>4.4</w:t>
        </w:r>
      </w:hyperlink>
      <w:r>
        <w:rPr>
          <w:spacing w:val="-2"/>
        </w:rPr>
        <w:t xml:space="preserve"> </w:t>
      </w:r>
      <w:r>
        <w:t>Special</w:t>
      </w:r>
      <w:r>
        <w:rPr>
          <w:spacing w:val="-2"/>
        </w:rPr>
        <w:t xml:space="preserve"> </w:t>
      </w:r>
      <w:r>
        <w:t>Warnings</w:t>
      </w:r>
      <w:r>
        <w:rPr>
          <w:spacing w:val="-2"/>
        </w:rPr>
        <w:t xml:space="preserve"> </w:t>
      </w:r>
      <w:r>
        <w:t>and</w:t>
      </w:r>
      <w:r>
        <w:rPr>
          <w:spacing w:val="-2"/>
        </w:rPr>
        <w:t xml:space="preserve"> </w:t>
      </w:r>
      <w:r>
        <w:t xml:space="preserve">Precautions </w:t>
      </w:r>
      <w:bookmarkStart w:id="37" w:name="Antiplatelet_or_anticoagulant_agents"/>
      <w:bookmarkEnd w:id="37"/>
      <w:r>
        <w:t>for use).</w:t>
      </w:r>
    </w:p>
    <w:p w14:paraId="53B38DEE" w14:textId="77777777" w:rsidR="008B6261" w:rsidRDefault="008B6261">
      <w:pPr>
        <w:pStyle w:val="BodyText"/>
        <w:spacing w:before="85"/>
      </w:pPr>
    </w:p>
    <w:p w14:paraId="53B38DEF" w14:textId="77777777" w:rsidR="008B6261" w:rsidRDefault="004C6B8B">
      <w:pPr>
        <w:ind w:left="23"/>
        <w:rPr>
          <w:rFonts w:ascii="Arial"/>
          <w:b/>
          <w:i/>
        </w:rPr>
      </w:pPr>
      <w:r>
        <w:rPr>
          <w:rFonts w:ascii="Arial"/>
          <w:b/>
          <w:i/>
        </w:rPr>
        <w:t>Antiplatelet</w:t>
      </w:r>
      <w:r>
        <w:rPr>
          <w:rFonts w:ascii="Arial"/>
          <w:b/>
          <w:i/>
          <w:spacing w:val="-8"/>
        </w:rPr>
        <w:t xml:space="preserve"> </w:t>
      </w:r>
      <w:r>
        <w:rPr>
          <w:rFonts w:ascii="Arial"/>
          <w:b/>
          <w:i/>
        </w:rPr>
        <w:t>or</w:t>
      </w:r>
      <w:r>
        <w:rPr>
          <w:rFonts w:ascii="Arial"/>
          <w:b/>
          <w:i/>
          <w:spacing w:val="-6"/>
        </w:rPr>
        <w:t xml:space="preserve"> </w:t>
      </w:r>
      <w:r>
        <w:rPr>
          <w:rFonts w:ascii="Arial"/>
          <w:b/>
          <w:i/>
        </w:rPr>
        <w:t>anticoagulant</w:t>
      </w:r>
      <w:r>
        <w:rPr>
          <w:rFonts w:ascii="Arial"/>
          <w:b/>
          <w:i/>
          <w:spacing w:val="-8"/>
        </w:rPr>
        <w:t xml:space="preserve"> </w:t>
      </w:r>
      <w:r>
        <w:rPr>
          <w:rFonts w:ascii="Arial"/>
          <w:b/>
          <w:i/>
          <w:spacing w:val="-2"/>
        </w:rPr>
        <w:t>agents</w:t>
      </w:r>
    </w:p>
    <w:p w14:paraId="53B38DF0" w14:textId="77777777" w:rsidR="008B6261" w:rsidRDefault="004C6B8B">
      <w:pPr>
        <w:pStyle w:val="BodyText"/>
        <w:spacing w:before="241"/>
        <w:ind w:left="22" w:right="587"/>
        <w:jc w:val="both"/>
      </w:pPr>
      <w:r>
        <w:t>Caution should be</w:t>
      </w:r>
      <w:r>
        <w:rPr>
          <w:spacing w:val="-1"/>
        </w:rPr>
        <w:t xml:space="preserve"> </w:t>
      </w:r>
      <w:r>
        <w:t>exercised when using tolebrutinib concomitantly with anticoagulants (e.g., warfarin, heparin, apixaban, rivaroxaban, edoxaban) or antiplatelet agents (e.g., clopidogrel, ticagrelor,</w:t>
      </w:r>
      <w:r>
        <w:rPr>
          <w:spacing w:val="-5"/>
        </w:rPr>
        <w:t xml:space="preserve"> </w:t>
      </w:r>
      <w:r>
        <w:t>prasugrel)</w:t>
      </w:r>
      <w:r>
        <w:rPr>
          <w:spacing w:val="-6"/>
        </w:rPr>
        <w:t xml:space="preserve"> </w:t>
      </w:r>
      <w:r>
        <w:t>due</w:t>
      </w:r>
      <w:r>
        <w:rPr>
          <w:spacing w:val="-3"/>
        </w:rPr>
        <w:t xml:space="preserve"> </w:t>
      </w:r>
      <w:r>
        <w:t>to</w:t>
      </w:r>
      <w:r>
        <w:rPr>
          <w:spacing w:val="-5"/>
        </w:rPr>
        <w:t xml:space="preserve"> </w:t>
      </w:r>
      <w:r>
        <w:t>the</w:t>
      </w:r>
      <w:r>
        <w:rPr>
          <w:spacing w:val="-6"/>
        </w:rPr>
        <w:t xml:space="preserve"> </w:t>
      </w:r>
      <w:r>
        <w:t>risk</w:t>
      </w:r>
      <w:r>
        <w:rPr>
          <w:spacing w:val="-5"/>
        </w:rPr>
        <w:t xml:space="preserve"> </w:t>
      </w:r>
      <w:r>
        <w:t>of</w:t>
      </w:r>
      <w:r>
        <w:rPr>
          <w:spacing w:val="-6"/>
        </w:rPr>
        <w:t xml:space="preserve"> </w:t>
      </w:r>
      <w:r>
        <w:t>bleeding</w:t>
      </w:r>
      <w:r>
        <w:rPr>
          <w:spacing w:val="-5"/>
        </w:rPr>
        <w:t xml:space="preserve"> </w:t>
      </w:r>
      <w:r>
        <w:t>events.</w:t>
      </w:r>
      <w:r>
        <w:rPr>
          <w:spacing w:val="-5"/>
        </w:rPr>
        <w:t xml:space="preserve"> </w:t>
      </w:r>
      <w:r>
        <w:t>If</w:t>
      </w:r>
      <w:r>
        <w:rPr>
          <w:spacing w:val="-6"/>
        </w:rPr>
        <w:t xml:space="preserve"> </w:t>
      </w:r>
      <w:r>
        <w:t>concurrent</w:t>
      </w:r>
      <w:r>
        <w:rPr>
          <w:spacing w:val="-4"/>
        </w:rPr>
        <w:t xml:space="preserve"> </w:t>
      </w:r>
      <w:r>
        <w:t>administration</w:t>
      </w:r>
      <w:r>
        <w:rPr>
          <w:spacing w:val="-5"/>
        </w:rPr>
        <w:t xml:space="preserve"> </w:t>
      </w:r>
      <w:r>
        <w:t>cannot</w:t>
      </w:r>
      <w:r>
        <w:rPr>
          <w:spacing w:val="-4"/>
        </w:rPr>
        <w:t xml:space="preserve"> </w:t>
      </w:r>
      <w:r>
        <w:t xml:space="preserve">be avoided, increase monitoring frequency for bleeding signs and symptoms (see Section </w:t>
      </w:r>
      <w:hyperlink w:anchor="_bookmark3" w:history="1">
        <w:r>
          <w:t>4.4</w:t>
        </w:r>
      </w:hyperlink>
      <w:r>
        <w:t xml:space="preserve"> Special Warnings and Precautions for use).</w:t>
      </w:r>
    </w:p>
    <w:p w14:paraId="53B38DF1" w14:textId="77777777" w:rsidR="008B6261" w:rsidRDefault="004C6B8B">
      <w:pPr>
        <w:spacing w:before="73" w:line="614" w:lineRule="exact"/>
        <w:ind w:left="23" w:right="2572"/>
        <w:rPr>
          <w:rFonts w:ascii="Arial"/>
          <w:b/>
          <w:i/>
        </w:rPr>
      </w:pPr>
      <w:bookmarkStart w:id="38" w:name="Agents_that_may_increase_tolebrutinib_pl"/>
      <w:bookmarkEnd w:id="38"/>
      <w:r>
        <w:rPr>
          <w:rFonts w:ascii="Arial"/>
          <w:b/>
          <w:i/>
        </w:rPr>
        <w:t>Agents</w:t>
      </w:r>
      <w:r>
        <w:rPr>
          <w:rFonts w:ascii="Arial"/>
          <w:b/>
          <w:i/>
          <w:spacing w:val="-5"/>
        </w:rPr>
        <w:t xml:space="preserve"> </w:t>
      </w:r>
      <w:r>
        <w:rPr>
          <w:rFonts w:ascii="Arial"/>
          <w:b/>
          <w:i/>
        </w:rPr>
        <w:t>that</w:t>
      </w:r>
      <w:r>
        <w:rPr>
          <w:rFonts w:ascii="Arial"/>
          <w:b/>
          <w:i/>
          <w:spacing w:val="-6"/>
        </w:rPr>
        <w:t xml:space="preserve"> </w:t>
      </w:r>
      <w:r>
        <w:rPr>
          <w:rFonts w:ascii="Arial"/>
          <w:b/>
          <w:i/>
        </w:rPr>
        <w:t>may</w:t>
      </w:r>
      <w:r>
        <w:rPr>
          <w:rFonts w:ascii="Arial"/>
          <w:b/>
          <w:i/>
          <w:spacing w:val="-6"/>
        </w:rPr>
        <w:t xml:space="preserve"> </w:t>
      </w:r>
      <w:r>
        <w:rPr>
          <w:rFonts w:ascii="Arial"/>
          <w:b/>
          <w:i/>
        </w:rPr>
        <w:t>increase</w:t>
      </w:r>
      <w:r>
        <w:rPr>
          <w:rFonts w:ascii="Arial"/>
          <w:b/>
          <w:i/>
          <w:spacing w:val="-4"/>
        </w:rPr>
        <w:t xml:space="preserve"> </w:t>
      </w:r>
      <w:r>
        <w:rPr>
          <w:rFonts w:ascii="Arial"/>
          <w:b/>
          <w:i/>
        </w:rPr>
        <w:t>tolebrutinib</w:t>
      </w:r>
      <w:r>
        <w:rPr>
          <w:rFonts w:ascii="Arial"/>
          <w:b/>
          <w:i/>
          <w:spacing w:val="-6"/>
        </w:rPr>
        <w:t xml:space="preserve"> </w:t>
      </w:r>
      <w:r>
        <w:rPr>
          <w:rFonts w:ascii="Arial"/>
          <w:b/>
          <w:i/>
        </w:rPr>
        <w:t>plasma</w:t>
      </w:r>
      <w:r>
        <w:rPr>
          <w:rFonts w:ascii="Arial"/>
          <w:b/>
          <w:i/>
          <w:spacing w:val="-8"/>
        </w:rPr>
        <w:t xml:space="preserve"> </w:t>
      </w:r>
      <w:r>
        <w:rPr>
          <w:rFonts w:ascii="Arial"/>
          <w:b/>
          <w:i/>
        </w:rPr>
        <w:t xml:space="preserve">concentrations </w:t>
      </w:r>
      <w:bookmarkStart w:id="39" w:name="Strong_CYP2C8_inhibitors"/>
      <w:bookmarkEnd w:id="39"/>
      <w:r>
        <w:rPr>
          <w:rFonts w:ascii="Arial"/>
          <w:b/>
          <w:i/>
        </w:rPr>
        <w:t>Strong CYP2C8 inhibitors</w:t>
      </w:r>
    </w:p>
    <w:p w14:paraId="53B38DF2" w14:textId="77777777" w:rsidR="008B6261" w:rsidRDefault="004C6B8B">
      <w:pPr>
        <w:pStyle w:val="BodyText"/>
        <w:spacing w:before="163"/>
        <w:ind w:left="22" w:right="587"/>
        <w:jc w:val="both"/>
      </w:pPr>
      <w:r>
        <w:t>Co-administration of a strong CYP2C8 inhibitor (gemfibrozil 600</w:t>
      </w:r>
      <w:r>
        <w:rPr>
          <w:spacing w:val="-2"/>
        </w:rPr>
        <w:t xml:space="preserve"> </w:t>
      </w:r>
      <w:r>
        <w:t xml:space="preserve">mg twice daily) increased </w:t>
      </w:r>
      <w:r>
        <w:rPr>
          <w:position w:val="2"/>
        </w:rPr>
        <w:t>tolebrutinib AUC and C</w:t>
      </w:r>
      <w:r>
        <w:rPr>
          <w:sz w:val="16"/>
        </w:rPr>
        <w:t>max</w:t>
      </w:r>
      <w:r>
        <w:rPr>
          <w:spacing w:val="35"/>
          <w:sz w:val="16"/>
        </w:rPr>
        <w:t xml:space="preserve"> </w:t>
      </w:r>
      <w:r>
        <w:rPr>
          <w:position w:val="2"/>
        </w:rPr>
        <w:t>by 8.4-fold and 5.4-fold, while M2 AUC and C</w:t>
      </w:r>
      <w:r>
        <w:rPr>
          <w:sz w:val="16"/>
        </w:rPr>
        <w:t>max</w:t>
      </w:r>
      <w:r>
        <w:rPr>
          <w:spacing w:val="37"/>
          <w:sz w:val="16"/>
        </w:rPr>
        <w:t xml:space="preserve"> </w:t>
      </w:r>
      <w:r>
        <w:rPr>
          <w:position w:val="2"/>
        </w:rPr>
        <w:t xml:space="preserve">decreased by </w:t>
      </w:r>
      <w:r>
        <w:t>96% and 98%, compared to single administration of tolebrutinib under fed conditions. Avoid co-administration</w:t>
      </w:r>
      <w:r>
        <w:rPr>
          <w:spacing w:val="-10"/>
        </w:rPr>
        <w:t xml:space="preserve"> </w:t>
      </w:r>
      <w:r>
        <w:t>of</w:t>
      </w:r>
      <w:r>
        <w:rPr>
          <w:spacing w:val="-10"/>
        </w:rPr>
        <w:t xml:space="preserve"> </w:t>
      </w:r>
      <w:r>
        <w:t>tolebrutinib</w:t>
      </w:r>
      <w:r>
        <w:rPr>
          <w:spacing w:val="-9"/>
        </w:rPr>
        <w:t xml:space="preserve"> </w:t>
      </w:r>
      <w:r>
        <w:t>with</w:t>
      </w:r>
      <w:r>
        <w:rPr>
          <w:spacing w:val="-10"/>
        </w:rPr>
        <w:t xml:space="preserve"> </w:t>
      </w:r>
      <w:r>
        <w:t>strong</w:t>
      </w:r>
      <w:r>
        <w:rPr>
          <w:spacing w:val="-10"/>
        </w:rPr>
        <w:t xml:space="preserve"> </w:t>
      </w:r>
      <w:r>
        <w:t>CYP2C8</w:t>
      </w:r>
      <w:r>
        <w:rPr>
          <w:spacing w:val="-10"/>
        </w:rPr>
        <w:t xml:space="preserve"> </w:t>
      </w:r>
      <w:r>
        <w:t>inhibitors</w:t>
      </w:r>
      <w:r>
        <w:rPr>
          <w:spacing w:val="-9"/>
        </w:rPr>
        <w:t xml:space="preserve"> </w:t>
      </w:r>
      <w:r>
        <w:t>(e.g.,</w:t>
      </w:r>
      <w:r>
        <w:rPr>
          <w:spacing w:val="-10"/>
        </w:rPr>
        <w:t xml:space="preserve"> </w:t>
      </w:r>
      <w:r>
        <w:t>gemfibrozil).</w:t>
      </w:r>
      <w:r>
        <w:rPr>
          <w:spacing w:val="-7"/>
        </w:rPr>
        <w:t xml:space="preserve"> </w:t>
      </w:r>
      <w:r>
        <w:t>If</w:t>
      </w:r>
      <w:r>
        <w:rPr>
          <w:spacing w:val="-10"/>
        </w:rPr>
        <w:t xml:space="preserve"> </w:t>
      </w:r>
      <w:r>
        <w:t>a</w:t>
      </w:r>
      <w:r>
        <w:rPr>
          <w:spacing w:val="-11"/>
        </w:rPr>
        <w:t xml:space="preserve"> </w:t>
      </w:r>
      <w:r>
        <w:t xml:space="preserve">strong CYP2C8 inhibitor must be used short-term, treatment with tolebrutinib must be interrupted (see Section </w:t>
      </w:r>
      <w:hyperlink w:anchor="_bookmark0" w:history="1">
        <w:r>
          <w:t>4.2</w:t>
        </w:r>
      </w:hyperlink>
      <w:r>
        <w:t xml:space="preserve"> Dose and Method of Administration).</w:t>
      </w:r>
    </w:p>
    <w:p w14:paraId="53B38DF3" w14:textId="77777777" w:rsidR="008B6261" w:rsidRDefault="008B6261">
      <w:pPr>
        <w:pStyle w:val="BodyText"/>
        <w:spacing w:before="82"/>
      </w:pPr>
    </w:p>
    <w:p w14:paraId="53B38DF4" w14:textId="77777777" w:rsidR="008B6261" w:rsidRDefault="004C6B8B">
      <w:pPr>
        <w:ind w:left="23"/>
        <w:rPr>
          <w:rFonts w:ascii="Arial"/>
          <w:b/>
          <w:i/>
        </w:rPr>
      </w:pPr>
      <w:bookmarkStart w:id="40" w:name="Moderate_CYP2C8_inhibitors"/>
      <w:bookmarkEnd w:id="40"/>
      <w:r>
        <w:rPr>
          <w:rFonts w:ascii="Arial"/>
          <w:b/>
          <w:i/>
        </w:rPr>
        <w:t>Moderate</w:t>
      </w:r>
      <w:r>
        <w:rPr>
          <w:rFonts w:ascii="Arial"/>
          <w:b/>
          <w:i/>
          <w:spacing w:val="-8"/>
        </w:rPr>
        <w:t xml:space="preserve"> </w:t>
      </w:r>
      <w:r>
        <w:rPr>
          <w:rFonts w:ascii="Arial"/>
          <w:b/>
          <w:i/>
        </w:rPr>
        <w:t>CYP2C8</w:t>
      </w:r>
      <w:r>
        <w:rPr>
          <w:rFonts w:ascii="Arial"/>
          <w:b/>
          <w:i/>
          <w:spacing w:val="-5"/>
        </w:rPr>
        <w:t xml:space="preserve"> </w:t>
      </w:r>
      <w:r>
        <w:rPr>
          <w:rFonts w:ascii="Arial"/>
          <w:b/>
          <w:i/>
          <w:spacing w:val="-2"/>
        </w:rPr>
        <w:t>inhibitors</w:t>
      </w:r>
    </w:p>
    <w:p w14:paraId="53B38DF5" w14:textId="77777777" w:rsidR="008B6261" w:rsidRDefault="004C6B8B">
      <w:pPr>
        <w:pStyle w:val="BodyText"/>
        <w:spacing w:before="241"/>
        <w:ind w:left="23" w:right="585"/>
        <w:jc w:val="both"/>
      </w:pPr>
      <w:r>
        <w:t xml:space="preserve">Simulations using fed conditions suggested that moderate CYP2C8 inhibitor letermovir may </w:t>
      </w:r>
      <w:r>
        <w:rPr>
          <w:position w:val="2"/>
        </w:rPr>
        <w:t>increase tolebrutinib AUC and C</w:t>
      </w:r>
      <w:r>
        <w:rPr>
          <w:sz w:val="16"/>
        </w:rPr>
        <w:t>max</w:t>
      </w:r>
      <w:r>
        <w:rPr>
          <w:spacing w:val="40"/>
          <w:sz w:val="16"/>
        </w:rPr>
        <w:t xml:space="preserve"> </w:t>
      </w:r>
      <w:r>
        <w:rPr>
          <w:position w:val="2"/>
        </w:rPr>
        <w:t>by 5.9-fold and 5-fold, while M2 AUC and C</w:t>
      </w:r>
      <w:r>
        <w:rPr>
          <w:sz w:val="16"/>
        </w:rPr>
        <w:t>max</w:t>
      </w:r>
      <w:r>
        <w:rPr>
          <w:spacing w:val="40"/>
          <w:sz w:val="16"/>
        </w:rPr>
        <w:t xml:space="preserve"> </w:t>
      </w:r>
      <w:r>
        <w:rPr>
          <w:position w:val="2"/>
        </w:rPr>
        <w:t xml:space="preserve">may </w:t>
      </w:r>
      <w:r>
        <w:t>decrease by 9 to 12%. Avoid co-administration of tolebrutinib with moderate CYP2C8 inhibitors (e.g., deferasirox, letermovir, selpercatinib). If a moderate CYP2C8 inhibitor must be</w:t>
      </w:r>
      <w:r>
        <w:rPr>
          <w:spacing w:val="-11"/>
        </w:rPr>
        <w:t xml:space="preserve"> </w:t>
      </w:r>
      <w:r>
        <w:t>used</w:t>
      </w:r>
      <w:r>
        <w:rPr>
          <w:spacing w:val="-10"/>
        </w:rPr>
        <w:t xml:space="preserve"> </w:t>
      </w:r>
      <w:r>
        <w:t>short-term,</w:t>
      </w:r>
      <w:r>
        <w:rPr>
          <w:spacing w:val="-10"/>
        </w:rPr>
        <w:t xml:space="preserve"> </w:t>
      </w:r>
      <w:r>
        <w:t>treatment</w:t>
      </w:r>
      <w:r>
        <w:rPr>
          <w:spacing w:val="-9"/>
        </w:rPr>
        <w:t xml:space="preserve"> </w:t>
      </w:r>
      <w:r>
        <w:t>with</w:t>
      </w:r>
      <w:r>
        <w:rPr>
          <w:spacing w:val="-10"/>
        </w:rPr>
        <w:t xml:space="preserve"> </w:t>
      </w:r>
      <w:r>
        <w:t>tolebrutinib</w:t>
      </w:r>
      <w:r>
        <w:rPr>
          <w:spacing w:val="-9"/>
        </w:rPr>
        <w:t xml:space="preserve"> </w:t>
      </w:r>
      <w:r>
        <w:t>should</w:t>
      </w:r>
      <w:r>
        <w:rPr>
          <w:spacing w:val="-10"/>
        </w:rPr>
        <w:t xml:space="preserve"> </w:t>
      </w:r>
      <w:r>
        <w:t>be</w:t>
      </w:r>
      <w:r>
        <w:rPr>
          <w:spacing w:val="-11"/>
        </w:rPr>
        <w:t xml:space="preserve"> </w:t>
      </w:r>
      <w:r>
        <w:t>interrupted</w:t>
      </w:r>
      <w:r>
        <w:rPr>
          <w:spacing w:val="-10"/>
        </w:rPr>
        <w:t xml:space="preserve"> </w:t>
      </w:r>
      <w:r>
        <w:t>(see</w:t>
      </w:r>
      <w:r>
        <w:rPr>
          <w:spacing w:val="-11"/>
        </w:rPr>
        <w:t xml:space="preserve"> </w:t>
      </w:r>
      <w:r>
        <w:t>Section</w:t>
      </w:r>
      <w:r>
        <w:rPr>
          <w:spacing w:val="-10"/>
        </w:rPr>
        <w:t xml:space="preserve"> </w:t>
      </w:r>
      <w:hyperlink w:anchor="_bookmark0" w:history="1">
        <w:r>
          <w:t>4.2</w:t>
        </w:r>
      </w:hyperlink>
      <w:r>
        <w:rPr>
          <w:spacing w:val="-10"/>
        </w:rPr>
        <w:t xml:space="preserve"> </w:t>
      </w:r>
      <w:r>
        <w:t>Dose</w:t>
      </w:r>
      <w:r>
        <w:rPr>
          <w:spacing w:val="-11"/>
        </w:rPr>
        <w:t xml:space="preserve"> </w:t>
      </w:r>
      <w:r>
        <w:t>and Method of Administration).</w:t>
      </w:r>
    </w:p>
    <w:p w14:paraId="53B38DF7" w14:textId="62463AAB" w:rsidR="008B6261" w:rsidRDefault="004C6B8B" w:rsidP="00A77020">
      <w:pPr>
        <w:pageBreakBefore/>
        <w:spacing w:before="81"/>
        <w:ind w:left="23"/>
        <w:rPr>
          <w:rFonts w:ascii="Arial"/>
          <w:b/>
          <w:i/>
        </w:rPr>
      </w:pPr>
      <w:bookmarkStart w:id="41" w:name="Agents_that_may_decrease_tolebrutinib_pl"/>
      <w:bookmarkEnd w:id="41"/>
      <w:r>
        <w:rPr>
          <w:rFonts w:ascii="Arial"/>
          <w:b/>
          <w:i/>
        </w:rPr>
        <w:lastRenderedPageBreak/>
        <w:t>Agents</w:t>
      </w:r>
      <w:r>
        <w:rPr>
          <w:rFonts w:ascii="Arial"/>
          <w:b/>
          <w:i/>
          <w:spacing w:val="-8"/>
        </w:rPr>
        <w:t xml:space="preserve"> </w:t>
      </w:r>
      <w:r>
        <w:rPr>
          <w:rFonts w:ascii="Arial"/>
          <w:b/>
          <w:i/>
        </w:rPr>
        <w:t>that</w:t>
      </w:r>
      <w:r>
        <w:rPr>
          <w:rFonts w:ascii="Arial"/>
          <w:b/>
          <w:i/>
          <w:spacing w:val="-6"/>
        </w:rPr>
        <w:t xml:space="preserve"> </w:t>
      </w:r>
      <w:r>
        <w:rPr>
          <w:rFonts w:ascii="Arial"/>
          <w:b/>
          <w:i/>
        </w:rPr>
        <w:t>may</w:t>
      </w:r>
      <w:r>
        <w:rPr>
          <w:rFonts w:ascii="Arial"/>
          <w:b/>
          <w:i/>
          <w:spacing w:val="-6"/>
        </w:rPr>
        <w:t xml:space="preserve"> </w:t>
      </w:r>
      <w:r>
        <w:rPr>
          <w:rFonts w:ascii="Arial"/>
          <w:b/>
          <w:i/>
        </w:rPr>
        <w:t>decrease</w:t>
      </w:r>
      <w:r>
        <w:rPr>
          <w:rFonts w:ascii="Arial"/>
          <w:b/>
          <w:i/>
          <w:spacing w:val="-5"/>
        </w:rPr>
        <w:t xml:space="preserve"> </w:t>
      </w:r>
      <w:r>
        <w:rPr>
          <w:rFonts w:ascii="Arial"/>
          <w:b/>
          <w:i/>
        </w:rPr>
        <w:t>tolebrutinib</w:t>
      </w:r>
      <w:r>
        <w:rPr>
          <w:rFonts w:ascii="Arial"/>
          <w:b/>
          <w:i/>
          <w:spacing w:val="-7"/>
        </w:rPr>
        <w:t xml:space="preserve"> </w:t>
      </w:r>
      <w:r>
        <w:rPr>
          <w:rFonts w:ascii="Arial"/>
          <w:b/>
          <w:i/>
        </w:rPr>
        <w:t>plasma</w:t>
      </w:r>
      <w:r>
        <w:rPr>
          <w:rFonts w:ascii="Arial"/>
          <w:b/>
          <w:i/>
          <w:spacing w:val="-5"/>
        </w:rPr>
        <w:t xml:space="preserve"> </w:t>
      </w:r>
      <w:r>
        <w:rPr>
          <w:rFonts w:ascii="Arial"/>
          <w:b/>
          <w:i/>
          <w:spacing w:val="-2"/>
        </w:rPr>
        <w:t>concentrations</w:t>
      </w:r>
    </w:p>
    <w:p w14:paraId="53B38DF8" w14:textId="77777777" w:rsidR="008B6261" w:rsidRDefault="008B6261">
      <w:pPr>
        <w:pStyle w:val="BodyText"/>
        <w:spacing w:before="106"/>
        <w:rPr>
          <w:rFonts w:ascii="Arial"/>
          <w:b/>
          <w:i/>
          <w:sz w:val="22"/>
        </w:rPr>
      </w:pPr>
    </w:p>
    <w:p w14:paraId="53B38DF9" w14:textId="77777777" w:rsidR="008B6261" w:rsidRDefault="004C6B8B">
      <w:pPr>
        <w:ind w:left="23"/>
        <w:rPr>
          <w:rFonts w:ascii="Arial"/>
          <w:b/>
          <w:i/>
        </w:rPr>
      </w:pPr>
      <w:bookmarkStart w:id="42" w:name="Strong_CYP3A_inducers"/>
      <w:bookmarkEnd w:id="42"/>
      <w:r>
        <w:rPr>
          <w:rFonts w:ascii="Arial"/>
          <w:b/>
          <w:i/>
        </w:rPr>
        <w:t>Strong</w:t>
      </w:r>
      <w:r>
        <w:rPr>
          <w:rFonts w:ascii="Arial"/>
          <w:b/>
          <w:i/>
          <w:spacing w:val="-5"/>
        </w:rPr>
        <w:t xml:space="preserve"> </w:t>
      </w:r>
      <w:r>
        <w:rPr>
          <w:rFonts w:ascii="Arial"/>
          <w:b/>
          <w:i/>
        </w:rPr>
        <w:t>CYP3A</w:t>
      </w:r>
      <w:r>
        <w:rPr>
          <w:rFonts w:ascii="Arial"/>
          <w:b/>
          <w:i/>
          <w:spacing w:val="-6"/>
        </w:rPr>
        <w:t xml:space="preserve"> </w:t>
      </w:r>
      <w:r>
        <w:rPr>
          <w:rFonts w:ascii="Arial"/>
          <w:b/>
          <w:i/>
          <w:spacing w:val="-2"/>
        </w:rPr>
        <w:t>inducers</w:t>
      </w:r>
    </w:p>
    <w:p w14:paraId="53B38DFA" w14:textId="77777777" w:rsidR="008B6261" w:rsidRDefault="004C6B8B">
      <w:pPr>
        <w:pStyle w:val="BodyText"/>
        <w:spacing w:before="241"/>
        <w:ind w:left="22" w:right="587"/>
        <w:jc w:val="both"/>
      </w:pPr>
      <w:r>
        <w:t>Co-administration of a strong CYP3A inducer (rifampicin 600</w:t>
      </w:r>
      <w:r>
        <w:rPr>
          <w:spacing w:val="-3"/>
        </w:rPr>
        <w:t xml:space="preserve"> </w:t>
      </w:r>
      <w:r>
        <w:t xml:space="preserve">mg once daily) decreased both </w:t>
      </w:r>
      <w:r>
        <w:rPr>
          <w:position w:val="2"/>
        </w:rPr>
        <w:t>tolebrutinib AUC and C</w:t>
      </w:r>
      <w:r>
        <w:rPr>
          <w:sz w:val="16"/>
        </w:rPr>
        <w:t>max</w:t>
      </w:r>
      <w:r>
        <w:rPr>
          <w:spacing w:val="28"/>
          <w:sz w:val="16"/>
        </w:rPr>
        <w:t xml:space="preserve"> </w:t>
      </w:r>
      <w:r>
        <w:rPr>
          <w:position w:val="2"/>
        </w:rPr>
        <w:t>by 84%, while M2 AUC and C</w:t>
      </w:r>
      <w:r>
        <w:rPr>
          <w:sz w:val="16"/>
        </w:rPr>
        <w:t>max</w:t>
      </w:r>
      <w:r>
        <w:rPr>
          <w:spacing w:val="28"/>
          <w:sz w:val="16"/>
        </w:rPr>
        <w:t xml:space="preserve"> </w:t>
      </w:r>
      <w:r>
        <w:rPr>
          <w:position w:val="2"/>
        </w:rPr>
        <w:t xml:space="preserve">decreased by 58% and 42% in </w:t>
      </w:r>
      <w:r>
        <w:t xml:space="preserve">healthy subjects. Avoid co-administration of tolebrutinib with strong CYP3A inducers (e.g., carbamazepine, phenytoin, St. John’s wort). If a strong CYP3A inducer must be used short-term, treatment with tolebrutinib can be continued (see Section </w:t>
      </w:r>
      <w:hyperlink w:anchor="_bookmark0" w:history="1">
        <w:r>
          <w:t>4.2</w:t>
        </w:r>
      </w:hyperlink>
      <w:r>
        <w:t xml:space="preserve"> Dose and Method of </w:t>
      </w:r>
      <w:bookmarkStart w:id="43" w:name="Moderate_CYP3A_inducers"/>
      <w:bookmarkEnd w:id="43"/>
      <w:r>
        <w:rPr>
          <w:spacing w:val="-2"/>
        </w:rPr>
        <w:t>Administration).</w:t>
      </w:r>
    </w:p>
    <w:p w14:paraId="53B38DFB" w14:textId="77777777" w:rsidR="008B6261" w:rsidRDefault="008B6261">
      <w:pPr>
        <w:pStyle w:val="BodyText"/>
        <w:spacing w:before="82"/>
      </w:pPr>
    </w:p>
    <w:p w14:paraId="53B38DFC" w14:textId="77777777" w:rsidR="008B6261" w:rsidRDefault="004C6B8B">
      <w:pPr>
        <w:ind w:left="23"/>
        <w:rPr>
          <w:rFonts w:ascii="Arial"/>
          <w:b/>
          <w:i/>
        </w:rPr>
      </w:pPr>
      <w:r>
        <w:rPr>
          <w:rFonts w:ascii="Arial"/>
          <w:b/>
          <w:i/>
        </w:rPr>
        <w:t>Moderate</w:t>
      </w:r>
      <w:r>
        <w:rPr>
          <w:rFonts w:ascii="Arial"/>
          <w:b/>
          <w:i/>
          <w:spacing w:val="-7"/>
        </w:rPr>
        <w:t xml:space="preserve"> </w:t>
      </w:r>
      <w:r>
        <w:rPr>
          <w:rFonts w:ascii="Arial"/>
          <w:b/>
          <w:i/>
        </w:rPr>
        <w:t>CYP3A</w:t>
      </w:r>
      <w:r>
        <w:rPr>
          <w:rFonts w:ascii="Arial"/>
          <w:b/>
          <w:i/>
          <w:spacing w:val="-4"/>
        </w:rPr>
        <w:t xml:space="preserve"> </w:t>
      </w:r>
      <w:r>
        <w:rPr>
          <w:rFonts w:ascii="Arial"/>
          <w:b/>
          <w:i/>
          <w:spacing w:val="-2"/>
        </w:rPr>
        <w:t>inducers</w:t>
      </w:r>
    </w:p>
    <w:p w14:paraId="53B38DFD" w14:textId="77777777" w:rsidR="008B6261" w:rsidRDefault="004C6B8B">
      <w:pPr>
        <w:pStyle w:val="BodyText"/>
        <w:ind w:left="23" w:right="585"/>
        <w:jc w:val="both"/>
      </w:pPr>
      <w:r>
        <w:t xml:space="preserve">Simulations using fed conditions suggested that moderate CYP3A inducer efavirenz may </w:t>
      </w:r>
      <w:r>
        <w:rPr>
          <w:position w:val="2"/>
        </w:rPr>
        <w:t>decrease tolebrutinib AUC</w:t>
      </w:r>
      <w:r>
        <w:rPr>
          <w:sz w:val="16"/>
        </w:rPr>
        <w:t>0-24</w:t>
      </w:r>
      <w:r>
        <w:rPr>
          <w:spacing w:val="37"/>
          <w:sz w:val="16"/>
        </w:rPr>
        <w:t xml:space="preserve"> </w:t>
      </w:r>
      <w:r>
        <w:rPr>
          <w:position w:val="2"/>
        </w:rPr>
        <w:t>and C</w:t>
      </w:r>
      <w:r>
        <w:rPr>
          <w:sz w:val="16"/>
        </w:rPr>
        <w:t>max</w:t>
      </w:r>
      <w:r>
        <w:rPr>
          <w:spacing w:val="37"/>
          <w:sz w:val="16"/>
        </w:rPr>
        <w:t xml:space="preserve"> </w:t>
      </w:r>
      <w:r>
        <w:rPr>
          <w:position w:val="2"/>
        </w:rPr>
        <w:t>by 62% and 60%, while M2 AUC</w:t>
      </w:r>
      <w:r>
        <w:rPr>
          <w:sz w:val="16"/>
        </w:rPr>
        <w:t>0-24</w:t>
      </w:r>
      <w:r>
        <w:rPr>
          <w:spacing w:val="37"/>
          <w:sz w:val="16"/>
        </w:rPr>
        <w:t xml:space="preserve"> </w:t>
      </w:r>
      <w:r>
        <w:rPr>
          <w:position w:val="2"/>
        </w:rPr>
        <w:t>and C</w:t>
      </w:r>
      <w:r>
        <w:rPr>
          <w:sz w:val="16"/>
        </w:rPr>
        <w:t>max</w:t>
      </w:r>
      <w:r>
        <w:rPr>
          <w:spacing w:val="37"/>
          <w:sz w:val="16"/>
        </w:rPr>
        <w:t xml:space="preserve"> </w:t>
      </w:r>
      <w:r>
        <w:rPr>
          <w:position w:val="2"/>
        </w:rPr>
        <w:t xml:space="preserve">may </w:t>
      </w:r>
      <w:r>
        <w:t>decrease by 41% and 34%. Avoid co-administration of tolebrutinib with moderate CYP3CA inducers (e.g., bosentan, efavirenz, etravirine). If a moderate CYP3A inducer must be used short-term, treatment with tolebrutinib can be continued (see</w:t>
      </w:r>
      <w:r>
        <w:rPr>
          <w:spacing w:val="-1"/>
        </w:rPr>
        <w:t xml:space="preserve"> </w:t>
      </w:r>
      <w:r>
        <w:t xml:space="preserve">Section </w:t>
      </w:r>
      <w:hyperlink w:anchor="_bookmark0" w:history="1">
        <w:r>
          <w:t>4.2</w:t>
        </w:r>
      </w:hyperlink>
      <w:r>
        <w:t xml:space="preserve"> Dose</w:t>
      </w:r>
      <w:r>
        <w:rPr>
          <w:spacing w:val="-1"/>
        </w:rPr>
        <w:t xml:space="preserve"> </w:t>
      </w:r>
      <w:r>
        <w:t xml:space="preserve">and Method of </w:t>
      </w:r>
      <w:r>
        <w:rPr>
          <w:spacing w:val="-2"/>
        </w:rPr>
        <w:t>Administration).</w:t>
      </w:r>
    </w:p>
    <w:p w14:paraId="53B38DFF" w14:textId="77777777" w:rsidR="008B6261" w:rsidRDefault="004C6B8B">
      <w:pPr>
        <w:ind w:left="23"/>
        <w:rPr>
          <w:rFonts w:ascii="Arial"/>
          <w:b/>
        </w:rPr>
      </w:pPr>
      <w:bookmarkStart w:id="44" w:name="No_significant_interaction"/>
      <w:bookmarkStart w:id="45" w:name="Strong_CYP3A_inhibitors"/>
      <w:bookmarkEnd w:id="44"/>
      <w:bookmarkEnd w:id="45"/>
      <w:r>
        <w:rPr>
          <w:rFonts w:ascii="Arial"/>
          <w:b/>
        </w:rPr>
        <w:t>No</w:t>
      </w:r>
      <w:r>
        <w:rPr>
          <w:rFonts w:ascii="Arial"/>
          <w:b/>
          <w:spacing w:val="-6"/>
        </w:rPr>
        <w:t xml:space="preserve"> </w:t>
      </w:r>
      <w:r>
        <w:rPr>
          <w:rFonts w:ascii="Arial"/>
          <w:b/>
        </w:rPr>
        <w:t>significant</w:t>
      </w:r>
      <w:r>
        <w:rPr>
          <w:rFonts w:ascii="Arial"/>
          <w:b/>
          <w:spacing w:val="-5"/>
        </w:rPr>
        <w:t xml:space="preserve"> </w:t>
      </w:r>
      <w:r>
        <w:rPr>
          <w:rFonts w:ascii="Arial"/>
          <w:b/>
          <w:spacing w:val="-2"/>
        </w:rPr>
        <w:t>interaction</w:t>
      </w:r>
    </w:p>
    <w:p w14:paraId="53B38E00" w14:textId="77777777" w:rsidR="008B6261" w:rsidRDefault="008B6261">
      <w:pPr>
        <w:pStyle w:val="BodyText"/>
        <w:spacing w:before="108"/>
        <w:rPr>
          <w:rFonts w:ascii="Arial"/>
          <w:b/>
          <w:sz w:val="22"/>
        </w:rPr>
      </w:pPr>
    </w:p>
    <w:p w14:paraId="53B38E01" w14:textId="77777777" w:rsidR="008B6261" w:rsidRDefault="004C6B8B">
      <w:pPr>
        <w:ind w:left="23"/>
        <w:rPr>
          <w:rFonts w:ascii="Arial"/>
          <w:b/>
          <w:i/>
        </w:rPr>
      </w:pPr>
      <w:r>
        <w:rPr>
          <w:rFonts w:ascii="Arial"/>
          <w:b/>
          <w:i/>
        </w:rPr>
        <w:t>Strong</w:t>
      </w:r>
      <w:r>
        <w:rPr>
          <w:rFonts w:ascii="Arial"/>
          <w:b/>
          <w:i/>
          <w:spacing w:val="-5"/>
        </w:rPr>
        <w:t xml:space="preserve"> </w:t>
      </w:r>
      <w:r>
        <w:rPr>
          <w:rFonts w:ascii="Arial"/>
          <w:b/>
          <w:i/>
        </w:rPr>
        <w:t>CYP3A</w:t>
      </w:r>
      <w:r>
        <w:rPr>
          <w:rFonts w:ascii="Arial"/>
          <w:b/>
          <w:i/>
          <w:spacing w:val="-6"/>
        </w:rPr>
        <w:t xml:space="preserve"> </w:t>
      </w:r>
      <w:r>
        <w:rPr>
          <w:rFonts w:ascii="Arial"/>
          <w:b/>
          <w:i/>
          <w:spacing w:val="-2"/>
        </w:rPr>
        <w:t>inhibitors</w:t>
      </w:r>
    </w:p>
    <w:p w14:paraId="53B38E02" w14:textId="77777777" w:rsidR="008B6261" w:rsidRDefault="004C6B8B">
      <w:pPr>
        <w:pStyle w:val="BodyText"/>
        <w:ind w:left="22" w:right="586"/>
        <w:jc w:val="both"/>
      </w:pPr>
      <w:r>
        <w:t>Some</w:t>
      </w:r>
      <w:r>
        <w:rPr>
          <w:spacing w:val="-12"/>
        </w:rPr>
        <w:t xml:space="preserve"> </w:t>
      </w:r>
      <w:r>
        <w:t>differences</w:t>
      </w:r>
      <w:r>
        <w:rPr>
          <w:spacing w:val="-10"/>
        </w:rPr>
        <w:t xml:space="preserve"> </w:t>
      </w:r>
      <w:r>
        <w:t>were</w:t>
      </w:r>
      <w:r>
        <w:rPr>
          <w:spacing w:val="-12"/>
        </w:rPr>
        <w:t xml:space="preserve"> </w:t>
      </w:r>
      <w:r>
        <w:t>observed</w:t>
      </w:r>
      <w:r>
        <w:rPr>
          <w:spacing w:val="-11"/>
        </w:rPr>
        <w:t xml:space="preserve"> </w:t>
      </w:r>
      <w:r>
        <w:t>(combined</w:t>
      </w:r>
      <w:r>
        <w:rPr>
          <w:spacing w:val="-11"/>
        </w:rPr>
        <w:t xml:space="preserve"> </w:t>
      </w:r>
      <w:r>
        <w:t>tolebrutinib</w:t>
      </w:r>
      <w:r>
        <w:rPr>
          <w:spacing w:val="-11"/>
        </w:rPr>
        <w:t xml:space="preserve"> </w:t>
      </w:r>
      <w:r>
        <w:t>and</w:t>
      </w:r>
      <w:r>
        <w:rPr>
          <w:spacing w:val="-11"/>
        </w:rPr>
        <w:t xml:space="preserve"> </w:t>
      </w:r>
      <w:r>
        <w:t>M2</w:t>
      </w:r>
      <w:r>
        <w:rPr>
          <w:spacing w:val="-11"/>
        </w:rPr>
        <w:t xml:space="preserve"> </w:t>
      </w:r>
      <w:r>
        <w:t>effective</w:t>
      </w:r>
      <w:r>
        <w:rPr>
          <w:spacing w:val="-9"/>
        </w:rPr>
        <w:t xml:space="preserve"> </w:t>
      </w:r>
      <w:r>
        <w:t>AUC</w:t>
      </w:r>
      <w:r>
        <w:rPr>
          <w:spacing w:val="-10"/>
        </w:rPr>
        <w:t xml:space="preserve"> </w:t>
      </w:r>
      <w:r>
        <w:t>increased</w:t>
      </w:r>
      <w:r>
        <w:rPr>
          <w:spacing w:val="-11"/>
        </w:rPr>
        <w:t xml:space="preserve"> </w:t>
      </w:r>
      <w:r>
        <w:t xml:space="preserve">1.68 </w:t>
      </w:r>
      <w:r>
        <w:rPr>
          <w:position w:val="2"/>
        </w:rPr>
        <w:t>fold</w:t>
      </w:r>
      <w:r>
        <w:rPr>
          <w:spacing w:val="-15"/>
          <w:position w:val="2"/>
        </w:rPr>
        <w:t xml:space="preserve"> </w:t>
      </w:r>
      <w:r>
        <w:rPr>
          <w:position w:val="2"/>
        </w:rPr>
        <w:t>and</w:t>
      </w:r>
      <w:r>
        <w:rPr>
          <w:spacing w:val="-15"/>
          <w:position w:val="2"/>
        </w:rPr>
        <w:t xml:space="preserve"> </w:t>
      </w:r>
      <w:r>
        <w:rPr>
          <w:position w:val="2"/>
        </w:rPr>
        <w:t>C</w:t>
      </w:r>
      <w:r>
        <w:rPr>
          <w:sz w:val="16"/>
        </w:rPr>
        <w:t>max</w:t>
      </w:r>
      <w:r>
        <w:rPr>
          <w:spacing w:val="-2"/>
          <w:sz w:val="16"/>
        </w:rPr>
        <w:t xml:space="preserve"> </w:t>
      </w:r>
      <w:r>
        <w:rPr>
          <w:position w:val="2"/>
        </w:rPr>
        <w:t>increased</w:t>
      </w:r>
      <w:r>
        <w:rPr>
          <w:spacing w:val="-15"/>
          <w:position w:val="2"/>
        </w:rPr>
        <w:t xml:space="preserve"> </w:t>
      </w:r>
      <w:r>
        <w:rPr>
          <w:position w:val="2"/>
        </w:rPr>
        <w:t>1.56</w:t>
      </w:r>
      <w:r>
        <w:rPr>
          <w:spacing w:val="-15"/>
          <w:position w:val="2"/>
        </w:rPr>
        <w:t xml:space="preserve"> </w:t>
      </w:r>
      <w:r>
        <w:rPr>
          <w:position w:val="2"/>
        </w:rPr>
        <w:t>fold)</w:t>
      </w:r>
      <w:r>
        <w:rPr>
          <w:spacing w:val="-15"/>
          <w:position w:val="2"/>
        </w:rPr>
        <w:t xml:space="preserve"> </w:t>
      </w:r>
      <w:r>
        <w:rPr>
          <w:position w:val="2"/>
        </w:rPr>
        <w:t>when</w:t>
      </w:r>
      <w:r>
        <w:rPr>
          <w:spacing w:val="-15"/>
          <w:position w:val="2"/>
        </w:rPr>
        <w:t xml:space="preserve"> </w:t>
      </w:r>
      <w:r>
        <w:rPr>
          <w:position w:val="2"/>
        </w:rPr>
        <w:t>tolebrutinib</w:t>
      </w:r>
      <w:r>
        <w:rPr>
          <w:spacing w:val="-15"/>
          <w:position w:val="2"/>
        </w:rPr>
        <w:t xml:space="preserve"> </w:t>
      </w:r>
      <w:r>
        <w:rPr>
          <w:position w:val="2"/>
        </w:rPr>
        <w:t>was</w:t>
      </w:r>
      <w:r>
        <w:rPr>
          <w:noProof/>
          <w:position w:val="-2"/>
        </w:rPr>
        <w:drawing>
          <wp:inline distT="0" distB="0" distL="0" distR="0" wp14:anchorId="53B39077" wp14:editId="53B39078">
            <wp:extent cx="30479" cy="21336"/>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30479" cy="21336"/>
                    </a:xfrm>
                    <a:prstGeom prst="rect">
                      <a:avLst/>
                    </a:prstGeom>
                  </pic:spPr>
                </pic:pic>
              </a:graphicData>
            </a:graphic>
          </wp:inline>
        </w:drawing>
      </w:r>
      <w:r>
        <w:rPr>
          <w:position w:val="2"/>
        </w:rPr>
        <w:t>co-administered</w:t>
      </w:r>
      <w:r>
        <w:rPr>
          <w:spacing w:val="-15"/>
          <w:position w:val="2"/>
        </w:rPr>
        <w:t xml:space="preserve"> </w:t>
      </w:r>
      <w:r>
        <w:rPr>
          <w:position w:val="2"/>
        </w:rPr>
        <w:t>with</w:t>
      </w:r>
      <w:r>
        <w:rPr>
          <w:spacing w:val="-15"/>
          <w:position w:val="2"/>
        </w:rPr>
        <w:t xml:space="preserve"> </w:t>
      </w:r>
      <w:r>
        <w:rPr>
          <w:position w:val="2"/>
        </w:rPr>
        <w:t>a</w:t>
      </w:r>
      <w:r>
        <w:rPr>
          <w:spacing w:val="-15"/>
          <w:position w:val="2"/>
        </w:rPr>
        <w:t xml:space="preserve"> </w:t>
      </w:r>
      <w:r>
        <w:rPr>
          <w:position w:val="2"/>
        </w:rPr>
        <w:t>strong</w:t>
      </w:r>
      <w:r>
        <w:rPr>
          <w:spacing w:val="-15"/>
          <w:position w:val="2"/>
        </w:rPr>
        <w:t xml:space="preserve"> </w:t>
      </w:r>
      <w:r>
        <w:rPr>
          <w:position w:val="2"/>
        </w:rPr>
        <w:t xml:space="preserve">CYP3A </w:t>
      </w:r>
      <w:bookmarkStart w:id="46" w:name="Gastric_Acid_Reducing_Agents"/>
      <w:bookmarkEnd w:id="46"/>
      <w:r>
        <w:t>inhibitor (itraconazole 200 mg daily).</w:t>
      </w:r>
    </w:p>
    <w:p w14:paraId="53B38E03" w14:textId="77777777" w:rsidR="008B6261" w:rsidRDefault="008B6261">
      <w:pPr>
        <w:pStyle w:val="BodyText"/>
        <w:spacing w:before="82"/>
      </w:pPr>
    </w:p>
    <w:p w14:paraId="53B38E04" w14:textId="77777777" w:rsidR="008B6261" w:rsidRDefault="004C6B8B">
      <w:pPr>
        <w:spacing w:before="1"/>
        <w:ind w:left="23"/>
        <w:rPr>
          <w:rFonts w:ascii="Arial"/>
          <w:b/>
          <w:i/>
        </w:rPr>
      </w:pPr>
      <w:r>
        <w:rPr>
          <w:rFonts w:ascii="Arial"/>
          <w:b/>
          <w:i/>
        </w:rPr>
        <w:t>Gastric</w:t>
      </w:r>
      <w:r>
        <w:rPr>
          <w:rFonts w:ascii="Arial"/>
          <w:b/>
          <w:i/>
          <w:spacing w:val="-6"/>
        </w:rPr>
        <w:t xml:space="preserve"> </w:t>
      </w:r>
      <w:r>
        <w:rPr>
          <w:rFonts w:ascii="Arial"/>
          <w:b/>
          <w:i/>
        </w:rPr>
        <w:t>Acid</w:t>
      </w:r>
      <w:r>
        <w:rPr>
          <w:rFonts w:ascii="Arial"/>
          <w:b/>
          <w:i/>
          <w:spacing w:val="-5"/>
        </w:rPr>
        <w:t xml:space="preserve"> </w:t>
      </w:r>
      <w:r>
        <w:rPr>
          <w:rFonts w:ascii="Arial"/>
          <w:b/>
          <w:i/>
        </w:rPr>
        <w:t>Reducing</w:t>
      </w:r>
      <w:r>
        <w:rPr>
          <w:rFonts w:ascii="Arial"/>
          <w:b/>
          <w:i/>
          <w:spacing w:val="-5"/>
        </w:rPr>
        <w:t xml:space="preserve"> </w:t>
      </w:r>
      <w:r>
        <w:rPr>
          <w:rFonts w:ascii="Arial"/>
          <w:b/>
          <w:i/>
          <w:spacing w:val="-2"/>
        </w:rPr>
        <w:t>Agents</w:t>
      </w:r>
    </w:p>
    <w:p w14:paraId="53B38E05" w14:textId="77777777" w:rsidR="008B6261" w:rsidRDefault="004C6B8B">
      <w:pPr>
        <w:pStyle w:val="BodyText"/>
        <w:ind w:left="23" w:right="589"/>
        <w:jc w:val="both"/>
        <w:rPr>
          <w:position w:val="2"/>
        </w:rPr>
      </w:pPr>
      <w:r>
        <w:t>Coadministration</w:t>
      </w:r>
      <w:r>
        <w:rPr>
          <w:spacing w:val="-9"/>
        </w:rPr>
        <w:t xml:space="preserve"> </w:t>
      </w:r>
      <w:r>
        <w:t>of</w:t>
      </w:r>
      <w:r>
        <w:rPr>
          <w:spacing w:val="-10"/>
        </w:rPr>
        <w:t xml:space="preserve"> </w:t>
      </w:r>
      <w:r>
        <w:t>tolebrutinib</w:t>
      </w:r>
      <w:r>
        <w:rPr>
          <w:spacing w:val="-9"/>
        </w:rPr>
        <w:t xml:space="preserve"> </w:t>
      </w:r>
      <w:r>
        <w:t>with</w:t>
      </w:r>
      <w:r>
        <w:rPr>
          <w:spacing w:val="-12"/>
        </w:rPr>
        <w:t xml:space="preserve"> </w:t>
      </w:r>
      <w:r>
        <w:t>medication</w:t>
      </w:r>
      <w:r>
        <w:rPr>
          <w:spacing w:val="-9"/>
        </w:rPr>
        <w:t xml:space="preserve"> </w:t>
      </w:r>
      <w:r>
        <w:t>that</w:t>
      </w:r>
      <w:r>
        <w:rPr>
          <w:spacing w:val="-9"/>
        </w:rPr>
        <w:t xml:space="preserve"> </w:t>
      </w:r>
      <w:r>
        <w:t>increase</w:t>
      </w:r>
      <w:r>
        <w:rPr>
          <w:spacing w:val="-10"/>
        </w:rPr>
        <w:t xml:space="preserve"> </w:t>
      </w:r>
      <w:r>
        <w:t>gastric</w:t>
      </w:r>
      <w:r>
        <w:rPr>
          <w:spacing w:val="-10"/>
        </w:rPr>
        <w:t xml:space="preserve"> </w:t>
      </w:r>
      <w:r>
        <w:t>pH</w:t>
      </w:r>
      <w:r>
        <w:rPr>
          <w:spacing w:val="-10"/>
        </w:rPr>
        <w:t xml:space="preserve"> </w:t>
      </w:r>
      <w:r>
        <w:t>(pantoprazole</w:t>
      </w:r>
      <w:r>
        <w:rPr>
          <w:spacing w:val="-10"/>
        </w:rPr>
        <w:t xml:space="preserve"> </w:t>
      </w:r>
      <w:r>
        <w:t>40</w:t>
      </w:r>
      <w:r>
        <w:rPr>
          <w:spacing w:val="-4"/>
        </w:rPr>
        <w:t xml:space="preserve"> </w:t>
      </w:r>
      <w:r>
        <w:t xml:space="preserve">mg </w:t>
      </w:r>
      <w:r>
        <w:rPr>
          <w:position w:val="2"/>
        </w:rPr>
        <w:t>twice daily) reduced combined tolebrutinib and M2 effective AUC by 9% and C</w:t>
      </w:r>
      <w:r>
        <w:rPr>
          <w:sz w:val="16"/>
        </w:rPr>
        <w:t>max</w:t>
      </w:r>
      <w:r>
        <w:rPr>
          <w:spacing w:val="30"/>
          <w:sz w:val="16"/>
        </w:rPr>
        <w:t xml:space="preserve"> </w:t>
      </w:r>
      <w:r>
        <w:rPr>
          <w:position w:val="2"/>
        </w:rPr>
        <w:t>by 37%.</w:t>
      </w:r>
    </w:p>
    <w:p w14:paraId="53B38E06" w14:textId="77777777" w:rsidR="008B6261" w:rsidRDefault="008B6261">
      <w:pPr>
        <w:pStyle w:val="BodyText"/>
        <w:spacing w:before="82"/>
      </w:pPr>
    </w:p>
    <w:p w14:paraId="53B38E07" w14:textId="77777777" w:rsidR="008B6261" w:rsidRDefault="004C6B8B">
      <w:pPr>
        <w:ind w:left="23"/>
        <w:rPr>
          <w:rFonts w:ascii="Arial"/>
          <w:b/>
        </w:rPr>
      </w:pPr>
      <w:bookmarkStart w:id="47" w:name="Effect_of_tolebrutinib_on_other_medicina"/>
      <w:bookmarkStart w:id="48" w:name="Enzymes"/>
      <w:bookmarkEnd w:id="47"/>
      <w:bookmarkEnd w:id="48"/>
      <w:r>
        <w:rPr>
          <w:rFonts w:ascii="Arial"/>
          <w:b/>
        </w:rPr>
        <w:t>Effect</w:t>
      </w:r>
      <w:r>
        <w:rPr>
          <w:rFonts w:ascii="Arial"/>
          <w:b/>
          <w:spacing w:val="-6"/>
        </w:rPr>
        <w:t xml:space="preserve"> </w:t>
      </w:r>
      <w:r>
        <w:rPr>
          <w:rFonts w:ascii="Arial"/>
          <w:b/>
        </w:rPr>
        <w:t>of</w:t>
      </w:r>
      <w:r>
        <w:rPr>
          <w:rFonts w:ascii="Arial"/>
          <w:b/>
          <w:spacing w:val="-5"/>
        </w:rPr>
        <w:t xml:space="preserve"> </w:t>
      </w:r>
      <w:r>
        <w:rPr>
          <w:rFonts w:ascii="Arial"/>
          <w:b/>
        </w:rPr>
        <w:t>tolebrutinib</w:t>
      </w:r>
      <w:r>
        <w:rPr>
          <w:rFonts w:ascii="Arial"/>
          <w:b/>
          <w:spacing w:val="-4"/>
        </w:rPr>
        <w:t xml:space="preserve"> </w:t>
      </w:r>
      <w:r>
        <w:rPr>
          <w:rFonts w:ascii="Arial"/>
          <w:b/>
        </w:rPr>
        <w:t>on</w:t>
      </w:r>
      <w:r>
        <w:rPr>
          <w:rFonts w:ascii="Arial"/>
          <w:b/>
          <w:spacing w:val="-4"/>
        </w:rPr>
        <w:t xml:space="preserve"> </w:t>
      </w:r>
      <w:r>
        <w:rPr>
          <w:rFonts w:ascii="Arial"/>
          <w:b/>
        </w:rPr>
        <w:t>other</w:t>
      </w:r>
      <w:r>
        <w:rPr>
          <w:rFonts w:ascii="Arial"/>
          <w:b/>
          <w:spacing w:val="-5"/>
        </w:rPr>
        <w:t xml:space="preserve"> </w:t>
      </w:r>
      <w:r>
        <w:rPr>
          <w:rFonts w:ascii="Arial"/>
          <w:b/>
        </w:rPr>
        <w:t>medicinal</w:t>
      </w:r>
      <w:r>
        <w:rPr>
          <w:rFonts w:ascii="Arial"/>
          <w:b/>
          <w:spacing w:val="-4"/>
        </w:rPr>
        <w:t xml:space="preserve"> </w:t>
      </w:r>
      <w:r>
        <w:rPr>
          <w:rFonts w:ascii="Arial"/>
          <w:b/>
          <w:spacing w:val="-2"/>
        </w:rPr>
        <w:t>products</w:t>
      </w:r>
    </w:p>
    <w:p w14:paraId="53B38E08" w14:textId="77777777" w:rsidR="008B6261" w:rsidRDefault="008B6261">
      <w:pPr>
        <w:pStyle w:val="BodyText"/>
        <w:spacing w:before="108"/>
        <w:rPr>
          <w:rFonts w:ascii="Arial"/>
          <w:b/>
          <w:sz w:val="22"/>
        </w:rPr>
      </w:pPr>
    </w:p>
    <w:p w14:paraId="53B38E09" w14:textId="77777777" w:rsidR="008B6261" w:rsidRDefault="004C6B8B">
      <w:pPr>
        <w:spacing w:before="1"/>
        <w:ind w:left="23"/>
        <w:rPr>
          <w:rFonts w:ascii="Arial"/>
          <w:b/>
          <w:i/>
        </w:rPr>
      </w:pPr>
      <w:r>
        <w:rPr>
          <w:rFonts w:ascii="Arial"/>
          <w:b/>
          <w:i/>
          <w:spacing w:val="-2"/>
        </w:rPr>
        <w:t>Enzymes</w:t>
      </w:r>
    </w:p>
    <w:p w14:paraId="53B38E0A" w14:textId="77777777" w:rsidR="008B6261" w:rsidRDefault="004C6B8B">
      <w:pPr>
        <w:pStyle w:val="BodyText"/>
        <w:ind w:left="23" w:right="585"/>
        <w:jc w:val="both"/>
      </w:pPr>
      <w:r>
        <w:t>Tolebrutinib,</w:t>
      </w:r>
      <w:r>
        <w:rPr>
          <w:spacing w:val="-12"/>
        </w:rPr>
        <w:t xml:space="preserve"> </w:t>
      </w:r>
      <w:r>
        <w:t>M2</w:t>
      </w:r>
      <w:r>
        <w:rPr>
          <w:spacing w:val="-12"/>
        </w:rPr>
        <w:t xml:space="preserve"> </w:t>
      </w:r>
      <w:r>
        <w:t>and</w:t>
      </w:r>
      <w:r>
        <w:rPr>
          <w:spacing w:val="-12"/>
        </w:rPr>
        <w:t xml:space="preserve"> </w:t>
      </w:r>
      <w:r>
        <w:t>the</w:t>
      </w:r>
      <w:r>
        <w:rPr>
          <w:spacing w:val="-15"/>
        </w:rPr>
        <w:t xml:space="preserve"> </w:t>
      </w:r>
      <w:r>
        <w:t>major</w:t>
      </w:r>
      <w:r>
        <w:rPr>
          <w:spacing w:val="-13"/>
        </w:rPr>
        <w:t xml:space="preserve"> </w:t>
      </w:r>
      <w:r>
        <w:t>human</w:t>
      </w:r>
      <w:r>
        <w:rPr>
          <w:spacing w:val="-12"/>
        </w:rPr>
        <w:t xml:space="preserve"> </w:t>
      </w:r>
      <w:r>
        <w:t>metabolite</w:t>
      </w:r>
      <w:r>
        <w:rPr>
          <w:spacing w:val="-13"/>
        </w:rPr>
        <w:t xml:space="preserve"> </w:t>
      </w:r>
      <w:r>
        <w:t>M8</w:t>
      </w:r>
      <w:r>
        <w:rPr>
          <w:spacing w:val="-12"/>
        </w:rPr>
        <w:t xml:space="preserve"> </w:t>
      </w:r>
      <w:r>
        <w:t>are</w:t>
      </w:r>
      <w:r>
        <w:rPr>
          <w:spacing w:val="-13"/>
        </w:rPr>
        <w:t xml:space="preserve"> </w:t>
      </w:r>
      <w:r>
        <w:t>not</w:t>
      </w:r>
      <w:r>
        <w:rPr>
          <w:spacing w:val="-12"/>
        </w:rPr>
        <w:t xml:space="preserve"> </w:t>
      </w:r>
      <w:r>
        <w:t>inhibitors</w:t>
      </w:r>
      <w:r>
        <w:rPr>
          <w:spacing w:val="-12"/>
        </w:rPr>
        <w:t xml:space="preserve"> </w:t>
      </w:r>
      <w:r>
        <w:t>of</w:t>
      </w:r>
      <w:r>
        <w:rPr>
          <w:spacing w:val="-15"/>
        </w:rPr>
        <w:t xml:space="preserve"> </w:t>
      </w:r>
      <w:r>
        <w:t>CYP1A2,</w:t>
      </w:r>
      <w:r>
        <w:rPr>
          <w:spacing w:val="-12"/>
        </w:rPr>
        <w:t xml:space="preserve"> </w:t>
      </w:r>
      <w:r>
        <w:t xml:space="preserve">CYP2B6, CYP2C8, CYP2C9, CYP2C19, CYP2D6, CYP2J2, CYP3A4/5 or xanthine oxidase enzyme </w:t>
      </w:r>
      <w:bookmarkStart w:id="49" w:name="Transporters"/>
      <w:bookmarkEnd w:id="49"/>
      <w:r>
        <w:t xml:space="preserve">nor inducers of CYP1A2, CYP2B6 or CYP3A4 at clinically-relevant concentrations </w:t>
      </w:r>
      <w:r>
        <w:rPr>
          <w:i/>
        </w:rPr>
        <w:t>in vitro</w:t>
      </w:r>
      <w:r>
        <w:t>.</w:t>
      </w:r>
    </w:p>
    <w:p w14:paraId="53B38E0B" w14:textId="77777777" w:rsidR="008B6261" w:rsidRDefault="008B6261">
      <w:pPr>
        <w:pStyle w:val="BodyText"/>
        <w:spacing w:before="84"/>
      </w:pPr>
    </w:p>
    <w:p w14:paraId="53B38E0C" w14:textId="77777777" w:rsidR="008B6261" w:rsidRDefault="004C6B8B">
      <w:pPr>
        <w:spacing w:before="1"/>
        <w:ind w:left="23"/>
        <w:rPr>
          <w:rFonts w:ascii="Arial"/>
          <w:b/>
          <w:i/>
        </w:rPr>
      </w:pPr>
      <w:r>
        <w:rPr>
          <w:rFonts w:ascii="Arial"/>
          <w:b/>
          <w:i/>
          <w:spacing w:val="-2"/>
        </w:rPr>
        <w:t>Transporters</w:t>
      </w:r>
    </w:p>
    <w:p w14:paraId="53B38E0D" w14:textId="77777777" w:rsidR="008B6261" w:rsidRDefault="004C6B8B">
      <w:pPr>
        <w:pStyle w:val="BodyText"/>
        <w:ind w:left="22" w:right="585"/>
        <w:jc w:val="both"/>
      </w:pPr>
      <w:r>
        <w:t>Tolebrutinib, M2 and M8 were not inhibitors of P-glycoprotein, BCRP, BSEP, MRP2, OATP1B1,</w:t>
      </w:r>
      <w:r>
        <w:rPr>
          <w:spacing w:val="33"/>
        </w:rPr>
        <w:t xml:space="preserve"> </w:t>
      </w:r>
      <w:r>
        <w:t>OATP1B3,</w:t>
      </w:r>
      <w:r>
        <w:rPr>
          <w:spacing w:val="36"/>
        </w:rPr>
        <w:t xml:space="preserve"> </w:t>
      </w:r>
      <w:r>
        <w:t>OCT1,</w:t>
      </w:r>
      <w:r>
        <w:rPr>
          <w:spacing w:val="36"/>
        </w:rPr>
        <w:t xml:space="preserve"> </w:t>
      </w:r>
      <w:r>
        <w:t>OCT2,</w:t>
      </w:r>
      <w:r>
        <w:rPr>
          <w:spacing w:val="36"/>
        </w:rPr>
        <w:t xml:space="preserve"> </w:t>
      </w:r>
      <w:r>
        <w:t>OAT1,</w:t>
      </w:r>
      <w:r>
        <w:rPr>
          <w:spacing w:val="38"/>
        </w:rPr>
        <w:t xml:space="preserve"> </w:t>
      </w:r>
      <w:r>
        <w:t>OAT3,</w:t>
      </w:r>
      <w:r>
        <w:rPr>
          <w:spacing w:val="35"/>
        </w:rPr>
        <w:t xml:space="preserve"> </w:t>
      </w:r>
      <w:r>
        <w:t>MATE1</w:t>
      </w:r>
      <w:r>
        <w:rPr>
          <w:spacing w:val="36"/>
        </w:rPr>
        <w:t xml:space="preserve"> </w:t>
      </w:r>
      <w:r>
        <w:t>or</w:t>
      </w:r>
      <w:r>
        <w:rPr>
          <w:spacing w:val="38"/>
        </w:rPr>
        <w:t xml:space="preserve"> </w:t>
      </w:r>
      <w:r>
        <w:t>MATE2-K</w:t>
      </w:r>
      <w:r>
        <w:rPr>
          <w:spacing w:val="35"/>
        </w:rPr>
        <w:t xml:space="preserve"> </w:t>
      </w:r>
      <w:r>
        <w:t>at</w:t>
      </w:r>
      <w:r>
        <w:rPr>
          <w:spacing w:val="39"/>
        </w:rPr>
        <w:t xml:space="preserve"> </w:t>
      </w:r>
      <w:r>
        <w:rPr>
          <w:spacing w:val="-2"/>
        </w:rPr>
        <w:t>clinically-</w:t>
      </w:r>
    </w:p>
    <w:p w14:paraId="53B38E0E" w14:textId="77777777" w:rsidR="008B6261" w:rsidRDefault="004C6B8B">
      <w:pPr>
        <w:ind w:left="22"/>
        <w:jc w:val="both"/>
        <w:rPr>
          <w:spacing w:val="-2"/>
          <w:sz w:val="24"/>
        </w:rPr>
      </w:pPr>
      <w:r>
        <w:rPr>
          <w:sz w:val="24"/>
        </w:rPr>
        <w:t>relevant</w:t>
      </w:r>
      <w:r>
        <w:rPr>
          <w:spacing w:val="-3"/>
          <w:sz w:val="24"/>
        </w:rPr>
        <w:t xml:space="preserve"> </w:t>
      </w:r>
      <w:r>
        <w:rPr>
          <w:sz w:val="24"/>
        </w:rPr>
        <w:t>concentrations</w:t>
      </w:r>
      <w:r>
        <w:rPr>
          <w:spacing w:val="-2"/>
          <w:sz w:val="24"/>
        </w:rPr>
        <w:t xml:space="preserve"> </w:t>
      </w:r>
      <w:r>
        <w:rPr>
          <w:i/>
          <w:sz w:val="24"/>
        </w:rPr>
        <w:t>in</w:t>
      </w:r>
      <w:r>
        <w:rPr>
          <w:i/>
          <w:spacing w:val="-2"/>
          <w:sz w:val="24"/>
        </w:rPr>
        <w:t xml:space="preserve"> vitro</w:t>
      </w:r>
      <w:r>
        <w:rPr>
          <w:spacing w:val="-2"/>
          <w:sz w:val="24"/>
        </w:rPr>
        <w:t>.</w:t>
      </w:r>
    </w:p>
    <w:p w14:paraId="53B38E10" w14:textId="77777777" w:rsidR="008B6261" w:rsidRDefault="004C6B8B" w:rsidP="00A77020">
      <w:pPr>
        <w:pStyle w:val="ListParagraph"/>
        <w:pageBreakBefore/>
        <w:numPr>
          <w:ilvl w:val="1"/>
          <w:numId w:val="4"/>
        </w:numPr>
        <w:tabs>
          <w:tab w:val="left" w:pos="702"/>
        </w:tabs>
        <w:spacing w:before="81"/>
        <w:ind w:left="703"/>
        <w:rPr>
          <w:b/>
        </w:rPr>
      </w:pPr>
      <w:bookmarkStart w:id="50" w:name="4.6_Fertility,_pregnancy_and_lactation"/>
      <w:bookmarkEnd w:id="50"/>
      <w:r>
        <w:rPr>
          <w:b/>
        </w:rPr>
        <w:lastRenderedPageBreak/>
        <w:t>FERTILITY,</w:t>
      </w:r>
      <w:r>
        <w:rPr>
          <w:b/>
          <w:spacing w:val="-6"/>
        </w:rPr>
        <w:t xml:space="preserve"> </w:t>
      </w:r>
      <w:r>
        <w:rPr>
          <w:b/>
        </w:rPr>
        <w:t>PREGNANCY</w:t>
      </w:r>
      <w:r>
        <w:rPr>
          <w:b/>
          <w:spacing w:val="-6"/>
        </w:rPr>
        <w:t xml:space="preserve"> </w:t>
      </w:r>
      <w:r>
        <w:rPr>
          <w:b/>
        </w:rPr>
        <w:t>AND</w:t>
      </w:r>
      <w:r>
        <w:rPr>
          <w:b/>
          <w:spacing w:val="-6"/>
        </w:rPr>
        <w:t xml:space="preserve"> </w:t>
      </w:r>
      <w:r>
        <w:rPr>
          <w:b/>
          <w:spacing w:val="-2"/>
        </w:rPr>
        <w:t>LACTATION</w:t>
      </w:r>
    </w:p>
    <w:p w14:paraId="53B38E11" w14:textId="77777777" w:rsidR="008B6261" w:rsidRDefault="008B6261">
      <w:pPr>
        <w:pStyle w:val="BodyText"/>
        <w:spacing w:before="106"/>
        <w:rPr>
          <w:rFonts w:ascii="Arial"/>
          <w:b/>
          <w:sz w:val="22"/>
        </w:rPr>
      </w:pPr>
    </w:p>
    <w:p w14:paraId="53B38E12" w14:textId="77777777" w:rsidR="008B6261" w:rsidRDefault="004C6B8B">
      <w:pPr>
        <w:ind w:left="22"/>
        <w:rPr>
          <w:rFonts w:ascii="Arial"/>
          <w:b/>
        </w:rPr>
      </w:pPr>
      <w:bookmarkStart w:id="51" w:name="Effects_on_fertility"/>
      <w:bookmarkEnd w:id="51"/>
      <w:r>
        <w:rPr>
          <w:rFonts w:ascii="Arial"/>
          <w:b/>
        </w:rPr>
        <w:t>Effects</w:t>
      </w:r>
      <w:r>
        <w:rPr>
          <w:rFonts w:ascii="Arial"/>
          <w:b/>
          <w:spacing w:val="-4"/>
        </w:rPr>
        <w:t xml:space="preserve"> </w:t>
      </w:r>
      <w:r>
        <w:rPr>
          <w:rFonts w:ascii="Arial"/>
          <w:b/>
        </w:rPr>
        <w:t>on</w:t>
      </w:r>
      <w:r>
        <w:rPr>
          <w:rFonts w:ascii="Arial"/>
          <w:b/>
          <w:spacing w:val="-4"/>
        </w:rPr>
        <w:t xml:space="preserve"> </w:t>
      </w:r>
      <w:r>
        <w:rPr>
          <w:rFonts w:ascii="Arial"/>
          <w:b/>
          <w:spacing w:val="-2"/>
        </w:rPr>
        <w:t>fertility</w:t>
      </w:r>
    </w:p>
    <w:p w14:paraId="53B38E13" w14:textId="77777777" w:rsidR="008B6261" w:rsidRDefault="004C6B8B">
      <w:pPr>
        <w:pStyle w:val="BodyText"/>
        <w:spacing w:before="241"/>
        <w:ind w:left="23"/>
        <w:jc w:val="both"/>
      </w:pPr>
      <w:r>
        <w:t>The</w:t>
      </w:r>
      <w:r>
        <w:rPr>
          <w:spacing w:val="-3"/>
        </w:rPr>
        <w:t xml:space="preserve"> </w:t>
      </w:r>
      <w:r>
        <w:t>effects</w:t>
      </w:r>
      <w:r>
        <w:rPr>
          <w:spacing w:val="-1"/>
        </w:rPr>
        <w:t xml:space="preserve"> </w:t>
      </w:r>
      <w:r>
        <w:t>of</w:t>
      </w:r>
      <w:r>
        <w:rPr>
          <w:spacing w:val="-2"/>
        </w:rPr>
        <w:t xml:space="preserve"> </w:t>
      </w:r>
      <w:r>
        <w:t>tolebrutinib</w:t>
      </w:r>
      <w:r>
        <w:rPr>
          <w:spacing w:val="-1"/>
        </w:rPr>
        <w:t xml:space="preserve"> </w:t>
      </w:r>
      <w:r>
        <w:t>on</w:t>
      </w:r>
      <w:r>
        <w:rPr>
          <w:spacing w:val="-2"/>
        </w:rPr>
        <w:t xml:space="preserve"> </w:t>
      </w:r>
      <w:r>
        <w:t>fertility</w:t>
      </w:r>
      <w:r>
        <w:rPr>
          <w:spacing w:val="-1"/>
        </w:rPr>
        <w:t xml:space="preserve"> </w:t>
      </w:r>
      <w:r>
        <w:t>in</w:t>
      </w:r>
      <w:r>
        <w:rPr>
          <w:spacing w:val="-1"/>
        </w:rPr>
        <w:t xml:space="preserve"> </w:t>
      </w:r>
      <w:r>
        <w:t>humans</w:t>
      </w:r>
      <w:r>
        <w:rPr>
          <w:spacing w:val="-1"/>
        </w:rPr>
        <w:t xml:space="preserve"> </w:t>
      </w:r>
      <w:r>
        <w:t>are</w:t>
      </w:r>
      <w:r>
        <w:rPr>
          <w:spacing w:val="-2"/>
        </w:rPr>
        <w:t xml:space="preserve"> unknown.</w:t>
      </w:r>
    </w:p>
    <w:p w14:paraId="53B38E14" w14:textId="77777777" w:rsidR="008B6261" w:rsidRDefault="004C6B8B">
      <w:pPr>
        <w:pStyle w:val="BodyText"/>
        <w:spacing w:before="240"/>
        <w:ind w:left="23" w:right="586"/>
        <w:jc w:val="both"/>
      </w:pPr>
      <w:r>
        <w:t>Male</w:t>
      </w:r>
      <w:r>
        <w:rPr>
          <w:spacing w:val="-9"/>
        </w:rPr>
        <w:t xml:space="preserve"> </w:t>
      </w:r>
      <w:r>
        <w:t>and</w:t>
      </w:r>
      <w:r>
        <w:rPr>
          <w:spacing w:val="-8"/>
        </w:rPr>
        <w:t xml:space="preserve"> </w:t>
      </w:r>
      <w:r>
        <w:t>female</w:t>
      </w:r>
      <w:r>
        <w:rPr>
          <w:spacing w:val="-9"/>
        </w:rPr>
        <w:t xml:space="preserve"> </w:t>
      </w:r>
      <w:r>
        <w:t>fertility</w:t>
      </w:r>
      <w:r>
        <w:rPr>
          <w:spacing w:val="-8"/>
        </w:rPr>
        <w:t xml:space="preserve"> </w:t>
      </w:r>
      <w:r>
        <w:t>was</w:t>
      </w:r>
      <w:r>
        <w:rPr>
          <w:spacing w:val="-8"/>
        </w:rPr>
        <w:t xml:space="preserve"> </w:t>
      </w:r>
      <w:r>
        <w:t>unaffected</w:t>
      </w:r>
      <w:r>
        <w:rPr>
          <w:spacing w:val="-8"/>
        </w:rPr>
        <w:t xml:space="preserve"> </w:t>
      </w:r>
      <w:r>
        <w:t>in</w:t>
      </w:r>
      <w:r>
        <w:rPr>
          <w:spacing w:val="-8"/>
        </w:rPr>
        <w:t xml:space="preserve"> </w:t>
      </w:r>
      <w:r>
        <w:t>rats</w:t>
      </w:r>
      <w:r>
        <w:rPr>
          <w:spacing w:val="-8"/>
        </w:rPr>
        <w:t xml:space="preserve"> </w:t>
      </w:r>
      <w:r>
        <w:t>following</w:t>
      </w:r>
      <w:r>
        <w:rPr>
          <w:spacing w:val="-8"/>
        </w:rPr>
        <w:t xml:space="preserve"> </w:t>
      </w:r>
      <w:r>
        <w:t>oral</w:t>
      </w:r>
      <w:r>
        <w:rPr>
          <w:spacing w:val="-8"/>
        </w:rPr>
        <w:t xml:space="preserve"> </w:t>
      </w:r>
      <w:r>
        <w:t>administration</w:t>
      </w:r>
      <w:r>
        <w:rPr>
          <w:spacing w:val="-8"/>
        </w:rPr>
        <w:t xml:space="preserve"> </w:t>
      </w:r>
      <w:r>
        <w:t>of</w:t>
      </w:r>
      <w:r>
        <w:rPr>
          <w:spacing w:val="-9"/>
        </w:rPr>
        <w:t xml:space="preserve"> </w:t>
      </w:r>
      <w:r>
        <w:t>tolebrutinib</w:t>
      </w:r>
      <w:r>
        <w:rPr>
          <w:spacing w:val="-8"/>
        </w:rPr>
        <w:t xml:space="preserve"> </w:t>
      </w:r>
      <w:r>
        <w:t>at doses</w:t>
      </w:r>
      <w:r>
        <w:rPr>
          <w:spacing w:val="-5"/>
        </w:rPr>
        <w:t xml:space="preserve"> </w:t>
      </w:r>
      <w:r>
        <w:t>up</w:t>
      </w:r>
      <w:r>
        <w:rPr>
          <w:spacing w:val="-5"/>
        </w:rPr>
        <w:t xml:space="preserve"> </w:t>
      </w:r>
      <w:r>
        <w:t>to</w:t>
      </w:r>
      <w:r>
        <w:rPr>
          <w:spacing w:val="-5"/>
        </w:rPr>
        <w:t xml:space="preserve"> </w:t>
      </w:r>
      <w:r>
        <w:t>25</w:t>
      </w:r>
      <w:r>
        <w:rPr>
          <w:spacing w:val="-5"/>
        </w:rPr>
        <w:t xml:space="preserve"> </w:t>
      </w:r>
      <w:r>
        <w:t>mg/kg/day</w:t>
      </w:r>
      <w:r>
        <w:rPr>
          <w:spacing w:val="-5"/>
        </w:rPr>
        <w:t xml:space="preserve"> </w:t>
      </w:r>
      <w:r>
        <w:t>(86</w:t>
      </w:r>
      <w:r>
        <w:rPr>
          <w:spacing w:val="-5"/>
        </w:rPr>
        <w:t xml:space="preserve"> </w:t>
      </w:r>
      <w:r>
        <w:t>and</w:t>
      </w:r>
      <w:r>
        <w:rPr>
          <w:spacing w:val="-5"/>
        </w:rPr>
        <w:t xml:space="preserve"> </w:t>
      </w:r>
      <w:r>
        <w:t>265</w:t>
      </w:r>
      <w:r>
        <w:rPr>
          <w:spacing w:val="-3"/>
        </w:rPr>
        <w:t xml:space="preserve"> </w:t>
      </w:r>
      <w:r>
        <w:t>times</w:t>
      </w:r>
      <w:r>
        <w:rPr>
          <w:spacing w:val="-5"/>
        </w:rPr>
        <w:t xml:space="preserve"> </w:t>
      </w:r>
      <w:r>
        <w:t>the</w:t>
      </w:r>
      <w:r>
        <w:rPr>
          <w:spacing w:val="-6"/>
        </w:rPr>
        <w:t xml:space="preserve"> </w:t>
      </w:r>
      <w:r>
        <w:t>exposures</w:t>
      </w:r>
      <w:r>
        <w:rPr>
          <w:spacing w:val="-5"/>
        </w:rPr>
        <w:t xml:space="preserve"> </w:t>
      </w:r>
      <w:r>
        <w:t>of</w:t>
      </w:r>
      <w:r>
        <w:rPr>
          <w:spacing w:val="-6"/>
        </w:rPr>
        <w:t xml:space="preserve"> </w:t>
      </w:r>
      <w:r>
        <w:t>the</w:t>
      </w:r>
      <w:r>
        <w:rPr>
          <w:spacing w:val="-3"/>
        </w:rPr>
        <w:t xml:space="preserve"> </w:t>
      </w:r>
      <w:r>
        <w:t>unbound</w:t>
      </w:r>
      <w:r>
        <w:rPr>
          <w:spacing w:val="-2"/>
        </w:rPr>
        <w:t xml:space="preserve"> </w:t>
      </w:r>
      <w:r>
        <w:t>AUC</w:t>
      </w:r>
      <w:r>
        <w:rPr>
          <w:spacing w:val="-4"/>
        </w:rPr>
        <w:t xml:space="preserve"> </w:t>
      </w:r>
      <w:r>
        <w:t>at</w:t>
      </w:r>
      <w:r>
        <w:rPr>
          <w:spacing w:val="-4"/>
        </w:rPr>
        <w:t xml:space="preserve"> </w:t>
      </w:r>
      <w:r>
        <w:t>the</w:t>
      </w:r>
      <w:r>
        <w:rPr>
          <w:spacing w:val="-3"/>
        </w:rPr>
        <w:t xml:space="preserve"> </w:t>
      </w:r>
      <w:r>
        <w:t>clinical dose in male and female rats, respectively).</w:t>
      </w:r>
    </w:p>
    <w:p w14:paraId="53B38E15" w14:textId="77777777" w:rsidR="008B6261" w:rsidRDefault="008B6261">
      <w:pPr>
        <w:pStyle w:val="BodyText"/>
        <w:spacing w:before="85"/>
      </w:pPr>
    </w:p>
    <w:p w14:paraId="53B38E16" w14:textId="77777777" w:rsidR="008B6261" w:rsidRDefault="004C6B8B">
      <w:pPr>
        <w:ind w:left="23"/>
        <w:rPr>
          <w:rFonts w:ascii="Arial"/>
          <w:b/>
        </w:rPr>
      </w:pPr>
      <w:bookmarkStart w:id="52" w:name="Use_in_pregnancy_(Category_B3)"/>
      <w:bookmarkEnd w:id="52"/>
      <w:r>
        <w:rPr>
          <w:rFonts w:ascii="Arial"/>
          <w:b/>
        </w:rPr>
        <w:t>Use</w:t>
      </w:r>
      <w:r>
        <w:rPr>
          <w:rFonts w:ascii="Arial"/>
          <w:b/>
          <w:spacing w:val="-5"/>
        </w:rPr>
        <w:t xml:space="preserve"> </w:t>
      </w:r>
      <w:r>
        <w:rPr>
          <w:rFonts w:ascii="Arial"/>
          <w:b/>
        </w:rPr>
        <w:t>in</w:t>
      </w:r>
      <w:r>
        <w:rPr>
          <w:rFonts w:ascii="Arial"/>
          <w:b/>
          <w:spacing w:val="-5"/>
        </w:rPr>
        <w:t xml:space="preserve"> </w:t>
      </w:r>
      <w:r>
        <w:rPr>
          <w:rFonts w:ascii="Arial"/>
          <w:b/>
        </w:rPr>
        <w:t>pregnancy</w:t>
      </w:r>
      <w:r>
        <w:rPr>
          <w:rFonts w:ascii="Arial"/>
          <w:b/>
          <w:spacing w:val="-7"/>
        </w:rPr>
        <w:t xml:space="preserve"> </w:t>
      </w:r>
      <w:r>
        <w:rPr>
          <w:rFonts w:ascii="Arial"/>
          <w:b/>
        </w:rPr>
        <w:t>(Category</w:t>
      </w:r>
      <w:r>
        <w:rPr>
          <w:rFonts w:ascii="Arial"/>
          <w:b/>
          <w:spacing w:val="-4"/>
        </w:rPr>
        <w:t xml:space="preserve"> </w:t>
      </w:r>
      <w:r>
        <w:rPr>
          <w:rFonts w:ascii="Arial"/>
          <w:b/>
          <w:spacing w:val="-5"/>
        </w:rPr>
        <w:t>B3)</w:t>
      </w:r>
    </w:p>
    <w:p w14:paraId="53B38E17" w14:textId="77777777" w:rsidR="008B6261" w:rsidRDefault="004C6B8B">
      <w:pPr>
        <w:pStyle w:val="BodyText"/>
        <w:ind w:left="23"/>
        <w:jc w:val="both"/>
      </w:pPr>
      <w:r>
        <w:t>There</w:t>
      </w:r>
      <w:r>
        <w:rPr>
          <w:spacing w:val="-3"/>
        </w:rPr>
        <w:t xml:space="preserve"> </w:t>
      </w:r>
      <w:r>
        <w:t>are</w:t>
      </w:r>
      <w:r>
        <w:rPr>
          <w:spacing w:val="-2"/>
        </w:rPr>
        <w:t xml:space="preserve"> </w:t>
      </w:r>
      <w:r>
        <w:t>no</w:t>
      </w:r>
      <w:r>
        <w:rPr>
          <w:spacing w:val="1"/>
        </w:rPr>
        <w:t xml:space="preserve"> </w:t>
      </w:r>
      <w:r>
        <w:t>available</w:t>
      </w:r>
      <w:r>
        <w:rPr>
          <w:spacing w:val="-3"/>
        </w:rPr>
        <w:t xml:space="preserve"> </w:t>
      </w:r>
      <w:r>
        <w:t>data</w:t>
      </w:r>
      <w:r>
        <w:rPr>
          <w:spacing w:val="-2"/>
        </w:rPr>
        <w:t xml:space="preserve"> </w:t>
      </w:r>
      <w:r>
        <w:t>on</w:t>
      </w:r>
      <w:r>
        <w:rPr>
          <w:spacing w:val="-1"/>
        </w:rPr>
        <w:t xml:space="preserve"> </w:t>
      </w:r>
      <w:r>
        <w:t>tolebrutinib</w:t>
      </w:r>
      <w:r>
        <w:rPr>
          <w:spacing w:val="-2"/>
        </w:rPr>
        <w:t xml:space="preserve"> </w:t>
      </w:r>
      <w:r>
        <w:t>use</w:t>
      </w:r>
      <w:r>
        <w:rPr>
          <w:spacing w:val="-2"/>
        </w:rPr>
        <w:t xml:space="preserve"> </w:t>
      </w:r>
      <w:r>
        <w:t>in</w:t>
      </w:r>
      <w:r>
        <w:rPr>
          <w:spacing w:val="-1"/>
        </w:rPr>
        <w:t xml:space="preserve"> </w:t>
      </w:r>
      <w:r>
        <w:t>pregnant</w:t>
      </w:r>
      <w:r>
        <w:rPr>
          <w:spacing w:val="-1"/>
        </w:rPr>
        <w:t xml:space="preserve"> </w:t>
      </w:r>
      <w:r>
        <w:rPr>
          <w:spacing w:val="-2"/>
        </w:rPr>
        <w:t>women.</w:t>
      </w:r>
    </w:p>
    <w:p w14:paraId="53B38E18" w14:textId="77777777" w:rsidR="008B6261" w:rsidRDefault="004C6B8B">
      <w:pPr>
        <w:pStyle w:val="BodyText"/>
        <w:spacing w:before="240"/>
        <w:ind w:left="22" w:right="585"/>
        <w:jc w:val="both"/>
      </w:pPr>
      <w:r>
        <w:t>Tolebrutinib and/or its metabolites crossed the placenta in rabbits. Animal studies with tolebrutinib do not indicate reproductive toxicity. However, there is insufficient information on embryo-fetal development regarding the active metabolite M2, therefore, a risk to the unborn</w:t>
      </w:r>
      <w:r>
        <w:rPr>
          <w:spacing w:val="-8"/>
        </w:rPr>
        <w:t xml:space="preserve"> </w:t>
      </w:r>
      <w:r>
        <w:t>child</w:t>
      </w:r>
      <w:r>
        <w:rPr>
          <w:spacing w:val="-8"/>
        </w:rPr>
        <w:t xml:space="preserve"> </w:t>
      </w:r>
      <w:r>
        <w:t>cannot</w:t>
      </w:r>
      <w:r>
        <w:rPr>
          <w:spacing w:val="-8"/>
        </w:rPr>
        <w:t xml:space="preserve"> </w:t>
      </w:r>
      <w:r>
        <w:t>be</w:t>
      </w:r>
      <w:r>
        <w:rPr>
          <w:spacing w:val="-9"/>
        </w:rPr>
        <w:t xml:space="preserve"> </w:t>
      </w:r>
      <w:r>
        <w:t>excluded</w:t>
      </w:r>
      <w:r>
        <w:rPr>
          <w:spacing w:val="-8"/>
        </w:rPr>
        <w:t xml:space="preserve"> </w:t>
      </w:r>
      <w:r>
        <w:t>(see</w:t>
      </w:r>
      <w:r>
        <w:rPr>
          <w:spacing w:val="-9"/>
        </w:rPr>
        <w:t xml:space="preserve"> </w:t>
      </w:r>
      <w:r>
        <w:t>Section</w:t>
      </w:r>
      <w:r>
        <w:rPr>
          <w:spacing w:val="-8"/>
        </w:rPr>
        <w:t xml:space="preserve"> </w:t>
      </w:r>
      <w:hyperlink w:anchor="_bookmark13" w:history="1">
        <w:r>
          <w:t>5.3</w:t>
        </w:r>
      </w:hyperlink>
      <w:r>
        <w:rPr>
          <w:spacing w:val="-7"/>
        </w:rPr>
        <w:t xml:space="preserve"> </w:t>
      </w:r>
      <w:r>
        <w:t>Preclinical</w:t>
      </w:r>
      <w:r>
        <w:rPr>
          <w:spacing w:val="-8"/>
        </w:rPr>
        <w:t xml:space="preserve"> </w:t>
      </w:r>
      <w:r>
        <w:t>Safety</w:t>
      </w:r>
      <w:r>
        <w:rPr>
          <w:spacing w:val="-8"/>
        </w:rPr>
        <w:t xml:space="preserve"> </w:t>
      </w:r>
      <w:r>
        <w:t>Data).</w:t>
      </w:r>
      <w:r>
        <w:rPr>
          <w:spacing w:val="-8"/>
        </w:rPr>
        <w:t xml:space="preserve"> </w:t>
      </w:r>
      <w:r>
        <w:t>Tolebrutinib</w:t>
      </w:r>
      <w:r>
        <w:rPr>
          <w:spacing w:val="-8"/>
        </w:rPr>
        <w:t xml:space="preserve"> </w:t>
      </w:r>
      <w:r>
        <w:t>should be used during pregnancy only if the potential benefits to the mother outweigh the potential risks, including those to the fetus.</w:t>
      </w:r>
    </w:p>
    <w:p w14:paraId="14C13EDD" w14:textId="77777777" w:rsidR="00A77020" w:rsidRDefault="00A77020">
      <w:pPr>
        <w:pStyle w:val="BodyText"/>
        <w:spacing w:before="240"/>
        <w:ind w:left="22" w:right="585"/>
        <w:jc w:val="both"/>
      </w:pPr>
    </w:p>
    <w:p w14:paraId="53B38E1A" w14:textId="77777777" w:rsidR="008B6261" w:rsidRDefault="004C6B8B" w:rsidP="00A77020">
      <w:pPr>
        <w:ind w:left="23"/>
        <w:rPr>
          <w:rFonts w:ascii="Arial"/>
          <w:b/>
        </w:rPr>
      </w:pPr>
      <w:bookmarkStart w:id="53" w:name="Use_in_lactation"/>
      <w:bookmarkEnd w:id="53"/>
      <w:r>
        <w:rPr>
          <w:rFonts w:ascii="Arial"/>
          <w:b/>
        </w:rPr>
        <w:t>Use</w:t>
      </w:r>
      <w:r>
        <w:rPr>
          <w:rFonts w:ascii="Arial"/>
          <w:b/>
          <w:spacing w:val="-2"/>
        </w:rPr>
        <w:t xml:space="preserve"> </w:t>
      </w:r>
      <w:r>
        <w:rPr>
          <w:rFonts w:ascii="Arial"/>
          <w:b/>
        </w:rPr>
        <w:t>in</w:t>
      </w:r>
      <w:r>
        <w:rPr>
          <w:rFonts w:ascii="Arial"/>
          <w:b/>
          <w:spacing w:val="-2"/>
        </w:rPr>
        <w:t xml:space="preserve"> lactation</w:t>
      </w:r>
    </w:p>
    <w:p w14:paraId="53B38E1B" w14:textId="77777777" w:rsidR="008B6261" w:rsidRDefault="004C6B8B">
      <w:pPr>
        <w:pStyle w:val="BodyText"/>
        <w:spacing w:before="241"/>
        <w:ind w:left="23" w:right="585"/>
        <w:jc w:val="both"/>
      </w:pPr>
      <w:r>
        <w:t>There is insufficient information on the excretion of tolebrutinib or its metabolites in human milk. A risk to breast-fed children cannot be excluded. A decision must be made whether to discontinue breastfeeding or to abstain/discontinue from therapy, taking into account the benefit of breastfeeding for the child and the benefit of therapy for the woman.</w:t>
      </w:r>
    </w:p>
    <w:p w14:paraId="53B38E1C" w14:textId="77777777" w:rsidR="008B6261" w:rsidRDefault="008B6261">
      <w:pPr>
        <w:pStyle w:val="BodyText"/>
      </w:pPr>
    </w:p>
    <w:p w14:paraId="53B38E1D" w14:textId="77777777" w:rsidR="008B6261" w:rsidRDefault="004C6B8B">
      <w:pPr>
        <w:pStyle w:val="ListParagraph"/>
        <w:numPr>
          <w:ilvl w:val="1"/>
          <w:numId w:val="4"/>
        </w:numPr>
        <w:tabs>
          <w:tab w:val="left" w:pos="702"/>
        </w:tabs>
        <w:ind w:hanging="679"/>
        <w:rPr>
          <w:b/>
        </w:rPr>
      </w:pPr>
      <w:bookmarkStart w:id="54" w:name="4.7_Effects_on_ability_to_drive_and_use_"/>
      <w:bookmarkEnd w:id="54"/>
      <w:r>
        <w:rPr>
          <w:b/>
        </w:rPr>
        <w:t>EFFECTS</w:t>
      </w:r>
      <w:r>
        <w:rPr>
          <w:b/>
          <w:spacing w:val="-7"/>
        </w:rPr>
        <w:t xml:space="preserve"> </w:t>
      </w:r>
      <w:r>
        <w:rPr>
          <w:b/>
        </w:rPr>
        <w:t>ON</w:t>
      </w:r>
      <w:r>
        <w:rPr>
          <w:b/>
          <w:spacing w:val="-5"/>
        </w:rPr>
        <w:t xml:space="preserve"> </w:t>
      </w:r>
      <w:r>
        <w:rPr>
          <w:b/>
        </w:rPr>
        <w:t>ABILITY</w:t>
      </w:r>
      <w:r>
        <w:rPr>
          <w:b/>
          <w:spacing w:val="-5"/>
        </w:rPr>
        <w:t xml:space="preserve"> </w:t>
      </w:r>
      <w:r>
        <w:rPr>
          <w:b/>
        </w:rPr>
        <w:t>TO DRIVE</w:t>
      </w:r>
      <w:r>
        <w:rPr>
          <w:b/>
          <w:spacing w:val="-5"/>
        </w:rPr>
        <w:t xml:space="preserve"> </w:t>
      </w:r>
      <w:r>
        <w:rPr>
          <w:b/>
        </w:rPr>
        <w:t>AND</w:t>
      </w:r>
      <w:r>
        <w:rPr>
          <w:b/>
          <w:spacing w:val="-5"/>
        </w:rPr>
        <w:t xml:space="preserve"> </w:t>
      </w:r>
      <w:r>
        <w:rPr>
          <w:b/>
        </w:rPr>
        <w:t>USE</w:t>
      </w:r>
      <w:r>
        <w:rPr>
          <w:b/>
          <w:spacing w:val="-2"/>
        </w:rPr>
        <w:t xml:space="preserve"> MACHINES</w:t>
      </w:r>
    </w:p>
    <w:p w14:paraId="53B38E1E" w14:textId="77777777" w:rsidR="008B6261" w:rsidRDefault="004C6B8B">
      <w:pPr>
        <w:pStyle w:val="BodyText"/>
        <w:spacing w:before="241"/>
        <w:ind w:left="23"/>
        <w:jc w:val="both"/>
      </w:pPr>
      <w:r>
        <w:t>CENRIFKI</w:t>
      </w:r>
      <w:r>
        <w:rPr>
          <w:spacing w:val="-7"/>
        </w:rPr>
        <w:t xml:space="preserve"> </w:t>
      </w:r>
      <w:r>
        <w:t>is</w:t>
      </w:r>
      <w:r>
        <w:rPr>
          <w:spacing w:val="-1"/>
        </w:rPr>
        <w:t xml:space="preserve"> </w:t>
      </w:r>
      <w:r>
        <w:t>not</w:t>
      </w:r>
      <w:r>
        <w:rPr>
          <w:spacing w:val="-1"/>
        </w:rPr>
        <w:t xml:space="preserve"> </w:t>
      </w:r>
      <w:r>
        <w:t>expected</w:t>
      </w:r>
      <w:r>
        <w:rPr>
          <w:spacing w:val="-1"/>
        </w:rPr>
        <w:t xml:space="preserve"> </w:t>
      </w:r>
      <w:r>
        <w:t>to</w:t>
      </w:r>
      <w:r>
        <w:rPr>
          <w:spacing w:val="-1"/>
        </w:rPr>
        <w:t xml:space="preserve"> </w:t>
      </w:r>
      <w:r>
        <w:t>influence</w:t>
      </w:r>
      <w:r>
        <w:rPr>
          <w:spacing w:val="-2"/>
        </w:rPr>
        <w:t xml:space="preserve"> </w:t>
      </w:r>
      <w:r>
        <w:t>the ability</w:t>
      </w:r>
      <w:r>
        <w:rPr>
          <w:spacing w:val="-1"/>
        </w:rPr>
        <w:t xml:space="preserve"> </w:t>
      </w:r>
      <w:r>
        <w:t>to</w:t>
      </w:r>
      <w:r>
        <w:rPr>
          <w:spacing w:val="-1"/>
        </w:rPr>
        <w:t xml:space="preserve"> </w:t>
      </w:r>
      <w:r>
        <w:t>drive</w:t>
      </w:r>
      <w:r>
        <w:rPr>
          <w:spacing w:val="-2"/>
        </w:rPr>
        <w:t xml:space="preserve"> </w:t>
      </w:r>
      <w:r>
        <w:t>and</w:t>
      </w:r>
      <w:r>
        <w:rPr>
          <w:spacing w:val="-1"/>
        </w:rPr>
        <w:t xml:space="preserve"> </w:t>
      </w:r>
      <w:r>
        <w:t>use</w:t>
      </w:r>
      <w:r>
        <w:rPr>
          <w:spacing w:val="-1"/>
        </w:rPr>
        <w:t xml:space="preserve"> </w:t>
      </w:r>
      <w:r>
        <w:rPr>
          <w:spacing w:val="-2"/>
        </w:rPr>
        <w:t>machines.</w:t>
      </w:r>
    </w:p>
    <w:p w14:paraId="53B38E1F" w14:textId="77777777" w:rsidR="008B6261" w:rsidRDefault="008B6261">
      <w:pPr>
        <w:pStyle w:val="BodyText"/>
        <w:spacing w:before="241"/>
      </w:pPr>
    </w:p>
    <w:p w14:paraId="53B38E20" w14:textId="77777777" w:rsidR="008B6261" w:rsidRDefault="004C6B8B">
      <w:pPr>
        <w:pStyle w:val="ListParagraph"/>
        <w:numPr>
          <w:ilvl w:val="1"/>
          <w:numId w:val="4"/>
        </w:numPr>
        <w:tabs>
          <w:tab w:val="left" w:pos="702"/>
        </w:tabs>
        <w:ind w:hanging="679"/>
        <w:rPr>
          <w:b/>
        </w:rPr>
      </w:pPr>
      <w:bookmarkStart w:id="55" w:name="4.8_Adverse_effects_(Undesirable_effects"/>
      <w:bookmarkStart w:id="56" w:name="_bookmark5"/>
      <w:bookmarkEnd w:id="55"/>
      <w:bookmarkEnd w:id="56"/>
      <w:r>
        <w:rPr>
          <w:b/>
        </w:rPr>
        <w:t>ADVERSE</w:t>
      </w:r>
      <w:r>
        <w:rPr>
          <w:b/>
          <w:spacing w:val="-8"/>
        </w:rPr>
        <w:t xml:space="preserve"> </w:t>
      </w:r>
      <w:r>
        <w:rPr>
          <w:b/>
        </w:rPr>
        <w:t>EFFECTS</w:t>
      </w:r>
      <w:r>
        <w:rPr>
          <w:b/>
          <w:spacing w:val="-10"/>
        </w:rPr>
        <w:t xml:space="preserve"> </w:t>
      </w:r>
      <w:r>
        <w:rPr>
          <w:b/>
        </w:rPr>
        <w:t>(UNDESIRABLE</w:t>
      </w:r>
      <w:r>
        <w:rPr>
          <w:b/>
          <w:spacing w:val="-7"/>
        </w:rPr>
        <w:t xml:space="preserve"> </w:t>
      </w:r>
      <w:r>
        <w:rPr>
          <w:b/>
          <w:spacing w:val="-2"/>
        </w:rPr>
        <w:t>EFFECTS)</w:t>
      </w:r>
    </w:p>
    <w:p w14:paraId="53B38E21" w14:textId="77777777" w:rsidR="008B6261" w:rsidRDefault="004C6B8B">
      <w:pPr>
        <w:pStyle w:val="BodyText"/>
        <w:ind w:left="22" w:right="585"/>
        <w:jc w:val="both"/>
      </w:pPr>
      <w:r>
        <w:t>The</w:t>
      </w:r>
      <w:r>
        <w:rPr>
          <w:spacing w:val="-7"/>
        </w:rPr>
        <w:t xml:space="preserve"> </w:t>
      </w:r>
      <w:r>
        <w:t>safety</w:t>
      </w:r>
      <w:r>
        <w:rPr>
          <w:spacing w:val="-6"/>
        </w:rPr>
        <w:t xml:space="preserve"> </w:t>
      </w:r>
      <w:r>
        <w:t>of</w:t>
      </w:r>
      <w:r>
        <w:rPr>
          <w:spacing w:val="-7"/>
        </w:rPr>
        <w:t xml:space="preserve"> </w:t>
      </w:r>
      <w:r>
        <w:t>CENRIFKI</w:t>
      </w:r>
      <w:r>
        <w:rPr>
          <w:spacing w:val="-7"/>
        </w:rPr>
        <w:t xml:space="preserve"> </w:t>
      </w:r>
      <w:r>
        <w:t>has</w:t>
      </w:r>
      <w:r>
        <w:rPr>
          <w:spacing w:val="-6"/>
        </w:rPr>
        <w:t xml:space="preserve"> </w:t>
      </w:r>
      <w:r>
        <w:t>been</w:t>
      </w:r>
      <w:r>
        <w:rPr>
          <w:spacing w:val="-6"/>
        </w:rPr>
        <w:t xml:space="preserve"> </w:t>
      </w:r>
      <w:r>
        <w:t>evaluated</w:t>
      </w:r>
      <w:r>
        <w:rPr>
          <w:spacing w:val="-6"/>
        </w:rPr>
        <w:t xml:space="preserve"> </w:t>
      </w:r>
      <w:r>
        <w:t>in</w:t>
      </w:r>
      <w:r>
        <w:rPr>
          <w:spacing w:val="-6"/>
        </w:rPr>
        <w:t xml:space="preserve"> </w:t>
      </w:r>
      <w:r>
        <w:t>1685</w:t>
      </w:r>
      <w:r>
        <w:rPr>
          <w:spacing w:val="-6"/>
        </w:rPr>
        <w:t xml:space="preserve"> </w:t>
      </w:r>
      <w:r>
        <w:t>patients</w:t>
      </w:r>
      <w:r>
        <w:rPr>
          <w:spacing w:val="-6"/>
        </w:rPr>
        <w:t xml:space="preserve"> </w:t>
      </w:r>
      <w:r>
        <w:t>across</w:t>
      </w:r>
      <w:r>
        <w:rPr>
          <w:spacing w:val="-6"/>
        </w:rPr>
        <w:t xml:space="preserve"> </w:t>
      </w:r>
      <w:r>
        <w:t>3</w:t>
      </w:r>
      <w:r>
        <w:rPr>
          <w:spacing w:val="-6"/>
        </w:rPr>
        <w:t xml:space="preserve"> </w:t>
      </w:r>
      <w:r>
        <w:t>phase</w:t>
      </w:r>
      <w:r>
        <w:rPr>
          <w:spacing w:val="-7"/>
        </w:rPr>
        <w:t xml:space="preserve"> </w:t>
      </w:r>
      <w:r>
        <w:t>3</w:t>
      </w:r>
      <w:r>
        <w:rPr>
          <w:spacing w:val="-6"/>
        </w:rPr>
        <w:t xml:space="preserve"> </w:t>
      </w:r>
      <w:r>
        <w:t>clinical</w:t>
      </w:r>
      <w:r>
        <w:rPr>
          <w:spacing w:val="-5"/>
        </w:rPr>
        <w:t xml:space="preserve"> </w:t>
      </w:r>
      <w:r>
        <w:t>studies, which included 752 patients in a placebo-controlled study (HERCULES) in patients with nrSPMS</w:t>
      </w:r>
      <w:r>
        <w:rPr>
          <w:spacing w:val="-6"/>
        </w:rPr>
        <w:t xml:space="preserve"> </w:t>
      </w:r>
      <w:r>
        <w:t>and</w:t>
      </w:r>
      <w:r>
        <w:rPr>
          <w:spacing w:val="-7"/>
        </w:rPr>
        <w:t xml:space="preserve"> </w:t>
      </w:r>
      <w:r>
        <w:t>933</w:t>
      </w:r>
      <w:r>
        <w:rPr>
          <w:spacing w:val="-7"/>
        </w:rPr>
        <w:t xml:space="preserve"> </w:t>
      </w:r>
      <w:r>
        <w:t>patients</w:t>
      </w:r>
      <w:r>
        <w:rPr>
          <w:spacing w:val="-5"/>
        </w:rPr>
        <w:t xml:space="preserve"> </w:t>
      </w:r>
      <w:r>
        <w:t>in</w:t>
      </w:r>
      <w:r>
        <w:rPr>
          <w:spacing w:val="-7"/>
        </w:rPr>
        <w:t xml:space="preserve"> </w:t>
      </w:r>
      <w:r>
        <w:t>active-controlled</w:t>
      </w:r>
      <w:r>
        <w:rPr>
          <w:spacing w:val="-5"/>
        </w:rPr>
        <w:t xml:space="preserve"> </w:t>
      </w:r>
      <w:r>
        <w:t>clinical</w:t>
      </w:r>
      <w:r>
        <w:rPr>
          <w:spacing w:val="-7"/>
        </w:rPr>
        <w:t xml:space="preserve"> </w:t>
      </w:r>
      <w:r>
        <w:t>trials</w:t>
      </w:r>
      <w:r>
        <w:rPr>
          <w:spacing w:val="-5"/>
        </w:rPr>
        <w:t xml:space="preserve"> </w:t>
      </w:r>
      <w:r>
        <w:t>(GEMINI</w:t>
      </w:r>
      <w:r>
        <w:rPr>
          <w:spacing w:val="-8"/>
        </w:rPr>
        <w:t xml:space="preserve"> </w:t>
      </w:r>
      <w:r>
        <w:t>1</w:t>
      </w:r>
      <w:r>
        <w:rPr>
          <w:spacing w:val="-5"/>
        </w:rPr>
        <w:t xml:space="preserve"> </w:t>
      </w:r>
      <w:r>
        <w:t>and</w:t>
      </w:r>
      <w:r>
        <w:rPr>
          <w:spacing w:val="-3"/>
        </w:rPr>
        <w:t xml:space="preserve"> </w:t>
      </w:r>
      <w:r>
        <w:t>2)</w:t>
      </w:r>
      <w:r>
        <w:rPr>
          <w:spacing w:val="-8"/>
        </w:rPr>
        <w:t xml:space="preserve"> </w:t>
      </w:r>
      <w:r>
        <w:t>in</w:t>
      </w:r>
      <w:r>
        <w:rPr>
          <w:spacing w:val="-7"/>
        </w:rPr>
        <w:t xml:space="preserve"> </w:t>
      </w:r>
      <w:r>
        <w:t>patients</w:t>
      </w:r>
      <w:r>
        <w:rPr>
          <w:spacing w:val="-5"/>
        </w:rPr>
        <w:t xml:space="preserve"> </w:t>
      </w:r>
      <w:r>
        <w:t xml:space="preserve">with </w:t>
      </w:r>
      <w:r>
        <w:rPr>
          <w:spacing w:val="-4"/>
        </w:rPr>
        <w:t>RMS.</w:t>
      </w:r>
    </w:p>
    <w:p w14:paraId="53B38E22" w14:textId="77777777" w:rsidR="008B6261" w:rsidRDefault="004C6B8B">
      <w:pPr>
        <w:pStyle w:val="BodyText"/>
        <w:spacing w:before="240"/>
        <w:ind w:left="22" w:right="587"/>
        <w:jc w:val="both"/>
      </w:pPr>
      <w:r>
        <w:t>Adverse events led to discontinuation of treatment in 3.9% of CENRIFKI group vs 2.9% in placebo group (HERCULES) and 4.5% of CENRIFKI group vs 4.4% in teriflunomide group (GEMINI 1 and 2). The most commonly reported adverse reactions were COVID-19 (27%, 26% in nrSPMS and RMS, respectively) and upper respiratory infections (17%, 28% in nrSPMS and RMS, respectively).</w:t>
      </w:r>
    </w:p>
    <w:p w14:paraId="53B38E23" w14:textId="77777777" w:rsidR="008B6261" w:rsidRDefault="008B6261">
      <w:pPr>
        <w:pStyle w:val="BodyText"/>
        <w:spacing w:before="85"/>
      </w:pPr>
    </w:p>
    <w:p w14:paraId="53B38E24" w14:textId="77777777" w:rsidR="008B6261" w:rsidRDefault="004C6B8B">
      <w:pPr>
        <w:ind w:left="23"/>
        <w:rPr>
          <w:rFonts w:ascii="Arial"/>
          <w:b/>
        </w:rPr>
      </w:pPr>
      <w:bookmarkStart w:id="57" w:name="Tabulated_List_of_Adverse_Reactions"/>
      <w:bookmarkEnd w:id="57"/>
      <w:r>
        <w:rPr>
          <w:rFonts w:ascii="Arial"/>
          <w:b/>
        </w:rPr>
        <w:t>Tabulated</w:t>
      </w:r>
      <w:r>
        <w:rPr>
          <w:rFonts w:ascii="Arial"/>
          <w:b/>
          <w:spacing w:val="-7"/>
        </w:rPr>
        <w:t xml:space="preserve"> </w:t>
      </w:r>
      <w:r>
        <w:rPr>
          <w:rFonts w:ascii="Arial"/>
          <w:b/>
        </w:rPr>
        <w:t>List</w:t>
      </w:r>
      <w:r>
        <w:rPr>
          <w:rFonts w:ascii="Arial"/>
          <w:b/>
          <w:spacing w:val="-2"/>
        </w:rPr>
        <w:t xml:space="preserve"> </w:t>
      </w:r>
      <w:r>
        <w:rPr>
          <w:rFonts w:ascii="Arial"/>
          <w:b/>
        </w:rPr>
        <w:t>of</w:t>
      </w:r>
      <w:r>
        <w:rPr>
          <w:rFonts w:ascii="Arial"/>
          <w:b/>
          <w:spacing w:val="-5"/>
        </w:rPr>
        <w:t xml:space="preserve"> </w:t>
      </w:r>
      <w:r>
        <w:rPr>
          <w:rFonts w:ascii="Arial"/>
          <w:b/>
        </w:rPr>
        <w:t>Adverse</w:t>
      </w:r>
      <w:r>
        <w:rPr>
          <w:rFonts w:ascii="Arial"/>
          <w:b/>
          <w:spacing w:val="-4"/>
        </w:rPr>
        <w:t xml:space="preserve"> </w:t>
      </w:r>
      <w:r>
        <w:rPr>
          <w:rFonts w:ascii="Arial"/>
          <w:b/>
          <w:spacing w:val="-2"/>
        </w:rPr>
        <w:t>Reactions</w:t>
      </w:r>
    </w:p>
    <w:p w14:paraId="53B38E27" w14:textId="48CCEEBF" w:rsidR="008B6261" w:rsidRPr="00B04EA6" w:rsidRDefault="004C6B8B" w:rsidP="00B04EA6">
      <w:pPr>
        <w:pStyle w:val="BodyText"/>
        <w:spacing w:before="241"/>
        <w:ind w:left="23" w:right="587"/>
        <w:jc w:val="both"/>
        <w:rPr>
          <w:spacing w:val="-4"/>
        </w:rPr>
      </w:pPr>
      <w:r>
        <w:t>Adverse reactions reported in phase 3 clinical trials with CENRIFKI are listed below in</w:t>
      </w:r>
      <w:r>
        <w:rPr>
          <w:spacing w:val="80"/>
        </w:rPr>
        <w:t xml:space="preserve"> </w:t>
      </w:r>
      <w:hyperlink w:anchor="_bookmark6" w:history="1">
        <w:r>
          <w:t>Table</w:t>
        </w:r>
        <w:r>
          <w:rPr>
            <w:spacing w:val="-2"/>
          </w:rPr>
          <w:t xml:space="preserve"> </w:t>
        </w:r>
        <w:r>
          <w:lastRenderedPageBreak/>
          <w:t>2.</w:t>
        </w:r>
      </w:hyperlink>
      <w:r>
        <w:rPr>
          <w:spacing w:val="14"/>
        </w:rPr>
        <w:t xml:space="preserve"> </w:t>
      </w:r>
      <w:r>
        <w:t>The</w:t>
      </w:r>
      <w:r>
        <w:rPr>
          <w:spacing w:val="14"/>
        </w:rPr>
        <w:t xml:space="preserve"> </w:t>
      </w:r>
      <w:r>
        <w:t>adverse</w:t>
      </w:r>
      <w:r>
        <w:rPr>
          <w:spacing w:val="14"/>
        </w:rPr>
        <w:t xml:space="preserve"> </w:t>
      </w:r>
      <w:r>
        <w:t>reactions</w:t>
      </w:r>
      <w:r>
        <w:rPr>
          <w:spacing w:val="15"/>
        </w:rPr>
        <w:t xml:space="preserve"> </w:t>
      </w:r>
      <w:r>
        <w:t>are</w:t>
      </w:r>
      <w:r>
        <w:rPr>
          <w:spacing w:val="14"/>
        </w:rPr>
        <w:t xml:space="preserve"> </w:t>
      </w:r>
      <w:r>
        <w:t>presented</w:t>
      </w:r>
      <w:r>
        <w:rPr>
          <w:spacing w:val="15"/>
        </w:rPr>
        <w:t xml:space="preserve"> </w:t>
      </w:r>
      <w:r>
        <w:t>by</w:t>
      </w:r>
      <w:r>
        <w:rPr>
          <w:spacing w:val="14"/>
        </w:rPr>
        <w:t xml:space="preserve"> </w:t>
      </w:r>
      <w:r>
        <w:t>frequency</w:t>
      </w:r>
      <w:r>
        <w:rPr>
          <w:spacing w:val="18"/>
        </w:rPr>
        <w:t xml:space="preserve"> </w:t>
      </w:r>
      <w:r>
        <w:t>categories:</w:t>
      </w:r>
      <w:r>
        <w:rPr>
          <w:spacing w:val="16"/>
        </w:rPr>
        <w:t xml:space="preserve"> </w:t>
      </w:r>
      <w:r>
        <w:t>very</w:t>
      </w:r>
      <w:r>
        <w:rPr>
          <w:spacing w:val="15"/>
        </w:rPr>
        <w:t xml:space="preserve"> </w:t>
      </w:r>
      <w:r>
        <w:t>common</w:t>
      </w:r>
      <w:r>
        <w:rPr>
          <w:spacing w:val="15"/>
        </w:rPr>
        <w:t xml:space="preserve"> </w:t>
      </w:r>
      <w:r>
        <w:t>≥</w:t>
      </w:r>
      <w:r>
        <w:rPr>
          <w:spacing w:val="16"/>
        </w:rPr>
        <w:t xml:space="preserve"> </w:t>
      </w:r>
      <w:r>
        <w:rPr>
          <w:spacing w:val="-4"/>
        </w:rPr>
        <w:t>10%,</w:t>
      </w:r>
      <w:r w:rsidR="00B04EA6">
        <w:rPr>
          <w:spacing w:val="-4"/>
        </w:rPr>
        <w:t xml:space="preserve"> </w:t>
      </w:r>
      <w:r>
        <w:t>common</w:t>
      </w:r>
      <w:r>
        <w:rPr>
          <w:spacing w:val="-15"/>
        </w:rPr>
        <w:t xml:space="preserve"> </w:t>
      </w:r>
      <w:r>
        <w:t>≥1</w:t>
      </w:r>
      <w:r>
        <w:rPr>
          <w:spacing w:val="-15"/>
        </w:rPr>
        <w:t xml:space="preserve"> </w:t>
      </w:r>
      <w:r>
        <w:t>and</w:t>
      </w:r>
      <w:r>
        <w:rPr>
          <w:spacing w:val="-15"/>
        </w:rPr>
        <w:t xml:space="preserve"> </w:t>
      </w:r>
      <w:r>
        <w:t>&lt;</w:t>
      </w:r>
      <w:r>
        <w:rPr>
          <w:spacing w:val="-15"/>
        </w:rPr>
        <w:t xml:space="preserve"> </w:t>
      </w:r>
      <w:r>
        <w:t>10%,</w:t>
      </w:r>
      <w:r>
        <w:rPr>
          <w:spacing w:val="-15"/>
        </w:rPr>
        <w:t xml:space="preserve"> </w:t>
      </w:r>
      <w:r>
        <w:t>uncommon</w:t>
      </w:r>
      <w:r>
        <w:rPr>
          <w:spacing w:val="-15"/>
        </w:rPr>
        <w:t xml:space="preserve"> </w:t>
      </w:r>
      <w:r>
        <w:t>≥</w:t>
      </w:r>
      <w:r>
        <w:rPr>
          <w:spacing w:val="-15"/>
        </w:rPr>
        <w:t xml:space="preserve"> </w:t>
      </w:r>
      <w:r>
        <w:t>0.1</w:t>
      </w:r>
      <w:r>
        <w:rPr>
          <w:spacing w:val="-15"/>
        </w:rPr>
        <w:t xml:space="preserve"> </w:t>
      </w:r>
      <w:r>
        <w:t>and</w:t>
      </w:r>
      <w:r>
        <w:rPr>
          <w:spacing w:val="-15"/>
        </w:rPr>
        <w:t xml:space="preserve"> </w:t>
      </w:r>
      <w:r>
        <w:t>&lt;</w:t>
      </w:r>
      <w:r>
        <w:rPr>
          <w:spacing w:val="-16"/>
        </w:rPr>
        <w:t xml:space="preserve"> </w:t>
      </w:r>
      <w:r>
        <w:t>1%,</w:t>
      </w:r>
      <w:r>
        <w:rPr>
          <w:spacing w:val="-15"/>
        </w:rPr>
        <w:t xml:space="preserve"> </w:t>
      </w:r>
      <w:r>
        <w:t>rare</w:t>
      </w:r>
      <w:r>
        <w:rPr>
          <w:spacing w:val="-16"/>
        </w:rPr>
        <w:t xml:space="preserve"> </w:t>
      </w:r>
      <w:r>
        <w:t>≥</w:t>
      </w:r>
      <w:r>
        <w:rPr>
          <w:spacing w:val="-15"/>
        </w:rPr>
        <w:t xml:space="preserve"> </w:t>
      </w:r>
      <w:r>
        <w:t>0.01</w:t>
      </w:r>
      <w:r>
        <w:rPr>
          <w:spacing w:val="-15"/>
        </w:rPr>
        <w:t xml:space="preserve"> </w:t>
      </w:r>
      <w:r>
        <w:t>and</w:t>
      </w:r>
      <w:r>
        <w:rPr>
          <w:spacing w:val="-15"/>
        </w:rPr>
        <w:t xml:space="preserve"> </w:t>
      </w:r>
      <w:r>
        <w:t>&lt;</w:t>
      </w:r>
      <w:r>
        <w:rPr>
          <w:spacing w:val="-15"/>
        </w:rPr>
        <w:t xml:space="preserve"> </w:t>
      </w:r>
      <w:r>
        <w:t>0.01%,</w:t>
      </w:r>
      <w:r>
        <w:rPr>
          <w:spacing w:val="-15"/>
        </w:rPr>
        <w:t xml:space="preserve"> </w:t>
      </w:r>
      <w:r>
        <w:t>very</w:t>
      </w:r>
      <w:r>
        <w:rPr>
          <w:spacing w:val="-15"/>
        </w:rPr>
        <w:t xml:space="preserve"> </w:t>
      </w:r>
      <w:r>
        <w:t>rare</w:t>
      </w:r>
      <w:r>
        <w:rPr>
          <w:spacing w:val="-16"/>
        </w:rPr>
        <w:t xml:space="preserve"> </w:t>
      </w:r>
      <w:r>
        <w:t>&lt;0.01%, Not known: (cannot be estimated from the available data).</w:t>
      </w:r>
    </w:p>
    <w:p w14:paraId="53B38E28" w14:textId="77777777" w:rsidR="008B6261" w:rsidRDefault="008B6261">
      <w:pPr>
        <w:pStyle w:val="BodyText"/>
        <w:spacing w:before="85"/>
      </w:pPr>
    </w:p>
    <w:p w14:paraId="53B38E29" w14:textId="77777777" w:rsidR="008B6261" w:rsidRDefault="004C6B8B">
      <w:pPr>
        <w:ind w:left="1796" w:right="567" w:hanging="1755"/>
        <w:rPr>
          <w:rFonts w:ascii="Arial"/>
          <w:b/>
          <w:sz w:val="20"/>
        </w:rPr>
      </w:pPr>
      <w:bookmarkStart w:id="58" w:name="_bookmark6"/>
      <w:bookmarkEnd w:id="58"/>
      <w:r>
        <w:rPr>
          <w:rFonts w:ascii="Arial"/>
          <w:b/>
          <w:sz w:val="20"/>
        </w:rPr>
        <w:t>Table</w:t>
      </w:r>
      <w:r>
        <w:rPr>
          <w:rFonts w:ascii="Arial"/>
          <w:b/>
          <w:spacing w:val="-3"/>
          <w:sz w:val="20"/>
        </w:rPr>
        <w:t xml:space="preserve"> </w:t>
      </w:r>
      <w:r>
        <w:rPr>
          <w:rFonts w:ascii="Arial"/>
          <w:b/>
          <w:sz w:val="20"/>
        </w:rPr>
        <w:t>2</w:t>
      </w:r>
      <w:r>
        <w:rPr>
          <w:rFonts w:ascii="Arial"/>
          <w:b/>
          <w:spacing w:val="-3"/>
          <w:sz w:val="20"/>
        </w:rPr>
        <w:t xml:space="preserve"> </w:t>
      </w:r>
      <w:r>
        <w:rPr>
          <w:rFonts w:ascii="Arial"/>
          <w:b/>
          <w:sz w:val="20"/>
        </w:rPr>
        <w:t>- Adverse</w:t>
      </w:r>
      <w:r>
        <w:rPr>
          <w:rFonts w:ascii="Arial"/>
          <w:b/>
          <w:spacing w:val="-1"/>
          <w:sz w:val="20"/>
        </w:rPr>
        <w:t xml:space="preserve"> </w:t>
      </w:r>
      <w:r>
        <w:rPr>
          <w:rFonts w:ascii="Arial"/>
          <w:b/>
          <w:sz w:val="20"/>
        </w:rPr>
        <w:t>reactions</w:t>
      </w:r>
      <w:r>
        <w:rPr>
          <w:rFonts w:ascii="Arial"/>
          <w:b/>
          <w:spacing w:val="-3"/>
          <w:sz w:val="20"/>
        </w:rPr>
        <w:t xml:space="preserve"> </w:t>
      </w:r>
      <w:r>
        <w:rPr>
          <w:rFonts w:ascii="Arial"/>
          <w:b/>
          <w:sz w:val="20"/>
        </w:rPr>
        <w:t>reported</w:t>
      </w:r>
      <w:r>
        <w:rPr>
          <w:rFonts w:ascii="Arial"/>
          <w:b/>
          <w:spacing w:val="-2"/>
          <w:sz w:val="20"/>
        </w:rPr>
        <w:t xml:space="preserve"> </w:t>
      </w:r>
      <w:r>
        <w:rPr>
          <w:rFonts w:ascii="Arial"/>
          <w:b/>
          <w:sz w:val="20"/>
        </w:rPr>
        <w:t>in</w:t>
      </w:r>
      <w:r>
        <w:rPr>
          <w:rFonts w:ascii="Arial"/>
          <w:b/>
          <w:spacing w:val="-2"/>
          <w:sz w:val="20"/>
        </w:rPr>
        <w:t xml:space="preserve"> </w:t>
      </w:r>
      <w:r>
        <w:rPr>
          <w:rFonts w:ascii="Arial"/>
          <w:b/>
          <w:sz w:val="20"/>
        </w:rPr>
        <w:t>2%</w:t>
      </w:r>
      <w:r>
        <w:rPr>
          <w:rFonts w:ascii="Arial"/>
          <w:b/>
          <w:spacing w:val="-5"/>
          <w:sz w:val="20"/>
        </w:rPr>
        <w:t xml:space="preserve"> </w:t>
      </w:r>
      <w:r>
        <w:rPr>
          <w:rFonts w:ascii="Arial"/>
          <w:b/>
          <w:sz w:val="20"/>
        </w:rPr>
        <w:t>or</w:t>
      </w:r>
      <w:r>
        <w:rPr>
          <w:rFonts w:ascii="Arial"/>
          <w:b/>
          <w:spacing w:val="-4"/>
          <w:sz w:val="20"/>
        </w:rPr>
        <w:t xml:space="preserve"> </w:t>
      </w:r>
      <w:r>
        <w:rPr>
          <w:rFonts w:ascii="Arial"/>
          <w:b/>
          <w:sz w:val="20"/>
        </w:rPr>
        <w:t>more</w:t>
      </w:r>
      <w:r>
        <w:rPr>
          <w:rFonts w:ascii="Arial"/>
          <w:b/>
          <w:spacing w:val="-3"/>
          <w:sz w:val="20"/>
        </w:rPr>
        <w:t xml:space="preserve"> </w:t>
      </w:r>
      <w:r>
        <w:rPr>
          <w:rFonts w:ascii="Arial"/>
          <w:b/>
          <w:sz w:val="20"/>
        </w:rPr>
        <w:t>of</w:t>
      </w:r>
      <w:r>
        <w:rPr>
          <w:rFonts w:ascii="Arial"/>
          <w:b/>
          <w:spacing w:val="-2"/>
          <w:sz w:val="20"/>
        </w:rPr>
        <w:t xml:space="preserve"> </w:t>
      </w:r>
      <w:r>
        <w:rPr>
          <w:rFonts w:ascii="Arial"/>
          <w:b/>
          <w:sz w:val="20"/>
        </w:rPr>
        <w:t>subjects</w:t>
      </w:r>
      <w:r>
        <w:rPr>
          <w:rFonts w:ascii="Arial"/>
          <w:b/>
          <w:spacing w:val="-1"/>
          <w:sz w:val="20"/>
        </w:rPr>
        <w:t xml:space="preserve"> </w:t>
      </w:r>
      <w:r>
        <w:rPr>
          <w:rFonts w:ascii="Arial"/>
          <w:b/>
          <w:sz w:val="20"/>
        </w:rPr>
        <w:t>treated</w:t>
      </w:r>
      <w:r>
        <w:rPr>
          <w:rFonts w:ascii="Arial"/>
          <w:b/>
          <w:spacing w:val="-2"/>
          <w:sz w:val="20"/>
        </w:rPr>
        <w:t xml:space="preserve"> </w:t>
      </w:r>
      <w:r>
        <w:rPr>
          <w:rFonts w:ascii="Arial"/>
          <w:b/>
          <w:sz w:val="20"/>
        </w:rPr>
        <w:t>with</w:t>
      </w:r>
      <w:r>
        <w:rPr>
          <w:rFonts w:ascii="Arial"/>
          <w:b/>
          <w:spacing w:val="-2"/>
          <w:sz w:val="20"/>
        </w:rPr>
        <w:t xml:space="preserve"> </w:t>
      </w:r>
      <w:r>
        <w:rPr>
          <w:rFonts w:ascii="Arial"/>
          <w:b/>
          <w:sz w:val="20"/>
        </w:rPr>
        <w:t>CENRIFKI</w:t>
      </w:r>
      <w:r>
        <w:rPr>
          <w:rFonts w:ascii="Arial"/>
          <w:b/>
          <w:spacing w:val="-3"/>
          <w:sz w:val="20"/>
        </w:rPr>
        <w:t xml:space="preserve"> </w:t>
      </w:r>
      <w:r>
        <w:rPr>
          <w:rFonts w:ascii="Arial"/>
          <w:b/>
          <w:sz w:val="20"/>
        </w:rPr>
        <w:t>in Study 1 (HERCULES) or pooled Studies 2 and 3 (GEMINI I and II)</w:t>
      </w:r>
    </w:p>
    <w:p w14:paraId="53B38E2A" w14:textId="77777777" w:rsidR="008B6261" w:rsidRDefault="008B6261">
      <w:pPr>
        <w:pStyle w:val="BodyText"/>
        <w:spacing w:before="8"/>
        <w:rPr>
          <w:rFonts w:ascii="Arial"/>
          <w:b/>
          <w:sz w:val="9"/>
        </w:rPr>
      </w:pPr>
    </w:p>
    <w:tbl>
      <w:tblPr>
        <w:tblW w:w="0" w:type="auto"/>
        <w:tblInd w:w="30" w:type="dxa"/>
        <w:tblLayout w:type="fixed"/>
        <w:tblCellMar>
          <w:left w:w="0" w:type="dxa"/>
          <w:right w:w="0" w:type="dxa"/>
        </w:tblCellMar>
        <w:tblLook w:val="01E0" w:firstRow="1" w:lastRow="1" w:firstColumn="1" w:lastColumn="1" w:noHBand="0" w:noVBand="0"/>
      </w:tblPr>
      <w:tblGrid>
        <w:gridCol w:w="2520"/>
        <w:gridCol w:w="1746"/>
        <w:gridCol w:w="1072"/>
        <w:gridCol w:w="1772"/>
        <w:gridCol w:w="1918"/>
      </w:tblGrid>
      <w:tr w:rsidR="008B6261" w14:paraId="53B38E2D" w14:textId="77777777" w:rsidTr="00B04EA6">
        <w:trPr>
          <w:trHeight w:val="350"/>
          <w:tblHeader/>
        </w:trPr>
        <w:tc>
          <w:tcPr>
            <w:tcW w:w="5338" w:type="dxa"/>
            <w:gridSpan w:val="3"/>
            <w:tcBorders>
              <w:top w:val="single" w:sz="4" w:space="0" w:color="000000"/>
              <w:bottom w:val="single" w:sz="4" w:space="0" w:color="000000"/>
              <w:right w:val="single" w:sz="4" w:space="0" w:color="000000"/>
            </w:tcBorders>
          </w:tcPr>
          <w:p w14:paraId="53B38E2B" w14:textId="77777777" w:rsidR="008B6261" w:rsidRDefault="004C6B8B">
            <w:pPr>
              <w:pStyle w:val="TableParagraph"/>
              <w:spacing w:before="59"/>
              <w:ind w:left="3544"/>
              <w:rPr>
                <w:rFonts w:ascii="Arial"/>
                <w:b/>
                <w:sz w:val="20"/>
              </w:rPr>
            </w:pPr>
            <w:r>
              <w:rPr>
                <w:rFonts w:ascii="Arial"/>
                <w:b/>
                <w:sz w:val="20"/>
              </w:rPr>
              <w:t>Study</w:t>
            </w:r>
            <w:r>
              <w:rPr>
                <w:rFonts w:ascii="Arial"/>
                <w:b/>
                <w:spacing w:val="-8"/>
                <w:sz w:val="20"/>
              </w:rPr>
              <w:t xml:space="preserve"> </w:t>
            </w:r>
            <w:r>
              <w:rPr>
                <w:rFonts w:ascii="Arial"/>
                <w:b/>
                <w:spacing w:val="-10"/>
                <w:sz w:val="20"/>
              </w:rPr>
              <w:t>1</w:t>
            </w:r>
          </w:p>
        </w:tc>
        <w:tc>
          <w:tcPr>
            <w:tcW w:w="3690" w:type="dxa"/>
            <w:gridSpan w:val="2"/>
            <w:tcBorders>
              <w:top w:val="single" w:sz="4" w:space="0" w:color="000000"/>
              <w:left w:val="single" w:sz="4" w:space="0" w:color="000000"/>
              <w:bottom w:val="single" w:sz="4" w:space="0" w:color="000000"/>
            </w:tcBorders>
          </w:tcPr>
          <w:p w14:paraId="53B38E2C" w14:textId="77777777" w:rsidR="008B6261" w:rsidRDefault="004C6B8B">
            <w:pPr>
              <w:pStyle w:val="TableParagraph"/>
              <w:spacing w:before="59"/>
              <w:ind w:left="743"/>
              <w:rPr>
                <w:rFonts w:ascii="Arial"/>
                <w:b/>
                <w:sz w:val="20"/>
              </w:rPr>
            </w:pPr>
            <w:r>
              <w:rPr>
                <w:rFonts w:ascii="Arial"/>
                <w:b/>
                <w:sz w:val="20"/>
              </w:rPr>
              <w:t>Pooled</w:t>
            </w:r>
            <w:r>
              <w:rPr>
                <w:rFonts w:ascii="Arial"/>
                <w:b/>
                <w:spacing w:val="-5"/>
                <w:sz w:val="20"/>
              </w:rPr>
              <w:t xml:space="preserve"> </w:t>
            </w:r>
            <w:r>
              <w:rPr>
                <w:rFonts w:ascii="Arial"/>
                <w:b/>
                <w:sz w:val="20"/>
              </w:rPr>
              <w:t>Studies</w:t>
            </w:r>
            <w:r>
              <w:rPr>
                <w:rFonts w:ascii="Arial"/>
                <w:b/>
                <w:spacing w:val="-7"/>
                <w:sz w:val="20"/>
              </w:rPr>
              <w:t xml:space="preserve"> </w:t>
            </w:r>
            <w:r>
              <w:rPr>
                <w:rFonts w:ascii="Arial"/>
                <w:b/>
                <w:sz w:val="20"/>
              </w:rPr>
              <w:t>2</w:t>
            </w:r>
            <w:r>
              <w:rPr>
                <w:rFonts w:ascii="Arial"/>
                <w:b/>
                <w:spacing w:val="-6"/>
                <w:sz w:val="20"/>
              </w:rPr>
              <w:t xml:space="preserve"> </w:t>
            </w:r>
            <w:r>
              <w:rPr>
                <w:rFonts w:ascii="Arial"/>
                <w:b/>
                <w:sz w:val="20"/>
              </w:rPr>
              <w:t>and</w:t>
            </w:r>
            <w:r>
              <w:rPr>
                <w:rFonts w:ascii="Arial"/>
                <w:b/>
                <w:spacing w:val="-6"/>
                <w:sz w:val="20"/>
              </w:rPr>
              <w:t xml:space="preserve"> </w:t>
            </w:r>
            <w:r>
              <w:rPr>
                <w:rFonts w:ascii="Arial"/>
                <w:b/>
                <w:spacing w:val="-10"/>
                <w:sz w:val="20"/>
              </w:rPr>
              <w:t>3</w:t>
            </w:r>
          </w:p>
        </w:tc>
      </w:tr>
      <w:tr w:rsidR="008B6261" w14:paraId="53B38E3B" w14:textId="77777777" w:rsidTr="00B04EA6">
        <w:trPr>
          <w:trHeight w:val="928"/>
          <w:tblHeader/>
        </w:trPr>
        <w:tc>
          <w:tcPr>
            <w:tcW w:w="2520" w:type="dxa"/>
            <w:tcBorders>
              <w:top w:val="single" w:sz="4" w:space="0" w:color="000000"/>
              <w:bottom w:val="single" w:sz="4" w:space="0" w:color="000000"/>
            </w:tcBorders>
          </w:tcPr>
          <w:p w14:paraId="53B38E2E" w14:textId="77777777" w:rsidR="008B6261" w:rsidRDefault="004C6B8B">
            <w:pPr>
              <w:pStyle w:val="TableParagraph"/>
              <w:spacing w:before="59"/>
              <w:ind w:left="2" w:right="45"/>
              <w:jc w:val="center"/>
              <w:rPr>
                <w:sz w:val="20"/>
              </w:rPr>
            </w:pPr>
            <w:r>
              <w:rPr>
                <w:sz w:val="20"/>
              </w:rPr>
              <w:t>Adverse</w:t>
            </w:r>
            <w:r>
              <w:rPr>
                <w:spacing w:val="-10"/>
                <w:sz w:val="20"/>
              </w:rPr>
              <w:t xml:space="preserve"> </w:t>
            </w:r>
            <w:r>
              <w:rPr>
                <w:spacing w:val="-2"/>
                <w:sz w:val="20"/>
              </w:rPr>
              <w:t>Reactions</w:t>
            </w:r>
          </w:p>
        </w:tc>
        <w:tc>
          <w:tcPr>
            <w:tcW w:w="1746" w:type="dxa"/>
            <w:tcBorders>
              <w:top w:val="single" w:sz="4" w:space="0" w:color="000000"/>
              <w:bottom w:val="single" w:sz="4" w:space="0" w:color="000000"/>
            </w:tcBorders>
          </w:tcPr>
          <w:p w14:paraId="53B38E2F" w14:textId="77777777" w:rsidR="008B6261" w:rsidRDefault="004C6B8B">
            <w:pPr>
              <w:pStyle w:val="TableParagraph"/>
              <w:spacing w:before="57"/>
              <w:ind w:left="2" w:right="20"/>
              <w:jc w:val="center"/>
              <w:rPr>
                <w:sz w:val="20"/>
              </w:rPr>
            </w:pPr>
            <w:r>
              <w:rPr>
                <w:sz w:val="20"/>
              </w:rPr>
              <w:t>CENRIFKI</w:t>
            </w:r>
            <w:r>
              <w:rPr>
                <w:spacing w:val="-6"/>
                <w:sz w:val="20"/>
              </w:rPr>
              <w:t xml:space="preserve"> </w:t>
            </w:r>
            <w:r>
              <w:rPr>
                <w:sz w:val="20"/>
              </w:rPr>
              <w:t>60</w:t>
            </w:r>
            <w:r>
              <w:rPr>
                <w:spacing w:val="-5"/>
                <w:sz w:val="20"/>
              </w:rPr>
              <w:t xml:space="preserve"> mg</w:t>
            </w:r>
          </w:p>
          <w:p w14:paraId="53B38E30" w14:textId="77777777" w:rsidR="008B6261" w:rsidRDefault="004C6B8B">
            <w:pPr>
              <w:pStyle w:val="TableParagraph"/>
              <w:spacing w:before="1"/>
              <w:ind w:right="20"/>
              <w:jc w:val="center"/>
              <w:rPr>
                <w:sz w:val="20"/>
              </w:rPr>
            </w:pPr>
            <w:r>
              <w:rPr>
                <w:spacing w:val="-2"/>
                <w:sz w:val="20"/>
              </w:rPr>
              <w:t>daily</w:t>
            </w:r>
          </w:p>
          <w:p w14:paraId="53B38E31" w14:textId="77777777" w:rsidR="008B6261" w:rsidRDefault="004C6B8B">
            <w:pPr>
              <w:pStyle w:val="TableParagraph"/>
              <w:spacing w:before="61"/>
              <w:ind w:left="2" w:right="20"/>
              <w:jc w:val="center"/>
              <w:rPr>
                <w:sz w:val="20"/>
              </w:rPr>
            </w:pPr>
            <w:r>
              <w:rPr>
                <w:sz w:val="20"/>
              </w:rPr>
              <w:t>N</w:t>
            </w:r>
            <w:r>
              <w:rPr>
                <w:spacing w:val="-3"/>
                <w:sz w:val="20"/>
              </w:rPr>
              <w:t xml:space="preserve"> </w:t>
            </w:r>
            <w:r>
              <w:rPr>
                <w:sz w:val="20"/>
              </w:rPr>
              <w:t>=</w:t>
            </w:r>
            <w:r>
              <w:rPr>
                <w:spacing w:val="-1"/>
                <w:sz w:val="20"/>
              </w:rPr>
              <w:t xml:space="preserve"> </w:t>
            </w:r>
            <w:r>
              <w:rPr>
                <w:spacing w:val="-5"/>
                <w:sz w:val="20"/>
              </w:rPr>
              <w:t>752</w:t>
            </w:r>
          </w:p>
        </w:tc>
        <w:tc>
          <w:tcPr>
            <w:tcW w:w="1072" w:type="dxa"/>
            <w:tcBorders>
              <w:top w:val="single" w:sz="4" w:space="0" w:color="000000"/>
              <w:bottom w:val="single" w:sz="4" w:space="0" w:color="000000"/>
              <w:right w:val="single" w:sz="4" w:space="0" w:color="000000"/>
            </w:tcBorders>
          </w:tcPr>
          <w:p w14:paraId="53B38E32" w14:textId="77777777" w:rsidR="008B6261" w:rsidRDefault="004C6B8B">
            <w:pPr>
              <w:pStyle w:val="TableParagraph"/>
              <w:spacing w:before="59"/>
              <w:ind w:left="251"/>
              <w:rPr>
                <w:sz w:val="20"/>
              </w:rPr>
            </w:pPr>
            <w:r>
              <w:rPr>
                <w:spacing w:val="-2"/>
                <w:sz w:val="20"/>
              </w:rPr>
              <w:t>Placebo</w:t>
            </w:r>
          </w:p>
          <w:p w14:paraId="53B38E33" w14:textId="77777777" w:rsidR="008B6261" w:rsidRDefault="008B6261">
            <w:pPr>
              <w:pStyle w:val="TableParagraph"/>
              <w:spacing w:before="50"/>
              <w:rPr>
                <w:rFonts w:ascii="Arial"/>
                <w:b/>
                <w:sz w:val="20"/>
              </w:rPr>
            </w:pPr>
          </w:p>
          <w:p w14:paraId="53B38E34" w14:textId="77777777" w:rsidR="008B6261" w:rsidRDefault="004C6B8B">
            <w:pPr>
              <w:pStyle w:val="TableParagraph"/>
              <w:spacing w:before="0"/>
              <w:ind w:left="255"/>
              <w:rPr>
                <w:sz w:val="20"/>
              </w:rPr>
            </w:pPr>
            <w:r>
              <w:rPr>
                <w:sz w:val="20"/>
              </w:rPr>
              <w:t>N</w:t>
            </w:r>
            <w:r>
              <w:rPr>
                <w:spacing w:val="-3"/>
                <w:sz w:val="20"/>
              </w:rPr>
              <w:t xml:space="preserve"> </w:t>
            </w:r>
            <w:r>
              <w:rPr>
                <w:sz w:val="20"/>
              </w:rPr>
              <w:t>=</w:t>
            </w:r>
            <w:r>
              <w:rPr>
                <w:spacing w:val="-1"/>
                <w:sz w:val="20"/>
              </w:rPr>
              <w:t xml:space="preserve"> </w:t>
            </w:r>
            <w:r>
              <w:rPr>
                <w:spacing w:val="-5"/>
                <w:sz w:val="20"/>
              </w:rPr>
              <w:t>375</w:t>
            </w:r>
          </w:p>
        </w:tc>
        <w:tc>
          <w:tcPr>
            <w:tcW w:w="1772" w:type="dxa"/>
            <w:tcBorders>
              <w:top w:val="single" w:sz="4" w:space="0" w:color="000000"/>
              <w:left w:val="single" w:sz="4" w:space="0" w:color="000000"/>
              <w:bottom w:val="single" w:sz="4" w:space="0" w:color="000000"/>
            </w:tcBorders>
          </w:tcPr>
          <w:p w14:paraId="53B38E35" w14:textId="77777777" w:rsidR="008B6261" w:rsidRDefault="004C6B8B">
            <w:pPr>
              <w:pStyle w:val="TableParagraph"/>
              <w:spacing w:before="57"/>
              <w:ind w:left="34"/>
              <w:jc w:val="center"/>
              <w:rPr>
                <w:sz w:val="20"/>
              </w:rPr>
            </w:pPr>
            <w:r>
              <w:rPr>
                <w:sz w:val="20"/>
              </w:rPr>
              <w:t>CENRIFKI</w:t>
            </w:r>
            <w:r>
              <w:rPr>
                <w:spacing w:val="-6"/>
                <w:sz w:val="20"/>
              </w:rPr>
              <w:t xml:space="preserve"> </w:t>
            </w:r>
            <w:r>
              <w:rPr>
                <w:sz w:val="20"/>
              </w:rPr>
              <w:t>60</w:t>
            </w:r>
            <w:r>
              <w:rPr>
                <w:spacing w:val="-5"/>
                <w:sz w:val="20"/>
              </w:rPr>
              <w:t xml:space="preserve"> mg</w:t>
            </w:r>
          </w:p>
          <w:p w14:paraId="53B38E36" w14:textId="77777777" w:rsidR="008B6261" w:rsidRDefault="004C6B8B">
            <w:pPr>
              <w:pStyle w:val="TableParagraph"/>
              <w:spacing w:before="1"/>
              <w:ind w:left="34" w:right="2"/>
              <w:jc w:val="center"/>
              <w:rPr>
                <w:sz w:val="20"/>
              </w:rPr>
            </w:pPr>
            <w:r>
              <w:rPr>
                <w:spacing w:val="-2"/>
                <w:sz w:val="20"/>
              </w:rPr>
              <w:t>daily</w:t>
            </w:r>
          </w:p>
          <w:p w14:paraId="53B38E37" w14:textId="77777777" w:rsidR="008B6261" w:rsidRDefault="004C6B8B">
            <w:pPr>
              <w:pStyle w:val="TableParagraph"/>
              <w:spacing w:before="61"/>
              <w:ind w:left="34"/>
              <w:jc w:val="center"/>
              <w:rPr>
                <w:sz w:val="20"/>
              </w:rPr>
            </w:pPr>
            <w:r>
              <w:rPr>
                <w:sz w:val="20"/>
              </w:rPr>
              <w:t>N</w:t>
            </w:r>
            <w:r>
              <w:rPr>
                <w:spacing w:val="-3"/>
                <w:sz w:val="20"/>
              </w:rPr>
              <w:t xml:space="preserve"> </w:t>
            </w:r>
            <w:r>
              <w:rPr>
                <w:sz w:val="20"/>
              </w:rPr>
              <w:t>=</w:t>
            </w:r>
            <w:r>
              <w:rPr>
                <w:spacing w:val="-1"/>
                <w:sz w:val="20"/>
              </w:rPr>
              <w:t xml:space="preserve"> </w:t>
            </w:r>
            <w:r>
              <w:rPr>
                <w:spacing w:val="-5"/>
                <w:sz w:val="20"/>
              </w:rPr>
              <w:t>933</w:t>
            </w:r>
          </w:p>
        </w:tc>
        <w:tc>
          <w:tcPr>
            <w:tcW w:w="1918" w:type="dxa"/>
            <w:tcBorders>
              <w:top w:val="single" w:sz="4" w:space="0" w:color="000000"/>
              <w:bottom w:val="single" w:sz="4" w:space="0" w:color="000000"/>
            </w:tcBorders>
          </w:tcPr>
          <w:p w14:paraId="53B38E38" w14:textId="77777777" w:rsidR="008B6261" w:rsidRDefault="004C6B8B">
            <w:pPr>
              <w:pStyle w:val="TableParagraph"/>
              <w:spacing w:before="57"/>
              <w:ind w:left="41" w:right="1"/>
              <w:jc w:val="center"/>
              <w:rPr>
                <w:sz w:val="20"/>
              </w:rPr>
            </w:pPr>
            <w:r>
              <w:rPr>
                <w:sz w:val="20"/>
              </w:rPr>
              <w:t>Teriflunomide</w:t>
            </w:r>
            <w:r>
              <w:rPr>
                <w:spacing w:val="-7"/>
                <w:sz w:val="20"/>
              </w:rPr>
              <w:t xml:space="preserve"> </w:t>
            </w:r>
            <w:r>
              <w:rPr>
                <w:sz w:val="20"/>
              </w:rPr>
              <w:t>14</w:t>
            </w:r>
            <w:r>
              <w:rPr>
                <w:spacing w:val="-7"/>
                <w:sz w:val="20"/>
              </w:rPr>
              <w:t xml:space="preserve"> </w:t>
            </w:r>
            <w:r>
              <w:rPr>
                <w:spacing w:val="-5"/>
                <w:sz w:val="20"/>
              </w:rPr>
              <w:t>mg</w:t>
            </w:r>
          </w:p>
          <w:p w14:paraId="53B38E39" w14:textId="77777777" w:rsidR="008B6261" w:rsidRDefault="004C6B8B">
            <w:pPr>
              <w:pStyle w:val="TableParagraph"/>
              <w:spacing w:before="61"/>
              <w:ind w:left="41" w:right="3"/>
              <w:jc w:val="center"/>
              <w:rPr>
                <w:sz w:val="20"/>
              </w:rPr>
            </w:pPr>
            <w:r>
              <w:rPr>
                <w:spacing w:val="-2"/>
                <w:sz w:val="20"/>
              </w:rPr>
              <w:t>daily</w:t>
            </w:r>
          </w:p>
          <w:p w14:paraId="53B38E3A" w14:textId="77777777" w:rsidR="008B6261" w:rsidRDefault="004C6B8B">
            <w:pPr>
              <w:pStyle w:val="TableParagraph"/>
              <w:spacing w:before="61"/>
              <w:ind w:left="41"/>
              <w:jc w:val="center"/>
              <w:rPr>
                <w:sz w:val="20"/>
              </w:rPr>
            </w:pPr>
            <w:r>
              <w:rPr>
                <w:sz w:val="20"/>
              </w:rPr>
              <w:t>N</w:t>
            </w:r>
            <w:r>
              <w:rPr>
                <w:spacing w:val="-3"/>
                <w:sz w:val="20"/>
              </w:rPr>
              <w:t xml:space="preserve"> </w:t>
            </w:r>
            <w:r>
              <w:rPr>
                <w:sz w:val="20"/>
              </w:rPr>
              <w:t>=</w:t>
            </w:r>
            <w:r>
              <w:rPr>
                <w:spacing w:val="-1"/>
                <w:sz w:val="20"/>
              </w:rPr>
              <w:t xml:space="preserve"> </w:t>
            </w:r>
            <w:r>
              <w:rPr>
                <w:spacing w:val="-5"/>
                <w:sz w:val="20"/>
              </w:rPr>
              <w:t>939</w:t>
            </w:r>
          </w:p>
        </w:tc>
      </w:tr>
      <w:tr w:rsidR="008B6261" w14:paraId="53B38E41" w14:textId="77777777">
        <w:trPr>
          <w:trHeight w:val="348"/>
        </w:trPr>
        <w:tc>
          <w:tcPr>
            <w:tcW w:w="2520" w:type="dxa"/>
            <w:tcBorders>
              <w:top w:val="single" w:sz="4" w:space="0" w:color="000000"/>
            </w:tcBorders>
          </w:tcPr>
          <w:p w14:paraId="53B38E3C" w14:textId="77777777" w:rsidR="008B6261" w:rsidRDefault="004C6B8B">
            <w:pPr>
              <w:pStyle w:val="TableParagraph"/>
              <w:spacing w:before="59"/>
              <w:ind w:left="1" w:right="45"/>
              <w:jc w:val="center"/>
              <w:rPr>
                <w:sz w:val="20"/>
              </w:rPr>
            </w:pPr>
            <w:r>
              <w:rPr>
                <w:spacing w:val="-2"/>
                <w:sz w:val="20"/>
              </w:rPr>
              <w:t>COVID-</w:t>
            </w:r>
            <w:r>
              <w:rPr>
                <w:spacing w:val="-5"/>
                <w:sz w:val="20"/>
              </w:rPr>
              <w:t>19*</w:t>
            </w:r>
          </w:p>
        </w:tc>
        <w:tc>
          <w:tcPr>
            <w:tcW w:w="1746" w:type="dxa"/>
            <w:tcBorders>
              <w:top w:val="single" w:sz="4" w:space="0" w:color="000000"/>
            </w:tcBorders>
          </w:tcPr>
          <w:p w14:paraId="53B38E3D" w14:textId="77777777" w:rsidR="008B6261" w:rsidRDefault="004C6B8B">
            <w:pPr>
              <w:pStyle w:val="TableParagraph"/>
              <w:spacing w:before="59"/>
              <w:ind w:left="1" w:right="20"/>
              <w:jc w:val="center"/>
              <w:rPr>
                <w:sz w:val="20"/>
              </w:rPr>
            </w:pPr>
            <w:r>
              <w:rPr>
                <w:spacing w:val="-5"/>
                <w:sz w:val="20"/>
              </w:rPr>
              <w:t>27%</w:t>
            </w:r>
          </w:p>
        </w:tc>
        <w:tc>
          <w:tcPr>
            <w:tcW w:w="1072" w:type="dxa"/>
            <w:tcBorders>
              <w:top w:val="single" w:sz="4" w:space="0" w:color="000000"/>
              <w:right w:val="single" w:sz="4" w:space="0" w:color="000000"/>
            </w:tcBorders>
          </w:tcPr>
          <w:p w14:paraId="53B38E3E" w14:textId="77777777" w:rsidR="008B6261" w:rsidRDefault="004C6B8B">
            <w:pPr>
              <w:pStyle w:val="TableParagraph"/>
              <w:spacing w:before="59"/>
              <w:ind w:left="24" w:right="2"/>
              <w:jc w:val="center"/>
              <w:rPr>
                <w:sz w:val="20"/>
              </w:rPr>
            </w:pPr>
            <w:r>
              <w:rPr>
                <w:spacing w:val="-5"/>
                <w:sz w:val="20"/>
              </w:rPr>
              <w:t>23%</w:t>
            </w:r>
          </w:p>
        </w:tc>
        <w:tc>
          <w:tcPr>
            <w:tcW w:w="1772" w:type="dxa"/>
            <w:tcBorders>
              <w:top w:val="single" w:sz="4" w:space="0" w:color="000000"/>
              <w:left w:val="single" w:sz="4" w:space="0" w:color="000000"/>
            </w:tcBorders>
          </w:tcPr>
          <w:p w14:paraId="53B38E3F" w14:textId="77777777" w:rsidR="008B6261" w:rsidRDefault="004C6B8B">
            <w:pPr>
              <w:pStyle w:val="TableParagraph"/>
              <w:spacing w:before="59"/>
              <w:ind w:left="34" w:right="1"/>
              <w:jc w:val="center"/>
              <w:rPr>
                <w:sz w:val="20"/>
              </w:rPr>
            </w:pPr>
            <w:r>
              <w:rPr>
                <w:spacing w:val="-5"/>
                <w:sz w:val="20"/>
              </w:rPr>
              <w:t>26%</w:t>
            </w:r>
          </w:p>
        </w:tc>
        <w:tc>
          <w:tcPr>
            <w:tcW w:w="1918" w:type="dxa"/>
            <w:tcBorders>
              <w:top w:val="single" w:sz="4" w:space="0" w:color="000000"/>
            </w:tcBorders>
          </w:tcPr>
          <w:p w14:paraId="53B38E40" w14:textId="77777777" w:rsidR="008B6261" w:rsidRDefault="004C6B8B">
            <w:pPr>
              <w:pStyle w:val="TableParagraph"/>
              <w:spacing w:before="59"/>
              <w:ind w:left="41" w:right="2"/>
              <w:jc w:val="center"/>
              <w:rPr>
                <w:sz w:val="20"/>
              </w:rPr>
            </w:pPr>
            <w:r>
              <w:rPr>
                <w:spacing w:val="-5"/>
                <w:sz w:val="20"/>
              </w:rPr>
              <w:t>28%</w:t>
            </w:r>
          </w:p>
        </w:tc>
      </w:tr>
      <w:tr w:rsidR="008B6261" w14:paraId="53B38E47" w14:textId="77777777">
        <w:trPr>
          <w:trHeight w:val="579"/>
        </w:trPr>
        <w:tc>
          <w:tcPr>
            <w:tcW w:w="2520" w:type="dxa"/>
          </w:tcPr>
          <w:p w14:paraId="53B38E42" w14:textId="77777777" w:rsidR="008B6261" w:rsidRDefault="004C6B8B">
            <w:pPr>
              <w:pStyle w:val="TableParagraph"/>
              <w:spacing w:before="58"/>
              <w:ind w:left="861" w:hanging="440"/>
              <w:rPr>
                <w:rFonts w:ascii="Times New Roman" w:hAnsi="Times New Roman"/>
                <w:sz w:val="20"/>
              </w:rPr>
            </w:pPr>
            <w:r>
              <w:rPr>
                <w:sz w:val="20"/>
              </w:rPr>
              <w:t>Upper</w:t>
            </w:r>
            <w:r>
              <w:rPr>
                <w:spacing w:val="-12"/>
                <w:sz w:val="20"/>
              </w:rPr>
              <w:t xml:space="preserve"> </w:t>
            </w:r>
            <w:r>
              <w:rPr>
                <w:sz w:val="20"/>
              </w:rPr>
              <w:t>respiratory</w:t>
            </w:r>
            <w:r>
              <w:rPr>
                <w:spacing w:val="-11"/>
                <w:sz w:val="20"/>
              </w:rPr>
              <w:t xml:space="preserve"> </w:t>
            </w:r>
            <w:r>
              <w:rPr>
                <w:sz w:val="20"/>
              </w:rPr>
              <w:t xml:space="preserve">tract </w:t>
            </w:r>
            <w:r>
              <w:rPr>
                <w:spacing w:val="-2"/>
                <w:sz w:val="20"/>
              </w:rPr>
              <w:t>infections</w:t>
            </w:r>
            <w:r>
              <w:rPr>
                <w:rFonts w:ascii="Times New Roman" w:hAnsi="Times New Roman"/>
                <w:spacing w:val="-2"/>
                <w:sz w:val="20"/>
                <w:vertAlign w:val="superscript"/>
              </w:rPr>
              <w:t>δ</w:t>
            </w:r>
          </w:p>
        </w:tc>
        <w:tc>
          <w:tcPr>
            <w:tcW w:w="1746" w:type="dxa"/>
          </w:tcPr>
          <w:p w14:paraId="53B38E43" w14:textId="77777777" w:rsidR="008B6261" w:rsidRDefault="004C6B8B">
            <w:pPr>
              <w:pStyle w:val="TableParagraph"/>
              <w:spacing w:before="58"/>
              <w:ind w:left="1" w:right="20"/>
              <w:jc w:val="center"/>
              <w:rPr>
                <w:sz w:val="20"/>
              </w:rPr>
            </w:pPr>
            <w:r>
              <w:rPr>
                <w:spacing w:val="-5"/>
                <w:sz w:val="20"/>
              </w:rPr>
              <w:t>17%</w:t>
            </w:r>
          </w:p>
        </w:tc>
        <w:tc>
          <w:tcPr>
            <w:tcW w:w="1072" w:type="dxa"/>
            <w:tcBorders>
              <w:right w:val="single" w:sz="4" w:space="0" w:color="000000"/>
            </w:tcBorders>
          </w:tcPr>
          <w:p w14:paraId="53B38E44" w14:textId="77777777" w:rsidR="008B6261" w:rsidRDefault="004C6B8B">
            <w:pPr>
              <w:pStyle w:val="TableParagraph"/>
              <w:spacing w:before="58"/>
              <w:ind w:left="24" w:right="3"/>
              <w:jc w:val="center"/>
              <w:rPr>
                <w:sz w:val="20"/>
              </w:rPr>
            </w:pPr>
            <w:r>
              <w:rPr>
                <w:spacing w:val="-5"/>
                <w:sz w:val="20"/>
              </w:rPr>
              <w:t>14%</w:t>
            </w:r>
          </w:p>
        </w:tc>
        <w:tc>
          <w:tcPr>
            <w:tcW w:w="1772" w:type="dxa"/>
            <w:tcBorders>
              <w:left w:val="single" w:sz="4" w:space="0" w:color="000000"/>
            </w:tcBorders>
          </w:tcPr>
          <w:p w14:paraId="53B38E45" w14:textId="77777777" w:rsidR="008B6261" w:rsidRDefault="004C6B8B">
            <w:pPr>
              <w:pStyle w:val="TableParagraph"/>
              <w:spacing w:before="58"/>
              <w:ind w:left="34" w:right="1"/>
              <w:jc w:val="center"/>
              <w:rPr>
                <w:sz w:val="20"/>
              </w:rPr>
            </w:pPr>
            <w:r>
              <w:rPr>
                <w:spacing w:val="-5"/>
                <w:sz w:val="20"/>
              </w:rPr>
              <w:t>28%</w:t>
            </w:r>
          </w:p>
        </w:tc>
        <w:tc>
          <w:tcPr>
            <w:tcW w:w="1918" w:type="dxa"/>
          </w:tcPr>
          <w:p w14:paraId="53B38E46" w14:textId="77777777" w:rsidR="008B6261" w:rsidRDefault="004C6B8B">
            <w:pPr>
              <w:pStyle w:val="TableParagraph"/>
              <w:spacing w:before="58"/>
              <w:ind w:left="41" w:right="2"/>
              <w:jc w:val="center"/>
              <w:rPr>
                <w:sz w:val="20"/>
              </w:rPr>
            </w:pPr>
            <w:r>
              <w:rPr>
                <w:spacing w:val="-5"/>
                <w:sz w:val="20"/>
              </w:rPr>
              <w:t>23%</w:t>
            </w:r>
          </w:p>
        </w:tc>
      </w:tr>
      <w:tr w:rsidR="008B6261" w14:paraId="53B38E4E" w14:textId="77777777">
        <w:trPr>
          <w:trHeight w:val="579"/>
        </w:trPr>
        <w:tc>
          <w:tcPr>
            <w:tcW w:w="2520" w:type="dxa"/>
          </w:tcPr>
          <w:p w14:paraId="53B38E48" w14:textId="77777777" w:rsidR="008B6261" w:rsidRDefault="004C6B8B">
            <w:pPr>
              <w:pStyle w:val="TableParagraph"/>
              <w:ind w:left="5" w:right="45"/>
              <w:jc w:val="center"/>
              <w:rPr>
                <w:sz w:val="20"/>
              </w:rPr>
            </w:pPr>
            <w:r>
              <w:rPr>
                <w:sz w:val="20"/>
              </w:rPr>
              <w:t>Viral</w:t>
            </w:r>
            <w:r>
              <w:rPr>
                <w:spacing w:val="-8"/>
                <w:sz w:val="20"/>
              </w:rPr>
              <w:t xml:space="preserve"> </w:t>
            </w:r>
            <w:r>
              <w:rPr>
                <w:sz w:val="20"/>
              </w:rPr>
              <w:t>upper</w:t>
            </w:r>
            <w:r>
              <w:rPr>
                <w:spacing w:val="-6"/>
                <w:sz w:val="20"/>
              </w:rPr>
              <w:t xml:space="preserve"> </w:t>
            </w:r>
            <w:r>
              <w:rPr>
                <w:sz w:val="20"/>
              </w:rPr>
              <w:t>respiratory</w:t>
            </w:r>
            <w:r>
              <w:rPr>
                <w:spacing w:val="-8"/>
                <w:sz w:val="20"/>
              </w:rPr>
              <w:t xml:space="preserve"> </w:t>
            </w:r>
            <w:r>
              <w:rPr>
                <w:spacing w:val="-4"/>
                <w:sz w:val="20"/>
              </w:rPr>
              <w:t>tract</w:t>
            </w:r>
          </w:p>
          <w:p w14:paraId="53B38E49" w14:textId="77777777" w:rsidR="008B6261" w:rsidRDefault="004C6B8B">
            <w:pPr>
              <w:pStyle w:val="TableParagraph"/>
              <w:spacing w:before="1"/>
              <w:ind w:left="5" w:right="45"/>
              <w:jc w:val="center"/>
              <w:rPr>
                <w:sz w:val="20"/>
              </w:rPr>
            </w:pPr>
            <w:r>
              <w:rPr>
                <w:spacing w:val="-2"/>
                <w:sz w:val="20"/>
              </w:rPr>
              <w:t>infections</w:t>
            </w:r>
          </w:p>
        </w:tc>
        <w:tc>
          <w:tcPr>
            <w:tcW w:w="1746" w:type="dxa"/>
          </w:tcPr>
          <w:p w14:paraId="53B38E4A" w14:textId="77777777" w:rsidR="008B6261" w:rsidRDefault="004C6B8B">
            <w:pPr>
              <w:pStyle w:val="TableParagraph"/>
              <w:ind w:left="2" w:right="20"/>
              <w:jc w:val="center"/>
              <w:rPr>
                <w:sz w:val="20"/>
              </w:rPr>
            </w:pPr>
            <w:r>
              <w:rPr>
                <w:spacing w:val="-5"/>
                <w:sz w:val="20"/>
              </w:rPr>
              <w:t>4%</w:t>
            </w:r>
          </w:p>
        </w:tc>
        <w:tc>
          <w:tcPr>
            <w:tcW w:w="1072" w:type="dxa"/>
            <w:tcBorders>
              <w:right w:val="single" w:sz="4" w:space="0" w:color="000000"/>
            </w:tcBorders>
          </w:tcPr>
          <w:p w14:paraId="53B38E4B" w14:textId="77777777" w:rsidR="008B6261" w:rsidRDefault="004C6B8B">
            <w:pPr>
              <w:pStyle w:val="TableParagraph"/>
              <w:ind w:left="24" w:right="2"/>
              <w:jc w:val="center"/>
              <w:rPr>
                <w:sz w:val="20"/>
              </w:rPr>
            </w:pPr>
            <w:r>
              <w:rPr>
                <w:spacing w:val="-5"/>
                <w:sz w:val="20"/>
              </w:rPr>
              <w:t>3%</w:t>
            </w:r>
          </w:p>
        </w:tc>
        <w:tc>
          <w:tcPr>
            <w:tcW w:w="1772" w:type="dxa"/>
            <w:tcBorders>
              <w:left w:val="single" w:sz="4" w:space="0" w:color="000000"/>
            </w:tcBorders>
          </w:tcPr>
          <w:p w14:paraId="53B38E4C" w14:textId="77777777" w:rsidR="008B6261" w:rsidRDefault="004C6B8B">
            <w:pPr>
              <w:pStyle w:val="TableParagraph"/>
              <w:ind w:left="34" w:right="1"/>
              <w:jc w:val="center"/>
              <w:rPr>
                <w:sz w:val="20"/>
              </w:rPr>
            </w:pPr>
            <w:r>
              <w:rPr>
                <w:spacing w:val="-5"/>
                <w:sz w:val="20"/>
              </w:rPr>
              <w:t>5%</w:t>
            </w:r>
          </w:p>
        </w:tc>
        <w:tc>
          <w:tcPr>
            <w:tcW w:w="1918" w:type="dxa"/>
          </w:tcPr>
          <w:p w14:paraId="53B38E4D" w14:textId="77777777" w:rsidR="008B6261" w:rsidRDefault="004C6B8B">
            <w:pPr>
              <w:pStyle w:val="TableParagraph"/>
              <w:ind w:left="41" w:right="1"/>
              <w:jc w:val="center"/>
              <w:rPr>
                <w:sz w:val="20"/>
              </w:rPr>
            </w:pPr>
            <w:r>
              <w:rPr>
                <w:spacing w:val="-5"/>
                <w:sz w:val="20"/>
              </w:rPr>
              <w:t>6%</w:t>
            </w:r>
          </w:p>
        </w:tc>
      </w:tr>
      <w:tr w:rsidR="008B6261" w14:paraId="53B38E54" w14:textId="77777777">
        <w:trPr>
          <w:trHeight w:val="349"/>
        </w:trPr>
        <w:tc>
          <w:tcPr>
            <w:tcW w:w="2520" w:type="dxa"/>
          </w:tcPr>
          <w:p w14:paraId="53B38E4F" w14:textId="77777777" w:rsidR="008B6261" w:rsidRDefault="004C6B8B">
            <w:pPr>
              <w:pStyle w:val="TableParagraph"/>
              <w:spacing w:before="58"/>
              <w:ind w:left="2" w:right="45"/>
              <w:jc w:val="center"/>
              <w:rPr>
                <w:sz w:val="20"/>
              </w:rPr>
            </w:pPr>
            <w:r>
              <w:rPr>
                <w:spacing w:val="-2"/>
                <w:sz w:val="20"/>
              </w:rPr>
              <w:t>Influenza</w:t>
            </w:r>
          </w:p>
        </w:tc>
        <w:tc>
          <w:tcPr>
            <w:tcW w:w="1746" w:type="dxa"/>
          </w:tcPr>
          <w:p w14:paraId="53B38E50" w14:textId="77777777" w:rsidR="008B6261" w:rsidRDefault="004C6B8B">
            <w:pPr>
              <w:pStyle w:val="TableParagraph"/>
              <w:spacing w:before="58"/>
              <w:ind w:left="1" w:right="20"/>
              <w:jc w:val="center"/>
              <w:rPr>
                <w:sz w:val="20"/>
              </w:rPr>
            </w:pPr>
            <w:r>
              <w:rPr>
                <w:spacing w:val="-5"/>
                <w:sz w:val="20"/>
              </w:rPr>
              <w:t>6%</w:t>
            </w:r>
          </w:p>
        </w:tc>
        <w:tc>
          <w:tcPr>
            <w:tcW w:w="1072" w:type="dxa"/>
            <w:tcBorders>
              <w:right w:val="single" w:sz="4" w:space="0" w:color="000000"/>
            </w:tcBorders>
          </w:tcPr>
          <w:p w14:paraId="53B38E51" w14:textId="77777777" w:rsidR="008B6261" w:rsidRDefault="004C6B8B">
            <w:pPr>
              <w:pStyle w:val="TableParagraph"/>
              <w:spacing w:before="58"/>
              <w:ind w:left="24" w:right="3"/>
              <w:jc w:val="center"/>
              <w:rPr>
                <w:sz w:val="20"/>
              </w:rPr>
            </w:pPr>
            <w:r>
              <w:rPr>
                <w:spacing w:val="-5"/>
                <w:sz w:val="20"/>
              </w:rPr>
              <w:t>3%</w:t>
            </w:r>
          </w:p>
        </w:tc>
        <w:tc>
          <w:tcPr>
            <w:tcW w:w="1772" w:type="dxa"/>
            <w:tcBorders>
              <w:left w:val="single" w:sz="4" w:space="0" w:color="000000"/>
            </w:tcBorders>
          </w:tcPr>
          <w:p w14:paraId="53B38E52" w14:textId="77777777" w:rsidR="008B6261" w:rsidRDefault="004C6B8B">
            <w:pPr>
              <w:pStyle w:val="TableParagraph"/>
              <w:spacing w:before="58"/>
              <w:ind w:left="34" w:right="1"/>
              <w:jc w:val="center"/>
              <w:rPr>
                <w:sz w:val="20"/>
              </w:rPr>
            </w:pPr>
            <w:r>
              <w:rPr>
                <w:spacing w:val="-5"/>
                <w:sz w:val="20"/>
              </w:rPr>
              <w:t>5%</w:t>
            </w:r>
          </w:p>
        </w:tc>
        <w:tc>
          <w:tcPr>
            <w:tcW w:w="1918" w:type="dxa"/>
          </w:tcPr>
          <w:p w14:paraId="53B38E53" w14:textId="77777777" w:rsidR="008B6261" w:rsidRDefault="004C6B8B">
            <w:pPr>
              <w:pStyle w:val="TableParagraph"/>
              <w:spacing w:before="58"/>
              <w:ind w:left="41" w:right="2"/>
              <w:jc w:val="center"/>
              <w:rPr>
                <w:sz w:val="20"/>
              </w:rPr>
            </w:pPr>
            <w:r>
              <w:rPr>
                <w:spacing w:val="-5"/>
                <w:sz w:val="20"/>
              </w:rPr>
              <w:t>6%</w:t>
            </w:r>
          </w:p>
        </w:tc>
      </w:tr>
      <w:tr w:rsidR="008B6261" w14:paraId="53B38E5B" w14:textId="77777777">
        <w:trPr>
          <w:trHeight w:val="580"/>
        </w:trPr>
        <w:tc>
          <w:tcPr>
            <w:tcW w:w="2520" w:type="dxa"/>
          </w:tcPr>
          <w:p w14:paraId="53B38E55" w14:textId="77777777" w:rsidR="008B6261" w:rsidRDefault="004C6B8B">
            <w:pPr>
              <w:pStyle w:val="TableParagraph"/>
              <w:ind w:left="3" w:right="45"/>
              <w:jc w:val="center"/>
              <w:rPr>
                <w:sz w:val="20"/>
              </w:rPr>
            </w:pPr>
            <w:r>
              <w:rPr>
                <w:sz w:val="20"/>
              </w:rPr>
              <w:t>Lower</w:t>
            </w:r>
            <w:r>
              <w:rPr>
                <w:spacing w:val="-8"/>
                <w:sz w:val="20"/>
              </w:rPr>
              <w:t xml:space="preserve"> </w:t>
            </w:r>
            <w:r>
              <w:rPr>
                <w:sz w:val="20"/>
              </w:rPr>
              <w:t>respiratory</w:t>
            </w:r>
            <w:r>
              <w:rPr>
                <w:spacing w:val="-9"/>
                <w:sz w:val="20"/>
              </w:rPr>
              <w:t xml:space="preserve"> </w:t>
            </w:r>
            <w:r>
              <w:rPr>
                <w:spacing w:val="-4"/>
                <w:sz w:val="20"/>
              </w:rPr>
              <w:t>tract</w:t>
            </w:r>
          </w:p>
          <w:p w14:paraId="53B38E56" w14:textId="77777777" w:rsidR="008B6261" w:rsidRDefault="004C6B8B">
            <w:pPr>
              <w:pStyle w:val="TableParagraph"/>
              <w:spacing w:before="1"/>
              <w:ind w:left="4" w:right="45"/>
              <w:jc w:val="center"/>
              <w:rPr>
                <w:rFonts w:ascii="Times New Roman" w:hAnsi="Times New Roman"/>
                <w:sz w:val="20"/>
              </w:rPr>
            </w:pPr>
            <w:r>
              <w:rPr>
                <w:spacing w:val="-2"/>
                <w:sz w:val="20"/>
              </w:rPr>
              <w:t>infections</w:t>
            </w:r>
            <w:r>
              <w:rPr>
                <w:rFonts w:ascii="Times New Roman" w:hAnsi="Times New Roman"/>
                <w:spacing w:val="-2"/>
                <w:sz w:val="20"/>
                <w:vertAlign w:val="superscript"/>
              </w:rPr>
              <w:t>τ</w:t>
            </w:r>
          </w:p>
        </w:tc>
        <w:tc>
          <w:tcPr>
            <w:tcW w:w="1746" w:type="dxa"/>
          </w:tcPr>
          <w:p w14:paraId="53B38E57" w14:textId="77777777" w:rsidR="008B6261" w:rsidRDefault="004C6B8B">
            <w:pPr>
              <w:pStyle w:val="TableParagraph"/>
              <w:ind w:left="1" w:right="20"/>
              <w:jc w:val="center"/>
              <w:rPr>
                <w:sz w:val="20"/>
              </w:rPr>
            </w:pPr>
            <w:r>
              <w:rPr>
                <w:spacing w:val="-5"/>
                <w:sz w:val="20"/>
              </w:rPr>
              <w:t>4%</w:t>
            </w:r>
          </w:p>
        </w:tc>
        <w:tc>
          <w:tcPr>
            <w:tcW w:w="1072" w:type="dxa"/>
            <w:tcBorders>
              <w:right w:val="single" w:sz="4" w:space="0" w:color="000000"/>
            </w:tcBorders>
          </w:tcPr>
          <w:p w14:paraId="53B38E58" w14:textId="77777777" w:rsidR="008B6261" w:rsidRDefault="004C6B8B">
            <w:pPr>
              <w:pStyle w:val="TableParagraph"/>
              <w:ind w:left="24" w:right="3"/>
              <w:jc w:val="center"/>
              <w:rPr>
                <w:sz w:val="20"/>
              </w:rPr>
            </w:pPr>
            <w:r>
              <w:rPr>
                <w:spacing w:val="-5"/>
                <w:sz w:val="20"/>
              </w:rPr>
              <w:t>2%</w:t>
            </w:r>
          </w:p>
        </w:tc>
        <w:tc>
          <w:tcPr>
            <w:tcW w:w="1772" w:type="dxa"/>
            <w:tcBorders>
              <w:left w:val="single" w:sz="4" w:space="0" w:color="000000"/>
            </w:tcBorders>
          </w:tcPr>
          <w:p w14:paraId="53B38E59" w14:textId="77777777" w:rsidR="008B6261" w:rsidRDefault="004C6B8B">
            <w:pPr>
              <w:pStyle w:val="TableParagraph"/>
              <w:ind w:left="34" w:right="1"/>
              <w:jc w:val="center"/>
              <w:rPr>
                <w:sz w:val="20"/>
              </w:rPr>
            </w:pPr>
            <w:r>
              <w:rPr>
                <w:spacing w:val="-5"/>
                <w:sz w:val="20"/>
              </w:rPr>
              <w:t>3%</w:t>
            </w:r>
          </w:p>
        </w:tc>
        <w:tc>
          <w:tcPr>
            <w:tcW w:w="1918" w:type="dxa"/>
          </w:tcPr>
          <w:p w14:paraId="53B38E5A" w14:textId="77777777" w:rsidR="008B6261" w:rsidRDefault="004C6B8B">
            <w:pPr>
              <w:pStyle w:val="TableParagraph"/>
              <w:ind w:left="41" w:right="2"/>
              <w:jc w:val="center"/>
              <w:rPr>
                <w:sz w:val="20"/>
              </w:rPr>
            </w:pPr>
            <w:r>
              <w:rPr>
                <w:spacing w:val="-5"/>
                <w:sz w:val="20"/>
              </w:rPr>
              <w:t>3%</w:t>
            </w:r>
          </w:p>
        </w:tc>
      </w:tr>
      <w:tr w:rsidR="008B6261" w14:paraId="53B38E61" w14:textId="77777777">
        <w:trPr>
          <w:trHeight w:val="349"/>
        </w:trPr>
        <w:tc>
          <w:tcPr>
            <w:tcW w:w="2520" w:type="dxa"/>
          </w:tcPr>
          <w:p w14:paraId="53B38E5C" w14:textId="77777777" w:rsidR="008B6261" w:rsidRDefault="004C6B8B">
            <w:pPr>
              <w:pStyle w:val="TableParagraph"/>
              <w:ind w:left="2" w:right="45"/>
              <w:jc w:val="center"/>
              <w:rPr>
                <w:sz w:val="20"/>
              </w:rPr>
            </w:pPr>
            <w:r>
              <w:rPr>
                <w:spacing w:val="-2"/>
                <w:sz w:val="20"/>
              </w:rPr>
              <w:t>Petechiae</w:t>
            </w:r>
          </w:p>
        </w:tc>
        <w:tc>
          <w:tcPr>
            <w:tcW w:w="1746" w:type="dxa"/>
          </w:tcPr>
          <w:p w14:paraId="53B38E5D" w14:textId="77777777" w:rsidR="008B6261" w:rsidRDefault="004C6B8B">
            <w:pPr>
              <w:pStyle w:val="TableParagraph"/>
              <w:ind w:left="1" w:right="20"/>
              <w:jc w:val="center"/>
              <w:rPr>
                <w:sz w:val="20"/>
              </w:rPr>
            </w:pPr>
            <w:r>
              <w:rPr>
                <w:spacing w:val="-5"/>
                <w:sz w:val="20"/>
              </w:rPr>
              <w:t>3%</w:t>
            </w:r>
          </w:p>
        </w:tc>
        <w:tc>
          <w:tcPr>
            <w:tcW w:w="1072" w:type="dxa"/>
            <w:tcBorders>
              <w:right w:val="single" w:sz="4" w:space="0" w:color="000000"/>
            </w:tcBorders>
          </w:tcPr>
          <w:p w14:paraId="53B38E5E" w14:textId="77777777" w:rsidR="008B6261" w:rsidRDefault="004C6B8B">
            <w:pPr>
              <w:pStyle w:val="TableParagraph"/>
              <w:ind w:left="24"/>
              <w:jc w:val="center"/>
              <w:rPr>
                <w:sz w:val="20"/>
              </w:rPr>
            </w:pPr>
            <w:r>
              <w:rPr>
                <w:spacing w:val="-4"/>
                <w:sz w:val="20"/>
              </w:rPr>
              <w:t>0.3%</w:t>
            </w:r>
          </w:p>
        </w:tc>
        <w:tc>
          <w:tcPr>
            <w:tcW w:w="1772" w:type="dxa"/>
            <w:tcBorders>
              <w:left w:val="single" w:sz="4" w:space="0" w:color="000000"/>
            </w:tcBorders>
          </w:tcPr>
          <w:p w14:paraId="53B38E5F" w14:textId="77777777" w:rsidR="008B6261" w:rsidRDefault="004C6B8B">
            <w:pPr>
              <w:pStyle w:val="TableParagraph"/>
              <w:ind w:left="34"/>
              <w:jc w:val="center"/>
              <w:rPr>
                <w:sz w:val="20"/>
              </w:rPr>
            </w:pPr>
            <w:r>
              <w:rPr>
                <w:spacing w:val="-5"/>
                <w:sz w:val="20"/>
              </w:rPr>
              <w:t>5%</w:t>
            </w:r>
          </w:p>
        </w:tc>
        <w:tc>
          <w:tcPr>
            <w:tcW w:w="1918" w:type="dxa"/>
          </w:tcPr>
          <w:p w14:paraId="53B38E60" w14:textId="77777777" w:rsidR="008B6261" w:rsidRDefault="004C6B8B">
            <w:pPr>
              <w:pStyle w:val="TableParagraph"/>
              <w:ind w:left="41" w:right="3"/>
              <w:jc w:val="center"/>
              <w:rPr>
                <w:sz w:val="20"/>
              </w:rPr>
            </w:pPr>
            <w:r>
              <w:rPr>
                <w:spacing w:val="-4"/>
                <w:sz w:val="20"/>
              </w:rPr>
              <w:t>0.3%</w:t>
            </w:r>
          </w:p>
        </w:tc>
      </w:tr>
      <w:tr w:rsidR="008B6261" w14:paraId="53B38E67" w14:textId="77777777">
        <w:trPr>
          <w:trHeight w:val="350"/>
        </w:trPr>
        <w:tc>
          <w:tcPr>
            <w:tcW w:w="2520" w:type="dxa"/>
          </w:tcPr>
          <w:p w14:paraId="53B38E62" w14:textId="77777777" w:rsidR="008B6261" w:rsidRDefault="004C6B8B">
            <w:pPr>
              <w:pStyle w:val="TableParagraph"/>
              <w:spacing w:before="58"/>
              <w:ind w:left="2" w:right="45"/>
              <w:jc w:val="center"/>
              <w:rPr>
                <w:rFonts w:ascii="Times New Roman" w:hAnsi="Times New Roman"/>
                <w:sz w:val="20"/>
              </w:rPr>
            </w:pPr>
            <w:r>
              <w:rPr>
                <w:sz w:val="20"/>
              </w:rPr>
              <w:t>Abdominal</w:t>
            </w:r>
            <w:r>
              <w:rPr>
                <w:spacing w:val="-11"/>
                <w:sz w:val="20"/>
              </w:rPr>
              <w:t xml:space="preserve"> </w:t>
            </w:r>
            <w:r>
              <w:rPr>
                <w:spacing w:val="-2"/>
                <w:sz w:val="20"/>
              </w:rPr>
              <w:t>pain</w:t>
            </w:r>
            <w:r>
              <w:rPr>
                <w:rFonts w:ascii="Times New Roman" w:hAnsi="Times New Roman"/>
                <w:spacing w:val="-2"/>
                <w:sz w:val="20"/>
                <w:vertAlign w:val="superscript"/>
              </w:rPr>
              <w:t>§</w:t>
            </w:r>
          </w:p>
        </w:tc>
        <w:tc>
          <w:tcPr>
            <w:tcW w:w="1746" w:type="dxa"/>
          </w:tcPr>
          <w:p w14:paraId="53B38E63" w14:textId="77777777" w:rsidR="008B6261" w:rsidRDefault="004C6B8B">
            <w:pPr>
              <w:pStyle w:val="TableParagraph"/>
              <w:spacing w:before="58"/>
              <w:ind w:left="1" w:right="20"/>
              <w:jc w:val="center"/>
              <w:rPr>
                <w:sz w:val="20"/>
              </w:rPr>
            </w:pPr>
            <w:r>
              <w:rPr>
                <w:spacing w:val="-5"/>
                <w:sz w:val="20"/>
              </w:rPr>
              <w:t>4%</w:t>
            </w:r>
          </w:p>
        </w:tc>
        <w:tc>
          <w:tcPr>
            <w:tcW w:w="1072" w:type="dxa"/>
            <w:tcBorders>
              <w:right w:val="single" w:sz="4" w:space="0" w:color="000000"/>
            </w:tcBorders>
          </w:tcPr>
          <w:p w14:paraId="53B38E64" w14:textId="77777777" w:rsidR="008B6261" w:rsidRDefault="004C6B8B">
            <w:pPr>
              <w:pStyle w:val="TableParagraph"/>
              <w:spacing w:before="58"/>
              <w:ind w:left="24" w:right="2"/>
              <w:jc w:val="center"/>
              <w:rPr>
                <w:sz w:val="20"/>
              </w:rPr>
            </w:pPr>
            <w:r>
              <w:rPr>
                <w:spacing w:val="-5"/>
                <w:sz w:val="20"/>
              </w:rPr>
              <w:t>1%</w:t>
            </w:r>
          </w:p>
        </w:tc>
        <w:tc>
          <w:tcPr>
            <w:tcW w:w="1772" w:type="dxa"/>
            <w:tcBorders>
              <w:left w:val="single" w:sz="4" w:space="0" w:color="000000"/>
            </w:tcBorders>
          </w:tcPr>
          <w:p w14:paraId="53B38E65" w14:textId="77777777" w:rsidR="008B6261" w:rsidRDefault="004C6B8B">
            <w:pPr>
              <w:pStyle w:val="TableParagraph"/>
              <w:spacing w:before="58"/>
              <w:ind w:left="34" w:right="1"/>
              <w:jc w:val="center"/>
              <w:rPr>
                <w:sz w:val="20"/>
              </w:rPr>
            </w:pPr>
            <w:r>
              <w:rPr>
                <w:spacing w:val="-5"/>
                <w:sz w:val="20"/>
              </w:rPr>
              <w:t>4%</w:t>
            </w:r>
          </w:p>
        </w:tc>
        <w:tc>
          <w:tcPr>
            <w:tcW w:w="1918" w:type="dxa"/>
          </w:tcPr>
          <w:p w14:paraId="53B38E66" w14:textId="77777777" w:rsidR="008B6261" w:rsidRDefault="004C6B8B">
            <w:pPr>
              <w:pStyle w:val="TableParagraph"/>
              <w:spacing w:before="58"/>
              <w:ind w:left="41" w:right="2"/>
              <w:jc w:val="center"/>
              <w:rPr>
                <w:sz w:val="20"/>
              </w:rPr>
            </w:pPr>
            <w:r>
              <w:rPr>
                <w:spacing w:val="-5"/>
                <w:sz w:val="20"/>
              </w:rPr>
              <w:t>6%</w:t>
            </w:r>
          </w:p>
        </w:tc>
      </w:tr>
      <w:tr w:rsidR="008B6261" w14:paraId="53B38E6D" w14:textId="77777777">
        <w:trPr>
          <w:trHeight w:val="351"/>
        </w:trPr>
        <w:tc>
          <w:tcPr>
            <w:tcW w:w="2520" w:type="dxa"/>
          </w:tcPr>
          <w:p w14:paraId="53B38E68" w14:textId="77777777" w:rsidR="008B6261" w:rsidRDefault="004C6B8B">
            <w:pPr>
              <w:pStyle w:val="TableParagraph"/>
              <w:spacing w:before="61"/>
              <w:ind w:right="45"/>
              <w:jc w:val="center"/>
              <w:rPr>
                <w:rFonts w:ascii="Times New Roman" w:hAnsi="Times New Roman"/>
                <w:sz w:val="20"/>
              </w:rPr>
            </w:pPr>
            <w:r>
              <w:rPr>
                <w:sz w:val="20"/>
              </w:rPr>
              <w:t>ALT</w:t>
            </w:r>
            <w:r>
              <w:rPr>
                <w:spacing w:val="-5"/>
                <w:sz w:val="20"/>
              </w:rPr>
              <w:t xml:space="preserve"> </w:t>
            </w:r>
            <w:r>
              <w:rPr>
                <w:spacing w:val="-2"/>
                <w:sz w:val="20"/>
              </w:rPr>
              <w:t>elevation</w:t>
            </w:r>
            <w:r>
              <w:rPr>
                <w:rFonts w:ascii="Times New Roman" w:hAnsi="Times New Roman"/>
                <w:spacing w:val="-2"/>
                <w:sz w:val="20"/>
                <w:vertAlign w:val="superscript"/>
              </w:rPr>
              <w:t>φ</w:t>
            </w:r>
          </w:p>
        </w:tc>
        <w:tc>
          <w:tcPr>
            <w:tcW w:w="1746" w:type="dxa"/>
          </w:tcPr>
          <w:p w14:paraId="53B38E69" w14:textId="77777777" w:rsidR="008B6261" w:rsidRDefault="004C6B8B">
            <w:pPr>
              <w:pStyle w:val="TableParagraph"/>
              <w:spacing w:before="61"/>
              <w:ind w:left="1" w:right="20"/>
              <w:jc w:val="center"/>
              <w:rPr>
                <w:sz w:val="20"/>
              </w:rPr>
            </w:pPr>
            <w:r>
              <w:rPr>
                <w:spacing w:val="-5"/>
                <w:sz w:val="20"/>
              </w:rPr>
              <w:t>4%</w:t>
            </w:r>
          </w:p>
        </w:tc>
        <w:tc>
          <w:tcPr>
            <w:tcW w:w="1072" w:type="dxa"/>
            <w:tcBorders>
              <w:right w:val="single" w:sz="4" w:space="0" w:color="000000"/>
            </w:tcBorders>
          </w:tcPr>
          <w:p w14:paraId="53B38E6A" w14:textId="77777777" w:rsidR="008B6261" w:rsidRDefault="004C6B8B">
            <w:pPr>
              <w:pStyle w:val="TableParagraph"/>
              <w:spacing w:before="61"/>
              <w:ind w:left="24" w:right="2"/>
              <w:jc w:val="center"/>
              <w:rPr>
                <w:sz w:val="20"/>
              </w:rPr>
            </w:pPr>
            <w:r>
              <w:rPr>
                <w:spacing w:val="-5"/>
                <w:sz w:val="20"/>
              </w:rPr>
              <w:t>2%</w:t>
            </w:r>
          </w:p>
        </w:tc>
        <w:tc>
          <w:tcPr>
            <w:tcW w:w="1772" w:type="dxa"/>
            <w:tcBorders>
              <w:left w:val="single" w:sz="4" w:space="0" w:color="000000"/>
            </w:tcBorders>
          </w:tcPr>
          <w:p w14:paraId="53B38E6B" w14:textId="77777777" w:rsidR="008B6261" w:rsidRDefault="004C6B8B">
            <w:pPr>
              <w:pStyle w:val="TableParagraph"/>
              <w:spacing w:before="61"/>
              <w:ind w:left="34" w:right="1"/>
              <w:jc w:val="center"/>
              <w:rPr>
                <w:sz w:val="20"/>
              </w:rPr>
            </w:pPr>
            <w:r>
              <w:rPr>
                <w:spacing w:val="-5"/>
                <w:sz w:val="20"/>
              </w:rPr>
              <w:t>6%</w:t>
            </w:r>
          </w:p>
        </w:tc>
        <w:tc>
          <w:tcPr>
            <w:tcW w:w="1918" w:type="dxa"/>
          </w:tcPr>
          <w:p w14:paraId="53B38E6C" w14:textId="77777777" w:rsidR="008B6261" w:rsidRDefault="004C6B8B">
            <w:pPr>
              <w:pStyle w:val="TableParagraph"/>
              <w:spacing w:before="61"/>
              <w:ind w:left="41" w:right="2"/>
              <w:jc w:val="center"/>
              <w:rPr>
                <w:sz w:val="20"/>
              </w:rPr>
            </w:pPr>
            <w:r>
              <w:rPr>
                <w:spacing w:val="-5"/>
                <w:sz w:val="20"/>
              </w:rPr>
              <w:t>6%</w:t>
            </w:r>
          </w:p>
        </w:tc>
      </w:tr>
      <w:tr w:rsidR="008B6261" w14:paraId="53B38E73" w14:textId="77777777">
        <w:trPr>
          <w:trHeight w:val="349"/>
        </w:trPr>
        <w:tc>
          <w:tcPr>
            <w:tcW w:w="2520" w:type="dxa"/>
          </w:tcPr>
          <w:p w14:paraId="53B38E6E" w14:textId="77777777" w:rsidR="008B6261" w:rsidRDefault="004C6B8B">
            <w:pPr>
              <w:pStyle w:val="TableParagraph"/>
              <w:ind w:left="2" w:right="45"/>
              <w:jc w:val="center"/>
              <w:rPr>
                <w:sz w:val="20"/>
              </w:rPr>
            </w:pPr>
            <w:r>
              <w:rPr>
                <w:sz w:val="20"/>
              </w:rPr>
              <w:t>Increased</w:t>
            </w:r>
            <w:r>
              <w:rPr>
                <w:spacing w:val="-7"/>
                <w:sz w:val="20"/>
              </w:rPr>
              <w:t xml:space="preserve"> </w:t>
            </w:r>
            <w:r>
              <w:rPr>
                <w:sz w:val="20"/>
              </w:rPr>
              <w:t>tendency</w:t>
            </w:r>
            <w:r>
              <w:rPr>
                <w:spacing w:val="-7"/>
                <w:sz w:val="20"/>
              </w:rPr>
              <w:t xml:space="preserve"> </w:t>
            </w:r>
            <w:r>
              <w:rPr>
                <w:sz w:val="20"/>
              </w:rPr>
              <w:t>to</w:t>
            </w:r>
            <w:r>
              <w:rPr>
                <w:spacing w:val="-6"/>
                <w:sz w:val="20"/>
              </w:rPr>
              <w:t xml:space="preserve"> </w:t>
            </w:r>
            <w:r>
              <w:rPr>
                <w:spacing w:val="-2"/>
                <w:sz w:val="20"/>
              </w:rPr>
              <w:t>bruise</w:t>
            </w:r>
          </w:p>
        </w:tc>
        <w:tc>
          <w:tcPr>
            <w:tcW w:w="1746" w:type="dxa"/>
          </w:tcPr>
          <w:p w14:paraId="53B38E6F" w14:textId="77777777" w:rsidR="008B6261" w:rsidRDefault="004C6B8B">
            <w:pPr>
              <w:pStyle w:val="TableParagraph"/>
              <w:ind w:left="1" w:right="20"/>
              <w:jc w:val="center"/>
              <w:rPr>
                <w:sz w:val="20"/>
              </w:rPr>
            </w:pPr>
            <w:r>
              <w:rPr>
                <w:spacing w:val="-5"/>
                <w:sz w:val="20"/>
              </w:rPr>
              <w:t>1%</w:t>
            </w:r>
          </w:p>
        </w:tc>
        <w:tc>
          <w:tcPr>
            <w:tcW w:w="1072" w:type="dxa"/>
            <w:tcBorders>
              <w:right w:val="single" w:sz="4" w:space="0" w:color="000000"/>
            </w:tcBorders>
          </w:tcPr>
          <w:p w14:paraId="53B38E70" w14:textId="77777777" w:rsidR="008B6261" w:rsidRDefault="004C6B8B">
            <w:pPr>
              <w:pStyle w:val="TableParagraph"/>
              <w:ind w:left="24"/>
              <w:jc w:val="center"/>
              <w:rPr>
                <w:sz w:val="20"/>
              </w:rPr>
            </w:pPr>
            <w:r>
              <w:rPr>
                <w:spacing w:val="-10"/>
                <w:sz w:val="20"/>
              </w:rPr>
              <w:t>0</w:t>
            </w:r>
          </w:p>
        </w:tc>
        <w:tc>
          <w:tcPr>
            <w:tcW w:w="1772" w:type="dxa"/>
            <w:tcBorders>
              <w:left w:val="single" w:sz="4" w:space="0" w:color="000000"/>
            </w:tcBorders>
          </w:tcPr>
          <w:p w14:paraId="53B38E71" w14:textId="77777777" w:rsidR="008B6261" w:rsidRDefault="004C6B8B">
            <w:pPr>
              <w:pStyle w:val="TableParagraph"/>
              <w:ind w:left="34" w:right="1"/>
              <w:jc w:val="center"/>
              <w:rPr>
                <w:sz w:val="20"/>
              </w:rPr>
            </w:pPr>
            <w:r>
              <w:rPr>
                <w:spacing w:val="-5"/>
                <w:sz w:val="20"/>
              </w:rPr>
              <w:t>2%</w:t>
            </w:r>
          </w:p>
        </w:tc>
        <w:tc>
          <w:tcPr>
            <w:tcW w:w="1918" w:type="dxa"/>
          </w:tcPr>
          <w:p w14:paraId="53B38E72" w14:textId="77777777" w:rsidR="008B6261" w:rsidRDefault="004C6B8B">
            <w:pPr>
              <w:pStyle w:val="TableParagraph"/>
              <w:ind w:left="41" w:right="4"/>
              <w:jc w:val="center"/>
              <w:rPr>
                <w:sz w:val="20"/>
              </w:rPr>
            </w:pPr>
            <w:r>
              <w:rPr>
                <w:spacing w:val="-4"/>
                <w:sz w:val="20"/>
              </w:rPr>
              <w:t>0.3%</w:t>
            </w:r>
          </w:p>
        </w:tc>
      </w:tr>
      <w:tr w:rsidR="008B6261" w14:paraId="53B38E79" w14:textId="77777777">
        <w:trPr>
          <w:trHeight w:val="348"/>
        </w:trPr>
        <w:tc>
          <w:tcPr>
            <w:tcW w:w="2520" w:type="dxa"/>
            <w:tcBorders>
              <w:bottom w:val="single" w:sz="12" w:space="0" w:color="000000"/>
            </w:tcBorders>
          </w:tcPr>
          <w:p w14:paraId="53B38E74" w14:textId="77777777" w:rsidR="008B6261" w:rsidRDefault="004C6B8B">
            <w:pPr>
              <w:pStyle w:val="TableParagraph"/>
              <w:spacing w:before="58"/>
              <w:ind w:left="2" w:right="45"/>
              <w:jc w:val="center"/>
              <w:rPr>
                <w:sz w:val="20"/>
              </w:rPr>
            </w:pPr>
            <w:r>
              <w:rPr>
                <w:sz w:val="20"/>
              </w:rPr>
              <w:t>Heavy</w:t>
            </w:r>
            <w:r>
              <w:rPr>
                <w:spacing w:val="-9"/>
                <w:sz w:val="20"/>
              </w:rPr>
              <w:t xml:space="preserve"> </w:t>
            </w:r>
            <w:r>
              <w:rPr>
                <w:sz w:val="20"/>
              </w:rPr>
              <w:t>menstrual</w:t>
            </w:r>
            <w:r>
              <w:rPr>
                <w:spacing w:val="-8"/>
                <w:sz w:val="20"/>
              </w:rPr>
              <w:t xml:space="preserve"> </w:t>
            </w:r>
            <w:r>
              <w:rPr>
                <w:spacing w:val="-2"/>
                <w:sz w:val="20"/>
              </w:rPr>
              <w:t>bleeding</w:t>
            </w:r>
          </w:p>
        </w:tc>
        <w:tc>
          <w:tcPr>
            <w:tcW w:w="1746" w:type="dxa"/>
            <w:tcBorders>
              <w:bottom w:val="single" w:sz="12" w:space="0" w:color="000000"/>
            </w:tcBorders>
          </w:tcPr>
          <w:p w14:paraId="53B38E75" w14:textId="77777777" w:rsidR="008B6261" w:rsidRDefault="004C6B8B">
            <w:pPr>
              <w:pStyle w:val="TableParagraph"/>
              <w:spacing w:before="58"/>
              <w:ind w:left="1" w:right="20"/>
              <w:jc w:val="center"/>
              <w:rPr>
                <w:sz w:val="20"/>
              </w:rPr>
            </w:pPr>
            <w:r>
              <w:rPr>
                <w:spacing w:val="-5"/>
                <w:sz w:val="20"/>
              </w:rPr>
              <w:t>1%</w:t>
            </w:r>
          </w:p>
        </w:tc>
        <w:tc>
          <w:tcPr>
            <w:tcW w:w="1072" w:type="dxa"/>
            <w:tcBorders>
              <w:bottom w:val="single" w:sz="12" w:space="0" w:color="000000"/>
              <w:right w:val="single" w:sz="4" w:space="0" w:color="000000"/>
            </w:tcBorders>
          </w:tcPr>
          <w:p w14:paraId="53B38E76" w14:textId="77777777" w:rsidR="008B6261" w:rsidRDefault="004C6B8B">
            <w:pPr>
              <w:pStyle w:val="TableParagraph"/>
              <w:spacing w:before="58"/>
              <w:ind w:left="24"/>
              <w:jc w:val="center"/>
              <w:rPr>
                <w:sz w:val="20"/>
              </w:rPr>
            </w:pPr>
            <w:r>
              <w:rPr>
                <w:spacing w:val="-4"/>
                <w:sz w:val="20"/>
              </w:rPr>
              <w:t>0.3%</w:t>
            </w:r>
          </w:p>
        </w:tc>
        <w:tc>
          <w:tcPr>
            <w:tcW w:w="1772" w:type="dxa"/>
            <w:tcBorders>
              <w:left w:val="single" w:sz="4" w:space="0" w:color="000000"/>
              <w:bottom w:val="single" w:sz="12" w:space="0" w:color="000000"/>
            </w:tcBorders>
          </w:tcPr>
          <w:p w14:paraId="53B38E77" w14:textId="77777777" w:rsidR="008B6261" w:rsidRDefault="004C6B8B">
            <w:pPr>
              <w:pStyle w:val="TableParagraph"/>
              <w:spacing w:before="58"/>
              <w:ind w:left="34"/>
              <w:jc w:val="center"/>
              <w:rPr>
                <w:sz w:val="20"/>
              </w:rPr>
            </w:pPr>
            <w:r>
              <w:rPr>
                <w:spacing w:val="-5"/>
                <w:sz w:val="20"/>
              </w:rPr>
              <w:t>3%</w:t>
            </w:r>
          </w:p>
        </w:tc>
        <w:tc>
          <w:tcPr>
            <w:tcW w:w="1918" w:type="dxa"/>
            <w:tcBorders>
              <w:bottom w:val="single" w:sz="12" w:space="0" w:color="000000"/>
            </w:tcBorders>
          </w:tcPr>
          <w:p w14:paraId="53B38E78" w14:textId="77777777" w:rsidR="008B6261" w:rsidRDefault="004C6B8B">
            <w:pPr>
              <w:pStyle w:val="TableParagraph"/>
              <w:spacing w:before="58"/>
              <w:ind w:left="41" w:right="1"/>
              <w:jc w:val="center"/>
              <w:rPr>
                <w:sz w:val="20"/>
              </w:rPr>
            </w:pPr>
            <w:r>
              <w:rPr>
                <w:spacing w:val="-5"/>
                <w:sz w:val="20"/>
              </w:rPr>
              <w:t>1%</w:t>
            </w:r>
          </w:p>
        </w:tc>
      </w:tr>
    </w:tbl>
    <w:p w14:paraId="53B38E7A" w14:textId="77777777" w:rsidR="008B6261" w:rsidRDefault="004C6B8B">
      <w:pPr>
        <w:spacing w:before="74"/>
        <w:ind w:left="131"/>
        <w:rPr>
          <w:rFonts w:ascii="Arial Narrow"/>
          <w:sz w:val="20"/>
        </w:rPr>
      </w:pPr>
      <w:r>
        <w:rPr>
          <w:rFonts w:ascii="Arial Narrow"/>
          <w:sz w:val="20"/>
        </w:rPr>
        <w:t>*</w:t>
      </w:r>
      <w:r>
        <w:rPr>
          <w:rFonts w:ascii="Arial Narrow"/>
          <w:spacing w:val="-7"/>
          <w:sz w:val="20"/>
        </w:rPr>
        <w:t xml:space="preserve"> </w:t>
      </w:r>
      <w:r>
        <w:rPr>
          <w:rFonts w:ascii="Arial Narrow"/>
          <w:sz w:val="20"/>
        </w:rPr>
        <w:t>COVID-19</w:t>
      </w:r>
      <w:r>
        <w:rPr>
          <w:rFonts w:ascii="Arial Narrow"/>
          <w:spacing w:val="-8"/>
          <w:sz w:val="20"/>
        </w:rPr>
        <w:t xml:space="preserve"> </w:t>
      </w:r>
      <w:r>
        <w:rPr>
          <w:rFonts w:ascii="Arial Narrow"/>
          <w:sz w:val="20"/>
        </w:rPr>
        <w:t>includes</w:t>
      </w:r>
      <w:r>
        <w:rPr>
          <w:rFonts w:ascii="Arial Narrow"/>
          <w:spacing w:val="-9"/>
          <w:sz w:val="20"/>
        </w:rPr>
        <w:t xml:space="preserve"> </w:t>
      </w:r>
      <w:r>
        <w:rPr>
          <w:rFonts w:ascii="Arial Narrow"/>
          <w:sz w:val="20"/>
        </w:rPr>
        <w:t>preferred</w:t>
      </w:r>
      <w:r>
        <w:rPr>
          <w:rFonts w:ascii="Arial Narrow"/>
          <w:spacing w:val="-7"/>
          <w:sz w:val="20"/>
        </w:rPr>
        <w:t xml:space="preserve"> </w:t>
      </w:r>
      <w:r>
        <w:rPr>
          <w:rFonts w:ascii="Arial Narrow"/>
          <w:sz w:val="20"/>
        </w:rPr>
        <w:t>terms</w:t>
      </w:r>
      <w:r>
        <w:rPr>
          <w:rFonts w:ascii="Arial Narrow"/>
          <w:spacing w:val="-9"/>
          <w:sz w:val="20"/>
        </w:rPr>
        <w:t xml:space="preserve"> </w:t>
      </w:r>
      <w:r>
        <w:rPr>
          <w:rFonts w:ascii="Arial Narrow"/>
          <w:sz w:val="20"/>
        </w:rPr>
        <w:t>COVID-19,</w:t>
      </w:r>
      <w:r>
        <w:rPr>
          <w:rFonts w:ascii="Arial Narrow"/>
          <w:spacing w:val="-8"/>
          <w:sz w:val="20"/>
        </w:rPr>
        <w:t xml:space="preserve"> </w:t>
      </w:r>
      <w:r>
        <w:rPr>
          <w:rFonts w:ascii="Arial Narrow"/>
          <w:sz w:val="20"/>
        </w:rPr>
        <w:t>COVID-19</w:t>
      </w:r>
      <w:r>
        <w:rPr>
          <w:rFonts w:ascii="Arial Narrow"/>
          <w:spacing w:val="-8"/>
          <w:sz w:val="20"/>
        </w:rPr>
        <w:t xml:space="preserve"> </w:t>
      </w:r>
      <w:r>
        <w:rPr>
          <w:rFonts w:ascii="Arial Narrow"/>
          <w:sz w:val="20"/>
        </w:rPr>
        <w:t>pneumonia,</w:t>
      </w:r>
      <w:r>
        <w:rPr>
          <w:rFonts w:ascii="Arial Narrow"/>
          <w:spacing w:val="-7"/>
          <w:sz w:val="20"/>
        </w:rPr>
        <w:t xml:space="preserve"> </w:t>
      </w:r>
      <w:r>
        <w:rPr>
          <w:rFonts w:ascii="Arial Narrow"/>
          <w:sz w:val="20"/>
        </w:rPr>
        <w:t>suspected</w:t>
      </w:r>
      <w:r>
        <w:rPr>
          <w:rFonts w:ascii="Arial Narrow"/>
          <w:spacing w:val="-8"/>
          <w:sz w:val="20"/>
        </w:rPr>
        <w:t xml:space="preserve"> </w:t>
      </w:r>
      <w:r>
        <w:rPr>
          <w:rFonts w:ascii="Arial Narrow"/>
          <w:sz w:val="20"/>
        </w:rPr>
        <w:t>COVID-19,</w:t>
      </w:r>
      <w:r>
        <w:rPr>
          <w:rFonts w:ascii="Arial Narrow"/>
          <w:spacing w:val="-8"/>
          <w:sz w:val="20"/>
        </w:rPr>
        <w:t xml:space="preserve"> </w:t>
      </w:r>
      <w:r>
        <w:rPr>
          <w:rFonts w:ascii="Arial Narrow"/>
          <w:sz w:val="20"/>
        </w:rPr>
        <w:t>coronavirus</w:t>
      </w:r>
      <w:r>
        <w:rPr>
          <w:rFonts w:ascii="Arial Narrow"/>
          <w:spacing w:val="-8"/>
          <w:sz w:val="20"/>
        </w:rPr>
        <w:t xml:space="preserve"> </w:t>
      </w:r>
      <w:r>
        <w:rPr>
          <w:rFonts w:ascii="Arial Narrow"/>
          <w:sz w:val="20"/>
        </w:rPr>
        <w:t>infection,</w:t>
      </w:r>
      <w:r>
        <w:rPr>
          <w:rFonts w:ascii="Arial Narrow"/>
          <w:spacing w:val="-8"/>
          <w:sz w:val="20"/>
        </w:rPr>
        <w:t xml:space="preserve"> </w:t>
      </w:r>
      <w:r>
        <w:rPr>
          <w:rFonts w:ascii="Arial Narrow"/>
          <w:spacing w:val="-5"/>
          <w:sz w:val="20"/>
        </w:rPr>
        <w:t>and</w:t>
      </w:r>
    </w:p>
    <w:p w14:paraId="53B38E7B" w14:textId="77777777" w:rsidR="008B6261" w:rsidRDefault="004C6B8B">
      <w:pPr>
        <w:spacing w:before="1"/>
        <w:ind w:left="130"/>
        <w:rPr>
          <w:rFonts w:ascii="Arial Narrow"/>
          <w:sz w:val="20"/>
        </w:rPr>
      </w:pPr>
      <w:r>
        <w:rPr>
          <w:rFonts w:ascii="Arial Narrow"/>
          <w:sz w:val="20"/>
        </w:rPr>
        <w:t>post-acute</w:t>
      </w:r>
      <w:r>
        <w:rPr>
          <w:rFonts w:ascii="Arial Narrow"/>
          <w:spacing w:val="-7"/>
          <w:sz w:val="20"/>
        </w:rPr>
        <w:t xml:space="preserve"> </w:t>
      </w:r>
      <w:r>
        <w:rPr>
          <w:rFonts w:ascii="Arial Narrow"/>
          <w:sz w:val="20"/>
        </w:rPr>
        <w:t>COVID-19</w:t>
      </w:r>
      <w:r>
        <w:rPr>
          <w:rFonts w:ascii="Arial Narrow"/>
          <w:spacing w:val="-7"/>
          <w:sz w:val="20"/>
        </w:rPr>
        <w:t xml:space="preserve"> </w:t>
      </w:r>
      <w:r>
        <w:rPr>
          <w:rFonts w:ascii="Arial Narrow"/>
          <w:sz w:val="20"/>
        </w:rPr>
        <w:t>syndrome.</w:t>
      </w:r>
      <w:r>
        <w:rPr>
          <w:rFonts w:ascii="Arial Narrow"/>
          <w:spacing w:val="-6"/>
          <w:sz w:val="20"/>
        </w:rPr>
        <w:t xml:space="preserve"> </w:t>
      </w:r>
      <w:r>
        <w:rPr>
          <w:rFonts w:ascii="Arial Narrow"/>
          <w:sz w:val="20"/>
        </w:rPr>
        <w:t>The</w:t>
      </w:r>
      <w:r>
        <w:rPr>
          <w:rFonts w:ascii="Arial Narrow"/>
          <w:spacing w:val="-7"/>
          <w:sz w:val="20"/>
        </w:rPr>
        <w:t xml:space="preserve"> </w:t>
      </w:r>
      <w:r>
        <w:rPr>
          <w:rFonts w:ascii="Arial Narrow"/>
          <w:sz w:val="20"/>
        </w:rPr>
        <w:t>studies</w:t>
      </w:r>
      <w:r>
        <w:rPr>
          <w:rFonts w:ascii="Arial Narrow"/>
          <w:spacing w:val="-8"/>
          <w:sz w:val="20"/>
        </w:rPr>
        <w:t xml:space="preserve"> </w:t>
      </w:r>
      <w:r>
        <w:rPr>
          <w:rFonts w:ascii="Arial Narrow"/>
          <w:sz w:val="20"/>
        </w:rPr>
        <w:t>were</w:t>
      </w:r>
      <w:r>
        <w:rPr>
          <w:rFonts w:ascii="Arial Narrow"/>
          <w:spacing w:val="-6"/>
          <w:sz w:val="20"/>
        </w:rPr>
        <w:t xml:space="preserve"> </w:t>
      </w:r>
      <w:r>
        <w:rPr>
          <w:rFonts w:ascii="Arial Narrow"/>
          <w:sz w:val="20"/>
        </w:rPr>
        <w:t>conducted</w:t>
      </w:r>
      <w:r>
        <w:rPr>
          <w:rFonts w:ascii="Arial Narrow"/>
          <w:spacing w:val="-7"/>
          <w:sz w:val="20"/>
        </w:rPr>
        <w:t xml:space="preserve"> </w:t>
      </w:r>
      <w:r>
        <w:rPr>
          <w:rFonts w:ascii="Arial Narrow"/>
          <w:sz w:val="20"/>
        </w:rPr>
        <w:t>during</w:t>
      </w:r>
      <w:r>
        <w:rPr>
          <w:rFonts w:ascii="Arial Narrow"/>
          <w:spacing w:val="-7"/>
          <w:sz w:val="20"/>
        </w:rPr>
        <w:t xml:space="preserve"> </w:t>
      </w:r>
      <w:r>
        <w:rPr>
          <w:rFonts w:ascii="Arial Narrow"/>
          <w:sz w:val="20"/>
        </w:rPr>
        <w:t>the</w:t>
      </w:r>
      <w:r>
        <w:rPr>
          <w:rFonts w:ascii="Arial Narrow"/>
          <w:spacing w:val="-6"/>
          <w:sz w:val="20"/>
        </w:rPr>
        <w:t xml:space="preserve"> </w:t>
      </w:r>
      <w:r>
        <w:rPr>
          <w:rFonts w:ascii="Arial Narrow"/>
          <w:sz w:val="20"/>
        </w:rPr>
        <w:t>COVID-19</w:t>
      </w:r>
      <w:r>
        <w:rPr>
          <w:rFonts w:ascii="Arial Narrow"/>
          <w:spacing w:val="-7"/>
          <w:sz w:val="20"/>
        </w:rPr>
        <w:t xml:space="preserve"> </w:t>
      </w:r>
      <w:r>
        <w:rPr>
          <w:rFonts w:ascii="Arial Narrow"/>
          <w:spacing w:val="-2"/>
          <w:sz w:val="20"/>
        </w:rPr>
        <w:t>pandemic.</w:t>
      </w:r>
    </w:p>
    <w:p w14:paraId="53B38E7C" w14:textId="77777777" w:rsidR="008B6261" w:rsidRDefault="004C6B8B">
      <w:pPr>
        <w:spacing w:before="61"/>
        <w:ind w:left="131" w:right="567" w:hanging="1"/>
        <w:rPr>
          <w:rFonts w:ascii="Arial Narrow" w:hAnsi="Arial Narrow"/>
          <w:sz w:val="20"/>
        </w:rPr>
      </w:pPr>
      <w:r>
        <w:rPr>
          <w:sz w:val="20"/>
          <w:vertAlign w:val="superscript"/>
        </w:rPr>
        <w:t>δ</w:t>
      </w:r>
      <w:r>
        <w:rPr>
          <w:sz w:val="20"/>
        </w:rPr>
        <w:t xml:space="preserve"> </w:t>
      </w:r>
      <w:r>
        <w:rPr>
          <w:rFonts w:ascii="Arial Narrow" w:hAnsi="Arial Narrow"/>
          <w:sz w:val="20"/>
        </w:rPr>
        <w:t>Upper respiratory tract infections include preferred terms acute sinusitis, sinusitis, tonsillitis, chronic tonsillitis, nasopharyngitis,</w:t>
      </w:r>
      <w:r>
        <w:rPr>
          <w:rFonts w:ascii="Arial Narrow" w:hAnsi="Arial Narrow"/>
          <w:spacing w:val="-5"/>
          <w:sz w:val="20"/>
        </w:rPr>
        <w:t xml:space="preserve"> </w:t>
      </w:r>
      <w:r>
        <w:rPr>
          <w:rFonts w:ascii="Arial Narrow" w:hAnsi="Arial Narrow"/>
          <w:sz w:val="20"/>
        </w:rPr>
        <w:t>pharyngitis,</w:t>
      </w:r>
      <w:r>
        <w:rPr>
          <w:rFonts w:ascii="Arial Narrow" w:hAnsi="Arial Narrow"/>
          <w:spacing w:val="-5"/>
          <w:sz w:val="20"/>
        </w:rPr>
        <w:t xml:space="preserve"> </w:t>
      </w:r>
      <w:r>
        <w:rPr>
          <w:rFonts w:ascii="Arial Narrow" w:hAnsi="Arial Narrow"/>
          <w:sz w:val="20"/>
        </w:rPr>
        <w:t>laryngitis,</w:t>
      </w:r>
      <w:r>
        <w:rPr>
          <w:rFonts w:ascii="Arial Narrow" w:hAnsi="Arial Narrow"/>
          <w:spacing w:val="-5"/>
          <w:sz w:val="20"/>
        </w:rPr>
        <w:t xml:space="preserve"> </w:t>
      </w:r>
      <w:r>
        <w:rPr>
          <w:rFonts w:ascii="Arial Narrow" w:hAnsi="Arial Narrow"/>
          <w:sz w:val="20"/>
        </w:rPr>
        <w:t>laryngopharyngitis,</w:t>
      </w:r>
      <w:r>
        <w:rPr>
          <w:rFonts w:ascii="Arial Narrow" w:hAnsi="Arial Narrow"/>
          <w:spacing w:val="-5"/>
          <w:sz w:val="20"/>
        </w:rPr>
        <w:t xml:space="preserve"> </w:t>
      </w:r>
      <w:r>
        <w:rPr>
          <w:rFonts w:ascii="Arial Narrow" w:hAnsi="Arial Narrow"/>
          <w:sz w:val="20"/>
        </w:rPr>
        <w:t>pharyngotonsillitis,</w:t>
      </w:r>
      <w:r>
        <w:rPr>
          <w:rFonts w:ascii="Arial Narrow" w:hAnsi="Arial Narrow"/>
          <w:spacing w:val="-5"/>
          <w:sz w:val="20"/>
        </w:rPr>
        <w:t xml:space="preserve"> </w:t>
      </w:r>
      <w:r>
        <w:rPr>
          <w:rFonts w:ascii="Arial Narrow" w:hAnsi="Arial Narrow"/>
          <w:sz w:val="20"/>
        </w:rPr>
        <w:t>rhinitis,</w:t>
      </w:r>
      <w:r>
        <w:rPr>
          <w:rFonts w:ascii="Arial Narrow" w:hAnsi="Arial Narrow"/>
          <w:spacing w:val="-5"/>
          <w:sz w:val="20"/>
        </w:rPr>
        <w:t xml:space="preserve"> </w:t>
      </w:r>
      <w:r>
        <w:rPr>
          <w:rFonts w:ascii="Arial Narrow" w:hAnsi="Arial Narrow"/>
          <w:sz w:val="20"/>
        </w:rPr>
        <w:t>tracheitis,</w:t>
      </w:r>
      <w:r>
        <w:rPr>
          <w:rFonts w:ascii="Arial Narrow" w:hAnsi="Arial Narrow"/>
          <w:spacing w:val="-5"/>
          <w:sz w:val="20"/>
        </w:rPr>
        <w:t xml:space="preserve"> </w:t>
      </w:r>
      <w:r>
        <w:rPr>
          <w:rFonts w:ascii="Arial Narrow" w:hAnsi="Arial Narrow"/>
          <w:sz w:val="20"/>
        </w:rPr>
        <w:t>chronic</w:t>
      </w:r>
      <w:r>
        <w:rPr>
          <w:rFonts w:ascii="Arial Narrow" w:hAnsi="Arial Narrow"/>
          <w:spacing w:val="-6"/>
          <w:sz w:val="20"/>
        </w:rPr>
        <w:t xml:space="preserve"> </w:t>
      </w:r>
      <w:r>
        <w:rPr>
          <w:rFonts w:ascii="Arial Narrow" w:hAnsi="Arial Narrow"/>
          <w:sz w:val="20"/>
        </w:rPr>
        <w:t>sinusitis,</w:t>
      </w:r>
      <w:r>
        <w:rPr>
          <w:rFonts w:ascii="Arial Narrow" w:hAnsi="Arial Narrow"/>
          <w:spacing w:val="-3"/>
          <w:sz w:val="20"/>
        </w:rPr>
        <w:t xml:space="preserve"> </w:t>
      </w:r>
      <w:r>
        <w:rPr>
          <w:rFonts w:ascii="Arial Narrow" w:hAnsi="Arial Narrow"/>
          <w:sz w:val="20"/>
        </w:rPr>
        <w:t xml:space="preserve">croup </w:t>
      </w:r>
      <w:r>
        <w:rPr>
          <w:rFonts w:ascii="Arial Narrow" w:hAnsi="Arial Narrow"/>
          <w:spacing w:val="-2"/>
          <w:sz w:val="20"/>
        </w:rPr>
        <w:t>infections</w:t>
      </w:r>
    </w:p>
    <w:p w14:paraId="53B38E7D" w14:textId="77777777" w:rsidR="008B6261" w:rsidRDefault="004C6B8B">
      <w:pPr>
        <w:spacing w:before="59"/>
        <w:ind w:left="131" w:right="567" w:hanging="1"/>
        <w:rPr>
          <w:rFonts w:ascii="Arial Narrow" w:hAnsi="Arial Narrow"/>
          <w:sz w:val="20"/>
        </w:rPr>
      </w:pPr>
      <w:r>
        <w:rPr>
          <w:sz w:val="20"/>
          <w:vertAlign w:val="superscript"/>
        </w:rPr>
        <w:t>τ</w:t>
      </w:r>
      <w:r>
        <w:rPr>
          <w:spacing w:val="-7"/>
          <w:sz w:val="20"/>
        </w:rPr>
        <w:t xml:space="preserve"> </w:t>
      </w:r>
      <w:r>
        <w:rPr>
          <w:rFonts w:ascii="Arial Narrow" w:hAnsi="Arial Narrow"/>
          <w:sz w:val="20"/>
        </w:rPr>
        <w:t>Lower</w:t>
      </w:r>
      <w:r>
        <w:rPr>
          <w:rFonts w:ascii="Arial Narrow" w:hAnsi="Arial Narrow"/>
          <w:spacing w:val="-3"/>
          <w:sz w:val="20"/>
        </w:rPr>
        <w:t xml:space="preserve"> </w:t>
      </w:r>
      <w:r>
        <w:rPr>
          <w:rFonts w:ascii="Arial Narrow" w:hAnsi="Arial Narrow"/>
          <w:sz w:val="20"/>
        </w:rPr>
        <w:t>respiratory</w:t>
      </w:r>
      <w:r>
        <w:rPr>
          <w:rFonts w:ascii="Arial Narrow" w:hAnsi="Arial Narrow"/>
          <w:spacing w:val="-4"/>
          <w:sz w:val="20"/>
        </w:rPr>
        <w:t xml:space="preserve"> </w:t>
      </w:r>
      <w:r>
        <w:rPr>
          <w:rFonts w:ascii="Arial Narrow" w:hAnsi="Arial Narrow"/>
          <w:sz w:val="20"/>
        </w:rPr>
        <w:t>tract</w:t>
      </w:r>
      <w:r>
        <w:rPr>
          <w:rFonts w:ascii="Arial Narrow" w:hAnsi="Arial Narrow"/>
          <w:spacing w:val="-3"/>
          <w:sz w:val="20"/>
        </w:rPr>
        <w:t xml:space="preserve"> </w:t>
      </w:r>
      <w:r>
        <w:rPr>
          <w:rFonts w:ascii="Arial Narrow" w:hAnsi="Arial Narrow"/>
          <w:sz w:val="20"/>
        </w:rPr>
        <w:t>and</w:t>
      </w:r>
      <w:r>
        <w:rPr>
          <w:rFonts w:ascii="Arial Narrow" w:hAnsi="Arial Narrow"/>
          <w:spacing w:val="-3"/>
          <w:sz w:val="20"/>
        </w:rPr>
        <w:t xml:space="preserve"> </w:t>
      </w:r>
      <w:r>
        <w:rPr>
          <w:rFonts w:ascii="Arial Narrow" w:hAnsi="Arial Narrow"/>
          <w:sz w:val="20"/>
        </w:rPr>
        <w:t>lung</w:t>
      </w:r>
      <w:r>
        <w:rPr>
          <w:rFonts w:ascii="Arial Narrow" w:hAnsi="Arial Narrow"/>
          <w:spacing w:val="-3"/>
          <w:sz w:val="20"/>
        </w:rPr>
        <w:t xml:space="preserve"> </w:t>
      </w:r>
      <w:r>
        <w:rPr>
          <w:rFonts w:ascii="Arial Narrow" w:hAnsi="Arial Narrow"/>
          <w:sz w:val="20"/>
        </w:rPr>
        <w:t>infections</w:t>
      </w:r>
      <w:r>
        <w:rPr>
          <w:rFonts w:ascii="Arial Narrow" w:hAnsi="Arial Narrow"/>
          <w:spacing w:val="-4"/>
          <w:sz w:val="20"/>
        </w:rPr>
        <w:t xml:space="preserve"> </w:t>
      </w:r>
      <w:r>
        <w:rPr>
          <w:rFonts w:ascii="Arial Narrow" w:hAnsi="Arial Narrow"/>
          <w:sz w:val="20"/>
        </w:rPr>
        <w:t>include</w:t>
      </w:r>
      <w:r>
        <w:rPr>
          <w:rFonts w:ascii="Arial Narrow" w:hAnsi="Arial Narrow"/>
          <w:spacing w:val="-3"/>
          <w:sz w:val="20"/>
        </w:rPr>
        <w:t xml:space="preserve"> </w:t>
      </w:r>
      <w:r>
        <w:rPr>
          <w:rFonts w:ascii="Arial Narrow" w:hAnsi="Arial Narrow"/>
          <w:sz w:val="20"/>
        </w:rPr>
        <w:t>preferred</w:t>
      </w:r>
      <w:r>
        <w:rPr>
          <w:rFonts w:ascii="Arial Narrow" w:hAnsi="Arial Narrow"/>
          <w:spacing w:val="-3"/>
          <w:sz w:val="20"/>
        </w:rPr>
        <w:t xml:space="preserve"> </w:t>
      </w:r>
      <w:r>
        <w:rPr>
          <w:rFonts w:ascii="Arial Narrow" w:hAnsi="Arial Narrow"/>
          <w:sz w:val="20"/>
        </w:rPr>
        <w:t>terms</w:t>
      </w:r>
      <w:r>
        <w:rPr>
          <w:rFonts w:ascii="Arial Narrow" w:hAnsi="Arial Narrow"/>
          <w:spacing w:val="-4"/>
          <w:sz w:val="20"/>
        </w:rPr>
        <w:t xml:space="preserve"> </w:t>
      </w:r>
      <w:r>
        <w:rPr>
          <w:rFonts w:ascii="Arial Narrow" w:hAnsi="Arial Narrow"/>
          <w:sz w:val="20"/>
        </w:rPr>
        <w:t>bronchitis,</w:t>
      </w:r>
      <w:r>
        <w:rPr>
          <w:rFonts w:ascii="Arial Narrow" w:hAnsi="Arial Narrow"/>
          <w:spacing w:val="-3"/>
          <w:sz w:val="20"/>
        </w:rPr>
        <w:t xml:space="preserve"> </w:t>
      </w:r>
      <w:r>
        <w:rPr>
          <w:rFonts w:ascii="Arial Narrow" w:hAnsi="Arial Narrow"/>
          <w:sz w:val="20"/>
        </w:rPr>
        <w:t>pneumonia,</w:t>
      </w:r>
      <w:r>
        <w:rPr>
          <w:rFonts w:ascii="Arial Narrow" w:hAnsi="Arial Narrow"/>
          <w:spacing w:val="-3"/>
          <w:sz w:val="20"/>
        </w:rPr>
        <w:t xml:space="preserve"> </w:t>
      </w:r>
      <w:r>
        <w:rPr>
          <w:rFonts w:ascii="Arial Narrow" w:hAnsi="Arial Narrow"/>
          <w:sz w:val="20"/>
        </w:rPr>
        <w:t>pleural</w:t>
      </w:r>
      <w:r>
        <w:rPr>
          <w:rFonts w:ascii="Arial Narrow" w:hAnsi="Arial Narrow"/>
          <w:spacing w:val="-4"/>
          <w:sz w:val="20"/>
        </w:rPr>
        <w:t xml:space="preserve"> </w:t>
      </w:r>
      <w:r>
        <w:rPr>
          <w:rFonts w:ascii="Arial Narrow" w:hAnsi="Arial Narrow"/>
          <w:sz w:val="20"/>
        </w:rPr>
        <w:t>infection,</w:t>
      </w:r>
      <w:r>
        <w:rPr>
          <w:rFonts w:ascii="Arial Narrow" w:hAnsi="Arial Narrow"/>
          <w:spacing w:val="-3"/>
          <w:sz w:val="20"/>
        </w:rPr>
        <w:t xml:space="preserve"> </w:t>
      </w:r>
      <w:r>
        <w:rPr>
          <w:rFonts w:ascii="Arial Narrow" w:hAnsi="Arial Narrow"/>
          <w:sz w:val="20"/>
        </w:rPr>
        <w:t>pneumonia aspiration, and lower respiratory tract infection.</w:t>
      </w:r>
    </w:p>
    <w:p w14:paraId="53B38E7E" w14:textId="77777777" w:rsidR="008B6261" w:rsidRDefault="004C6B8B">
      <w:pPr>
        <w:spacing w:before="61"/>
        <w:ind w:left="131" w:right="567" w:hanging="1"/>
        <w:rPr>
          <w:rFonts w:ascii="Arial Narrow" w:hAnsi="Arial Narrow"/>
          <w:sz w:val="20"/>
        </w:rPr>
      </w:pPr>
      <w:r>
        <w:rPr>
          <w:sz w:val="20"/>
          <w:vertAlign w:val="superscript"/>
        </w:rPr>
        <w:t>§</w:t>
      </w:r>
      <w:r>
        <w:rPr>
          <w:spacing w:val="-7"/>
          <w:sz w:val="20"/>
        </w:rPr>
        <w:t xml:space="preserve"> </w:t>
      </w:r>
      <w:r>
        <w:rPr>
          <w:rFonts w:ascii="Arial Narrow" w:hAnsi="Arial Narrow"/>
          <w:sz w:val="20"/>
        </w:rPr>
        <w:t>Abdominal</w:t>
      </w:r>
      <w:r>
        <w:rPr>
          <w:rFonts w:ascii="Arial Narrow" w:hAnsi="Arial Narrow"/>
          <w:spacing w:val="-3"/>
          <w:sz w:val="20"/>
        </w:rPr>
        <w:t xml:space="preserve"> </w:t>
      </w:r>
      <w:r>
        <w:rPr>
          <w:rFonts w:ascii="Arial Narrow" w:hAnsi="Arial Narrow"/>
          <w:sz w:val="20"/>
        </w:rPr>
        <w:t>pain</w:t>
      </w:r>
      <w:r>
        <w:rPr>
          <w:rFonts w:ascii="Arial Narrow" w:hAnsi="Arial Narrow"/>
          <w:spacing w:val="-2"/>
          <w:sz w:val="20"/>
        </w:rPr>
        <w:t xml:space="preserve"> </w:t>
      </w:r>
      <w:r>
        <w:rPr>
          <w:rFonts w:ascii="Arial Narrow" w:hAnsi="Arial Narrow"/>
          <w:sz w:val="20"/>
        </w:rPr>
        <w:t>includes</w:t>
      </w:r>
      <w:r>
        <w:rPr>
          <w:rFonts w:ascii="Arial Narrow" w:hAnsi="Arial Narrow"/>
          <w:spacing w:val="-3"/>
          <w:sz w:val="20"/>
        </w:rPr>
        <w:t xml:space="preserve"> </w:t>
      </w:r>
      <w:r>
        <w:rPr>
          <w:rFonts w:ascii="Arial Narrow" w:hAnsi="Arial Narrow"/>
          <w:sz w:val="20"/>
        </w:rPr>
        <w:t>preferred</w:t>
      </w:r>
      <w:r>
        <w:rPr>
          <w:rFonts w:ascii="Arial Narrow" w:hAnsi="Arial Narrow"/>
          <w:spacing w:val="-2"/>
          <w:sz w:val="20"/>
        </w:rPr>
        <w:t xml:space="preserve"> </w:t>
      </w:r>
      <w:r>
        <w:rPr>
          <w:rFonts w:ascii="Arial Narrow" w:hAnsi="Arial Narrow"/>
          <w:sz w:val="20"/>
        </w:rPr>
        <w:t>terms</w:t>
      </w:r>
      <w:r>
        <w:rPr>
          <w:rFonts w:ascii="Arial Narrow" w:hAnsi="Arial Narrow"/>
          <w:spacing w:val="-3"/>
          <w:sz w:val="20"/>
        </w:rPr>
        <w:t xml:space="preserve"> </w:t>
      </w:r>
      <w:r>
        <w:rPr>
          <w:rFonts w:ascii="Arial Narrow" w:hAnsi="Arial Narrow"/>
          <w:sz w:val="20"/>
        </w:rPr>
        <w:t>abdominal</w:t>
      </w:r>
      <w:r>
        <w:rPr>
          <w:rFonts w:ascii="Arial Narrow" w:hAnsi="Arial Narrow"/>
          <w:spacing w:val="-3"/>
          <w:sz w:val="20"/>
        </w:rPr>
        <w:t xml:space="preserve"> </w:t>
      </w:r>
      <w:r>
        <w:rPr>
          <w:rFonts w:ascii="Arial Narrow" w:hAnsi="Arial Narrow"/>
          <w:sz w:val="20"/>
        </w:rPr>
        <w:t>pain,</w:t>
      </w:r>
      <w:r>
        <w:rPr>
          <w:rFonts w:ascii="Arial Narrow" w:hAnsi="Arial Narrow"/>
          <w:spacing w:val="-2"/>
          <w:sz w:val="20"/>
        </w:rPr>
        <w:t xml:space="preserve"> </w:t>
      </w:r>
      <w:r>
        <w:rPr>
          <w:rFonts w:ascii="Arial Narrow" w:hAnsi="Arial Narrow"/>
          <w:sz w:val="20"/>
        </w:rPr>
        <w:t>abdominal</w:t>
      </w:r>
      <w:r>
        <w:rPr>
          <w:rFonts w:ascii="Arial Narrow" w:hAnsi="Arial Narrow"/>
          <w:spacing w:val="-3"/>
          <w:sz w:val="20"/>
        </w:rPr>
        <w:t xml:space="preserve"> </w:t>
      </w:r>
      <w:r>
        <w:rPr>
          <w:rFonts w:ascii="Arial Narrow" w:hAnsi="Arial Narrow"/>
          <w:sz w:val="20"/>
        </w:rPr>
        <w:t>pain</w:t>
      </w:r>
      <w:r>
        <w:rPr>
          <w:rFonts w:ascii="Arial Narrow" w:hAnsi="Arial Narrow"/>
          <w:spacing w:val="-2"/>
          <w:sz w:val="20"/>
        </w:rPr>
        <w:t xml:space="preserve"> </w:t>
      </w:r>
      <w:r>
        <w:rPr>
          <w:rFonts w:ascii="Arial Narrow" w:hAnsi="Arial Narrow"/>
          <w:sz w:val="20"/>
        </w:rPr>
        <w:t>upper,</w:t>
      </w:r>
      <w:r>
        <w:rPr>
          <w:rFonts w:ascii="Arial Narrow" w:hAnsi="Arial Narrow"/>
          <w:spacing w:val="-2"/>
          <w:sz w:val="20"/>
        </w:rPr>
        <w:t xml:space="preserve"> </w:t>
      </w:r>
      <w:r>
        <w:rPr>
          <w:rFonts w:ascii="Arial Narrow" w:hAnsi="Arial Narrow"/>
          <w:sz w:val="20"/>
        </w:rPr>
        <w:t>abdominal</w:t>
      </w:r>
      <w:r>
        <w:rPr>
          <w:rFonts w:ascii="Arial Narrow" w:hAnsi="Arial Narrow"/>
          <w:spacing w:val="-3"/>
          <w:sz w:val="20"/>
        </w:rPr>
        <w:t xml:space="preserve"> </w:t>
      </w:r>
      <w:r>
        <w:rPr>
          <w:rFonts w:ascii="Arial Narrow" w:hAnsi="Arial Narrow"/>
          <w:sz w:val="20"/>
        </w:rPr>
        <w:t>pain</w:t>
      </w:r>
      <w:r>
        <w:rPr>
          <w:rFonts w:ascii="Arial Narrow" w:hAnsi="Arial Narrow"/>
          <w:spacing w:val="-2"/>
          <w:sz w:val="20"/>
        </w:rPr>
        <w:t xml:space="preserve"> </w:t>
      </w:r>
      <w:r>
        <w:rPr>
          <w:rFonts w:ascii="Arial Narrow" w:hAnsi="Arial Narrow"/>
          <w:sz w:val="20"/>
        </w:rPr>
        <w:t>lower,</w:t>
      </w:r>
      <w:r>
        <w:rPr>
          <w:rFonts w:ascii="Arial Narrow" w:hAnsi="Arial Narrow"/>
          <w:spacing w:val="-2"/>
          <w:sz w:val="20"/>
        </w:rPr>
        <w:t xml:space="preserve"> </w:t>
      </w:r>
      <w:r>
        <w:rPr>
          <w:rFonts w:ascii="Arial Narrow" w:hAnsi="Arial Narrow"/>
          <w:sz w:val="20"/>
        </w:rPr>
        <w:t>gastrointestinal pain and abdominal tenderness.</w:t>
      </w:r>
    </w:p>
    <w:p w14:paraId="53B38E7F" w14:textId="77777777" w:rsidR="008B6261" w:rsidRDefault="004C6B8B">
      <w:pPr>
        <w:spacing w:before="58"/>
        <w:ind w:left="131"/>
        <w:rPr>
          <w:rFonts w:ascii="Arial Narrow" w:hAnsi="Arial Narrow"/>
          <w:sz w:val="20"/>
        </w:rPr>
      </w:pPr>
      <w:r>
        <w:rPr>
          <w:sz w:val="20"/>
          <w:vertAlign w:val="superscript"/>
        </w:rPr>
        <w:t>φ</w:t>
      </w:r>
      <w:r>
        <w:rPr>
          <w:spacing w:val="-9"/>
          <w:sz w:val="20"/>
        </w:rPr>
        <w:t xml:space="preserve"> </w:t>
      </w:r>
      <w:r>
        <w:rPr>
          <w:rFonts w:ascii="Arial Narrow" w:hAnsi="Arial Narrow"/>
          <w:sz w:val="20"/>
        </w:rPr>
        <w:t>ALT</w:t>
      </w:r>
      <w:r>
        <w:rPr>
          <w:rFonts w:ascii="Arial Narrow" w:hAnsi="Arial Narrow"/>
          <w:spacing w:val="-3"/>
          <w:sz w:val="20"/>
        </w:rPr>
        <w:t xml:space="preserve"> </w:t>
      </w:r>
      <w:r>
        <w:rPr>
          <w:rFonts w:ascii="Arial Narrow" w:hAnsi="Arial Narrow"/>
          <w:sz w:val="20"/>
        </w:rPr>
        <w:t>greater</w:t>
      </w:r>
      <w:r>
        <w:rPr>
          <w:rFonts w:ascii="Arial Narrow" w:hAnsi="Arial Narrow"/>
          <w:spacing w:val="-3"/>
          <w:sz w:val="20"/>
        </w:rPr>
        <w:t xml:space="preserve"> </w:t>
      </w:r>
      <w:r>
        <w:rPr>
          <w:rFonts w:ascii="Arial Narrow" w:hAnsi="Arial Narrow"/>
          <w:sz w:val="20"/>
        </w:rPr>
        <w:t>than</w:t>
      </w:r>
      <w:r>
        <w:rPr>
          <w:rFonts w:ascii="Arial Narrow" w:hAnsi="Arial Narrow"/>
          <w:spacing w:val="-4"/>
          <w:sz w:val="20"/>
        </w:rPr>
        <w:t xml:space="preserve"> </w:t>
      </w:r>
      <w:r>
        <w:rPr>
          <w:rFonts w:ascii="Arial Narrow" w:hAnsi="Arial Narrow"/>
          <w:sz w:val="20"/>
        </w:rPr>
        <w:t>3-fold</w:t>
      </w:r>
      <w:r>
        <w:rPr>
          <w:rFonts w:ascii="Arial Narrow" w:hAnsi="Arial Narrow"/>
          <w:spacing w:val="-4"/>
          <w:sz w:val="20"/>
        </w:rPr>
        <w:t xml:space="preserve"> ULN.</w:t>
      </w:r>
    </w:p>
    <w:p w14:paraId="53B38E80" w14:textId="77777777" w:rsidR="008B6261" w:rsidRDefault="008B6261">
      <w:pPr>
        <w:pStyle w:val="BodyText"/>
        <w:spacing w:before="0"/>
        <w:rPr>
          <w:rFonts w:ascii="Arial Narrow"/>
          <w:sz w:val="22"/>
        </w:rPr>
      </w:pPr>
    </w:p>
    <w:p w14:paraId="53B38E82" w14:textId="77777777" w:rsidR="008B6261" w:rsidRDefault="004C6B8B">
      <w:pPr>
        <w:ind w:left="23"/>
        <w:jc w:val="both"/>
        <w:rPr>
          <w:rFonts w:ascii="Arial"/>
          <w:b/>
        </w:rPr>
      </w:pPr>
      <w:bookmarkStart w:id="59" w:name="Clinical_Trial_experience"/>
      <w:bookmarkEnd w:id="59"/>
      <w:r>
        <w:rPr>
          <w:rFonts w:ascii="Arial"/>
          <w:b/>
        </w:rPr>
        <w:t>Clinical</w:t>
      </w:r>
      <w:r>
        <w:rPr>
          <w:rFonts w:ascii="Arial"/>
          <w:b/>
          <w:spacing w:val="-5"/>
        </w:rPr>
        <w:t xml:space="preserve"> </w:t>
      </w:r>
      <w:r>
        <w:rPr>
          <w:rFonts w:ascii="Arial"/>
          <w:b/>
        </w:rPr>
        <w:t>Trial</w:t>
      </w:r>
      <w:r>
        <w:rPr>
          <w:rFonts w:ascii="Arial"/>
          <w:b/>
          <w:spacing w:val="-1"/>
        </w:rPr>
        <w:t xml:space="preserve"> </w:t>
      </w:r>
      <w:r>
        <w:rPr>
          <w:rFonts w:ascii="Arial"/>
          <w:b/>
          <w:spacing w:val="-2"/>
        </w:rPr>
        <w:t>experience</w:t>
      </w:r>
    </w:p>
    <w:p w14:paraId="58774CC8" w14:textId="6E4A9B33" w:rsidR="00B04EA6" w:rsidRDefault="004C6B8B" w:rsidP="0039344F">
      <w:pPr>
        <w:pStyle w:val="BodyText"/>
        <w:ind w:left="22" w:right="586"/>
        <w:jc w:val="both"/>
      </w:pPr>
      <w:r>
        <w:t>A</w:t>
      </w:r>
      <w:r>
        <w:rPr>
          <w:spacing w:val="-3"/>
        </w:rPr>
        <w:t xml:space="preserve"> </w:t>
      </w:r>
      <w:r>
        <w:t>total</w:t>
      </w:r>
      <w:r>
        <w:rPr>
          <w:spacing w:val="-2"/>
        </w:rPr>
        <w:t xml:space="preserve"> </w:t>
      </w:r>
      <w:r>
        <w:t>of</w:t>
      </w:r>
      <w:r>
        <w:rPr>
          <w:spacing w:val="-3"/>
        </w:rPr>
        <w:t xml:space="preserve"> </w:t>
      </w:r>
      <w:r>
        <w:t>752</w:t>
      </w:r>
      <w:r>
        <w:rPr>
          <w:spacing w:val="-2"/>
        </w:rPr>
        <w:t xml:space="preserve"> </w:t>
      </w:r>
      <w:r>
        <w:t>patients</w:t>
      </w:r>
      <w:r>
        <w:rPr>
          <w:spacing w:val="-2"/>
        </w:rPr>
        <w:t xml:space="preserve"> </w:t>
      </w:r>
      <w:r>
        <w:t>on</w:t>
      </w:r>
      <w:r>
        <w:rPr>
          <w:spacing w:val="-2"/>
        </w:rPr>
        <w:t xml:space="preserve"> </w:t>
      </w:r>
      <w:r>
        <w:t>CENRIFKI</w:t>
      </w:r>
      <w:r>
        <w:rPr>
          <w:spacing w:val="-6"/>
        </w:rPr>
        <w:t xml:space="preserve"> </w:t>
      </w:r>
      <w:r>
        <w:t>60</w:t>
      </w:r>
      <w:r>
        <w:rPr>
          <w:spacing w:val="-2"/>
        </w:rPr>
        <w:t xml:space="preserve"> </w:t>
      </w:r>
      <w:r>
        <w:t>mg</w:t>
      </w:r>
      <w:r>
        <w:rPr>
          <w:spacing w:val="-2"/>
        </w:rPr>
        <w:t xml:space="preserve"> </w:t>
      </w:r>
      <w:r>
        <w:t>daily and</w:t>
      </w:r>
      <w:r>
        <w:rPr>
          <w:spacing w:val="-2"/>
        </w:rPr>
        <w:t xml:space="preserve"> </w:t>
      </w:r>
      <w:r>
        <w:t>375</w:t>
      </w:r>
      <w:r>
        <w:rPr>
          <w:spacing w:val="-2"/>
        </w:rPr>
        <w:t xml:space="preserve"> </w:t>
      </w:r>
      <w:r>
        <w:t>patients</w:t>
      </w:r>
      <w:r>
        <w:rPr>
          <w:spacing w:val="-2"/>
        </w:rPr>
        <w:t xml:space="preserve"> </w:t>
      </w:r>
      <w:r>
        <w:t>on</w:t>
      </w:r>
      <w:r>
        <w:rPr>
          <w:spacing w:val="-2"/>
        </w:rPr>
        <w:t xml:space="preserve"> </w:t>
      </w:r>
      <w:r>
        <w:t>placebo</w:t>
      </w:r>
      <w:r>
        <w:rPr>
          <w:spacing w:val="-2"/>
        </w:rPr>
        <w:t xml:space="preserve"> </w:t>
      </w:r>
      <w:r>
        <w:t>constituted</w:t>
      </w:r>
      <w:r>
        <w:rPr>
          <w:spacing w:val="-2"/>
        </w:rPr>
        <w:t xml:space="preserve"> </w:t>
      </w:r>
      <w:r>
        <w:t xml:space="preserve">the safety population in the placebo-controlled Study 1 (HERCULES). </w:t>
      </w:r>
      <w:hyperlink w:anchor="_bookmark6" w:history="1">
        <w:r>
          <w:t>Table</w:t>
        </w:r>
        <w:r>
          <w:rPr>
            <w:spacing w:val="-3"/>
          </w:rPr>
          <w:t xml:space="preserve"> </w:t>
        </w:r>
        <w:r>
          <w:t>2</w:t>
        </w:r>
      </w:hyperlink>
      <w:r>
        <w:t xml:space="preserve"> presents adverse drug reactions observed during the study, which are considered to have a possible causal relationship with CENRIFKI treatment. In contrast, </w:t>
      </w:r>
      <w:hyperlink w:anchor="_bookmark7" w:history="1">
        <w:r>
          <w:t>Table</w:t>
        </w:r>
        <w:r>
          <w:rPr>
            <w:spacing w:val="-3"/>
          </w:rPr>
          <w:t xml:space="preserve"> </w:t>
        </w:r>
        <w:r>
          <w:t>3</w:t>
        </w:r>
      </w:hyperlink>
      <w:r>
        <w:t xml:space="preserve"> presents treatment-emergent adverse events</w:t>
      </w:r>
      <w:r>
        <w:rPr>
          <w:spacing w:val="-1"/>
        </w:rPr>
        <w:t xml:space="preserve"> </w:t>
      </w:r>
      <w:r>
        <w:t>observed during</w:t>
      </w:r>
      <w:r>
        <w:rPr>
          <w:spacing w:val="-1"/>
        </w:rPr>
        <w:t xml:space="preserve"> </w:t>
      </w:r>
      <w:r>
        <w:t>the</w:t>
      </w:r>
      <w:r>
        <w:rPr>
          <w:spacing w:val="-2"/>
        </w:rPr>
        <w:t xml:space="preserve"> </w:t>
      </w:r>
      <w:r>
        <w:t>study,</w:t>
      </w:r>
      <w:r>
        <w:rPr>
          <w:spacing w:val="-1"/>
        </w:rPr>
        <w:t xml:space="preserve"> </w:t>
      </w:r>
      <w:r>
        <w:t>which do</w:t>
      </w:r>
      <w:r>
        <w:rPr>
          <w:spacing w:val="-1"/>
        </w:rPr>
        <w:t xml:space="preserve"> </w:t>
      </w:r>
      <w:r>
        <w:t>not</w:t>
      </w:r>
      <w:r>
        <w:rPr>
          <w:spacing w:val="-1"/>
        </w:rPr>
        <w:t xml:space="preserve"> </w:t>
      </w:r>
      <w:r>
        <w:t>necessarily</w:t>
      </w:r>
      <w:r>
        <w:rPr>
          <w:spacing w:val="-1"/>
        </w:rPr>
        <w:t xml:space="preserve"> </w:t>
      </w:r>
      <w:r>
        <w:t>have a causal relationship to CENRIFKI.</w:t>
      </w:r>
    </w:p>
    <w:p w14:paraId="53B38E85" w14:textId="77777777" w:rsidR="008B6261" w:rsidRDefault="004C6B8B" w:rsidP="0039344F">
      <w:pPr>
        <w:pageBreakBefore/>
        <w:spacing w:before="81"/>
        <w:ind w:left="1990" w:right="567" w:hanging="1871"/>
        <w:rPr>
          <w:rFonts w:ascii="Arial"/>
          <w:b/>
          <w:sz w:val="20"/>
        </w:rPr>
      </w:pPr>
      <w:bookmarkStart w:id="60" w:name="_bookmark7"/>
      <w:bookmarkEnd w:id="60"/>
      <w:r>
        <w:rPr>
          <w:rFonts w:ascii="Arial"/>
          <w:b/>
          <w:sz w:val="20"/>
        </w:rPr>
        <w:lastRenderedPageBreak/>
        <w:t>Table</w:t>
      </w:r>
      <w:r>
        <w:rPr>
          <w:rFonts w:ascii="Arial"/>
          <w:b/>
          <w:spacing w:val="-4"/>
          <w:sz w:val="20"/>
        </w:rPr>
        <w:t xml:space="preserve"> </w:t>
      </w:r>
      <w:r>
        <w:rPr>
          <w:rFonts w:ascii="Arial"/>
          <w:b/>
          <w:sz w:val="20"/>
        </w:rPr>
        <w:t>3</w:t>
      </w:r>
      <w:r>
        <w:rPr>
          <w:rFonts w:ascii="Arial"/>
          <w:b/>
          <w:spacing w:val="-4"/>
          <w:sz w:val="20"/>
        </w:rPr>
        <w:t xml:space="preserve"> </w:t>
      </w:r>
      <w:r>
        <w:rPr>
          <w:rFonts w:ascii="Arial"/>
          <w:b/>
          <w:sz w:val="20"/>
        </w:rPr>
        <w:t>-</w:t>
      </w:r>
      <w:r>
        <w:rPr>
          <w:rFonts w:ascii="Arial"/>
          <w:b/>
          <w:spacing w:val="-3"/>
          <w:sz w:val="20"/>
        </w:rPr>
        <w:t xml:space="preserve"> </w:t>
      </w:r>
      <w:r>
        <w:rPr>
          <w:rFonts w:ascii="Arial"/>
          <w:b/>
          <w:sz w:val="20"/>
        </w:rPr>
        <w:t>Treatment-emergent</w:t>
      </w:r>
      <w:r>
        <w:rPr>
          <w:rFonts w:ascii="Arial"/>
          <w:b/>
          <w:spacing w:val="-3"/>
          <w:sz w:val="20"/>
        </w:rPr>
        <w:t xml:space="preserve"> </w:t>
      </w:r>
      <w:r>
        <w:rPr>
          <w:rFonts w:ascii="Arial"/>
          <w:b/>
          <w:sz w:val="20"/>
        </w:rPr>
        <w:t>adverse</w:t>
      </w:r>
      <w:r>
        <w:rPr>
          <w:rFonts w:ascii="Arial"/>
          <w:b/>
          <w:spacing w:val="-2"/>
          <w:sz w:val="20"/>
        </w:rPr>
        <w:t xml:space="preserve"> </w:t>
      </w:r>
      <w:r>
        <w:rPr>
          <w:rFonts w:ascii="Arial"/>
          <w:b/>
          <w:sz w:val="20"/>
        </w:rPr>
        <w:t>events</w:t>
      </w:r>
      <w:r>
        <w:rPr>
          <w:rFonts w:ascii="Arial"/>
          <w:b/>
          <w:spacing w:val="-2"/>
          <w:sz w:val="20"/>
        </w:rPr>
        <w:t xml:space="preserve"> </w:t>
      </w:r>
      <w:r>
        <w:rPr>
          <w:rFonts w:ascii="Arial"/>
          <w:b/>
          <w:sz w:val="20"/>
        </w:rPr>
        <w:t>reported</w:t>
      </w:r>
      <w:r>
        <w:rPr>
          <w:rFonts w:ascii="Arial"/>
          <w:b/>
          <w:spacing w:val="-3"/>
          <w:sz w:val="20"/>
        </w:rPr>
        <w:t xml:space="preserve"> </w:t>
      </w:r>
      <w:r>
        <w:rPr>
          <w:rFonts w:ascii="Arial"/>
          <w:b/>
          <w:sz w:val="20"/>
        </w:rPr>
        <w:t>in</w:t>
      </w:r>
      <w:r>
        <w:rPr>
          <w:rFonts w:ascii="Arial"/>
          <w:b/>
          <w:spacing w:val="-3"/>
          <w:sz w:val="20"/>
        </w:rPr>
        <w:t xml:space="preserve"> </w:t>
      </w:r>
      <w:r>
        <w:rPr>
          <w:rFonts w:ascii="Arial"/>
          <w:b/>
          <w:sz w:val="20"/>
        </w:rPr>
        <w:t>2%</w:t>
      </w:r>
      <w:r>
        <w:rPr>
          <w:rFonts w:ascii="Arial"/>
          <w:b/>
          <w:spacing w:val="-5"/>
          <w:sz w:val="20"/>
        </w:rPr>
        <w:t xml:space="preserve"> </w:t>
      </w:r>
      <w:r>
        <w:rPr>
          <w:rFonts w:ascii="Arial"/>
          <w:b/>
          <w:sz w:val="20"/>
        </w:rPr>
        <w:t>or</w:t>
      </w:r>
      <w:r>
        <w:rPr>
          <w:rFonts w:ascii="Arial"/>
          <w:b/>
          <w:spacing w:val="-5"/>
          <w:sz w:val="20"/>
        </w:rPr>
        <w:t xml:space="preserve"> </w:t>
      </w:r>
      <w:r>
        <w:rPr>
          <w:rFonts w:ascii="Arial"/>
          <w:b/>
          <w:sz w:val="20"/>
        </w:rPr>
        <w:t>more</w:t>
      </w:r>
      <w:r>
        <w:rPr>
          <w:rFonts w:ascii="Arial"/>
          <w:b/>
          <w:spacing w:val="-4"/>
          <w:sz w:val="20"/>
        </w:rPr>
        <w:t xml:space="preserve"> </w:t>
      </w:r>
      <w:r>
        <w:rPr>
          <w:rFonts w:ascii="Arial"/>
          <w:b/>
          <w:sz w:val="20"/>
        </w:rPr>
        <w:t>of</w:t>
      </w:r>
      <w:r>
        <w:rPr>
          <w:rFonts w:ascii="Arial"/>
          <w:b/>
          <w:spacing w:val="-3"/>
          <w:sz w:val="20"/>
        </w:rPr>
        <w:t xml:space="preserve"> </w:t>
      </w:r>
      <w:r>
        <w:rPr>
          <w:rFonts w:ascii="Arial"/>
          <w:b/>
          <w:sz w:val="20"/>
        </w:rPr>
        <w:t>subjects</w:t>
      </w:r>
      <w:r>
        <w:rPr>
          <w:rFonts w:ascii="Arial"/>
          <w:b/>
          <w:spacing w:val="-4"/>
          <w:sz w:val="20"/>
        </w:rPr>
        <w:t xml:space="preserve"> </w:t>
      </w:r>
      <w:r>
        <w:rPr>
          <w:rFonts w:ascii="Arial"/>
          <w:b/>
          <w:sz w:val="20"/>
        </w:rPr>
        <w:t>treated</w:t>
      </w:r>
      <w:r>
        <w:rPr>
          <w:rFonts w:ascii="Arial"/>
          <w:b/>
          <w:spacing w:val="-3"/>
          <w:sz w:val="20"/>
        </w:rPr>
        <w:t xml:space="preserve"> </w:t>
      </w:r>
      <w:r>
        <w:rPr>
          <w:rFonts w:ascii="Arial"/>
          <w:b/>
          <w:sz w:val="20"/>
        </w:rPr>
        <w:t>with CENRIFKI in placebo-controlled Study 1 (HERCULES)</w:t>
      </w:r>
    </w:p>
    <w:p w14:paraId="53B38E86" w14:textId="77777777" w:rsidR="008B6261" w:rsidRDefault="008B6261">
      <w:pPr>
        <w:pStyle w:val="BodyText"/>
        <w:spacing w:before="6"/>
        <w:rPr>
          <w:rFonts w:ascii="Arial"/>
          <w:b/>
          <w:sz w:val="10"/>
        </w:rPr>
      </w:pPr>
    </w:p>
    <w:tbl>
      <w:tblPr>
        <w:tblW w:w="0" w:type="auto"/>
        <w:tblInd w:w="292" w:type="dxa"/>
        <w:tblLayout w:type="fixed"/>
        <w:tblCellMar>
          <w:left w:w="0" w:type="dxa"/>
          <w:right w:w="0" w:type="dxa"/>
        </w:tblCellMar>
        <w:tblLook w:val="01E0" w:firstRow="1" w:lastRow="1" w:firstColumn="1" w:lastColumn="1" w:noHBand="0" w:noVBand="0"/>
      </w:tblPr>
      <w:tblGrid>
        <w:gridCol w:w="4383"/>
        <w:gridCol w:w="1525"/>
        <w:gridCol w:w="2597"/>
      </w:tblGrid>
      <w:tr w:rsidR="008B6261" w14:paraId="53B38E8B" w14:textId="77777777" w:rsidTr="00B04EA6">
        <w:trPr>
          <w:trHeight w:val="928"/>
          <w:tblHeader/>
        </w:trPr>
        <w:tc>
          <w:tcPr>
            <w:tcW w:w="4383" w:type="dxa"/>
            <w:tcBorders>
              <w:top w:val="single" w:sz="4" w:space="0" w:color="000000"/>
              <w:bottom w:val="single" w:sz="4" w:space="0" w:color="000000"/>
            </w:tcBorders>
          </w:tcPr>
          <w:p w14:paraId="53B38E87" w14:textId="77777777" w:rsidR="008B6261" w:rsidRDefault="004C6B8B">
            <w:pPr>
              <w:pStyle w:val="TableParagraph"/>
              <w:spacing w:before="59" w:line="302" w:lineRule="auto"/>
              <w:ind w:left="739" w:right="177"/>
              <w:jc w:val="center"/>
              <w:rPr>
                <w:rFonts w:ascii="Arial"/>
                <w:b/>
                <w:sz w:val="20"/>
              </w:rPr>
            </w:pPr>
            <w:r>
              <w:rPr>
                <w:rFonts w:ascii="Arial"/>
                <w:b/>
                <w:sz w:val="20"/>
              </w:rPr>
              <w:t>Primary</w:t>
            </w:r>
            <w:r>
              <w:rPr>
                <w:rFonts w:ascii="Arial"/>
                <w:b/>
                <w:spacing w:val="-13"/>
                <w:sz w:val="20"/>
              </w:rPr>
              <w:t xml:space="preserve"> </w:t>
            </w:r>
            <w:r>
              <w:rPr>
                <w:rFonts w:ascii="Arial"/>
                <w:b/>
                <w:sz w:val="20"/>
              </w:rPr>
              <w:t>system</w:t>
            </w:r>
            <w:r>
              <w:rPr>
                <w:rFonts w:ascii="Arial"/>
                <w:b/>
                <w:spacing w:val="-14"/>
                <w:sz w:val="20"/>
              </w:rPr>
              <w:t xml:space="preserve"> </w:t>
            </w:r>
            <w:r>
              <w:rPr>
                <w:rFonts w:ascii="Arial"/>
                <w:b/>
                <w:sz w:val="20"/>
              </w:rPr>
              <w:t>organ</w:t>
            </w:r>
            <w:r>
              <w:rPr>
                <w:rFonts w:ascii="Arial"/>
                <w:b/>
                <w:spacing w:val="-14"/>
                <w:sz w:val="20"/>
              </w:rPr>
              <w:t xml:space="preserve"> </w:t>
            </w:r>
            <w:r>
              <w:rPr>
                <w:rFonts w:ascii="Arial"/>
                <w:b/>
                <w:sz w:val="20"/>
              </w:rPr>
              <w:t>class Preferred Term</w:t>
            </w:r>
          </w:p>
          <w:p w14:paraId="53B38E88" w14:textId="77777777" w:rsidR="008B6261" w:rsidRDefault="004C6B8B">
            <w:pPr>
              <w:pStyle w:val="TableParagraph"/>
              <w:spacing w:before="0" w:line="229" w:lineRule="exact"/>
              <w:ind w:left="739" w:right="182"/>
              <w:jc w:val="center"/>
              <w:rPr>
                <w:rFonts w:ascii="Arial"/>
                <w:b/>
                <w:sz w:val="20"/>
              </w:rPr>
            </w:pPr>
            <w:r>
              <w:rPr>
                <w:rFonts w:ascii="Arial"/>
                <w:b/>
                <w:sz w:val="20"/>
              </w:rPr>
              <w:t>N</w:t>
            </w:r>
            <w:r>
              <w:rPr>
                <w:rFonts w:ascii="Arial"/>
                <w:b/>
                <w:spacing w:val="-3"/>
                <w:sz w:val="20"/>
              </w:rPr>
              <w:t xml:space="preserve"> </w:t>
            </w:r>
            <w:r>
              <w:rPr>
                <w:rFonts w:ascii="Arial"/>
                <w:b/>
                <w:spacing w:val="-5"/>
                <w:sz w:val="20"/>
              </w:rPr>
              <w:t>(%)</w:t>
            </w:r>
          </w:p>
        </w:tc>
        <w:tc>
          <w:tcPr>
            <w:tcW w:w="1525" w:type="dxa"/>
            <w:tcBorders>
              <w:top w:val="single" w:sz="4" w:space="0" w:color="000000"/>
              <w:bottom w:val="single" w:sz="4" w:space="0" w:color="000000"/>
            </w:tcBorders>
          </w:tcPr>
          <w:p w14:paraId="53B38E89" w14:textId="77777777" w:rsidR="008B6261" w:rsidRDefault="004C6B8B">
            <w:pPr>
              <w:pStyle w:val="TableParagraph"/>
              <w:spacing w:before="59" w:line="302" w:lineRule="auto"/>
              <w:ind w:left="616" w:right="168" w:hanging="32"/>
              <w:rPr>
                <w:rFonts w:ascii="Arial"/>
                <w:b/>
                <w:sz w:val="20"/>
              </w:rPr>
            </w:pPr>
            <w:r>
              <w:rPr>
                <w:rFonts w:ascii="Arial"/>
                <w:b/>
                <w:spacing w:val="-2"/>
                <w:sz w:val="20"/>
              </w:rPr>
              <w:t xml:space="preserve">Placebo </w:t>
            </w:r>
            <w:r>
              <w:rPr>
                <w:rFonts w:ascii="Arial"/>
                <w:b/>
                <w:sz w:val="20"/>
              </w:rPr>
              <w:t>N</w:t>
            </w:r>
            <w:r>
              <w:rPr>
                <w:rFonts w:ascii="Arial"/>
                <w:b/>
                <w:spacing w:val="-3"/>
                <w:sz w:val="20"/>
              </w:rPr>
              <w:t xml:space="preserve"> </w:t>
            </w:r>
            <w:r>
              <w:rPr>
                <w:rFonts w:ascii="Arial"/>
                <w:b/>
                <w:sz w:val="20"/>
              </w:rPr>
              <w:t>=</w:t>
            </w:r>
            <w:r>
              <w:rPr>
                <w:rFonts w:ascii="Arial"/>
                <w:b/>
                <w:spacing w:val="-1"/>
                <w:sz w:val="20"/>
              </w:rPr>
              <w:t xml:space="preserve"> </w:t>
            </w:r>
            <w:r>
              <w:rPr>
                <w:rFonts w:ascii="Arial"/>
                <w:b/>
                <w:spacing w:val="-5"/>
                <w:sz w:val="20"/>
              </w:rPr>
              <w:t>375</w:t>
            </w:r>
          </w:p>
        </w:tc>
        <w:tc>
          <w:tcPr>
            <w:tcW w:w="2597" w:type="dxa"/>
            <w:tcBorders>
              <w:top w:val="single" w:sz="4" w:space="0" w:color="000000"/>
              <w:bottom w:val="single" w:sz="4" w:space="0" w:color="000000"/>
            </w:tcBorders>
          </w:tcPr>
          <w:p w14:paraId="53B38E8A" w14:textId="77777777" w:rsidR="008B6261" w:rsidRDefault="004C6B8B">
            <w:pPr>
              <w:pStyle w:val="TableParagraph"/>
              <w:spacing w:before="59" w:line="302" w:lineRule="auto"/>
              <w:ind w:left="867" w:right="247" w:hanging="692"/>
              <w:rPr>
                <w:rFonts w:ascii="Arial"/>
                <w:b/>
                <w:sz w:val="20"/>
              </w:rPr>
            </w:pPr>
            <w:r>
              <w:rPr>
                <w:rFonts w:ascii="Arial"/>
                <w:b/>
                <w:sz w:val="20"/>
              </w:rPr>
              <w:t>CENRIFKI</w:t>
            </w:r>
            <w:r>
              <w:rPr>
                <w:rFonts w:ascii="Arial"/>
                <w:b/>
                <w:spacing w:val="-14"/>
                <w:sz w:val="20"/>
              </w:rPr>
              <w:t xml:space="preserve"> </w:t>
            </w:r>
            <w:r>
              <w:rPr>
                <w:rFonts w:ascii="Arial"/>
                <w:b/>
                <w:sz w:val="20"/>
              </w:rPr>
              <w:t>60</w:t>
            </w:r>
            <w:r>
              <w:rPr>
                <w:rFonts w:ascii="Arial"/>
                <w:b/>
                <w:spacing w:val="-12"/>
                <w:sz w:val="20"/>
              </w:rPr>
              <w:t xml:space="preserve"> </w:t>
            </w:r>
            <w:r>
              <w:rPr>
                <w:rFonts w:ascii="Arial"/>
                <w:b/>
                <w:sz w:val="20"/>
              </w:rPr>
              <w:t>mg</w:t>
            </w:r>
            <w:r>
              <w:rPr>
                <w:rFonts w:ascii="Arial"/>
                <w:b/>
                <w:spacing w:val="-13"/>
                <w:sz w:val="20"/>
              </w:rPr>
              <w:t xml:space="preserve"> </w:t>
            </w:r>
            <w:r>
              <w:rPr>
                <w:rFonts w:ascii="Arial"/>
                <w:b/>
                <w:sz w:val="20"/>
              </w:rPr>
              <w:t>daily N = 752</w:t>
            </w:r>
          </w:p>
        </w:tc>
      </w:tr>
      <w:tr w:rsidR="008B6261" w14:paraId="53B38E8F" w14:textId="77777777">
        <w:trPr>
          <w:trHeight w:val="350"/>
        </w:trPr>
        <w:tc>
          <w:tcPr>
            <w:tcW w:w="4383" w:type="dxa"/>
            <w:tcBorders>
              <w:top w:val="single" w:sz="4" w:space="0" w:color="000000"/>
            </w:tcBorders>
          </w:tcPr>
          <w:p w14:paraId="53B38E8C" w14:textId="77777777" w:rsidR="008B6261" w:rsidRDefault="004C6B8B">
            <w:pPr>
              <w:pStyle w:val="TableParagraph"/>
              <w:spacing w:before="59"/>
              <w:ind w:left="19"/>
              <w:rPr>
                <w:sz w:val="20"/>
              </w:rPr>
            </w:pPr>
            <w:r>
              <w:rPr>
                <w:sz w:val="20"/>
              </w:rPr>
              <w:t>Any</w:t>
            </w:r>
            <w:r>
              <w:rPr>
                <w:spacing w:val="-5"/>
                <w:sz w:val="20"/>
              </w:rPr>
              <w:t xml:space="preserve"> </w:t>
            </w:r>
            <w:r>
              <w:rPr>
                <w:spacing w:val="-2"/>
                <w:sz w:val="20"/>
              </w:rPr>
              <w:t>event</w:t>
            </w:r>
          </w:p>
        </w:tc>
        <w:tc>
          <w:tcPr>
            <w:tcW w:w="1525" w:type="dxa"/>
            <w:tcBorders>
              <w:top w:val="single" w:sz="4" w:space="0" w:color="000000"/>
            </w:tcBorders>
          </w:tcPr>
          <w:p w14:paraId="53B38E8D" w14:textId="77777777" w:rsidR="008B6261" w:rsidRDefault="004C6B8B">
            <w:pPr>
              <w:pStyle w:val="TableParagraph"/>
              <w:spacing w:before="59"/>
              <w:ind w:right="179"/>
              <w:jc w:val="right"/>
              <w:rPr>
                <w:sz w:val="20"/>
              </w:rPr>
            </w:pPr>
            <w:r>
              <w:rPr>
                <w:sz w:val="20"/>
              </w:rPr>
              <w:t>293</w:t>
            </w:r>
            <w:r>
              <w:rPr>
                <w:spacing w:val="-3"/>
                <w:sz w:val="20"/>
              </w:rPr>
              <w:t xml:space="preserve"> </w:t>
            </w:r>
            <w:r>
              <w:rPr>
                <w:spacing w:val="-2"/>
                <w:sz w:val="20"/>
              </w:rPr>
              <w:t>(78.1)</w:t>
            </w:r>
          </w:p>
        </w:tc>
        <w:tc>
          <w:tcPr>
            <w:tcW w:w="2597" w:type="dxa"/>
            <w:tcBorders>
              <w:top w:val="single" w:sz="4" w:space="0" w:color="000000"/>
            </w:tcBorders>
          </w:tcPr>
          <w:p w14:paraId="53B38E8E" w14:textId="77777777" w:rsidR="008B6261" w:rsidRDefault="004C6B8B">
            <w:pPr>
              <w:pStyle w:val="TableParagraph"/>
              <w:spacing w:before="59"/>
              <w:ind w:left="845"/>
              <w:rPr>
                <w:sz w:val="20"/>
              </w:rPr>
            </w:pPr>
            <w:r>
              <w:rPr>
                <w:sz w:val="20"/>
              </w:rPr>
              <w:t>613</w:t>
            </w:r>
            <w:r>
              <w:rPr>
                <w:spacing w:val="-3"/>
                <w:sz w:val="20"/>
              </w:rPr>
              <w:t xml:space="preserve"> </w:t>
            </w:r>
            <w:r>
              <w:rPr>
                <w:spacing w:val="-2"/>
                <w:sz w:val="20"/>
              </w:rPr>
              <w:t>(81.5)</w:t>
            </w:r>
          </w:p>
        </w:tc>
      </w:tr>
      <w:tr w:rsidR="008B6261" w14:paraId="53B38E93" w14:textId="77777777">
        <w:trPr>
          <w:trHeight w:val="350"/>
        </w:trPr>
        <w:tc>
          <w:tcPr>
            <w:tcW w:w="4383" w:type="dxa"/>
          </w:tcPr>
          <w:p w14:paraId="53B38E90" w14:textId="77777777" w:rsidR="008B6261" w:rsidRDefault="004C6B8B">
            <w:pPr>
              <w:pStyle w:val="TableParagraph"/>
              <w:ind w:left="19"/>
              <w:rPr>
                <w:sz w:val="20"/>
              </w:rPr>
            </w:pPr>
            <w:r>
              <w:rPr>
                <w:sz w:val="20"/>
              </w:rPr>
              <w:t>Infections</w:t>
            </w:r>
            <w:r>
              <w:rPr>
                <w:spacing w:val="-7"/>
                <w:sz w:val="20"/>
              </w:rPr>
              <w:t xml:space="preserve"> </w:t>
            </w:r>
            <w:r>
              <w:rPr>
                <w:sz w:val="20"/>
              </w:rPr>
              <w:t>and</w:t>
            </w:r>
            <w:r>
              <w:rPr>
                <w:spacing w:val="-6"/>
                <w:sz w:val="20"/>
              </w:rPr>
              <w:t xml:space="preserve"> </w:t>
            </w:r>
            <w:r>
              <w:rPr>
                <w:spacing w:val="-2"/>
                <w:sz w:val="20"/>
              </w:rPr>
              <w:t>infestations</w:t>
            </w:r>
          </w:p>
        </w:tc>
        <w:tc>
          <w:tcPr>
            <w:tcW w:w="1525" w:type="dxa"/>
          </w:tcPr>
          <w:p w14:paraId="53B38E91" w14:textId="77777777" w:rsidR="008B6261" w:rsidRDefault="004C6B8B">
            <w:pPr>
              <w:pStyle w:val="TableParagraph"/>
              <w:ind w:right="179"/>
              <w:jc w:val="right"/>
              <w:rPr>
                <w:sz w:val="20"/>
              </w:rPr>
            </w:pPr>
            <w:r>
              <w:rPr>
                <w:sz w:val="20"/>
              </w:rPr>
              <w:t>185</w:t>
            </w:r>
            <w:r>
              <w:rPr>
                <w:spacing w:val="-3"/>
                <w:sz w:val="20"/>
              </w:rPr>
              <w:t xml:space="preserve"> </w:t>
            </w:r>
            <w:r>
              <w:rPr>
                <w:spacing w:val="-2"/>
                <w:sz w:val="20"/>
              </w:rPr>
              <w:t>(49.3)</w:t>
            </w:r>
          </w:p>
        </w:tc>
        <w:tc>
          <w:tcPr>
            <w:tcW w:w="2597" w:type="dxa"/>
          </w:tcPr>
          <w:p w14:paraId="53B38E92" w14:textId="77777777" w:rsidR="008B6261" w:rsidRDefault="004C6B8B">
            <w:pPr>
              <w:pStyle w:val="TableParagraph"/>
              <w:ind w:left="845"/>
              <w:rPr>
                <w:sz w:val="20"/>
              </w:rPr>
            </w:pPr>
            <w:r>
              <w:rPr>
                <w:sz w:val="20"/>
              </w:rPr>
              <w:t>409</w:t>
            </w:r>
            <w:r>
              <w:rPr>
                <w:spacing w:val="-3"/>
                <w:sz w:val="20"/>
              </w:rPr>
              <w:t xml:space="preserve"> </w:t>
            </w:r>
            <w:r>
              <w:rPr>
                <w:spacing w:val="-2"/>
                <w:sz w:val="20"/>
              </w:rPr>
              <w:t>(54.4)</w:t>
            </w:r>
          </w:p>
        </w:tc>
      </w:tr>
      <w:tr w:rsidR="008B6261" w14:paraId="53B38E97" w14:textId="77777777">
        <w:trPr>
          <w:trHeight w:val="349"/>
        </w:trPr>
        <w:tc>
          <w:tcPr>
            <w:tcW w:w="4383" w:type="dxa"/>
          </w:tcPr>
          <w:p w14:paraId="53B38E94" w14:textId="77777777" w:rsidR="008B6261" w:rsidRDefault="004C6B8B">
            <w:pPr>
              <w:pStyle w:val="TableParagraph"/>
              <w:ind w:left="739"/>
              <w:rPr>
                <w:sz w:val="20"/>
              </w:rPr>
            </w:pPr>
            <w:r>
              <w:rPr>
                <w:spacing w:val="-2"/>
                <w:sz w:val="20"/>
              </w:rPr>
              <w:t>COVID-</w:t>
            </w:r>
            <w:r>
              <w:rPr>
                <w:spacing w:val="-5"/>
                <w:sz w:val="20"/>
              </w:rPr>
              <w:t>19</w:t>
            </w:r>
          </w:p>
        </w:tc>
        <w:tc>
          <w:tcPr>
            <w:tcW w:w="1525" w:type="dxa"/>
          </w:tcPr>
          <w:p w14:paraId="53B38E95" w14:textId="77777777" w:rsidR="008B6261" w:rsidRDefault="004C6B8B">
            <w:pPr>
              <w:pStyle w:val="TableParagraph"/>
              <w:ind w:right="225"/>
              <w:jc w:val="right"/>
              <w:rPr>
                <w:sz w:val="20"/>
              </w:rPr>
            </w:pPr>
            <w:r>
              <w:rPr>
                <w:sz w:val="20"/>
              </w:rPr>
              <w:t>85</w:t>
            </w:r>
            <w:r>
              <w:rPr>
                <w:spacing w:val="-2"/>
                <w:sz w:val="20"/>
              </w:rPr>
              <w:t xml:space="preserve"> (22.7)</w:t>
            </w:r>
          </w:p>
        </w:tc>
        <w:tc>
          <w:tcPr>
            <w:tcW w:w="2597" w:type="dxa"/>
          </w:tcPr>
          <w:p w14:paraId="53B38E96" w14:textId="77777777" w:rsidR="008B6261" w:rsidRDefault="004C6B8B">
            <w:pPr>
              <w:pStyle w:val="TableParagraph"/>
              <w:ind w:left="845"/>
              <w:rPr>
                <w:sz w:val="20"/>
              </w:rPr>
            </w:pPr>
            <w:r>
              <w:rPr>
                <w:sz w:val="20"/>
              </w:rPr>
              <w:t>192</w:t>
            </w:r>
            <w:r>
              <w:rPr>
                <w:spacing w:val="-3"/>
                <w:sz w:val="20"/>
              </w:rPr>
              <w:t xml:space="preserve"> </w:t>
            </w:r>
            <w:r>
              <w:rPr>
                <w:spacing w:val="-2"/>
                <w:sz w:val="20"/>
              </w:rPr>
              <w:t>(25.5)</w:t>
            </w:r>
          </w:p>
        </w:tc>
      </w:tr>
      <w:tr w:rsidR="008B6261" w14:paraId="53B38E9B" w14:textId="77777777">
        <w:trPr>
          <w:trHeight w:val="349"/>
        </w:trPr>
        <w:tc>
          <w:tcPr>
            <w:tcW w:w="4383" w:type="dxa"/>
          </w:tcPr>
          <w:p w14:paraId="53B38E98" w14:textId="77777777" w:rsidR="008B6261" w:rsidRDefault="004C6B8B">
            <w:pPr>
              <w:pStyle w:val="TableParagraph"/>
              <w:spacing w:before="58"/>
              <w:ind w:left="739"/>
              <w:rPr>
                <w:sz w:val="20"/>
              </w:rPr>
            </w:pPr>
            <w:r>
              <w:rPr>
                <w:sz w:val="20"/>
              </w:rPr>
              <w:t>Urinary</w:t>
            </w:r>
            <w:r>
              <w:rPr>
                <w:spacing w:val="-7"/>
                <w:sz w:val="20"/>
              </w:rPr>
              <w:t xml:space="preserve"> </w:t>
            </w:r>
            <w:r>
              <w:rPr>
                <w:sz w:val="20"/>
              </w:rPr>
              <w:t>tract</w:t>
            </w:r>
            <w:r>
              <w:rPr>
                <w:spacing w:val="-6"/>
                <w:sz w:val="20"/>
              </w:rPr>
              <w:t xml:space="preserve"> </w:t>
            </w:r>
            <w:r>
              <w:rPr>
                <w:spacing w:val="-2"/>
                <w:sz w:val="20"/>
              </w:rPr>
              <w:t>infection</w:t>
            </w:r>
          </w:p>
        </w:tc>
        <w:tc>
          <w:tcPr>
            <w:tcW w:w="1525" w:type="dxa"/>
          </w:tcPr>
          <w:p w14:paraId="53B38E99" w14:textId="77777777" w:rsidR="008B6261" w:rsidRDefault="004C6B8B">
            <w:pPr>
              <w:pStyle w:val="TableParagraph"/>
              <w:spacing w:before="58"/>
              <w:ind w:right="225"/>
              <w:jc w:val="right"/>
              <w:rPr>
                <w:sz w:val="20"/>
              </w:rPr>
            </w:pPr>
            <w:r>
              <w:rPr>
                <w:sz w:val="20"/>
              </w:rPr>
              <w:t>49</w:t>
            </w:r>
            <w:r>
              <w:rPr>
                <w:spacing w:val="-2"/>
                <w:sz w:val="20"/>
              </w:rPr>
              <w:t xml:space="preserve"> (13.1)</w:t>
            </w:r>
          </w:p>
        </w:tc>
        <w:tc>
          <w:tcPr>
            <w:tcW w:w="2597" w:type="dxa"/>
          </w:tcPr>
          <w:p w14:paraId="53B38E9A" w14:textId="77777777" w:rsidR="008B6261" w:rsidRDefault="004C6B8B">
            <w:pPr>
              <w:pStyle w:val="TableParagraph"/>
              <w:spacing w:before="58"/>
              <w:ind w:left="891"/>
              <w:rPr>
                <w:sz w:val="20"/>
              </w:rPr>
            </w:pPr>
            <w:r>
              <w:rPr>
                <w:sz w:val="20"/>
              </w:rPr>
              <w:t>85</w:t>
            </w:r>
            <w:r>
              <w:rPr>
                <w:spacing w:val="-2"/>
                <w:sz w:val="20"/>
              </w:rPr>
              <w:t xml:space="preserve"> (11.3)</w:t>
            </w:r>
          </w:p>
        </w:tc>
      </w:tr>
      <w:tr w:rsidR="008B6261" w14:paraId="53B38E9F" w14:textId="77777777">
        <w:trPr>
          <w:trHeight w:val="350"/>
        </w:trPr>
        <w:tc>
          <w:tcPr>
            <w:tcW w:w="4383" w:type="dxa"/>
          </w:tcPr>
          <w:p w14:paraId="53B38E9C" w14:textId="77777777" w:rsidR="008B6261" w:rsidRDefault="004C6B8B">
            <w:pPr>
              <w:pStyle w:val="TableParagraph"/>
              <w:ind w:left="738"/>
              <w:rPr>
                <w:sz w:val="20"/>
              </w:rPr>
            </w:pPr>
            <w:r>
              <w:rPr>
                <w:spacing w:val="-2"/>
                <w:sz w:val="20"/>
              </w:rPr>
              <w:t>Nasopharyngitis</w:t>
            </w:r>
          </w:p>
        </w:tc>
        <w:tc>
          <w:tcPr>
            <w:tcW w:w="1525" w:type="dxa"/>
          </w:tcPr>
          <w:p w14:paraId="53B38E9D" w14:textId="77777777" w:rsidR="008B6261" w:rsidRDefault="004C6B8B">
            <w:pPr>
              <w:pStyle w:val="TableParagraph"/>
              <w:ind w:right="271"/>
              <w:jc w:val="right"/>
              <w:rPr>
                <w:sz w:val="20"/>
              </w:rPr>
            </w:pPr>
            <w:r>
              <w:rPr>
                <w:sz w:val="20"/>
              </w:rPr>
              <w:t>26</w:t>
            </w:r>
            <w:r>
              <w:rPr>
                <w:spacing w:val="-2"/>
                <w:sz w:val="20"/>
              </w:rPr>
              <w:t xml:space="preserve"> (6.9)</w:t>
            </w:r>
          </w:p>
        </w:tc>
        <w:tc>
          <w:tcPr>
            <w:tcW w:w="2597" w:type="dxa"/>
          </w:tcPr>
          <w:p w14:paraId="53B38E9E" w14:textId="77777777" w:rsidR="008B6261" w:rsidRDefault="004C6B8B">
            <w:pPr>
              <w:pStyle w:val="TableParagraph"/>
              <w:ind w:left="936"/>
              <w:rPr>
                <w:sz w:val="20"/>
              </w:rPr>
            </w:pPr>
            <w:r>
              <w:rPr>
                <w:sz w:val="20"/>
              </w:rPr>
              <w:t>70</w:t>
            </w:r>
            <w:r>
              <w:rPr>
                <w:spacing w:val="-2"/>
                <w:sz w:val="20"/>
              </w:rPr>
              <w:t xml:space="preserve"> (9.3)</w:t>
            </w:r>
          </w:p>
        </w:tc>
      </w:tr>
      <w:tr w:rsidR="008B6261" w14:paraId="53B38EA3" w14:textId="77777777">
        <w:trPr>
          <w:trHeight w:val="349"/>
        </w:trPr>
        <w:tc>
          <w:tcPr>
            <w:tcW w:w="4383" w:type="dxa"/>
          </w:tcPr>
          <w:p w14:paraId="53B38EA0" w14:textId="77777777" w:rsidR="008B6261" w:rsidRDefault="004C6B8B">
            <w:pPr>
              <w:pStyle w:val="TableParagraph"/>
              <w:ind w:left="738"/>
              <w:rPr>
                <w:sz w:val="20"/>
              </w:rPr>
            </w:pPr>
            <w:r>
              <w:rPr>
                <w:spacing w:val="-2"/>
                <w:sz w:val="20"/>
              </w:rPr>
              <w:t>Influenza</w:t>
            </w:r>
          </w:p>
        </w:tc>
        <w:tc>
          <w:tcPr>
            <w:tcW w:w="1525" w:type="dxa"/>
          </w:tcPr>
          <w:p w14:paraId="53B38EA1" w14:textId="77777777" w:rsidR="008B6261" w:rsidRDefault="004C6B8B">
            <w:pPr>
              <w:pStyle w:val="TableParagraph"/>
              <w:ind w:right="271"/>
              <w:jc w:val="right"/>
              <w:rPr>
                <w:sz w:val="20"/>
              </w:rPr>
            </w:pPr>
            <w:r>
              <w:rPr>
                <w:sz w:val="20"/>
              </w:rPr>
              <w:t>13</w:t>
            </w:r>
            <w:r>
              <w:rPr>
                <w:spacing w:val="-2"/>
                <w:sz w:val="20"/>
              </w:rPr>
              <w:t xml:space="preserve"> (3.5)</w:t>
            </w:r>
          </w:p>
        </w:tc>
        <w:tc>
          <w:tcPr>
            <w:tcW w:w="2597" w:type="dxa"/>
          </w:tcPr>
          <w:p w14:paraId="53B38EA2" w14:textId="77777777" w:rsidR="008B6261" w:rsidRDefault="004C6B8B">
            <w:pPr>
              <w:pStyle w:val="TableParagraph"/>
              <w:ind w:left="936"/>
              <w:rPr>
                <w:sz w:val="20"/>
              </w:rPr>
            </w:pPr>
            <w:r>
              <w:rPr>
                <w:sz w:val="20"/>
              </w:rPr>
              <w:t>42</w:t>
            </w:r>
            <w:r>
              <w:rPr>
                <w:spacing w:val="-2"/>
                <w:sz w:val="20"/>
              </w:rPr>
              <w:t xml:space="preserve"> (5.6)</w:t>
            </w:r>
          </w:p>
        </w:tc>
      </w:tr>
      <w:tr w:rsidR="008B6261" w14:paraId="53B38EA7" w14:textId="77777777">
        <w:trPr>
          <w:trHeight w:val="349"/>
        </w:trPr>
        <w:tc>
          <w:tcPr>
            <w:tcW w:w="4383" w:type="dxa"/>
          </w:tcPr>
          <w:p w14:paraId="53B38EA4" w14:textId="77777777" w:rsidR="008B6261" w:rsidRDefault="004C6B8B">
            <w:pPr>
              <w:pStyle w:val="TableParagraph"/>
              <w:spacing w:before="58"/>
              <w:ind w:left="738"/>
              <w:rPr>
                <w:sz w:val="20"/>
              </w:rPr>
            </w:pPr>
            <w:r>
              <w:rPr>
                <w:sz w:val="20"/>
              </w:rPr>
              <w:t>Cystitis</w:t>
            </w:r>
            <w:r>
              <w:rPr>
                <w:spacing w:val="-12"/>
                <w:sz w:val="20"/>
              </w:rPr>
              <w:t xml:space="preserve"> </w:t>
            </w:r>
            <w:r>
              <w:rPr>
                <w:spacing w:val="-2"/>
                <w:sz w:val="20"/>
              </w:rPr>
              <w:t>bacterial</w:t>
            </w:r>
          </w:p>
        </w:tc>
        <w:tc>
          <w:tcPr>
            <w:tcW w:w="1525" w:type="dxa"/>
          </w:tcPr>
          <w:p w14:paraId="53B38EA5" w14:textId="77777777" w:rsidR="008B6261" w:rsidRDefault="004C6B8B">
            <w:pPr>
              <w:pStyle w:val="TableParagraph"/>
              <w:spacing w:before="58"/>
              <w:ind w:right="271"/>
              <w:jc w:val="right"/>
              <w:rPr>
                <w:sz w:val="20"/>
              </w:rPr>
            </w:pPr>
            <w:r>
              <w:rPr>
                <w:sz w:val="20"/>
              </w:rPr>
              <w:t>15</w:t>
            </w:r>
            <w:r>
              <w:rPr>
                <w:spacing w:val="-2"/>
                <w:sz w:val="20"/>
              </w:rPr>
              <w:t xml:space="preserve"> (4.0)</w:t>
            </w:r>
          </w:p>
        </w:tc>
        <w:tc>
          <w:tcPr>
            <w:tcW w:w="2597" w:type="dxa"/>
          </w:tcPr>
          <w:p w14:paraId="53B38EA6" w14:textId="77777777" w:rsidR="008B6261" w:rsidRDefault="004C6B8B">
            <w:pPr>
              <w:pStyle w:val="TableParagraph"/>
              <w:spacing w:before="58"/>
              <w:ind w:left="936"/>
              <w:rPr>
                <w:sz w:val="20"/>
              </w:rPr>
            </w:pPr>
            <w:r>
              <w:rPr>
                <w:sz w:val="20"/>
              </w:rPr>
              <w:t>31</w:t>
            </w:r>
            <w:r>
              <w:rPr>
                <w:spacing w:val="-2"/>
                <w:sz w:val="20"/>
              </w:rPr>
              <w:t xml:space="preserve"> (4.1)</w:t>
            </w:r>
          </w:p>
        </w:tc>
      </w:tr>
      <w:tr w:rsidR="008B6261" w14:paraId="53B38EAB" w14:textId="77777777">
        <w:trPr>
          <w:trHeight w:val="349"/>
        </w:trPr>
        <w:tc>
          <w:tcPr>
            <w:tcW w:w="4383" w:type="dxa"/>
          </w:tcPr>
          <w:p w14:paraId="53B38EA8" w14:textId="77777777" w:rsidR="008B6261" w:rsidRDefault="004C6B8B">
            <w:pPr>
              <w:pStyle w:val="TableParagraph"/>
              <w:ind w:left="738"/>
              <w:rPr>
                <w:sz w:val="20"/>
              </w:rPr>
            </w:pPr>
            <w:r>
              <w:rPr>
                <w:sz w:val="20"/>
              </w:rPr>
              <w:t>Upper</w:t>
            </w:r>
            <w:r>
              <w:rPr>
                <w:spacing w:val="-7"/>
                <w:sz w:val="20"/>
              </w:rPr>
              <w:t xml:space="preserve"> </w:t>
            </w:r>
            <w:r>
              <w:rPr>
                <w:sz w:val="20"/>
              </w:rPr>
              <w:t>respiratory</w:t>
            </w:r>
            <w:r>
              <w:rPr>
                <w:spacing w:val="-7"/>
                <w:sz w:val="20"/>
              </w:rPr>
              <w:t xml:space="preserve"> </w:t>
            </w:r>
            <w:r>
              <w:rPr>
                <w:sz w:val="20"/>
              </w:rPr>
              <w:t>tract</w:t>
            </w:r>
            <w:r>
              <w:rPr>
                <w:spacing w:val="-7"/>
                <w:sz w:val="20"/>
              </w:rPr>
              <w:t xml:space="preserve"> </w:t>
            </w:r>
            <w:r>
              <w:rPr>
                <w:spacing w:val="-2"/>
                <w:sz w:val="20"/>
              </w:rPr>
              <w:t>infection</w:t>
            </w:r>
          </w:p>
        </w:tc>
        <w:tc>
          <w:tcPr>
            <w:tcW w:w="1525" w:type="dxa"/>
          </w:tcPr>
          <w:p w14:paraId="53B38EA9" w14:textId="77777777" w:rsidR="008B6261" w:rsidRDefault="004C6B8B">
            <w:pPr>
              <w:pStyle w:val="TableParagraph"/>
              <w:ind w:right="271"/>
              <w:jc w:val="right"/>
              <w:rPr>
                <w:sz w:val="20"/>
              </w:rPr>
            </w:pPr>
            <w:r>
              <w:rPr>
                <w:sz w:val="20"/>
              </w:rPr>
              <w:t>18</w:t>
            </w:r>
            <w:r>
              <w:rPr>
                <w:spacing w:val="-2"/>
                <w:sz w:val="20"/>
              </w:rPr>
              <w:t xml:space="preserve"> (4.8)</w:t>
            </w:r>
          </w:p>
        </w:tc>
        <w:tc>
          <w:tcPr>
            <w:tcW w:w="2597" w:type="dxa"/>
          </w:tcPr>
          <w:p w14:paraId="53B38EAA" w14:textId="77777777" w:rsidR="008B6261" w:rsidRDefault="004C6B8B">
            <w:pPr>
              <w:pStyle w:val="TableParagraph"/>
              <w:ind w:left="935"/>
              <w:rPr>
                <w:sz w:val="20"/>
              </w:rPr>
            </w:pPr>
            <w:r>
              <w:rPr>
                <w:sz w:val="20"/>
              </w:rPr>
              <w:t>31</w:t>
            </w:r>
            <w:r>
              <w:rPr>
                <w:spacing w:val="-2"/>
                <w:sz w:val="20"/>
              </w:rPr>
              <w:t xml:space="preserve"> (4.1)</w:t>
            </w:r>
          </w:p>
        </w:tc>
      </w:tr>
      <w:tr w:rsidR="008B6261" w14:paraId="53B38EAF" w14:textId="77777777">
        <w:trPr>
          <w:trHeight w:val="349"/>
        </w:trPr>
        <w:tc>
          <w:tcPr>
            <w:tcW w:w="4383" w:type="dxa"/>
          </w:tcPr>
          <w:p w14:paraId="53B38EAC" w14:textId="77777777" w:rsidR="008B6261" w:rsidRDefault="004C6B8B">
            <w:pPr>
              <w:pStyle w:val="TableParagraph"/>
              <w:spacing w:before="58"/>
              <w:ind w:left="738"/>
              <w:rPr>
                <w:sz w:val="20"/>
              </w:rPr>
            </w:pPr>
            <w:r>
              <w:rPr>
                <w:spacing w:val="-2"/>
                <w:sz w:val="20"/>
              </w:rPr>
              <w:t>Cystitis</w:t>
            </w:r>
          </w:p>
        </w:tc>
        <w:tc>
          <w:tcPr>
            <w:tcW w:w="1525" w:type="dxa"/>
          </w:tcPr>
          <w:p w14:paraId="53B38EAD" w14:textId="77777777" w:rsidR="008B6261" w:rsidRDefault="004C6B8B">
            <w:pPr>
              <w:pStyle w:val="TableParagraph"/>
              <w:spacing w:before="58"/>
              <w:ind w:right="272"/>
              <w:jc w:val="right"/>
              <w:rPr>
                <w:sz w:val="20"/>
              </w:rPr>
            </w:pPr>
            <w:r>
              <w:rPr>
                <w:sz w:val="20"/>
              </w:rPr>
              <w:t>14</w:t>
            </w:r>
            <w:r>
              <w:rPr>
                <w:spacing w:val="-2"/>
                <w:sz w:val="20"/>
              </w:rPr>
              <w:t xml:space="preserve"> (3.7)</w:t>
            </w:r>
          </w:p>
        </w:tc>
        <w:tc>
          <w:tcPr>
            <w:tcW w:w="2597" w:type="dxa"/>
          </w:tcPr>
          <w:p w14:paraId="53B38EAE" w14:textId="77777777" w:rsidR="008B6261" w:rsidRDefault="004C6B8B">
            <w:pPr>
              <w:pStyle w:val="TableParagraph"/>
              <w:spacing w:before="58"/>
              <w:ind w:left="935"/>
              <w:rPr>
                <w:sz w:val="20"/>
              </w:rPr>
            </w:pPr>
            <w:r>
              <w:rPr>
                <w:sz w:val="20"/>
              </w:rPr>
              <w:t>29</w:t>
            </w:r>
            <w:r>
              <w:rPr>
                <w:spacing w:val="-2"/>
                <w:sz w:val="20"/>
              </w:rPr>
              <w:t xml:space="preserve"> (3.9)</w:t>
            </w:r>
          </w:p>
        </w:tc>
      </w:tr>
      <w:tr w:rsidR="008B6261" w14:paraId="53B38EB3" w14:textId="77777777">
        <w:trPr>
          <w:trHeight w:val="350"/>
        </w:trPr>
        <w:tc>
          <w:tcPr>
            <w:tcW w:w="4383" w:type="dxa"/>
          </w:tcPr>
          <w:p w14:paraId="53B38EB0" w14:textId="77777777" w:rsidR="008B6261" w:rsidRDefault="004C6B8B">
            <w:pPr>
              <w:pStyle w:val="TableParagraph"/>
              <w:ind w:left="737"/>
              <w:rPr>
                <w:sz w:val="20"/>
              </w:rPr>
            </w:pPr>
            <w:r>
              <w:rPr>
                <w:sz w:val="20"/>
              </w:rPr>
              <w:t>Viral</w:t>
            </w:r>
            <w:r>
              <w:rPr>
                <w:spacing w:val="-7"/>
                <w:sz w:val="20"/>
              </w:rPr>
              <w:t xml:space="preserve"> </w:t>
            </w:r>
            <w:r>
              <w:rPr>
                <w:sz w:val="20"/>
              </w:rPr>
              <w:t>upper</w:t>
            </w:r>
            <w:r>
              <w:rPr>
                <w:spacing w:val="-6"/>
                <w:sz w:val="20"/>
              </w:rPr>
              <w:t xml:space="preserve"> </w:t>
            </w:r>
            <w:r>
              <w:rPr>
                <w:sz w:val="20"/>
              </w:rPr>
              <w:t>respiratory</w:t>
            </w:r>
            <w:r>
              <w:rPr>
                <w:spacing w:val="-7"/>
                <w:sz w:val="20"/>
              </w:rPr>
              <w:t xml:space="preserve"> </w:t>
            </w:r>
            <w:r>
              <w:rPr>
                <w:sz w:val="20"/>
              </w:rPr>
              <w:t>tract</w:t>
            </w:r>
            <w:r>
              <w:rPr>
                <w:spacing w:val="-6"/>
                <w:sz w:val="20"/>
              </w:rPr>
              <w:t xml:space="preserve"> </w:t>
            </w:r>
            <w:r>
              <w:rPr>
                <w:spacing w:val="-2"/>
                <w:sz w:val="20"/>
              </w:rPr>
              <w:t>infection</w:t>
            </w:r>
          </w:p>
        </w:tc>
        <w:tc>
          <w:tcPr>
            <w:tcW w:w="1525" w:type="dxa"/>
          </w:tcPr>
          <w:p w14:paraId="53B38EB1" w14:textId="77777777" w:rsidR="008B6261" w:rsidRDefault="004C6B8B">
            <w:pPr>
              <w:pStyle w:val="TableParagraph"/>
              <w:ind w:right="272"/>
              <w:jc w:val="right"/>
              <w:rPr>
                <w:sz w:val="20"/>
              </w:rPr>
            </w:pPr>
            <w:r>
              <w:rPr>
                <w:sz w:val="20"/>
              </w:rPr>
              <w:t>12</w:t>
            </w:r>
            <w:r>
              <w:rPr>
                <w:spacing w:val="-2"/>
                <w:sz w:val="20"/>
              </w:rPr>
              <w:t xml:space="preserve"> (3.2)</w:t>
            </w:r>
          </w:p>
        </w:tc>
        <w:tc>
          <w:tcPr>
            <w:tcW w:w="2597" w:type="dxa"/>
          </w:tcPr>
          <w:p w14:paraId="53B38EB2" w14:textId="77777777" w:rsidR="008B6261" w:rsidRDefault="004C6B8B">
            <w:pPr>
              <w:pStyle w:val="TableParagraph"/>
              <w:ind w:left="935"/>
              <w:rPr>
                <w:sz w:val="20"/>
              </w:rPr>
            </w:pPr>
            <w:r>
              <w:rPr>
                <w:sz w:val="20"/>
              </w:rPr>
              <w:t>28</w:t>
            </w:r>
            <w:r>
              <w:rPr>
                <w:spacing w:val="-2"/>
                <w:sz w:val="20"/>
              </w:rPr>
              <w:t xml:space="preserve"> (3.7)</w:t>
            </w:r>
          </w:p>
        </w:tc>
      </w:tr>
      <w:tr w:rsidR="008B6261" w14:paraId="53B38EB7" w14:textId="77777777">
        <w:trPr>
          <w:trHeight w:val="349"/>
        </w:trPr>
        <w:tc>
          <w:tcPr>
            <w:tcW w:w="4383" w:type="dxa"/>
          </w:tcPr>
          <w:p w14:paraId="53B38EB4" w14:textId="77777777" w:rsidR="008B6261" w:rsidRDefault="004C6B8B">
            <w:pPr>
              <w:pStyle w:val="TableParagraph"/>
              <w:ind w:left="737"/>
              <w:rPr>
                <w:sz w:val="20"/>
              </w:rPr>
            </w:pPr>
            <w:r>
              <w:rPr>
                <w:spacing w:val="-2"/>
                <w:sz w:val="20"/>
              </w:rPr>
              <w:t>Bronchitis</w:t>
            </w:r>
          </w:p>
        </w:tc>
        <w:tc>
          <w:tcPr>
            <w:tcW w:w="1525" w:type="dxa"/>
          </w:tcPr>
          <w:p w14:paraId="53B38EB5" w14:textId="77777777" w:rsidR="008B6261" w:rsidRDefault="004C6B8B">
            <w:pPr>
              <w:pStyle w:val="TableParagraph"/>
              <w:ind w:right="318"/>
              <w:jc w:val="right"/>
              <w:rPr>
                <w:sz w:val="20"/>
              </w:rPr>
            </w:pPr>
            <w:r>
              <w:rPr>
                <w:sz w:val="20"/>
              </w:rPr>
              <w:t>5</w:t>
            </w:r>
            <w:r>
              <w:rPr>
                <w:spacing w:val="-1"/>
                <w:sz w:val="20"/>
              </w:rPr>
              <w:t xml:space="preserve"> </w:t>
            </w:r>
            <w:r>
              <w:rPr>
                <w:spacing w:val="-2"/>
                <w:sz w:val="20"/>
              </w:rPr>
              <w:t>(1.3)</w:t>
            </w:r>
          </w:p>
        </w:tc>
        <w:tc>
          <w:tcPr>
            <w:tcW w:w="2597" w:type="dxa"/>
          </w:tcPr>
          <w:p w14:paraId="53B38EB6" w14:textId="77777777" w:rsidR="008B6261" w:rsidRDefault="004C6B8B">
            <w:pPr>
              <w:pStyle w:val="TableParagraph"/>
              <w:ind w:left="935"/>
              <w:rPr>
                <w:sz w:val="20"/>
              </w:rPr>
            </w:pPr>
            <w:r>
              <w:rPr>
                <w:sz w:val="20"/>
              </w:rPr>
              <w:t>19</w:t>
            </w:r>
            <w:r>
              <w:rPr>
                <w:spacing w:val="-2"/>
                <w:sz w:val="20"/>
              </w:rPr>
              <w:t xml:space="preserve"> (2.5)</w:t>
            </w:r>
          </w:p>
        </w:tc>
      </w:tr>
      <w:tr w:rsidR="008B6261" w14:paraId="53B38EBB" w14:textId="77777777">
        <w:trPr>
          <w:trHeight w:val="349"/>
        </w:trPr>
        <w:tc>
          <w:tcPr>
            <w:tcW w:w="4383" w:type="dxa"/>
          </w:tcPr>
          <w:p w14:paraId="53B38EB8" w14:textId="77777777" w:rsidR="008B6261" w:rsidRDefault="004C6B8B">
            <w:pPr>
              <w:pStyle w:val="TableParagraph"/>
              <w:spacing w:before="58"/>
              <w:ind w:left="737"/>
              <w:rPr>
                <w:sz w:val="20"/>
              </w:rPr>
            </w:pPr>
            <w:r>
              <w:rPr>
                <w:spacing w:val="-2"/>
                <w:sz w:val="20"/>
              </w:rPr>
              <w:t>Pharyngitis</w:t>
            </w:r>
          </w:p>
        </w:tc>
        <w:tc>
          <w:tcPr>
            <w:tcW w:w="1525" w:type="dxa"/>
          </w:tcPr>
          <w:p w14:paraId="53B38EB9" w14:textId="77777777" w:rsidR="008B6261" w:rsidRDefault="004C6B8B">
            <w:pPr>
              <w:pStyle w:val="TableParagraph"/>
              <w:spacing w:before="58"/>
              <w:ind w:right="318"/>
              <w:jc w:val="right"/>
              <w:rPr>
                <w:sz w:val="20"/>
              </w:rPr>
            </w:pPr>
            <w:r>
              <w:rPr>
                <w:sz w:val="20"/>
              </w:rPr>
              <w:t>4</w:t>
            </w:r>
            <w:r>
              <w:rPr>
                <w:spacing w:val="-1"/>
                <w:sz w:val="20"/>
              </w:rPr>
              <w:t xml:space="preserve"> </w:t>
            </w:r>
            <w:r>
              <w:rPr>
                <w:spacing w:val="-2"/>
                <w:sz w:val="20"/>
              </w:rPr>
              <w:t>(1.1)</w:t>
            </w:r>
          </w:p>
        </w:tc>
        <w:tc>
          <w:tcPr>
            <w:tcW w:w="2597" w:type="dxa"/>
          </w:tcPr>
          <w:p w14:paraId="53B38EBA" w14:textId="77777777" w:rsidR="008B6261" w:rsidRDefault="004C6B8B">
            <w:pPr>
              <w:pStyle w:val="TableParagraph"/>
              <w:spacing w:before="58"/>
              <w:ind w:left="935"/>
              <w:rPr>
                <w:sz w:val="20"/>
              </w:rPr>
            </w:pPr>
            <w:r>
              <w:rPr>
                <w:sz w:val="20"/>
              </w:rPr>
              <w:t>17</w:t>
            </w:r>
            <w:r>
              <w:rPr>
                <w:spacing w:val="-2"/>
                <w:sz w:val="20"/>
              </w:rPr>
              <w:t xml:space="preserve"> (2.3)</w:t>
            </w:r>
          </w:p>
        </w:tc>
      </w:tr>
      <w:tr w:rsidR="008B6261" w14:paraId="53B38EBF" w14:textId="77777777">
        <w:trPr>
          <w:trHeight w:val="350"/>
        </w:trPr>
        <w:tc>
          <w:tcPr>
            <w:tcW w:w="4383" w:type="dxa"/>
          </w:tcPr>
          <w:p w14:paraId="53B38EBC" w14:textId="77777777" w:rsidR="008B6261" w:rsidRDefault="004C6B8B">
            <w:pPr>
              <w:pStyle w:val="TableParagraph"/>
              <w:ind w:left="17"/>
              <w:rPr>
                <w:sz w:val="20"/>
              </w:rPr>
            </w:pPr>
            <w:r>
              <w:rPr>
                <w:sz w:val="20"/>
              </w:rPr>
              <w:t>Blood</w:t>
            </w:r>
            <w:r>
              <w:rPr>
                <w:spacing w:val="-7"/>
                <w:sz w:val="20"/>
              </w:rPr>
              <w:t xml:space="preserve"> </w:t>
            </w:r>
            <w:r>
              <w:rPr>
                <w:sz w:val="20"/>
              </w:rPr>
              <w:t>and</w:t>
            </w:r>
            <w:r>
              <w:rPr>
                <w:spacing w:val="-7"/>
                <w:sz w:val="20"/>
              </w:rPr>
              <w:t xml:space="preserve"> </w:t>
            </w:r>
            <w:r>
              <w:rPr>
                <w:sz w:val="20"/>
              </w:rPr>
              <w:t>lymphatic</w:t>
            </w:r>
            <w:r>
              <w:rPr>
                <w:spacing w:val="-5"/>
                <w:sz w:val="20"/>
              </w:rPr>
              <w:t xml:space="preserve"> </w:t>
            </w:r>
            <w:r>
              <w:rPr>
                <w:sz w:val="20"/>
              </w:rPr>
              <w:t>system</w:t>
            </w:r>
            <w:r>
              <w:rPr>
                <w:spacing w:val="-7"/>
                <w:sz w:val="20"/>
              </w:rPr>
              <w:t xml:space="preserve"> </w:t>
            </w:r>
            <w:r>
              <w:rPr>
                <w:spacing w:val="-2"/>
                <w:sz w:val="20"/>
              </w:rPr>
              <w:t>disorders</w:t>
            </w:r>
          </w:p>
        </w:tc>
        <w:tc>
          <w:tcPr>
            <w:tcW w:w="1525" w:type="dxa"/>
          </w:tcPr>
          <w:p w14:paraId="53B38EBD" w14:textId="77777777" w:rsidR="008B6261" w:rsidRDefault="004C6B8B">
            <w:pPr>
              <w:pStyle w:val="TableParagraph"/>
              <w:ind w:right="272"/>
              <w:jc w:val="right"/>
              <w:rPr>
                <w:sz w:val="20"/>
              </w:rPr>
            </w:pPr>
            <w:r>
              <w:rPr>
                <w:sz w:val="20"/>
              </w:rPr>
              <w:t>19</w:t>
            </w:r>
            <w:r>
              <w:rPr>
                <w:spacing w:val="-2"/>
                <w:sz w:val="20"/>
              </w:rPr>
              <w:t xml:space="preserve"> (5.1)</w:t>
            </w:r>
          </w:p>
        </w:tc>
        <w:tc>
          <w:tcPr>
            <w:tcW w:w="2597" w:type="dxa"/>
          </w:tcPr>
          <w:p w14:paraId="53B38EBE" w14:textId="77777777" w:rsidR="008B6261" w:rsidRDefault="004C6B8B">
            <w:pPr>
              <w:pStyle w:val="TableParagraph"/>
              <w:ind w:left="935"/>
              <w:rPr>
                <w:sz w:val="20"/>
              </w:rPr>
            </w:pPr>
            <w:r>
              <w:rPr>
                <w:sz w:val="20"/>
              </w:rPr>
              <w:t>64</w:t>
            </w:r>
            <w:r>
              <w:rPr>
                <w:spacing w:val="-2"/>
                <w:sz w:val="20"/>
              </w:rPr>
              <w:t xml:space="preserve"> (8.5)</w:t>
            </w:r>
          </w:p>
        </w:tc>
      </w:tr>
      <w:tr w:rsidR="008B6261" w14:paraId="53B38EC3" w14:textId="77777777">
        <w:trPr>
          <w:trHeight w:val="349"/>
        </w:trPr>
        <w:tc>
          <w:tcPr>
            <w:tcW w:w="4383" w:type="dxa"/>
          </w:tcPr>
          <w:p w14:paraId="53B38EC0" w14:textId="77777777" w:rsidR="008B6261" w:rsidRDefault="004C6B8B">
            <w:pPr>
              <w:pStyle w:val="TableParagraph"/>
              <w:ind w:left="737"/>
              <w:rPr>
                <w:sz w:val="20"/>
              </w:rPr>
            </w:pPr>
            <w:r>
              <w:rPr>
                <w:spacing w:val="-2"/>
                <w:sz w:val="20"/>
              </w:rPr>
              <w:t>Anaemia</w:t>
            </w:r>
          </w:p>
        </w:tc>
        <w:tc>
          <w:tcPr>
            <w:tcW w:w="1525" w:type="dxa"/>
          </w:tcPr>
          <w:p w14:paraId="53B38EC1" w14:textId="77777777" w:rsidR="008B6261" w:rsidRDefault="004C6B8B">
            <w:pPr>
              <w:pStyle w:val="TableParagraph"/>
              <w:ind w:right="318"/>
              <w:jc w:val="right"/>
              <w:rPr>
                <w:sz w:val="20"/>
              </w:rPr>
            </w:pPr>
            <w:r>
              <w:rPr>
                <w:sz w:val="20"/>
              </w:rPr>
              <w:t>2</w:t>
            </w:r>
            <w:r>
              <w:rPr>
                <w:spacing w:val="-1"/>
                <w:sz w:val="20"/>
              </w:rPr>
              <w:t xml:space="preserve"> </w:t>
            </w:r>
            <w:r>
              <w:rPr>
                <w:spacing w:val="-2"/>
                <w:sz w:val="20"/>
              </w:rPr>
              <w:t>(0.5)</w:t>
            </w:r>
          </w:p>
        </w:tc>
        <w:tc>
          <w:tcPr>
            <w:tcW w:w="2597" w:type="dxa"/>
          </w:tcPr>
          <w:p w14:paraId="53B38EC2" w14:textId="77777777" w:rsidR="008B6261" w:rsidRDefault="004C6B8B">
            <w:pPr>
              <w:pStyle w:val="TableParagraph"/>
              <w:ind w:left="935"/>
              <w:rPr>
                <w:sz w:val="20"/>
              </w:rPr>
            </w:pPr>
            <w:r>
              <w:rPr>
                <w:sz w:val="20"/>
              </w:rPr>
              <w:t>16</w:t>
            </w:r>
            <w:r>
              <w:rPr>
                <w:spacing w:val="-2"/>
                <w:sz w:val="20"/>
              </w:rPr>
              <w:t xml:space="preserve"> (2.1)</w:t>
            </w:r>
          </w:p>
        </w:tc>
      </w:tr>
      <w:tr w:rsidR="008B6261" w14:paraId="53B38EC7" w14:textId="77777777">
        <w:trPr>
          <w:trHeight w:val="349"/>
        </w:trPr>
        <w:tc>
          <w:tcPr>
            <w:tcW w:w="4383" w:type="dxa"/>
          </w:tcPr>
          <w:p w14:paraId="53B38EC4" w14:textId="77777777" w:rsidR="008B6261" w:rsidRDefault="004C6B8B">
            <w:pPr>
              <w:pStyle w:val="TableParagraph"/>
              <w:spacing w:before="58"/>
              <w:ind w:left="737"/>
              <w:rPr>
                <w:sz w:val="20"/>
              </w:rPr>
            </w:pPr>
            <w:r>
              <w:rPr>
                <w:spacing w:val="-2"/>
                <w:sz w:val="20"/>
              </w:rPr>
              <w:t>Neutropenia</w:t>
            </w:r>
          </w:p>
        </w:tc>
        <w:tc>
          <w:tcPr>
            <w:tcW w:w="1525" w:type="dxa"/>
          </w:tcPr>
          <w:p w14:paraId="53B38EC5" w14:textId="77777777" w:rsidR="008B6261" w:rsidRDefault="004C6B8B">
            <w:pPr>
              <w:pStyle w:val="TableParagraph"/>
              <w:spacing w:before="58"/>
              <w:ind w:right="318"/>
              <w:jc w:val="right"/>
              <w:rPr>
                <w:sz w:val="20"/>
              </w:rPr>
            </w:pPr>
            <w:r>
              <w:rPr>
                <w:sz w:val="20"/>
              </w:rPr>
              <w:t>8</w:t>
            </w:r>
            <w:r>
              <w:rPr>
                <w:spacing w:val="-1"/>
                <w:sz w:val="20"/>
              </w:rPr>
              <w:t xml:space="preserve"> </w:t>
            </w:r>
            <w:r>
              <w:rPr>
                <w:spacing w:val="-2"/>
                <w:sz w:val="20"/>
              </w:rPr>
              <w:t>(2.1)</w:t>
            </w:r>
          </w:p>
        </w:tc>
        <w:tc>
          <w:tcPr>
            <w:tcW w:w="2597" w:type="dxa"/>
          </w:tcPr>
          <w:p w14:paraId="53B38EC6" w14:textId="77777777" w:rsidR="008B6261" w:rsidRDefault="004C6B8B">
            <w:pPr>
              <w:pStyle w:val="TableParagraph"/>
              <w:spacing w:before="58"/>
              <w:ind w:left="935"/>
              <w:rPr>
                <w:sz w:val="20"/>
              </w:rPr>
            </w:pPr>
            <w:r>
              <w:rPr>
                <w:sz w:val="20"/>
              </w:rPr>
              <w:t>12</w:t>
            </w:r>
            <w:r>
              <w:rPr>
                <w:spacing w:val="-2"/>
                <w:sz w:val="20"/>
              </w:rPr>
              <w:t xml:space="preserve"> (1.6)</w:t>
            </w:r>
          </w:p>
        </w:tc>
      </w:tr>
      <w:tr w:rsidR="008B6261" w14:paraId="53B38ECB" w14:textId="77777777">
        <w:trPr>
          <w:trHeight w:val="349"/>
        </w:trPr>
        <w:tc>
          <w:tcPr>
            <w:tcW w:w="4383" w:type="dxa"/>
          </w:tcPr>
          <w:p w14:paraId="53B38EC8" w14:textId="77777777" w:rsidR="008B6261" w:rsidRDefault="004C6B8B">
            <w:pPr>
              <w:pStyle w:val="TableParagraph"/>
              <w:ind w:left="17"/>
              <w:rPr>
                <w:sz w:val="20"/>
              </w:rPr>
            </w:pPr>
            <w:r>
              <w:rPr>
                <w:spacing w:val="-2"/>
                <w:sz w:val="20"/>
              </w:rPr>
              <w:t>Psychiatric</w:t>
            </w:r>
            <w:r>
              <w:rPr>
                <w:spacing w:val="7"/>
                <w:sz w:val="20"/>
              </w:rPr>
              <w:t xml:space="preserve"> </w:t>
            </w:r>
            <w:r>
              <w:rPr>
                <w:spacing w:val="-2"/>
                <w:sz w:val="20"/>
              </w:rPr>
              <w:t>disorders</w:t>
            </w:r>
          </w:p>
        </w:tc>
        <w:tc>
          <w:tcPr>
            <w:tcW w:w="1525" w:type="dxa"/>
          </w:tcPr>
          <w:p w14:paraId="53B38EC9" w14:textId="77777777" w:rsidR="008B6261" w:rsidRDefault="004C6B8B">
            <w:pPr>
              <w:pStyle w:val="TableParagraph"/>
              <w:ind w:right="272"/>
              <w:jc w:val="right"/>
              <w:rPr>
                <w:sz w:val="20"/>
              </w:rPr>
            </w:pPr>
            <w:r>
              <w:rPr>
                <w:sz w:val="20"/>
              </w:rPr>
              <w:t>30</w:t>
            </w:r>
            <w:r>
              <w:rPr>
                <w:spacing w:val="-2"/>
                <w:sz w:val="20"/>
              </w:rPr>
              <w:t xml:space="preserve"> (8.0)</w:t>
            </w:r>
          </w:p>
        </w:tc>
        <w:tc>
          <w:tcPr>
            <w:tcW w:w="2597" w:type="dxa"/>
          </w:tcPr>
          <w:p w14:paraId="53B38ECA" w14:textId="77777777" w:rsidR="008B6261" w:rsidRDefault="004C6B8B">
            <w:pPr>
              <w:pStyle w:val="TableParagraph"/>
              <w:ind w:left="934"/>
              <w:rPr>
                <w:sz w:val="20"/>
              </w:rPr>
            </w:pPr>
            <w:r>
              <w:rPr>
                <w:sz w:val="20"/>
              </w:rPr>
              <w:t>65</w:t>
            </w:r>
            <w:r>
              <w:rPr>
                <w:spacing w:val="-2"/>
                <w:sz w:val="20"/>
              </w:rPr>
              <w:t xml:space="preserve"> (8.6)</w:t>
            </w:r>
          </w:p>
        </w:tc>
      </w:tr>
      <w:tr w:rsidR="008B6261" w14:paraId="53B38ECF" w14:textId="77777777">
        <w:trPr>
          <w:trHeight w:val="349"/>
        </w:trPr>
        <w:tc>
          <w:tcPr>
            <w:tcW w:w="4383" w:type="dxa"/>
          </w:tcPr>
          <w:p w14:paraId="53B38ECC" w14:textId="77777777" w:rsidR="008B6261" w:rsidRDefault="004C6B8B">
            <w:pPr>
              <w:pStyle w:val="TableParagraph"/>
              <w:spacing w:before="58"/>
              <w:ind w:left="737"/>
              <w:rPr>
                <w:sz w:val="20"/>
              </w:rPr>
            </w:pPr>
            <w:r>
              <w:rPr>
                <w:spacing w:val="-2"/>
                <w:sz w:val="20"/>
              </w:rPr>
              <w:t>Depression</w:t>
            </w:r>
          </w:p>
        </w:tc>
        <w:tc>
          <w:tcPr>
            <w:tcW w:w="1525" w:type="dxa"/>
          </w:tcPr>
          <w:p w14:paraId="53B38ECD" w14:textId="77777777" w:rsidR="008B6261" w:rsidRDefault="004C6B8B">
            <w:pPr>
              <w:pStyle w:val="TableParagraph"/>
              <w:spacing w:before="58"/>
              <w:ind w:right="318"/>
              <w:jc w:val="right"/>
              <w:rPr>
                <w:sz w:val="20"/>
              </w:rPr>
            </w:pPr>
            <w:r>
              <w:rPr>
                <w:sz w:val="20"/>
              </w:rPr>
              <w:t>2</w:t>
            </w:r>
            <w:r>
              <w:rPr>
                <w:spacing w:val="-1"/>
                <w:sz w:val="20"/>
              </w:rPr>
              <w:t xml:space="preserve"> </w:t>
            </w:r>
            <w:r>
              <w:rPr>
                <w:spacing w:val="-2"/>
                <w:sz w:val="20"/>
              </w:rPr>
              <w:t>(0.5)</w:t>
            </w:r>
          </w:p>
        </w:tc>
        <w:tc>
          <w:tcPr>
            <w:tcW w:w="2597" w:type="dxa"/>
          </w:tcPr>
          <w:p w14:paraId="53B38ECE" w14:textId="77777777" w:rsidR="008B6261" w:rsidRDefault="004C6B8B">
            <w:pPr>
              <w:pStyle w:val="TableParagraph"/>
              <w:spacing w:before="58"/>
              <w:ind w:left="934"/>
              <w:rPr>
                <w:sz w:val="20"/>
              </w:rPr>
            </w:pPr>
            <w:r>
              <w:rPr>
                <w:sz w:val="20"/>
              </w:rPr>
              <w:t>17</w:t>
            </w:r>
            <w:r>
              <w:rPr>
                <w:spacing w:val="-2"/>
                <w:sz w:val="20"/>
              </w:rPr>
              <w:t xml:space="preserve"> (2.3)</w:t>
            </w:r>
          </w:p>
        </w:tc>
      </w:tr>
      <w:tr w:rsidR="008B6261" w14:paraId="53B38ED3" w14:textId="77777777">
        <w:trPr>
          <w:trHeight w:val="350"/>
        </w:trPr>
        <w:tc>
          <w:tcPr>
            <w:tcW w:w="4383" w:type="dxa"/>
          </w:tcPr>
          <w:p w14:paraId="53B38ED0" w14:textId="77777777" w:rsidR="008B6261" w:rsidRDefault="004C6B8B">
            <w:pPr>
              <w:pStyle w:val="TableParagraph"/>
              <w:ind w:left="737"/>
              <w:rPr>
                <w:sz w:val="20"/>
              </w:rPr>
            </w:pPr>
            <w:r>
              <w:rPr>
                <w:spacing w:val="-2"/>
                <w:sz w:val="20"/>
              </w:rPr>
              <w:t>Insomnia</w:t>
            </w:r>
          </w:p>
        </w:tc>
        <w:tc>
          <w:tcPr>
            <w:tcW w:w="1525" w:type="dxa"/>
          </w:tcPr>
          <w:p w14:paraId="53B38ED1" w14:textId="77777777" w:rsidR="008B6261" w:rsidRDefault="004C6B8B">
            <w:pPr>
              <w:pStyle w:val="TableParagraph"/>
              <w:ind w:right="273"/>
              <w:jc w:val="right"/>
              <w:rPr>
                <w:sz w:val="20"/>
              </w:rPr>
            </w:pPr>
            <w:r>
              <w:rPr>
                <w:sz w:val="20"/>
              </w:rPr>
              <w:t>11</w:t>
            </w:r>
            <w:r>
              <w:rPr>
                <w:spacing w:val="-2"/>
                <w:sz w:val="20"/>
              </w:rPr>
              <w:t xml:space="preserve"> (2.9)</w:t>
            </w:r>
          </w:p>
        </w:tc>
        <w:tc>
          <w:tcPr>
            <w:tcW w:w="2597" w:type="dxa"/>
          </w:tcPr>
          <w:p w14:paraId="53B38ED2" w14:textId="77777777" w:rsidR="008B6261" w:rsidRDefault="004C6B8B">
            <w:pPr>
              <w:pStyle w:val="TableParagraph"/>
              <w:ind w:left="934"/>
              <w:rPr>
                <w:sz w:val="20"/>
              </w:rPr>
            </w:pPr>
            <w:r>
              <w:rPr>
                <w:sz w:val="20"/>
              </w:rPr>
              <w:t>16</w:t>
            </w:r>
            <w:r>
              <w:rPr>
                <w:spacing w:val="-2"/>
                <w:sz w:val="20"/>
              </w:rPr>
              <w:t xml:space="preserve"> (2.1)</w:t>
            </w:r>
          </w:p>
        </w:tc>
      </w:tr>
      <w:tr w:rsidR="008B6261" w14:paraId="53B38ED7" w14:textId="77777777">
        <w:trPr>
          <w:trHeight w:val="349"/>
        </w:trPr>
        <w:tc>
          <w:tcPr>
            <w:tcW w:w="4383" w:type="dxa"/>
          </w:tcPr>
          <w:p w14:paraId="53B38ED4" w14:textId="77777777" w:rsidR="008B6261" w:rsidRDefault="004C6B8B">
            <w:pPr>
              <w:pStyle w:val="TableParagraph"/>
              <w:ind w:left="17"/>
              <w:rPr>
                <w:sz w:val="20"/>
              </w:rPr>
            </w:pPr>
            <w:r>
              <w:rPr>
                <w:sz w:val="20"/>
              </w:rPr>
              <w:t>Nervous</w:t>
            </w:r>
            <w:r>
              <w:rPr>
                <w:spacing w:val="-10"/>
                <w:sz w:val="20"/>
              </w:rPr>
              <w:t xml:space="preserve"> </w:t>
            </w:r>
            <w:r>
              <w:rPr>
                <w:sz w:val="20"/>
              </w:rPr>
              <w:t>system</w:t>
            </w:r>
            <w:r>
              <w:rPr>
                <w:spacing w:val="-8"/>
                <w:sz w:val="20"/>
              </w:rPr>
              <w:t xml:space="preserve"> </w:t>
            </w:r>
            <w:r>
              <w:rPr>
                <w:spacing w:val="-2"/>
                <w:sz w:val="20"/>
              </w:rPr>
              <w:t>disorders</w:t>
            </w:r>
          </w:p>
        </w:tc>
        <w:tc>
          <w:tcPr>
            <w:tcW w:w="1525" w:type="dxa"/>
          </w:tcPr>
          <w:p w14:paraId="53B38ED5" w14:textId="77777777" w:rsidR="008B6261" w:rsidRDefault="004C6B8B">
            <w:pPr>
              <w:pStyle w:val="TableParagraph"/>
              <w:ind w:right="227"/>
              <w:jc w:val="right"/>
              <w:rPr>
                <w:sz w:val="20"/>
              </w:rPr>
            </w:pPr>
            <w:r>
              <w:rPr>
                <w:sz w:val="20"/>
              </w:rPr>
              <w:t>77</w:t>
            </w:r>
            <w:r>
              <w:rPr>
                <w:spacing w:val="-2"/>
                <w:sz w:val="20"/>
              </w:rPr>
              <w:t xml:space="preserve"> (20.5)</w:t>
            </w:r>
          </w:p>
        </w:tc>
        <w:tc>
          <w:tcPr>
            <w:tcW w:w="2597" w:type="dxa"/>
          </w:tcPr>
          <w:p w14:paraId="53B38ED6" w14:textId="77777777" w:rsidR="008B6261" w:rsidRDefault="004C6B8B">
            <w:pPr>
              <w:pStyle w:val="TableParagraph"/>
              <w:ind w:left="843"/>
              <w:rPr>
                <w:sz w:val="20"/>
              </w:rPr>
            </w:pPr>
            <w:r>
              <w:rPr>
                <w:sz w:val="20"/>
              </w:rPr>
              <w:t>176</w:t>
            </w:r>
            <w:r>
              <w:rPr>
                <w:spacing w:val="-3"/>
                <w:sz w:val="20"/>
              </w:rPr>
              <w:t xml:space="preserve"> </w:t>
            </w:r>
            <w:r>
              <w:rPr>
                <w:spacing w:val="-2"/>
                <w:sz w:val="20"/>
              </w:rPr>
              <w:t>(23.4)</w:t>
            </w:r>
          </w:p>
        </w:tc>
      </w:tr>
      <w:tr w:rsidR="008B6261" w14:paraId="53B38EDB" w14:textId="77777777">
        <w:trPr>
          <w:trHeight w:val="349"/>
        </w:trPr>
        <w:tc>
          <w:tcPr>
            <w:tcW w:w="4383" w:type="dxa"/>
          </w:tcPr>
          <w:p w14:paraId="53B38ED8" w14:textId="77777777" w:rsidR="008B6261" w:rsidRDefault="004C6B8B">
            <w:pPr>
              <w:pStyle w:val="TableParagraph"/>
              <w:spacing w:before="58"/>
              <w:ind w:left="736"/>
              <w:rPr>
                <w:sz w:val="20"/>
              </w:rPr>
            </w:pPr>
            <w:r>
              <w:rPr>
                <w:spacing w:val="-2"/>
                <w:sz w:val="20"/>
              </w:rPr>
              <w:t>Headache</w:t>
            </w:r>
          </w:p>
        </w:tc>
        <w:tc>
          <w:tcPr>
            <w:tcW w:w="1525" w:type="dxa"/>
          </w:tcPr>
          <w:p w14:paraId="53B38ED9" w14:textId="77777777" w:rsidR="008B6261" w:rsidRDefault="004C6B8B">
            <w:pPr>
              <w:pStyle w:val="TableParagraph"/>
              <w:spacing w:before="58"/>
              <w:ind w:right="273"/>
              <w:jc w:val="right"/>
              <w:rPr>
                <w:sz w:val="20"/>
              </w:rPr>
            </w:pPr>
            <w:r>
              <w:rPr>
                <w:sz w:val="20"/>
              </w:rPr>
              <w:t>27</w:t>
            </w:r>
            <w:r>
              <w:rPr>
                <w:spacing w:val="-2"/>
                <w:sz w:val="20"/>
              </w:rPr>
              <w:t xml:space="preserve"> (7.2)</w:t>
            </w:r>
          </w:p>
        </w:tc>
        <w:tc>
          <w:tcPr>
            <w:tcW w:w="2597" w:type="dxa"/>
          </w:tcPr>
          <w:p w14:paraId="53B38EDA" w14:textId="77777777" w:rsidR="008B6261" w:rsidRDefault="004C6B8B">
            <w:pPr>
              <w:pStyle w:val="TableParagraph"/>
              <w:spacing w:before="58"/>
              <w:ind w:left="934"/>
              <w:rPr>
                <w:sz w:val="20"/>
              </w:rPr>
            </w:pPr>
            <w:r>
              <w:rPr>
                <w:sz w:val="20"/>
              </w:rPr>
              <w:t>54</w:t>
            </w:r>
            <w:r>
              <w:rPr>
                <w:spacing w:val="-2"/>
                <w:sz w:val="20"/>
              </w:rPr>
              <w:t xml:space="preserve"> (7.2)</w:t>
            </w:r>
          </w:p>
        </w:tc>
      </w:tr>
      <w:tr w:rsidR="008B6261" w14:paraId="53B38EDF" w14:textId="77777777">
        <w:trPr>
          <w:trHeight w:val="350"/>
        </w:trPr>
        <w:tc>
          <w:tcPr>
            <w:tcW w:w="4383" w:type="dxa"/>
          </w:tcPr>
          <w:p w14:paraId="53B38EDC" w14:textId="77777777" w:rsidR="008B6261" w:rsidRDefault="004C6B8B">
            <w:pPr>
              <w:pStyle w:val="TableParagraph"/>
              <w:ind w:left="736"/>
              <w:rPr>
                <w:sz w:val="20"/>
              </w:rPr>
            </w:pPr>
            <w:r>
              <w:rPr>
                <w:spacing w:val="-2"/>
                <w:sz w:val="20"/>
              </w:rPr>
              <w:t>Dizziness</w:t>
            </w:r>
          </w:p>
        </w:tc>
        <w:tc>
          <w:tcPr>
            <w:tcW w:w="1525" w:type="dxa"/>
          </w:tcPr>
          <w:p w14:paraId="53B38EDD" w14:textId="77777777" w:rsidR="008B6261" w:rsidRDefault="004C6B8B">
            <w:pPr>
              <w:pStyle w:val="TableParagraph"/>
              <w:ind w:right="319"/>
              <w:jc w:val="right"/>
              <w:rPr>
                <w:sz w:val="20"/>
              </w:rPr>
            </w:pPr>
            <w:r>
              <w:rPr>
                <w:sz w:val="20"/>
              </w:rPr>
              <w:t>7</w:t>
            </w:r>
            <w:r>
              <w:rPr>
                <w:spacing w:val="-1"/>
                <w:sz w:val="20"/>
              </w:rPr>
              <w:t xml:space="preserve"> </w:t>
            </w:r>
            <w:r>
              <w:rPr>
                <w:spacing w:val="-2"/>
                <w:sz w:val="20"/>
              </w:rPr>
              <w:t>(1.9)</w:t>
            </w:r>
          </w:p>
        </w:tc>
        <w:tc>
          <w:tcPr>
            <w:tcW w:w="2597" w:type="dxa"/>
          </w:tcPr>
          <w:p w14:paraId="53B38EDE" w14:textId="77777777" w:rsidR="008B6261" w:rsidRDefault="004C6B8B">
            <w:pPr>
              <w:pStyle w:val="TableParagraph"/>
              <w:ind w:left="934"/>
              <w:rPr>
                <w:sz w:val="20"/>
              </w:rPr>
            </w:pPr>
            <w:r>
              <w:rPr>
                <w:sz w:val="20"/>
              </w:rPr>
              <w:t>17</w:t>
            </w:r>
            <w:r>
              <w:rPr>
                <w:spacing w:val="-2"/>
                <w:sz w:val="20"/>
              </w:rPr>
              <w:t xml:space="preserve"> (2.3)</w:t>
            </w:r>
          </w:p>
        </w:tc>
      </w:tr>
      <w:tr w:rsidR="008B6261" w14:paraId="53B38EE3" w14:textId="77777777">
        <w:trPr>
          <w:trHeight w:val="349"/>
        </w:trPr>
        <w:tc>
          <w:tcPr>
            <w:tcW w:w="4383" w:type="dxa"/>
          </w:tcPr>
          <w:p w14:paraId="53B38EE0" w14:textId="77777777" w:rsidR="008B6261" w:rsidRDefault="004C6B8B">
            <w:pPr>
              <w:pStyle w:val="TableParagraph"/>
              <w:ind w:left="736"/>
              <w:rPr>
                <w:sz w:val="20"/>
              </w:rPr>
            </w:pPr>
            <w:r>
              <w:rPr>
                <w:sz w:val="20"/>
              </w:rPr>
              <w:t>Muscle</w:t>
            </w:r>
            <w:r>
              <w:rPr>
                <w:spacing w:val="-9"/>
                <w:sz w:val="20"/>
              </w:rPr>
              <w:t xml:space="preserve"> </w:t>
            </w:r>
            <w:r>
              <w:rPr>
                <w:spacing w:val="-2"/>
                <w:sz w:val="20"/>
              </w:rPr>
              <w:t>spasticity</w:t>
            </w:r>
          </w:p>
        </w:tc>
        <w:tc>
          <w:tcPr>
            <w:tcW w:w="1525" w:type="dxa"/>
          </w:tcPr>
          <w:p w14:paraId="53B38EE1" w14:textId="77777777" w:rsidR="008B6261" w:rsidRDefault="004C6B8B">
            <w:pPr>
              <w:pStyle w:val="TableParagraph"/>
              <w:ind w:right="319"/>
              <w:jc w:val="right"/>
              <w:rPr>
                <w:sz w:val="20"/>
              </w:rPr>
            </w:pPr>
            <w:r>
              <w:rPr>
                <w:sz w:val="20"/>
              </w:rPr>
              <w:t>6</w:t>
            </w:r>
            <w:r>
              <w:rPr>
                <w:spacing w:val="-1"/>
                <w:sz w:val="20"/>
              </w:rPr>
              <w:t xml:space="preserve"> </w:t>
            </w:r>
            <w:r>
              <w:rPr>
                <w:spacing w:val="-2"/>
                <w:sz w:val="20"/>
              </w:rPr>
              <w:t>(1.6)</w:t>
            </w:r>
          </w:p>
        </w:tc>
        <w:tc>
          <w:tcPr>
            <w:tcW w:w="2597" w:type="dxa"/>
          </w:tcPr>
          <w:p w14:paraId="53B38EE2" w14:textId="77777777" w:rsidR="008B6261" w:rsidRDefault="004C6B8B">
            <w:pPr>
              <w:pStyle w:val="TableParagraph"/>
              <w:ind w:left="934"/>
              <w:rPr>
                <w:sz w:val="20"/>
              </w:rPr>
            </w:pPr>
            <w:r>
              <w:rPr>
                <w:sz w:val="20"/>
              </w:rPr>
              <w:t>17</w:t>
            </w:r>
            <w:r>
              <w:rPr>
                <w:spacing w:val="-2"/>
                <w:sz w:val="20"/>
              </w:rPr>
              <w:t xml:space="preserve"> (2.3)</w:t>
            </w:r>
          </w:p>
        </w:tc>
      </w:tr>
      <w:tr w:rsidR="008B6261" w14:paraId="53B38EE7" w14:textId="77777777">
        <w:trPr>
          <w:trHeight w:val="349"/>
        </w:trPr>
        <w:tc>
          <w:tcPr>
            <w:tcW w:w="4383" w:type="dxa"/>
          </w:tcPr>
          <w:p w14:paraId="53B38EE4" w14:textId="77777777" w:rsidR="008B6261" w:rsidRDefault="004C6B8B">
            <w:pPr>
              <w:pStyle w:val="TableParagraph"/>
              <w:spacing w:before="58"/>
              <w:ind w:left="16"/>
              <w:rPr>
                <w:sz w:val="20"/>
              </w:rPr>
            </w:pPr>
            <w:r>
              <w:rPr>
                <w:sz w:val="20"/>
              </w:rPr>
              <w:t>Vascular</w:t>
            </w:r>
            <w:r>
              <w:rPr>
                <w:spacing w:val="-11"/>
                <w:sz w:val="20"/>
              </w:rPr>
              <w:t xml:space="preserve"> </w:t>
            </w:r>
            <w:r>
              <w:rPr>
                <w:spacing w:val="-2"/>
                <w:sz w:val="20"/>
              </w:rPr>
              <w:t>disorders</w:t>
            </w:r>
          </w:p>
        </w:tc>
        <w:tc>
          <w:tcPr>
            <w:tcW w:w="1525" w:type="dxa"/>
          </w:tcPr>
          <w:p w14:paraId="53B38EE5" w14:textId="77777777" w:rsidR="008B6261" w:rsidRDefault="004C6B8B">
            <w:pPr>
              <w:pStyle w:val="TableParagraph"/>
              <w:spacing w:before="58"/>
              <w:ind w:right="273"/>
              <w:jc w:val="right"/>
              <w:rPr>
                <w:sz w:val="20"/>
              </w:rPr>
            </w:pPr>
            <w:r>
              <w:rPr>
                <w:sz w:val="20"/>
              </w:rPr>
              <w:t>16</w:t>
            </w:r>
            <w:r>
              <w:rPr>
                <w:spacing w:val="-2"/>
                <w:sz w:val="20"/>
              </w:rPr>
              <w:t xml:space="preserve"> (4.3)</w:t>
            </w:r>
          </w:p>
        </w:tc>
        <w:tc>
          <w:tcPr>
            <w:tcW w:w="2597" w:type="dxa"/>
          </w:tcPr>
          <w:p w14:paraId="53B38EE6" w14:textId="77777777" w:rsidR="008B6261" w:rsidRDefault="004C6B8B">
            <w:pPr>
              <w:pStyle w:val="TableParagraph"/>
              <w:spacing w:before="58"/>
              <w:ind w:left="934"/>
              <w:rPr>
                <w:sz w:val="20"/>
              </w:rPr>
            </w:pPr>
            <w:r>
              <w:rPr>
                <w:sz w:val="20"/>
              </w:rPr>
              <w:t>57</w:t>
            </w:r>
            <w:r>
              <w:rPr>
                <w:spacing w:val="-2"/>
                <w:sz w:val="20"/>
              </w:rPr>
              <w:t xml:space="preserve"> (7.6)</w:t>
            </w:r>
          </w:p>
        </w:tc>
      </w:tr>
      <w:tr w:rsidR="008B6261" w14:paraId="53B38EEB" w14:textId="77777777">
        <w:trPr>
          <w:trHeight w:val="349"/>
        </w:trPr>
        <w:tc>
          <w:tcPr>
            <w:tcW w:w="4383" w:type="dxa"/>
          </w:tcPr>
          <w:p w14:paraId="53B38EE8" w14:textId="77777777" w:rsidR="008B6261" w:rsidRDefault="004C6B8B">
            <w:pPr>
              <w:pStyle w:val="TableParagraph"/>
              <w:ind w:left="736"/>
              <w:rPr>
                <w:sz w:val="20"/>
              </w:rPr>
            </w:pPr>
            <w:r>
              <w:rPr>
                <w:spacing w:val="-2"/>
                <w:sz w:val="20"/>
              </w:rPr>
              <w:t>Hypertension</w:t>
            </w:r>
          </w:p>
        </w:tc>
        <w:tc>
          <w:tcPr>
            <w:tcW w:w="1525" w:type="dxa"/>
          </w:tcPr>
          <w:p w14:paraId="53B38EE9" w14:textId="77777777" w:rsidR="008B6261" w:rsidRDefault="004C6B8B">
            <w:pPr>
              <w:pStyle w:val="TableParagraph"/>
              <w:ind w:right="273"/>
              <w:jc w:val="right"/>
              <w:rPr>
                <w:sz w:val="20"/>
              </w:rPr>
            </w:pPr>
            <w:r>
              <w:rPr>
                <w:sz w:val="20"/>
              </w:rPr>
              <w:t>11</w:t>
            </w:r>
            <w:r>
              <w:rPr>
                <w:spacing w:val="-2"/>
                <w:sz w:val="20"/>
              </w:rPr>
              <w:t xml:space="preserve"> (2.9)</w:t>
            </w:r>
          </w:p>
        </w:tc>
        <w:tc>
          <w:tcPr>
            <w:tcW w:w="2597" w:type="dxa"/>
          </w:tcPr>
          <w:p w14:paraId="53B38EEA" w14:textId="77777777" w:rsidR="008B6261" w:rsidRDefault="004C6B8B">
            <w:pPr>
              <w:pStyle w:val="TableParagraph"/>
              <w:ind w:left="934"/>
              <w:rPr>
                <w:sz w:val="20"/>
              </w:rPr>
            </w:pPr>
            <w:r>
              <w:rPr>
                <w:sz w:val="20"/>
              </w:rPr>
              <w:t>38</w:t>
            </w:r>
            <w:r>
              <w:rPr>
                <w:spacing w:val="-2"/>
                <w:sz w:val="20"/>
              </w:rPr>
              <w:t xml:space="preserve"> (5.1)</w:t>
            </w:r>
          </w:p>
        </w:tc>
      </w:tr>
      <w:tr w:rsidR="008B6261" w14:paraId="53B38EEF" w14:textId="77777777">
        <w:trPr>
          <w:trHeight w:val="349"/>
        </w:trPr>
        <w:tc>
          <w:tcPr>
            <w:tcW w:w="4383" w:type="dxa"/>
          </w:tcPr>
          <w:p w14:paraId="53B38EEC" w14:textId="77777777" w:rsidR="008B6261" w:rsidRDefault="004C6B8B">
            <w:pPr>
              <w:pStyle w:val="TableParagraph"/>
              <w:spacing w:before="58"/>
              <w:ind w:left="16"/>
              <w:rPr>
                <w:sz w:val="20"/>
              </w:rPr>
            </w:pPr>
            <w:r>
              <w:rPr>
                <w:sz w:val="20"/>
              </w:rPr>
              <w:t>Respiratory,</w:t>
            </w:r>
            <w:r>
              <w:rPr>
                <w:spacing w:val="-9"/>
                <w:sz w:val="20"/>
              </w:rPr>
              <w:t xml:space="preserve"> </w:t>
            </w:r>
            <w:r>
              <w:rPr>
                <w:sz w:val="20"/>
              </w:rPr>
              <w:t>thoracic</w:t>
            </w:r>
            <w:r>
              <w:rPr>
                <w:spacing w:val="-9"/>
                <w:sz w:val="20"/>
              </w:rPr>
              <w:t xml:space="preserve"> </w:t>
            </w:r>
            <w:r>
              <w:rPr>
                <w:sz w:val="20"/>
              </w:rPr>
              <w:t>and</w:t>
            </w:r>
            <w:r>
              <w:rPr>
                <w:spacing w:val="-8"/>
                <w:sz w:val="20"/>
              </w:rPr>
              <w:t xml:space="preserve"> </w:t>
            </w:r>
            <w:r>
              <w:rPr>
                <w:sz w:val="20"/>
              </w:rPr>
              <w:t>mediastinal</w:t>
            </w:r>
            <w:r>
              <w:rPr>
                <w:spacing w:val="-9"/>
                <w:sz w:val="20"/>
              </w:rPr>
              <w:t xml:space="preserve"> </w:t>
            </w:r>
            <w:r>
              <w:rPr>
                <w:spacing w:val="-2"/>
                <w:sz w:val="20"/>
              </w:rPr>
              <w:t>disorders</w:t>
            </w:r>
          </w:p>
        </w:tc>
        <w:tc>
          <w:tcPr>
            <w:tcW w:w="1525" w:type="dxa"/>
          </w:tcPr>
          <w:p w14:paraId="53B38EED" w14:textId="77777777" w:rsidR="008B6261" w:rsidRDefault="004C6B8B">
            <w:pPr>
              <w:pStyle w:val="TableParagraph"/>
              <w:spacing w:before="58"/>
              <w:ind w:right="273"/>
              <w:jc w:val="right"/>
              <w:rPr>
                <w:sz w:val="20"/>
              </w:rPr>
            </w:pPr>
            <w:r>
              <w:rPr>
                <w:sz w:val="20"/>
              </w:rPr>
              <w:t>22</w:t>
            </w:r>
            <w:r>
              <w:rPr>
                <w:spacing w:val="-2"/>
                <w:sz w:val="20"/>
              </w:rPr>
              <w:t xml:space="preserve"> (5.9)</w:t>
            </w:r>
          </w:p>
        </w:tc>
        <w:tc>
          <w:tcPr>
            <w:tcW w:w="2597" w:type="dxa"/>
          </w:tcPr>
          <w:p w14:paraId="53B38EEE" w14:textId="77777777" w:rsidR="008B6261" w:rsidRDefault="004C6B8B">
            <w:pPr>
              <w:pStyle w:val="TableParagraph"/>
              <w:spacing w:before="58"/>
              <w:ind w:left="934"/>
              <w:rPr>
                <w:sz w:val="20"/>
              </w:rPr>
            </w:pPr>
            <w:r>
              <w:rPr>
                <w:sz w:val="20"/>
              </w:rPr>
              <w:t>55</w:t>
            </w:r>
            <w:r>
              <w:rPr>
                <w:spacing w:val="-2"/>
                <w:sz w:val="20"/>
              </w:rPr>
              <w:t xml:space="preserve"> (7.3)</w:t>
            </w:r>
          </w:p>
        </w:tc>
      </w:tr>
      <w:tr w:rsidR="008B6261" w14:paraId="53B38EF3" w14:textId="77777777">
        <w:trPr>
          <w:trHeight w:val="350"/>
        </w:trPr>
        <w:tc>
          <w:tcPr>
            <w:tcW w:w="4383" w:type="dxa"/>
          </w:tcPr>
          <w:p w14:paraId="53B38EF0" w14:textId="77777777" w:rsidR="008B6261" w:rsidRDefault="004C6B8B">
            <w:pPr>
              <w:pStyle w:val="TableParagraph"/>
              <w:ind w:left="736"/>
              <w:rPr>
                <w:sz w:val="20"/>
              </w:rPr>
            </w:pPr>
            <w:r>
              <w:rPr>
                <w:spacing w:val="-2"/>
                <w:sz w:val="20"/>
              </w:rPr>
              <w:t>Cough</w:t>
            </w:r>
          </w:p>
        </w:tc>
        <w:tc>
          <w:tcPr>
            <w:tcW w:w="1525" w:type="dxa"/>
          </w:tcPr>
          <w:p w14:paraId="53B38EF1" w14:textId="77777777" w:rsidR="008B6261" w:rsidRDefault="004C6B8B">
            <w:pPr>
              <w:pStyle w:val="TableParagraph"/>
              <w:ind w:right="319"/>
              <w:jc w:val="right"/>
              <w:rPr>
                <w:sz w:val="20"/>
              </w:rPr>
            </w:pPr>
            <w:r>
              <w:rPr>
                <w:sz w:val="20"/>
              </w:rPr>
              <w:t>9</w:t>
            </w:r>
            <w:r>
              <w:rPr>
                <w:spacing w:val="-1"/>
                <w:sz w:val="20"/>
              </w:rPr>
              <w:t xml:space="preserve"> </w:t>
            </w:r>
            <w:r>
              <w:rPr>
                <w:spacing w:val="-2"/>
                <w:sz w:val="20"/>
              </w:rPr>
              <w:t>(2.4)</w:t>
            </w:r>
          </w:p>
        </w:tc>
        <w:tc>
          <w:tcPr>
            <w:tcW w:w="2597" w:type="dxa"/>
          </w:tcPr>
          <w:p w14:paraId="53B38EF2" w14:textId="77777777" w:rsidR="008B6261" w:rsidRDefault="004C6B8B">
            <w:pPr>
              <w:pStyle w:val="TableParagraph"/>
              <w:ind w:left="934"/>
              <w:rPr>
                <w:sz w:val="20"/>
              </w:rPr>
            </w:pPr>
            <w:r>
              <w:rPr>
                <w:sz w:val="20"/>
              </w:rPr>
              <w:t>16</w:t>
            </w:r>
            <w:r>
              <w:rPr>
                <w:spacing w:val="-2"/>
                <w:sz w:val="20"/>
              </w:rPr>
              <w:t xml:space="preserve"> (2.1)</w:t>
            </w:r>
          </w:p>
        </w:tc>
      </w:tr>
      <w:tr w:rsidR="008B6261" w14:paraId="53B38EF7" w14:textId="77777777">
        <w:trPr>
          <w:trHeight w:val="349"/>
        </w:trPr>
        <w:tc>
          <w:tcPr>
            <w:tcW w:w="4383" w:type="dxa"/>
          </w:tcPr>
          <w:p w14:paraId="53B38EF4" w14:textId="77777777" w:rsidR="008B6261" w:rsidRDefault="004C6B8B">
            <w:pPr>
              <w:pStyle w:val="TableParagraph"/>
              <w:ind w:left="736"/>
              <w:rPr>
                <w:sz w:val="20"/>
              </w:rPr>
            </w:pPr>
            <w:r>
              <w:rPr>
                <w:spacing w:val="-2"/>
                <w:sz w:val="20"/>
              </w:rPr>
              <w:t>Oropharyngeal</w:t>
            </w:r>
            <w:r>
              <w:rPr>
                <w:spacing w:val="13"/>
                <w:sz w:val="20"/>
              </w:rPr>
              <w:t xml:space="preserve"> </w:t>
            </w:r>
            <w:r>
              <w:rPr>
                <w:spacing w:val="-4"/>
                <w:sz w:val="20"/>
              </w:rPr>
              <w:t>pain</w:t>
            </w:r>
          </w:p>
        </w:tc>
        <w:tc>
          <w:tcPr>
            <w:tcW w:w="1525" w:type="dxa"/>
          </w:tcPr>
          <w:p w14:paraId="53B38EF5" w14:textId="77777777" w:rsidR="008B6261" w:rsidRDefault="004C6B8B">
            <w:pPr>
              <w:pStyle w:val="TableParagraph"/>
              <w:ind w:right="319"/>
              <w:jc w:val="right"/>
              <w:rPr>
                <w:sz w:val="20"/>
              </w:rPr>
            </w:pPr>
            <w:r>
              <w:rPr>
                <w:sz w:val="20"/>
              </w:rPr>
              <w:t>5</w:t>
            </w:r>
            <w:r>
              <w:rPr>
                <w:spacing w:val="-1"/>
                <w:sz w:val="20"/>
              </w:rPr>
              <w:t xml:space="preserve"> </w:t>
            </w:r>
            <w:r>
              <w:rPr>
                <w:spacing w:val="-2"/>
                <w:sz w:val="20"/>
              </w:rPr>
              <w:t>(1.3)</w:t>
            </w:r>
          </w:p>
        </w:tc>
        <w:tc>
          <w:tcPr>
            <w:tcW w:w="2597" w:type="dxa"/>
          </w:tcPr>
          <w:p w14:paraId="53B38EF6" w14:textId="77777777" w:rsidR="008B6261" w:rsidRDefault="004C6B8B">
            <w:pPr>
              <w:pStyle w:val="TableParagraph"/>
              <w:ind w:left="934"/>
              <w:rPr>
                <w:sz w:val="20"/>
              </w:rPr>
            </w:pPr>
            <w:r>
              <w:rPr>
                <w:sz w:val="20"/>
              </w:rPr>
              <w:t>15</w:t>
            </w:r>
            <w:r>
              <w:rPr>
                <w:spacing w:val="-2"/>
                <w:sz w:val="20"/>
              </w:rPr>
              <w:t xml:space="preserve"> (2.0)</w:t>
            </w:r>
          </w:p>
        </w:tc>
      </w:tr>
      <w:tr w:rsidR="008B6261" w14:paraId="53B38EFB" w14:textId="77777777">
        <w:trPr>
          <w:trHeight w:val="349"/>
        </w:trPr>
        <w:tc>
          <w:tcPr>
            <w:tcW w:w="4383" w:type="dxa"/>
          </w:tcPr>
          <w:p w14:paraId="53B38EF8" w14:textId="77777777" w:rsidR="008B6261" w:rsidRDefault="004C6B8B">
            <w:pPr>
              <w:pStyle w:val="TableParagraph"/>
              <w:spacing w:before="58"/>
              <w:ind w:left="16"/>
              <w:rPr>
                <w:sz w:val="20"/>
              </w:rPr>
            </w:pPr>
            <w:r>
              <w:rPr>
                <w:spacing w:val="-2"/>
                <w:sz w:val="20"/>
              </w:rPr>
              <w:t>Gastrointestinal</w:t>
            </w:r>
            <w:r>
              <w:rPr>
                <w:spacing w:val="15"/>
                <w:sz w:val="20"/>
              </w:rPr>
              <w:t xml:space="preserve"> </w:t>
            </w:r>
            <w:r>
              <w:rPr>
                <w:spacing w:val="-2"/>
                <w:sz w:val="20"/>
              </w:rPr>
              <w:t>disorders</w:t>
            </w:r>
          </w:p>
        </w:tc>
        <w:tc>
          <w:tcPr>
            <w:tcW w:w="1525" w:type="dxa"/>
          </w:tcPr>
          <w:p w14:paraId="53B38EF9" w14:textId="77777777" w:rsidR="008B6261" w:rsidRDefault="004C6B8B">
            <w:pPr>
              <w:pStyle w:val="TableParagraph"/>
              <w:spacing w:before="58"/>
              <w:ind w:right="228"/>
              <w:jc w:val="right"/>
              <w:rPr>
                <w:sz w:val="20"/>
              </w:rPr>
            </w:pPr>
            <w:r>
              <w:rPr>
                <w:sz w:val="20"/>
              </w:rPr>
              <w:t>59</w:t>
            </w:r>
            <w:r>
              <w:rPr>
                <w:spacing w:val="-2"/>
                <w:sz w:val="20"/>
              </w:rPr>
              <w:t xml:space="preserve"> (15.7)</w:t>
            </w:r>
          </w:p>
        </w:tc>
        <w:tc>
          <w:tcPr>
            <w:tcW w:w="2597" w:type="dxa"/>
          </w:tcPr>
          <w:p w14:paraId="53B38EFA" w14:textId="77777777" w:rsidR="008B6261" w:rsidRDefault="004C6B8B">
            <w:pPr>
              <w:pStyle w:val="TableParagraph"/>
              <w:spacing w:before="58"/>
              <w:ind w:left="842"/>
              <w:rPr>
                <w:sz w:val="20"/>
              </w:rPr>
            </w:pPr>
            <w:r>
              <w:rPr>
                <w:sz w:val="20"/>
              </w:rPr>
              <w:t>150</w:t>
            </w:r>
            <w:r>
              <w:rPr>
                <w:spacing w:val="-3"/>
                <w:sz w:val="20"/>
              </w:rPr>
              <w:t xml:space="preserve"> </w:t>
            </w:r>
            <w:r>
              <w:rPr>
                <w:spacing w:val="-2"/>
                <w:sz w:val="20"/>
              </w:rPr>
              <w:t>(19.9)</w:t>
            </w:r>
          </w:p>
        </w:tc>
      </w:tr>
      <w:tr w:rsidR="008B6261" w14:paraId="53B38EFF" w14:textId="77777777">
        <w:trPr>
          <w:trHeight w:val="349"/>
        </w:trPr>
        <w:tc>
          <w:tcPr>
            <w:tcW w:w="4383" w:type="dxa"/>
          </w:tcPr>
          <w:p w14:paraId="53B38EFC" w14:textId="77777777" w:rsidR="008B6261" w:rsidRDefault="004C6B8B">
            <w:pPr>
              <w:pStyle w:val="TableParagraph"/>
              <w:ind w:left="736"/>
              <w:rPr>
                <w:sz w:val="20"/>
              </w:rPr>
            </w:pPr>
            <w:r>
              <w:rPr>
                <w:spacing w:val="-2"/>
                <w:sz w:val="20"/>
              </w:rPr>
              <w:t>Diarrhoea</w:t>
            </w:r>
          </w:p>
        </w:tc>
        <w:tc>
          <w:tcPr>
            <w:tcW w:w="1525" w:type="dxa"/>
          </w:tcPr>
          <w:p w14:paraId="53B38EFD" w14:textId="77777777" w:rsidR="008B6261" w:rsidRDefault="004C6B8B">
            <w:pPr>
              <w:pStyle w:val="TableParagraph"/>
              <w:ind w:right="273"/>
              <w:jc w:val="right"/>
              <w:rPr>
                <w:sz w:val="20"/>
              </w:rPr>
            </w:pPr>
            <w:r>
              <w:rPr>
                <w:sz w:val="20"/>
              </w:rPr>
              <w:t>14</w:t>
            </w:r>
            <w:r>
              <w:rPr>
                <w:spacing w:val="-2"/>
                <w:sz w:val="20"/>
              </w:rPr>
              <w:t xml:space="preserve"> (3.7)</w:t>
            </w:r>
          </w:p>
        </w:tc>
        <w:tc>
          <w:tcPr>
            <w:tcW w:w="2597" w:type="dxa"/>
          </w:tcPr>
          <w:p w14:paraId="53B38EFE" w14:textId="77777777" w:rsidR="008B6261" w:rsidRDefault="004C6B8B">
            <w:pPr>
              <w:pStyle w:val="TableParagraph"/>
              <w:ind w:left="933"/>
              <w:rPr>
                <w:sz w:val="20"/>
              </w:rPr>
            </w:pPr>
            <w:r>
              <w:rPr>
                <w:sz w:val="20"/>
              </w:rPr>
              <w:t>33</w:t>
            </w:r>
            <w:r>
              <w:rPr>
                <w:spacing w:val="-2"/>
                <w:sz w:val="20"/>
              </w:rPr>
              <w:t xml:space="preserve"> (4.4)</w:t>
            </w:r>
          </w:p>
        </w:tc>
      </w:tr>
      <w:tr w:rsidR="008B6261" w14:paraId="53B38F03" w14:textId="77777777">
        <w:trPr>
          <w:trHeight w:val="349"/>
        </w:trPr>
        <w:tc>
          <w:tcPr>
            <w:tcW w:w="4383" w:type="dxa"/>
          </w:tcPr>
          <w:p w14:paraId="53B38F00" w14:textId="77777777" w:rsidR="008B6261" w:rsidRDefault="004C6B8B">
            <w:pPr>
              <w:pStyle w:val="TableParagraph"/>
              <w:spacing w:before="58"/>
              <w:ind w:left="736"/>
              <w:rPr>
                <w:sz w:val="20"/>
              </w:rPr>
            </w:pPr>
            <w:r>
              <w:rPr>
                <w:spacing w:val="-2"/>
                <w:sz w:val="20"/>
              </w:rPr>
              <w:t>Constipation</w:t>
            </w:r>
          </w:p>
        </w:tc>
        <w:tc>
          <w:tcPr>
            <w:tcW w:w="1525" w:type="dxa"/>
          </w:tcPr>
          <w:p w14:paraId="53B38F01" w14:textId="77777777" w:rsidR="008B6261" w:rsidRDefault="004C6B8B">
            <w:pPr>
              <w:pStyle w:val="TableParagraph"/>
              <w:spacing w:before="58"/>
              <w:ind w:right="274"/>
              <w:jc w:val="right"/>
              <w:rPr>
                <w:sz w:val="20"/>
              </w:rPr>
            </w:pPr>
            <w:r>
              <w:rPr>
                <w:sz w:val="20"/>
              </w:rPr>
              <w:t>12</w:t>
            </w:r>
            <w:r>
              <w:rPr>
                <w:spacing w:val="-2"/>
                <w:sz w:val="20"/>
              </w:rPr>
              <w:t xml:space="preserve"> (3.2)</w:t>
            </w:r>
          </w:p>
        </w:tc>
        <w:tc>
          <w:tcPr>
            <w:tcW w:w="2597" w:type="dxa"/>
          </w:tcPr>
          <w:p w14:paraId="53B38F02" w14:textId="77777777" w:rsidR="008B6261" w:rsidRDefault="004C6B8B">
            <w:pPr>
              <w:pStyle w:val="TableParagraph"/>
              <w:spacing w:before="58"/>
              <w:ind w:left="933"/>
              <w:rPr>
                <w:sz w:val="20"/>
              </w:rPr>
            </w:pPr>
            <w:r>
              <w:rPr>
                <w:sz w:val="20"/>
              </w:rPr>
              <w:t>22</w:t>
            </w:r>
            <w:r>
              <w:rPr>
                <w:spacing w:val="-2"/>
                <w:sz w:val="20"/>
              </w:rPr>
              <w:t xml:space="preserve"> (2.9)</w:t>
            </w:r>
          </w:p>
        </w:tc>
      </w:tr>
      <w:tr w:rsidR="008B6261" w14:paraId="53B38F07" w14:textId="77777777">
        <w:trPr>
          <w:trHeight w:val="350"/>
        </w:trPr>
        <w:tc>
          <w:tcPr>
            <w:tcW w:w="4383" w:type="dxa"/>
          </w:tcPr>
          <w:p w14:paraId="53B38F04" w14:textId="77777777" w:rsidR="008B6261" w:rsidRDefault="004C6B8B">
            <w:pPr>
              <w:pStyle w:val="TableParagraph"/>
              <w:ind w:left="735"/>
              <w:rPr>
                <w:sz w:val="20"/>
              </w:rPr>
            </w:pPr>
            <w:r>
              <w:rPr>
                <w:sz w:val="20"/>
              </w:rPr>
              <w:t>Abdominal</w:t>
            </w:r>
            <w:r>
              <w:rPr>
                <w:spacing w:val="-8"/>
                <w:sz w:val="20"/>
              </w:rPr>
              <w:t xml:space="preserve"> </w:t>
            </w:r>
            <w:r>
              <w:rPr>
                <w:sz w:val="20"/>
              </w:rPr>
              <w:t>pain</w:t>
            </w:r>
            <w:r>
              <w:rPr>
                <w:spacing w:val="-7"/>
                <w:sz w:val="20"/>
              </w:rPr>
              <w:t xml:space="preserve"> </w:t>
            </w:r>
            <w:r>
              <w:rPr>
                <w:spacing w:val="-2"/>
                <w:sz w:val="20"/>
              </w:rPr>
              <w:t>upper</w:t>
            </w:r>
          </w:p>
        </w:tc>
        <w:tc>
          <w:tcPr>
            <w:tcW w:w="1525" w:type="dxa"/>
          </w:tcPr>
          <w:p w14:paraId="53B38F05" w14:textId="77777777" w:rsidR="008B6261" w:rsidRDefault="004C6B8B">
            <w:pPr>
              <w:pStyle w:val="TableParagraph"/>
              <w:ind w:right="319"/>
              <w:jc w:val="right"/>
              <w:rPr>
                <w:sz w:val="20"/>
              </w:rPr>
            </w:pPr>
            <w:r>
              <w:rPr>
                <w:sz w:val="20"/>
              </w:rPr>
              <w:t>2</w:t>
            </w:r>
            <w:r>
              <w:rPr>
                <w:spacing w:val="-1"/>
                <w:sz w:val="20"/>
              </w:rPr>
              <w:t xml:space="preserve"> </w:t>
            </w:r>
            <w:r>
              <w:rPr>
                <w:spacing w:val="-2"/>
                <w:sz w:val="20"/>
              </w:rPr>
              <w:t>(0.5)</w:t>
            </w:r>
          </w:p>
        </w:tc>
        <w:tc>
          <w:tcPr>
            <w:tcW w:w="2597" w:type="dxa"/>
          </w:tcPr>
          <w:p w14:paraId="53B38F06" w14:textId="77777777" w:rsidR="008B6261" w:rsidRDefault="004C6B8B">
            <w:pPr>
              <w:pStyle w:val="TableParagraph"/>
              <w:ind w:left="933"/>
              <w:rPr>
                <w:sz w:val="20"/>
              </w:rPr>
            </w:pPr>
            <w:r>
              <w:rPr>
                <w:sz w:val="20"/>
              </w:rPr>
              <w:t>19</w:t>
            </w:r>
            <w:r>
              <w:rPr>
                <w:spacing w:val="-2"/>
                <w:sz w:val="20"/>
              </w:rPr>
              <w:t xml:space="preserve"> (2.5)</w:t>
            </w:r>
          </w:p>
        </w:tc>
      </w:tr>
      <w:tr w:rsidR="008B6261" w14:paraId="53B38F0B" w14:textId="77777777">
        <w:trPr>
          <w:trHeight w:val="349"/>
        </w:trPr>
        <w:tc>
          <w:tcPr>
            <w:tcW w:w="4383" w:type="dxa"/>
          </w:tcPr>
          <w:p w14:paraId="53B38F08" w14:textId="77777777" w:rsidR="008B6261" w:rsidRDefault="004C6B8B">
            <w:pPr>
              <w:pStyle w:val="TableParagraph"/>
              <w:ind w:left="735"/>
              <w:rPr>
                <w:sz w:val="20"/>
              </w:rPr>
            </w:pPr>
            <w:r>
              <w:rPr>
                <w:spacing w:val="-2"/>
                <w:sz w:val="20"/>
              </w:rPr>
              <w:t>Nausea</w:t>
            </w:r>
          </w:p>
        </w:tc>
        <w:tc>
          <w:tcPr>
            <w:tcW w:w="1525" w:type="dxa"/>
          </w:tcPr>
          <w:p w14:paraId="53B38F09" w14:textId="77777777" w:rsidR="008B6261" w:rsidRDefault="004C6B8B">
            <w:pPr>
              <w:pStyle w:val="TableParagraph"/>
              <w:ind w:right="320"/>
              <w:jc w:val="right"/>
              <w:rPr>
                <w:sz w:val="20"/>
              </w:rPr>
            </w:pPr>
            <w:r>
              <w:rPr>
                <w:sz w:val="20"/>
              </w:rPr>
              <w:t>8</w:t>
            </w:r>
            <w:r>
              <w:rPr>
                <w:spacing w:val="-1"/>
                <w:sz w:val="20"/>
              </w:rPr>
              <w:t xml:space="preserve"> </w:t>
            </w:r>
            <w:r>
              <w:rPr>
                <w:spacing w:val="-2"/>
                <w:sz w:val="20"/>
              </w:rPr>
              <w:t>(2.1)</w:t>
            </w:r>
          </w:p>
        </w:tc>
        <w:tc>
          <w:tcPr>
            <w:tcW w:w="2597" w:type="dxa"/>
          </w:tcPr>
          <w:p w14:paraId="53B38F0A" w14:textId="77777777" w:rsidR="008B6261" w:rsidRDefault="004C6B8B">
            <w:pPr>
              <w:pStyle w:val="TableParagraph"/>
              <w:ind w:left="933"/>
              <w:rPr>
                <w:sz w:val="20"/>
              </w:rPr>
            </w:pPr>
            <w:r>
              <w:rPr>
                <w:sz w:val="20"/>
              </w:rPr>
              <w:t>17</w:t>
            </w:r>
            <w:r>
              <w:rPr>
                <w:spacing w:val="-2"/>
                <w:sz w:val="20"/>
              </w:rPr>
              <w:t xml:space="preserve"> (2.3)</w:t>
            </w:r>
          </w:p>
        </w:tc>
      </w:tr>
      <w:tr w:rsidR="008B6261" w14:paraId="53B38F0F" w14:textId="77777777">
        <w:trPr>
          <w:trHeight w:val="349"/>
        </w:trPr>
        <w:tc>
          <w:tcPr>
            <w:tcW w:w="4383" w:type="dxa"/>
          </w:tcPr>
          <w:p w14:paraId="53B38F0C" w14:textId="77777777" w:rsidR="008B6261" w:rsidRDefault="004C6B8B">
            <w:pPr>
              <w:pStyle w:val="TableParagraph"/>
              <w:spacing w:before="58"/>
              <w:ind w:left="735"/>
              <w:rPr>
                <w:sz w:val="20"/>
              </w:rPr>
            </w:pPr>
            <w:r>
              <w:rPr>
                <w:spacing w:val="-2"/>
                <w:sz w:val="20"/>
              </w:rPr>
              <w:t>Dyspepsia</w:t>
            </w:r>
          </w:p>
        </w:tc>
        <w:tc>
          <w:tcPr>
            <w:tcW w:w="1525" w:type="dxa"/>
          </w:tcPr>
          <w:p w14:paraId="53B38F0D" w14:textId="77777777" w:rsidR="008B6261" w:rsidRDefault="004C6B8B">
            <w:pPr>
              <w:pStyle w:val="TableParagraph"/>
              <w:spacing w:before="58"/>
              <w:ind w:right="320"/>
              <w:jc w:val="right"/>
              <w:rPr>
                <w:sz w:val="20"/>
              </w:rPr>
            </w:pPr>
            <w:r>
              <w:rPr>
                <w:sz w:val="20"/>
              </w:rPr>
              <w:t>7</w:t>
            </w:r>
            <w:r>
              <w:rPr>
                <w:spacing w:val="-1"/>
                <w:sz w:val="20"/>
              </w:rPr>
              <w:t xml:space="preserve"> </w:t>
            </w:r>
            <w:r>
              <w:rPr>
                <w:spacing w:val="-2"/>
                <w:sz w:val="20"/>
              </w:rPr>
              <w:t>(1.9)</w:t>
            </w:r>
          </w:p>
        </w:tc>
        <w:tc>
          <w:tcPr>
            <w:tcW w:w="2597" w:type="dxa"/>
          </w:tcPr>
          <w:p w14:paraId="53B38F0E" w14:textId="77777777" w:rsidR="008B6261" w:rsidRDefault="004C6B8B">
            <w:pPr>
              <w:pStyle w:val="TableParagraph"/>
              <w:spacing w:before="58"/>
              <w:ind w:left="933"/>
              <w:rPr>
                <w:sz w:val="20"/>
              </w:rPr>
            </w:pPr>
            <w:r>
              <w:rPr>
                <w:sz w:val="20"/>
              </w:rPr>
              <w:t>15</w:t>
            </w:r>
            <w:r>
              <w:rPr>
                <w:spacing w:val="-2"/>
                <w:sz w:val="20"/>
              </w:rPr>
              <w:t xml:space="preserve"> (2.0)</w:t>
            </w:r>
          </w:p>
        </w:tc>
      </w:tr>
      <w:tr w:rsidR="008B6261" w14:paraId="53B38F13" w14:textId="77777777">
        <w:trPr>
          <w:trHeight w:val="350"/>
        </w:trPr>
        <w:tc>
          <w:tcPr>
            <w:tcW w:w="4383" w:type="dxa"/>
          </w:tcPr>
          <w:p w14:paraId="53B38F10" w14:textId="77777777" w:rsidR="008B6261" w:rsidRDefault="004C6B8B">
            <w:pPr>
              <w:pStyle w:val="TableParagraph"/>
              <w:ind w:left="15"/>
              <w:rPr>
                <w:sz w:val="20"/>
              </w:rPr>
            </w:pPr>
            <w:r>
              <w:rPr>
                <w:sz w:val="20"/>
              </w:rPr>
              <w:t>Skin</w:t>
            </w:r>
            <w:r>
              <w:rPr>
                <w:spacing w:val="-7"/>
                <w:sz w:val="20"/>
              </w:rPr>
              <w:t xml:space="preserve"> </w:t>
            </w:r>
            <w:r>
              <w:rPr>
                <w:sz w:val="20"/>
              </w:rPr>
              <w:t>and</w:t>
            </w:r>
            <w:r>
              <w:rPr>
                <w:spacing w:val="-7"/>
                <w:sz w:val="20"/>
              </w:rPr>
              <w:t xml:space="preserve"> </w:t>
            </w:r>
            <w:r>
              <w:rPr>
                <w:sz w:val="20"/>
              </w:rPr>
              <w:t>subcutaneous</w:t>
            </w:r>
            <w:r>
              <w:rPr>
                <w:spacing w:val="-7"/>
                <w:sz w:val="20"/>
              </w:rPr>
              <w:t xml:space="preserve"> </w:t>
            </w:r>
            <w:r>
              <w:rPr>
                <w:sz w:val="20"/>
              </w:rPr>
              <w:t>tissue</w:t>
            </w:r>
            <w:r>
              <w:rPr>
                <w:spacing w:val="-7"/>
                <w:sz w:val="20"/>
              </w:rPr>
              <w:t xml:space="preserve"> </w:t>
            </w:r>
            <w:r>
              <w:rPr>
                <w:spacing w:val="-2"/>
                <w:sz w:val="20"/>
              </w:rPr>
              <w:t>disorders</w:t>
            </w:r>
          </w:p>
        </w:tc>
        <w:tc>
          <w:tcPr>
            <w:tcW w:w="1525" w:type="dxa"/>
          </w:tcPr>
          <w:p w14:paraId="53B38F11" w14:textId="77777777" w:rsidR="008B6261" w:rsidRDefault="004C6B8B">
            <w:pPr>
              <w:pStyle w:val="TableParagraph"/>
              <w:ind w:right="274"/>
              <w:jc w:val="right"/>
              <w:rPr>
                <w:sz w:val="20"/>
              </w:rPr>
            </w:pPr>
            <w:r>
              <w:rPr>
                <w:sz w:val="20"/>
              </w:rPr>
              <w:t>36</w:t>
            </w:r>
            <w:r>
              <w:rPr>
                <w:spacing w:val="-2"/>
                <w:sz w:val="20"/>
              </w:rPr>
              <w:t xml:space="preserve"> (9.6)</w:t>
            </w:r>
          </w:p>
        </w:tc>
        <w:tc>
          <w:tcPr>
            <w:tcW w:w="2597" w:type="dxa"/>
          </w:tcPr>
          <w:p w14:paraId="53B38F12" w14:textId="77777777" w:rsidR="008B6261" w:rsidRDefault="004C6B8B">
            <w:pPr>
              <w:pStyle w:val="TableParagraph"/>
              <w:ind w:left="841"/>
              <w:rPr>
                <w:sz w:val="20"/>
              </w:rPr>
            </w:pPr>
            <w:r>
              <w:rPr>
                <w:sz w:val="20"/>
              </w:rPr>
              <w:t>125</w:t>
            </w:r>
            <w:r>
              <w:rPr>
                <w:spacing w:val="-3"/>
                <w:sz w:val="20"/>
              </w:rPr>
              <w:t xml:space="preserve"> </w:t>
            </w:r>
            <w:r>
              <w:rPr>
                <w:spacing w:val="-2"/>
                <w:sz w:val="20"/>
              </w:rPr>
              <w:t>(16.6)</w:t>
            </w:r>
          </w:p>
        </w:tc>
      </w:tr>
      <w:tr w:rsidR="008B6261" w14:paraId="53B38F17" w14:textId="77777777">
        <w:trPr>
          <w:trHeight w:val="289"/>
        </w:trPr>
        <w:tc>
          <w:tcPr>
            <w:tcW w:w="4383" w:type="dxa"/>
          </w:tcPr>
          <w:p w14:paraId="53B38F14" w14:textId="77777777" w:rsidR="008B6261" w:rsidRDefault="004C6B8B">
            <w:pPr>
              <w:pStyle w:val="TableParagraph"/>
              <w:spacing w:line="210" w:lineRule="exact"/>
              <w:ind w:left="735"/>
              <w:rPr>
                <w:sz w:val="20"/>
              </w:rPr>
            </w:pPr>
            <w:r>
              <w:rPr>
                <w:spacing w:val="-2"/>
                <w:sz w:val="20"/>
              </w:rPr>
              <w:t>Petechiae</w:t>
            </w:r>
          </w:p>
        </w:tc>
        <w:tc>
          <w:tcPr>
            <w:tcW w:w="1525" w:type="dxa"/>
          </w:tcPr>
          <w:p w14:paraId="53B38F15" w14:textId="77777777" w:rsidR="008B6261" w:rsidRDefault="004C6B8B">
            <w:pPr>
              <w:pStyle w:val="TableParagraph"/>
              <w:spacing w:line="210" w:lineRule="exact"/>
              <w:ind w:right="320"/>
              <w:jc w:val="right"/>
              <w:rPr>
                <w:sz w:val="20"/>
              </w:rPr>
            </w:pPr>
            <w:r>
              <w:rPr>
                <w:sz w:val="20"/>
              </w:rPr>
              <w:t>1</w:t>
            </w:r>
            <w:r>
              <w:rPr>
                <w:spacing w:val="-1"/>
                <w:sz w:val="20"/>
              </w:rPr>
              <w:t xml:space="preserve"> </w:t>
            </w:r>
            <w:r>
              <w:rPr>
                <w:spacing w:val="-2"/>
                <w:sz w:val="20"/>
              </w:rPr>
              <w:t>(0.3)</w:t>
            </w:r>
          </w:p>
        </w:tc>
        <w:tc>
          <w:tcPr>
            <w:tcW w:w="2597" w:type="dxa"/>
          </w:tcPr>
          <w:p w14:paraId="53B38F16" w14:textId="77777777" w:rsidR="008B6261" w:rsidRDefault="004C6B8B">
            <w:pPr>
              <w:pStyle w:val="TableParagraph"/>
              <w:spacing w:line="210" w:lineRule="exact"/>
              <w:ind w:left="933"/>
              <w:rPr>
                <w:sz w:val="20"/>
              </w:rPr>
            </w:pPr>
            <w:r>
              <w:rPr>
                <w:sz w:val="20"/>
              </w:rPr>
              <w:t>20</w:t>
            </w:r>
            <w:r>
              <w:rPr>
                <w:spacing w:val="-2"/>
                <w:sz w:val="20"/>
              </w:rPr>
              <w:t xml:space="preserve"> (2.7)</w:t>
            </w:r>
          </w:p>
        </w:tc>
      </w:tr>
      <w:tr w:rsidR="008B6261" w14:paraId="53B38F21" w14:textId="77777777" w:rsidTr="00B04EA6">
        <w:trPr>
          <w:trHeight w:val="339"/>
        </w:trPr>
        <w:tc>
          <w:tcPr>
            <w:tcW w:w="4383" w:type="dxa"/>
            <w:tcBorders>
              <w:top w:val="single" w:sz="4" w:space="0" w:color="000000"/>
            </w:tcBorders>
          </w:tcPr>
          <w:p w14:paraId="53B38F1E" w14:textId="77777777" w:rsidR="008B6261" w:rsidRDefault="004C6B8B">
            <w:pPr>
              <w:pStyle w:val="TableParagraph"/>
              <w:spacing w:before="50"/>
              <w:ind w:left="739"/>
              <w:rPr>
                <w:sz w:val="20"/>
              </w:rPr>
            </w:pPr>
            <w:r>
              <w:rPr>
                <w:spacing w:val="-2"/>
                <w:sz w:val="20"/>
              </w:rPr>
              <w:lastRenderedPageBreak/>
              <w:t>Alopecia</w:t>
            </w:r>
          </w:p>
        </w:tc>
        <w:tc>
          <w:tcPr>
            <w:tcW w:w="1525" w:type="dxa"/>
            <w:tcBorders>
              <w:top w:val="single" w:sz="4" w:space="0" w:color="000000"/>
            </w:tcBorders>
          </w:tcPr>
          <w:p w14:paraId="53B38F1F" w14:textId="77777777" w:rsidR="008B6261" w:rsidRDefault="004C6B8B">
            <w:pPr>
              <w:pStyle w:val="TableParagraph"/>
              <w:spacing w:before="50"/>
              <w:ind w:right="315"/>
              <w:jc w:val="right"/>
              <w:rPr>
                <w:sz w:val="20"/>
              </w:rPr>
            </w:pPr>
            <w:r>
              <w:rPr>
                <w:sz w:val="20"/>
              </w:rPr>
              <w:t>6</w:t>
            </w:r>
            <w:r>
              <w:rPr>
                <w:spacing w:val="-1"/>
                <w:sz w:val="20"/>
              </w:rPr>
              <w:t xml:space="preserve"> </w:t>
            </w:r>
            <w:r>
              <w:rPr>
                <w:spacing w:val="-2"/>
                <w:sz w:val="20"/>
              </w:rPr>
              <w:t>(1.6)</w:t>
            </w:r>
          </w:p>
        </w:tc>
        <w:tc>
          <w:tcPr>
            <w:tcW w:w="2597" w:type="dxa"/>
            <w:tcBorders>
              <w:top w:val="single" w:sz="4" w:space="0" w:color="000000"/>
            </w:tcBorders>
          </w:tcPr>
          <w:p w14:paraId="53B38F20" w14:textId="77777777" w:rsidR="008B6261" w:rsidRDefault="004C6B8B">
            <w:pPr>
              <w:pStyle w:val="TableParagraph"/>
              <w:spacing w:before="50"/>
              <w:ind w:left="3" w:right="155"/>
              <w:jc w:val="center"/>
              <w:rPr>
                <w:sz w:val="20"/>
              </w:rPr>
            </w:pPr>
            <w:r>
              <w:rPr>
                <w:sz w:val="20"/>
              </w:rPr>
              <w:t>18</w:t>
            </w:r>
            <w:r>
              <w:rPr>
                <w:spacing w:val="-2"/>
                <w:sz w:val="20"/>
              </w:rPr>
              <w:t xml:space="preserve"> (2.4)</w:t>
            </w:r>
          </w:p>
        </w:tc>
      </w:tr>
      <w:tr w:rsidR="008B6261" w14:paraId="53B38F25" w14:textId="77777777" w:rsidTr="00B04EA6">
        <w:trPr>
          <w:trHeight w:val="349"/>
        </w:trPr>
        <w:tc>
          <w:tcPr>
            <w:tcW w:w="4383" w:type="dxa"/>
          </w:tcPr>
          <w:p w14:paraId="53B38F22" w14:textId="77777777" w:rsidR="008B6261" w:rsidRDefault="004C6B8B">
            <w:pPr>
              <w:pStyle w:val="TableParagraph"/>
              <w:spacing w:before="58"/>
              <w:ind w:left="19"/>
              <w:rPr>
                <w:sz w:val="20"/>
              </w:rPr>
            </w:pPr>
            <w:r>
              <w:rPr>
                <w:sz w:val="20"/>
              </w:rPr>
              <w:t>Musculoskeletal</w:t>
            </w:r>
            <w:r>
              <w:rPr>
                <w:spacing w:val="-10"/>
                <w:sz w:val="20"/>
              </w:rPr>
              <w:t xml:space="preserve"> </w:t>
            </w:r>
            <w:r>
              <w:rPr>
                <w:sz w:val="20"/>
              </w:rPr>
              <w:t>and</w:t>
            </w:r>
            <w:r>
              <w:rPr>
                <w:spacing w:val="-9"/>
                <w:sz w:val="20"/>
              </w:rPr>
              <w:t xml:space="preserve"> </w:t>
            </w:r>
            <w:r>
              <w:rPr>
                <w:sz w:val="20"/>
              </w:rPr>
              <w:t>connective</w:t>
            </w:r>
            <w:r>
              <w:rPr>
                <w:spacing w:val="-8"/>
                <w:sz w:val="20"/>
              </w:rPr>
              <w:t xml:space="preserve"> </w:t>
            </w:r>
            <w:r>
              <w:rPr>
                <w:sz w:val="20"/>
              </w:rPr>
              <w:t>tissue</w:t>
            </w:r>
            <w:r>
              <w:rPr>
                <w:spacing w:val="-9"/>
                <w:sz w:val="20"/>
              </w:rPr>
              <w:t xml:space="preserve"> </w:t>
            </w:r>
            <w:r>
              <w:rPr>
                <w:spacing w:val="-2"/>
                <w:sz w:val="20"/>
              </w:rPr>
              <w:t>disorders</w:t>
            </w:r>
          </w:p>
        </w:tc>
        <w:tc>
          <w:tcPr>
            <w:tcW w:w="1525" w:type="dxa"/>
          </w:tcPr>
          <w:p w14:paraId="53B38F23" w14:textId="77777777" w:rsidR="008B6261" w:rsidRDefault="004C6B8B">
            <w:pPr>
              <w:pStyle w:val="TableParagraph"/>
              <w:spacing w:before="58"/>
              <w:ind w:right="224"/>
              <w:jc w:val="right"/>
              <w:rPr>
                <w:sz w:val="20"/>
              </w:rPr>
            </w:pPr>
            <w:r>
              <w:rPr>
                <w:sz w:val="20"/>
              </w:rPr>
              <w:t>94</w:t>
            </w:r>
            <w:r>
              <w:rPr>
                <w:spacing w:val="-2"/>
                <w:sz w:val="20"/>
              </w:rPr>
              <w:t xml:space="preserve"> (25.1)</w:t>
            </w:r>
          </w:p>
        </w:tc>
        <w:tc>
          <w:tcPr>
            <w:tcW w:w="2597" w:type="dxa"/>
          </w:tcPr>
          <w:p w14:paraId="53B38F24" w14:textId="77777777" w:rsidR="008B6261" w:rsidRDefault="004C6B8B">
            <w:pPr>
              <w:pStyle w:val="TableParagraph"/>
              <w:spacing w:before="58"/>
              <w:ind w:left="3" w:right="155"/>
              <w:jc w:val="center"/>
              <w:rPr>
                <w:sz w:val="20"/>
              </w:rPr>
            </w:pPr>
            <w:r>
              <w:rPr>
                <w:sz w:val="20"/>
              </w:rPr>
              <w:t>186</w:t>
            </w:r>
            <w:r>
              <w:rPr>
                <w:spacing w:val="-3"/>
                <w:sz w:val="20"/>
              </w:rPr>
              <w:t xml:space="preserve"> </w:t>
            </w:r>
            <w:r>
              <w:rPr>
                <w:spacing w:val="-2"/>
                <w:sz w:val="20"/>
              </w:rPr>
              <w:t>(24.7)</w:t>
            </w:r>
          </w:p>
        </w:tc>
      </w:tr>
      <w:tr w:rsidR="008B6261" w14:paraId="53B38F29" w14:textId="77777777" w:rsidTr="00B04EA6">
        <w:trPr>
          <w:trHeight w:val="350"/>
        </w:trPr>
        <w:tc>
          <w:tcPr>
            <w:tcW w:w="4383" w:type="dxa"/>
          </w:tcPr>
          <w:p w14:paraId="53B38F26" w14:textId="77777777" w:rsidR="008B6261" w:rsidRDefault="004C6B8B">
            <w:pPr>
              <w:pStyle w:val="TableParagraph"/>
              <w:ind w:left="739"/>
              <w:rPr>
                <w:sz w:val="20"/>
              </w:rPr>
            </w:pPr>
            <w:r>
              <w:rPr>
                <w:spacing w:val="-2"/>
                <w:sz w:val="20"/>
              </w:rPr>
              <w:t>Arthralgia</w:t>
            </w:r>
          </w:p>
        </w:tc>
        <w:tc>
          <w:tcPr>
            <w:tcW w:w="1525" w:type="dxa"/>
          </w:tcPr>
          <w:p w14:paraId="53B38F27" w14:textId="77777777" w:rsidR="008B6261" w:rsidRDefault="004C6B8B">
            <w:pPr>
              <w:pStyle w:val="TableParagraph"/>
              <w:ind w:right="270"/>
              <w:jc w:val="right"/>
              <w:rPr>
                <w:sz w:val="20"/>
              </w:rPr>
            </w:pPr>
            <w:r>
              <w:rPr>
                <w:sz w:val="20"/>
              </w:rPr>
              <w:t>19</w:t>
            </w:r>
            <w:r>
              <w:rPr>
                <w:spacing w:val="-2"/>
                <w:sz w:val="20"/>
              </w:rPr>
              <w:t xml:space="preserve"> (5.1)</w:t>
            </w:r>
          </w:p>
        </w:tc>
        <w:tc>
          <w:tcPr>
            <w:tcW w:w="2597" w:type="dxa"/>
          </w:tcPr>
          <w:p w14:paraId="53B38F28" w14:textId="77777777" w:rsidR="008B6261" w:rsidRDefault="004C6B8B">
            <w:pPr>
              <w:pStyle w:val="TableParagraph"/>
              <w:ind w:left="3" w:right="155"/>
              <w:jc w:val="center"/>
              <w:rPr>
                <w:sz w:val="20"/>
              </w:rPr>
            </w:pPr>
            <w:r>
              <w:rPr>
                <w:sz w:val="20"/>
              </w:rPr>
              <w:t>49</w:t>
            </w:r>
            <w:r>
              <w:rPr>
                <w:spacing w:val="-2"/>
                <w:sz w:val="20"/>
              </w:rPr>
              <w:t xml:space="preserve"> (6.5)</w:t>
            </w:r>
          </w:p>
        </w:tc>
      </w:tr>
      <w:tr w:rsidR="008B6261" w14:paraId="53B38F2D" w14:textId="77777777" w:rsidTr="00B04EA6">
        <w:trPr>
          <w:trHeight w:val="349"/>
        </w:trPr>
        <w:tc>
          <w:tcPr>
            <w:tcW w:w="4383" w:type="dxa"/>
          </w:tcPr>
          <w:p w14:paraId="53B38F2A" w14:textId="77777777" w:rsidR="008B6261" w:rsidRDefault="004C6B8B">
            <w:pPr>
              <w:pStyle w:val="TableParagraph"/>
              <w:ind w:left="738"/>
              <w:rPr>
                <w:sz w:val="20"/>
              </w:rPr>
            </w:pPr>
            <w:r>
              <w:rPr>
                <w:sz w:val="20"/>
              </w:rPr>
              <w:t>Back</w:t>
            </w:r>
            <w:r>
              <w:rPr>
                <w:spacing w:val="-7"/>
                <w:sz w:val="20"/>
              </w:rPr>
              <w:t xml:space="preserve"> </w:t>
            </w:r>
            <w:r>
              <w:rPr>
                <w:spacing w:val="-4"/>
                <w:sz w:val="20"/>
              </w:rPr>
              <w:t>pain</w:t>
            </w:r>
          </w:p>
        </w:tc>
        <w:tc>
          <w:tcPr>
            <w:tcW w:w="1525" w:type="dxa"/>
          </w:tcPr>
          <w:p w14:paraId="53B38F2B" w14:textId="77777777" w:rsidR="008B6261" w:rsidRDefault="004C6B8B">
            <w:pPr>
              <w:pStyle w:val="TableParagraph"/>
              <w:ind w:right="270"/>
              <w:jc w:val="right"/>
              <w:rPr>
                <w:sz w:val="20"/>
              </w:rPr>
            </w:pPr>
            <w:r>
              <w:rPr>
                <w:sz w:val="20"/>
              </w:rPr>
              <w:t>24</w:t>
            </w:r>
            <w:r>
              <w:rPr>
                <w:spacing w:val="-2"/>
                <w:sz w:val="20"/>
              </w:rPr>
              <w:t xml:space="preserve"> (6.4)</w:t>
            </w:r>
          </w:p>
        </w:tc>
        <w:tc>
          <w:tcPr>
            <w:tcW w:w="2597" w:type="dxa"/>
          </w:tcPr>
          <w:p w14:paraId="53B38F2C" w14:textId="77777777" w:rsidR="008B6261" w:rsidRDefault="004C6B8B">
            <w:pPr>
              <w:pStyle w:val="TableParagraph"/>
              <w:ind w:left="2" w:right="155"/>
              <w:jc w:val="center"/>
              <w:rPr>
                <w:sz w:val="20"/>
              </w:rPr>
            </w:pPr>
            <w:r>
              <w:rPr>
                <w:sz w:val="20"/>
              </w:rPr>
              <w:t>47</w:t>
            </w:r>
            <w:r>
              <w:rPr>
                <w:spacing w:val="-2"/>
                <w:sz w:val="20"/>
              </w:rPr>
              <w:t xml:space="preserve"> (6.3)</w:t>
            </w:r>
          </w:p>
        </w:tc>
      </w:tr>
      <w:tr w:rsidR="008B6261" w14:paraId="53B38F31" w14:textId="77777777" w:rsidTr="00B04EA6">
        <w:trPr>
          <w:trHeight w:val="349"/>
        </w:trPr>
        <w:tc>
          <w:tcPr>
            <w:tcW w:w="4383" w:type="dxa"/>
          </w:tcPr>
          <w:p w14:paraId="53B38F2E" w14:textId="77777777" w:rsidR="008B6261" w:rsidRDefault="004C6B8B">
            <w:pPr>
              <w:pStyle w:val="TableParagraph"/>
              <w:spacing w:before="58"/>
              <w:ind w:left="738"/>
              <w:rPr>
                <w:sz w:val="20"/>
              </w:rPr>
            </w:pPr>
            <w:r>
              <w:rPr>
                <w:sz w:val="20"/>
              </w:rPr>
              <w:t>Muscular</w:t>
            </w:r>
            <w:r>
              <w:rPr>
                <w:spacing w:val="-10"/>
                <w:sz w:val="20"/>
              </w:rPr>
              <w:t xml:space="preserve"> </w:t>
            </w:r>
            <w:r>
              <w:rPr>
                <w:spacing w:val="-2"/>
                <w:sz w:val="20"/>
              </w:rPr>
              <w:t>weakness</w:t>
            </w:r>
          </w:p>
        </w:tc>
        <w:tc>
          <w:tcPr>
            <w:tcW w:w="1525" w:type="dxa"/>
          </w:tcPr>
          <w:p w14:paraId="53B38F2F" w14:textId="77777777" w:rsidR="008B6261" w:rsidRDefault="004C6B8B">
            <w:pPr>
              <w:pStyle w:val="TableParagraph"/>
              <w:spacing w:before="58"/>
              <w:ind w:right="270"/>
              <w:jc w:val="right"/>
              <w:rPr>
                <w:sz w:val="20"/>
              </w:rPr>
            </w:pPr>
            <w:r>
              <w:rPr>
                <w:sz w:val="20"/>
              </w:rPr>
              <w:t>10</w:t>
            </w:r>
            <w:r>
              <w:rPr>
                <w:spacing w:val="-2"/>
                <w:sz w:val="20"/>
              </w:rPr>
              <w:t xml:space="preserve"> (2.7)</w:t>
            </w:r>
          </w:p>
        </w:tc>
        <w:tc>
          <w:tcPr>
            <w:tcW w:w="2597" w:type="dxa"/>
          </w:tcPr>
          <w:p w14:paraId="53B38F30" w14:textId="77777777" w:rsidR="008B6261" w:rsidRDefault="004C6B8B">
            <w:pPr>
              <w:pStyle w:val="TableParagraph"/>
              <w:spacing w:before="58"/>
              <w:ind w:left="2" w:right="155"/>
              <w:jc w:val="center"/>
              <w:rPr>
                <w:sz w:val="20"/>
              </w:rPr>
            </w:pPr>
            <w:r>
              <w:rPr>
                <w:sz w:val="20"/>
              </w:rPr>
              <w:t>18</w:t>
            </w:r>
            <w:r>
              <w:rPr>
                <w:spacing w:val="-2"/>
                <w:sz w:val="20"/>
              </w:rPr>
              <w:t xml:space="preserve"> (2.4)</w:t>
            </w:r>
          </w:p>
        </w:tc>
      </w:tr>
      <w:tr w:rsidR="008B6261" w14:paraId="53B38F35" w14:textId="77777777" w:rsidTr="00B04EA6">
        <w:trPr>
          <w:trHeight w:val="349"/>
        </w:trPr>
        <w:tc>
          <w:tcPr>
            <w:tcW w:w="4383" w:type="dxa"/>
          </w:tcPr>
          <w:p w14:paraId="53B38F32" w14:textId="77777777" w:rsidR="008B6261" w:rsidRDefault="004C6B8B">
            <w:pPr>
              <w:pStyle w:val="TableParagraph"/>
              <w:ind w:left="738"/>
              <w:rPr>
                <w:sz w:val="20"/>
              </w:rPr>
            </w:pPr>
            <w:r>
              <w:rPr>
                <w:sz w:val="20"/>
              </w:rPr>
              <w:t>Pain</w:t>
            </w:r>
            <w:r>
              <w:rPr>
                <w:spacing w:val="-4"/>
                <w:sz w:val="20"/>
              </w:rPr>
              <w:t xml:space="preserve"> </w:t>
            </w:r>
            <w:r>
              <w:rPr>
                <w:sz w:val="20"/>
              </w:rPr>
              <w:t>in</w:t>
            </w:r>
            <w:r>
              <w:rPr>
                <w:spacing w:val="-4"/>
                <w:sz w:val="20"/>
              </w:rPr>
              <w:t xml:space="preserve"> </w:t>
            </w:r>
            <w:r>
              <w:rPr>
                <w:spacing w:val="-2"/>
                <w:sz w:val="20"/>
              </w:rPr>
              <w:t>extremity</w:t>
            </w:r>
          </w:p>
        </w:tc>
        <w:tc>
          <w:tcPr>
            <w:tcW w:w="1525" w:type="dxa"/>
          </w:tcPr>
          <w:p w14:paraId="53B38F33" w14:textId="77777777" w:rsidR="008B6261" w:rsidRDefault="004C6B8B">
            <w:pPr>
              <w:pStyle w:val="TableParagraph"/>
              <w:ind w:right="316"/>
              <w:jc w:val="right"/>
              <w:rPr>
                <w:sz w:val="20"/>
              </w:rPr>
            </w:pPr>
            <w:r>
              <w:rPr>
                <w:sz w:val="20"/>
              </w:rPr>
              <w:t>9</w:t>
            </w:r>
            <w:r>
              <w:rPr>
                <w:spacing w:val="-1"/>
                <w:sz w:val="20"/>
              </w:rPr>
              <w:t xml:space="preserve"> </w:t>
            </w:r>
            <w:r>
              <w:rPr>
                <w:spacing w:val="-2"/>
                <w:sz w:val="20"/>
              </w:rPr>
              <w:t>(2.4)</w:t>
            </w:r>
          </w:p>
        </w:tc>
        <w:tc>
          <w:tcPr>
            <w:tcW w:w="2597" w:type="dxa"/>
          </w:tcPr>
          <w:p w14:paraId="53B38F34" w14:textId="77777777" w:rsidR="008B6261" w:rsidRDefault="004C6B8B">
            <w:pPr>
              <w:pStyle w:val="TableParagraph"/>
              <w:ind w:left="2" w:right="155"/>
              <w:jc w:val="center"/>
              <w:rPr>
                <w:sz w:val="20"/>
              </w:rPr>
            </w:pPr>
            <w:r>
              <w:rPr>
                <w:sz w:val="20"/>
              </w:rPr>
              <w:t>18</w:t>
            </w:r>
            <w:r>
              <w:rPr>
                <w:spacing w:val="-2"/>
                <w:sz w:val="20"/>
              </w:rPr>
              <w:t xml:space="preserve"> (2.4)</w:t>
            </w:r>
          </w:p>
        </w:tc>
      </w:tr>
      <w:tr w:rsidR="008B6261" w14:paraId="53B38F39" w14:textId="77777777" w:rsidTr="00B04EA6">
        <w:trPr>
          <w:trHeight w:val="349"/>
        </w:trPr>
        <w:tc>
          <w:tcPr>
            <w:tcW w:w="4383" w:type="dxa"/>
          </w:tcPr>
          <w:p w14:paraId="53B38F36" w14:textId="77777777" w:rsidR="008B6261" w:rsidRDefault="004C6B8B">
            <w:pPr>
              <w:pStyle w:val="TableParagraph"/>
              <w:spacing w:before="58"/>
              <w:ind w:left="738"/>
              <w:rPr>
                <w:sz w:val="20"/>
              </w:rPr>
            </w:pPr>
            <w:r>
              <w:rPr>
                <w:sz w:val="20"/>
              </w:rPr>
              <w:t>Neck</w:t>
            </w:r>
            <w:r>
              <w:rPr>
                <w:spacing w:val="-7"/>
                <w:sz w:val="20"/>
              </w:rPr>
              <w:t xml:space="preserve"> </w:t>
            </w:r>
            <w:r>
              <w:rPr>
                <w:spacing w:val="-4"/>
                <w:sz w:val="20"/>
              </w:rPr>
              <w:t>pain</w:t>
            </w:r>
          </w:p>
        </w:tc>
        <w:tc>
          <w:tcPr>
            <w:tcW w:w="1525" w:type="dxa"/>
          </w:tcPr>
          <w:p w14:paraId="53B38F37" w14:textId="77777777" w:rsidR="008B6261" w:rsidRDefault="004C6B8B">
            <w:pPr>
              <w:pStyle w:val="TableParagraph"/>
              <w:spacing w:before="58"/>
              <w:ind w:right="316"/>
              <w:jc w:val="right"/>
              <w:rPr>
                <w:sz w:val="20"/>
              </w:rPr>
            </w:pPr>
            <w:r>
              <w:rPr>
                <w:sz w:val="20"/>
              </w:rPr>
              <w:t>9</w:t>
            </w:r>
            <w:r>
              <w:rPr>
                <w:spacing w:val="-1"/>
                <w:sz w:val="20"/>
              </w:rPr>
              <w:t xml:space="preserve"> </w:t>
            </w:r>
            <w:r>
              <w:rPr>
                <w:spacing w:val="-2"/>
                <w:sz w:val="20"/>
              </w:rPr>
              <w:t>(2.4)</w:t>
            </w:r>
          </w:p>
        </w:tc>
        <w:tc>
          <w:tcPr>
            <w:tcW w:w="2597" w:type="dxa"/>
          </w:tcPr>
          <w:p w14:paraId="53B38F38" w14:textId="77777777" w:rsidR="008B6261" w:rsidRDefault="004C6B8B">
            <w:pPr>
              <w:pStyle w:val="TableParagraph"/>
              <w:spacing w:before="58"/>
              <w:ind w:left="2" w:right="155"/>
              <w:jc w:val="center"/>
              <w:rPr>
                <w:sz w:val="20"/>
              </w:rPr>
            </w:pPr>
            <w:r>
              <w:rPr>
                <w:sz w:val="20"/>
              </w:rPr>
              <w:t>9</w:t>
            </w:r>
            <w:r>
              <w:rPr>
                <w:spacing w:val="-1"/>
                <w:sz w:val="20"/>
              </w:rPr>
              <w:t xml:space="preserve"> </w:t>
            </w:r>
            <w:r>
              <w:rPr>
                <w:spacing w:val="-2"/>
                <w:sz w:val="20"/>
              </w:rPr>
              <w:t>(1.2)</w:t>
            </w:r>
          </w:p>
        </w:tc>
      </w:tr>
      <w:tr w:rsidR="008B6261" w14:paraId="53B38F3D" w14:textId="77777777" w:rsidTr="00B04EA6">
        <w:trPr>
          <w:trHeight w:val="350"/>
        </w:trPr>
        <w:tc>
          <w:tcPr>
            <w:tcW w:w="4383" w:type="dxa"/>
          </w:tcPr>
          <w:p w14:paraId="53B38F3A" w14:textId="77777777" w:rsidR="008B6261" w:rsidRDefault="004C6B8B">
            <w:pPr>
              <w:pStyle w:val="TableParagraph"/>
              <w:ind w:left="18"/>
              <w:rPr>
                <w:sz w:val="20"/>
              </w:rPr>
            </w:pPr>
            <w:r>
              <w:rPr>
                <w:sz w:val="20"/>
              </w:rPr>
              <w:t>General</w:t>
            </w:r>
            <w:r>
              <w:rPr>
                <w:spacing w:val="-9"/>
                <w:sz w:val="20"/>
              </w:rPr>
              <w:t xml:space="preserve"> </w:t>
            </w:r>
            <w:r>
              <w:rPr>
                <w:sz w:val="20"/>
              </w:rPr>
              <w:t>disorders</w:t>
            </w:r>
            <w:r>
              <w:rPr>
                <w:spacing w:val="-8"/>
                <w:sz w:val="20"/>
              </w:rPr>
              <w:t xml:space="preserve"> </w:t>
            </w:r>
            <w:r>
              <w:rPr>
                <w:sz w:val="20"/>
              </w:rPr>
              <w:t>and</w:t>
            </w:r>
            <w:r>
              <w:rPr>
                <w:spacing w:val="-7"/>
                <w:sz w:val="20"/>
              </w:rPr>
              <w:t xml:space="preserve"> </w:t>
            </w:r>
            <w:r>
              <w:rPr>
                <w:sz w:val="20"/>
              </w:rPr>
              <w:t>administration</w:t>
            </w:r>
            <w:r>
              <w:rPr>
                <w:spacing w:val="-7"/>
                <w:sz w:val="20"/>
              </w:rPr>
              <w:t xml:space="preserve"> </w:t>
            </w:r>
            <w:r>
              <w:rPr>
                <w:sz w:val="20"/>
              </w:rPr>
              <w:t>site</w:t>
            </w:r>
            <w:r>
              <w:rPr>
                <w:spacing w:val="-8"/>
                <w:sz w:val="20"/>
              </w:rPr>
              <w:t xml:space="preserve"> </w:t>
            </w:r>
            <w:r>
              <w:rPr>
                <w:spacing w:val="-2"/>
                <w:sz w:val="20"/>
              </w:rPr>
              <w:t>conditions</w:t>
            </w:r>
          </w:p>
        </w:tc>
        <w:tc>
          <w:tcPr>
            <w:tcW w:w="1525" w:type="dxa"/>
          </w:tcPr>
          <w:p w14:paraId="53B38F3B" w14:textId="77777777" w:rsidR="008B6261" w:rsidRDefault="004C6B8B">
            <w:pPr>
              <w:pStyle w:val="TableParagraph"/>
              <w:ind w:right="225"/>
              <w:jc w:val="right"/>
              <w:rPr>
                <w:sz w:val="20"/>
              </w:rPr>
            </w:pPr>
            <w:r>
              <w:rPr>
                <w:sz w:val="20"/>
              </w:rPr>
              <w:t>54</w:t>
            </w:r>
            <w:r>
              <w:rPr>
                <w:spacing w:val="-2"/>
                <w:sz w:val="20"/>
              </w:rPr>
              <w:t xml:space="preserve"> (14.4)</w:t>
            </w:r>
          </w:p>
        </w:tc>
        <w:tc>
          <w:tcPr>
            <w:tcW w:w="2597" w:type="dxa"/>
          </w:tcPr>
          <w:p w14:paraId="53B38F3C" w14:textId="77777777" w:rsidR="008B6261" w:rsidRDefault="004C6B8B">
            <w:pPr>
              <w:pStyle w:val="TableParagraph"/>
              <w:ind w:left="2" w:right="155"/>
              <w:jc w:val="center"/>
              <w:rPr>
                <w:sz w:val="20"/>
              </w:rPr>
            </w:pPr>
            <w:r>
              <w:rPr>
                <w:sz w:val="20"/>
              </w:rPr>
              <w:t>128</w:t>
            </w:r>
            <w:r>
              <w:rPr>
                <w:spacing w:val="-3"/>
                <w:sz w:val="20"/>
              </w:rPr>
              <w:t xml:space="preserve"> </w:t>
            </w:r>
            <w:r>
              <w:rPr>
                <w:spacing w:val="-2"/>
                <w:sz w:val="20"/>
              </w:rPr>
              <w:t>(17.0)</w:t>
            </w:r>
          </w:p>
        </w:tc>
      </w:tr>
      <w:tr w:rsidR="008B6261" w14:paraId="53B38F41" w14:textId="77777777" w:rsidTr="00B04EA6">
        <w:trPr>
          <w:trHeight w:val="349"/>
        </w:trPr>
        <w:tc>
          <w:tcPr>
            <w:tcW w:w="4383" w:type="dxa"/>
          </w:tcPr>
          <w:p w14:paraId="53B38F3E" w14:textId="77777777" w:rsidR="008B6261" w:rsidRDefault="004C6B8B">
            <w:pPr>
              <w:pStyle w:val="TableParagraph"/>
              <w:ind w:left="738"/>
              <w:rPr>
                <w:sz w:val="20"/>
              </w:rPr>
            </w:pPr>
            <w:r>
              <w:rPr>
                <w:spacing w:val="-2"/>
                <w:sz w:val="20"/>
              </w:rPr>
              <w:t>Fatigue</w:t>
            </w:r>
          </w:p>
        </w:tc>
        <w:tc>
          <w:tcPr>
            <w:tcW w:w="1525" w:type="dxa"/>
          </w:tcPr>
          <w:p w14:paraId="53B38F3F" w14:textId="77777777" w:rsidR="008B6261" w:rsidRDefault="004C6B8B">
            <w:pPr>
              <w:pStyle w:val="TableParagraph"/>
              <w:ind w:right="270"/>
              <w:jc w:val="right"/>
              <w:rPr>
                <w:sz w:val="20"/>
              </w:rPr>
            </w:pPr>
            <w:r>
              <w:rPr>
                <w:sz w:val="20"/>
              </w:rPr>
              <w:t>11</w:t>
            </w:r>
            <w:r>
              <w:rPr>
                <w:spacing w:val="-2"/>
                <w:sz w:val="20"/>
              </w:rPr>
              <w:t xml:space="preserve"> (2.9)</w:t>
            </w:r>
          </w:p>
        </w:tc>
        <w:tc>
          <w:tcPr>
            <w:tcW w:w="2597" w:type="dxa"/>
          </w:tcPr>
          <w:p w14:paraId="53B38F40" w14:textId="77777777" w:rsidR="008B6261" w:rsidRDefault="004C6B8B">
            <w:pPr>
              <w:pStyle w:val="TableParagraph"/>
              <w:ind w:left="2" w:right="155"/>
              <w:jc w:val="center"/>
              <w:rPr>
                <w:sz w:val="20"/>
              </w:rPr>
            </w:pPr>
            <w:r>
              <w:rPr>
                <w:sz w:val="20"/>
              </w:rPr>
              <w:t>35</w:t>
            </w:r>
            <w:r>
              <w:rPr>
                <w:spacing w:val="-2"/>
                <w:sz w:val="20"/>
              </w:rPr>
              <w:t xml:space="preserve"> (4.7)</w:t>
            </w:r>
          </w:p>
        </w:tc>
      </w:tr>
      <w:tr w:rsidR="008B6261" w14:paraId="53B38F45" w14:textId="77777777" w:rsidTr="00B04EA6">
        <w:trPr>
          <w:trHeight w:val="349"/>
        </w:trPr>
        <w:tc>
          <w:tcPr>
            <w:tcW w:w="4383" w:type="dxa"/>
          </w:tcPr>
          <w:p w14:paraId="53B38F42" w14:textId="77777777" w:rsidR="008B6261" w:rsidRDefault="004C6B8B">
            <w:pPr>
              <w:pStyle w:val="TableParagraph"/>
              <w:spacing w:before="58"/>
              <w:ind w:left="738"/>
              <w:rPr>
                <w:sz w:val="20"/>
              </w:rPr>
            </w:pPr>
            <w:r>
              <w:rPr>
                <w:sz w:val="20"/>
              </w:rPr>
              <w:t>Oedema</w:t>
            </w:r>
            <w:r>
              <w:rPr>
                <w:spacing w:val="-7"/>
                <w:sz w:val="20"/>
              </w:rPr>
              <w:t xml:space="preserve"> </w:t>
            </w:r>
            <w:r>
              <w:rPr>
                <w:spacing w:val="-2"/>
                <w:sz w:val="20"/>
              </w:rPr>
              <w:t>peripheral</w:t>
            </w:r>
          </w:p>
        </w:tc>
        <w:tc>
          <w:tcPr>
            <w:tcW w:w="1525" w:type="dxa"/>
          </w:tcPr>
          <w:p w14:paraId="53B38F43" w14:textId="77777777" w:rsidR="008B6261" w:rsidRDefault="004C6B8B">
            <w:pPr>
              <w:pStyle w:val="TableParagraph"/>
              <w:spacing w:before="58"/>
              <w:ind w:right="270"/>
              <w:jc w:val="right"/>
              <w:rPr>
                <w:sz w:val="20"/>
              </w:rPr>
            </w:pPr>
            <w:r>
              <w:rPr>
                <w:sz w:val="20"/>
              </w:rPr>
              <w:t>12</w:t>
            </w:r>
            <w:r>
              <w:rPr>
                <w:spacing w:val="-2"/>
                <w:sz w:val="20"/>
              </w:rPr>
              <w:t xml:space="preserve"> (3.2)</w:t>
            </w:r>
          </w:p>
        </w:tc>
        <w:tc>
          <w:tcPr>
            <w:tcW w:w="2597" w:type="dxa"/>
          </w:tcPr>
          <w:p w14:paraId="53B38F44" w14:textId="77777777" w:rsidR="008B6261" w:rsidRDefault="004C6B8B">
            <w:pPr>
              <w:pStyle w:val="TableParagraph"/>
              <w:spacing w:before="58"/>
              <w:ind w:left="1" w:right="155"/>
              <w:jc w:val="center"/>
              <w:rPr>
                <w:sz w:val="20"/>
              </w:rPr>
            </w:pPr>
            <w:r>
              <w:rPr>
                <w:sz w:val="20"/>
              </w:rPr>
              <w:t>27</w:t>
            </w:r>
            <w:r>
              <w:rPr>
                <w:spacing w:val="-2"/>
                <w:sz w:val="20"/>
              </w:rPr>
              <w:t xml:space="preserve"> (3.6)</w:t>
            </w:r>
          </w:p>
        </w:tc>
      </w:tr>
      <w:tr w:rsidR="008B6261" w14:paraId="53B38F49" w14:textId="77777777" w:rsidTr="00B04EA6">
        <w:trPr>
          <w:trHeight w:val="349"/>
        </w:trPr>
        <w:tc>
          <w:tcPr>
            <w:tcW w:w="4383" w:type="dxa"/>
          </w:tcPr>
          <w:p w14:paraId="53B38F46" w14:textId="77777777" w:rsidR="008B6261" w:rsidRDefault="004C6B8B">
            <w:pPr>
              <w:pStyle w:val="TableParagraph"/>
              <w:ind w:left="738"/>
              <w:rPr>
                <w:sz w:val="20"/>
              </w:rPr>
            </w:pPr>
            <w:r>
              <w:rPr>
                <w:spacing w:val="-2"/>
                <w:sz w:val="20"/>
              </w:rPr>
              <w:t>Pyrexia</w:t>
            </w:r>
          </w:p>
        </w:tc>
        <w:tc>
          <w:tcPr>
            <w:tcW w:w="1525" w:type="dxa"/>
          </w:tcPr>
          <w:p w14:paraId="53B38F47" w14:textId="77777777" w:rsidR="008B6261" w:rsidRDefault="004C6B8B">
            <w:pPr>
              <w:pStyle w:val="TableParagraph"/>
              <w:ind w:right="271"/>
              <w:jc w:val="right"/>
              <w:rPr>
                <w:sz w:val="20"/>
              </w:rPr>
            </w:pPr>
            <w:r>
              <w:rPr>
                <w:sz w:val="20"/>
              </w:rPr>
              <w:t>17</w:t>
            </w:r>
            <w:r>
              <w:rPr>
                <w:spacing w:val="-2"/>
                <w:sz w:val="20"/>
              </w:rPr>
              <w:t xml:space="preserve"> (4.5)</w:t>
            </w:r>
          </w:p>
        </w:tc>
        <w:tc>
          <w:tcPr>
            <w:tcW w:w="2597" w:type="dxa"/>
          </w:tcPr>
          <w:p w14:paraId="53B38F48" w14:textId="77777777" w:rsidR="008B6261" w:rsidRDefault="004C6B8B">
            <w:pPr>
              <w:pStyle w:val="TableParagraph"/>
              <w:ind w:left="1" w:right="155"/>
              <w:jc w:val="center"/>
              <w:rPr>
                <w:sz w:val="20"/>
              </w:rPr>
            </w:pPr>
            <w:r>
              <w:rPr>
                <w:sz w:val="20"/>
              </w:rPr>
              <w:t>25</w:t>
            </w:r>
            <w:r>
              <w:rPr>
                <w:spacing w:val="-2"/>
                <w:sz w:val="20"/>
              </w:rPr>
              <w:t xml:space="preserve"> (3.3)</w:t>
            </w:r>
          </w:p>
        </w:tc>
      </w:tr>
      <w:tr w:rsidR="008B6261" w14:paraId="53B38F4D" w14:textId="77777777" w:rsidTr="00B04EA6">
        <w:trPr>
          <w:trHeight w:val="349"/>
        </w:trPr>
        <w:tc>
          <w:tcPr>
            <w:tcW w:w="4383" w:type="dxa"/>
          </w:tcPr>
          <w:p w14:paraId="53B38F4A" w14:textId="77777777" w:rsidR="008B6261" w:rsidRDefault="004C6B8B">
            <w:pPr>
              <w:pStyle w:val="TableParagraph"/>
              <w:spacing w:before="58"/>
              <w:ind w:left="18"/>
              <w:rPr>
                <w:sz w:val="20"/>
              </w:rPr>
            </w:pPr>
            <w:r>
              <w:rPr>
                <w:spacing w:val="-2"/>
                <w:sz w:val="20"/>
              </w:rPr>
              <w:t>Investigations</w:t>
            </w:r>
          </w:p>
        </w:tc>
        <w:tc>
          <w:tcPr>
            <w:tcW w:w="1525" w:type="dxa"/>
          </w:tcPr>
          <w:p w14:paraId="53B38F4B" w14:textId="77777777" w:rsidR="008B6261" w:rsidRDefault="004C6B8B">
            <w:pPr>
              <w:pStyle w:val="TableParagraph"/>
              <w:spacing w:before="58"/>
              <w:ind w:right="271"/>
              <w:jc w:val="right"/>
              <w:rPr>
                <w:sz w:val="20"/>
              </w:rPr>
            </w:pPr>
            <w:r>
              <w:rPr>
                <w:sz w:val="20"/>
              </w:rPr>
              <w:t>36</w:t>
            </w:r>
            <w:r>
              <w:rPr>
                <w:spacing w:val="-2"/>
                <w:sz w:val="20"/>
              </w:rPr>
              <w:t xml:space="preserve"> (9.6)</w:t>
            </w:r>
          </w:p>
        </w:tc>
        <w:tc>
          <w:tcPr>
            <w:tcW w:w="2597" w:type="dxa"/>
          </w:tcPr>
          <w:p w14:paraId="53B38F4C" w14:textId="77777777" w:rsidR="008B6261" w:rsidRDefault="004C6B8B">
            <w:pPr>
              <w:pStyle w:val="TableParagraph"/>
              <w:spacing w:before="58"/>
              <w:ind w:right="155"/>
              <w:jc w:val="center"/>
              <w:rPr>
                <w:sz w:val="20"/>
              </w:rPr>
            </w:pPr>
            <w:r>
              <w:rPr>
                <w:sz w:val="20"/>
              </w:rPr>
              <w:t>108</w:t>
            </w:r>
            <w:r>
              <w:rPr>
                <w:spacing w:val="-3"/>
                <w:sz w:val="20"/>
              </w:rPr>
              <w:t xml:space="preserve"> </w:t>
            </w:r>
            <w:r>
              <w:rPr>
                <w:spacing w:val="-2"/>
                <w:sz w:val="20"/>
              </w:rPr>
              <w:t>(14.4)</w:t>
            </w:r>
          </w:p>
        </w:tc>
      </w:tr>
      <w:tr w:rsidR="008B6261" w14:paraId="53B38F51" w14:textId="77777777" w:rsidTr="00B04EA6">
        <w:trPr>
          <w:trHeight w:val="350"/>
        </w:trPr>
        <w:tc>
          <w:tcPr>
            <w:tcW w:w="4383" w:type="dxa"/>
          </w:tcPr>
          <w:p w14:paraId="53B38F4E" w14:textId="77777777" w:rsidR="008B6261" w:rsidRDefault="004C6B8B">
            <w:pPr>
              <w:pStyle w:val="TableParagraph"/>
              <w:ind w:left="737"/>
              <w:rPr>
                <w:sz w:val="20"/>
              </w:rPr>
            </w:pPr>
            <w:r>
              <w:rPr>
                <w:spacing w:val="-2"/>
                <w:sz w:val="20"/>
              </w:rPr>
              <w:t>Alanine</w:t>
            </w:r>
            <w:r>
              <w:rPr>
                <w:spacing w:val="10"/>
                <w:sz w:val="20"/>
              </w:rPr>
              <w:t xml:space="preserve"> </w:t>
            </w:r>
            <w:r>
              <w:rPr>
                <w:spacing w:val="-2"/>
                <w:sz w:val="20"/>
              </w:rPr>
              <w:t>aminotransferase</w:t>
            </w:r>
            <w:r>
              <w:rPr>
                <w:spacing w:val="11"/>
                <w:sz w:val="20"/>
              </w:rPr>
              <w:t xml:space="preserve"> </w:t>
            </w:r>
            <w:r>
              <w:rPr>
                <w:spacing w:val="-2"/>
                <w:sz w:val="20"/>
              </w:rPr>
              <w:t>increased</w:t>
            </w:r>
          </w:p>
        </w:tc>
        <w:tc>
          <w:tcPr>
            <w:tcW w:w="1525" w:type="dxa"/>
          </w:tcPr>
          <w:p w14:paraId="53B38F4F" w14:textId="77777777" w:rsidR="008B6261" w:rsidRDefault="004C6B8B">
            <w:pPr>
              <w:pStyle w:val="TableParagraph"/>
              <w:ind w:right="317"/>
              <w:jc w:val="right"/>
              <w:rPr>
                <w:sz w:val="20"/>
              </w:rPr>
            </w:pPr>
            <w:r>
              <w:rPr>
                <w:sz w:val="20"/>
              </w:rPr>
              <w:t>6</w:t>
            </w:r>
            <w:r>
              <w:rPr>
                <w:spacing w:val="-1"/>
                <w:sz w:val="20"/>
              </w:rPr>
              <w:t xml:space="preserve"> </w:t>
            </w:r>
            <w:r>
              <w:rPr>
                <w:spacing w:val="-2"/>
                <w:sz w:val="20"/>
              </w:rPr>
              <w:t>(1.6)</w:t>
            </w:r>
          </w:p>
        </w:tc>
        <w:tc>
          <w:tcPr>
            <w:tcW w:w="2597" w:type="dxa"/>
          </w:tcPr>
          <w:p w14:paraId="53B38F50" w14:textId="77777777" w:rsidR="008B6261" w:rsidRDefault="004C6B8B">
            <w:pPr>
              <w:pStyle w:val="TableParagraph"/>
              <w:ind w:right="155"/>
              <w:jc w:val="center"/>
              <w:rPr>
                <w:sz w:val="20"/>
              </w:rPr>
            </w:pPr>
            <w:r>
              <w:rPr>
                <w:sz w:val="20"/>
              </w:rPr>
              <w:t>33</w:t>
            </w:r>
            <w:r>
              <w:rPr>
                <w:spacing w:val="-2"/>
                <w:sz w:val="20"/>
              </w:rPr>
              <w:t xml:space="preserve"> (4.4)</w:t>
            </w:r>
          </w:p>
        </w:tc>
      </w:tr>
      <w:tr w:rsidR="008B6261" w14:paraId="53B38F55" w14:textId="77777777" w:rsidTr="00B04EA6">
        <w:trPr>
          <w:trHeight w:val="349"/>
        </w:trPr>
        <w:tc>
          <w:tcPr>
            <w:tcW w:w="4383" w:type="dxa"/>
          </w:tcPr>
          <w:p w14:paraId="53B38F52" w14:textId="77777777" w:rsidR="008B6261" w:rsidRDefault="004C6B8B">
            <w:pPr>
              <w:pStyle w:val="TableParagraph"/>
              <w:ind w:left="17"/>
              <w:rPr>
                <w:sz w:val="20"/>
              </w:rPr>
            </w:pPr>
            <w:r>
              <w:rPr>
                <w:sz w:val="20"/>
              </w:rPr>
              <w:t>Injury,</w:t>
            </w:r>
            <w:r>
              <w:rPr>
                <w:spacing w:val="-7"/>
                <w:sz w:val="20"/>
              </w:rPr>
              <w:t xml:space="preserve"> </w:t>
            </w:r>
            <w:r>
              <w:rPr>
                <w:sz w:val="20"/>
              </w:rPr>
              <w:t>poisoning</w:t>
            </w:r>
            <w:r>
              <w:rPr>
                <w:spacing w:val="-7"/>
                <w:sz w:val="20"/>
              </w:rPr>
              <w:t xml:space="preserve"> </w:t>
            </w:r>
            <w:r>
              <w:rPr>
                <w:sz w:val="20"/>
              </w:rPr>
              <w:t>and</w:t>
            </w:r>
            <w:r>
              <w:rPr>
                <w:spacing w:val="-7"/>
                <w:sz w:val="20"/>
              </w:rPr>
              <w:t xml:space="preserve"> </w:t>
            </w:r>
            <w:r>
              <w:rPr>
                <w:sz w:val="20"/>
              </w:rPr>
              <w:t>procedural</w:t>
            </w:r>
            <w:r>
              <w:rPr>
                <w:spacing w:val="-5"/>
                <w:sz w:val="20"/>
              </w:rPr>
              <w:t xml:space="preserve"> </w:t>
            </w:r>
            <w:r>
              <w:rPr>
                <w:spacing w:val="-2"/>
                <w:sz w:val="20"/>
              </w:rPr>
              <w:t>complications</w:t>
            </w:r>
          </w:p>
        </w:tc>
        <w:tc>
          <w:tcPr>
            <w:tcW w:w="1525" w:type="dxa"/>
          </w:tcPr>
          <w:p w14:paraId="53B38F53" w14:textId="77777777" w:rsidR="008B6261" w:rsidRDefault="004C6B8B">
            <w:pPr>
              <w:pStyle w:val="TableParagraph"/>
              <w:ind w:right="225"/>
              <w:jc w:val="right"/>
              <w:rPr>
                <w:sz w:val="20"/>
              </w:rPr>
            </w:pPr>
            <w:r>
              <w:rPr>
                <w:sz w:val="20"/>
              </w:rPr>
              <w:t>88</w:t>
            </w:r>
            <w:r>
              <w:rPr>
                <w:spacing w:val="-2"/>
                <w:sz w:val="20"/>
              </w:rPr>
              <w:t xml:space="preserve"> (23.5)</w:t>
            </w:r>
          </w:p>
        </w:tc>
        <w:tc>
          <w:tcPr>
            <w:tcW w:w="2597" w:type="dxa"/>
          </w:tcPr>
          <w:p w14:paraId="53B38F54" w14:textId="77777777" w:rsidR="008B6261" w:rsidRDefault="004C6B8B">
            <w:pPr>
              <w:pStyle w:val="TableParagraph"/>
              <w:ind w:left="1" w:right="155"/>
              <w:jc w:val="center"/>
              <w:rPr>
                <w:sz w:val="20"/>
              </w:rPr>
            </w:pPr>
            <w:r>
              <w:rPr>
                <w:sz w:val="20"/>
              </w:rPr>
              <w:t>179</w:t>
            </w:r>
            <w:r>
              <w:rPr>
                <w:spacing w:val="-3"/>
                <w:sz w:val="20"/>
              </w:rPr>
              <w:t xml:space="preserve"> </w:t>
            </w:r>
            <w:r>
              <w:rPr>
                <w:spacing w:val="-2"/>
                <w:sz w:val="20"/>
              </w:rPr>
              <w:t>(23.8)</w:t>
            </w:r>
          </w:p>
        </w:tc>
      </w:tr>
      <w:tr w:rsidR="008B6261" w14:paraId="53B38F59" w14:textId="77777777" w:rsidTr="00B04EA6">
        <w:trPr>
          <w:trHeight w:val="349"/>
        </w:trPr>
        <w:tc>
          <w:tcPr>
            <w:tcW w:w="4383" w:type="dxa"/>
          </w:tcPr>
          <w:p w14:paraId="53B38F56" w14:textId="77777777" w:rsidR="008B6261" w:rsidRDefault="004C6B8B">
            <w:pPr>
              <w:pStyle w:val="TableParagraph"/>
              <w:spacing w:before="58"/>
              <w:ind w:left="737"/>
              <w:rPr>
                <w:sz w:val="20"/>
              </w:rPr>
            </w:pPr>
            <w:r>
              <w:rPr>
                <w:spacing w:val="-4"/>
                <w:sz w:val="20"/>
              </w:rPr>
              <w:t>Fall</w:t>
            </w:r>
          </w:p>
        </w:tc>
        <w:tc>
          <w:tcPr>
            <w:tcW w:w="1525" w:type="dxa"/>
          </w:tcPr>
          <w:p w14:paraId="53B38F57" w14:textId="77777777" w:rsidR="008B6261" w:rsidRDefault="004C6B8B">
            <w:pPr>
              <w:pStyle w:val="TableParagraph"/>
              <w:spacing w:before="58"/>
              <w:ind w:right="225"/>
              <w:jc w:val="right"/>
              <w:rPr>
                <w:sz w:val="20"/>
              </w:rPr>
            </w:pPr>
            <w:r>
              <w:rPr>
                <w:sz w:val="20"/>
              </w:rPr>
              <w:t>41</w:t>
            </w:r>
            <w:r>
              <w:rPr>
                <w:spacing w:val="-2"/>
                <w:sz w:val="20"/>
              </w:rPr>
              <w:t xml:space="preserve"> (10.9)</w:t>
            </w:r>
          </w:p>
        </w:tc>
        <w:tc>
          <w:tcPr>
            <w:tcW w:w="2597" w:type="dxa"/>
          </w:tcPr>
          <w:p w14:paraId="53B38F58" w14:textId="77777777" w:rsidR="008B6261" w:rsidRDefault="004C6B8B">
            <w:pPr>
              <w:pStyle w:val="TableParagraph"/>
              <w:spacing w:before="58"/>
              <w:ind w:right="155"/>
              <w:jc w:val="center"/>
              <w:rPr>
                <w:sz w:val="20"/>
              </w:rPr>
            </w:pPr>
            <w:r>
              <w:rPr>
                <w:sz w:val="20"/>
              </w:rPr>
              <w:t>72</w:t>
            </w:r>
            <w:r>
              <w:rPr>
                <w:spacing w:val="-2"/>
                <w:sz w:val="20"/>
              </w:rPr>
              <w:t xml:space="preserve"> (9.6)</w:t>
            </w:r>
          </w:p>
        </w:tc>
      </w:tr>
      <w:tr w:rsidR="008B6261" w14:paraId="53B38F5D" w14:textId="77777777" w:rsidTr="00B04EA6">
        <w:trPr>
          <w:trHeight w:val="350"/>
        </w:trPr>
        <w:tc>
          <w:tcPr>
            <w:tcW w:w="4383" w:type="dxa"/>
          </w:tcPr>
          <w:p w14:paraId="53B38F5A" w14:textId="77777777" w:rsidR="008B6261" w:rsidRDefault="004C6B8B">
            <w:pPr>
              <w:pStyle w:val="TableParagraph"/>
              <w:ind w:left="737"/>
              <w:rPr>
                <w:sz w:val="20"/>
              </w:rPr>
            </w:pPr>
            <w:r>
              <w:rPr>
                <w:spacing w:val="-2"/>
                <w:sz w:val="20"/>
              </w:rPr>
              <w:t>Contusion</w:t>
            </w:r>
          </w:p>
        </w:tc>
        <w:tc>
          <w:tcPr>
            <w:tcW w:w="1525" w:type="dxa"/>
          </w:tcPr>
          <w:p w14:paraId="53B38F5B" w14:textId="77777777" w:rsidR="008B6261" w:rsidRDefault="004C6B8B">
            <w:pPr>
              <w:pStyle w:val="TableParagraph"/>
              <w:ind w:right="317"/>
              <w:jc w:val="right"/>
              <w:rPr>
                <w:sz w:val="20"/>
              </w:rPr>
            </w:pPr>
            <w:r>
              <w:rPr>
                <w:sz w:val="20"/>
              </w:rPr>
              <w:t>4</w:t>
            </w:r>
            <w:r>
              <w:rPr>
                <w:spacing w:val="-1"/>
                <w:sz w:val="20"/>
              </w:rPr>
              <w:t xml:space="preserve"> </w:t>
            </w:r>
            <w:r>
              <w:rPr>
                <w:spacing w:val="-2"/>
                <w:sz w:val="20"/>
              </w:rPr>
              <w:t>(1.1)</w:t>
            </w:r>
          </w:p>
        </w:tc>
        <w:tc>
          <w:tcPr>
            <w:tcW w:w="2597" w:type="dxa"/>
          </w:tcPr>
          <w:p w14:paraId="53B38F5C" w14:textId="77777777" w:rsidR="008B6261" w:rsidRDefault="004C6B8B">
            <w:pPr>
              <w:pStyle w:val="TableParagraph"/>
              <w:ind w:right="155"/>
              <w:jc w:val="center"/>
              <w:rPr>
                <w:sz w:val="20"/>
              </w:rPr>
            </w:pPr>
            <w:r>
              <w:rPr>
                <w:sz w:val="20"/>
              </w:rPr>
              <w:t>29</w:t>
            </w:r>
            <w:r>
              <w:rPr>
                <w:spacing w:val="-2"/>
                <w:sz w:val="20"/>
              </w:rPr>
              <w:t xml:space="preserve"> (3.9)</w:t>
            </w:r>
          </w:p>
        </w:tc>
      </w:tr>
      <w:tr w:rsidR="008B6261" w14:paraId="53B38F61" w14:textId="77777777" w:rsidTr="00B04EA6">
        <w:trPr>
          <w:trHeight w:val="349"/>
        </w:trPr>
        <w:tc>
          <w:tcPr>
            <w:tcW w:w="4383" w:type="dxa"/>
          </w:tcPr>
          <w:p w14:paraId="53B38F5E" w14:textId="77777777" w:rsidR="008B6261" w:rsidRDefault="004C6B8B">
            <w:pPr>
              <w:pStyle w:val="TableParagraph"/>
              <w:ind w:left="737"/>
              <w:rPr>
                <w:sz w:val="20"/>
              </w:rPr>
            </w:pPr>
            <w:r>
              <w:rPr>
                <w:spacing w:val="-2"/>
                <w:sz w:val="20"/>
              </w:rPr>
              <w:t>Accidental</w:t>
            </w:r>
            <w:r>
              <w:rPr>
                <w:spacing w:val="7"/>
                <w:sz w:val="20"/>
              </w:rPr>
              <w:t xml:space="preserve"> </w:t>
            </w:r>
            <w:r>
              <w:rPr>
                <w:spacing w:val="-2"/>
                <w:sz w:val="20"/>
              </w:rPr>
              <w:t>overdose</w:t>
            </w:r>
          </w:p>
        </w:tc>
        <w:tc>
          <w:tcPr>
            <w:tcW w:w="1525" w:type="dxa"/>
          </w:tcPr>
          <w:p w14:paraId="53B38F5F" w14:textId="77777777" w:rsidR="008B6261" w:rsidRDefault="004C6B8B">
            <w:pPr>
              <w:pStyle w:val="TableParagraph"/>
              <w:ind w:right="271"/>
              <w:jc w:val="right"/>
              <w:rPr>
                <w:sz w:val="20"/>
              </w:rPr>
            </w:pPr>
            <w:r>
              <w:rPr>
                <w:sz w:val="20"/>
              </w:rPr>
              <w:t>19</w:t>
            </w:r>
            <w:r>
              <w:rPr>
                <w:spacing w:val="-2"/>
                <w:sz w:val="20"/>
              </w:rPr>
              <w:t xml:space="preserve"> (5.1)</w:t>
            </w:r>
          </w:p>
        </w:tc>
        <w:tc>
          <w:tcPr>
            <w:tcW w:w="2597" w:type="dxa"/>
          </w:tcPr>
          <w:p w14:paraId="53B38F60" w14:textId="77777777" w:rsidR="008B6261" w:rsidRDefault="004C6B8B">
            <w:pPr>
              <w:pStyle w:val="TableParagraph"/>
              <w:ind w:right="155"/>
              <w:jc w:val="center"/>
              <w:rPr>
                <w:sz w:val="20"/>
              </w:rPr>
            </w:pPr>
            <w:r>
              <w:rPr>
                <w:sz w:val="20"/>
              </w:rPr>
              <w:t>25</w:t>
            </w:r>
            <w:r>
              <w:rPr>
                <w:spacing w:val="-2"/>
                <w:sz w:val="20"/>
              </w:rPr>
              <w:t xml:space="preserve"> (3.3)</w:t>
            </w:r>
          </w:p>
        </w:tc>
      </w:tr>
      <w:tr w:rsidR="008B6261" w14:paraId="53B38F65" w14:textId="77777777" w:rsidTr="00B04EA6">
        <w:trPr>
          <w:trHeight w:val="349"/>
        </w:trPr>
        <w:tc>
          <w:tcPr>
            <w:tcW w:w="4383" w:type="dxa"/>
          </w:tcPr>
          <w:p w14:paraId="53B38F62" w14:textId="77777777" w:rsidR="008B6261" w:rsidRDefault="004C6B8B">
            <w:pPr>
              <w:pStyle w:val="TableParagraph"/>
              <w:spacing w:before="58"/>
              <w:ind w:left="737"/>
              <w:rPr>
                <w:sz w:val="20"/>
              </w:rPr>
            </w:pPr>
            <w:r>
              <w:rPr>
                <w:sz w:val="20"/>
              </w:rPr>
              <w:t>Ligament</w:t>
            </w:r>
            <w:r>
              <w:rPr>
                <w:spacing w:val="-8"/>
                <w:sz w:val="20"/>
              </w:rPr>
              <w:t xml:space="preserve"> </w:t>
            </w:r>
            <w:r>
              <w:rPr>
                <w:spacing w:val="-2"/>
                <w:sz w:val="20"/>
              </w:rPr>
              <w:t>sprain</w:t>
            </w:r>
          </w:p>
        </w:tc>
        <w:tc>
          <w:tcPr>
            <w:tcW w:w="1525" w:type="dxa"/>
          </w:tcPr>
          <w:p w14:paraId="53B38F63" w14:textId="77777777" w:rsidR="008B6261" w:rsidRDefault="004C6B8B">
            <w:pPr>
              <w:pStyle w:val="TableParagraph"/>
              <w:spacing w:before="58"/>
              <w:ind w:right="317"/>
              <w:jc w:val="right"/>
              <w:rPr>
                <w:sz w:val="20"/>
              </w:rPr>
            </w:pPr>
            <w:r>
              <w:rPr>
                <w:sz w:val="20"/>
              </w:rPr>
              <w:t>7</w:t>
            </w:r>
            <w:r>
              <w:rPr>
                <w:spacing w:val="-1"/>
                <w:sz w:val="20"/>
              </w:rPr>
              <w:t xml:space="preserve"> </w:t>
            </w:r>
            <w:r>
              <w:rPr>
                <w:spacing w:val="-2"/>
                <w:sz w:val="20"/>
              </w:rPr>
              <w:t>(1.9)</w:t>
            </w:r>
          </w:p>
        </w:tc>
        <w:tc>
          <w:tcPr>
            <w:tcW w:w="2597" w:type="dxa"/>
          </w:tcPr>
          <w:p w14:paraId="53B38F64" w14:textId="77777777" w:rsidR="008B6261" w:rsidRDefault="004C6B8B">
            <w:pPr>
              <w:pStyle w:val="TableParagraph"/>
              <w:spacing w:before="58"/>
              <w:ind w:right="155"/>
              <w:jc w:val="center"/>
              <w:rPr>
                <w:sz w:val="20"/>
              </w:rPr>
            </w:pPr>
            <w:r>
              <w:rPr>
                <w:sz w:val="20"/>
              </w:rPr>
              <w:t>15</w:t>
            </w:r>
            <w:r>
              <w:rPr>
                <w:spacing w:val="-2"/>
                <w:sz w:val="20"/>
              </w:rPr>
              <w:t xml:space="preserve"> (2.0)</w:t>
            </w:r>
          </w:p>
        </w:tc>
      </w:tr>
      <w:tr w:rsidR="008B6261" w14:paraId="53B38F69" w14:textId="77777777" w:rsidTr="00B04EA6">
        <w:trPr>
          <w:trHeight w:val="347"/>
        </w:trPr>
        <w:tc>
          <w:tcPr>
            <w:tcW w:w="4383" w:type="dxa"/>
            <w:tcBorders>
              <w:bottom w:val="single" w:sz="12" w:space="0" w:color="000000"/>
            </w:tcBorders>
          </w:tcPr>
          <w:p w14:paraId="53B38F66" w14:textId="77777777" w:rsidR="008B6261" w:rsidRDefault="004C6B8B">
            <w:pPr>
              <w:pStyle w:val="TableParagraph"/>
              <w:ind w:left="737"/>
              <w:rPr>
                <w:sz w:val="20"/>
              </w:rPr>
            </w:pPr>
            <w:r>
              <w:rPr>
                <w:sz w:val="20"/>
              </w:rPr>
              <w:t>Rib</w:t>
            </w:r>
            <w:r>
              <w:rPr>
                <w:spacing w:val="-5"/>
                <w:sz w:val="20"/>
              </w:rPr>
              <w:t xml:space="preserve"> </w:t>
            </w:r>
            <w:r>
              <w:rPr>
                <w:spacing w:val="-2"/>
                <w:sz w:val="20"/>
              </w:rPr>
              <w:t>fracture</w:t>
            </w:r>
          </w:p>
        </w:tc>
        <w:tc>
          <w:tcPr>
            <w:tcW w:w="1525" w:type="dxa"/>
            <w:tcBorders>
              <w:bottom w:val="single" w:sz="12" w:space="0" w:color="000000"/>
            </w:tcBorders>
          </w:tcPr>
          <w:p w14:paraId="53B38F67" w14:textId="77777777" w:rsidR="008B6261" w:rsidRDefault="004C6B8B">
            <w:pPr>
              <w:pStyle w:val="TableParagraph"/>
              <w:ind w:right="317"/>
              <w:jc w:val="right"/>
              <w:rPr>
                <w:sz w:val="20"/>
              </w:rPr>
            </w:pPr>
            <w:r>
              <w:rPr>
                <w:sz w:val="20"/>
              </w:rPr>
              <w:t>9</w:t>
            </w:r>
            <w:r>
              <w:rPr>
                <w:spacing w:val="-1"/>
                <w:sz w:val="20"/>
              </w:rPr>
              <w:t xml:space="preserve"> </w:t>
            </w:r>
            <w:r>
              <w:rPr>
                <w:spacing w:val="-2"/>
                <w:sz w:val="20"/>
              </w:rPr>
              <w:t>(2.4)</w:t>
            </w:r>
          </w:p>
        </w:tc>
        <w:tc>
          <w:tcPr>
            <w:tcW w:w="2597" w:type="dxa"/>
            <w:tcBorders>
              <w:bottom w:val="single" w:sz="12" w:space="0" w:color="000000"/>
            </w:tcBorders>
          </w:tcPr>
          <w:p w14:paraId="53B38F68" w14:textId="77777777" w:rsidR="008B6261" w:rsidRDefault="004C6B8B">
            <w:pPr>
              <w:pStyle w:val="TableParagraph"/>
              <w:ind w:right="155"/>
              <w:jc w:val="center"/>
              <w:rPr>
                <w:sz w:val="20"/>
              </w:rPr>
            </w:pPr>
            <w:r>
              <w:rPr>
                <w:sz w:val="20"/>
              </w:rPr>
              <w:t>7</w:t>
            </w:r>
            <w:r>
              <w:rPr>
                <w:spacing w:val="-1"/>
                <w:sz w:val="20"/>
              </w:rPr>
              <w:t xml:space="preserve"> </w:t>
            </w:r>
            <w:r>
              <w:rPr>
                <w:spacing w:val="-2"/>
                <w:sz w:val="20"/>
              </w:rPr>
              <w:t>(0.9)</w:t>
            </w:r>
          </w:p>
        </w:tc>
      </w:tr>
    </w:tbl>
    <w:p w14:paraId="53B38F6A" w14:textId="77777777" w:rsidR="008B6261" w:rsidRDefault="008B6261">
      <w:pPr>
        <w:pStyle w:val="BodyText"/>
        <w:spacing w:before="0"/>
        <w:rPr>
          <w:rFonts w:ascii="Arial"/>
          <w:b/>
          <w:sz w:val="22"/>
        </w:rPr>
      </w:pPr>
    </w:p>
    <w:p w14:paraId="53B38F6C" w14:textId="77777777" w:rsidR="008B6261" w:rsidRDefault="004C6B8B">
      <w:pPr>
        <w:ind w:left="23"/>
        <w:rPr>
          <w:rFonts w:ascii="Arial"/>
          <w:b/>
        </w:rPr>
      </w:pPr>
      <w:bookmarkStart w:id="61" w:name="Description_of_Selected_Adverse_Reaction"/>
      <w:bookmarkEnd w:id="61"/>
      <w:r>
        <w:rPr>
          <w:rFonts w:ascii="Arial"/>
          <w:b/>
        </w:rPr>
        <w:t>Description</w:t>
      </w:r>
      <w:r>
        <w:rPr>
          <w:rFonts w:ascii="Arial"/>
          <w:b/>
          <w:spacing w:val="-6"/>
        </w:rPr>
        <w:t xml:space="preserve"> </w:t>
      </w:r>
      <w:r>
        <w:rPr>
          <w:rFonts w:ascii="Arial"/>
          <w:b/>
        </w:rPr>
        <w:t>of</w:t>
      </w:r>
      <w:r>
        <w:rPr>
          <w:rFonts w:ascii="Arial"/>
          <w:b/>
          <w:spacing w:val="-3"/>
        </w:rPr>
        <w:t xml:space="preserve"> </w:t>
      </w:r>
      <w:r>
        <w:rPr>
          <w:rFonts w:ascii="Arial"/>
          <w:b/>
        </w:rPr>
        <w:t>Selected</w:t>
      </w:r>
      <w:r>
        <w:rPr>
          <w:rFonts w:ascii="Arial"/>
          <w:b/>
          <w:spacing w:val="-7"/>
        </w:rPr>
        <w:t xml:space="preserve"> </w:t>
      </w:r>
      <w:r>
        <w:rPr>
          <w:rFonts w:ascii="Arial"/>
          <w:b/>
        </w:rPr>
        <w:t>Adverse</w:t>
      </w:r>
      <w:r>
        <w:rPr>
          <w:rFonts w:ascii="Arial"/>
          <w:b/>
          <w:spacing w:val="-5"/>
        </w:rPr>
        <w:t xml:space="preserve"> </w:t>
      </w:r>
      <w:r>
        <w:rPr>
          <w:rFonts w:ascii="Arial"/>
          <w:b/>
          <w:spacing w:val="-2"/>
        </w:rPr>
        <w:t>Reactions</w:t>
      </w:r>
    </w:p>
    <w:p w14:paraId="53B38F6D" w14:textId="77777777" w:rsidR="008B6261" w:rsidRDefault="004C6B8B">
      <w:pPr>
        <w:spacing w:before="239"/>
        <w:ind w:left="23"/>
        <w:rPr>
          <w:rFonts w:ascii="Arial"/>
          <w:b/>
          <w:i/>
        </w:rPr>
      </w:pPr>
      <w:bookmarkStart w:id="62" w:name="Petechiae,_Increased_Tendency_to_Bruise,"/>
      <w:bookmarkEnd w:id="62"/>
      <w:r>
        <w:rPr>
          <w:rFonts w:ascii="Arial"/>
          <w:b/>
          <w:i/>
        </w:rPr>
        <w:t>Petechiae,</w:t>
      </w:r>
      <w:r>
        <w:rPr>
          <w:rFonts w:ascii="Arial"/>
          <w:b/>
          <w:i/>
          <w:spacing w:val="-11"/>
        </w:rPr>
        <w:t xml:space="preserve"> </w:t>
      </w:r>
      <w:r>
        <w:rPr>
          <w:rFonts w:ascii="Arial"/>
          <w:b/>
          <w:i/>
        </w:rPr>
        <w:t>Increased</w:t>
      </w:r>
      <w:r>
        <w:rPr>
          <w:rFonts w:ascii="Arial"/>
          <w:b/>
          <w:i/>
          <w:spacing w:val="-6"/>
        </w:rPr>
        <w:t xml:space="preserve"> </w:t>
      </w:r>
      <w:r>
        <w:rPr>
          <w:rFonts w:ascii="Arial"/>
          <w:b/>
          <w:i/>
        </w:rPr>
        <w:t>Tendency</w:t>
      </w:r>
      <w:r>
        <w:rPr>
          <w:rFonts w:ascii="Arial"/>
          <w:b/>
          <w:i/>
          <w:spacing w:val="-6"/>
        </w:rPr>
        <w:t xml:space="preserve"> </w:t>
      </w:r>
      <w:r>
        <w:rPr>
          <w:rFonts w:ascii="Arial"/>
          <w:b/>
          <w:i/>
        </w:rPr>
        <w:t>to</w:t>
      </w:r>
      <w:r>
        <w:rPr>
          <w:rFonts w:ascii="Arial"/>
          <w:b/>
          <w:i/>
          <w:spacing w:val="-7"/>
        </w:rPr>
        <w:t xml:space="preserve"> </w:t>
      </w:r>
      <w:r>
        <w:rPr>
          <w:rFonts w:ascii="Arial"/>
          <w:b/>
          <w:i/>
        </w:rPr>
        <w:t>Bruise,</w:t>
      </w:r>
      <w:r>
        <w:rPr>
          <w:rFonts w:ascii="Arial"/>
          <w:b/>
          <w:i/>
          <w:spacing w:val="-5"/>
        </w:rPr>
        <w:t xml:space="preserve"> </w:t>
      </w:r>
      <w:r>
        <w:rPr>
          <w:rFonts w:ascii="Arial"/>
          <w:b/>
          <w:i/>
        </w:rPr>
        <w:t>Heavy</w:t>
      </w:r>
      <w:r>
        <w:rPr>
          <w:rFonts w:ascii="Arial"/>
          <w:b/>
          <w:i/>
          <w:spacing w:val="-5"/>
        </w:rPr>
        <w:t xml:space="preserve"> </w:t>
      </w:r>
      <w:r>
        <w:rPr>
          <w:rFonts w:ascii="Arial"/>
          <w:b/>
          <w:i/>
        </w:rPr>
        <w:t>Menstrual</w:t>
      </w:r>
      <w:r>
        <w:rPr>
          <w:rFonts w:ascii="Arial"/>
          <w:b/>
          <w:i/>
          <w:spacing w:val="-4"/>
        </w:rPr>
        <w:t xml:space="preserve"> </w:t>
      </w:r>
      <w:r>
        <w:rPr>
          <w:rFonts w:ascii="Arial"/>
          <w:b/>
          <w:i/>
          <w:spacing w:val="-2"/>
        </w:rPr>
        <w:t>Bleeding</w:t>
      </w:r>
    </w:p>
    <w:p w14:paraId="53B38F6E" w14:textId="77777777" w:rsidR="008B6261" w:rsidRDefault="004C6B8B">
      <w:pPr>
        <w:pStyle w:val="BodyText"/>
        <w:spacing w:before="118"/>
        <w:ind w:left="23" w:right="586"/>
        <w:jc w:val="both"/>
      </w:pPr>
      <w:r>
        <w:rPr>
          <w:color w:val="232323"/>
        </w:rPr>
        <w:t>In</w:t>
      </w:r>
      <w:r>
        <w:rPr>
          <w:color w:val="232323"/>
          <w:spacing w:val="-15"/>
        </w:rPr>
        <w:t xml:space="preserve"> </w:t>
      </w:r>
      <w:r>
        <w:rPr>
          <w:color w:val="232323"/>
        </w:rPr>
        <w:t>clinical</w:t>
      </w:r>
      <w:r>
        <w:rPr>
          <w:color w:val="232323"/>
          <w:spacing w:val="-15"/>
        </w:rPr>
        <w:t xml:space="preserve"> </w:t>
      </w:r>
      <w:r>
        <w:rPr>
          <w:color w:val="232323"/>
        </w:rPr>
        <w:t>trials,</w:t>
      </w:r>
      <w:r>
        <w:rPr>
          <w:color w:val="232323"/>
          <w:spacing w:val="-15"/>
        </w:rPr>
        <w:t xml:space="preserve"> </w:t>
      </w:r>
      <w:r>
        <w:rPr>
          <w:color w:val="232323"/>
        </w:rPr>
        <w:t>3.7%</w:t>
      </w:r>
      <w:r>
        <w:rPr>
          <w:color w:val="232323"/>
          <w:spacing w:val="-15"/>
        </w:rPr>
        <w:t xml:space="preserve"> </w:t>
      </w:r>
      <w:r>
        <w:rPr>
          <w:color w:val="232323"/>
        </w:rPr>
        <w:t>of</w:t>
      </w:r>
      <w:r>
        <w:rPr>
          <w:color w:val="232323"/>
          <w:spacing w:val="-7"/>
        </w:rPr>
        <w:t xml:space="preserve"> </w:t>
      </w:r>
      <w:r>
        <w:t>CENRIFKI</w:t>
      </w:r>
      <w:r>
        <w:rPr>
          <w:color w:val="232323"/>
        </w:rPr>
        <w:t>-treated</w:t>
      </w:r>
      <w:r>
        <w:rPr>
          <w:color w:val="232323"/>
          <w:spacing w:val="-15"/>
        </w:rPr>
        <w:t xml:space="preserve"> </w:t>
      </w:r>
      <w:r>
        <w:rPr>
          <w:color w:val="232323"/>
        </w:rPr>
        <w:t>patients</w:t>
      </w:r>
      <w:r>
        <w:rPr>
          <w:color w:val="232323"/>
          <w:spacing w:val="-15"/>
        </w:rPr>
        <w:t xml:space="preserve"> </w:t>
      </w:r>
      <w:r>
        <w:rPr>
          <w:color w:val="232323"/>
        </w:rPr>
        <w:t>experienced</w:t>
      </w:r>
      <w:r>
        <w:rPr>
          <w:color w:val="232323"/>
          <w:spacing w:val="-15"/>
        </w:rPr>
        <w:t xml:space="preserve"> </w:t>
      </w:r>
      <w:r>
        <w:rPr>
          <w:color w:val="232323"/>
        </w:rPr>
        <w:t>petechiae,</w:t>
      </w:r>
      <w:r>
        <w:rPr>
          <w:color w:val="232323"/>
          <w:spacing w:val="-15"/>
        </w:rPr>
        <w:t xml:space="preserve"> </w:t>
      </w:r>
      <w:r>
        <w:rPr>
          <w:color w:val="232323"/>
        </w:rPr>
        <w:t>compared</w:t>
      </w:r>
      <w:r>
        <w:rPr>
          <w:color w:val="232323"/>
          <w:spacing w:val="-15"/>
        </w:rPr>
        <w:t xml:space="preserve"> </w:t>
      </w:r>
      <w:r>
        <w:rPr>
          <w:color w:val="232323"/>
        </w:rPr>
        <w:t>to</w:t>
      </w:r>
      <w:r>
        <w:rPr>
          <w:color w:val="232323"/>
          <w:spacing w:val="-15"/>
        </w:rPr>
        <w:t xml:space="preserve"> </w:t>
      </w:r>
      <w:r>
        <w:rPr>
          <w:color w:val="232323"/>
        </w:rPr>
        <w:t>0.3% of those on placebo and teriflunomide. Most cases were mild. Additionally, in pooled active-controlled</w:t>
      </w:r>
      <w:r>
        <w:rPr>
          <w:color w:val="232323"/>
          <w:spacing w:val="-4"/>
        </w:rPr>
        <w:t xml:space="preserve"> </w:t>
      </w:r>
      <w:r>
        <w:rPr>
          <w:color w:val="232323"/>
        </w:rPr>
        <w:t>studies,</w:t>
      </w:r>
      <w:r>
        <w:rPr>
          <w:color w:val="232323"/>
          <w:spacing w:val="-4"/>
        </w:rPr>
        <w:t xml:space="preserve"> </w:t>
      </w:r>
      <w:r>
        <w:rPr>
          <w:color w:val="232323"/>
        </w:rPr>
        <w:t>2%</w:t>
      </w:r>
      <w:r>
        <w:rPr>
          <w:color w:val="232323"/>
          <w:spacing w:val="-5"/>
        </w:rPr>
        <w:t xml:space="preserve"> </w:t>
      </w:r>
      <w:r>
        <w:rPr>
          <w:color w:val="232323"/>
        </w:rPr>
        <w:t>of</w:t>
      </w:r>
      <w:r>
        <w:rPr>
          <w:color w:val="232323"/>
          <w:spacing w:val="-5"/>
        </w:rPr>
        <w:t xml:space="preserve"> </w:t>
      </w:r>
      <w:r>
        <w:t>CENRIFKI</w:t>
      </w:r>
      <w:r>
        <w:rPr>
          <w:color w:val="232323"/>
        </w:rPr>
        <w:t>-treated</w:t>
      </w:r>
      <w:r>
        <w:rPr>
          <w:color w:val="232323"/>
          <w:spacing w:val="-4"/>
        </w:rPr>
        <w:t xml:space="preserve"> </w:t>
      </w:r>
      <w:r>
        <w:rPr>
          <w:color w:val="232323"/>
        </w:rPr>
        <w:t>patients</w:t>
      </w:r>
      <w:r>
        <w:rPr>
          <w:color w:val="232323"/>
          <w:spacing w:val="-4"/>
        </w:rPr>
        <w:t xml:space="preserve"> </w:t>
      </w:r>
      <w:r>
        <w:rPr>
          <w:color w:val="232323"/>
        </w:rPr>
        <w:t>showed</w:t>
      </w:r>
      <w:r>
        <w:rPr>
          <w:color w:val="232323"/>
          <w:spacing w:val="-4"/>
        </w:rPr>
        <w:t xml:space="preserve"> </w:t>
      </w:r>
      <w:r>
        <w:rPr>
          <w:color w:val="232323"/>
        </w:rPr>
        <w:t>an</w:t>
      </w:r>
      <w:r>
        <w:rPr>
          <w:color w:val="232323"/>
          <w:spacing w:val="-4"/>
        </w:rPr>
        <w:t xml:space="preserve"> </w:t>
      </w:r>
      <w:r>
        <w:rPr>
          <w:color w:val="232323"/>
        </w:rPr>
        <w:t>increased</w:t>
      </w:r>
      <w:r>
        <w:rPr>
          <w:color w:val="232323"/>
          <w:spacing w:val="-4"/>
        </w:rPr>
        <w:t xml:space="preserve"> </w:t>
      </w:r>
      <w:r>
        <w:rPr>
          <w:color w:val="232323"/>
        </w:rPr>
        <w:t>tendency</w:t>
      </w:r>
      <w:r>
        <w:rPr>
          <w:color w:val="232323"/>
          <w:spacing w:val="-4"/>
        </w:rPr>
        <w:t xml:space="preserve"> </w:t>
      </w:r>
      <w:r>
        <w:rPr>
          <w:color w:val="232323"/>
        </w:rPr>
        <w:t>to</w:t>
      </w:r>
      <w:r>
        <w:rPr>
          <w:color w:val="232323"/>
          <w:spacing w:val="-4"/>
        </w:rPr>
        <w:t xml:space="preserve"> </w:t>
      </w:r>
      <w:r>
        <w:rPr>
          <w:color w:val="232323"/>
        </w:rPr>
        <w:t>bruise, versus</w:t>
      </w:r>
      <w:r>
        <w:rPr>
          <w:color w:val="232323"/>
          <w:spacing w:val="72"/>
        </w:rPr>
        <w:t xml:space="preserve"> </w:t>
      </w:r>
      <w:r>
        <w:rPr>
          <w:color w:val="232323"/>
        </w:rPr>
        <w:t>0.3%</w:t>
      </w:r>
      <w:r>
        <w:rPr>
          <w:color w:val="232323"/>
          <w:spacing w:val="71"/>
        </w:rPr>
        <w:t xml:space="preserve"> </w:t>
      </w:r>
      <w:r>
        <w:rPr>
          <w:color w:val="232323"/>
        </w:rPr>
        <w:t>of</w:t>
      </w:r>
      <w:r>
        <w:rPr>
          <w:color w:val="232323"/>
          <w:spacing w:val="71"/>
        </w:rPr>
        <w:t xml:space="preserve"> </w:t>
      </w:r>
      <w:r>
        <w:rPr>
          <w:color w:val="232323"/>
        </w:rPr>
        <w:t>those</w:t>
      </w:r>
      <w:r>
        <w:rPr>
          <w:color w:val="232323"/>
          <w:spacing w:val="75"/>
        </w:rPr>
        <w:t xml:space="preserve"> </w:t>
      </w:r>
      <w:r>
        <w:rPr>
          <w:color w:val="232323"/>
        </w:rPr>
        <w:t>on</w:t>
      </w:r>
      <w:r>
        <w:rPr>
          <w:color w:val="232323"/>
          <w:spacing w:val="72"/>
        </w:rPr>
        <w:t xml:space="preserve"> </w:t>
      </w:r>
      <w:r>
        <w:rPr>
          <w:color w:val="232323"/>
        </w:rPr>
        <w:t>teriflunomide</w:t>
      </w:r>
      <w:r>
        <w:rPr>
          <w:color w:val="232323"/>
          <w:spacing w:val="71"/>
        </w:rPr>
        <w:t xml:space="preserve"> </w:t>
      </w:r>
      <w:r>
        <w:rPr>
          <w:color w:val="232323"/>
        </w:rPr>
        <w:t>and</w:t>
      </w:r>
      <w:r>
        <w:rPr>
          <w:color w:val="232323"/>
          <w:spacing w:val="74"/>
        </w:rPr>
        <w:t xml:space="preserve"> </w:t>
      </w:r>
      <w:r>
        <w:rPr>
          <w:color w:val="232323"/>
        </w:rPr>
        <w:t>heavy</w:t>
      </w:r>
      <w:r>
        <w:rPr>
          <w:color w:val="232323"/>
          <w:spacing w:val="72"/>
        </w:rPr>
        <w:t xml:space="preserve"> </w:t>
      </w:r>
      <w:r>
        <w:rPr>
          <w:color w:val="232323"/>
        </w:rPr>
        <w:t>menstrual</w:t>
      </w:r>
      <w:r>
        <w:rPr>
          <w:color w:val="232323"/>
          <w:spacing w:val="72"/>
        </w:rPr>
        <w:t xml:space="preserve"> </w:t>
      </w:r>
      <w:r>
        <w:rPr>
          <w:color w:val="232323"/>
        </w:rPr>
        <w:t>bleeding</w:t>
      </w:r>
      <w:r>
        <w:rPr>
          <w:color w:val="232323"/>
          <w:spacing w:val="72"/>
        </w:rPr>
        <w:t xml:space="preserve"> </w:t>
      </w:r>
      <w:r>
        <w:rPr>
          <w:color w:val="232323"/>
        </w:rPr>
        <w:t>occurred</w:t>
      </w:r>
      <w:r>
        <w:rPr>
          <w:color w:val="232323"/>
          <w:spacing w:val="72"/>
        </w:rPr>
        <w:t xml:space="preserve"> </w:t>
      </w:r>
      <w:r>
        <w:rPr>
          <w:color w:val="232323"/>
        </w:rPr>
        <w:t>in</w:t>
      </w:r>
      <w:r>
        <w:rPr>
          <w:color w:val="232323"/>
          <w:spacing w:val="74"/>
        </w:rPr>
        <w:t xml:space="preserve"> </w:t>
      </w:r>
      <w:r>
        <w:rPr>
          <w:color w:val="232323"/>
        </w:rPr>
        <w:t>3% of</w:t>
      </w:r>
      <w:r>
        <w:rPr>
          <w:color w:val="232323"/>
          <w:spacing w:val="-3"/>
        </w:rPr>
        <w:t xml:space="preserve"> </w:t>
      </w:r>
      <w:r>
        <w:t>CENRIFKI</w:t>
      </w:r>
      <w:r>
        <w:rPr>
          <w:color w:val="232323"/>
        </w:rPr>
        <w:t>-treated</w:t>
      </w:r>
      <w:r>
        <w:rPr>
          <w:color w:val="232323"/>
          <w:spacing w:val="-5"/>
        </w:rPr>
        <w:t xml:space="preserve"> </w:t>
      </w:r>
      <w:r>
        <w:rPr>
          <w:color w:val="232323"/>
        </w:rPr>
        <w:t>patients,</w:t>
      </w:r>
      <w:r>
        <w:rPr>
          <w:color w:val="232323"/>
          <w:spacing w:val="-5"/>
        </w:rPr>
        <w:t xml:space="preserve"> </w:t>
      </w:r>
      <w:r>
        <w:rPr>
          <w:color w:val="232323"/>
        </w:rPr>
        <w:t>compared</w:t>
      </w:r>
      <w:r>
        <w:rPr>
          <w:color w:val="232323"/>
          <w:spacing w:val="-5"/>
        </w:rPr>
        <w:t xml:space="preserve"> </w:t>
      </w:r>
      <w:r>
        <w:rPr>
          <w:color w:val="232323"/>
        </w:rPr>
        <w:t>to</w:t>
      </w:r>
      <w:r>
        <w:rPr>
          <w:color w:val="232323"/>
          <w:spacing w:val="-5"/>
        </w:rPr>
        <w:t xml:space="preserve"> </w:t>
      </w:r>
      <w:r>
        <w:rPr>
          <w:color w:val="232323"/>
        </w:rPr>
        <w:t>1%</w:t>
      </w:r>
      <w:r>
        <w:rPr>
          <w:color w:val="232323"/>
          <w:spacing w:val="-6"/>
        </w:rPr>
        <w:t xml:space="preserve"> </w:t>
      </w:r>
      <w:r>
        <w:rPr>
          <w:color w:val="232323"/>
        </w:rPr>
        <w:t>of</w:t>
      </w:r>
      <w:r>
        <w:rPr>
          <w:color w:val="232323"/>
          <w:spacing w:val="-3"/>
        </w:rPr>
        <w:t xml:space="preserve"> </w:t>
      </w:r>
      <w:r>
        <w:rPr>
          <w:color w:val="232323"/>
        </w:rPr>
        <w:t>those</w:t>
      </w:r>
      <w:r>
        <w:rPr>
          <w:color w:val="232323"/>
          <w:spacing w:val="-6"/>
        </w:rPr>
        <w:t xml:space="preserve"> </w:t>
      </w:r>
      <w:r>
        <w:rPr>
          <w:color w:val="232323"/>
        </w:rPr>
        <w:t>on</w:t>
      </w:r>
      <w:r>
        <w:rPr>
          <w:color w:val="232323"/>
          <w:spacing w:val="-5"/>
        </w:rPr>
        <w:t xml:space="preserve"> </w:t>
      </w:r>
      <w:r>
        <w:rPr>
          <w:color w:val="232323"/>
        </w:rPr>
        <w:t>teriflunomide.</w:t>
      </w:r>
      <w:r>
        <w:rPr>
          <w:color w:val="232323"/>
          <w:spacing w:val="-5"/>
        </w:rPr>
        <w:t xml:space="preserve"> </w:t>
      </w:r>
      <w:r>
        <w:t>Some</w:t>
      </w:r>
      <w:r>
        <w:rPr>
          <w:spacing w:val="-6"/>
        </w:rPr>
        <w:t xml:space="preserve"> </w:t>
      </w:r>
      <w:r>
        <w:t>patients</w:t>
      </w:r>
      <w:r>
        <w:rPr>
          <w:spacing w:val="-5"/>
        </w:rPr>
        <w:t xml:space="preserve"> </w:t>
      </w:r>
      <w:r>
        <w:t>with heavy menstrual bleeding also developed mild to moderate anaemia. None of the petechiae, bruising,</w:t>
      </w:r>
      <w:r>
        <w:rPr>
          <w:spacing w:val="-11"/>
        </w:rPr>
        <w:t xml:space="preserve"> </w:t>
      </w:r>
      <w:r>
        <w:t>or</w:t>
      </w:r>
      <w:r>
        <w:rPr>
          <w:spacing w:val="-11"/>
        </w:rPr>
        <w:t xml:space="preserve"> </w:t>
      </w:r>
      <w:r>
        <w:t>heavy</w:t>
      </w:r>
      <w:r>
        <w:rPr>
          <w:spacing w:val="-11"/>
        </w:rPr>
        <w:t xml:space="preserve"> </w:t>
      </w:r>
      <w:r>
        <w:t>menstrual</w:t>
      </w:r>
      <w:r>
        <w:rPr>
          <w:spacing w:val="-10"/>
        </w:rPr>
        <w:t xml:space="preserve"> </w:t>
      </w:r>
      <w:r>
        <w:t>bleeding</w:t>
      </w:r>
      <w:r>
        <w:rPr>
          <w:spacing w:val="-11"/>
        </w:rPr>
        <w:t xml:space="preserve"> </w:t>
      </w:r>
      <w:r>
        <w:t>were</w:t>
      </w:r>
      <w:r>
        <w:rPr>
          <w:spacing w:val="-9"/>
        </w:rPr>
        <w:t xml:space="preserve"> </w:t>
      </w:r>
      <w:r>
        <w:t>associated</w:t>
      </w:r>
      <w:r>
        <w:rPr>
          <w:spacing w:val="-11"/>
        </w:rPr>
        <w:t xml:space="preserve"> </w:t>
      </w:r>
      <w:r>
        <w:t>with</w:t>
      </w:r>
      <w:r>
        <w:rPr>
          <w:spacing w:val="-11"/>
        </w:rPr>
        <w:t xml:space="preserve"> </w:t>
      </w:r>
      <w:r>
        <w:t>thrombocytopenia</w:t>
      </w:r>
      <w:r>
        <w:rPr>
          <w:spacing w:val="-12"/>
        </w:rPr>
        <w:t xml:space="preserve"> </w:t>
      </w:r>
      <w:r>
        <w:t>in</w:t>
      </w:r>
      <w:r>
        <w:rPr>
          <w:spacing w:val="-11"/>
        </w:rPr>
        <w:t xml:space="preserve"> </w:t>
      </w:r>
      <w:r>
        <w:t>clinical</w:t>
      </w:r>
      <w:r>
        <w:rPr>
          <w:spacing w:val="-10"/>
        </w:rPr>
        <w:t xml:space="preserve"> </w:t>
      </w:r>
      <w:r>
        <w:t xml:space="preserve">trials. </w:t>
      </w:r>
      <w:r>
        <w:rPr>
          <w:color w:val="232323"/>
        </w:rPr>
        <w:t>Patients on anticoagulants or anti-platelet medications, those</w:t>
      </w:r>
      <w:r>
        <w:rPr>
          <w:color w:val="232323"/>
          <w:spacing w:val="-1"/>
        </w:rPr>
        <w:t xml:space="preserve"> </w:t>
      </w:r>
      <w:r>
        <w:rPr>
          <w:color w:val="232323"/>
        </w:rPr>
        <w:t>with significant bleeding history within 6 months prior to screening, bleeding disorders, known platelet dysfunction, platelet counts below 150 000/μL, or major surgery within 4</w:t>
      </w:r>
      <w:r>
        <w:rPr>
          <w:color w:val="232323"/>
          <w:spacing w:val="-2"/>
        </w:rPr>
        <w:t xml:space="preserve"> </w:t>
      </w:r>
      <w:r>
        <w:rPr>
          <w:color w:val="232323"/>
        </w:rPr>
        <w:t>weeks prior to screening were excluded from the trials.</w:t>
      </w:r>
    </w:p>
    <w:p w14:paraId="53B38F6F" w14:textId="77777777" w:rsidR="008B6261" w:rsidRDefault="008B6261">
      <w:pPr>
        <w:pStyle w:val="BodyText"/>
        <w:spacing w:before="85"/>
      </w:pPr>
    </w:p>
    <w:p w14:paraId="53B38F70" w14:textId="77777777" w:rsidR="008B6261" w:rsidRDefault="004C6B8B">
      <w:pPr>
        <w:ind w:left="23"/>
        <w:rPr>
          <w:rFonts w:ascii="Arial"/>
          <w:b/>
        </w:rPr>
      </w:pPr>
      <w:bookmarkStart w:id="63" w:name="Reporting_suspected_adverse_effects"/>
      <w:bookmarkEnd w:id="63"/>
      <w:r>
        <w:rPr>
          <w:rFonts w:ascii="Arial"/>
          <w:b/>
        </w:rPr>
        <w:t>Reporting</w:t>
      </w:r>
      <w:r>
        <w:rPr>
          <w:rFonts w:ascii="Arial"/>
          <w:b/>
          <w:spacing w:val="-9"/>
        </w:rPr>
        <w:t xml:space="preserve"> </w:t>
      </w:r>
      <w:r>
        <w:rPr>
          <w:rFonts w:ascii="Arial"/>
          <w:b/>
        </w:rPr>
        <w:t>suspected</w:t>
      </w:r>
      <w:r>
        <w:rPr>
          <w:rFonts w:ascii="Arial"/>
          <w:b/>
          <w:spacing w:val="-8"/>
        </w:rPr>
        <w:t xml:space="preserve"> </w:t>
      </w:r>
      <w:r>
        <w:rPr>
          <w:rFonts w:ascii="Arial"/>
          <w:b/>
        </w:rPr>
        <w:t>adverse</w:t>
      </w:r>
      <w:r>
        <w:rPr>
          <w:rFonts w:ascii="Arial"/>
          <w:b/>
          <w:spacing w:val="-6"/>
        </w:rPr>
        <w:t xml:space="preserve"> </w:t>
      </w:r>
      <w:r>
        <w:rPr>
          <w:rFonts w:ascii="Arial"/>
          <w:b/>
          <w:spacing w:val="-2"/>
        </w:rPr>
        <w:t>effects</w:t>
      </w:r>
    </w:p>
    <w:p w14:paraId="53B38F71" w14:textId="77777777" w:rsidR="008B6261" w:rsidRDefault="004C6B8B">
      <w:pPr>
        <w:pStyle w:val="BodyText"/>
        <w:spacing w:before="121"/>
        <w:ind w:left="23" w:right="585"/>
        <w:jc w:val="both"/>
      </w:pPr>
      <w:r>
        <w:t>Reporting</w:t>
      </w:r>
      <w:r>
        <w:rPr>
          <w:spacing w:val="-2"/>
        </w:rPr>
        <w:t xml:space="preserve"> </w:t>
      </w:r>
      <w:r>
        <w:t>suspected</w:t>
      </w:r>
      <w:r>
        <w:rPr>
          <w:spacing w:val="-2"/>
        </w:rPr>
        <w:t xml:space="preserve"> </w:t>
      </w:r>
      <w:r>
        <w:t>adverse</w:t>
      </w:r>
      <w:r>
        <w:rPr>
          <w:spacing w:val="-3"/>
        </w:rPr>
        <w:t xml:space="preserve"> </w:t>
      </w:r>
      <w:r>
        <w:t>reactions</w:t>
      </w:r>
      <w:r>
        <w:rPr>
          <w:spacing w:val="-2"/>
        </w:rPr>
        <w:t xml:space="preserve"> </w:t>
      </w:r>
      <w:r>
        <w:t>after</w:t>
      </w:r>
      <w:r>
        <w:rPr>
          <w:spacing w:val="-3"/>
        </w:rPr>
        <w:t xml:space="preserve"> </w:t>
      </w:r>
      <w:r>
        <w:t>registration</w:t>
      </w:r>
      <w:r>
        <w:rPr>
          <w:spacing w:val="-2"/>
        </w:rPr>
        <w:t xml:space="preserve"> </w:t>
      </w:r>
      <w:r>
        <w:t>of</w:t>
      </w:r>
      <w:r>
        <w:rPr>
          <w:spacing w:val="-3"/>
        </w:rPr>
        <w:t xml:space="preserve"> </w:t>
      </w:r>
      <w:r>
        <w:t>the</w:t>
      </w:r>
      <w:r>
        <w:rPr>
          <w:spacing w:val="-3"/>
        </w:rPr>
        <w:t xml:space="preserve"> </w:t>
      </w:r>
      <w:r>
        <w:t>medicinal</w:t>
      </w:r>
      <w:r>
        <w:rPr>
          <w:spacing w:val="-2"/>
        </w:rPr>
        <w:t xml:space="preserve"> </w:t>
      </w:r>
      <w:r>
        <w:t>product</w:t>
      </w:r>
      <w:r>
        <w:rPr>
          <w:spacing w:val="-2"/>
        </w:rPr>
        <w:t xml:space="preserve"> </w:t>
      </w:r>
      <w:r>
        <w:t>is</w:t>
      </w:r>
      <w:r>
        <w:rPr>
          <w:spacing w:val="-2"/>
        </w:rPr>
        <w:t xml:space="preserve"> </w:t>
      </w:r>
      <w:r>
        <w:t>important. It</w:t>
      </w:r>
      <w:r>
        <w:rPr>
          <w:spacing w:val="-7"/>
        </w:rPr>
        <w:t xml:space="preserve"> </w:t>
      </w:r>
      <w:r>
        <w:t>allows</w:t>
      </w:r>
      <w:r>
        <w:rPr>
          <w:spacing w:val="-9"/>
        </w:rPr>
        <w:t xml:space="preserve"> </w:t>
      </w:r>
      <w:r>
        <w:t>continued</w:t>
      </w:r>
      <w:r>
        <w:rPr>
          <w:spacing w:val="-10"/>
        </w:rPr>
        <w:t xml:space="preserve"> </w:t>
      </w:r>
      <w:r>
        <w:t>monitoring</w:t>
      </w:r>
      <w:r>
        <w:rPr>
          <w:spacing w:val="-10"/>
        </w:rPr>
        <w:t xml:space="preserve"> </w:t>
      </w:r>
      <w:r>
        <w:t>of</w:t>
      </w:r>
      <w:r>
        <w:rPr>
          <w:spacing w:val="-10"/>
        </w:rPr>
        <w:t xml:space="preserve"> </w:t>
      </w:r>
      <w:r>
        <w:t>the</w:t>
      </w:r>
      <w:r>
        <w:rPr>
          <w:spacing w:val="-11"/>
        </w:rPr>
        <w:t xml:space="preserve"> </w:t>
      </w:r>
      <w:r>
        <w:t>benefit-risk</w:t>
      </w:r>
      <w:r>
        <w:rPr>
          <w:spacing w:val="-10"/>
        </w:rPr>
        <w:t xml:space="preserve"> </w:t>
      </w:r>
      <w:r>
        <w:t>balance</w:t>
      </w:r>
      <w:r>
        <w:rPr>
          <w:spacing w:val="-11"/>
        </w:rPr>
        <w:t xml:space="preserve"> </w:t>
      </w:r>
      <w:r>
        <w:t>of</w:t>
      </w:r>
      <w:r>
        <w:rPr>
          <w:spacing w:val="-10"/>
        </w:rPr>
        <w:t xml:space="preserve"> </w:t>
      </w:r>
      <w:r>
        <w:t>the</w:t>
      </w:r>
      <w:r>
        <w:rPr>
          <w:spacing w:val="-11"/>
        </w:rPr>
        <w:t xml:space="preserve"> </w:t>
      </w:r>
      <w:r>
        <w:t>medicinal</w:t>
      </w:r>
      <w:r>
        <w:rPr>
          <w:spacing w:val="-9"/>
        </w:rPr>
        <w:t xml:space="preserve"> </w:t>
      </w:r>
      <w:r>
        <w:t>product.</w:t>
      </w:r>
      <w:r>
        <w:rPr>
          <w:spacing w:val="-10"/>
        </w:rPr>
        <w:t xml:space="preserve"> </w:t>
      </w:r>
      <w:r>
        <w:t>Healthcare professionals</w:t>
      </w:r>
      <w:r>
        <w:rPr>
          <w:spacing w:val="-13"/>
        </w:rPr>
        <w:t xml:space="preserve"> </w:t>
      </w:r>
      <w:r>
        <w:t>are</w:t>
      </w:r>
      <w:r>
        <w:rPr>
          <w:spacing w:val="-14"/>
        </w:rPr>
        <w:t xml:space="preserve"> </w:t>
      </w:r>
      <w:r>
        <w:t>asked</w:t>
      </w:r>
      <w:r>
        <w:rPr>
          <w:spacing w:val="-13"/>
        </w:rPr>
        <w:t xml:space="preserve"> </w:t>
      </w:r>
      <w:r>
        <w:t>to</w:t>
      </w:r>
      <w:r>
        <w:rPr>
          <w:spacing w:val="-11"/>
        </w:rPr>
        <w:t xml:space="preserve"> </w:t>
      </w:r>
      <w:r>
        <w:t>report</w:t>
      </w:r>
      <w:r>
        <w:rPr>
          <w:spacing w:val="-13"/>
        </w:rPr>
        <w:t xml:space="preserve"> </w:t>
      </w:r>
      <w:r>
        <w:t>any</w:t>
      </w:r>
      <w:r>
        <w:rPr>
          <w:spacing w:val="-13"/>
        </w:rPr>
        <w:t xml:space="preserve"> </w:t>
      </w:r>
      <w:r>
        <w:t>suspected</w:t>
      </w:r>
      <w:r>
        <w:rPr>
          <w:spacing w:val="-13"/>
        </w:rPr>
        <w:t xml:space="preserve"> </w:t>
      </w:r>
      <w:r>
        <w:t>adverse</w:t>
      </w:r>
      <w:r>
        <w:rPr>
          <w:spacing w:val="-14"/>
        </w:rPr>
        <w:t xml:space="preserve"> </w:t>
      </w:r>
      <w:r>
        <w:t>reactions</w:t>
      </w:r>
      <w:r>
        <w:rPr>
          <w:spacing w:val="-13"/>
        </w:rPr>
        <w:t xml:space="preserve"> </w:t>
      </w:r>
      <w:r>
        <w:t>at</w:t>
      </w:r>
      <w:r>
        <w:rPr>
          <w:spacing w:val="-13"/>
        </w:rPr>
        <w:t xml:space="preserve"> </w:t>
      </w:r>
      <w:hyperlink r:id="rId9">
        <w:r>
          <w:rPr>
            <w:color w:val="0000FF"/>
            <w:u w:val="single" w:color="0000FF"/>
          </w:rPr>
          <w:t>www.tga.gov.au/reporting-</w:t>
        </w:r>
      </w:hyperlink>
      <w:r>
        <w:rPr>
          <w:color w:val="0000FF"/>
          <w:u w:val="single" w:color="0000FF"/>
        </w:rPr>
        <w:t>problems</w:t>
      </w:r>
      <w:r>
        <w:rPr>
          <w:color w:val="0000FF"/>
        </w:rPr>
        <w:t xml:space="preserve"> </w:t>
      </w:r>
      <w:r>
        <w:t>(Australia).</w:t>
      </w:r>
    </w:p>
    <w:p w14:paraId="34DA33C6" w14:textId="77777777" w:rsidR="003C6674" w:rsidRDefault="003C6674">
      <w:pPr>
        <w:pStyle w:val="BodyText"/>
        <w:spacing w:before="121"/>
        <w:ind w:left="23" w:right="585"/>
        <w:jc w:val="both"/>
      </w:pPr>
    </w:p>
    <w:p w14:paraId="53B38F73" w14:textId="77777777" w:rsidR="008B6261" w:rsidRDefault="004C6B8B">
      <w:pPr>
        <w:pStyle w:val="ListParagraph"/>
        <w:numPr>
          <w:ilvl w:val="1"/>
          <w:numId w:val="4"/>
        </w:numPr>
        <w:tabs>
          <w:tab w:val="left" w:pos="702"/>
        </w:tabs>
        <w:spacing w:before="81"/>
        <w:ind w:hanging="679"/>
        <w:rPr>
          <w:b/>
        </w:rPr>
      </w:pPr>
      <w:bookmarkStart w:id="64" w:name="4.9_Overdose"/>
      <w:bookmarkEnd w:id="64"/>
      <w:r>
        <w:rPr>
          <w:b/>
          <w:spacing w:val="-2"/>
        </w:rPr>
        <w:t>OVERDOSE</w:t>
      </w:r>
    </w:p>
    <w:p w14:paraId="53B38F74" w14:textId="77777777" w:rsidR="008B6261" w:rsidRDefault="004C6B8B">
      <w:pPr>
        <w:pStyle w:val="BodyText"/>
        <w:spacing w:before="118"/>
        <w:ind w:left="23" w:right="567"/>
      </w:pPr>
      <w:r>
        <w:t>There</w:t>
      </w:r>
      <w:r>
        <w:rPr>
          <w:spacing w:val="-4"/>
        </w:rPr>
        <w:t xml:space="preserve"> </w:t>
      </w:r>
      <w:r>
        <w:t>is</w:t>
      </w:r>
      <w:r>
        <w:rPr>
          <w:spacing w:val="-3"/>
        </w:rPr>
        <w:t xml:space="preserve"> </w:t>
      </w:r>
      <w:r>
        <w:t>no</w:t>
      </w:r>
      <w:r>
        <w:rPr>
          <w:spacing w:val="-3"/>
        </w:rPr>
        <w:t xml:space="preserve"> </w:t>
      </w:r>
      <w:r>
        <w:t>experience</w:t>
      </w:r>
      <w:r>
        <w:rPr>
          <w:spacing w:val="-4"/>
        </w:rPr>
        <w:t xml:space="preserve"> </w:t>
      </w:r>
      <w:r>
        <w:t>regarding</w:t>
      </w:r>
      <w:r>
        <w:rPr>
          <w:spacing w:val="-3"/>
        </w:rPr>
        <w:t xml:space="preserve"> </w:t>
      </w:r>
      <w:r>
        <w:t>CENRIFKI</w:t>
      </w:r>
      <w:r>
        <w:rPr>
          <w:spacing w:val="-4"/>
        </w:rPr>
        <w:t xml:space="preserve"> </w:t>
      </w:r>
      <w:r>
        <w:t>overdose</w:t>
      </w:r>
      <w:r>
        <w:rPr>
          <w:spacing w:val="-4"/>
        </w:rPr>
        <w:t xml:space="preserve"> </w:t>
      </w:r>
      <w:r>
        <w:t>or</w:t>
      </w:r>
      <w:r>
        <w:rPr>
          <w:spacing w:val="-4"/>
        </w:rPr>
        <w:t xml:space="preserve"> </w:t>
      </w:r>
      <w:r>
        <w:t>intoxication</w:t>
      </w:r>
      <w:r>
        <w:rPr>
          <w:spacing w:val="-3"/>
        </w:rPr>
        <w:t xml:space="preserve"> </w:t>
      </w:r>
      <w:r>
        <w:t>in</w:t>
      </w:r>
      <w:r>
        <w:rPr>
          <w:spacing w:val="-3"/>
        </w:rPr>
        <w:t xml:space="preserve"> </w:t>
      </w:r>
      <w:r>
        <w:t>humans.</w:t>
      </w:r>
      <w:r>
        <w:rPr>
          <w:spacing w:val="-3"/>
        </w:rPr>
        <w:t xml:space="preserve"> </w:t>
      </w:r>
      <w:r>
        <w:t>CENRIFKI 240 mg daily up to 14 days was well tolerated by healthy adult subjects.</w:t>
      </w:r>
    </w:p>
    <w:p w14:paraId="53B38F75" w14:textId="77777777" w:rsidR="008B6261" w:rsidRDefault="004C6B8B">
      <w:pPr>
        <w:pStyle w:val="BodyText"/>
        <w:spacing w:before="121"/>
        <w:ind w:left="23" w:right="567"/>
      </w:pPr>
      <w:r>
        <w:t>For</w:t>
      </w:r>
      <w:r>
        <w:rPr>
          <w:spacing w:val="-4"/>
        </w:rPr>
        <w:t xml:space="preserve"> </w:t>
      </w:r>
      <w:r>
        <w:t>information</w:t>
      </w:r>
      <w:r>
        <w:rPr>
          <w:spacing w:val="-3"/>
        </w:rPr>
        <w:t xml:space="preserve"> </w:t>
      </w:r>
      <w:r>
        <w:t>on</w:t>
      </w:r>
      <w:r>
        <w:rPr>
          <w:spacing w:val="-3"/>
        </w:rPr>
        <w:t xml:space="preserve"> </w:t>
      </w:r>
      <w:r>
        <w:t>the</w:t>
      </w:r>
      <w:r>
        <w:rPr>
          <w:spacing w:val="-4"/>
        </w:rPr>
        <w:t xml:space="preserve"> </w:t>
      </w:r>
      <w:r>
        <w:t>management</w:t>
      </w:r>
      <w:r>
        <w:rPr>
          <w:spacing w:val="-3"/>
        </w:rPr>
        <w:t xml:space="preserve"> </w:t>
      </w:r>
      <w:r>
        <w:t>of</w:t>
      </w:r>
      <w:r>
        <w:rPr>
          <w:spacing w:val="-4"/>
        </w:rPr>
        <w:t xml:space="preserve"> </w:t>
      </w:r>
      <w:r>
        <w:t>overdose,</w:t>
      </w:r>
      <w:r>
        <w:rPr>
          <w:spacing w:val="-1"/>
        </w:rPr>
        <w:t xml:space="preserve"> </w:t>
      </w:r>
      <w:r>
        <w:t>contact</w:t>
      </w:r>
      <w:r>
        <w:rPr>
          <w:spacing w:val="-3"/>
        </w:rPr>
        <w:t xml:space="preserve"> </w:t>
      </w:r>
      <w:r>
        <w:t>the</w:t>
      </w:r>
      <w:r>
        <w:rPr>
          <w:spacing w:val="-4"/>
        </w:rPr>
        <w:t xml:space="preserve"> </w:t>
      </w:r>
      <w:r>
        <w:t>Poisons</w:t>
      </w:r>
      <w:r>
        <w:rPr>
          <w:spacing w:val="-3"/>
        </w:rPr>
        <w:t xml:space="preserve"> </w:t>
      </w:r>
      <w:r>
        <w:t>Information</w:t>
      </w:r>
      <w:r>
        <w:rPr>
          <w:spacing w:val="-3"/>
        </w:rPr>
        <w:t xml:space="preserve"> </w:t>
      </w:r>
      <w:r>
        <w:t>Centre</w:t>
      </w:r>
      <w:r>
        <w:rPr>
          <w:spacing w:val="-4"/>
        </w:rPr>
        <w:t xml:space="preserve"> </w:t>
      </w:r>
      <w:r>
        <w:t>on 131126 (Australia).</w:t>
      </w:r>
    </w:p>
    <w:p w14:paraId="53B38F76" w14:textId="77777777" w:rsidR="008B6261" w:rsidRDefault="008B6261">
      <w:pPr>
        <w:pStyle w:val="BodyText"/>
        <w:spacing w:before="239"/>
      </w:pPr>
    </w:p>
    <w:p w14:paraId="53B38F77" w14:textId="77777777" w:rsidR="008B6261" w:rsidRDefault="004C6B8B">
      <w:pPr>
        <w:pStyle w:val="Heading1"/>
        <w:numPr>
          <w:ilvl w:val="0"/>
          <w:numId w:val="4"/>
        </w:numPr>
        <w:tabs>
          <w:tab w:val="left" w:pos="702"/>
        </w:tabs>
        <w:ind w:hanging="679"/>
      </w:pPr>
      <w:bookmarkStart w:id="65" w:name="5_Pharmacological_properties"/>
      <w:bookmarkEnd w:id="65"/>
      <w:r>
        <w:t>PHARMACOLOGICAL</w:t>
      </w:r>
      <w:r>
        <w:rPr>
          <w:spacing w:val="-15"/>
        </w:rPr>
        <w:t xml:space="preserve"> </w:t>
      </w:r>
      <w:r>
        <w:rPr>
          <w:spacing w:val="-2"/>
        </w:rPr>
        <w:t>PROPERTIES</w:t>
      </w:r>
    </w:p>
    <w:p w14:paraId="53B38F78" w14:textId="77777777" w:rsidR="008B6261" w:rsidRDefault="004C6B8B">
      <w:pPr>
        <w:pStyle w:val="ListParagraph"/>
        <w:numPr>
          <w:ilvl w:val="1"/>
          <w:numId w:val="4"/>
        </w:numPr>
        <w:tabs>
          <w:tab w:val="left" w:pos="702"/>
        </w:tabs>
        <w:spacing w:before="124"/>
        <w:ind w:hanging="679"/>
        <w:rPr>
          <w:b/>
        </w:rPr>
      </w:pPr>
      <w:bookmarkStart w:id="66" w:name="5.1_Pharmacodynamic_properties"/>
      <w:bookmarkEnd w:id="66"/>
      <w:r>
        <w:rPr>
          <w:b/>
          <w:spacing w:val="-2"/>
        </w:rPr>
        <w:t>PHARMACODYNAMIC</w:t>
      </w:r>
      <w:r>
        <w:rPr>
          <w:b/>
          <w:spacing w:val="13"/>
        </w:rPr>
        <w:t xml:space="preserve"> </w:t>
      </w:r>
      <w:r>
        <w:rPr>
          <w:b/>
          <w:spacing w:val="-2"/>
        </w:rPr>
        <w:t>PROPERTIES</w:t>
      </w:r>
    </w:p>
    <w:p w14:paraId="53B38F79" w14:textId="77777777" w:rsidR="008B6261" w:rsidRDefault="004C6B8B">
      <w:pPr>
        <w:pStyle w:val="BodyText"/>
        <w:ind w:left="23"/>
      </w:pPr>
      <w:bookmarkStart w:id="67" w:name="Mechanism_of_action"/>
      <w:bookmarkEnd w:id="67"/>
      <w:r>
        <w:t>ATC</w:t>
      </w:r>
      <w:r>
        <w:rPr>
          <w:spacing w:val="-2"/>
        </w:rPr>
        <w:t xml:space="preserve"> </w:t>
      </w:r>
      <w:r>
        <w:t>code:</w:t>
      </w:r>
      <w:r>
        <w:rPr>
          <w:spacing w:val="-2"/>
        </w:rPr>
        <w:t xml:space="preserve"> L04AA62</w:t>
      </w:r>
    </w:p>
    <w:p w14:paraId="53B38F7A" w14:textId="77777777" w:rsidR="008B6261" w:rsidRDefault="008B6261">
      <w:pPr>
        <w:pStyle w:val="BodyText"/>
        <w:spacing w:before="84"/>
      </w:pPr>
    </w:p>
    <w:p w14:paraId="53B38F7B" w14:textId="77777777" w:rsidR="008B6261" w:rsidRDefault="004C6B8B">
      <w:pPr>
        <w:spacing w:before="1"/>
        <w:ind w:left="23"/>
        <w:rPr>
          <w:rFonts w:ascii="Arial"/>
          <w:b/>
        </w:rPr>
      </w:pPr>
      <w:r>
        <w:rPr>
          <w:rFonts w:ascii="Arial"/>
          <w:b/>
        </w:rPr>
        <w:t>Mechanism</w:t>
      </w:r>
      <w:r>
        <w:rPr>
          <w:rFonts w:ascii="Arial"/>
          <w:b/>
          <w:spacing w:val="-4"/>
        </w:rPr>
        <w:t xml:space="preserve"> </w:t>
      </w:r>
      <w:r>
        <w:rPr>
          <w:rFonts w:ascii="Arial"/>
          <w:b/>
        </w:rPr>
        <w:t>of</w:t>
      </w:r>
      <w:r>
        <w:rPr>
          <w:rFonts w:ascii="Arial"/>
          <w:b/>
          <w:spacing w:val="-3"/>
        </w:rPr>
        <w:t xml:space="preserve"> </w:t>
      </w:r>
      <w:r>
        <w:rPr>
          <w:rFonts w:ascii="Arial"/>
          <w:b/>
          <w:spacing w:val="-2"/>
        </w:rPr>
        <w:t>action</w:t>
      </w:r>
    </w:p>
    <w:p w14:paraId="53B38F7C" w14:textId="77777777" w:rsidR="008B6261" w:rsidRDefault="004C6B8B">
      <w:pPr>
        <w:pStyle w:val="BodyText"/>
        <w:ind w:left="22" w:right="585"/>
        <w:jc w:val="both"/>
      </w:pPr>
      <w:r>
        <w:t>Tolebrutinib is a brain-penetrant and bioactive inhibitor of Bruton’s tyrosine kinase (BTK). The</w:t>
      </w:r>
      <w:r>
        <w:rPr>
          <w:spacing w:val="-4"/>
        </w:rPr>
        <w:t xml:space="preserve"> </w:t>
      </w:r>
      <w:r>
        <w:t>BTK</w:t>
      </w:r>
      <w:r>
        <w:rPr>
          <w:spacing w:val="-4"/>
        </w:rPr>
        <w:t xml:space="preserve"> </w:t>
      </w:r>
      <w:r>
        <w:t>pathway</w:t>
      </w:r>
      <w:r>
        <w:rPr>
          <w:spacing w:val="-3"/>
        </w:rPr>
        <w:t xml:space="preserve"> </w:t>
      </w:r>
      <w:r>
        <w:t>is</w:t>
      </w:r>
      <w:r>
        <w:rPr>
          <w:spacing w:val="-3"/>
        </w:rPr>
        <w:t xml:space="preserve"> </w:t>
      </w:r>
      <w:r>
        <w:t>critical</w:t>
      </w:r>
      <w:r>
        <w:rPr>
          <w:spacing w:val="-3"/>
        </w:rPr>
        <w:t xml:space="preserve"> </w:t>
      </w:r>
      <w:r>
        <w:t>to</w:t>
      </w:r>
      <w:r>
        <w:rPr>
          <w:spacing w:val="-3"/>
        </w:rPr>
        <w:t xml:space="preserve"> </w:t>
      </w:r>
      <w:r>
        <w:t>signalling</w:t>
      </w:r>
      <w:r>
        <w:rPr>
          <w:spacing w:val="-3"/>
        </w:rPr>
        <w:t xml:space="preserve"> </w:t>
      </w:r>
      <w:r>
        <w:t>in</w:t>
      </w:r>
      <w:r>
        <w:rPr>
          <w:spacing w:val="-6"/>
        </w:rPr>
        <w:t xml:space="preserve"> </w:t>
      </w:r>
      <w:r>
        <w:t>B</w:t>
      </w:r>
      <w:r>
        <w:rPr>
          <w:spacing w:val="-5"/>
        </w:rPr>
        <w:t xml:space="preserve"> </w:t>
      </w:r>
      <w:r>
        <w:t>cells</w:t>
      </w:r>
      <w:r>
        <w:rPr>
          <w:spacing w:val="-3"/>
        </w:rPr>
        <w:t xml:space="preserve"> </w:t>
      </w:r>
      <w:r>
        <w:t>and</w:t>
      </w:r>
      <w:r>
        <w:rPr>
          <w:spacing w:val="-3"/>
        </w:rPr>
        <w:t xml:space="preserve"> </w:t>
      </w:r>
      <w:r>
        <w:t>myeloid</w:t>
      </w:r>
      <w:r>
        <w:rPr>
          <w:spacing w:val="-3"/>
        </w:rPr>
        <w:t xml:space="preserve"> </w:t>
      </w:r>
      <w:r>
        <w:t>cells</w:t>
      </w:r>
      <w:r>
        <w:rPr>
          <w:spacing w:val="-3"/>
        </w:rPr>
        <w:t xml:space="preserve"> </w:t>
      </w:r>
      <w:r>
        <w:t>including</w:t>
      </w:r>
      <w:r>
        <w:rPr>
          <w:spacing w:val="-3"/>
        </w:rPr>
        <w:t xml:space="preserve"> </w:t>
      </w:r>
      <w:r>
        <w:t>CNS-resident macrophages and microglia. Each of</w:t>
      </w:r>
      <w:r>
        <w:rPr>
          <w:spacing w:val="-1"/>
        </w:rPr>
        <w:t xml:space="preserve"> </w:t>
      </w:r>
      <w:r>
        <w:t>these</w:t>
      </w:r>
      <w:r>
        <w:rPr>
          <w:spacing w:val="-1"/>
        </w:rPr>
        <w:t xml:space="preserve"> </w:t>
      </w:r>
      <w:r>
        <w:t>cell types are</w:t>
      </w:r>
      <w:r>
        <w:rPr>
          <w:spacing w:val="-1"/>
        </w:rPr>
        <w:t xml:space="preserve"> </w:t>
      </w:r>
      <w:r>
        <w:t>implicated in the</w:t>
      </w:r>
      <w:r>
        <w:rPr>
          <w:spacing w:val="-1"/>
        </w:rPr>
        <w:t xml:space="preserve"> </w:t>
      </w:r>
      <w:r>
        <w:t>pathophysiology of MS.</w:t>
      </w:r>
      <w:r>
        <w:rPr>
          <w:spacing w:val="-8"/>
        </w:rPr>
        <w:t xml:space="preserve"> </w:t>
      </w:r>
      <w:r>
        <w:t>Although</w:t>
      </w:r>
      <w:r>
        <w:rPr>
          <w:spacing w:val="-8"/>
        </w:rPr>
        <w:t xml:space="preserve"> </w:t>
      </w:r>
      <w:r>
        <w:t>the</w:t>
      </w:r>
      <w:r>
        <w:rPr>
          <w:spacing w:val="-9"/>
        </w:rPr>
        <w:t xml:space="preserve"> </w:t>
      </w:r>
      <w:r>
        <w:t>exact</w:t>
      </w:r>
      <w:r>
        <w:rPr>
          <w:spacing w:val="-8"/>
        </w:rPr>
        <w:t xml:space="preserve"> </w:t>
      </w:r>
      <w:r>
        <w:t>mechanism</w:t>
      </w:r>
      <w:r>
        <w:rPr>
          <w:spacing w:val="-8"/>
        </w:rPr>
        <w:t xml:space="preserve"> </w:t>
      </w:r>
      <w:r>
        <w:t>by</w:t>
      </w:r>
      <w:r>
        <w:rPr>
          <w:spacing w:val="-8"/>
        </w:rPr>
        <w:t xml:space="preserve"> </w:t>
      </w:r>
      <w:r>
        <w:t>which</w:t>
      </w:r>
      <w:r>
        <w:rPr>
          <w:spacing w:val="-8"/>
        </w:rPr>
        <w:t xml:space="preserve"> </w:t>
      </w:r>
      <w:r>
        <w:t>tolebrutinib</w:t>
      </w:r>
      <w:r>
        <w:rPr>
          <w:spacing w:val="-8"/>
        </w:rPr>
        <w:t xml:space="preserve"> </w:t>
      </w:r>
      <w:r>
        <w:t>exerts</w:t>
      </w:r>
      <w:r>
        <w:rPr>
          <w:spacing w:val="-8"/>
        </w:rPr>
        <w:t xml:space="preserve"> </w:t>
      </w:r>
      <w:r>
        <w:t>its</w:t>
      </w:r>
      <w:r>
        <w:rPr>
          <w:spacing w:val="-8"/>
        </w:rPr>
        <w:t xml:space="preserve"> </w:t>
      </w:r>
      <w:r>
        <w:t>therapeutic</w:t>
      </w:r>
      <w:r>
        <w:rPr>
          <w:spacing w:val="-9"/>
        </w:rPr>
        <w:t xml:space="preserve"> </w:t>
      </w:r>
      <w:r>
        <w:t>effect</w:t>
      </w:r>
      <w:r>
        <w:rPr>
          <w:spacing w:val="-8"/>
        </w:rPr>
        <w:t xml:space="preserve"> </w:t>
      </w:r>
      <w:r>
        <w:t>in</w:t>
      </w:r>
      <w:r>
        <w:rPr>
          <w:spacing w:val="-8"/>
        </w:rPr>
        <w:t xml:space="preserve"> </w:t>
      </w:r>
      <w:r>
        <w:t>MS</w:t>
      </w:r>
      <w:r>
        <w:rPr>
          <w:spacing w:val="-7"/>
        </w:rPr>
        <w:t xml:space="preserve"> </w:t>
      </w:r>
      <w:r>
        <w:t>is not fully understood, there is evidence to support it inhibits the activation of B cells, macrophages</w:t>
      </w:r>
      <w:r>
        <w:rPr>
          <w:spacing w:val="-14"/>
        </w:rPr>
        <w:t xml:space="preserve"> </w:t>
      </w:r>
      <w:r>
        <w:t>and</w:t>
      </w:r>
      <w:r>
        <w:rPr>
          <w:spacing w:val="-12"/>
        </w:rPr>
        <w:t xml:space="preserve"> </w:t>
      </w:r>
      <w:r>
        <w:t>microglia</w:t>
      </w:r>
      <w:r>
        <w:rPr>
          <w:spacing w:val="-15"/>
        </w:rPr>
        <w:t xml:space="preserve"> </w:t>
      </w:r>
      <w:r>
        <w:t>in</w:t>
      </w:r>
      <w:r>
        <w:rPr>
          <w:spacing w:val="-14"/>
        </w:rPr>
        <w:t xml:space="preserve"> </w:t>
      </w:r>
      <w:r>
        <w:t>the</w:t>
      </w:r>
      <w:r>
        <w:rPr>
          <w:spacing w:val="-15"/>
        </w:rPr>
        <w:t xml:space="preserve"> </w:t>
      </w:r>
      <w:r>
        <w:t>periphery</w:t>
      </w:r>
      <w:r>
        <w:rPr>
          <w:spacing w:val="-12"/>
        </w:rPr>
        <w:t xml:space="preserve"> </w:t>
      </w:r>
      <w:r>
        <w:t>and</w:t>
      </w:r>
      <w:r>
        <w:rPr>
          <w:spacing w:val="-14"/>
        </w:rPr>
        <w:t xml:space="preserve"> </w:t>
      </w:r>
      <w:r>
        <w:t>CNS.</w:t>
      </w:r>
      <w:r>
        <w:rPr>
          <w:spacing w:val="-14"/>
        </w:rPr>
        <w:t xml:space="preserve"> </w:t>
      </w:r>
      <w:r>
        <w:t>Tolebrutinib</w:t>
      </w:r>
      <w:r>
        <w:rPr>
          <w:spacing w:val="-15"/>
        </w:rPr>
        <w:t xml:space="preserve"> </w:t>
      </w:r>
      <w:r>
        <w:t>forms</w:t>
      </w:r>
      <w:r>
        <w:rPr>
          <w:spacing w:val="-12"/>
        </w:rPr>
        <w:t xml:space="preserve"> </w:t>
      </w:r>
      <w:r>
        <w:t>a</w:t>
      </w:r>
      <w:r>
        <w:rPr>
          <w:spacing w:val="-13"/>
        </w:rPr>
        <w:t xml:space="preserve"> </w:t>
      </w:r>
      <w:r>
        <w:t>covalent</w:t>
      </w:r>
      <w:r>
        <w:rPr>
          <w:spacing w:val="-14"/>
        </w:rPr>
        <w:t xml:space="preserve"> </w:t>
      </w:r>
      <w:r>
        <w:t>bond</w:t>
      </w:r>
      <w:r>
        <w:rPr>
          <w:spacing w:val="-12"/>
        </w:rPr>
        <w:t xml:space="preserve"> </w:t>
      </w:r>
      <w:r>
        <w:t xml:space="preserve">with cysteine 481 near the ATP-binding site leading to inhibition of BTK enzymatic activity in B </w:t>
      </w:r>
      <w:bookmarkStart w:id="68" w:name="Clinical_Trials"/>
      <w:bookmarkEnd w:id="68"/>
      <w:r>
        <w:t>cells and microglia.</w:t>
      </w:r>
    </w:p>
    <w:p w14:paraId="53B38F7D" w14:textId="77777777" w:rsidR="008B6261" w:rsidRDefault="008B6261">
      <w:pPr>
        <w:pStyle w:val="BodyText"/>
        <w:spacing w:before="85"/>
      </w:pPr>
    </w:p>
    <w:p w14:paraId="53B38F7E" w14:textId="77777777" w:rsidR="008B6261" w:rsidRDefault="004C6B8B">
      <w:pPr>
        <w:ind w:left="23"/>
        <w:jc w:val="both"/>
        <w:rPr>
          <w:rFonts w:ascii="Arial"/>
          <w:b/>
        </w:rPr>
      </w:pPr>
      <w:r>
        <w:rPr>
          <w:rFonts w:ascii="Arial"/>
          <w:b/>
        </w:rPr>
        <w:t>Clinical</w:t>
      </w:r>
      <w:r>
        <w:rPr>
          <w:rFonts w:ascii="Arial"/>
          <w:b/>
          <w:spacing w:val="-6"/>
        </w:rPr>
        <w:t xml:space="preserve"> </w:t>
      </w:r>
      <w:r>
        <w:rPr>
          <w:rFonts w:ascii="Arial"/>
          <w:b/>
          <w:spacing w:val="-2"/>
        </w:rPr>
        <w:t>Trials</w:t>
      </w:r>
    </w:p>
    <w:p w14:paraId="53B38F7F" w14:textId="77777777" w:rsidR="008B6261" w:rsidRDefault="004C6B8B">
      <w:pPr>
        <w:pStyle w:val="BodyText"/>
        <w:spacing w:before="240"/>
        <w:ind w:left="22" w:right="585"/>
        <w:jc w:val="both"/>
      </w:pPr>
      <w:r>
        <w:t>The efficacy of CENRIFKI was studied in three clinical trials. Study 1 (EFC16645/HERCULES)</w:t>
      </w:r>
      <w:r>
        <w:rPr>
          <w:spacing w:val="-13"/>
        </w:rPr>
        <w:t xml:space="preserve"> </w:t>
      </w:r>
      <w:r>
        <w:t>was</w:t>
      </w:r>
      <w:r>
        <w:rPr>
          <w:spacing w:val="-12"/>
        </w:rPr>
        <w:t xml:space="preserve"> </w:t>
      </w:r>
      <w:r>
        <w:t>a</w:t>
      </w:r>
      <w:r>
        <w:rPr>
          <w:spacing w:val="-14"/>
        </w:rPr>
        <w:t xml:space="preserve"> </w:t>
      </w:r>
      <w:r>
        <w:t>randomised,</w:t>
      </w:r>
      <w:r>
        <w:rPr>
          <w:spacing w:val="-13"/>
        </w:rPr>
        <w:t xml:space="preserve"> </w:t>
      </w:r>
      <w:r>
        <w:t>double-blind,</w:t>
      </w:r>
      <w:r>
        <w:rPr>
          <w:spacing w:val="-13"/>
        </w:rPr>
        <w:t xml:space="preserve"> </w:t>
      </w:r>
      <w:r>
        <w:t>2-arm,</w:t>
      </w:r>
      <w:r>
        <w:rPr>
          <w:spacing w:val="-13"/>
        </w:rPr>
        <w:t xml:space="preserve"> </w:t>
      </w:r>
      <w:r>
        <w:t>placebo-controlled,</w:t>
      </w:r>
      <w:r>
        <w:rPr>
          <w:spacing w:val="-13"/>
        </w:rPr>
        <w:t xml:space="preserve"> </w:t>
      </w:r>
      <w:r>
        <w:t>parallel group, multicentre, event-driven trial with a variable treatment duration ranging from approximately</w:t>
      </w:r>
      <w:r>
        <w:rPr>
          <w:spacing w:val="-13"/>
        </w:rPr>
        <w:t xml:space="preserve"> </w:t>
      </w:r>
      <w:r>
        <w:t>24</w:t>
      </w:r>
      <w:r>
        <w:rPr>
          <w:spacing w:val="-13"/>
        </w:rPr>
        <w:t xml:space="preserve"> </w:t>
      </w:r>
      <w:r>
        <w:t>to</w:t>
      </w:r>
      <w:r>
        <w:rPr>
          <w:spacing w:val="-13"/>
        </w:rPr>
        <w:t xml:space="preserve"> </w:t>
      </w:r>
      <w:r>
        <w:t>48</w:t>
      </w:r>
      <w:r>
        <w:rPr>
          <w:spacing w:val="-13"/>
        </w:rPr>
        <w:t xml:space="preserve"> </w:t>
      </w:r>
      <w:r>
        <w:t>months</w:t>
      </w:r>
      <w:r>
        <w:rPr>
          <w:spacing w:val="-13"/>
        </w:rPr>
        <w:t xml:space="preserve"> </w:t>
      </w:r>
      <w:r>
        <w:t>in</w:t>
      </w:r>
      <w:r>
        <w:rPr>
          <w:spacing w:val="-13"/>
        </w:rPr>
        <w:t xml:space="preserve"> </w:t>
      </w:r>
      <w:r>
        <w:t>patients</w:t>
      </w:r>
      <w:r>
        <w:rPr>
          <w:spacing w:val="-13"/>
        </w:rPr>
        <w:t xml:space="preserve"> </w:t>
      </w:r>
      <w:r>
        <w:t>with</w:t>
      </w:r>
      <w:r>
        <w:rPr>
          <w:spacing w:val="-15"/>
        </w:rPr>
        <w:t xml:space="preserve"> </w:t>
      </w:r>
      <w:r>
        <w:t>nrSPMS.</w:t>
      </w:r>
      <w:r>
        <w:rPr>
          <w:spacing w:val="-13"/>
        </w:rPr>
        <w:t xml:space="preserve"> </w:t>
      </w:r>
      <w:r>
        <w:t>Studies</w:t>
      </w:r>
      <w:r>
        <w:rPr>
          <w:spacing w:val="-13"/>
        </w:rPr>
        <w:t xml:space="preserve"> </w:t>
      </w:r>
      <w:r>
        <w:t>2</w:t>
      </w:r>
      <w:r>
        <w:rPr>
          <w:spacing w:val="-13"/>
        </w:rPr>
        <w:t xml:space="preserve"> </w:t>
      </w:r>
      <w:r>
        <w:t>(EFC16033/GEMINI</w:t>
      </w:r>
      <w:r>
        <w:rPr>
          <w:spacing w:val="-14"/>
        </w:rPr>
        <w:t xml:space="preserve"> </w:t>
      </w:r>
      <w:r>
        <w:t>I)</w:t>
      </w:r>
      <w:r>
        <w:rPr>
          <w:spacing w:val="-14"/>
        </w:rPr>
        <w:t xml:space="preserve"> </w:t>
      </w:r>
      <w:r>
        <w:t>and 3 (EFC16034/GEMINI II) were randomised, double-blind, double-dummy, 2 arm, active-controlled with teriflunomide, parallel group, multicentre, event driven trials with a variable treatment duration ranging from approximately 24 to 48 months in patients with RMS. Common</w:t>
      </w:r>
      <w:r>
        <w:rPr>
          <w:spacing w:val="-2"/>
        </w:rPr>
        <w:t xml:space="preserve"> </w:t>
      </w:r>
      <w:r>
        <w:t>end</w:t>
      </w:r>
      <w:r>
        <w:rPr>
          <w:spacing w:val="-2"/>
        </w:rPr>
        <w:t xml:space="preserve"> </w:t>
      </w:r>
      <w:r>
        <w:t>of</w:t>
      </w:r>
      <w:r>
        <w:rPr>
          <w:spacing w:val="-3"/>
        </w:rPr>
        <w:t xml:space="preserve"> </w:t>
      </w:r>
      <w:r>
        <w:t>study was</w:t>
      </w:r>
      <w:r>
        <w:rPr>
          <w:spacing w:val="-2"/>
        </w:rPr>
        <w:t xml:space="preserve"> </w:t>
      </w:r>
      <w:r>
        <w:t>determined</w:t>
      </w:r>
      <w:r>
        <w:rPr>
          <w:spacing w:val="-2"/>
        </w:rPr>
        <w:t xml:space="preserve"> </w:t>
      </w:r>
      <w:r>
        <w:t>by accumulation</w:t>
      </w:r>
      <w:r>
        <w:rPr>
          <w:spacing w:val="-2"/>
        </w:rPr>
        <w:t xml:space="preserve"> </w:t>
      </w:r>
      <w:r>
        <w:t>of</w:t>
      </w:r>
      <w:r>
        <w:rPr>
          <w:spacing w:val="-3"/>
        </w:rPr>
        <w:t xml:space="preserve"> </w:t>
      </w:r>
      <w:r>
        <w:t>a</w:t>
      </w:r>
      <w:r>
        <w:rPr>
          <w:spacing w:val="-1"/>
        </w:rPr>
        <w:t xml:space="preserve"> </w:t>
      </w:r>
      <w:r>
        <w:t>prespecified number</w:t>
      </w:r>
      <w:r>
        <w:rPr>
          <w:spacing w:val="-3"/>
        </w:rPr>
        <w:t xml:space="preserve"> </w:t>
      </w:r>
      <w:r>
        <w:t>of</w:t>
      </w:r>
      <w:r>
        <w:rPr>
          <w:spacing w:val="-1"/>
        </w:rPr>
        <w:t xml:space="preserve"> </w:t>
      </w:r>
      <w:r>
        <w:t>events of 6-month confirmed disability worsening.</w:t>
      </w:r>
    </w:p>
    <w:p w14:paraId="53B38F80" w14:textId="77777777" w:rsidR="008B6261" w:rsidRDefault="004C6B8B">
      <w:pPr>
        <w:pStyle w:val="BodyText"/>
        <w:spacing w:before="241"/>
        <w:ind w:left="22" w:right="585"/>
        <w:jc w:val="both"/>
      </w:pPr>
      <w:r>
        <w:t>In Study 1, patients were randomised 2:1 to receive either CENRIFKI 60</w:t>
      </w:r>
      <w:r>
        <w:rPr>
          <w:spacing w:val="-1"/>
        </w:rPr>
        <w:t xml:space="preserve"> </w:t>
      </w:r>
      <w:r>
        <w:t>mg daily or a matching</w:t>
      </w:r>
      <w:r>
        <w:rPr>
          <w:spacing w:val="-11"/>
        </w:rPr>
        <w:t xml:space="preserve"> </w:t>
      </w:r>
      <w:r>
        <w:t>placebo</w:t>
      </w:r>
      <w:r>
        <w:rPr>
          <w:spacing w:val="-11"/>
        </w:rPr>
        <w:t xml:space="preserve"> </w:t>
      </w:r>
      <w:r>
        <w:t>daily.</w:t>
      </w:r>
      <w:r>
        <w:rPr>
          <w:spacing w:val="-11"/>
        </w:rPr>
        <w:t xml:space="preserve"> </w:t>
      </w:r>
      <w:r>
        <w:t>All</w:t>
      </w:r>
      <w:r>
        <w:rPr>
          <w:spacing w:val="-10"/>
        </w:rPr>
        <w:t xml:space="preserve"> </w:t>
      </w:r>
      <w:r>
        <w:t>patients</w:t>
      </w:r>
      <w:r>
        <w:rPr>
          <w:spacing w:val="-10"/>
        </w:rPr>
        <w:t xml:space="preserve"> </w:t>
      </w:r>
      <w:r>
        <w:t>had</w:t>
      </w:r>
      <w:r>
        <w:rPr>
          <w:spacing w:val="-11"/>
        </w:rPr>
        <w:t xml:space="preserve"> </w:t>
      </w:r>
      <w:r>
        <w:t>a</w:t>
      </w:r>
      <w:r>
        <w:rPr>
          <w:spacing w:val="-12"/>
        </w:rPr>
        <w:t xml:space="preserve"> </w:t>
      </w:r>
      <w:r>
        <w:t>previous</w:t>
      </w:r>
      <w:r>
        <w:rPr>
          <w:spacing w:val="-10"/>
        </w:rPr>
        <w:t xml:space="preserve"> </w:t>
      </w:r>
      <w:r>
        <w:t>diagnosis</w:t>
      </w:r>
      <w:r>
        <w:rPr>
          <w:spacing w:val="-10"/>
        </w:rPr>
        <w:t xml:space="preserve"> </w:t>
      </w:r>
      <w:r>
        <w:t>of</w:t>
      </w:r>
      <w:r>
        <w:rPr>
          <w:spacing w:val="-11"/>
        </w:rPr>
        <w:t xml:space="preserve"> </w:t>
      </w:r>
      <w:r>
        <w:t>Relapsing-Remitting</w:t>
      </w:r>
      <w:r>
        <w:rPr>
          <w:spacing w:val="-10"/>
        </w:rPr>
        <w:t xml:space="preserve"> </w:t>
      </w:r>
      <w:r>
        <w:t>Multiple Sclerosis (RRMS), a current diagnosis of SPMS, documented evidence of disability progression observed during the 12</w:t>
      </w:r>
      <w:r>
        <w:rPr>
          <w:spacing w:val="-3"/>
        </w:rPr>
        <w:t xml:space="preserve"> </w:t>
      </w:r>
      <w:r>
        <w:t>months before screening, a baseline Expanded Disability Status Scale (EDSS) of 3 to 6.5, and an absence of clinical relapses for at least 24 months. Patients</w:t>
      </w:r>
      <w:r>
        <w:rPr>
          <w:spacing w:val="-15"/>
        </w:rPr>
        <w:t xml:space="preserve"> </w:t>
      </w:r>
      <w:r>
        <w:t>with</w:t>
      </w:r>
      <w:r>
        <w:rPr>
          <w:spacing w:val="-15"/>
        </w:rPr>
        <w:t xml:space="preserve"> </w:t>
      </w:r>
      <w:r>
        <w:t>ALT,</w:t>
      </w:r>
      <w:r>
        <w:rPr>
          <w:spacing w:val="-14"/>
        </w:rPr>
        <w:t xml:space="preserve"> </w:t>
      </w:r>
      <w:r>
        <w:t>AST,</w:t>
      </w:r>
      <w:r>
        <w:rPr>
          <w:spacing w:val="-15"/>
        </w:rPr>
        <w:t xml:space="preserve"> </w:t>
      </w:r>
      <w:r>
        <w:t>total</w:t>
      </w:r>
      <w:r>
        <w:rPr>
          <w:spacing w:val="-14"/>
        </w:rPr>
        <w:t xml:space="preserve"> </w:t>
      </w:r>
      <w:r>
        <w:t>bilirubin</w:t>
      </w:r>
      <w:r>
        <w:rPr>
          <w:spacing w:val="-15"/>
        </w:rPr>
        <w:t xml:space="preserve"> </w:t>
      </w:r>
      <w:r>
        <w:rPr>
          <w:color w:val="1F1F1F"/>
        </w:rPr>
        <w:t>greater</w:t>
      </w:r>
      <w:r>
        <w:rPr>
          <w:color w:val="1F1F1F"/>
          <w:spacing w:val="-15"/>
        </w:rPr>
        <w:t xml:space="preserve"> </w:t>
      </w:r>
      <w:r>
        <w:rPr>
          <w:color w:val="1F1F1F"/>
        </w:rPr>
        <w:t>than</w:t>
      </w:r>
      <w:r>
        <w:rPr>
          <w:color w:val="1F1F1F"/>
          <w:spacing w:val="-14"/>
        </w:rPr>
        <w:t xml:space="preserve"> </w:t>
      </w:r>
      <w:r>
        <w:t>1.5</w:t>
      </w:r>
      <w:r>
        <w:rPr>
          <w:spacing w:val="-14"/>
        </w:rPr>
        <w:t xml:space="preserve"> </w:t>
      </w:r>
      <w:r>
        <w:t>x</w:t>
      </w:r>
      <w:r>
        <w:rPr>
          <w:spacing w:val="-14"/>
        </w:rPr>
        <w:t xml:space="preserve"> </w:t>
      </w:r>
      <w:r>
        <w:t>ULN</w:t>
      </w:r>
      <w:r>
        <w:rPr>
          <w:spacing w:val="-15"/>
        </w:rPr>
        <w:t xml:space="preserve"> </w:t>
      </w:r>
      <w:r>
        <w:t>(unless</w:t>
      </w:r>
      <w:r>
        <w:rPr>
          <w:spacing w:val="-14"/>
        </w:rPr>
        <w:t xml:space="preserve"> </w:t>
      </w:r>
      <w:r>
        <w:t>due</w:t>
      </w:r>
      <w:r>
        <w:rPr>
          <w:spacing w:val="-15"/>
        </w:rPr>
        <w:t xml:space="preserve"> </w:t>
      </w:r>
      <w:r>
        <w:t>to</w:t>
      </w:r>
      <w:r>
        <w:rPr>
          <w:spacing w:val="-14"/>
        </w:rPr>
        <w:t xml:space="preserve"> </w:t>
      </w:r>
      <w:r>
        <w:t>Gilbert</w:t>
      </w:r>
      <w:r>
        <w:rPr>
          <w:spacing w:val="-14"/>
        </w:rPr>
        <w:t xml:space="preserve"> </w:t>
      </w:r>
      <w:r>
        <w:t xml:space="preserve">syndrome or non-liver related disorder) or ALP </w:t>
      </w:r>
      <w:r>
        <w:rPr>
          <w:color w:val="1F1F1F"/>
        </w:rPr>
        <w:t xml:space="preserve">greater than </w:t>
      </w:r>
      <w:r>
        <w:t>2 x ULN were excluded. Neurological evaluations</w:t>
      </w:r>
      <w:r>
        <w:rPr>
          <w:spacing w:val="-9"/>
        </w:rPr>
        <w:t xml:space="preserve"> </w:t>
      </w:r>
      <w:r>
        <w:t>were</w:t>
      </w:r>
      <w:r>
        <w:rPr>
          <w:spacing w:val="-11"/>
        </w:rPr>
        <w:t xml:space="preserve"> </w:t>
      </w:r>
      <w:r>
        <w:t>performed</w:t>
      </w:r>
      <w:r>
        <w:rPr>
          <w:spacing w:val="-10"/>
        </w:rPr>
        <w:t xml:space="preserve"> </w:t>
      </w:r>
      <w:r>
        <w:t>every</w:t>
      </w:r>
      <w:r>
        <w:rPr>
          <w:spacing w:val="-10"/>
        </w:rPr>
        <w:t xml:space="preserve"> </w:t>
      </w:r>
      <w:r>
        <w:t>12</w:t>
      </w:r>
      <w:r>
        <w:rPr>
          <w:spacing w:val="-10"/>
        </w:rPr>
        <w:t xml:space="preserve"> </w:t>
      </w:r>
      <w:r>
        <w:t>weeks</w:t>
      </w:r>
      <w:r>
        <w:rPr>
          <w:spacing w:val="-9"/>
        </w:rPr>
        <w:t xml:space="preserve"> </w:t>
      </w:r>
      <w:r>
        <w:t>and</w:t>
      </w:r>
      <w:r>
        <w:rPr>
          <w:spacing w:val="-7"/>
        </w:rPr>
        <w:t xml:space="preserve"> </w:t>
      </w:r>
      <w:r>
        <w:t>at</w:t>
      </w:r>
      <w:r>
        <w:rPr>
          <w:spacing w:val="-7"/>
        </w:rPr>
        <w:t xml:space="preserve"> </w:t>
      </w:r>
      <w:r>
        <w:t>the</w:t>
      </w:r>
      <w:r>
        <w:rPr>
          <w:spacing w:val="-11"/>
        </w:rPr>
        <w:t xml:space="preserve"> </w:t>
      </w:r>
      <w:r>
        <w:t>time</w:t>
      </w:r>
      <w:r>
        <w:rPr>
          <w:spacing w:val="-11"/>
        </w:rPr>
        <w:t xml:space="preserve"> </w:t>
      </w:r>
      <w:r>
        <w:t>of</w:t>
      </w:r>
      <w:r>
        <w:rPr>
          <w:spacing w:val="-10"/>
        </w:rPr>
        <w:t xml:space="preserve"> </w:t>
      </w:r>
      <w:r>
        <w:t>a</w:t>
      </w:r>
      <w:r>
        <w:rPr>
          <w:spacing w:val="-11"/>
        </w:rPr>
        <w:t xml:space="preserve"> </w:t>
      </w:r>
      <w:r>
        <w:t>suspected</w:t>
      </w:r>
      <w:r>
        <w:rPr>
          <w:spacing w:val="-10"/>
        </w:rPr>
        <w:t xml:space="preserve"> </w:t>
      </w:r>
      <w:r>
        <w:t>relapse.</w:t>
      </w:r>
      <w:r>
        <w:rPr>
          <w:spacing w:val="-10"/>
        </w:rPr>
        <w:t xml:space="preserve"> </w:t>
      </w:r>
      <w:r>
        <w:t>Brain</w:t>
      </w:r>
      <w:r>
        <w:rPr>
          <w:spacing w:val="-10"/>
        </w:rPr>
        <w:t xml:space="preserve"> </w:t>
      </w:r>
      <w:r>
        <w:t>MRIs were</w:t>
      </w:r>
      <w:r>
        <w:rPr>
          <w:spacing w:val="-3"/>
        </w:rPr>
        <w:t xml:space="preserve"> </w:t>
      </w:r>
      <w:r>
        <w:t>performed</w:t>
      </w:r>
      <w:r>
        <w:rPr>
          <w:spacing w:val="-1"/>
        </w:rPr>
        <w:t xml:space="preserve"> </w:t>
      </w:r>
      <w:r>
        <w:t>at</w:t>
      </w:r>
      <w:r>
        <w:rPr>
          <w:spacing w:val="-1"/>
        </w:rPr>
        <w:t xml:space="preserve"> </w:t>
      </w:r>
      <w:r>
        <w:t>baseline</w:t>
      </w:r>
      <w:r>
        <w:rPr>
          <w:spacing w:val="-2"/>
        </w:rPr>
        <w:t xml:space="preserve"> </w:t>
      </w:r>
      <w:r>
        <w:t>and</w:t>
      </w:r>
      <w:r>
        <w:rPr>
          <w:spacing w:val="-1"/>
        </w:rPr>
        <w:t xml:space="preserve"> </w:t>
      </w:r>
      <w:r>
        <w:t>at</w:t>
      </w:r>
      <w:r>
        <w:rPr>
          <w:spacing w:val="-1"/>
        </w:rPr>
        <w:t xml:space="preserve"> </w:t>
      </w:r>
      <w:r>
        <w:t>months</w:t>
      </w:r>
      <w:r>
        <w:rPr>
          <w:spacing w:val="-1"/>
        </w:rPr>
        <w:t xml:space="preserve"> </w:t>
      </w:r>
      <w:r>
        <w:t>6,</w:t>
      </w:r>
      <w:r>
        <w:rPr>
          <w:spacing w:val="-1"/>
        </w:rPr>
        <w:t xml:space="preserve"> </w:t>
      </w:r>
      <w:r>
        <w:t>12,</w:t>
      </w:r>
      <w:r>
        <w:rPr>
          <w:spacing w:val="-1"/>
        </w:rPr>
        <w:t xml:space="preserve"> </w:t>
      </w:r>
      <w:r>
        <w:t>18,</w:t>
      </w:r>
      <w:r>
        <w:rPr>
          <w:spacing w:val="-1"/>
        </w:rPr>
        <w:t xml:space="preserve"> </w:t>
      </w:r>
      <w:r>
        <w:t>24,</w:t>
      </w:r>
      <w:r>
        <w:rPr>
          <w:spacing w:val="-1"/>
        </w:rPr>
        <w:t xml:space="preserve"> </w:t>
      </w:r>
      <w:r>
        <w:t>36,</w:t>
      </w:r>
      <w:r>
        <w:rPr>
          <w:spacing w:val="-1"/>
        </w:rPr>
        <w:t xml:space="preserve"> </w:t>
      </w:r>
      <w:r>
        <w:t>and</w:t>
      </w:r>
      <w:r>
        <w:rPr>
          <w:spacing w:val="-1"/>
        </w:rPr>
        <w:t xml:space="preserve"> </w:t>
      </w:r>
      <w:r>
        <w:t>then</w:t>
      </w:r>
      <w:r>
        <w:rPr>
          <w:spacing w:val="-1"/>
        </w:rPr>
        <w:t xml:space="preserve"> </w:t>
      </w:r>
      <w:r>
        <w:t>yearly</w:t>
      </w:r>
      <w:r>
        <w:rPr>
          <w:spacing w:val="-1"/>
        </w:rPr>
        <w:t xml:space="preserve"> </w:t>
      </w:r>
      <w:r>
        <w:t>until</w:t>
      </w:r>
      <w:r>
        <w:rPr>
          <w:spacing w:val="-1"/>
        </w:rPr>
        <w:t xml:space="preserve"> </w:t>
      </w:r>
      <w:r>
        <w:t>end</w:t>
      </w:r>
      <w:r>
        <w:rPr>
          <w:spacing w:val="-1"/>
        </w:rPr>
        <w:t xml:space="preserve"> </w:t>
      </w:r>
      <w:r>
        <w:t>of</w:t>
      </w:r>
      <w:r>
        <w:rPr>
          <w:spacing w:val="-2"/>
        </w:rPr>
        <w:t xml:space="preserve"> study.</w:t>
      </w:r>
    </w:p>
    <w:p w14:paraId="53B38F83" w14:textId="17E43440" w:rsidR="008B6261" w:rsidRDefault="004C6B8B" w:rsidP="003C6674">
      <w:pPr>
        <w:pStyle w:val="BodyText"/>
        <w:spacing w:before="237"/>
        <w:ind w:left="22" w:right="586"/>
        <w:jc w:val="both"/>
      </w:pPr>
      <w:r>
        <w:t xml:space="preserve">The primary endpoint was time to onset of 6 month confirmed disability progression (CDP). Progression of disability was defined as an increase of 1.0 point or more from the baseline </w:t>
      </w:r>
      <w:r>
        <w:lastRenderedPageBreak/>
        <w:t>EDSS score</w:t>
      </w:r>
      <w:r>
        <w:rPr>
          <w:spacing w:val="-1"/>
        </w:rPr>
        <w:t xml:space="preserve"> </w:t>
      </w:r>
      <w:r>
        <w:t>when the</w:t>
      </w:r>
      <w:r>
        <w:rPr>
          <w:spacing w:val="-1"/>
        </w:rPr>
        <w:t xml:space="preserve"> </w:t>
      </w:r>
      <w:r>
        <w:t>baseline</w:t>
      </w:r>
      <w:r>
        <w:rPr>
          <w:spacing w:val="-1"/>
        </w:rPr>
        <w:t xml:space="preserve"> </w:t>
      </w:r>
      <w:r>
        <w:t>EDSS score</w:t>
      </w:r>
      <w:r>
        <w:rPr>
          <w:spacing w:val="-1"/>
        </w:rPr>
        <w:t xml:space="preserve"> </w:t>
      </w:r>
      <w:r>
        <w:t>was 5.0 or</w:t>
      </w:r>
      <w:r>
        <w:rPr>
          <w:spacing w:val="-1"/>
        </w:rPr>
        <w:t xml:space="preserve"> </w:t>
      </w:r>
      <w:r>
        <w:t>less, or</w:t>
      </w:r>
      <w:r>
        <w:rPr>
          <w:spacing w:val="-1"/>
        </w:rPr>
        <w:t xml:space="preserve"> </w:t>
      </w:r>
      <w:r>
        <w:t>by 0.5 points</w:t>
      </w:r>
      <w:r>
        <w:rPr>
          <w:spacing w:val="-2"/>
        </w:rPr>
        <w:t xml:space="preserve"> </w:t>
      </w:r>
      <w:r>
        <w:t>or</w:t>
      </w:r>
      <w:r>
        <w:rPr>
          <w:spacing w:val="-1"/>
        </w:rPr>
        <w:t xml:space="preserve"> </w:t>
      </w:r>
      <w:r>
        <w:t>more</w:t>
      </w:r>
      <w:r>
        <w:rPr>
          <w:spacing w:val="-1"/>
        </w:rPr>
        <w:t xml:space="preserve"> </w:t>
      </w:r>
      <w:r>
        <w:t>when the baseline</w:t>
      </w:r>
      <w:r>
        <w:rPr>
          <w:spacing w:val="13"/>
        </w:rPr>
        <w:t xml:space="preserve"> </w:t>
      </w:r>
      <w:r>
        <w:t>EDSS</w:t>
      </w:r>
      <w:r>
        <w:rPr>
          <w:spacing w:val="16"/>
        </w:rPr>
        <w:t xml:space="preserve"> </w:t>
      </w:r>
      <w:r>
        <w:t>score</w:t>
      </w:r>
      <w:r>
        <w:rPr>
          <w:spacing w:val="17"/>
        </w:rPr>
        <w:t xml:space="preserve"> </w:t>
      </w:r>
      <w:r>
        <w:t>was</w:t>
      </w:r>
      <w:r>
        <w:rPr>
          <w:spacing w:val="15"/>
        </w:rPr>
        <w:t xml:space="preserve"> </w:t>
      </w:r>
      <w:r>
        <w:t>above</w:t>
      </w:r>
      <w:r>
        <w:rPr>
          <w:spacing w:val="14"/>
        </w:rPr>
        <w:t xml:space="preserve"> </w:t>
      </w:r>
      <w:r>
        <w:t>5.0.</w:t>
      </w:r>
      <w:r>
        <w:rPr>
          <w:spacing w:val="18"/>
        </w:rPr>
        <w:t xml:space="preserve"> </w:t>
      </w:r>
      <w:r>
        <w:t>Disability</w:t>
      </w:r>
      <w:r>
        <w:rPr>
          <w:spacing w:val="15"/>
        </w:rPr>
        <w:t xml:space="preserve"> </w:t>
      </w:r>
      <w:r>
        <w:t>progression</w:t>
      </w:r>
      <w:r>
        <w:rPr>
          <w:spacing w:val="14"/>
        </w:rPr>
        <w:t xml:space="preserve"> </w:t>
      </w:r>
      <w:r>
        <w:t>was</w:t>
      </w:r>
      <w:r>
        <w:rPr>
          <w:spacing w:val="16"/>
        </w:rPr>
        <w:t xml:space="preserve"> </w:t>
      </w:r>
      <w:r>
        <w:t>considered</w:t>
      </w:r>
      <w:r>
        <w:rPr>
          <w:spacing w:val="15"/>
        </w:rPr>
        <w:t xml:space="preserve"> </w:t>
      </w:r>
      <w:r>
        <w:t>confirmed</w:t>
      </w:r>
      <w:r>
        <w:rPr>
          <w:spacing w:val="18"/>
        </w:rPr>
        <w:t xml:space="preserve"> </w:t>
      </w:r>
      <w:r>
        <w:rPr>
          <w:spacing w:val="-4"/>
        </w:rPr>
        <w:t>when</w:t>
      </w:r>
      <w:r w:rsidR="003C6674">
        <w:t xml:space="preserve"> </w:t>
      </w:r>
      <w:r>
        <w:t>the</w:t>
      </w:r>
      <w:r>
        <w:rPr>
          <w:spacing w:val="-3"/>
        </w:rPr>
        <w:t xml:space="preserve"> </w:t>
      </w:r>
      <w:r>
        <w:t>increase</w:t>
      </w:r>
      <w:r>
        <w:rPr>
          <w:spacing w:val="-1"/>
        </w:rPr>
        <w:t xml:space="preserve"> </w:t>
      </w:r>
      <w:r>
        <w:t>in</w:t>
      </w:r>
      <w:r>
        <w:rPr>
          <w:spacing w:val="-2"/>
        </w:rPr>
        <w:t xml:space="preserve"> </w:t>
      </w:r>
      <w:r>
        <w:t>the</w:t>
      </w:r>
      <w:r>
        <w:rPr>
          <w:spacing w:val="-3"/>
        </w:rPr>
        <w:t xml:space="preserve"> </w:t>
      </w:r>
      <w:r>
        <w:t>EDSS</w:t>
      </w:r>
      <w:r>
        <w:rPr>
          <w:spacing w:val="-2"/>
        </w:rPr>
        <w:t xml:space="preserve"> </w:t>
      </w:r>
      <w:r>
        <w:t>score</w:t>
      </w:r>
      <w:r>
        <w:rPr>
          <w:spacing w:val="-1"/>
        </w:rPr>
        <w:t xml:space="preserve"> </w:t>
      </w:r>
      <w:r>
        <w:t>was established</w:t>
      </w:r>
      <w:r>
        <w:rPr>
          <w:spacing w:val="-2"/>
        </w:rPr>
        <w:t xml:space="preserve"> </w:t>
      </w:r>
      <w:r>
        <w:t>at a</w:t>
      </w:r>
      <w:r>
        <w:rPr>
          <w:spacing w:val="-3"/>
        </w:rPr>
        <w:t xml:space="preserve"> </w:t>
      </w:r>
      <w:r>
        <w:t>regularly</w:t>
      </w:r>
      <w:r>
        <w:rPr>
          <w:spacing w:val="-2"/>
        </w:rPr>
        <w:t xml:space="preserve"> </w:t>
      </w:r>
      <w:r>
        <w:t>scheduled</w:t>
      </w:r>
      <w:r>
        <w:rPr>
          <w:spacing w:val="-2"/>
        </w:rPr>
        <w:t xml:space="preserve"> </w:t>
      </w:r>
      <w:r>
        <w:t>visit</w:t>
      </w:r>
      <w:r>
        <w:rPr>
          <w:spacing w:val="-2"/>
        </w:rPr>
        <w:t xml:space="preserve"> </w:t>
      </w:r>
      <w:r>
        <w:t>at</w:t>
      </w:r>
      <w:r>
        <w:rPr>
          <w:spacing w:val="-2"/>
        </w:rPr>
        <w:t xml:space="preserve"> </w:t>
      </w:r>
      <w:r>
        <w:t>least</w:t>
      </w:r>
      <w:r>
        <w:rPr>
          <w:spacing w:val="-2"/>
        </w:rPr>
        <w:t xml:space="preserve"> </w:t>
      </w:r>
      <w:r>
        <w:t>6 months after the initial documentation of neurological worsening with both onset and confirmation EDSS</w:t>
      </w:r>
      <w:r>
        <w:rPr>
          <w:spacing w:val="-10"/>
        </w:rPr>
        <w:t xml:space="preserve"> </w:t>
      </w:r>
      <w:r>
        <w:t>assessments</w:t>
      </w:r>
      <w:r>
        <w:rPr>
          <w:spacing w:val="-10"/>
        </w:rPr>
        <w:t xml:space="preserve"> </w:t>
      </w:r>
      <w:r>
        <w:t>having</w:t>
      </w:r>
      <w:r>
        <w:rPr>
          <w:spacing w:val="-10"/>
        </w:rPr>
        <w:t xml:space="preserve"> </w:t>
      </w:r>
      <w:r>
        <w:t>no</w:t>
      </w:r>
      <w:r>
        <w:rPr>
          <w:spacing w:val="-10"/>
        </w:rPr>
        <w:t xml:space="preserve"> </w:t>
      </w:r>
      <w:r>
        <w:t>relapses</w:t>
      </w:r>
      <w:r>
        <w:rPr>
          <w:spacing w:val="-10"/>
        </w:rPr>
        <w:t xml:space="preserve"> </w:t>
      </w:r>
      <w:r>
        <w:t>in</w:t>
      </w:r>
      <w:r>
        <w:rPr>
          <w:spacing w:val="-10"/>
        </w:rPr>
        <w:t xml:space="preserve"> </w:t>
      </w:r>
      <w:r>
        <w:t>the</w:t>
      </w:r>
      <w:r>
        <w:rPr>
          <w:spacing w:val="-11"/>
        </w:rPr>
        <w:t xml:space="preserve"> </w:t>
      </w:r>
      <w:r>
        <w:t>prior</w:t>
      </w:r>
      <w:r>
        <w:rPr>
          <w:spacing w:val="-9"/>
        </w:rPr>
        <w:t xml:space="preserve"> </w:t>
      </w:r>
      <w:r>
        <w:t>90</w:t>
      </w:r>
      <w:r>
        <w:rPr>
          <w:spacing w:val="-10"/>
        </w:rPr>
        <w:t xml:space="preserve"> </w:t>
      </w:r>
      <w:r>
        <w:t>days.</w:t>
      </w:r>
      <w:r>
        <w:rPr>
          <w:spacing w:val="-10"/>
        </w:rPr>
        <w:t xml:space="preserve"> </w:t>
      </w:r>
      <w:r>
        <w:t>Secondary</w:t>
      </w:r>
      <w:r>
        <w:rPr>
          <w:spacing w:val="-10"/>
        </w:rPr>
        <w:t xml:space="preserve"> </w:t>
      </w:r>
      <w:r>
        <w:t>outcomes</w:t>
      </w:r>
      <w:r>
        <w:rPr>
          <w:spacing w:val="-10"/>
        </w:rPr>
        <w:t xml:space="preserve"> </w:t>
      </w:r>
      <w:r>
        <w:t>analysed</w:t>
      </w:r>
      <w:r>
        <w:rPr>
          <w:spacing w:val="-10"/>
        </w:rPr>
        <w:t xml:space="preserve"> </w:t>
      </w:r>
      <w:r>
        <w:t>were Time</w:t>
      </w:r>
      <w:r>
        <w:rPr>
          <w:spacing w:val="-15"/>
        </w:rPr>
        <w:t xml:space="preserve"> </w:t>
      </w:r>
      <w:r>
        <w:t>to</w:t>
      </w:r>
      <w:r>
        <w:rPr>
          <w:spacing w:val="-15"/>
        </w:rPr>
        <w:t xml:space="preserve"> </w:t>
      </w:r>
      <w:r>
        <w:t>onset</w:t>
      </w:r>
      <w:r>
        <w:rPr>
          <w:spacing w:val="-15"/>
        </w:rPr>
        <w:t xml:space="preserve"> </w:t>
      </w:r>
      <w:r>
        <w:t>of</w:t>
      </w:r>
      <w:r>
        <w:rPr>
          <w:spacing w:val="-15"/>
        </w:rPr>
        <w:t xml:space="preserve"> </w:t>
      </w:r>
      <w:r>
        <w:t>3-month</w:t>
      </w:r>
      <w:r>
        <w:rPr>
          <w:spacing w:val="-15"/>
        </w:rPr>
        <w:t xml:space="preserve"> </w:t>
      </w:r>
      <w:r>
        <w:t>CDP</w:t>
      </w:r>
      <w:r>
        <w:rPr>
          <w:spacing w:val="-15"/>
        </w:rPr>
        <w:t xml:space="preserve"> </w:t>
      </w:r>
      <w:r>
        <w:t>as</w:t>
      </w:r>
      <w:r>
        <w:rPr>
          <w:spacing w:val="-15"/>
        </w:rPr>
        <w:t xml:space="preserve"> </w:t>
      </w:r>
      <w:r>
        <w:t>assessed</w:t>
      </w:r>
      <w:r>
        <w:rPr>
          <w:spacing w:val="-15"/>
        </w:rPr>
        <w:t xml:space="preserve"> </w:t>
      </w:r>
      <w:r>
        <w:t>by</w:t>
      </w:r>
      <w:r>
        <w:rPr>
          <w:spacing w:val="-15"/>
        </w:rPr>
        <w:t xml:space="preserve"> </w:t>
      </w:r>
      <w:r>
        <w:t>the</w:t>
      </w:r>
      <w:r>
        <w:rPr>
          <w:spacing w:val="-15"/>
        </w:rPr>
        <w:t xml:space="preserve"> </w:t>
      </w:r>
      <w:r>
        <w:t>EDSS</w:t>
      </w:r>
      <w:r>
        <w:rPr>
          <w:spacing w:val="-15"/>
        </w:rPr>
        <w:t xml:space="preserve"> </w:t>
      </w:r>
      <w:r>
        <w:t>score,</w:t>
      </w:r>
      <w:r>
        <w:rPr>
          <w:spacing w:val="-15"/>
        </w:rPr>
        <w:t xml:space="preserve"> </w:t>
      </w:r>
      <w:r>
        <w:t>Number</w:t>
      </w:r>
      <w:r>
        <w:rPr>
          <w:spacing w:val="-15"/>
        </w:rPr>
        <w:t xml:space="preserve"> </w:t>
      </w:r>
      <w:r>
        <w:t>of</w:t>
      </w:r>
      <w:r>
        <w:rPr>
          <w:spacing w:val="-15"/>
        </w:rPr>
        <w:t xml:space="preserve"> </w:t>
      </w:r>
      <w:r>
        <w:t>new</w:t>
      </w:r>
      <w:r>
        <w:rPr>
          <w:spacing w:val="-15"/>
        </w:rPr>
        <w:t xml:space="preserve"> </w:t>
      </w:r>
      <w:r>
        <w:t>and/or</w:t>
      </w:r>
      <w:r>
        <w:rPr>
          <w:spacing w:val="-15"/>
        </w:rPr>
        <w:t xml:space="preserve"> </w:t>
      </w:r>
      <w:r>
        <w:t>enlarging T2 hyperintense lesions per year, Time to onset of sustained 20% increase in the 9-hole Peg Test (9-HPT) for at least 3 months, Time to onset of sustained 20% increase in the timed 25-foot walk test (T25-FW) for</w:t>
      </w:r>
      <w:r>
        <w:rPr>
          <w:spacing w:val="-1"/>
        </w:rPr>
        <w:t xml:space="preserve"> </w:t>
      </w:r>
      <w:r>
        <w:t>at least 3 months, Time</w:t>
      </w:r>
      <w:r>
        <w:rPr>
          <w:spacing w:val="-1"/>
        </w:rPr>
        <w:t xml:space="preserve"> </w:t>
      </w:r>
      <w:r>
        <w:t>to onset of</w:t>
      </w:r>
      <w:r>
        <w:rPr>
          <w:spacing w:val="-1"/>
        </w:rPr>
        <w:t xml:space="preserve"> </w:t>
      </w:r>
      <w:r>
        <w:t>CDI</w:t>
      </w:r>
      <w:r>
        <w:rPr>
          <w:spacing w:val="-3"/>
        </w:rPr>
        <w:t xml:space="preserve"> </w:t>
      </w:r>
      <w:r>
        <w:t>confirmed over</w:t>
      </w:r>
      <w:r>
        <w:rPr>
          <w:spacing w:val="-1"/>
        </w:rPr>
        <w:t xml:space="preserve"> </w:t>
      </w:r>
      <w:r>
        <w:t>at least 6 months, Percent change in brain volume as detected by MRI scans at the end of study (EOS) compared to Month 6.</w:t>
      </w:r>
    </w:p>
    <w:p w14:paraId="53B38F84" w14:textId="77777777" w:rsidR="008B6261" w:rsidRDefault="004C6B8B">
      <w:pPr>
        <w:pStyle w:val="BodyText"/>
        <w:spacing w:before="241"/>
        <w:ind w:left="23" w:right="588"/>
        <w:jc w:val="both"/>
      </w:pPr>
      <w:r>
        <w:t>In Study 1, 1131 patients with nrSPMS were randomised to receive CENRIFKI 60</w:t>
      </w:r>
      <w:r>
        <w:rPr>
          <w:spacing w:val="-2"/>
        </w:rPr>
        <w:t xml:space="preserve"> </w:t>
      </w:r>
      <w:r>
        <w:t>mg (n = 754)</w:t>
      </w:r>
      <w:r>
        <w:rPr>
          <w:spacing w:val="-13"/>
        </w:rPr>
        <w:t xml:space="preserve"> </w:t>
      </w:r>
      <w:r>
        <w:t>or</w:t>
      </w:r>
      <w:r>
        <w:rPr>
          <w:spacing w:val="-13"/>
        </w:rPr>
        <w:t xml:space="preserve"> </w:t>
      </w:r>
      <w:r>
        <w:t>placebo</w:t>
      </w:r>
      <w:r>
        <w:rPr>
          <w:spacing w:val="-12"/>
        </w:rPr>
        <w:t xml:space="preserve"> </w:t>
      </w:r>
      <w:r>
        <w:t>(n</w:t>
      </w:r>
      <w:r>
        <w:rPr>
          <w:spacing w:val="-10"/>
        </w:rPr>
        <w:t xml:space="preserve"> </w:t>
      </w:r>
      <w:r>
        <w:t>=</w:t>
      </w:r>
      <w:r>
        <w:rPr>
          <w:spacing w:val="-13"/>
        </w:rPr>
        <w:t xml:space="preserve"> </w:t>
      </w:r>
      <w:r>
        <w:t>377).</w:t>
      </w:r>
      <w:r>
        <w:rPr>
          <w:spacing w:val="-12"/>
        </w:rPr>
        <w:t xml:space="preserve"> </w:t>
      </w:r>
      <w:r>
        <w:t>The</w:t>
      </w:r>
      <w:r>
        <w:rPr>
          <w:spacing w:val="-13"/>
        </w:rPr>
        <w:t xml:space="preserve"> </w:t>
      </w:r>
      <w:r>
        <w:t>baseline</w:t>
      </w:r>
      <w:r>
        <w:rPr>
          <w:spacing w:val="-13"/>
        </w:rPr>
        <w:t xml:space="preserve"> </w:t>
      </w:r>
      <w:r>
        <w:t>demographic</w:t>
      </w:r>
      <w:r>
        <w:rPr>
          <w:spacing w:val="-13"/>
        </w:rPr>
        <w:t xml:space="preserve"> </w:t>
      </w:r>
      <w:r>
        <w:t>and</w:t>
      </w:r>
      <w:r>
        <w:rPr>
          <w:spacing w:val="-12"/>
        </w:rPr>
        <w:t xml:space="preserve"> </w:t>
      </w:r>
      <w:r>
        <w:t>disease</w:t>
      </w:r>
      <w:r>
        <w:rPr>
          <w:spacing w:val="-13"/>
        </w:rPr>
        <w:t xml:space="preserve"> </w:t>
      </w:r>
      <w:r>
        <w:t>characteristics</w:t>
      </w:r>
      <w:r>
        <w:rPr>
          <w:spacing w:val="-12"/>
        </w:rPr>
        <w:t xml:space="preserve"> </w:t>
      </w:r>
      <w:r>
        <w:t>were</w:t>
      </w:r>
      <w:r>
        <w:rPr>
          <w:spacing w:val="-11"/>
        </w:rPr>
        <w:t xml:space="preserve"> </w:t>
      </w:r>
      <w:r>
        <w:t>balanced between</w:t>
      </w:r>
      <w:r>
        <w:rPr>
          <w:spacing w:val="-10"/>
        </w:rPr>
        <w:t xml:space="preserve"> </w:t>
      </w:r>
      <w:r>
        <w:t>the</w:t>
      </w:r>
      <w:r>
        <w:rPr>
          <w:spacing w:val="-11"/>
        </w:rPr>
        <w:t xml:space="preserve"> </w:t>
      </w:r>
      <w:r>
        <w:t>two</w:t>
      </w:r>
      <w:r>
        <w:rPr>
          <w:spacing w:val="-10"/>
        </w:rPr>
        <w:t xml:space="preserve"> </w:t>
      </w:r>
      <w:r>
        <w:t>treatment</w:t>
      </w:r>
      <w:r>
        <w:rPr>
          <w:spacing w:val="-9"/>
        </w:rPr>
        <w:t xml:space="preserve"> </w:t>
      </w:r>
      <w:r>
        <w:t>groups.</w:t>
      </w:r>
      <w:r>
        <w:rPr>
          <w:spacing w:val="-10"/>
        </w:rPr>
        <w:t xml:space="preserve"> </w:t>
      </w:r>
      <w:r>
        <w:t>At</w:t>
      </w:r>
      <w:r>
        <w:rPr>
          <w:spacing w:val="-9"/>
        </w:rPr>
        <w:t xml:space="preserve"> </w:t>
      </w:r>
      <w:r>
        <w:t>baseline,</w:t>
      </w:r>
      <w:r>
        <w:rPr>
          <w:spacing w:val="-10"/>
        </w:rPr>
        <w:t xml:space="preserve"> </w:t>
      </w:r>
      <w:r>
        <w:t>the</w:t>
      </w:r>
      <w:r>
        <w:rPr>
          <w:spacing w:val="-11"/>
        </w:rPr>
        <w:t xml:space="preserve"> </w:t>
      </w:r>
      <w:r>
        <w:t>mean</w:t>
      </w:r>
      <w:r>
        <w:rPr>
          <w:spacing w:val="-10"/>
        </w:rPr>
        <w:t xml:space="preserve"> </w:t>
      </w:r>
      <w:r>
        <w:t>age</w:t>
      </w:r>
      <w:r>
        <w:rPr>
          <w:spacing w:val="-11"/>
        </w:rPr>
        <w:t xml:space="preserve"> </w:t>
      </w:r>
      <w:r>
        <w:t>of</w:t>
      </w:r>
      <w:r>
        <w:rPr>
          <w:spacing w:val="-10"/>
        </w:rPr>
        <w:t xml:space="preserve"> </w:t>
      </w:r>
      <w:r>
        <w:t>patients</w:t>
      </w:r>
      <w:r>
        <w:rPr>
          <w:spacing w:val="-9"/>
        </w:rPr>
        <w:t xml:space="preserve"> </w:t>
      </w:r>
      <w:r>
        <w:t>was</w:t>
      </w:r>
      <w:r>
        <w:rPr>
          <w:spacing w:val="-8"/>
        </w:rPr>
        <w:t xml:space="preserve"> </w:t>
      </w:r>
      <w:r>
        <w:t>48.9</w:t>
      </w:r>
      <w:r>
        <w:rPr>
          <w:spacing w:val="-10"/>
        </w:rPr>
        <w:t xml:space="preserve"> </w:t>
      </w:r>
      <w:r>
        <w:t>years;</w:t>
      </w:r>
      <w:r>
        <w:rPr>
          <w:spacing w:val="-9"/>
        </w:rPr>
        <w:t xml:space="preserve"> </w:t>
      </w:r>
      <w:r>
        <w:t>61.5% were female. Median time since RRMS symptom onset was 16.2 years and the mean EDSS score was 5.5. At baseline, 12.6% of patients had one or more T1 Gd-enhancing lesions.</w:t>
      </w:r>
    </w:p>
    <w:p w14:paraId="53B38F85" w14:textId="77777777" w:rsidR="008B6261" w:rsidRDefault="004C6B8B">
      <w:pPr>
        <w:pStyle w:val="BodyText"/>
        <w:spacing w:before="240"/>
        <w:ind w:left="23" w:right="587"/>
        <w:jc w:val="both"/>
      </w:pPr>
      <w:r>
        <w:t xml:space="preserve">CENRIFKI was superior to placebo in </w:t>
      </w:r>
      <w:r>
        <w:rPr>
          <w:color w:val="212121"/>
        </w:rPr>
        <w:t xml:space="preserve">reducing the risk of confirmed disability progression, based on a time-to-event analysis </w:t>
      </w:r>
      <w:r>
        <w:rPr>
          <w:color w:val="0D0D0D"/>
        </w:rPr>
        <w:t xml:space="preserve">(hazard ratio 0.69; p=0.0026; see </w:t>
      </w:r>
      <w:hyperlink w:anchor="_bookmark9" w:history="1">
        <w:r>
          <w:t>Figure</w:t>
        </w:r>
        <w:r>
          <w:rPr>
            <w:spacing w:val="-1"/>
          </w:rPr>
          <w:t xml:space="preserve"> </w:t>
        </w:r>
        <w:r>
          <w:t>1</w:t>
        </w:r>
      </w:hyperlink>
      <w:r>
        <w:rPr>
          <w:color w:val="0D0D0D"/>
        </w:rPr>
        <w:t xml:space="preserve">). </w:t>
      </w:r>
      <w:r>
        <w:t xml:space="preserve">The </w:t>
      </w:r>
      <w:r>
        <w:rPr>
          <w:color w:val="0D0D0D"/>
        </w:rPr>
        <w:t>number of participants</w:t>
      </w:r>
      <w:r>
        <w:rPr>
          <w:color w:val="0D0D0D"/>
          <w:spacing w:val="-4"/>
        </w:rPr>
        <w:t xml:space="preserve"> </w:t>
      </w:r>
      <w:r>
        <w:rPr>
          <w:color w:val="0D0D0D"/>
        </w:rPr>
        <w:t>who</w:t>
      </w:r>
      <w:r>
        <w:rPr>
          <w:color w:val="0D0D0D"/>
          <w:spacing w:val="-4"/>
        </w:rPr>
        <w:t xml:space="preserve"> </w:t>
      </w:r>
      <w:r>
        <w:rPr>
          <w:color w:val="0D0D0D"/>
        </w:rPr>
        <w:t>experienced</w:t>
      </w:r>
      <w:r>
        <w:rPr>
          <w:color w:val="0D0D0D"/>
          <w:spacing w:val="-4"/>
        </w:rPr>
        <w:t xml:space="preserve"> </w:t>
      </w:r>
      <w:r>
        <w:rPr>
          <w:color w:val="0D0D0D"/>
        </w:rPr>
        <w:t>confirmed</w:t>
      </w:r>
      <w:r>
        <w:rPr>
          <w:color w:val="0D0D0D"/>
          <w:spacing w:val="-4"/>
        </w:rPr>
        <w:t xml:space="preserve"> </w:t>
      </w:r>
      <w:r>
        <w:rPr>
          <w:color w:val="0D0D0D"/>
        </w:rPr>
        <w:t>disability</w:t>
      </w:r>
      <w:r>
        <w:rPr>
          <w:color w:val="0D0D0D"/>
          <w:spacing w:val="-4"/>
        </w:rPr>
        <w:t xml:space="preserve"> </w:t>
      </w:r>
      <w:r>
        <w:rPr>
          <w:color w:val="0D0D0D"/>
        </w:rPr>
        <w:t>improvement</w:t>
      </w:r>
      <w:r>
        <w:rPr>
          <w:color w:val="0D0D0D"/>
          <w:spacing w:val="-4"/>
        </w:rPr>
        <w:t xml:space="preserve"> </w:t>
      </w:r>
      <w:r>
        <w:rPr>
          <w:color w:val="0D0D0D"/>
        </w:rPr>
        <w:t>increased</w:t>
      </w:r>
      <w:r>
        <w:rPr>
          <w:color w:val="0D0D0D"/>
          <w:spacing w:val="-2"/>
        </w:rPr>
        <w:t xml:space="preserve"> </w:t>
      </w:r>
      <w:r>
        <w:rPr>
          <w:color w:val="0D0D0D"/>
        </w:rPr>
        <w:t>by</w:t>
      </w:r>
      <w:r>
        <w:rPr>
          <w:color w:val="0D0D0D"/>
          <w:spacing w:val="-4"/>
        </w:rPr>
        <w:t xml:space="preserve"> </w:t>
      </w:r>
      <w:r>
        <w:rPr>
          <w:color w:val="0D0D0D"/>
        </w:rPr>
        <w:t>nearly</w:t>
      </w:r>
      <w:r>
        <w:rPr>
          <w:color w:val="0D0D0D"/>
          <w:spacing w:val="-4"/>
        </w:rPr>
        <w:t xml:space="preserve"> </w:t>
      </w:r>
      <w:r>
        <w:rPr>
          <w:color w:val="0D0D0D"/>
        </w:rPr>
        <w:t>two-fold, 8.6%</w:t>
      </w:r>
      <w:r>
        <w:rPr>
          <w:color w:val="0D0D0D"/>
          <w:spacing w:val="-1"/>
        </w:rPr>
        <w:t xml:space="preserve"> </w:t>
      </w:r>
      <w:r>
        <w:rPr>
          <w:color w:val="0D0D0D"/>
        </w:rPr>
        <w:t>with CENRIFKI</w:t>
      </w:r>
      <w:r>
        <w:rPr>
          <w:color w:val="0D0D0D"/>
          <w:spacing w:val="-1"/>
        </w:rPr>
        <w:t xml:space="preserve"> </w:t>
      </w:r>
      <w:r>
        <w:rPr>
          <w:color w:val="0D0D0D"/>
        </w:rPr>
        <w:t xml:space="preserve">compared to 4.5% with placebo (HR 1.88). </w:t>
      </w:r>
      <w:r>
        <w:t>The</w:t>
      </w:r>
      <w:r>
        <w:rPr>
          <w:spacing w:val="-1"/>
        </w:rPr>
        <w:t xml:space="preserve"> </w:t>
      </w:r>
      <w:r>
        <w:t>results for</w:t>
      </w:r>
      <w:r>
        <w:rPr>
          <w:spacing w:val="-1"/>
        </w:rPr>
        <w:t xml:space="preserve"> </w:t>
      </w:r>
      <w:r>
        <w:t>the</w:t>
      </w:r>
      <w:r>
        <w:rPr>
          <w:spacing w:val="-1"/>
        </w:rPr>
        <w:t xml:space="preserve"> </w:t>
      </w:r>
      <w:r>
        <w:t xml:space="preserve">primary </w:t>
      </w:r>
      <w:bookmarkStart w:id="69" w:name="_bookmark8"/>
      <w:bookmarkEnd w:id="69"/>
      <w:r>
        <w:t xml:space="preserve">endpoint are detailed in </w:t>
      </w:r>
      <w:hyperlink w:anchor="_bookmark8" w:history="1">
        <w:r>
          <w:t>Table 4</w:t>
        </w:r>
      </w:hyperlink>
      <w:r>
        <w:t xml:space="preserve"> and </w:t>
      </w:r>
      <w:hyperlink w:anchor="_bookmark9" w:history="1">
        <w:r>
          <w:t>Figure 1.</w:t>
        </w:r>
      </w:hyperlink>
    </w:p>
    <w:p w14:paraId="66BBE4CA" w14:textId="2F52BF86" w:rsidR="003C6674" w:rsidRDefault="00A77020" w:rsidP="00790B46">
      <w:pPr>
        <w:pStyle w:val="BodyText"/>
        <w:spacing w:before="240"/>
        <w:ind w:left="23" w:right="587"/>
        <w:jc w:val="center"/>
      </w:pPr>
      <w:r>
        <w:rPr>
          <w:rFonts w:ascii="Arial"/>
          <w:b/>
          <w:sz w:val="20"/>
        </w:rPr>
        <w:t>Table</w:t>
      </w:r>
      <w:r>
        <w:rPr>
          <w:rFonts w:ascii="Arial"/>
          <w:b/>
          <w:spacing w:val="-9"/>
          <w:sz w:val="20"/>
        </w:rPr>
        <w:t xml:space="preserve"> </w:t>
      </w:r>
      <w:r>
        <w:rPr>
          <w:rFonts w:ascii="Arial"/>
          <w:b/>
          <w:sz w:val="20"/>
        </w:rPr>
        <w:t>4</w:t>
      </w:r>
      <w:r>
        <w:rPr>
          <w:rFonts w:ascii="Arial"/>
          <w:b/>
          <w:spacing w:val="-6"/>
          <w:sz w:val="20"/>
        </w:rPr>
        <w:t xml:space="preserve"> </w:t>
      </w:r>
      <w:r>
        <w:rPr>
          <w:rFonts w:ascii="Arial"/>
          <w:b/>
          <w:sz w:val="20"/>
        </w:rPr>
        <w:t>-</w:t>
      </w:r>
      <w:r>
        <w:rPr>
          <w:rFonts w:ascii="Arial"/>
          <w:b/>
          <w:spacing w:val="-6"/>
          <w:sz w:val="20"/>
        </w:rPr>
        <w:t xml:space="preserve"> </w:t>
      </w:r>
      <w:r>
        <w:rPr>
          <w:rFonts w:ascii="Arial"/>
          <w:b/>
          <w:sz w:val="20"/>
        </w:rPr>
        <w:t>Clinical</w:t>
      </w:r>
      <w:r>
        <w:rPr>
          <w:rFonts w:ascii="Arial"/>
          <w:b/>
          <w:spacing w:val="-6"/>
          <w:sz w:val="20"/>
        </w:rPr>
        <w:t xml:space="preserve"> </w:t>
      </w:r>
      <w:r>
        <w:rPr>
          <w:rFonts w:ascii="Arial"/>
          <w:b/>
          <w:sz w:val="20"/>
        </w:rPr>
        <w:t>and</w:t>
      </w:r>
      <w:r>
        <w:rPr>
          <w:rFonts w:ascii="Arial"/>
          <w:b/>
          <w:spacing w:val="-4"/>
          <w:sz w:val="20"/>
        </w:rPr>
        <w:t xml:space="preserve"> </w:t>
      </w:r>
      <w:r>
        <w:rPr>
          <w:rFonts w:ascii="Arial"/>
          <w:b/>
          <w:sz w:val="20"/>
        </w:rPr>
        <w:t>MRI</w:t>
      </w:r>
      <w:r>
        <w:rPr>
          <w:rFonts w:ascii="Arial"/>
          <w:b/>
          <w:spacing w:val="-4"/>
          <w:sz w:val="20"/>
        </w:rPr>
        <w:t xml:space="preserve"> </w:t>
      </w:r>
      <w:r>
        <w:rPr>
          <w:rFonts w:ascii="Arial"/>
          <w:b/>
          <w:sz w:val="20"/>
        </w:rPr>
        <w:t>endpoints</w:t>
      </w:r>
      <w:r>
        <w:rPr>
          <w:rFonts w:ascii="Arial"/>
          <w:b/>
          <w:spacing w:val="-7"/>
          <w:sz w:val="20"/>
        </w:rPr>
        <w:t xml:space="preserve"> </w:t>
      </w:r>
      <w:r>
        <w:rPr>
          <w:rFonts w:ascii="Arial"/>
          <w:b/>
          <w:sz w:val="20"/>
        </w:rPr>
        <w:t>in</w:t>
      </w:r>
      <w:r>
        <w:rPr>
          <w:rFonts w:ascii="Arial"/>
          <w:b/>
          <w:spacing w:val="-5"/>
          <w:sz w:val="20"/>
        </w:rPr>
        <w:t xml:space="preserve"> </w:t>
      </w:r>
      <w:r>
        <w:rPr>
          <w:rFonts w:ascii="Arial"/>
          <w:b/>
          <w:sz w:val="20"/>
        </w:rPr>
        <w:t>adult</w:t>
      </w:r>
      <w:r>
        <w:rPr>
          <w:rFonts w:ascii="Arial"/>
          <w:b/>
          <w:spacing w:val="-6"/>
          <w:sz w:val="20"/>
        </w:rPr>
        <w:t xml:space="preserve"> </w:t>
      </w:r>
      <w:r>
        <w:rPr>
          <w:rFonts w:ascii="Arial"/>
          <w:b/>
          <w:sz w:val="20"/>
        </w:rPr>
        <w:t>nrSPMS</w:t>
      </w:r>
      <w:r>
        <w:rPr>
          <w:rFonts w:ascii="Arial"/>
          <w:b/>
          <w:spacing w:val="-7"/>
          <w:sz w:val="20"/>
        </w:rPr>
        <w:t xml:space="preserve"> </w:t>
      </w:r>
      <w:r>
        <w:rPr>
          <w:rFonts w:ascii="Arial"/>
          <w:b/>
          <w:sz w:val="20"/>
        </w:rPr>
        <w:t>patients</w:t>
      </w:r>
      <w:r>
        <w:rPr>
          <w:rFonts w:ascii="Arial"/>
          <w:b/>
          <w:spacing w:val="-7"/>
          <w:sz w:val="20"/>
        </w:rPr>
        <w:t xml:space="preserve"> </w:t>
      </w:r>
      <w:r>
        <w:rPr>
          <w:rFonts w:ascii="Arial"/>
          <w:b/>
          <w:sz w:val="20"/>
        </w:rPr>
        <w:t>for</w:t>
      </w:r>
      <w:r>
        <w:rPr>
          <w:rFonts w:ascii="Arial"/>
          <w:b/>
          <w:spacing w:val="-4"/>
          <w:sz w:val="20"/>
        </w:rPr>
        <w:t xml:space="preserve"> </w:t>
      </w:r>
      <w:r>
        <w:rPr>
          <w:rFonts w:ascii="Arial"/>
          <w:b/>
          <w:sz w:val="20"/>
        </w:rPr>
        <w:t>Study</w:t>
      </w:r>
      <w:r>
        <w:rPr>
          <w:rFonts w:ascii="Arial"/>
          <w:b/>
          <w:spacing w:val="-6"/>
          <w:sz w:val="20"/>
        </w:rPr>
        <w:t xml:space="preserve"> </w:t>
      </w:r>
      <w:r>
        <w:rPr>
          <w:rFonts w:ascii="Arial"/>
          <w:b/>
          <w:spacing w:val="-10"/>
          <w:sz w:val="20"/>
        </w:rPr>
        <w:t>1</w:t>
      </w:r>
    </w:p>
    <w:p w14:paraId="1655704C" w14:textId="77777777" w:rsidR="00A77020" w:rsidRDefault="00A77020" w:rsidP="00A77020">
      <w:pPr>
        <w:pStyle w:val="BodyText"/>
        <w:spacing w:before="240"/>
        <w:ind w:left="23" w:right="587"/>
        <w:jc w:val="both"/>
      </w:pPr>
    </w:p>
    <w:tbl>
      <w:tblPr>
        <w:tblW w:w="0" w:type="auto"/>
        <w:tblInd w:w="142" w:type="dxa"/>
        <w:tblLayout w:type="fixed"/>
        <w:tblCellMar>
          <w:left w:w="0" w:type="dxa"/>
          <w:right w:w="0" w:type="dxa"/>
        </w:tblCellMar>
        <w:tblLook w:val="01E0" w:firstRow="1" w:lastRow="1" w:firstColumn="1" w:lastColumn="1" w:noHBand="0" w:noVBand="0"/>
      </w:tblPr>
      <w:tblGrid>
        <w:gridCol w:w="5218"/>
        <w:gridCol w:w="1657"/>
        <w:gridCol w:w="1142"/>
      </w:tblGrid>
      <w:tr w:rsidR="00A77020" w14:paraId="5DCEA1D5" w14:textId="77777777" w:rsidTr="0039344F">
        <w:trPr>
          <w:trHeight w:val="350"/>
          <w:tblHeader/>
        </w:trPr>
        <w:tc>
          <w:tcPr>
            <w:tcW w:w="5218" w:type="dxa"/>
            <w:tcBorders>
              <w:top w:val="single" w:sz="4" w:space="0" w:color="000000"/>
              <w:bottom w:val="single" w:sz="4" w:space="0" w:color="000000"/>
            </w:tcBorders>
          </w:tcPr>
          <w:p w14:paraId="567C3170" w14:textId="77777777" w:rsidR="00A77020" w:rsidRDefault="00A77020" w:rsidP="00634C18">
            <w:pPr>
              <w:pStyle w:val="TableParagraph"/>
              <w:spacing w:before="59"/>
              <w:ind w:left="108"/>
              <w:rPr>
                <w:b/>
                <w:sz w:val="20"/>
              </w:rPr>
            </w:pPr>
          </w:p>
        </w:tc>
        <w:tc>
          <w:tcPr>
            <w:tcW w:w="1657" w:type="dxa"/>
            <w:tcBorders>
              <w:top w:val="single" w:sz="4" w:space="0" w:color="000000"/>
              <w:bottom w:val="single" w:sz="4" w:space="0" w:color="000000"/>
            </w:tcBorders>
          </w:tcPr>
          <w:p w14:paraId="758181F5" w14:textId="77777777" w:rsidR="00A77020" w:rsidRPr="003C6674" w:rsidRDefault="00A77020" w:rsidP="00634C18">
            <w:pPr>
              <w:pStyle w:val="TableParagraph"/>
              <w:spacing w:before="0"/>
              <w:rPr>
                <w:rFonts w:ascii="Arial" w:hAnsi="Arial" w:cs="Arial"/>
                <w:b/>
                <w:bCs/>
              </w:rPr>
            </w:pPr>
            <w:r w:rsidRPr="003C6674">
              <w:rPr>
                <w:rFonts w:ascii="Arial" w:hAnsi="Arial" w:cs="Arial"/>
                <w:b/>
                <w:bCs/>
              </w:rPr>
              <w:t>CENRIFKI</w:t>
            </w:r>
          </w:p>
          <w:p w14:paraId="04637FE8" w14:textId="77777777" w:rsidR="00A77020" w:rsidRPr="003C6674" w:rsidRDefault="00A77020" w:rsidP="00634C18">
            <w:pPr>
              <w:pStyle w:val="TableParagraph"/>
              <w:spacing w:before="0"/>
              <w:rPr>
                <w:rFonts w:ascii="Arial" w:hAnsi="Arial" w:cs="Arial"/>
                <w:b/>
                <w:bCs/>
              </w:rPr>
            </w:pPr>
            <w:r w:rsidRPr="003C6674">
              <w:rPr>
                <w:rFonts w:ascii="Arial" w:hAnsi="Arial" w:cs="Arial"/>
                <w:b/>
                <w:bCs/>
              </w:rPr>
              <w:t>60 mg daily</w:t>
            </w:r>
          </w:p>
          <w:p w14:paraId="782E89F8" w14:textId="77777777" w:rsidR="00A77020" w:rsidRPr="003C6674" w:rsidRDefault="00A77020" w:rsidP="00634C18">
            <w:pPr>
              <w:pStyle w:val="TableParagraph"/>
              <w:spacing w:before="0"/>
              <w:rPr>
                <w:rFonts w:ascii="Arial" w:hAnsi="Arial" w:cs="Arial"/>
                <w:b/>
                <w:bCs/>
              </w:rPr>
            </w:pPr>
            <w:r w:rsidRPr="003C6674">
              <w:rPr>
                <w:rFonts w:ascii="Arial" w:hAnsi="Arial" w:cs="Arial"/>
                <w:b/>
                <w:bCs/>
              </w:rPr>
              <w:t>N = 754</w:t>
            </w:r>
          </w:p>
        </w:tc>
        <w:tc>
          <w:tcPr>
            <w:tcW w:w="1142" w:type="dxa"/>
            <w:tcBorders>
              <w:top w:val="single" w:sz="4" w:space="0" w:color="000000"/>
              <w:bottom w:val="single" w:sz="4" w:space="0" w:color="000000"/>
            </w:tcBorders>
          </w:tcPr>
          <w:p w14:paraId="2C6FF31E" w14:textId="77777777" w:rsidR="00A77020" w:rsidRDefault="00A77020" w:rsidP="00634C18">
            <w:pPr>
              <w:pStyle w:val="TableParagraph"/>
              <w:spacing w:before="0"/>
              <w:rPr>
                <w:rFonts w:ascii="Times New Roman"/>
              </w:rPr>
            </w:pPr>
            <w:r w:rsidRPr="003C6674">
              <w:rPr>
                <w:rFonts w:ascii="Arial" w:hAnsi="Arial" w:cs="Arial"/>
                <w:b/>
                <w:bCs/>
              </w:rPr>
              <w:t>Placebo N = 377</w:t>
            </w:r>
          </w:p>
        </w:tc>
      </w:tr>
      <w:tr w:rsidR="00A77020" w14:paraId="20015155" w14:textId="77777777" w:rsidTr="00723775">
        <w:trPr>
          <w:trHeight w:val="350"/>
        </w:trPr>
        <w:tc>
          <w:tcPr>
            <w:tcW w:w="8017" w:type="dxa"/>
            <w:gridSpan w:val="3"/>
            <w:tcBorders>
              <w:top w:val="single" w:sz="4" w:space="0" w:color="000000"/>
              <w:bottom w:val="single" w:sz="4" w:space="0" w:color="000000"/>
            </w:tcBorders>
          </w:tcPr>
          <w:p w14:paraId="7921C7F7" w14:textId="4E732946" w:rsidR="00A77020" w:rsidRDefault="00A77020" w:rsidP="00634C18">
            <w:pPr>
              <w:pStyle w:val="TableParagraph"/>
              <w:spacing w:before="0"/>
              <w:rPr>
                <w:rFonts w:ascii="Times New Roman"/>
              </w:rPr>
            </w:pPr>
            <w:r>
              <w:rPr>
                <w:b/>
                <w:sz w:val="20"/>
              </w:rPr>
              <w:t>Clinical</w:t>
            </w:r>
            <w:r>
              <w:rPr>
                <w:b/>
                <w:spacing w:val="-6"/>
                <w:sz w:val="20"/>
              </w:rPr>
              <w:t xml:space="preserve"> </w:t>
            </w:r>
            <w:r>
              <w:rPr>
                <w:b/>
                <w:spacing w:val="-2"/>
                <w:sz w:val="20"/>
              </w:rPr>
              <w:t>Outcomes</w:t>
            </w:r>
          </w:p>
        </w:tc>
      </w:tr>
      <w:tr w:rsidR="00A77020" w14:paraId="5CF4E492" w14:textId="77777777" w:rsidTr="00A77020">
        <w:trPr>
          <w:trHeight w:val="350"/>
        </w:trPr>
        <w:tc>
          <w:tcPr>
            <w:tcW w:w="5218" w:type="dxa"/>
            <w:tcBorders>
              <w:top w:val="single" w:sz="4" w:space="0" w:color="000000"/>
            </w:tcBorders>
          </w:tcPr>
          <w:p w14:paraId="6D99F46E" w14:textId="77777777" w:rsidR="00A77020" w:rsidRDefault="00A77020" w:rsidP="00634C18">
            <w:pPr>
              <w:pStyle w:val="TableParagraph"/>
              <w:spacing w:before="59"/>
              <w:ind w:left="108"/>
              <w:rPr>
                <w:sz w:val="20"/>
              </w:rPr>
            </w:pPr>
            <w:r>
              <w:rPr>
                <w:sz w:val="20"/>
              </w:rPr>
              <w:t>6-month</w:t>
            </w:r>
            <w:r>
              <w:rPr>
                <w:spacing w:val="-7"/>
                <w:sz w:val="20"/>
              </w:rPr>
              <w:t xml:space="preserve"> </w:t>
            </w:r>
            <w:r>
              <w:rPr>
                <w:spacing w:val="-5"/>
                <w:sz w:val="20"/>
              </w:rPr>
              <w:t>CDP</w:t>
            </w:r>
          </w:p>
        </w:tc>
        <w:tc>
          <w:tcPr>
            <w:tcW w:w="1657" w:type="dxa"/>
            <w:tcBorders>
              <w:top w:val="single" w:sz="4" w:space="0" w:color="000000"/>
            </w:tcBorders>
          </w:tcPr>
          <w:p w14:paraId="464315E6" w14:textId="77777777" w:rsidR="00A77020" w:rsidRDefault="00A77020" w:rsidP="00634C18">
            <w:pPr>
              <w:pStyle w:val="TableParagraph"/>
              <w:spacing w:before="59"/>
              <w:ind w:left="211"/>
              <w:rPr>
                <w:sz w:val="20"/>
              </w:rPr>
            </w:pPr>
            <w:r>
              <w:rPr>
                <w:spacing w:val="-2"/>
                <w:sz w:val="20"/>
              </w:rPr>
              <w:t>22.6%</w:t>
            </w:r>
          </w:p>
        </w:tc>
        <w:tc>
          <w:tcPr>
            <w:tcW w:w="1142" w:type="dxa"/>
            <w:tcBorders>
              <w:top w:val="single" w:sz="4" w:space="0" w:color="000000"/>
            </w:tcBorders>
          </w:tcPr>
          <w:p w14:paraId="16ABEECD" w14:textId="77777777" w:rsidR="00A77020" w:rsidRDefault="00A77020" w:rsidP="00634C18">
            <w:pPr>
              <w:pStyle w:val="TableParagraph"/>
              <w:spacing w:before="59"/>
              <w:ind w:left="-27"/>
              <w:rPr>
                <w:sz w:val="20"/>
              </w:rPr>
            </w:pPr>
            <w:r>
              <w:rPr>
                <w:spacing w:val="-2"/>
                <w:sz w:val="20"/>
              </w:rPr>
              <w:t>30.7%</w:t>
            </w:r>
          </w:p>
        </w:tc>
      </w:tr>
      <w:tr w:rsidR="00A77020" w14:paraId="0A337472" w14:textId="77777777" w:rsidTr="00A77020">
        <w:trPr>
          <w:trHeight w:val="347"/>
        </w:trPr>
        <w:tc>
          <w:tcPr>
            <w:tcW w:w="5218" w:type="dxa"/>
            <w:tcBorders>
              <w:bottom w:val="single" w:sz="4" w:space="0" w:color="000000"/>
            </w:tcBorders>
          </w:tcPr>
          <w:p w14:paraId="39F1946C" w14:textId="77777777" w:rsidR="00A77020" w:rsidRDefault="00A77020" w:rsidP="00634C18">
            <w:pPr>
              <w:pStyle w:val="TableParagraph"/>
              <w:ind w:left="108"/>
              <w:rPr>
                <w:sz w:val="20"/>
              </w:rPr>
            </w:pPr>
            <w:r>
              <w:rPr>
                <w:sz w:val="20"/>
              </w:rPr>
              <w:t>Relative</w:t>
            </w:r>
            <w:r>
              <w:rPr>
                <w:spacing w:val="-10"/>
                <w:sz w:val="20"/>
              </w:rPr>
              <w:t xml:space="preserve"> </w:t>
            </w:r>
            <w:r>
              <w:rPr>
                <w:spacing w:val="-2"/>
                <w:sz w:val="20"/>
              </w:rPr>
              <w:t>reduction</w:t>
            </w:r>
          </w:p>
        </w:tc>
        <w:tc>
          <w:tcPr>
            <w:tcW w:w="2799" w:type="dxa"/>
            <w:gridSpan w:val="2"/>
            <w:tcBorders>
              <w:bottom w:val="single" w:sz="4" w:space="0" w:color="000000"/>
            </w:tcBorders>
          </w:tcPr>
          <w:p w14:paraId="03D7D5D8" w14:textId="77777777" w:rsidR="00A77020" w:rsidRDefault="00A77020" w:rsidP="00634C18">
            <w:pPr>
              <w:pStyle w:val="TableParagraph"/>
              <w:ind w:left="917"/>
              <w:rPr>
                <w:sz w:val="20"/>
              </w:rPr>
            </w:pPr>
            <w:r>
              <w:rPr>
                <w:sz w:val="20"/>
              </w:rPr>
              <w:t>31%;</w:t>
            </w:r>
            <w:r>
              <w:rPr>
                <w:spacing w:val="-4"/>
                <w:sz w:val="20"/>
              </w:rPr>
              <w:t xml:space="preserve"> </w:t>
            </w:r>
            <w:r>
              <w:rPr>
                <w:sz w:val="20"/>
              </w:rPr>
              <w:t>p=</w:t>
            </w:r>
            <w:r>
              <w:rPr>
                <w:spacing w:val="-4"/>
                <w:sz w:val="20"/>
              </w:rPr>
              <w:t xml:space="preserve"> </w:t>
            </w:r>
            <w:r>
              <w:rPr>
                <w:spacing w:val="-2"/>
                <w:sz w:val="20"/>
              </w:rPr>
              <w:t>0.003</w:t>
            </w:r>
          </w:p>
        </w:tc>
      </w:tr>
      <w:tr w:rsidR="00A77020" w14:paraId="33683798" w14:textId="77777777" w:rsidTr="00A77020">
        <w:trPr>
          <w:trHeight w:val="351"/>
        </w:trPr>
        <w:tc>
          <w:tcPr>
            <w:tcW w:w="5218" w:type="dxa"/>
            <w:tcBorders>
              <w:top w:val="single" w:sz="4" w:space="0" w:color="000000"/>
            </w:tcBorders>
          </w:tcPr>
          <w:p w14:paraId="7306FCFF" w14:textId="77777777" w:rsidR="00A77020" w:rsidRDefault="00A77020" w:rsidP="00634C18">
            <w:pPr>
              <w:pStyle w:val="TableParagraph"/>
              <w:spacing w:before="62"/>
              <w:ind w:left="107"/>
              <w:rPr>
                <w:sz w:val="20"/>
              </w:rPr>
            </w:pPr>
            <w:r>
              <w:rPr>
                <w:sz w:val="20"/>
              </w:rPr>
              <w:t>3-month</w:t>
            </w:r>
            <w:r>
              <w:rPr>
                <w:spacing w:val="-7"/>
                <w:sz w:val="20"/>
              </w:rPr>
              <w:t xml:space="preserve"> </w:t>
            </w:r>
            <w:r>
              <w:rPr>
                <w:spacing w:val="-5"/>
                <w:sz w:val="20"/>
              </w:rPr>
              <w:t>CDP</w:t>
            </w:r>
          </w:p>
        </w:tc>
        <w:tc>
          <w:tcPr>
            <w:tcW w:w="1657" w:type="dxa"/>
            <w:tcBorders>
              <w:top w:val="single" w:sz="4" w:space="0" w:color="000000"/>
            </w:tcBorders>
          </w:tcPr>
          <w:p w14:paraId="6E24BCB1" w14:textId="77777777" w:rsidR="00A77020" w:rsidRDefault="00A77020" w:rsidP="00634C18">
            <w:pPr>
              <w:pStyle w:val="TableParagraph"/>
              <w:spacing w:before="62"/>
              <w:ind w:left="211"/>
              <w:rPr>
                <w:sz w:val="20"/>
              </w:rPr>
            </w:pPr>
            <w:r>
              <w:rPr>
                <w:spacing w:val="-2"/>
                <w:sz w:val="20"/>
              </w:rPr>
              <w:t>27.6%</w:t>
            </w:r>
          </w:p>
        </w:tc>
        <w:tc>
          <w:tcPr>
            <w:tcW w:w="1142" w:type="dxa"/>
            <w:tcBorders>
              <w:top w:val="single" w:sz="4" w:space="0" w:color="000000"/>
            </w:tcBorders>
          </w:tcPr>
          <w:p w14:paraId="1267CE76" w14:textId="77777777" w:rsidR="00A77020" w:rsidRDefault="00A77020" w:rsidP="00634C18">
            <w:pPr>
              <w:pStyle w:val="TableParagraph"/>
              <w:spacing w:before="62"/>
              <w:ind w:left="-27"/>
              <w:rPr>
                <w:sz w:val="20"/>
              </w:rPr>
            </w:pPr>
            <w:r>
              <w:rPr>
                <w:spacing w:val="-2"/>
                <w:sz w:val="20"/>
              </w:rPr>
              <w:t>34.2%</w:t>
            </w:r>
          </w:p>
        </w:tc>
      </w:tr>
      <w:tr w:rsidR="00A77020" w14:paraId="32C7F34B" w14:textId="77777777" w:rsidTr="00A77020">
        <w:trPr>
          <w:trHeight w:val="349"/>
        </w:trPr>
        <w:tc>
          <w:tcPr>
            <w:tcW w:w="5218" w:type="dxa"/>
            <w:tcBorders>
              <w:bottom w:val="single" w:sz="4" w:space="0" w:color="000000"/>
            </w:tcBorders>
          </w:tcPr>
          <w:p w14:paraId="40299AEF" w14:textId="77777777" w:rsidR="00A77020" w:rsidRDefault="00A77020" w:rsidP="00634C18">
            <w:pPr>
              <w:pStyle w:val="TableParagraph"/>
              <w:spacing w:before="58"/>
              <w:ind w:left="108"/>
              <w:rPr>
                <w:sz w:val="20"/>
              </w:rPr>
            </w:pPr>
            <w:r>
              <w:rPr>
                <w:sz w:val="20"/>
              </w:rPr>
              <w:t>Relative</w:t>
            </w:r>
            <w:r>
              <w:rPr>
                <w:spacing w:val="-10"/>
                <w:sz w:val="20"/>
              </w:rPr>
              <w:t xml:space="preserve"> </w:t>
            </w:r>
            <w:r>
              <w:rPr>
                <w:spacing w:val="-2"/>
                <w:sz w:val="20"/>
              </w:rPr>
              <w:t>reduction</w:t>
            </w:r>
          </w:p>
        </w:tc>
        <w:tc>
          <w:tcPr>
            <w:tcW w:w="2799" w:type="dxa"/>
            <w:gridSpan w:val="2"/>
            <w:tcBorders>
              <w:bottom w:val="single" w:sz="4" w:space="0" w:color="000000"/>
            </w:tcBorders>
          </w:tcPr>
          <w:p w14:paraId="17299F10" w14:textId="77777777" w:rsidR="00A77020" w:rsidRDefault="00A77020" w:rsidP="00634C18">
            <w:pPr>
              <w:pStyle w:val="TableParagraph"/>
              <w:spacing w:before="58"/>
              <w:ind w:left="917"/>
              <w:rPr>
                <w:sz w:val="20"/>
              </w:rPr>
            </w:pPr>
            <w:r>
              <w:rPr>
                <w:sz w:val="20"/>
              </w:rPr>
              <w:t>24%;</w:t>
            </w:r>
            <w:r>
              <w:rPr>
                <w:spacing w:val="-4"/>
                <w:sz w:val="20"/>
              </w:rPr>
              <w:t xml:space="preserve"> </w:t>
            </w:r>
            <w:r>
              <w:rPr>
                <w:sz w:val="20"/>
              </w:rPr>
              <w:t>p=</w:t>
            </w:r>
            <w:r>
              <w:rPr>
                <w:spacing w:val="-4"/>
                <w:sz w:val="20"/>
              </w:rPr>
              <w:t xml:space="preserve"> </w:t>
            </w:r>
            <w:r>
              <w:rPr>
                <w:spacing w:val="-2"/>
                <w:sz w:val="20"/>
              </w:rPr>
              <w:t>0.013</w:t>
            </w:r>
          </w:p>
        </w:tc>
      </w:tr>
      <w:tr w:rsidR="00A77020" w14:paraId="10433366" w14:textId="77777777" w:rsidTr="00A77020">
        <w:trPr>
          <w:trHeight w:val="350"/>
        </w:trPr>
        <w:tc>
          <w:tcPr>
            <w:tcW w:w="5218" w:type="dxa"/>
            <w:tcBorders>
              <w:top w:val="single" w:sz="4" w:space="0" w:color="000000"/>
            </w:tcBorders>
          </w:tcPr>
          <w:p w14:paraId="3BCD4CDA" w14:textId="77777777" w:rsidR="00A77020" w:rsidRDefault="00A77020" w:rsidP="00634C18">
            <w:pPr>
              <w:pStyle w:val="TableParagraph"/>
              <w:spacing w:before="59"/>
              <w:ind w:left="107"/>
              <w:rPr>
                <w:sz w:val="20"/>
              </w:rPr>
            </w:pPr>
            <w:r>
              <w:rPr>
                <w:sz w:val="20"/>
              </w:rPr>
              <w:t>Sustained</w:t>
            </w:r>
            <w:r>
              <w:rPr>
                <w:spacing w:val="-4"/>
                <w:sz w:val="20"/>
              </w:rPr>
              <w:t xml:space="preserve"> </w:t>
            </w:r>
            <w:r>
              <w:rPr>
                <w:sz w:val="20"/>
              </w:rPr>
              <w:t>20%</w:t>
            </w:r>
            <w:r>
              <w:rPr>
                <w:spacing w:val="-6"/>
                <w:sz w:val="20"/>
              </w:rPr>
              <w:t xml:space="preserve"> </w:t>
            </w:r>
            <w:r>
              <w:rPr>
                <w:sz w:val="20"/>
              </w:rPr>
              <w:t>increase</w:t>
            </w:r>
            <w:r>
              <w:rPr>
                <w:spacing w:val="-4"/>
                <w:sz w:val="20"/>
              </w:rPr>
              <w:t xml:space="preserve"> </w:t>
            </w:r>
            <w:r>
              <w:rPr>
                <w:sz w:val="20"/>
              </w:rPr>
              <w:t>in</w:t>
            </w:r>
            <w:r>
              <w:rPr>
                <w:spacing w:val="-4"/>
                <w:sz w:val="20"/>
              </w:rPr>
              <w:t xml:space="preserve"> </w:t>
            </w:r>
            <w:r>
              <w:rPr>
                <w:sz w:val="20"/>
              </w:rPr>
              <w:t>9-HPT</w:t>
            </w:r>
            <w:r>
              <w:rPr>
                <w:spacing w:val="-3"/>
                <w:sz w:val="20"/>
              </w:rPr>
              <w:t xml:space="preserve"> </w:t>
            </w:r>
            <w:r>
              <w:rPr>
                <w:sz w:val="20"/>
              </w:rPr>
              <w:t>for</w:t>
            </w:r>
            <w:r>
              <w:rPr>
                <w:spacing w:val="-3"/>
                <w:sz w:val="20"/>
              </w:rPr>
              <w:t xml:space="preserve"> </w:t>
            </w:r>
            <w:r>
              <w:rPr>
                <w:sz w:val="20"/>
              </w:rPr>
              <w:t>at</w:t>
            </w:r>
            <w:r>
              <w:rPr>
                <w:spacing w:val="-4"/>
                <w:sz w:val="20"/>
              </w:rPr>
              <w:t xml:space="preserve"> </w:t>
            </w:r>
            <w:r>
              <w:rPr>
                <w:sz w:val="20"/>
              </w:rPr>
              <w:t>least</w:t>
            </w:r>
            <w:r>
              <w:rPr>
                <w:spacing w:val="-4"/>
                <w:sz w:val="20"/>
              </w:rPr>
              <w:t xml:space="preserve"> </w:t>
            </w:r>
            <w:r>
              <w:rPr>
                <w:sz w:val="20"/>
              </w:rPr>
              <w:t>3</w:t>
            </w:r>
            <w:r>
              <w:rPr>
                <w:spacing w:val="-4"/>
                <w:sz w:val="20"/>
              </w:rPr>
              <w:t xml:space="preserve"> </w:t>
            </w:r>
            <w:r>
              <w:rPr>
                <w:spacing w:val="-2"/>
                <w:sz w:val="20"/>
              </w:rPr>
              <w:t>months</w:t>
            </w:r>
          </w:p>
        </w:tc>
        <w:tc>
          <w:tcPr>
            <w:tcW w:w="1657" w:type="dxa"/>
            <w:tcBorders>
              <w:top w:val="single" w:sz="4" w:space="0" w:color="000000"/>
            </w:tcBorders>
          </w:tcPr>
          <w:p w14:paraId="4E0A2169" w14:textId="77777777" w:rsidR="00A77020" w:rsidRDefault="00A77020" w:rsidP="00634C18">
            <w:pPr>
              <w:pStyle w:val="TableParagraph"/>
              <w:spacing w:before="59"/>
              <w:ind w:left="211"/>
              <w:rPr>
                <w:sz w:val="20"/>
              </w:rPr>
            </w:pPr>
            <w:r>
              <w:rPr>
                <w:spacing w:val="-2"/>
                <w:sz w:val="20"/>
              </w:rPr>
              <w:t>19.0%</w:t>
            </w:r>
          </w:p>
        </w:tc>
        <w:tc>
          <w:tcPr>
            <w:tcW w:w="1142" w:type="dxa"/>
            <w:tcBorders>
              <w:top w:val="single" w:sz="4" w:space="0" w:color="000000"/>
            </w:tcBorders>
          </w:tcPr>
          <w:p w14:paraId="75B0874B" w14:textId="77777777" w:rsidR="00A77020" w:rsidRDefault="00A77020" w:rsidP="00634C18">
            <w:pPr>
              <w:pStyle w:val="TableParagraph"/>
              <w:spacing w:before="59"/>
              <w:ind w:left="-27"/>
              <w:rPr>
                <w:sz w:val="20"/>
              </w:rPr>
            </w:pPr>
            <w:r>
              <w:rPr>
                <w:spacing w:val="-2"/>
                <w:sz w:val="20"/>
              </w:rPr>
              <w:t>19.6%</w:t>
            </w:r>
          </w:p>
        </w:tc>
      </w:tr>
      <w:tr w:rsidR="00A77020" w14:paraId="10A948CE" w14:textId="77777777" w:rsidTr="00A77020">
        <w:trPr>
          <w:trHeight w:val="347"/>
        </w:trPr>
        <w:tc>
          <w:tcPr>
            <w:tcW w:w="5218" w:type="dxa"/>
            <w:tcBorders>
              <w:bottom w:val="single" w:sz="4" w:space="0" w:color="000000"/>
            </w:tcBorders>
          </w:tcPr>
          <w:p w14:paraId="7D1779F0" w14:textId="77777777" w:rsidR="00A77020" w:rsidRDefault="00A77020" w:rsidP="00634C18">
            <w:pPr>
              <w:pStyle w:val="TableParagraph"/>
              <w:ind w:left="108"/>
              <w:rPr>
                <w:sz w:val="20"/>
              </w:rPr>
            </w:pPr>
            <w:r>
              <w:rPr>
                <w:sz w:val="20"/>
              </w:rPr>
              <w:t>Relative</w:t>
            </w:r>
            <w:r>
              <w:rPr>
                <w:spacing w:val="-10"/>
                <w:sz w:val="20"/>
              </w:rPr>
              <w:t xml:space="preserve"> </w:t>
            </w:r>
            <w:r>
              <w:rPr>
                <w:spacing w:val="-2"/>
                <w:sz w:val="20"/>
              </w:rPr>
              <w:t>reduction</w:t>
            </w:r>
          </w:p>
        </w:tc>
        <w:tc>
          <w:tcPr>
            <w:tcW w:w="2799" w:type="dxa"/>
            <w:gridSpan w:val="2"/>
            <w:tcBorders>
              <w:bottom w:val="single" w:sz="4" w:space="0" w:color="000000"/>
            </w:tcBorders>
          </w:tcPr>
          <w:p w14:paraId="08ADDAA3" w14:textId="77777777" w:rsidR="00A77020" w:rsidRDefault="00A77020" w:rsidP="00634C18">
            <w:pPr>
              <w:pStyle w:val="TableParagraph"/>
              <w:ind w:left="100"/>
              <w:jc w:val="center"/>
              <w:rPr>
                <w:sz w:val="20"/>
              </w:rPr>
            </w:pPr>
            <w:r>
              <w:rPr>
                <w:sz w:val="20"/>
              </w:rPr>
              <w:t>3%</w:t>
            </w:r>
            <w:r>
              <w:rPr>
                <w:spacing w:val="40"/>
                <w:sz w:val="20"/>
              </w:rPr>
              <w:t xml:space="preserve"> </w:t>
            </w:r>
            <w:r>
              <w:rPr>
                <w:spacing w:val="-7"/>
                <w:sz w:val="20"/>
              </w:rPr>
              <w:t>NS</w:t>
            </w:r>
          </w:p>
        </w:tc>
      </w:tr>
      <w:tr w:rsidR="00A77020" w14:paraId="3686FB7F" w14:textId="77777777" w:rsidTr="00A77020">
        <w:trPr>
          <w:trHeight w:val="350"/>
        </w:trPr>
        <w:tc>
          <w:tcPr>
            <w:tcW w:w="5218" w:type="dxa"/>
            <w:tcBorders>
              <w:top w:val="single" w:sz="4" w:space="0" w:color="000000"/>
            </w:tcBorders>
          </w:tcPr>
          <w:p w14:paraId="495AB30B" w14:textId="77777777" w:rsidR="00A77020" w:rsidRDefault="00A77020" w:rsidP="00634C18">
            <w:pPr>
              <w:pStyle w:val="TableParagraph"/>
              <w:spacing w:before="59"/>
              <w:ind w:left="108"/>
              <w:rPr>
                <w:sz w:val="20"/>
              </w:rPr>
            </w:pPr>
            <w:r>
              <w:rPr>
                <w:sz w:val="20"/>
              </w:rPr>
              <w:t>Sustained</w:t>
            </w:r>
            <w:r>
              <w:rPr>
                <w:spacing w:val="-4"/>
                <w:sz w:val="20"/>
              </w:rPr>
              <w:t xml:space="preserve"> </w:t>
            </w:r>
            <w:r>
              <w:rPr>
                <w:sz w:val="20"/>
              </w:rPr>
              <w:t>20%</w:t>
            </w:r>
            <w:r>
              <w:rPr>
                <w:spacing w:val="-6"/>
                <w:sz w:val="20"/>
              </w:rPr>
              <w:t xml:space="preserve"> </w:t>
            </w:r>
            <w:r>
              <w:rPr>
                <w:sz w:val="20"/>
              </w:rPr>
              <w:t>increase</w:t>
            </w:r>
            <w:r>
              <w:rPr>
                <w:spacing w:val="-4"/>
                <w:sz w:val="20"/>
              </w:rPr>
              <w:t xml:space="preserve"> </w:t>
            </w:r>
            <w:r>
              <w:rPr>
                <w:sz w:val="20"/>
              </w:rPr>
              <w:t>in</w:t>
            </w:r>
            <w:r>
              <w:rPr>
                <w:spacing w:val="-4"/>
                <w:sz w:val="20"/>
              </w:rPr>
              <w:t xml:space="preserve"> </w:t>
            </w:r>
            <w:r>
              <w:rPr>
                <w:sz w:val="20"/>
              </w:rPr>
              <w:t>T25-FW</w:t>
            </w:r>
            <w:r>
              <w:rPr>
                <w:spacing w:val="-5"/>
                <w:sz w:val="20"/>
              </w:rPr>
              <w:t xml:space="preserve"> </w:t>
            </w:r>
            <w:r>
              <w:rPr>
                <w:sz w:val="20"/>
              </w:rPr>
              <w:t>for</w:t>
            </w:r>
            <w:r>
              <w:rPr>
                <w:spacing w:val="-3"/>
                <w:sz w:val="20"/>
              </w:rPr>
              <w:t xml:space="preserve"> </w:t>
            </w:r>
            <w:r>
              <w:rPr>
                <w:sz w:val="20"/>
              </w:rPr>
              <w:t>at</w:t>
            </w:r>
            <w:r>
              <w:rPr>
                <w:spacing w:val="-4"/>
                <w:sz w:val="20"/>
              </w:rPr>
              <w:t xml:space="preserve"> </w:t>
            </w:r>
            <w:r>
              <w:rPr>
                <w:sz w:val="20"/>
              </w:rPr>
              <w:t>least</w:t>
            </w:r>
            <w:r>
              <w:rPr>
                <w:spacing w:val="-4"/>
                <w:sz w:val="20"/>
              </w:rPr>
              <w:t xml:space="preserve"> </w:t>
            </w:r>
            <w:r>
              <w:rPr>
                <w:sz w:val="20"/>
              </w:rPr>
              <w:t>3</w:t>
            </w:r>
            <w:r>
              <w:rPr>
                <w:spacing w:val="-4"/>
                <w:sz w:val="20"/>
              </w:rPr>
              <w:t xml:space="preserve"> </w:t>
            </w:r>
            <w:r>
              <w:rPr>
                <w:spacing w:val="-2"/>
                <w:sz w:val="20"/>
              </w:rPr>
              <w:t>months</w:t>
            </w:r>
          </w:p>
        </w:tc>
        <w:tc>
          <w:tcPr>
            <w:tcW w:w="1657" w:type="dxa"/>
            <w:tcBorders>
              <w:top w:val="single" w:sz="4" w:space="0" w:color="000000"/>
            </w:tcBorders>
          </w:tcPr>
          <w:p w14:paraId="37938D48" w14:textId="77777777" w:rsidR="00A77020" w:rsidRDefault="00A77020" w:rsidP="00634C18">
            <w:pPr>
              <w:pStyle w:val="TableParagraph"/>
              <w:spacing w:before="59"/>
              <w:ind w:left="211"/>
              <w:rPr>
                <w:sz w:val="20"/>
              </w:rPr>
            </w:pPr>
            <w:r>
              <w:rPr>
                <w:spacing w:val="-2"/>
                <w:sz w:val="20"/>
              </w:rPr>
              <w:t>41.1%</w:t>
            </w:r>
          </w:p>
        </w:tc>
        <w:tc>
          <w:tcPr>
            <w:tcW w:w="1142" w:type="dxa"/>
            <w:tcBorders>
              <w:top w:val="single" w:sz="4" w:space="0" w:color="000000"/>
            </w:tcBorders>
          </w:tcPr>
          <w:p w14:paraId="329FC64B" w14:textId="77777777" w:rsidR="00A77020" w:rsidRDefault="00A77020" w:rsidP="00634C18">
            <w:pPr>
              <w:pStyle w:val="TableParagraph"/>
              <w:spacing w:before="59"/>
              <w:ind w:left="-27"/>
              <w:rPr>
                <w:sz w:val="20"/>
              </w:rPr>
            </w:pPr>
            <w:r>
              <w:rPr>
                <w:spacing w:val="-2"/>
                <w:sz w:val="20"/>
              </w:rPr>
              <w:t>49.6%</w:t>
            </w:r>
          </w:p>
        </w:tc>
      </w:tr>
      <w:tr w:rsidR="00A77020" w14:paraId="64F2805F" w14:textId="77777777" w:rsidTr="00A77020">
        <w:trPr>
          <w:trHeight w:val="350"/>
        </w:trPr>
        <w:tc>
          <w:tcPr>
            <w:tcW w:w="5218" w:type="dxa"/>
            <w:tcBorders>
              <w:bottom w:val="single" w:sz="4" w:space="0" w:color="000000"/>
            </w:tcBorders>
          </w:tcPr>
          <w:p w14:paraId="736AFF37" w14:textId="77777777" w:rsidR="00A77020" w:rsidRDefault="00A77020" w:rsidP="00634C18">
            <w:pPr>
              <w:pStyle w:val="TableParagraph"/>
              <w:ind w:left="108"/>
              <w:rPr>
                <w:sz w:val="20"/>
              </w:rPr>
            </w:pPr>
            <w:r>
              <w:rPr>
                <w:sz w:val="20"/>
              </w:rPr>
              <w:t>Relative</w:t>
            </w:r>
            <w:r>
              <w:rPr>
                <w:spacing w:val="-10"/>
                <w:sz w:val="20"/>
              </w:rPr>
              <w:t xml:space="preserve"> </w:t>
            </w:r>
            <w:r>
              <w:rPr>
                <w:spacing w:val="-2"/>
                <w:sz w:val="20"/>
              </w:rPr>
              <w:t>reduction</w:t>
            </w:r>
          </w:p>
        </w:tc>
        <w:tc>
          <w:tcPr>
            <w:tcW w:w="1657" w:type="dxa"/>
            <w:tcBorders>
              <w:bottom w:val="single" w:sz="4" w:space="0" w:color="000000"/>
            </w:tcBorders>
          </w:tcPr>
          <w:p w14:paraId="6ACDD724" w14:textId="77777777" w:rsidR="00A77020" w:rsidRDefault="00A77020" w:rsidP="00634C18">
            <w:pPr>
              <w:pStyle w:val="TableParagraph"/>
              <w:ind w:right="-15"/>
              <w:jc w:val="right"/>
              <w:rPr>
                <w:sz w:val="20"/>
              </w:rPr>
            </w:pPr>
            <w:r>
              <w:rPr>
                <w:sz w:val="20"/>
              </w:rPr>
              <w:t>23%</w:t>
            </w:r>
            <w:r>
              <w:rPr>
                <w:spacing w:val="-6"/>
                <w:sz w:val="20"/>
              </w:rPr>
              <w:t xml:space="preserve"> </w:t>
            </w:r>
            <w:r>
              <w:rPr>
                <w:spacing w:val="-10"/>
                <w:sz w:val="20"/>
              </w:rPr>
              <w:t>*</w:t>
            </w:r>
          </w:p>
        </w:tc>
        <w:tc>
          <w:tcPr>
            <w:tcW w:w="1142" w:type="dxa"/>
            <w:tcBorders>
              <w:bottom w:val="single" w:sz="4" w:space="0" w:color="000000"/>
            </w:tcBorders>
          </w:tcPr>
          <w:p w14:paraId="75C36B26" w14:textId="77777777" w:rsidR="00A77020" w:rsidRDefault="00A77020" w:rsidP="00634C18">
            <w:pPr>
              <w:pStyle w:val="TableParagraph"/>
              <w:spacing w:before="0"/>
              <w:rPr>
                <w:rFonts w:ascii="Times New Roman"/>
              </w:rPr>
            </w:pPr>
          </w:p>
        </w:tc>
      </w:tr>
      <w:tr w:rsidR="00A77020" w14:paraId="37C60B9E" w14:textId="77777777" w:rsidTr="00A77020">
        <w:trPr>
          <w:trHeight w:val="348"/>
        </w:trPr>
        <w:tc>
          <w:tcPr>
            <w:tcW w:w="5218" w:type="dxa"/>
            <w:tcBorders>
              <w:top w:val="single" w:sz="4" w:space="0" w:color="000000"/>
            </w:tcBorders>
          </w:tcPr>
          <w:p w14:paraId="4633A82F" w14:textId="77777777" w:rsidR="00A77020" w:rsidRDefault="00A77020" w:rsidP="00634C18">
            <w:pPr>
              <w:pStyle w:val="TableParagraph"/>
              <w:spacing w:before="59"/>
              <w:ind w:left="107"/>
              <w:rPr>
                <w:sz w:val="20"/>
              </w:rPr>
            </w:pPr>
            <w:r>
              <w:rPr>
                <w:sz w:val="20"/>
              </w:rPr>
              <w:t>6-month</w:t>
            </w:r>
            <w:r>
              <w:rPr>
                <w:spacing w:val="-7"/>
                <w:sz w:val="20"/>
              </w:rPr>
              <w:t xml:space="preserve"> </w:t>
            </w:r>
            <w:r>
              <w:rPr>
                <w:spacing w:val="-5"/>
                <w:sz w:val="20"/>
              </w:rPr>
              <w:t>CDI</w:t>
            </w:r>
          </w:p>
        </w:tc>
        <w:tc>
          <w:tcPr>
            <w:tcW w:w="1657" w:type="dxa"/>
            <w:tcBorders>
              <w:top w:val="single" w:sz="4" w:space="0" w:color="000000"/>
            </w:tcBorders>
          </w:tcPr>
          <w:p w14:paraId="46C7ED96" w14:textId="77777777" w:rsidR="00A77020" w:rsidRDefault="00A77020" w:rsidP="00634C18">
            <w:pPr>
              <w:pStyle w:val="TableParagraph"/>
              <w:spacing w:before="59"/>
              <w:ind w:left="211"/>
              <w:rPr>
                <w:sz w:val="20"/>
              </w:rPr>
            </w:pPr>
            <w:r>
              <w:rPr>
                <w:spacing w:val="-4"/>
                <w:sz w:val="20"/>
              </w:rPr>
              <w:t>8.6%</w:t>
            </w:r>
          </w:p>
        </w:tc>
        <w:tc>
          <w:tcPr>
            <w:tcW w:w="1142" w:type="dxa"/>
            <w:tcBorders>
              <w:top w:val="single" w:sz="4" w:space="0" w:color="000000"/>
            </w:tcBorders>
          </w:tcPr>
          <w:p w14:paraId="7EF27D83" w14:textId="77777777" w:rsidR="00A77020" w:rsidRDefault="00A77020" w:rsidP="00634C18">
            <w:pPr>
              <w:pStyle w:val="TableParagraph"/>
              <w:spacing w:before="59"/>
              <w:ind w:left="-27"/>
              <w:rPr>
                <w:sz w:val="20"/>
              </w:rPr>
            </w:pPr>
            <w:r>
              <w:rPr>
                <w:spacing w:val="-4"/>
                <w:sz w:val="20"/>
              </w:rPr>
              <w:t>4.5%</w:t>
            </w:r>
          </w:p>
        </w:tc>
      </w:tr>
      <w:tr w:rsidR="00A77020" w14:paraId="6DBCACE4" w14:textId="77777777" w:rsidTr="00A77020">
        <w:trPr>
          <w:trHeight w:val="349"/>
        </w:trPr>
        <w:tc>
          <w:tcPr>
            <w:tcW w:w="5218" w:type="dxa"/>
            <w:tcBorders>
              <w:bottom w:val="single" w:sz="4" w:space="0" w:color="000000"/>
            </w:tcBorders>
          </w:tcPr>
          <w:p w14:paraId="43B87E25" w14:textId="77777777" w:rsidR="00A77020" w:rsidRDefault="00A77020" w:rsidP="00634C18">
            <w:pPr>
              <w:pStyle w:val="TableParagraph"/>
              <w:spacing w:before="58"/>
              <w:ind w:left="108"/>
              <w:rPr>
                <w:sz w:val="20"/>
              </w:rPr>
            </w:pPr>
            <w:r>
              <w:rPr>
                <w:sz w:val="20"/>
              </w:rPr>
              <w:t>Hazard</w:t>
            </w:r>
            <w:r>
              <w:rPr>
                <w:spacing w:val="-8"/>
                <w:sz w:val="20"/>
              </w:rPr>
              <w:t xml:space="preserve"> </w:t>
            </w:r>
            <w:r>
              <w:rPr>
                <w:spacing w:val="-2"/>
                <w:sz w:val="20"/>
              </w:rPr>
              <w:t>Ratio</w:t>
            </w:r>
          </w:p>
        </w:tc>
        <w:tc>
          <w:tcPr>
            <w:tcW w:w="1657" w:type="dxa"/>
            <w:tcBorders>
              <w:bottom w:val="single" w:sz="4" w:space="0" w:color="000000"/>
            </w:tcBorders>
          </w:tcPr>
          <w:p w14:paraId="17CC31CD" w14:textId="77777777" w:rsidR="00A77020" w:rsidRDefault="00A77020" w:rsidP="00634C18">
            <w:pPr>
              <w:pStyle w:val="TableParagraph"/>
              <w:spacing w:before="58"/>
              <w:ind w:right="-15"/>
              <w:jc w:val="right"/>
              <w:rPr>
                <w:sz w:val="20"/>
              </w:rPr>
            </w:pPr>
            <w:r>
              <w:rPr>
                <w:sz w:val="20"/>
              </w:rPr>
              <w:t>1.88</w:t>
            </w:r>
            <w:r>
              <w:rPr>
                <w:spacing w:val="-4"/>
                <w:sz w:val="20"/>
              </w:rPr>
              <w:t xml:space="preserve"> </w:t>
            </w:r>
            <w:r>
              <w:rPr>
                <w:spacing w:val="-10"/>
                <w:sz w:val="20"/>
              </w:rPr>
              <w:t>*</w:t>
            </w:r>
          </w:p>
        </w:tc>
        <w:tc>
          <w:tcPr>
            <w:tcW w:w="1142" w:type="dxa"/>
            <w:tcBorders>
              <w:bottom w:val="single" w:sz="4" w:space="0" w:color="000000"/>
            </w:tcBorders>
          </w:tcPr>
          <w:p w14:paraId="0F9F4F94" w14:textId="77777777" w:rsidR="00A77020" w:rsidRDefault="00A77020" w:rsidP="00634C18">
            <w:pPr>
              <w:pStyle w:val="TableParagraph"/>
              <w:spacing w:before="0"/>
              <w:rPr>
                <w:rFonts w:ascii="Times New Roman"/>
              </w:rPr>
            </w:pPr>
          </w:p>
        </w:tc>
      </w:tr>
      <w:tr w:rsidR="00A77020" w14:paraId="00AC597B" w14:textId="77777777" w:rsidTr="007053EB">
        <w:trPr>
          <w:trHeight w:val="350"/>
        </w:trPr>
        <w:tc>
          <w:tcPr>
            <w:tcW w:w="8017" w:type="dxa"/>
            <w:gridSpan w:val="3"/>
            <w:tcBorders>
              <w:top w:val="single" w:sz="4" w:space="0" w:color="000000"/>
              <w:bottom w:val="single" w:sz="4" w:space="0" w:color="000000"/>
            </w:tcBorders>
          </w:tcPr>
          <w:p w14:paraId="22DC8378" w14:textId="2BBAB4C3" w:rsidR="00A77020" w:rsidRDefault="00A77020" w:rsidP="00634C18">
            <w:pPr>
              <w:pStyle w:val="TableParagraph"/>
              <w:spacing w:before="0"/>
              <w:rPr>
                <w:rFonts w:ascii="Times New Roman"/>
              </w:rPr>
            </w:pPr>
            <w:r>
              <w:rPr>
                <w:b/>
                <w:sz w:val="20"/>
              </w:rPr>
              <w:t>MRI</w:t>
            </w:r>
            <w:r>
              <w:rPr>
                <w:b/>
                <w:spacing w:val="-6"/>
                <w:sz w:val="20"/>
              </w:rPr>
              <w:t xml:space="preserve"> </w:t>
            </w:r>
            <w:r>
              <w:rPr>
                <w:b/>
                <w:spacing w:val="-2"/>
                <w:sz w:val="20"/>
              </w:rPr>
              <w:t>endpoint</w:t>
            </w:r>
          </w:p>
        </w:tc>
      </w:tr>
      <w:tr w:rsidR="00A77020" w14:paraId="2EDF520C" w14:textId="77777777" w:rsidTr="00A77020">
        <w:trPr>
          <w:trHeight w:val="350"/>
        </w:trPr>
        <w:tc>
          <w:tcPr>
            <w:tcW w:w="5218" w:type="dxa"/>
            <w:tcBorders>
              <w:top w:val="single" w:sz="4" w:space="0" w:color="000000"/>
            </w:tcBorders>
          </w:tcPr>
          <w:p w14:paraId="6EF170B7" w14:textId="77777777" w:rsidR="00A77020" w:rsidRDefault="00A77020" w:rsidP="00634C18">
            <w:pPr>
              <w:pStyle w:val="TableParagraph"/>
              <w:spacing w:before="59"/>
              <w:ind w:left="108"/>
              <w:rPr>
                <w:sz w:val="20"/>
              </w:rPr>
            </w:pPr>
            <w:r>
              <w:rPr>
                <w:sz w:val="20"/>
              </w:rPr>
              <w:t>New</w:t>
            </w:r>
            <w:r>
              <w:rPr>
                <w:spacing w:val="-10"/>
                <w:sz w:val="20"/>
              </w:rPr>
              <w:t xml:space="preserve"> </w:t>
            </w:r>
            <w:r>
              <w:rPr>
                <w:sz w:val="20"/>
              </w:rPr>
              <w:t>and/or</w:t>
            </w:r>
            <w:r>
              <w:rPr>
                <w:spacing w:val="-7"/>
                <w:sz w:val="20"/>
              </w:rPr>
              <w:t xml:space="preserve"> </w:t>
            </w:r>
            <w:r>
              <w:rPr>
                <w:sz w:val="20"/>
              </w:rPr>
              <w:t>enlarging</w:t>
            </w:r>
            <w:r>
              <w:rPr>
                <w:spacing w:val="-7"/>
                <w:sz w:val="20"/>
              </w:rPr>
              <w:t xml:space="preserve"> </w:t>
            </w:r>
            <w:r>
              <w:rPr>
                <w:sz w:val="20"/>
              </w:rPr>
              <w:t>T2-hyperintense</w:t>
            </w:r>
            <w:r>
              <w:rPr>
                <w:spacing w:val="-8"/>
                <w:sz w:val="20"/>
              </w:rPr>
              <w:t xml:space="preserve"> </w:t>
            </w:r>
            <w:r>
              <w:rPr>
                <w:sz w:val="20"/>
              </w:rPr>
              <w:t>lesions</w:t>
            </w:r>
            <w:r>
              <w:rPr>
                <w:spacing w:val="-7"/>
                <w:sz w:val="20"/>
              </w:rPr>
              <w:t xml:space="preserve"> </w:t>
            </w:r>
            <w:r>
              <w:rPr>
                <w:sz w:val="20"/>
              </w:rPr>
              <w:t>per</w:t>
            </w:r>
            <w:r>
              <w:rPr>
                <w:spacing w:val="-7"/>
                <w:sz w:val="20"/>
              </w:rPr>
              <w:t xml:space="preserve"> </w:t>
            </w:r>
            <w:r>
              <w:rPr>
                <w:spacing w:val="-4"/>
                <w:sz w:val="20"/>
              </w:rPr>
              <w:t>year</w:t>
            </w:r>
          </w:p>
        </w:tc>
        <w:tc>
          <w:tcPr>
            <w:tcW w:w="1657" w:type="dxa"/>
            <w:tcBorders>
              <w:top w:val="single" w:sz="4" w:space="0" w:color="000000"/>
            </w:tcBorders>
          </w:tcPr>
          <w:p w14:paraId="3F7DFCB1" w14:textId="77777777" w:rsidR="00A77020" w:rsidRDefault="00A77020" w:rsidP="00634C18">
            <w:pPr>
              <w:pStyle w:val="TableParagraph"/>
              <w:spacing w:before="59"/>
              <w:ind w:left="211"/>
              <w:rPr>
                <w:sz w:val="20"/>
              </w:rPr>
            </w:pPr>
            <w:r>
              <w:rPr>
                <w:spacing w:val="-5"/>
                <w:sz w:val="20"/>
              </w:rPr>
              <w:t>1.8</w:t>
            </w:r>
          </w:p>
        </w:tc>
        <w:tc>
          <w:tcPr>
            <w:tcW w:w="1142" w:type="dxa"/>
            <w:tcBorders>
              <w:top w:val="single" w:sz="4" w:space="0" w:color="000000"/>
            </w:tcBorders>
          </w:tcPr>
          <w:p w14:paraId="5F53DA01" w14:textId="77777777" w:rsidR="00A77020" w:rsidRDefault="00A77020" w:rsidP="00634C18">
            <w:pPr>
              <w:pStyle w:val="TableParagraph"/>
              <w:spacing w:before="59"/>
              <w:ind w:left="-27"/>
              <w:rPr>
                <w:sz w:val="20"/>
              </w:rPr>
            </w:pPr>
            <w:r>
              <w:rPr>
                <w:spacing w:val="-5"/>
                <w:sz w:val="20"/>
              </w:rPr>
              <w:t>2.9</w:t>
            </w:r>
          </w:p>
        </w:tc>
      </w:tr>
      <w:tr w:rsidR="00A77020" w14:paraId="6A4EFCCA" w14:textId="77777777" w:rsidTr="00A77020">
        <w:trPr>
          <w:trHeight w:val="347"/>
        </w:trPr>
        <w:tc>
          <w:tcPr>
            <w:tcW w:w="5218" w:type="dxa"/>
            <w:tcBorders>
              <w:bottom w:val="single" w:sz="12" w:space="0" w:color="000000"/>
            </w:tcBorders>
          </w:tcPr>
          <w:p w14:paraId="485B6F99" w14:textId="77777777" w:rsidR="00A77020" w:rsidRDefault="00A77020" w:rsidP="00634C18">
            <w:pPr>
              <w:pStyle w:val="TableParagraph"/>
              <w:ind w:left="108"/>
              <w:rPr>
                <w:sz w:val="20"/>
              </w:rPr>
            </w:pPr>
            <w:r>
              <w:rPr>
                <w:sz w:val="20"/>
              </w:rPr>
              <w:t>Rate</w:t>
            </w:r>
            <w:r>
              <w:rPr>
                <w:spacing w:val="-5"/>
                <w:sz w:val="20"/>
              </w:rPr>
              <w:t xml:space="preserve"> </w:t>
            </w:r>
            <w:r>
              <w:rPr>
                <w:spacing w:val="-2"/>
                <w:sz w:val="20"/>
              </w:rPr>
              <w:t>reduction</w:t>
            </w:r>
          </w:p>
        </w:tc>
        <w:tc>
          <w:tcPr>
            <w:tcW w:w="2799" w:type="dxa"/>
            <w:gridSpan w:val="2"/>
            <w:tcBorders>
              <w:bottom w:val="single" w:sz="12" w:space="0" w:color="000000"/>
            </w:tcBorders>
          </w:tcPr>
          <w:p w14:paraId="76D5273B" w14:textId="77777777" w:rsidR="00A77020" w:rsidRDefault="00A77020" w:rsidP="00634C18">
            <w:pPr>
              <w:pStyle w:val="TableParagraph"/>
              <w:ind w:left="896"/>
              <w:rPr>
                <w:sz w:val="20"/>
              </w:rPr>
            </w:pPr>
            <w:r>
              <w:rPr>
                <w:sz w:val="20"/>
              </w:rPr>
              <w:t>38%;</w:t>
            </w:r>
            <w:r>
              <w:rPr>
                <w:spacing w:val="-3"/>
                <w:sz w:val="20"/>
              </w:rPr>
              <w:t xml:space="preserve"> </w:t>
            </w:r>
            <w:r>
              <w:rPr>
                <w:sz w:val="20"/>
              </w:rPr>
              <w:t>p</w:t>
            </w:r>
            <w:r>
              <w:rPr>
                <w:spacing w:val="-3"/>
                <w:sz w:val="20"/>
              </w:rPr>
              <w:t xml:space="preserve"> </w:t>
            </w:r>
            <w:r>
              <w:rPr>
                <w:sz w:val="20"/>
              </w:rPr>
              <w:t>=</w:t>
            </w:r>
            <w:r>
              <w:rPr>
                <w:spacing w:val="-2"/>
                <w:sz w:val="20"/>
              </w:rPr>
              <w:t xml:space="preserve"> 0.011</w:t>
            </w:r>
          </w:p>
        </w:tc>
      </w:tr>
      <w:tr w:rsidR="00A77020" w14:paraId="2FFB9241" w14:textId="77777777" w:rsidTr="00A77020">
        <w:trPr>
          <w:trHeight w:val="640"/>
        </w:trPr>
        <w:tc>
          <w:tcPr>
            <w:tcW w:w="8017" w:type="dxa"/>
            <w:gridSpan w:val="3"/>
            <w:tcBorders>
              <w:top w:val="single" w:sz="12" w:space="0" w:color="000000"/>
            </w:tcBorders>
          </w:tcPr>
          <w:p w14:paraId="7344C30C" w14:textId="77777777" w:rsidR="00A77020" w:rsidRDefault="00A77020" w:rsidP="00634C18">
            <w:pPr>
              <w:pStyle w:val="TableParagraph"/>
              <w:spacing w:before="0" w:line="200" w:lineRule="atLeast"/>
              <w:ind w:left="108" w:right="315"/>
              <w:jc w:val="both"/>
              <w:rPr>
                <w:sz w:val="18"/>
              </w:rPr>
            </w:pPr>
            <w:r>
              <w:rPr>
                <w:sz w:val="18"/>
              </w:rPr>
              <w:t>*As</w:t>
            </w:r>
            <w:r>
              <w:rPr>
                <w:spacing w:val="-3"/>
                <w:sz w:val="18"/>
              </w:rPr>
              <w:t xml:space="preserve"> </w:t>
            </w:r>
            <w:r>
              <w:rPr>
                <w:sz w:val="18"/>
              </w:rPr>
              <w:t>per</w:t>
            </w:r>
            <w:r>
              <w:rPr>
                <w:spacing w:val="-2"/>
                <w:sz w:val="18"/>
              </w:rPr>
              <w:t xml:space="preserve"> </w:t>
            </w:r>
            <w:r>
              <w:rPr>
                <w:sz w:val="18"/>
              </w:rPr>
              <w:t>the</w:t>
            </w:r>
            <w:r>
              <w:rPr>
                <w:spacing w:val="-4"/>
                <w:sz w:val="18"/>
              </w:rPr>
              <w:t xml:space="preserve"> </w:t>
            </w:r>
            <w:r>
              <w:rPr>
                <w:sz w:val="18"/>
              </w:rPr>
              <w:t>pre-specified</w:t>
            </w:r>
            <w:r>
              <w:rPr>
                <w:spacing w:val="-4"/>
                <w:sz w:val="18"/>
              </w:rPr>
              <w:t xml:space="preserve"> </w:t>
            </w:r>
            <w:r>
              <w:rPr>
                <w:sz w:val="18"/>
              </w:rPr>
              <w:t>hierarchical</w:t>
            </w:r>
            <w:r>
              <w:rPr>
                <w:spacing w:val="-5"/>
                <w:sz w:val="18"/>
              </w:rPr>
              <w:t xml:space="preserve"> </w:t>
            </w:r>
            <w:r>
              <w:rPr>
                <w:sz w:val="18"/>
              </w:rPr>
              <w:t>testing</w:t>
            </w:r>
            <w:r>
              <w:rPr>
                <w:spacing w:val="-4"/>
                <w:sz w:val="18"/>
              </w:rPr>
              <w:t xml:space="preserve"> </w:t>
            </w:r>
            <w:r>
              <w:rPr>
                <w:sz w:val="18"/>
              </w:rPr>
              <w:t>procedure,</w:t>
            </w:r>
            <w:r>
              <w:rPr>
                <w:spacing w:val="-4"/>
                <w:sz w:val="18"/>
              </w:rPr>
              <w:t xml:space="preserve"> </w:t>
            </w:r>
            <w:r>
              <w:rPr>
                <w:sz w:val="18"/>
              </w:rPr>
              <w:t>statistical</w:t>
            </w:r>
            <w:r>
              <w:rPr>
                <w:spacing w:val="-3"/>
                <w:sz w:val="18"/>
              </w:rPr>
              <w:t xml:space="preserve"> </w:t>
            </w:r>
            <w:r>
              <w:rPr>
                <w:sz w:val="18"/>
              </w:rPr>
              <w:t>testing</w:t>
            </w:r>
            <w:r>
              <w:rPr>
                <w:spacing w:val="-4"/>
                <w:sz w:val="18"/>
              </w:rPr>
              <w:t xml:space="preserve"> </w:t>
            </w:r>
            <w:r>
              <w:rPr>
                <w:sz w:val="18"/>
              </w:rPr>
              <w:t>was</w:t>
            </w:r>
            <w:r>
              <w:rPr>
                <w:spacing w:val="-3"/>
                <w:sz w:val="18"/>
              </w:rPr>
              <w:t xml:space="preserve"> </w:t>
            </w:r>
            <w:r>
              <w:rPr>
                <w:sz w:val="18"/>
              </w:rPr>
              <w:t>stopped</w:t>
            </w:r>
            <w:r>
              <w:rPr>
                <w:spacing w:val="-4"/>
                <w:sz w:val="18"/>
              </w:rPr>
              <w:t xml:space="preserve"> </w:t>
            </w:r>
            <w:r>
              <w:rPr>
                <w:sz w:val="18"/>
              </w:rPr>
              <w:t>after</w:t>
            </w:r>
            <w:r>
              <w:rPr>
                <w:spacing w:val="-2"/>
                <w:sz w:val="18"/>
              </w:rPr>
              <w:t xml:space="preserve"> </w:t>
            </w:r>
            <w:r>
              <w:rPr>
                <w:sz w:val="18"/>
              </w:rPr>
              <w:t>the</w:t>
            </w:r>
            <w:r>
              <w:rPr>
                <w:spacing w:val="-4"/>
                <w:sz w:val="18"/>
              </w:rPr>
              <w:t xml:space="preserve"> </w:t>
            </w:r>
            <w:r>
              <w:rPr>
                <w:sz w:val="18"/>
              </w:rPr>
              <w:t>previous endpoint</w:t>
            </w:r>
            <w:r>
              <w:rPr>
                <w:spacing w:val="-2"/>
                <w:sz w:val="18"/>
              </w:rPr>
              <w:t xml:space="preserve"> </w:t>
            </w:r>
            <w:r>
              <w:rPr>
                <w:sz w:val="18"/>
              </w:rPr>
              <w:t>failed</w:t>
            </w:r>
            <w:r>
              <w:rPr>
                <w:spacing w:val="-2"/>
                <w:sz w:val="18"/>
              </w:rPr>
              <w:t xml:space="preserve"> </w:t>
            </w:r>
            <w:r>
              <w:rPr>
                <w:sz w:val="18"/>
              </w:rPr>
              <w:t>to</w:t>
            </w:r>
            <w:r>
              <w:rPr>
                <w:spacing w:val="-2"/>
                <w:sz w:val="18"/>
              </w:rPr>
              <w:t xml:space="preserve"> </w:t>
            </w:r>
            <w:r>
              <w:rPr>
                <w:sz w:val="18"/>
              </w:rPr>
              <w:t>reach</w:t>
            </w:r>
            <w:r>
              <w:rPr>
                <w:spacing w:val="-2"/>
                <w:sz w:val="18"/>
              </w:rPr>
              <w:t xml:space="preserve"> </w:t>
            </w:r>
            <w:r>
              <w:rPr>
                <w:sz w:val="18"/>
              </w:rPr>
              <w:t>statistical</w:t>
            </w:r>
            <w:r>
              <w:rPr>
                <w:spacing w:val="-1"/>
                <w:sz w:val="18"/>
              </w:rPr>
              <w:t xml:space="preserve"> </w:t>
            </w:r>
            <w:r>
              <w:rPr>
                <w:sz w:val="18"/>
              </w:rPr>
              <w:t>significance.</w:t>
            </w:r>
            <w:r>
              <w:rPr>
                <w:spacing w:val="-2"/>
                <w:sz w:val="18"/>
              </w:rPr>
              <w:t xml:space="preserve"> </w:t>
            </w:r>
            <w:r>
              <w:rPr>
                <w:sz w:val="18"/>
              </w:rPr>
              <w:t>Therefore,</w:t>
            </w:r>
            <w:r>
              <w:rPr>
                <w:spacing w:val="-2"/>
                <w:sz w:val="18"/>
              </w:rPr>
              <w:t xml:space="preserve"> </w:t>
            </w:r>
            <w:r>
              <w:rPr>
                <w:sz w:val="18"/>
              </w:rPr>
              <w:t>no</w:t>
            </w:r>
            <w:r>
              <w:rPr>
                <w:spacing w:val="-2"/>
                <w:sz w:val="18"/>
              </w:rPr>
              <w:t xml:space="preserve"> </w:t>
            </w:r>
            <w:r>
              <w:rPr>
                <w:sz w:val="18"/>
              </w:rPr>
              <w:t>formal</w:t>
            </w:r>
            <w:r>
              <w:rPr>
                <w:spacing w:val="-1"/>
                <w:sz w:val="18"/>
              </w:rPr>
              <w:t xml:space="preserve"> </w:t>
            </w:r>
            <w:r>
              <w:rPr>
                <w:sz w:val="18"/>
              </w:rPr>
              <w:t>statistical</w:t>
            </w:r>
            <w:r>
              <w:rPr>
                <w:spacing w:val="-1"/>
                <w:sz w:val="18"/>
              </w:rPr>
              <w:t xml:space="preserve"> </w:t>
            </w:r>
            <w:r>
              <w:rPr>
                <w:sz w:val="18"/>
              </w:rPr>
              <w:t>testing</w:t>
            </w:r>
            <w:r>
              <w:rPr>
                <w:spacing w:val="-2"/>
                <w:sz w:val="18"/>
              </w:rPr>
              <w:t xml:space="preserve"> </w:t>
            </w:r>
            <w:r>
              <w:rPr>
                <w:sz w:val="18"/>
              </w:rPr>
              <w:t>was</w:t>
            </w:r>
            <w:r>
              <w:rPr>
                <w:spacing w:val="-1"/>
                <w:sz w:val="18"/>
              </w:rPr>
              <w:t xml:space="preserve"> </w:t>
            </w:r>
            <w:r>
              <w:rPr>
                <w:sz w:val="18"/>
              </w:rPr>
              <w:t>conducted</w:t>
            </w:r>
            <w:r>
              <w:rPr>
                <w:spacing w:val="-2"/>
                <w:sz w:val="18"/>
              </w:rPr>
              <w:t xml:space="preserve"> </w:t>
            </w:r>
            <w:r>
              <w:rPr>
                <w:sz w:val="18"/>
              </w:rPr>
              <w:t>for this endpoint.</w:t>
            </w:r>
          </w:p>
        </w:tc>
      </w:tr>
    </w:tbl>
    <w:p w14:paraId="5E029A11" w14:textId="77777777" w:rsidR="003C6674" w:rsidRDefault="003C6674">
      <w:pPr>
        <w:pStyle w:val="BodyText"/>
        <w:spacing w:before="240"/>
        <w:ind w:left="23" w:right="587"/>
        <w:jc w:val="both"/>
      </w:pPr>
    </w:p>
    <w:p w14:paraId="53B38FC6" w14:textId="34B566CC" w:rsidR="008B6261" w:rsidRDefault="004C6B8B">
      <w:pPr>
        <w:spacing w:before="81"/>
        <w:ind w:right="565"/>
        <w:jc w:val="center"/>
        <w:rPr>
          <w:rFonts w:ascii="Arial" w:hAnsi="Arial"/>
          <w:b/>
          <w:sz w:val="20"/>
        </w:rPr>
      </w:pPr>
      <w:bookmarkStart w:id="70" w:name="_bookmark9"/>
      <w:bookmarkEnd w:id="70"/>
      <w:r>
        <w:rPr>
          <w:rFonts w:ascii="Arial" w:hAnsi="Arial"/>
          <w:b/>
          <w:sz w:val="20"/>
        </w:rPr>
        <w:t>Figure</w:t>
      </w:r>
      <w:r>
        <w:rPr>
          <w:rFonts w:ascii="Arial" w:hAnsi="Arial"/>
          <w:b/>
          <w:spacing w:val="-4"/>
          <w:sz w:val="20"/>
        </w:rPr>
        <w:t xml:space="preserve"> </w:t>
      </w:r>
      <w:r>
        <w:rPr>
          <w:rFonts w:ascii="Arial" w:hAnsi="Arial"/>
          <w:b/>
          <w:sz w:val="20"/>
        </w:rPr>
        <w:t>1</w:t>
      </w:r>
      <w:r>
        <w:rPr>
          <w:rFonts w:ascii="Arial" w:hAnsi="Arial"/>
          <w:b/>
          <w:spacing w:val="-4"/>
          <w:sz w:val="20"/>
        </w:rPr>
        <w:t xml:space="preserve"> </w:t>
      </w:r>
      <w:r>
        <w:rPr>
          <w:rFonts w:ascii="Arial" w:hAnsi="Arial"/>
          <w:b/>
          <w:sz w:val="20"/>
        </w:rPr>
        <w:t>-</w:t>
      </w:r>
      <w:r>
        <w:rPr>
          <w:rFonts w:ascii="Arial" w:hAnsi="Arial"/>
          <w:b/>
          <w:spacing w:val="-1"/>
          <w:sz w:val="20"/>
        </w:rPr>
        <w:t xml:space="preserve"> </w:t>
      </w:r>
      <w:r>
        <w:rPr>
          <w:rFonts w:ascii="Arial" w:hAnsi="Arial"/>
          <w:b/>
          <w:sz w:val="20"/>
        </w:rPr>
        <w:t>Study</w:t>
      </w:r>
      <w:r>
        <w:rPr>
          <w:rFonts w:ascii="Arial" w:hAnsi="Arial"/>
          <w:b/>
          <w:spacing w:val="-4"/>
          <w:sz w:val="20"/>
        </w:rPr>
        <w:t xml:space="preserve"> </w:t>
      </w:r>
      <w:r>
        <w:rPr>
          <w:rFonts w:ascii="Arial" w:hAnsi="Arial"/>
          <w:b/>
          <w:sz w:val="20"/>
        </w:rPr>
        <w:t>1</w:t>
      </w:r>
      <w:r>
        <w:rPr>
          <w:rFonts w:ascii="Arial" w:hAnsi="Arial"/>
          <w:b/>
          <w:spacing w:val="-2"/>
          <w:sz w:val="20"/>
        </w:rPr>
        <w:t xml:space="preserve"> </w:t>
      </w:r>
      <w:r>
        <w:rPr>
          <w:rFonts w:ascii="Arial" w:hAnsi="Arial"/>
          <w:b/>
          <w:sz w:val="20"/>
        </w:rPr>
        <w:t>–</w:t>
      </w:r>
      <w:r>
        <w:rPr>
          <w:rFonts w:ascii="Arial" w:hAnsi="Arial"/>
          <w:b/>
          <w:spacing w:val="-4"/>
          <w:sz w:val="20"/>
        </w:rPr>
        <w:t xml:space="preserve"> </w:t>
      </w:r>
      <w:r>
        <w:rPr>
          <w:rFonts w:ascii="Arial" w:hAnsi="Arial"/>
          <w:b/>
          <w:sz w:val="20"/>
        </w:rPr>
        <w:t>Kaplan-Meier</w:t>
      </w:r>
      <w:r>
        <w:rPr>
          <w:rFonts w:ascii="Arial" w:hAnsi="Arial"/>
          <w:b/>
          <w:spacing w:val="-2"/>
          <w:sz w:val="20"/>
        </w:rPr>
        <w:t xml:space="preserve"> </w:t>
      </w:r>
      <w:r>
        <w:rPr>
          <w:rFonts w:ascii="Arial" w:hAnsi="Arial"/>
          <w:b/>
          <w:sz w:val="20"/>
        </w:rPr>
        <w:t>plot</w:t>
      </w:r>
      <w:r>
        <w:rPr>
          <w:rFonts w:ascii="Arial" w:hAnsi="Arial"/>
          <w:b/>
          <w:spacing w:val="-3"/>
          <w:sz w:val="20"/>
        </w:rPr>
        <w:t xml:space="preserve"> </w:t>
      </w:r>
      <w:r>
        <w:rPr>
          <w:rFonts w:ascii="Arial" w:hAnsi="Arial"/>
          <w:b/>
          <w:sz w:val="20"/>
        </w:rPr>
        <w:t>of</w:t>
      </w:r>
      <w:r>
        <w:rPr>
          <w:rFonts w:ascii="Arial" w:hAnsi="Arial"/>
          <w:b/>
          <w:spacing w:val="-3"/>
          <w:sz w:val="20"/>
        </w:rPr>
        <w:t xml:space="preserve"> </w:t>
      </w:r>
      <w:r>
        <w:rPr>
          <w:rFonts w:ascii="Arial" w:hAnsi="Arial"/>
          <w:b/>
          <w:sz w:val="20"/>
        </w:rPr>
        <w:t>cumulative</w:t>
      </w:r>
      <w:r>
        <w:rPr>
          <w:rFonts w:ascii="Arial" w:hAnsi="Arial"/>
          <w:b/>
          <w:spacing w:val="-4"/>
          <w:sz w:val="20"/>
        </w:rPr>
        <w:t xml:space="preserve"> </w:t>
      </w:r>
      <w:r>
        <w:rPr>
          <w:rFonts w:ascii="Arial" w:hAnsi="Arial"/>
          <w:b/>
          <w:sz w:val="20"/>
        </w:rPr>
        <w:t>incidence</w:t>
      </w:r>
      <w:r>
        <w:rPr>
          <w:rFonts w:ascii="Arial" w:hAnsi="Arial"/>
          <w:b/>
          <w:spacing w:val="-2"/>
          <w:sz w:val="20"/>
        </w:rPr>
        <w:t xml:space="preserve"> </w:t>
      </w:r>
      <w:r>
        <w:rPr>
          <w:rFonts w:ascii="Arial" w:hAnsi="Arial"/>
          <w:b/>
          <w:sz w:val="20"/>
        </w:rPr>
        <w:t>rate</w:t>
      </w:r>
      <w:r>
        <w:rPr>
          <w:rFonts w:ascii="Arial" w:hAnsi="Arial"/>
          <w:b/>
          <w:spacing w:val="-4"/>
          <w:sz w:val="20"/>
        </w:rPr>
        <w:t xml:space="preserve"> </w:t>
      </w:r>
      <w:r>
        <w:rPr>
          <w:rFonts w:ascii="Arial" w:hAnsi="Arial"/>
          <w:b/>
          <w:sz w:val="20"/>
        </w:rPr>
        <w:t>of</w:t>
      </w:r>
      <w:r>
        <w:rPr>
          <w:rFonts w:ascii="Arial" w:hAnsi="Arial"/>
          <w:b/>
          <w:spacing w:val="-3"/>
          <w:sz w:val="20"/>
        </w:rPr>
        <w:t xml:space="preserve"> </w:t>
      </w:r>
      <w:r>
        <w:rPr>
          <w:rFonts w:ascii="Arial" w:hAnsi="Arial"/>
          <w:b/>
          <w:sz w:val="20"/>
        </w:rPr>
        <w:t>onset</w:t>
      </w:r>
      <w:r>
        <w:rPr>
          <w:rFonts w:ascii="Arial" w:hAnsi="Arial"/>
          <w:b/>
          <w:spacing w:val="-1"/>
          <w:sz w:val="20"/>
        </w:rPr>
        <w:t xml:space="preserve"> </w:t>
      </w:r>
      <w:r>
        <w:rPr>
          <w:rFonts w:ascii="Arial" w:hAnsi="Arial"/>
          <w:b/>
          <w:sz w:val="20"/>
        </w:rPr>
        <w:t>of</w:t>
      </w:r>
      <w:r>
        <w:rPr>
          <w:rFonts w:ascii="Arial" w:hAnsi="Arial"/>
          <w:b/>
          <w:spacing w:val="-3"/>
          <w:sz w:val="20"/>
        </w:rPr>
        <w:t xml:space="preserve"> </w:t>
      </w:r>
      <w:r>
        <w:rPr>
          <w:rFonts w:ascii="Arial" w:hAnsi="Arial"/>
          <w:b/>
          <w:sz w:val="20"/>
        </w:rPr>
        <w:t>6-month</w:t>
      </w:r>
      <w:r>
        <w:rPr>
          <w:rFonts w:ascii="Arial" w:hAnsi="Arial"/>
          <w:b/>
          <w:spacing w:val="-3"/>
          <w:sz w:val="20"/>
        </w:rPr>
        <w:t xml:space="preserve"> </w:t>
      </w:r>
      <w:r>
        <w:rPr>
          <w:rFonts w:ascii="Arial" w:hAnsi="Arial"/>
          <w:b/>
          <w:sz w:val="20"/>
        </w:rPr>
        <w:t>CDP</w:t>
      </w:r>
      <w:r>
        <w:rPr>
          <w:rFonts w:ascii="Arial" w:hAnsi="Arial"/>
          <w:b/>
          <w:spacing w:val="-5"/>
          <w:sz w:val="20"/>
        </w:rPr>
        <w:t xml:space="preserve"> </w:t>
      </w:r>
      <w:r>
        <w:rPr>
          <w:rFonts w:ascii="Arial" w:hAnsi="Arial"/>
          <w:b/>
          <w:sz w:val="20"/>
        </w:rPr>
        <w:t>– ITT population</w:t>
      </w:r>
    </w:p>
    <w:p w14:paraId="53B38FC7" w14:textId="77777777" w:rsidR="008B6261" w:rsidRDefault="004C6B8B">
      <w:pPr>
        <w:pStyle w:val="BodyText"/>
        <w:spacing w:before="30"/>
        <w:rPr>
          <w:rFonts w:ascii="Arial"/>
          <w:b/>
          <w:sz w:val="20"/>
        </w:rPr>
      </w:pPr>
      <w:r>
        <w:rPr>
          <w:rFonts w:ascii="Arial"/>
          <w:b/>
          <w:noProof/>
          <w:sz w:val="20"/>
        </w:rPr>
        <w:drawing>
          <wp:inline distT="0" distB="0" distL="0" distR="0" wp14:anchorId="53B3907B" wp14:editId="26AFDD2B">
            <wp:extent cx="5469455" cy="2474023"/>
            <wp:effectExtent l="0" t="0" r="0" b="2540"/>
            <wp:docPr id="7" name="Image 7" descr="Figure 1 - Study 1 – Kaplan-Meier plot of cumulative incidence rate of onset of 6-month CDP – ITT popul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Figure 1 - Study 1 – Kaplan-Meier plot of cumulative incidence rate of onset of 6-month CDP – ITT populatio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69455" cy="2474023"/>
                    </a:xfrm>
                    <a:prstGeom prst="rect">
                      <a:avLst/>
                    </a:prstGeom>
                  </pic:spPr>
                </pic:pic>
              </a:graphicData>
            </a:graphic>
          </wp:inline>
        </w:drawing>
      </w:r>
    </w:p>
    <w:p w14:paraId="53B38FC8" w14:textId="77777777" w:rsidR="008B6261" w:rsidRDefault="008B6261">
      <w:pPr>
        <w:pStyle w:val="BodyText"/>
        <w:spacing w:before="5"/>
        <w:rPr>
          <w:rFonts w:ascii="Arial"/>
          <w:b/>
          <w:sz w:val="20"/>
        </w:rPr>
      </w:pPr>
    </w:p>
    <w:p w14:paraId="53B38FC9" w14:textId="77777777" w:rsidR="008B6261" w:rsidRDefault="004C6B8B">
      <w:pPr>
        <w:pStyle w:val="BodyText"/>
        <w:spacing w:before="0"/>
        <w:ind w:left="23" w:right="587"/>
        <w:jc w:val="both"/>
      </w:pPr>
      <w:r>
        <w:t xml:space="preserve">Results from Study 2 and Study 3 are presented in </w:t>
      </w:r>
      <w:hyperlink w:anchor="_bookmark10" w:history="1">
        <w:r>
          <w:t>Table</w:t>
        </w:r>
        <w:r>
          <w:rPr>
            <w:spacing w:val="-3"/>
          </w:rPr>
          <w:t xml:space="preserve"> </w:t>
        </w:r>
        <w:r>
          <w:t>5</w:t>
        </w:r>
      </w:hyperlink>
      <w:r>
        <w:t xml:space="preserve"> and </w:t>
      </w:r>
      <w:hyperlink w:anchor="_bookmark11" w:history="1">
        <w:r>
          <w:t>Figure</w:t>
        </w:r>
        <w:r>
          <w:rPr>
            <w:spacing w:val="-3"/>
          </w:rPr>
          <w:t xml:space="preserve"> </w:t>
        </w:r>
        <w:r>
          <w:t>2.</w:t>
        </w:r>
      </w:hyperlink>
      <w:r>
        <w:t xml:space="preserve"> </w:t>
      </w:r>
      <w:r>
        <w:rPr>
          <w:color w:val="111111"/>
        </w:rPr>
        <w:t xml:space="preserve">Both studies did not achieve their primary goal of showing a statistically significant improvement in annualised relapse rates (ARR) compared to teriflunomide. </w:t>
      </w:r>
      <w:r>
        <w:t xml:space="preserve">The key secondary endpoint for both studies combined showed a 29% relative risk reduction for CENRIFKI compared to teriflunomide </w:t>
      </w:r>
      <w:r>
        <w:rPr>
          <w:color w:val="111111"/>
        </w:rPr>
        <w:t xml:space="preserve">in delaying the time to onset of 6-month Confirmed Disability Worsening (CDW) (hazard ratio </w:t>
      </w:r>
      <w:r>
        <w:rPr>
          <w:color w:val="111111"/>
          <w:spacing w:val="-2"/>
        </w:rPr>
        <w:t>0.71).</w:t>
      </w:r>
    </w:p>
    <w:p w14:paraId="53B38FCA" w14:textId="77777777" w:rsidR="008B6261" w:rsidRDefault="008B6261">
      <w:pPr>
        <w:pStyle w:val="BodyText"/>
        <w:spacing w:before="85"/>
      </w:pPr>
    </w:p>
    <w:p w14:paraId="53B38FCB" w14:textId="77777777" w:rsidR="008B6261" w:rsidRDefault="004C6B8B">
      <w:pPr>
        <w:ind w:right="565"/>
        <w:jc w:val="center"/>
        <w:rPr>
          <w:rFonts w:ascii="Arial"/>
          <w:b/>
          <w:sz w:val="20"/>
        </w:rPr>
      </w:pPr>
      <w:bookmarkStart w:id="71" w:name="_bookmark10"/>
      <w:bookmarkEnd w:id="71"/>
      <w:r>
        <w:rPr>
          <w:rFonts w:ascii="Arial"/>
          <w:b/>
          <w:sz w:val="20"/>
        </w:rPr>
        <w:t>Table</w:t>
      </w:r>
      <w:r>
        <w:rPr>
          <w:rFonts w:ascii="Arial"/>
          <w:b/>
          <w:spacing w:val="-6"/>
          <w:sz w:val="20"/>
        </w:rPr>
        <w:t xml:space="preserve"> </w:t>
      </w:r>
      <w:r>
        <w:rPr>
          <w:rFonts w:ascii="Arial"/>
          <w:b/>
          <w:sz w:val="20"/>
        </w:rPr>
        <w:t>5</w:t>
      </w:r>
      <w:r>
        <w:rPr>
          <w:rFonts w:ascii="Arial"/>
          <w:b/>
          <w:spacing w:val="-6"/>
          <w:sz w:val="20"/>
        </w:rPr>
        <w:t xml:space="preserve"> </w:t>
      </w:r>
      <w:r>
        <w:rPr>
          <w:rFonts w:ascii="Arial"/>
          <w:b/>
          <w:sz w:val="20"/>
        </w:rPr>
        <w:t>-</w:t>
      </w:r>
      <w:r>
        <w:rPr>
          <w:rFonts w:ascii="Arial"/>
          <w:b/>
          <w:spacing w:val="-6"/>
          <w:sz w:val="20"/>
        </w:rPr>
        <w:t xml:space="preserve"> </w:t>
      </w:r>
      <w:r>
        <w:rPr>
          <w:rFonts w:ascii="Arial"/>
          <w:b/>
          <w:sz w:val="20"/>
        </w:rPr>
        <w:t>Clinical</w:t>
      </w:r>
      <w:r>
        <w:rPr>
          <w:rFonts w:ascii="Arial"/>
          <w:b/>
          <w:spacing w:val="-6"/>
          <w:sz w:val="20"/>
        </w:rPr>
        <w:t xml:space="preserve"> </w:t>
      </w:r>
      <w:r>
        <w:rPr>
          <w:rFonts w:ascii="Arial"/>
          <w:b/>
          <w:sz w:val="20"/>
        </w:rPr>
        <w:t>and</w:t>
      </w:r>
      <w:r>
        <w:rPr>
          <w:rFonts w:ascii="Arial"/>
          <w:b/>
          <w:spacing w:val="-3"/>
          <w:sz w:val="20"/>
        </w:rPr>
        <w:t xml:space="preserve"> </w:t>
      </w:r>
      <w:r>
        <w:rPr>
          <w:rFonts w:ascii="Arial"/>
          <w:b/>
          <w:sz w:val="20"/>
        </w:rPr>
        <w:t>MRI</w:t>
      </w:r>
      <w:r>
        <w:rPr>
          <w:rFonts w:ascii="Arial"/>
          <w:b/>
          <w:spacing w:val="-4"/>
          <w:sz w:val="20"/>
        </w:rPr>
        <w:t xml:space="preserve"> </w:t>
      </w:r>
      <w:r>
        <w:rPr>
          <w:rFonts w:ascii="Arial"/>
          <w:b/>
          <w:sz w:val="20"/>
        </w:rPr>
        <w:t>endpoints</w:t>
      </w:r>
      <w:r>
        <w:rPr>
          <w:rFonts w:ascii="Arial"/>
          <w:b/>
          <w:spacing w:val="-6"/>
          <w:sz w:val="20"/>
        </w:rPr>
        <w:t xml:space="preserve"> </w:t>
      </w:r>
      <w:r>
        <w:rPr>
          <w:rFonts w:ascii="Arial"/>
          <w:b/>
          <w:sz w:val="20"/>
        </w:rPr>
        <w:t>in</w:t>
      </w:r>
      <w:r>
        <w:rPr>
          <w:rFonts w:ascii="Arial"/>
          <w:b/>
          <w:spacing w:val="-5"/>
          <w:sz w:val="20"/>
        </w:rPr>
        <w:t xml:space="preserve"> </w:t>
      </w:r>
      <w:r>
        <w:rPr>
          <w:rFonts w:ascii="Arial"/>
          <w:b/>
          <w:sz w:val="20"/>
        </w:rPr>
        <w:t>adult</w:t>
      </w:r>
      <w:r>
        <w:rPr>
          <w:rFonts w:ascii="Arial"/>
          <w:b/>
          <w:spacing w:val="-5"/>
          <w:sz w:val="20"/>
        </w:rPr>
        <w:t xml:space="preserve"> </w:t>
      </w:r>
      <w:r>
        <w:rPr>
          <w:rFonts w:ascii="Arial"/>
          <w:b/>
          <w:sz w:val="20"/>
        </w:rPr>
        <w:t>RMS</w:t>
      </w:r>
      <w:r>
        <w:rPr>
          <w:rFonts w:ascii="Arial"/>
          <w:b/>
          <w:spacing w:val="-7"/>
          <w:sz w:val="20"/>
        </w:rPr>
        <w:t xml:space="preserve"> </w:t>
      </w:r>
      <w:r>
        <w:rPr>
          <w:rFonts w:ascii="Arial"/>
          <w:b/>
          <w:sz w:val="20"/>
        </w:rPr>
        <w:t>patients</w:t>
      </w:r>
      <w:r>
        <w:rPr>
          <w:rFonts w:ascii="Arial"/>
          <w:b/>
          <w:spacing w:val="-6"/>
          <w:sz w:val="20"/>
        </w:rPr>
        <w:t xml:space="preserve"> </w:t>
      </w:r>
      <w:r>
        <w:rPr>
          <w:rFonts w:ascii="Arial"/>
          <w:b/>
          <w:sz w:val="20"/>
        </w:rPr>
        <w:t>for</w:t>
      </w:r>
      <w:r>
        <w:rPr>
          <w:rFonts w:ascii="Arial"/>
          <w:b/>
          <w:spacing w:val="-4"/>
          <w:sz w:val="20"/>
        </w:rPr>
        <w:t xml:space="preserve"> </w:t>
      </w:r>
      <w:r>
        <w:rPr>
          <w:rFonts w:ascii="Arial"/>
          <w:b/>
          <w:sz w:val="20"/>
        </w:rPr>
        <w:t>Studies</w:t>
      </w:r>
      <w:r>
        <w:rPr>
          <w:rFonts w:ascii="Arial"/>
          <w:b/>
          <w:spacing w:val="-4"/>
          <w:sz w:val="20"/>
        </w:rPr>
        <w:t xml:space="preserve"> </w:t>
      </w:r>
      <w:r>
        <w:rPr>
          <w:rFonts w:ascii="Arial"/>
          <w:b/>
          <w:sz w:val="20"/>
        </w:rPr>
        <w:t>2</w:t>
      </w:r>
      <w:r>
        <w:rPr>
          <w:rFonts w:ascii="Arial"/>
          <w:b/>
          <w:spacing w:val="-6"/>
          <w:sz w:val="20"/>
        </w:rPr>
        <w:t xml:space="preserve"> </w:t>
      </w:r>
      <w:r>
        <w:rPr>
          <w:rFonts w:ascii="Arial"/>
          <w:b/>
          <w:sz w:val="20"/>
        </w:rPr>
        <w:t>and</w:t>
      </w:r>
      <w:r>
        <w:rPr>
          <w:rFonts w:ascii="Arial"/>
          <w:b/>
          <w:spacing w:val="-4"/>
          <w:sz w:val="20"/>
        </w:rPr>
        <w:t xml:space="preserve"> </w:t>
      </w:r>
      <w:r>
        <w:rPr>
          <w:rFonts w:ascii="Arial"/>
          <w:b/>
          <w:spacing w:val="-10"/>
          <w:sz w:val="20"/>
        </w:rPr>
        <w:t>3</w:t>
      </w:r>
    </w:p>
    <w:p w14:paraId="53B38FCC" w14:textId="77777777" w:rsidR="008B6261" w:rsidRDefault="008B6261">
      <w:pPr>
        <w:pStyle w:val="BodyText"/>
        <w:spacing w:before="198"/>
        <w:rPr>
          <w:rFonts w:ascii="Arial"/>
          <w:b/>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6"/>
        <w:gridCol w:w="1518"/>
        <w:gridCol w:w="1224"/>
        <w:gridCol w:w="1521"/>
        <w:gridCol w:w="1223"/>
      </w:tblGrid>
      <w:tr w:rsidR="0039344F" w14:paraId="53B38FCF" w14:textId="77777777" w:rsidTr="0039344F">
        <w:trPr>
          <w:trHeight w:val="350"/>
          <w:tblHeader/>
        </w:trPr>
        <w:tc>
          <w:tcPr>
            <w:tcW w:w="3106" w:type="dxa"/>
            <w:vMerge w:val="restart"/>
          </w:tcPr>
          <w:p w14:paraId="53B38FCD" w14:textId="77777777" w:rsidR="0039344F" w:rsidRDefault="0039344F">
            <w:pPr>
              <w:pStyle w:val="TableParagraph"/>
              <w:spacing w:before="0"/>
              <w:rPr>
                <w:rFonts w:ascii="Times New Roman"/>
                <w:sz w:val="20"/>
              </w:rPr>
            </w:pPr>
          </w:p>
        </w:tc>
        <w:tc>
          <w:tcPr>
            <w:tcW w:w="2742" w:type="dxa"/>
            <w:gridSpan w:val="2"/>
          </w:tcPr>
          <w:p w14:paraId="5F293DD5" w14:textId="3C423184" w:rsidR="0039344F" w:rsidRDefault="0039344F">
            <w:pPr>
              <w:pStyle w:val="TableParagraph"/>
              <w:tabs>
                <w:tab w:val="left" w:pos="3750"/>
              </w:tabs>
              <w:spacing w:before="59"/>
              <w:ind w:left="1007"/>
              <w:rPr>
                <w:rFonts w:ascii="Arial"/>
                <w:b/>
                <w:sz w:val="20"/>
              </w:rPr>
            </w:pPr>
            <w:r>
              <w:rPr>
                <w:rFonts w:ascii="Arial"/>
                <w:b/>
                <w:sz w:val="20"/>
              </w:rPr>
              <w:t>Study</w:t>
            </w:r>
            <w:r>
              <w:rPr>
                <w:rFonts w:ascii="Arial"/>
                <w:b/>
                <w:spacing w:val="-8"/>
                <w:sz w:val="20"/>
              </w:rPr>
              <w:t xml:space="preserve"> </w:t>
            </w:r>
            <w:r>
              <w:rPr>
                <w:rFonts w:ascii="Arial"/>
                <w:b/>
                <w:spacing w:val="-10"/>
                <w:sz w:val="20"/>
              </w:rPr>
              <w:t>2</w:t>
            </w:r>
          </w:p>
        </w:tc>
        <w:tc>
          <w:tcPr>
            <w:tcW w:w="2743" w:type="dxa"/>
            <w:gridSpan w:val="2"/>
          </w:tcPr>
          <w:p w14:paraId="53B38FCE" w14:textId="2C25ABF2" w:rsidR="0039344F" w:rsidRDefault="0039344F">
            <w:pPr>
              <w:pStyle w:val="TableParagraph"/>
              <w:tabs>
                <w:tab w:val="left" w:pos="3750"/>
              </w:tabs>
              <w:spacing w:before="59"/>
              <w:ind w:left="1007"/>
              <w:rPr>
                <w:rFonts w:ascii="Arial"/>
                <w:b/>
                <w:sz w:val="20"/>
              </w:rPr>
            </w:pPr>
            <w:r>
              <w:rPr>
                <w:rFonts w:ascii="Arial"/>
                <w:b/>
                <w:sz w:val="20"/>
              </w:rPr>
              <w:t>Study</w:t>
            </w:r>
            <w:r>
              <w:rPr>
                <w:rFonts w:ascii="Arial"/>
                <w:b/>
                <w:spacing w:val="-8"/>
                <w:sz w:val="20"/>
              </w:rPr>
              <w:t xml:space="preserve"> </w:t>
            </w:r>
            <w:r>
              <w:rPr>
                <w:rFonts w:ascii="Arial"/>
                <w:b/>
                <w:spacing w:val="-10"/>
                <w:sz w:val="20"/>
              </w:rPr>
              <w:t>3</w:t>
            </w:r>
          </w:p>
        </w:tc>
      </w:tr>
      <w:tr w:rsidR="008B6261" w14:paraId="53B38FDB" w14:textId="77777777" w:rsidTr="0039344F">
        <w:trPr>
          <w:trHeight w:val="928"/>
          <w:tblHeader/>
        </w:trPr>
        <w:tc>
          <w:tcPr>
            <w:tcW w:w="3106" w:type="dxa"/>
            <w:vMerge/>
            <w:tcBorders>
              <w:top w:val="nil"/>
            </w:tcBorders>
          </w:tcPr>
          <w:p w14:paraId="53B38FD0" w14:textId="77777777" w:rsidR="008B6261" w:rsidRDefault="008B6261">
            <w:pPr>
              <w:rPr>
                <w:sz w:val="2"/>
                <w:szCs w:val="2"/>
              </w:rPr>
            </w:pPr>
          </w:p>
        </w:tc>
        <w:tc>
          <w:tcPr>
            <w:tcW w:w="1518" w:type="dxa"/>
            <w:tcBorders>
              <w:right w:val="nil"/>
            </w:tcBorders>
          </w:tcPr>
          <w:p w14:paraId="53B38FD1" w14:textId="77777777" w:rsidR="008B6261" w:rsidRDefault="004C6B8B">
            <w:pPr>
              <w:pStyle w:val="TableParagraph"/>
              <w:spacing w:before="88"/>
              <w:ind w:left="14"/>
              <w:jc w:val="center"/>
              <w:rPr>
                <w:sz w:val="20"/>
              </w:rPr>
            </w:pPr>
            <w:r>
              <w:rPr>
                <w:sz w:val="20"/>
              </w:rPr>
              <w:t>CENRIFKI</w:t>
            </w:r>
            <w:r>
              <w:rPr>
                <w:spacing w:val="-6"/>
                <w:sz w:val="20"/>
              </w:rPr>
              <w:t xml:space="preserve"> </w:t>
            </w:r>
            <w:r>
              <w:rPr>
                <w:sz w:val="20"/>
              </w:rPr>
              <w:t>60</w:t>
            </w:r>
            <w:r>
              <w:rPr>
                <w:spacing w:val="-5"/>
                <w:sz w:val="20"/>
              </w:rPr>
              <w:t xml:space="preserve"> mg</w:t>
            </w:r>
          </w:p>
          <w:p w14:paraId="53B38FD2" w14:textId="77777777" w:rsidR="008B6261" w:rsidRDefault="004C6B8B">
            <w:pPr>
              <w:pStyle w:val="TableParagraph"/>
              <w:spacing w:before="1"/>
              <w:ind w:left="14" w:right="2"/>
              <w:jc w:val="center"/>
              <w:rPr>
                <w:sz w:val="20"/>
              </w:rPr>
            </w:pPr>
            <w:r>
              <w:rPr>
                <w:spacing w:val="-2"/>
                <w:sz w:val="20"/>
              </w:rPr>
              <w:t>daily</w:t>
            </w:r>
          </w:p>
          <w:p w14:paraId="53B38FD3" w14:textId="77777777" w:rsidR="008B6261" w:rsidRDefault="004C6B8B">
            <w:pPr>
              <w:pStyle w:val="TableParagraph"/>
              <w:spacing w:before="61"/>
              <w:ind w:left="14"/>
              <w:jc w:val="center"/>
              <w:rPr>
                <w:sz w:val="20"/>
              </w:rPr>
            </w:pPr>
            <w:r>
              <w:rPr>
                <w:sz w:val="20"/>
              </w:rPr>
              <w:t>N</w:t>
            </w:r>
            <w:r>
              <w:rPr>
                <w:spacing w:val="-3"/>
                <w:sz w:val="20"/>
              </w:rPr>
              <w:t xml:space="preserve"> </w:t>
            </w:r>
            <w:r>
              <w:rPr>
                <w:sz w:val="20"/>
              </w:rPr>
              <w:t>=</w:t>
            </w:r>
            <w:r>
              <w:rPr>
                <w:spacing w:val="-1"/>
                <w:sz w:val="20"/>
              </w:rPr>
              <w:t xml:space="preserve"> </w:t>
            </w:r>
            <w:r>
              <w:rPr>
                <w:spacing w:val="-5"/>
                <w:sz w:val="20"/>
              </w:rPr>
              <w:t>486</w:t>
            </w:r>
          </w:p>
        </w:tc>
        <w:tc>
          <w:tcPr>
            <w:tcW w:w="1223" w:type="dxa"/>
            <w:tcBorders>
              <w:left w:val="nil"/>
            </w:tcBorders>
          </w:tcPr>
          <w:p w14:paraId="53B38FD4" w14:textId="77777777" w:rsidR="008B6261" w:rsidRDefault="004C6B8B">
            <w:pPr>
              <w:pStyle w:val="TableParagraph"/>
              <w:spacing w:before="59" w:line="304" w:lineRule="auto"/>
              <w:ind w:left="68" w:right="39"/>
              <w:jc w:val="center"/>
              <w:rPr>
                <w:sz w:val="20"/>
              </w:rPr>
            </w:pPr>
            <w:r>
              <w:rPr>
                <w:spacing w:val="-2"/>
                <w:sz w:val="20"/>
              </w:rPr>
              <w:t xml:space="preserve">Teriflunomide </w:t>
            </w:r>
            <w:r>
              <w:rPr>
                <w:sz w:val="20"/>
              </w:rPr>
              <w:t>14 mg daily</w:t>
            </w:r>
          </w:p>
          <w:p w14:paraId="53B38FD5" w14:textId="77777777" w:rsidR="008B6261" w:rsidRDefault="004C6B8B">
            <w:pPr>
              <w:pStyle w:val="TableParagraph"/>
              <w:spacing w:before="0" w:line="225" w:lineRule="exact"/>
              <w:ind w:left="68" w:right="43"/>
              <w:jc w:val="center"/>
              <w:rPr>
                <w:sz w:val="20"/>
              </w:rPr>
            </w:pPr>
            <w:r>
              <w:rPr>
                <w:sz w:val="20"/>
              </w:rPr>
              <w:t>N</w:t>
            </w:r>
            <w:r>
              <w:rPr>
                <w:spacing w:val="-3"/>
                <w:sz w:val="20"/>
              </w:rPr>
              <w:t xml:space="preserve"> </w:t>
            </w:r>
            <w:r>
              <w:rPr>
                <w:sz w:val="20"/>
              </w:rPr>
              <w:t>=</w:t>
            </w:r>
            <w:r>
              <w:rPr>
                <w:spacing w:val="-1"/>
                <w:sz w:val="20"/>
              </w:rPr>
              <w:t xml:space="preserve"> </w:t>
            </w:r>
            <w:r>
              <w:rPr>
                <w:spacing w:val="-5"/>
                <w:sz w:val="20"/>
              </w:rPr>
              <w:t>488</w:t>
            </w:r>
          </w:p>
        </w:tc>
        <w:tc>
          <w:tcPr>
            <w:tcW w:w="1521" w:type="dxa"/>
            <w:tcBorders>
              <w:right w:val="nil"/>
            </w:tcBorders>
          </w:tcPr>
          <w:p w14:paraId="53B38FD6" w14:textId="77777777" w:rsidR="008B6261" w:rsidRDefault="004C6B8B">
            <w:pPr>
              <w:pStyle w:val="TableParagraph"/>
              <w:spacing w:before="88"/>
              <w:ind w:left="16"/>
              <w:jc w:val="center"/>
              <w:rPr>
                <w:sz w:val="20"/>
              </w:rPr>
            </w:pPr>
            <w:r>
              <w:rPr>
                <w:sz w:val="20"/>
              </w:rPr>
              <w:t>CENRIFKI</w:t>
            </w:r>
            <w:r>
              <w:rPr>
                <w:spacing w:val="-6"/>
                <w:sz w:val="20"/>
              </w:rPr>
              <w:t xml:space="preserve"> </w:t>
            </w:r>
            <w:r>
              <w:rPr>
                <w:sz w:val="20"/>
              </w:rPr>
              <w:t>60</w:t>
            </w:r>
            <w:r>
              <w:rPr>
                <w:spacing w:val="-5"/>
                <w:sz w:val="20"/>
              </w:rPr>
              <w:t xml:space="preserve"> mg</w:t>
            </w:r>
          </w:p>
          <w:p w14:paraId="53B38FD7" w14:textId="77777777" w:rsidR="008B6261" w:rsidRDefault="004C6B8B">
            <w:pPr>
              <w:pStyle w:val="TableParagraph"/>
              <w:spacing w:before="1"/>
              <w:ind w:left="16" w:right="2"/>
              <w:jc w:val="center"/>
              <w:rPr>
                <w:sz w:val="20"/>
              </w:rPr>
            </w:pPr>
            <w:r>
              <w:rPr>
                <w:spacing w:val="-2"/>
                <w:sz w:val="20"/>
              </w:rPr>
              <w:t>daily</w:t>
            </w:r>
          </w:p>
          <w:p w14:paraId="53B38FD8" w14:textId="77777777" w:rsidR="008B6261" w:rsidRDefault="004C6B8B">
            <w:pPr>
              <w:pStyle w:val="TableParagraph"/>
              <w:spacing w:before="61"/>
              <w:ind w:left="16"/>
              <w:jc w:val="center"/>
              <w:rPr>
                <w:sz w:val="20"/>
              </w:rPr>
            </w:pPr>
            <w:r>
              <w:rPr>
                <w:sz w:val="20"/>
              </w:rPr>
              <w:t>N</w:t>
            </w:r>
            <w:r>
              <w:rPr>
                <w:spacing w:val="-3"/>
                <w:sz w:val="20"/>
              </w:rPr>
              <w:t xml:space="preserve"> </w:t>
            </w:r>
            <w:r>
              <w:rPr>
                <w:sz w:val="20"/>
              </w:rPr>
              <w:t>=</w:t>
            </w:r>
            <w:r>
              <w:rPr>
                <w:spacing w:val="-1"/>
                <w:sz w:val="20"/>
              </w:rPr>
              <w:t xml:space="preserve"> </w:t>
            </w:r>
            <w:r>
              <w:rPr>
                <w:spacing w:val="-5"/>
                <w:sz w:val="20"/>
              </w:rPr>
              <w:t>447</w:t>
            </w:r>
          </w:p>
        </w:tc>
        <w:tc>
          <w:tcPr>
            <w:tcW w:w="1223" w:type="dxa"/>
            <w:tcBorders>
              <w:left w:val="nil"/>
            </w:tcBorders>
          </w:tcPr>
          <w:p w14:paraId="53B38FD9" w14:textId="77777777" w:rsidR="008B6261" w:rsidRDefault="004C6B8B">
            <w:pPr>
              <w:pStyle w:val="TableParagraph"/>
              <w:spacing w:line="304" w:lineRule="auto"/>
              <w:ind w:left="68" w:right="39"/>
              <w:jc w:val="center"/>
              <w:rPr>
                <w:sz w:val="20"/>
              </w:rPr>
            </w:pPr>
            <w:r>
              <w:rPr>
                <w:spacing w:val="-2"/>
                <w:sz w:val="20"/>
              </w:rPr>
              <w:t xml:space="preserve">Teriflunomide </w:t>
            </w:r>
            <w:r>
              <w:rPr>
                <w:sz w:val="20"/>
              </w:rPr>
              <w:t>14 mg daily</w:t>
            </w:r>
          </w:p>
          <w:p w14:paraId="53B38FDA" w14:textId="77777777" w:rsidR="008B6261" w:rsidRDefault="004C6B8B">
            <w:pPr>
              <w:pStyle w:val="TableParagraph"/>
              <w:spacing w:before="0" w:line="225" w:lineRule="exact"/>
              <w:ind w:left="68" w:right="44"/>
              <w:jc w:val="center"/>
              <w:rPr>
                <w:sz w:val="20"/>
              </w:rPr>
            </w:pPr>
            <w:r>
              <w:rPr>
                <w:sz w:val="20"/>
              </w:rPr>
              <w:t>N</w:t>
            </w:r>
            <w:r>
              <w:rPr>
                <w:spacing w:val="-3"/>
                <w:sz w:val="20"/>
              </w:rPr>
              <w:t xml:space="preserve"> </w:t>
            </w:r>
            <w:r>
              <w:rPr>
                <w:sz w:val="20"/>
              </w:rPr>
              <w:t>=</w:t>
            </w:r>
            <w:r>
              <w:rPr>
                <w:spacing w:val="-1"/>
                <w:sz w:val="20"/>
              </w:rPr>
              <w:t xml:space="preserve"> </w:t>
            </w:r>
            <w:r>
              <w:rPr>
                <w:spacing w:val="-5"/>
                <w:sz w:val="20"/>
              </w:rPr>
              <w:t>452</w:t>
            </w:r>
          </w:p>
        </w:tc>
      </w:tr>
      <w:tr w:rsidR="008B6261" w14:paraId="53B38FDD" w14:textId="77777777">
        <w:trPr>
          <w:trHeight w:val="350"/>
        </w:trPr>
        <w:tc>
          <w:tcPr>
            <w:tcW w:w="8591" w:type="dxa"/>
            <w:gridSpan w:val="5"/>
          </w:tcPr>
          <w:p w14:paraId="53B38FDC" w14:textId="77777777" w:rsidR="008B6261" w:rsidRDefault="004C6B8B">
            <w:pPr>
              <w:pStyle w:val="TableParagraph"/>
              <w:spacing w:before="59"/>
              <w:ind w:left="107"/>
              <w:rPr>
                <w:b/>
                <w:sz w:val="20"/>
              </w:rPr>
            </w:pPr>
            <w:r>
              <w:rPr>
                <w:b/>
                <w:sz w:val="20"/>
              </w:rPr>
              <w:t>Clinical</w:t>
            </w:r>
            <w:r>
              <w:rPr>
                <w:b/>
                <w:spacing w:val="-6"/>
                <w:sz w:val="20"/>
              </w:rPr>
              <w:t xml:space="preserve"> </w:t>
            </w:r>
            <w:r>
              <w:rPr>
                <w:b/>
                <w:spacing w:val="-2"/>
                <w:sz w:val="20"/>
              </w:rPr>
              <w:t>Endpoints</w:t>
            </w:r>
          </w:p>
        </w:tc>
      </w:tr>
      <w:tr w:rsidR="008B6261" w14:paraId="53B38FE4" w14:textId="77777777">
        <w:trPr>
          <w:trHeight w:val="577"/>
        </w:trPr>
        <w:tc>
          <w:tcPr>
            <w:tcW w:w="3106" w:type="dxa"/>
          </w:tcPr>
          <w:p w14:paraId="53B38FDE" w14:textId="77777777" w:rsidR="008B6261" w:rsidRDefault="004C6B8B">
            <w:pPr>
              <w:pStyle w:val="TableParagraph"/>
              <w:spacing w:before="59"/>
              <w:ind w:left="107"/>
              <w:rPr>
                <w:sz w:val="20"/>
              </w:rPr>
            </w:pPr>
            <w:r>
              <w:rPr>
                <w:sz w:val="20"/>
              </w:rPr>
              <w:t>Annualised</w:t>
            </w:r>
            <w:r>
              <w:rPr>
                <w:spacing w:val="-8"/>
                <w:sz w:val="20"/>
              </w:rPr>
              <w:t xml:space="preserve"> </w:t>
            </w:r>
            <w:r>
              <w:rPr>
                <w:sz w:val="20"/>
              </w:rPr>
              <w:t>Relapse</w:t>
            </w:r>
            <w:r>
              <w:rPr>
                <w:spacing w:val="-8"/>
                <w:sz w:val="20"/>
              </w:rPr>
              <w:t xml:space="preserve"> </w:t>
            </w:r>
            <w:r>
              <w:rPr>
                <w:sz w:val="20"/>
              </w:rPr>
              <w:t>Rate</w:t>
            </w:r>
            <w:r>
              <w:rPr>
                <w:spacing w:val="-8"/>
                <w:sz w:val="20"/>
              </w:rPr>
              <w:t xml:space="preserve"> </w:t>
            </w:r>
            <w:r>
              <w:rPr>
                <w:spacing w:val="-2"/>
                <w:sz w:val="20"/>
              </w:rPr>
              <w:t>(Primary</w:t>
            </w:r>
          </w:p>
          <w:p w14:paraId="53B38FDF" w14:textId="77777777" w:rsidR="008B6261" w:rsidRDefault="004C6B8B">
            <w:pPr>
              <w:pStyle w:val="TableParagraph"/>
              <w:spacing w:before="1"/>
              <w:ind w:left="107"/>
              <w:rPr>
                <w:sz w:val="20"/>
              </w:rPr>
            </w:pPr>
            <w:r>
              <w:rPr>
                <w:spacing w:val="-2"/>
                <w:sz w:val="20"/>
              </w:rPr>
              <w:t>Endpoint)</w:t>
            </w:r>
          </w:p>
        </w:tc>
        <w:tc>
          <w:tcPr>
            <w:tcW w:w="1518" w:type="dxa"/>
            <w:tcBorders>
              <w:right w:val="nil"/>
            </w:tcBorders>
          </w:tcPr>
          <w:p w14:paraId="53B38FE0" w14:textId="77777777" w:rsidR="008B6261" w:rsidRDefault="004C6B8B">
            <w:pPr>
              <w:pStyle w:val="TableParagraph"/>
              <w:spacing w:before="59"/>
              <w:ind w:left="14"/>
              <w:jc w:val="center"/>
              <w:rPr>
                <w:sz w:val="20"/>
              </w:rPr>
            </w:pPr>
            <w:r>
              <w:rPr>
                <w:spacing w:val="-4"/>
                <w:sz w:val="20"/>
              </w:rPr>
              <w:t>0.13</w:t>
            </w:r>
          </w:p>
        </w:tc>
        <w:tc>
          <w:tcPr>
            <w:tcW w:w="1223" w:type="dxa"/>
            <w:tcBorders>
              <w:left w:val="nil"/>
            </w:tcBorders>
          </w:tcPr>
          <w:p w14:paraId="53B38FE1" w14:textId="77777777" w:rsidR="008B6261" w:rsidRDefault="004C6B8B">
            <w:pPr>
              <w:pStyle w:val="TableParagraph"/>
              <w:spacing w:before="59"/>
              <w:ind w:left="68" w:right="44"/>
              <w:jc w:val="center"/>
              <w:rPr>
                <w:sz w:val="20"/>
              </w:rPr>
            </w:pPr>
            <w:r>
              <w:rPr>
                <w:spacing w:val="-4"/>
                <w:sz w:val="20"/>
              </w:rPr>
              <w:t>0.12</w:t>
            </w:r>
          </w:p>
        </w:tc>
        <w:tc>
          <w:tcPr>
            <w:tcW w:w="1521" w:type="dxa"/>
            <w:tcBorders>
              <w:right w:val="nil"/>
            </w:tcBorders>
          </w:tcPr>
          <w:p w14:paraId="53B38FE2" w14:textId="77777777" w:rsidR="008B6261" w:rsidRDefault="004C6B8B">
            <w:pPr>
              <w:pStyle w:val="TableParagraph"/>
              <w:spacing w:before="59"/>
              <w:ind w:left="16" w:right="1"/>
              <w:jc w:val="center"/>
              <w:rPr>
                <w:sz w:val="20"/>
              </w:rPr>
            </w:pPr>
            <w:r>
              <w:rPr>
                <w:spacing w:val="-4"/>
                <w:sz w:val="20"/>
              </w:rPr>
              <w:t>0.11</w:t>
            </w:r>
          </w:p>
        </w:tc>
        <w:tc>
          <w:tcPr>
            <w:tcW w:w="1223" w:type="dxa"/>
            <w:tcBorders>
              <w:left w:val="nil"/>
            </w:tcBorders>
          </w:tcPr>
          <w:p w14:paraId="53B38FE3" w14:textId="77777777" w:rsidR="008B6261" w:rsidRDefault="004C6B8B">
            <w:pPr>
              <w:pStyle w:val="TableParagraph"/>
              <w:spacing w:before="59"/>
              <w:ind w:left="68" w:right="46"/>
              <w:jc w:val="center"/>
              <w:rPr>
                <w:sz w:val="20"/>
              </w:rPr>
            </w:pPr>
            <w:r>
              <w:rPr>
                <w:spacing w:val="-4"/>
                <w:sz w:val="20"/>
              </w:rPr>
              <w:t>0.11</w:t>
            </w:r>
          </w:p>
        </w:tc>
      </w:tr>
      <w:tr w:rsidR="008B6261" w14:paraId="53B38FE8" w14:textId="77777777">
        <w:trPr>
          <w:trHeight w:val="350"/>
        </w:trPr>
        <w:tc>
          <w:tcPr>
            <w:tcW w:w="3106" w:type="dxa"/>
          </w:tcPr>
          <w:p w14:paraId="53B38FE5" w14:textId="77777777" w:rsidR="008B6261" w:rsidRDefault="004C6B8B">
            <w:pPr>
              <w:pStyle w:val="TableParagraph"/>
              <w:spacing w:before="59"/>
              <w:ind w:left="3"/>
              <w:jc w:val="center"/>
              <w:rPr>
                <w:sz w:val="20"/>
              </w:rPr>
            </w:pPr>
            <w:r>
              <w:rPr>
                <w:sz w:val="20"/>
              </w:rPr>
              <w:t>Rate</w:t>
            </w:r>
            <w:r>
              <w:rPr>
                <w:spacing w:val="-5"/>
                <w:sz w:val="20"/>
              </w:rPr>
              <w:t xml:space="preserve"> </w:t>
            </w:r>
            <w:r>
              <w:rPr>
                <w:spacing w:val="-2"/>
                <w:sz w:val="20"/>
              </w:rPr>
              <w:t>Ratio</w:t>
            </w:r>
          </w:p>
        </w:tc>
        <w:tc>
          <w:tcPr>
            <w:tcW w:w="2741" w:type="dxa"/>
            <w:gridSpan w:val="2"/>
          </w:tcPr>
          <w:p w14:paraId="53B38FE6" w14:textId="77777777" w:rsidR="008B6261" w:rsidRDefault="004C6B8B">
            <w:pPr>
              <w:pStyle w:val="TableParagraph"/>
              <w:spacing w:before="59"/>
              <w:ind w:left="832"/>
              <w:rPr>
                <w:sz w:val="20"/>
              </w:rPr>
            </w:pPr>
            <w:r>
              <w:rPr>
                <w:sz w:val="20"/>
              </w:rPr>
              <w:t>1.1</w:t>
            </w:r>
            <w:r>
              <w:rPr>
                <w:spacing w:val="-2"/>
                <w:sz w:val="20"/>
              </w:rPr>
              <w:t xml:space="preserve"> </w:t>
            </w:r>
            <w:r>
              <w:rPr>
                <w:sz w:val="20"/>
              </w:rPr>
              <w:t>(p</w:t>
            </w:r>
            <w:r>
              <w:rPr>
                <w:spacing w:val="-2"/>
                <w:sz w:val="20"/>
              </w:rPr>
              <w:t xml:space="preserve"> </w:t>
            </w:r>
            <w:r>
              <w:rPr>
                <w:sz w:val="20"/>
              </w:rPr>
              <w:t>=</w:t>
            </w:r>
            <w:r>
              <w:rPr>
                <w:spacing w:val="-1"/>
                <w:sz w:val="20"/>
              </w:rPr>
              <w:t xml:space="preserve"> </w:t>
            </w:r>
            <w:r>
              <w:rPr>
                <w:spacing w:val="-2"/>
                <w:sz w:val="20"/>
              </w:rPr>
              <w:t>0.669)</w:t>
            </w:r>
          </w:p>
        </w:tc>
        <w:tc>
          <w:tcPr>
            <w:tcW w:w="2744" w:type="dxa"/>
            <w:gridSpan w:val="2"/>
          </w:tcPr>
          <w:p w14:paraId="53B38FE7" w14:textId="77777777" w:rsidR="008B6261" w:rsidRDefault="004C6B8B">
            <w:pPr>
              <w:pStyle w:val="TableParagraph"/>
              <w:spacing w:before="59"/>
              <w:ind w:left="834"/>
              <w:rPr>
                <w:sz w:val="20"/>
              </w:rPr>
            </w:pPr>
            <w:r>
              <w:rPr>
                <w:sz w:val="20"/>
              </w:rPr>
              <w:t>1.0</w:t>
            </w:r>
            <w:r>
              <w:rPr>
                <w:spacing w:val="-2"/>
                <w:sz w:val="20"/>
              </w:rPr>
              <w:t xml:space="preserve"> </w:t>
            </w:r>
            <w:r>
              <w:rPr>
                <w:sz w:val="20"/>
              </w:rPr>
              <w:t>(p</w:t>
            </w:r>
            <w:r>
              <w:rPr>
                <w:spacing w:val="-2"/>
                <w:sz w:val="20"/>
              </w:rPr>
              <w:t xml:space="preserve"> </w:t>
            </w:r>
            <w:r>
              <w:rPr>
                <w:sz w:val="20"/>
              </w:rPr>
              <w:t>=</w:t>
            </w:r>
            <w:r>
              <w:rPr>
                <w:spacing w:val="-1"/>
                <w:sz w:val="20"/>
              </w:rPr>
              <w:t xml:space="preserve"> </w:t>
            </w:r>
            <w:r>
              <w:rPr>
                <w:spacing w:val="-2"/>
                <w:sz w:val="20"/>
              </w:rPr>
              <w:t>0.976)</w:t>
            </w:r>
          </w:p>
        </w:tc>
      </w:tr>
      <w:tr w:rsidR="008B6261" w14:paraId="53B38FEB" w14:textId="77777777">
        <w:trPr>
          <w:trHeight w:val="350"/>
        </w:trPr>
        <w:tc>
          <w:tcPr>
            <w:tcW w:w="3106" w:type="dxa"/>
          </w:tcPr>
          <w:p w14:paraId="53B38FE9" w14:textId="77777777" w:rsidR="008B6261" w:rsidRDefault="004C6B8B">
            <w:pPr>
              <w:pStyle w:val="TableParagraph"/>
              <w:spacing w:before="59"/>
              <w:ind w:left="3"/>
              <w:jc w:val="center"/>
              <w:rPr>
                <w:sz w:val="20"/>
              </w:rPr>
            </w:pPr>
            <w:r>
              <w:rPr>
                <w:sz w:val="20"/>
              </w:rPr>
              <w:t>6-month</w:t>
            </w:r>
            <w:r>
              <w:rPr>
                <w:spacing w:val="-7"/>
                <w:sz w:val="20"/>
              </w:rPr>
              <w:t xml:space="preserve"> </w:t>
            </w:r>
            <w:r>
              <w:rPr>
                <w:sz w:val="20"/>
              </w:rPr>
              <w:t>CDW</w:t>
            </w:r>
            <w:r>
              <w:rPr>
                <w:spacing w:val="-7"/>
                <w:sz w:val="20"/>
              </w:rPr>
              <w:t xml:space="preserve"> </w:t>
            </w:r>
            <w:r>
              <w:rPr>
                <w:sz w:val="20"/>
              </w:rPr>
              <w:t>(pooled</w:t>
            </w:r>
            <w:r>
              <w:rPr>
                <w:spacing w:val="-6"/>
                <w:sz w:val="20"/>
              </w:rPr>
              <w:t xml:space="preserve"> </w:t>
            </w:r>
            <w:r>
              <w:rPr>
                <w:spacing w:val="-2"/>
                <w:sz w:val="20"/>
              </w:rPr>
              <w:t>analysis)</w:t>
            </w:r>
          </w:p>
        </w:tc>
        <w:tc>
          <w:tcPr>
            <w:tcW w:w="5485" w:type="dxa"/>
            <w:gridSpan w:val="4"/>
          </w:tcPr>
          <w:p w14:paraId="53B38FEA" w14:textId="77777777" w:rsidR="008B6261" w:rsidRDefault="004C6B8B">
            <w:pPr>
              <w:pStyle w:val="TableParagraph"/>
              <w:spacing w:before="59"/>
              <w:ind w:left="1295"/>
              <w:rPr>
                <w:sz w:val="20"/>
              </w:rPr>
            </w:pPr>
            <w:r>
              <w:rPr>
                <w:sz w:val="20"/>
              </w:rPr>
              <w:t>8.3%</w:t>
            </w:r>
            <w:r>
              <w:rPr>
                <w:spacing w:val="-6"/>
                <w:sz w:val="20"/>
              </w:rPr>
              <w:t xml:space="preserve"> </w:t>
            </w:r>
            <w:r>
              <w:rPr>
                <w:sz w:val="20"/>
              </w:rPr>
              <w:t>CENRIFKI</w:t>
            </w:r>
            <w:r>
              <w:rPr>
                <w:spacing w:val="-4"/>
                <w:sz w:val="20"/>
              </w:rPr>
              <w:t xml:space="preserve"> </w:t>
            </w:r>
            <w:r>
              <w:rPr>
                <w:sz w:val="20"/>
              </w:rPr>
              <w:t>vs</w:t>
            </w:r>
            <w:r>
              <w:rPr>
                <w:spacing w:val="-5"/>
                <w:sz w:val="20"/>
              </w:rPr>
              <w:t xml:space="preserve"> </w:t>
            </w:r>
            <w:r>
              <w:rPr>
                <w:sz w:val="20"/>
              </w:rPr>
              <w:t>11.3%</w:t>
            </w:r>
            <w:r>
              <w:rPr>
                <w:spacing w:val="-6"/>
                <w:sz w:val="20"/>
              </w:rPr>
              <w:t xml:space="preserve"> </w:t>
            </w:r>
            <w:r>
              <w:rPr>
                <w:spacing w:val="-2"/>
                <w:sz w:val="20"/>
              </w:rPr>
              <w:t>teriflunomide</w:t>
            </w:r>
          </w:p>
        </w:tc>
      </w:tr>
      <w:tr w:rsidR="008B6261" w14:paraId="53B38FEE" w14:textId="77777777">
        <w:trPr>
          <w:trHeight w:val="350"/>
        </w:trPr>
        <w:tc>
          <w:tcPr>
            <w:tcW w:w="3106" w:type="dxa"/>
          </w:tcPr>
          <w:p w14:paraId="53B38FEC" w14:textId="77777777" w:rsidR="008B6261" w:rsidRDefault="004C6B8B">
            <w:pPr>
              <w:pStyle w:val="TableParagraph"/>
              <w:spacing w:before="59"/>
              <w:ind w:left="3"/>
              <w:jc w:val="center"/>
              <w:rPr>
                <w:sz w:val="20"/>
              </w:rPr>
            </w:pPr>
            <w:r>
              <w:rPr>
                <w:sz w:val="20"/>
              </w:rPr>
              <w:t>Relative</w:t>
            </w:r>
            <w:r>
              <w:rPr>
                <w:spacing w:val="-10"/>
                <w:sz w:val="20"/>
              </w:rPr>
              <w:t xml:space="preserve"> </w:t>
            </w:r>
            <w:r>
              <w:rPr>
                <w:spacing w:val="-2"/>
                <w:sz w:val="20"/>
              </w:rPr>
              <w:t>Reduction*</w:t>
            </w:r>
          </w:p>
        </w:tc>
        <w:tc>
          <w:tcPr>
            <w:tcW w:w="5485" w:type="dxa"/>
            <w:gridSpan w:val="4"/>
          </w:tcPr>
          <w:p w14:paraId="53B38FED" w14:textId="77777777" w:rsidR="008B6261" w:rsidRDefault="004C6B8B">
            <w:pPr>
              <w:pStyle w:val="TableParagraph"/>
              <w:spacing w:before="59"/>
              <w:ind w:left="7"/>
              <w:jc w:val="center"/>
              <w:rPr>
                <w:sz w:val="20"/>
              </w:rPr>
            </w:pPr>
            <w:r>
              <w:rPr>
                <w:spacing w:val="-5"/>
                <w:sz w:val="20"/>
              </w:rPr>
              <w:t>29%</w:t>
            </w:r>
          </w:p>
        </w:tc>
      </w:tr>
      <w:tr w:rsidR="008B6261" w14:paraId="53B38FF1" w14:textId="77777777">
        <w:trPr>
          <w:trHeight w:val="347"/>
        </w:trPr>
        <w:tc>
          <w:tcPr>
            <w:tcW w:w="3106" w:type="dxa"/>
          </w:tcPr>
          <w:p w14:paraId="53B38FEF" w14:textId="77777777" w:rsidR="008B6261" w:rsidRDefault="004C6B8B">
            <w:pPr>
              <w:pStyle w:val="TableParagraph"/>
              <w:spacing w:before="59"/>
              <w:ind w:left="3"/>
              <w:jc w:val="center"/>
              <w:rPr>
                <w:sz w:val="20"/>
              </w:rPr>
            </w:pPr>
            <w:r>
              <w:rPr>
                <w:sz w:val="20"/>
              </w:rPr>
              <w:t>3-month</w:t>
            </w:r>
            <w:r>
              <w:rPr>
                <w:spacing w:val="-7"/>
                <w:sz w:val="20"/>
              </w:rPr>
              <w:t xml:space="preserve"> </w:t>
            </w:r>
            <w:r>
              <w:rPr>
                <w:sz w:val="20"/>
              </w:rPr>
              <w:t>CDW</w:t>
            </w:r>
            <w:r>
              <w:rPr>
                <w:spacing w:val="-7"/>
                <w:sz w:val="20"/>
              </w:rPr>
              <w:t xml:space="preserve"> </w:t>
            </w:r>
            <w:r>
              <w:rPr>
                <w:sz w:val="20"/>
              </w:rPr>
              <w:t>(pooled</w:t>
            </w:r>
            <w:r>
              <w:rPr>
                <w:spacing w:val="-6"/>
                <w:sz w:val="20"/>
              </w:rPr>
              <w:t xml:space="preserve"> </w:t>
            </w:r>
            <w:r>
              <w:rPr>
                <w:spacing w:val="-2"/>
                <w:sz w:val="20"/>
              </w:rPr>
              <w:t>analysis)</w:t>
            </w:r>
          </w:p>
        </w:tc>
        <w:tc>
          <w:tcPr>
            <w:tcW w:w="5485" w:type="dxa"/>
            <w:gridSpan w:val="4"/>
          </w:tcPr>
          <w:p w14:paraId="53B38FF0" w14:textId="77777777" w:rsidR="008B6261" w:rsidRDefault="004C6B8B">
            <w:pPr>
              <w:pStyle w:val="TableParagraph"/>
              <w:spacing w:before="59"/>
              <w:ind w:left="1249"/>
              <w:rPr>
                <w:sz w:val="20"/>
              </w:rPr>
            </w:pPr>
            <w:r>
              <w:rPr>
                <w:sz w:val="20"/>
              </w:rPr>
              <w:t>11.7%</w:t>
            </w:r>
            <w:r>
              <w:rPr>
                <w:spacing w:val="-7"/>
                <w:sz w:val="20"/>
              </w:rPr>
              <w:t xml:space="preserve"> </w:t>
            </w:r>
            <w:r>
              <w:rPr>
                <w:sz w:val="20"/>
              </w:rPr>
              <w:t>CENRIFKI</w:t>
            </w:r>
            <w:r>
              <w:rPr>
                <w:spacing w:val="-4"/>
                <w:sz w:val="20"/>
              </w:rPr>
              <w:t xml:space="preserve"> </w:t>
            </w:r>
            <w:r>
              <w:rPr>
                <w:sz w:val="20"/>
              </w:rPr>
              <w:t>vs</w:t>
            </w:r>
            <w:r>
              <w:rPr>
                <w:spacing w:val="-5"/>
                <w:sz w:val="20"/>
              </w:rPr>
              <w:t xml:space="preserve"> </w:t>
            </w:r>
            <w:r>
              <w:rPr>
                <w:sz w:val="20"/>
              </w:rPr>
              <w:t>15.3%</w:t>
            </w:r>
            <w:r>
              <w:rPr>
                <w:spacing w:val="-6"/>
                <w:sz w:val="20"/>
              </w:rPr>
              <w:t xml:space="preserve"> </w:t>
            </w:r>
            <w:r>
              <w:rPr>
                <w:spacing w:val="-2"/>
                <w:sz w:val="20"/>
              </w:rPr>
              <w:t>teriflunomide</w:t>
            </w:r>
          </w:p>
        </w:tc>
      </w:tr>
      <w:tr w:rsidR="008B6261" w14:paraId="53B38FF4" w14:textId="77777777">
        <w:trPr>
          <w:trHeight w:val="350"/>
        </w:trPr>
        <w:tc>
          <w:tcPr>
            <w:tcW w:w="3106" w:type="dxa"/>
          </w:tcPr>
          <w:p w14:paraId="53B38FF2" w14:textId="77777777" w:rsidR="008B6261" w:rsidRDefault="004C6B8B">
            <w:pPr>
              <w:pStyle w:val="TableParagraph"/>
              <w:spacing w:before="62"/>
              <w:ind w:left="3"/>
              <w:jc w:val="center"/>
              <w:rPr>
                <w:sz w:val="20"/>
              </w:rPr>
            </w:pPr>
            <w:r>
              <w:rPr>
                <w:sz w:val="20"/>
              </w:rPr>
              <w:t>Relative</w:t>
            </w:r>
            <w:r>
              <w:rPr>
                <w:spacing w:val="-10"/>
                <w:sz w:val="20"/>
              </w:rPr>
              <w:t xml:space="preserve"> </w:t>
            </w:r>
            <w:r>
              <w:rPr>
                <w:spacing w:val="-2"/>
                <w:sz w:val="20"/>
              </w:rPr>
              <w:t>Reduction*</w:t>
            </w:r>
          </w:p>
        </w:tc>
        <w:tc>
          <w:tcPr>
            <w:tcW w:w="5485" w:type="dxa"/>
            <w:gridSpan w:val="4"/>
          </w:tcPr>
          <w:p w14:paraId="53B38FF3" w14:textId="77777777" w:rsidR="008B6261" w:rsidRDefault="004C6B8B">
            <w:pPr>
              <w:pStyle w:val="TableParagraph"/>
              <w:spacing w:before="62"/>
              <w:ind w:left="7"/>
              <w:jc w:val="center"/>
              <w:rPr>
                <w:sz w:val="20"/>
              </w:rPr>
            </w:pPr>
            <w:r>
              <w:rPr>
                <w:spacing w:val="-5"/>
                <w:sz w:val="20"/>
              </w:rPr>
              <w:t>27%</w:t>
            </w:r>
          </w:p>
        </w:tc>
      </w:tr>
      <w:tr w:rsidR="008B6261" w14:paraId="53B38FF6" w14:textId="77777777">
        <w:trPr>
          <w:trHeight w:val="350"/>
        </w:trPr>
        <w:tc>
          <w:tcPr>
            <w:tcW w:w="8591" w:type="dxa"/>
            <w:gridSpan w:val="5"/>
          </w:tcPr>
          <w:p w14:paraId="53B38FF5" w14:textId="77777777" w:rsidR="008B6261" w:rsidRDefault="004C6B8B">
            <w:pPr>
              <w:pStyle w:val="TableParagraph"/>
              <w:spacing w:before="59"/>
              <w:ind w:left="107"/>
              <w:rPr>
                <w:b/>
                <w:sz w:val="20"/>
              </w:rPr>
            </w:pPr>
            <w:r>
              <w:rPr>
                <w:b/>
                <w:sz w:val="20"/>
              </w:rPr>
              <w:t>MRI</w:t>
            </w:r>
            <w:r>
              <w:rPr>
                <w:b/>
                <w:spacing w:val="-6"/>
                <w:sz w:val="20"/>
              </w:rPr>
              <w:t xml:space="preserve"> </w:t>
            </w:r>
            <w:r>
              <w:rPr>
                <w:b/>
                <w:spacing w:val="-2"/>
                <w:sz w:val="20"/>
              </w:rPr>
              <w:t>Endpoints</w:t>
            </w:r>
          </w:p>
        </w:tc>
      </w:tr>
      <w:tr w:rsidR="008B6261" w14:paraId="53B38FFC" w14:textId="77777777">
        <w:trPr>
          <w:trHeight w:val="578"/>
        </w:trPr>
        <w:tc>
          <w:tcPr>
            <w:tcW w:w="3106" w:type="dxa"/>
          </w:tcPr>
          <w:p w14:paraId="53B38FF7" w14:textId="77777777" w:rsidR="008B6261" w:rsidRDefault="004C6B8B">
            <w:pPr>
              <w:pStyle w:val="TableParagraph"/>
              <w:spacing w:before="59"/>
              <w:ind w:left="107"/>
              <w:rPr>
                <w:sz w:val="20"/>
              </w:rPr>
            </w:pPr>
            <w:r>
              <w:rPr>
                <w:sz w:val="20"/>
              </w:rPr>
              <w:t>New</w:t>
            </w:r>
            <w:r>
              <w:rPr>
                <w:spacing w:val="-12"/>
                <w:sz w:val="20"/>
              </w:rPr>
              <w:t xml:space="preserve"> </w:t>
            </w:r>
            <w:r>
              <w:rPr>
                <w:sz w:val="20"/>
              </w:rPr>
              <w:t>and/or</w:t>
            </w:r>
            <w:r>
              <w:rPr>
                <w:spacing w:val="-11"/>
                <w:sz w:val="20"/>
              </w:rPr>
              <w:t xml:space="preserve"> </w:t>
            </w:r>
            <w:r>
              <w:rPr>
                <w:sz w:val="20"/>
              </w:rPr>
              <w:t>enlarging</w:t>
            </w:r>
            <w:r>
              <w:rPr>
                <w:spacing w:val="-12"/>
                <w:sz w:val="20"/>
              </w:rPr>
              <w:t xml:space="preserve"> </w:t>
            </w:r>
            <w:r>
              <w:rPr>
                <w:sz w:val="20"/>
              </w:rPr>
              <w:t>T2-hyperintense lesions per year*</w:t>
            </w:r>
          </w:p>
        </w:tc>
        <w:tc>
          <w:tcPr>
            <w:tcW w:w="1518" w:type="dxa"/>
            <w:tcBorders>
              <w:right w:val="nil"/>
            </w:tcBorders>
          </w:tcPr>
          <w:p w14:paraId="53B38FF8" w14:textId="77777777" w:rsidR="008B6261" w:rsidRDefault="004C6B8B">
            <w:pPr>
              <w:pStyle w:val="TableParagraph"/>
              <w:spacing w:before="59"/>
              <w:ind w:left="14"/>
              <w:jc w:val="center"/>
              <w:rPr>
                <w:sz w:val="20"/>
              </w:rPr>
            </w:pPr>
            <w:r>
              <w:rPr>
                <w:spacing w:val="-5"/>
                <w:sz w:val="20"/>
              </w:rPr>
              <w:t>5.6</w:t>
            </w:r>
          </w:p>
        </w:tc>
        <w:tc>
          <w:tcPr>
            <w:tcW w:w="1223" w:type="dxa"/>
            <w:tcBorders>
              <w:left w:val="nil"/>
            </w:tcBorders>
          </w:tcPr>
          <w:p w14:paraId="53B38FF9" w14:textId="77777777" w:rsidR="008B6261" w:rsidRDefault="004C6B8B">
            <w:pPr>
              <w:pStyle w:val="TableParagraph"/>
              <w:spacing w:before="59"/>
              <w:ind w:left="68" w:right="44"/>
              <w:jc w:val="center"/>
              <w:rPr>
                <w:sz w:val="20"/>
              </w:rPr>
            </w:pPr>
            <w:r>
              <w:rPr>
                <w:spacing w:val="-5"/>
                <w:sz w:val="20"/>
              </w:rPr>
              <w:t>5.2</w:t>
            </w:r>
          </w:p>
        </w:tc>
        <w:tc>
          <w:tcPr>
            <w:tcW w:w="1521" w:type="dxa"/>
            <w:tcBorders>
              <w:right w:val="nil"/>
            </w:tcBorders>
          </w:tcPr>
          <w:p w14:paraId="53B38FFA" w14:textId="77777777" w:rsidR="008B6261" w:rsidRDefault="004C6B8B">
            <w:pPr>
              <w:pStyle w:val="TableParagraph"/>
              <w:spacing w:before="59"/>
              <w:ind w:left="16"/>
              <w:jc w:val="center"/>
              <w:rPr>
                <w:sz w:val="20"/>
              </w:rPr>
            </w:pPr>
            <w:r>
              <w:rPr>
                <w:spacing w:val="-5"/>
                <w:sz w:val="20"/>
              </w:rPr>
              <w:t>5.1</w:t>
            </w:r>
          </w:p>
        </w:tc>
        <w:tc>
          <w:tcPr>
            <w:tcW w:w="1223" w:type="dxa"/>
            <w:tcBorders>
              <w:left w:val="nil"/>
            </w:tcBorders>
          </w:tcPr>
          <w:p w14:paraId="53B38FFB" w14:textId="77777777" w:rsidR="008B6261" w:rsidRDefault="004C6B8B">
            <w:pPr>
              <w:pStyle w:val="TableParagraph"/>
              <w:spacing w:before="0" w:line="229" w:lineRule="exact"/>
              <w:ind w:left="68" w:right="46"/>
              <w:jc w:val="center"/>
              <w:rPr>
                <w:sz w:val="20"/>
              </w:rPr>
            </w:pPr>
            <w:r>
              <w:rPr>
                <w:spacing w:val="-5"/>
                <w:sz w:val="20"/>
              </w:rPr>
              <w:t>4.4</w:t>
            </w:r>
          </w:p>
        </w:tc>
      </w:tr>
      <w:tr w:rsidR="008B6261" w14:paraId="53B39002" w14:textId="77777777">
        <w:trPr>
          <w:trHeight w:val="519"/>
        </w:trPr>
        <w:tc>
          <w:tcPr>
            <w:tcW w:w="3106" w:type="dxa"/>
            <w:tcBorders>
              <w:bottom w:val="single" w:sz="12" w:space="0" w:color="000000"/>
            </w:tcBorders>
          </w:tcPr>
          <w:p w14:paraId="53B38FFD" w14:textId="77777777" w:rsidR="008B6261" w:rsidRDefault="004C6B8B">
            <w:pPr>
              <w:pStyle w:val="TableParagraph"/>
              <w:spacing w:before="0"/>
              <w:ind w:left="107" w:right="167"/>
              <w:rPr>
                <w:sz w:val="20"/>
              </w:rPr>
            </w:pPr>
            <w:r>
              <w:rPr>
                <w:sz w:val="20"/>
              </w:rPr>
              <w:t>New</w:t>
            </w:r>
            <w:r>
              <w:rPr>
                <w:spacing w:val="-10"/>
                <w:sz w:val="20"/>
              </w:rPr>
              <w:t xml:space="preserve"> </w:t>
            </w:r>
            <w:r>
              <w:rPr>
                <w:sz w:val="20"/>
              </w:rPr>
              <w:t>Gd-enhancing</w:t>
            </w:r>
            <w:r>
              <w:rPr>
                <w:spacing w:val="-9"/>
                <w:sz w:val="20"/>
              </w:rPr>
              <w:t xml:space="preserve"> </w:t>
            </w:r>
            <w:r>
              <w:rPr>
                <w:sz w:val="20"/>
              </w:rPr>
              <w:t>T1</w:t>
            </w:r>
            <w:r>
              <w:rPr>
                <w:spacing w:val="-9"/>
                <w:sz w:val="20"/>
              </w:rPr>
              <w:t xml:space="preserve"> </w:t>
            </w:r>
            <w:r>
              <w:rPr>
                <w:sz w:val="20"/>
              </w:rPr>
              <w:t>lesions</w:t>
            </w:r>
            <w:r>
              <w:rPr>
                <w:spacing w:val="-10"/>
                <w:sz w:val="20"/>
              </w:rPr>
              <w:t xml:space="preserve"> </w:t>
            </w:r>
            <w:r>
              <w:rPr>
                <w:sz w:val="20"/>
              </w:rPr>
              <w:t xml:space="preserve">per </w:t>
            </w:r>
            <w:r>
              <w:rPr>
                <w:spacing w:val="-2"/>
                <w:sz w:val="20"/>
              </w:rPr>
              <w:t>scan*</w:t>
            </w:r>
          </w:p>
        </w:tc>
        <w:tc>
          <w:tcPr>
            <w:tcW w:w="1518" w:type="dxa"/>
            <w:tcBorders>
              <w:bottom w:val="single" w:sz="12" w:space="0" w:color="000000"/>
              <w:right w:val="nil"/>
            </w:tcBorders>
          </w:tcPr>
          <w:p w14:paraId="53B38FFE" w14:textId="77777777" w:rsidR="008B6261" w:rsidRDefault="004C6B8B">
            <w:pPr>
              <w:pStyle w:val="TableParagraph"/>
              <w:spacing w:before="2"/>
              <w:ind w:left="14"/>
              <w:jc w:val="center"/>
              <w:rPr>
                <w:sz w:val="20"/>
              </w:rPr>
            </w:pPr>
            <w:r>
              <w:rPr>
                <w:spacing w:val="-4"/>
                <w:sz w:val="20"/>
              </w:rPr>
              <w:t>0.53</w:t>
            </w:r>
          </w:p>
        </w:tc>
        <w:tc>
          <w:tcPr>
            <w:tcW w:w="1223" w:type="dxa"/>
            <w:tcBorders>
              <w:left w:val="nil"/>
              <w:bottom w:val="single" w:sz="12" w:space="0" w:color="000000"/>
            </w:tcBorders>
          </w:tcPr>
          <w:p w14:paraId="53B38FFF" w14:textId="77777777" w:rsidR="008B6261" w:rsidRDefault="004C6B8B">
            <w:pPr>
              <w:pStyle w:val="TableParagraph"/>
              <w:spacing w:before="2"/>
              <w:ind w:left="68" w:right="44"/>
              <w:jc w:val="center"/>
              <w:rPr>
                <w:sz w:val="20"/>
              </w:rPr>
            </w:pPr>
            <w:r>
              <w:rPr>
                <w:spacing w:val="-4"/>
                <w:sz w:val="20"/>
              </w:rPr>
              <w:t>0.29</w:t>
            </w:r>
          </w:p>
        </w:tc>
        <w:tc>
          <w:tcPr>
            <w:tcW w:w="1521" w:type="dxa"/>
            <w:tcBorders>
              <w:bottom w:val="single" w:sz="12" w:space="0" w:color="000000"/>
              <w:right w:val="nil"/>
            </w:tcBorders>
          </w:tcPr>
          <w:p w14:paraId="53B39000" w14:textId="77777777" w:rsidR="008B6261" w:rsidRDefault="004C6B8B">
            <w:pPr>
              <w:pStyle w:val="TableParagraph"/>
              <w:spacing w:before="2"/>
              <w:ind w:left="16"/>
              <w:jc w:val="center"/>
              <w:rPr>
                <w:sz w:val="20"/>
              </w:rPr>
            </w:pPr>
            <w:r>
              <w:rPr>
                <w:spacing w:val="-4"/>
                <w:sz w:val="20"/>
              </w:rPr>
              <w:t>0.46</w:t>
            </w:r>
          </w:p>
        </w:tc>
        <w:tc>
          <w:tcPr>
            <w:tcW w:w="1223" w:type="dxa"/>
            <w:tcBorders>
              <w:left w:val="nil"/>
              <w:bottom w:val="single" w:sz="12" w:space="0" w:color="000000"/>
            </w:tcBorders>
          </w:tcPr>
          <w:p w14:paraId="53B39001" w14:textId="77777777" w:rsidR="008B6261" w:rsidRDefault="004C6B8B">
            <w:pPr>
              <w:pStyle w:val="TableParagraph"/>
              <w:spacing w:before="2"/>
              <w:ind w:left="68" w:right="46"/>
              <w:jc w:val="center"/>
              <w:rPr>
                <w:sz w:val="20"/>
              </w:rPr>
            </w:pPr>
            <w:r>
              <w:rPr>
                <w:spacing w:val="-4"/>
                <w:sz w:val="20"/>
              </w:rPr>
              <w:t>0.22</w:t>
            </w:r>
          </w:p>
        </w:tc>
      </w:tr>
    </w:tbl>
    <w:p w14:paraId="53B39003" w14:textId="77777777" w:rsidR="008B6261" w:rsidRDefault="004C6B8B">
      <w:pPr>
        <w:spacing w:before="11"/>
        <w:ind w:left="135" w:right="642"/>
        <w:rPr>
          <w:rFonts w:ascii="Arial Narrow"/>
          <w:sz w:val="18"/>
        </w:rPr>
      </w:pPr>
      <w:r>
        <w:rPr>
          <w:rFonts w:ascii="Arial Narrow"/>
          <w:sz w:val="18"/>
        </w:rPr>
        <w:t>*As</w:t>
      </w:r>
      <w:r>
        <w:rPr>
          <w:rFonts w:ascii="Arial Narrow"/>
          <w:spacing w:val="-2"/>
          <w:sz w:val="18"/>
        </w:rPr>
        <w:t xml:space="preserve"> </w:t>
      </w:r>
      <w:r>
        <w:rPr>
          <w:rFonts w:ascii="Arial Narrow"/>
          <w:sz w:val="18"/>
        </w:rPr>
        <w:t>per</w:t>
      </w:r>
      <w:r>
        <w:rPr>
          <w:rFonts w:ascii="Arial Narrow"/>
          <w:spacing w:val="-1"/>
          <w:sz w:val="18"/>
        </w:rPr>
        <w:t xml:space="preserve"> </w:t>
      </w:r>
      <w:r>
        <w:rPr>
          <w:rFonts w:ascii="Arial Narrow"/>
          <w:sz w:val="18"/>
        </w:rPr>
        <w:t>the</w:t>
      </w:r>
      <w:r>
        <w:rPr>
          <w:rFonts w:ascii="Arial Narrow"/>
          <w:spacing w:val="-3"/>
          <w:sz w:val="18"/>
        </w:rPr>
        <w:t xml:space="preserve"> </w:t>
      </w:r>
      <w:r>
        <w:rPr>
          <w:rFonts w:ascii="Arial Narrow"/>
          <w:sz w:val="18"/>
        </w:rPr>
        <w:t>pre-specified</w:t>
      </w:r>
      <w:r>
        <w:rPr>
          <w:rFonts w:ascii="Arial Narrow"/>
          <w:spacing w:val="-3"/>
          <w:sz w:val="18"/>
        </w:rPr>
        <w:t xml:space="preserve"> </w:t>
      </w:r>
      <w:r>
        <w:rPr>
          <w:rFonts w:ascii="Arial Narrow"/>
          <w:sz w:val="18"/>
        </w:rPr>
        <w:t>hierarchical</w:t>
      </w:r>
      <w:r>
        <w:rPr>
          <w:rFonts w:ascii="Arial Narrow"/>
          <w:spacing w:val="-4"/>
          <w:sz w:val="18"/>
        </w:rPr>
        <w:t xml:space="preserve"> </w:t>
      </w:r>
      <w:r>
        <w:rPr>
          <w:rFonts w:ascii="Arial Narrow"/>
          <w:sz w:val="18"/>
        </w:rPr>
        <w:t>testing</w:t>
      </w:r>
      <w:r>
        <w:rPr>
          <w:rFonts w:ascii="Arial Narrow"/>
          <w:spacing w:val="-3"/>
          <w:sz w:val="18"/>
        </w:rPr>
        <w:t xml:space="preserve"> </w:t>
      </w:r>
      <w:r>
        <w:rPr>
          <w:rFonts w:ascii="Arial Narrow"/>
          <w:sz w:val="18"/>
        </w:rPr>
        <w:t>procedure,</w:t>
      </w:r>
      <w:r>
        <w:rPr>
          <w:rFonts w:ascii="Arial Narrow"/>
          <w:spacing w:val="-3"/>
          <w:sz w:val="18"/>
        </w:rPr>
        <w:t xml:space="preserve"> </w:t>
      </w:r>
      <w:r>
        <w:rPr>
          <w:rFonts w:ascii="Arial Narrow"/>
          <w:sz w:val="18"/>
        </w:rPr>
        <w:t>statistical</w:t>
      </w:r>
      <w:r>
        <w:rPr>
          <w:rFonts w:ascii="Arial Narrow"/>
          <w:spacing w:val="-2"/>
          <w:sz w:val="18"/>
        </w:rPr>
        <w:t xml:space="preserve"> </w:t>
      </w:r>
      <w:r>
        <w:rPr>
          <w:rFonts w:ascii="Arial Narrow"/>
          <w:sz w:val="18"/>
        </w:rPr>
        <w:t>testing</w:t>
      </w:r>
      <w:r>
        <w:rPr>
          <w:rFonts w:ascii="Arial Narrow"/>
          <w:spacing w:val="-3"/>
          <w:sz w:val="18"/>
        </w:rPr>
        <w:t xml:space="preserve"> </w:t>
      </w:r>
      <w:r>
        <w:rPr>
          <w:rFonts w:ascii="Arial Narrow"/>
          <w:sz w:val="18"/>
        </w:rPr>
        <w:t>was</w:t>
      </w:r>
      <w:r>
        <w:rPr>
          <w:rFonts w:ascii="Arial Narrow"/>
          <w:spacing w:val="-2"/>
          <w:sz w:val="18"/>
        </w:rPr>
        <w:t xml:space="preserve"> </w:t>
      </w:r>
      <w:r>
        <w:rPr>
          <w:rFonts w:ascii="Arial Narrow"/>
          <w:sz w:val="18"/>
        </w:rPr>
        <w:t>stopped</w:t>
      </w:r>
      <w:r>
        <w:rPr>
          <w:rFonts w:ascii="Arial Narrow"/>
          <w:spacing w:val="-3"/>
          <w:sz w:val="18"/>
        </w:rPr>
        <w:t xml:space="preserve"> </w:t>
      </w:r>
      <w:r>
        <w:rPr>
          <w:rFonts w:ascii="Arial Narrow"/>
          <w:sz w:val="18"/>
        </w:rPr>
        <w:t>after</w:t>
      </w:r>
      <w:r>
        <w:rPr>
          <w:rFonts w:ascii="Arial Narrow"/>
          <w:spacing w:val="-1"/>
          <w:sz w:val="18"/>
        </w:rPr>
        <w:t xml:space="preserve"> </w:t>
      </w:r>
      <w:r>
        <w:rPr>
          <w:rFonts w:ascii="Arial Narrow"/>
          <w:sz w:val="18"/>
        </w:rPr>
        <w:t>the</w:t>
      </w:r>
      <w:r>
        <w:rPr>
          <w:rFonts w:ascii="Arial Narrow"/>
          <w:spacing w:val="-3"/>
          <w:sz w:val="18"/>
        </w:rPr>
        <w:t xml:space="preserve"> </w:t>
      </w:r>
      <w:r>
        <w:rPr>
          <w:rFonts w:ascii="Arial Narrow"/>
          <w:sz w:val="18"/>
        </w:rPr>
        <w:t>primary</w:t>
      </w:r>
      <w:r>
        <w:rPr>
          <w:rFonts w:ascii="Arial Narrow"/>
          <w:spacing w:val="-2"/>
          <w:sz w:val="18"/>
        </w:rPr>
        <w:t xml:space="preserve"> </w:t>
      </w:r>
      <w:r>
        <w:rPr>
          <w:rFonts w:ascii="Arial Narrow"/>
          <w:sz w:val="18"/>
        </w:rPr>
        <w:t>endpoint</w:t>
      </w:r>
      <w:r>
        <w:rPr>
          <w:rFonts w:ascii="Arial Narrow"/>
          <w:spacing w:val="-1"/>
          <w:sz w:val="18"/>
        </w:rPr>
        <w:t xml:space="preserve"> </w:t>
      </w:r>
      <w:r>
        <w:rPr>
          <w:rFonts w:ascii="Arial Narrow"/>
          <w:sz w:val="18"/>
        </w:rPr>
        <w:t>failed</w:t>
      </w:r>
      <w:r>
        <w:rPr>
          <w:rFonts w:ascii="Arial Narrow"/>
          <w:spacing w:val="-3"/>
          <w:sz w:val="18"/>
        </w:rPr>
        <w:t xml:space="preserve"> </w:t>
      </w:r>
      <w:r>
        <w:rPr>
          <w:rFonts w:ascii="Arial Narrow"/>
          <w:sz w:val="18"/>
        </w:rPr>
        <w:t>to</w:t>
      </w:r>
      <w:r>
        <w:rPr>
          <w:rFonts w:ascii="Arial Narrow"/>
          <w:spacing w:val="-3"/>
          <w:sz w:val="18"/>
        </w:rPr>
        <w:t xml:space="preserve"> </w:t>
      </w:r>
      <w:r>
        <w:rPr>
          <w:rFonts w:ascii="Arial Narrow"/>
          <w:sz w:val="18"/>
        </w:rPr>
        <w:t>reach statistical significance.</w:t>
      </w:r>
    </w:p>
    <w:p w14:paraId="086DB1D0" w14:textId="77777777" w:rsidR="0039344F" w:rsidRDefault="0039344F">
      <w:pPr>
        <w:spacing w:before="11"/>
        <w:ind w:left="135" w:right="642"/>
        <w:rPr>
          <w:rFonts w:ascii="Arial Narrow"/>
          <w:sz w:val="18"/>
        </w:rPr>
      </w:pPr>
    </w:p>
    <w:p w14:paraId="53B39005" w14:textId="77777777" w:rsidR="008B6261" w:rsidRDefault="004C6B8B">
      <w:pPr>
        <w:spacing w:before="137"/>
        <w:ind w:left="3077" w:right="567" w:hanging="2719"/>
        <w:rPr>
          <w:rFonts w:ascii="Arial" w:hAnsi="Arial"/>
          <w:b/>
          <w:sz w:val="20"/>
        </w:rPr>
      </w:pPr>
      <w:bookmarkStart w:id="72" w:name="_bookmark11"/>
      <w:bookmarkEnd w:id="72"/>
      <w:r>
        <w:rPr>
          <w:rFonts w:ascii="Arial" w:hAnsi="Arial"/>
          <w:b/>
          <w:sz w:val="20"/>
        </w:rPr>
        <w:t>Figure</w:t>
      </w:r>
      <w:r>
        <w:rPr>
          <w:rFonts w:ascii="Arial" w:hAnsi="Arial"/>
          <w:b/>
          <w:spacing w:val="-4"/>
          <w:sz w:val="20"/>
        </w:rPr>
        <w:t xml:space="preserve"> </w:t>
      </w:r>
      <w:r>
        <w:rPr>
          <w:rFonts w:ascii="Arial" w:hAnsi="Arial"/>
          <w:b/>
          <w:sz w:val="20"/>
        </w:rPr>
        <w:t>2</w:t>
      </w:r>
      <w:r>
        <w:rPr>
          <w:rFonts w:ascii="Arial" w:hAnsi="Arial"/>
          <w:b/>
          <w:spacing w:val="-4"/>
          <w:sz w:val="20"/>
        </w:rPr>
        <w:t xml:space="preserve"> </w:t>
      </w:r>
      <w:r>
        <w:rPr>
          <w:rFonts w:ascii="Arial" w:hAnsi="Arial"/>
          <w:b/>
          <w:sz w:val="20"/>
        </w:rPr>
        <w:t>-</w:t>
      </w:r>
      <w:r>
        <w:rPr>
          <w:rFonts w:ascii="Arial" w:hAnsi="Arial"/>
          <w:b/>
          <w:spacing w:val="-3"/>
          <w:sz w:val="20"/>
        </w:rPr>
        <w:t xml:space="preserve"> </w:t>
      </w:r>
      <w:r>
        <w:rPr>
          <w:rFonts w:ascii="Arial" w:hAnsi="Arial"/>
          <w:b/>
          <w:sz w:val="20"/>
        </w:rPr>
        <w:t>Kaplan-Meier</w:t>
      </w:r>
      <w:r>
        <w:rPr>
          <w:rFonts w:ascii="Arial" w:hAnsi="Arial"/>
          <w:b/>
          <w:spacing w:val="-5"/>
          <w:sz w:val="20"/>
        </w:rPr>
        <w:t xml:space="preserve"> </w:t>
      </w:r>
      <w:r>
        <w:rPr>
          <w:rFonts w:ascii="Arial" w:hAnsi="Arial"/>
          <w:b/>
          <w:sz w:val="20"/>
        </w:rPr>
        <w:t>plot</w:t>
      </w:r>
      <w:r>
        <w:rPr>
          <w:rFonts w:ascii="Arial" w:hAnsi="Arial"/>
          <w:b/>
          <w:spacing w:val="-3"/>
          <w:sz w:val="20"/>
        </w:rPr>
        <w:t xml:space="preserve"> </w:t>
      </w:r>
      <w:r>
        <w:rPr>
          <w:rFonts w:ascii="Arial" w:hAnsi="Arial"/>
          <w:b/>
          <w:sz w:val="20"/>
        </w:rPr>
        <w:t>of</w:t>
      </w:r>
      <w:r>
        <w:rPr>
          <w:rFonts w:ascii="Arial" w:hAnsi="Arial"/>
          <w:b/>
          <w:spacing w:val="-3"/>
          <w:sz w:val="20"/>
        </w:rPr>
        <w:t xml:space="preserve"> </w:t>
      </w:r>
      <w:r>
        <w:rPr>
          <w:rFonts w:ascii="Arial" w:hAnsi="Arial"/>
          <w:b/>
          <w:sz w:val="20"/>
        </w:rPr>
        <w:t>cumulative</w:t>
      </w:r>
      <w:r>
        <w:rPr>
          <w:rFonts w:ascii="Arial" w:hAnsi="Arial"/>
          <w:b/>
          <w:spacing w:val="-4"/>
          <w:sz w:val="20"/>
        </w:rPr>
        <w:t xml:space="preserve"> </w:t>
      </w:r>
      <w:r>
        <w:rPr>
          <w:rFonts w:ascii="Arial" w:hAnsi="Arial"/>
          <w:b/>
          <w:sz w:val="20"/>
        </w:rPr>
        <w:t>incidence</w:t>
      </w:r>
      <w:r>
        <w:rPr>
          <w:rFonts w:ascii="Arial" w:hAnsi="Arial"/>
          <w:b/>
          <w:spacing w:val="-4"/>
          <w:sz w:val="20"/>
        </w:rPr>
        <w:t xml:space="preserve"> </w:t>
      </w:r>
      <w:r>
        <w:rPr>
          <w:rFonts w:ascii="Arial" w:hAnsi="Arial"/>
          <w:b/>
          <w:sz w:val="20"/>
        </w:rPr>
        <w:t>rate</w:t>
      </w:r>
      <w:r>
        <w:rPr>
          <w:rFonts w:ascii="Arial" w:hAnsi="Arial"/>
          <w:b/>
          <w:spacing w:val="-2"/>
          <w:sz w:val="20"/>
        </w:rPr>
        <w:t xml:space="preserve"> </w:t>
      </w:r>
      <w:r>
        <w:rPr>
          <w:rFonts w:ascii="Arial" w:hAnsi="Arial"/>
          <w:b/>
          <w:sz w:val="20"/>
        </w:rPr>
        <w:t>of</w:t>
      </w:r>
      <w:r>
        <w:rPr>
          <w:rFonts w:ascii="Arial" w:hAnsi="Arial"/>
          <w:b/>
          <w:spacing w:val="-3"/>
          <w:sz w:val="20"/>
        </w:rPr>
        <w:t xml:space="preserve"> </w:t>
      </w:r>
      <w:r>
        <w:rPr>
          <w:rFonts w:ascii="Arial" w:hAnsi="Arial"/>
          <w:b/>
          <w:sz w:val="20"/>
        </w:rPr>
        <w:t>onset</w:t>
      </w:r>
      <w:r>
        <w:rPr>
          <w:rFonts w:ascii="Arial" w:hAnsi="Arial"/>
          <w:b/>
          <w:spacing w:val="-3"/>
          <w:sz w:val="20"/>
        </w:rPr>
        <w:t xml:space="preserve"> </w:t>
      </w:r>
      <w:r>
        <w:rPr>
          <w:rFonts w:ascii="Arial" w:hAnsi="Arial"/>
          <w:b/>
          <w:sz w:val="20"/>
        </w:rPr>
        <w:t>of</w:t>
      </w:r>
      <w:r>
        <w:rPr>
          <w:rFonts w:ascii="Arial" w:hAnsi="Arial"/>
          <w:b/>
          <w:spacing w:val="-3"/>
          <w:sz w:val="20"/>
        </w:rPr>
        <w:t xml:space="preserve"> </w:t>
      </w:r>
      <w:r>
        <w:rPr>
          <w:rFonts w:ascii="Arial" w:hAnsi="Arial"/>
          <w:b/>
          <w:sz w:val="20"/>
        </w:rPr>
        <w:t>6-month</w:t>
      </w:r>
      <w:r>
        <w:rPr>
          <w:rFonts w:ascii="Arial" w:hAnsi="Arial"/>
          <w:b/>
          <w:spacing w:val="-3"/>
          <w:sz w:val="20"/>
        </w:rPr>
        <w:t xml:space="preserve"> </w:t>
      </w:r>
      <w:r>
        <w:rPr>
          <w:rFonts w:ascii="Arial" w:hAnsi="Arial"/>
          <w:b/>
          <w:sz w:val="20"/>
        </w:rPr>
        <w:t>CDW</w:t>
      </w:r>
      <w:r>
        <w:rPr>
          <w:rFonts w:ascii="Arial" w:hAnsi="Arial"/>
          <w:b/>
          <w:spacing w:val="-2"/>
          <w:sz w:val="20"/>
        </w:rPr>
        <w:t xml:space="preserve"> </w:t>
      </w:r>
      <w:r>
        <w:rPr>
          <w:rFonts w:ascii="Arial" w:hAnsi="Arial"/>
          <w:b/>
          <w:sz w:val="20"/>
        </w:rPr>
        <w:t>–</w:t>
      </w:r>
      <w:r>
        <w:rPr>
          <w:rFonts w:ascii="Arial" w:hAnsi="Arial"/>
          <w:b/>
          <w:spacing w:val="-4"/>
          <w:sz w:val="20"/>
        </w:rPr>
        <w:t xml:space="preserve"> </w:t>
      </w:r>
      <w:r>
        <w:rPr>
          <w:rFonts w:ascii="Arial" w:hAnsi="Arial"/>
          <w:b/>
          <w:sz w:val="20"/>
        </w:rPr>
        <w:t>ITT population (Study 2 &amp; Study 3)</w:t>
      </w:r>
    </w:p>
    <w:p w14:paraId="53B39006" w14:textId="77777777" w:rsidR="008B6261" w:rsidRDefault="004C6B8B">
      <w:pPr>
        <w:pStyle w:val="BodyText"/>
        <w:spacing w:before="192"/>
        <w:rPr>
          <w:rFonts w:ascii="Arial"/>
          <w:b/>
          <w:sz w:val="20"/>
        </w:rPr>
      </w:pPr>
      <w:r>
        <w:rPr>
          <w:rFonts w:ascii="Arial"/>
          <w:b/>
          <w:noProof/>
          <w:sz w:val="20"/>
        </w:rPr>
        <w:drawing>
          <wp:inline distT="0" distB="0" distL="0" distR="0" wp14:anchorId="53B3907D" wp14:editId="0C180536">
            <wp:extent cx="5522583" cy="2581751"/>
            <wp:effectExtent l="0" t="0" r="2540" b="9525"/>
            <wp:docPr id="8" name="Image 8" descr="Figure 2 - Kaplan-Meier plot of cumulative incidence rate of onset of 6-month CDW – ITT population (Study 2 &amp; Study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Figure 2 - Kaplan-Meier plot of cumulative incidence rate of onset of 6-month CDW – ITT population (Study 2 &amp; Study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22583" cy="2581751"/>
                    </a:xfrm>
                    <a:prstGeom prst="rect">
                      <a:avLst/>
                    </a:prstGeom>
                  </pic:spPr>
                </pic:pic>
              </a:graphicData>
            </a:graphic>
          </wp:inline>
        </w:drawing>
      </w:r>
    </w:p>
    <w:p w14:paraId="53B39008" w14:textId="77777777" w:rsidR="008B6261" w:rsidRDefault="008B6261">
      <w:pPr>
        <w:pStyle w:val="BodyText"/>
        <w:spacing w:before="112"/>
        <w:rPr>
          <w:rFonts w:ascii="Arial"/>
          <w:b/>
          <w:sz w:val="20"/>
        </w:rPr>
      </w:pPr>
    </w:p>
    <w:p w14:paraId="53B39009" w14:textId="77777777" w:rsidR="008B6261" w:rsidRDefault="004C6B8B">
      <w:pPr>
        <w:pStyle w:val="ListParagraph"/>
        <w:numPr>
          <w:ilvl w:val="1"/>
          <w:numId w:val="4"/>
        </w:numPr>
        <w:tabs>
          <w:tab w:val="left" w:pos="700"/>
        </w:tabs>
        <w:spacing w:before="1"/>
        <w:ind w:left="700" w:hanging="677"/>
        <w:jc w:val="both"/>
        <w:rPr>
          <w:b/>
        </w:rPr>
      </w:pPr>
      <w:bookmarkStart w:id="73" w:name="5.2_Pharmacokinetic_properties"/>
      <w:bookmarkStart w:id="74" w:name="_bookmark12"/>
      <w:bookmarkEnd w:id="73"/>
      <w:bookmarkEnd w:id="74"/>
      <w:r>
        <w:rPr>
          <w:b/>
        </w:rPr>
        <w:t>PHARMACOKINETIC</w:t>
      </w:r>
      <w:r>
        <w:rPr>
          <w:b/>
          <w:spacing w:val="-13"/>
        </w:rPr>
        <w:t xml:space="preserve"> </w:t>
      </w:r>
      <w:r>
        <w:rPr>
          <w:b/>
          <w:spacing w:val="-2"/>
        </w:rPr>
        <w:t>PROPERTIES</w:t>
      </w:r>
    </w:p>
    <w:p w14:paraId="53B3900A" w14:textId="77777777" w:rsidR="008B6261" w:rsidRDefault="004C6B8B">
      <w:pPr>
        <w:pStyle w:val="BodyText"/>
        <w:ind w:left="23" w:right="587"/>
        <w:jc w:val="both"/>
      </w:pPr>
      <w:r>
        <w:t xml:space="preserve">The pharmacokinetics of tolebrutinib was studied in healthy subjects and patients with MS. </w:t>
      </w:r>
      <w:r>
        <w:rPr>
          <w:position w:val="2"/>
        </w:rPr>
        <w:t>tolebrutinib mean maximum plasma concentration (C</w:t>
      </w:r>
      <w:r>
        <w:rPr>
          <w:sz w:val="16"/>
        </w:rPr>
        <w:t>max</w:t>
      </w:r>
      <w:r>
        <w:rPr>
          <w:position w:val="2"/>
        </w:rPr>
        <w:t xml:space="preserve">) and AUC values increased </w:t>
      </w:r>
      <w:r>
        <w:t>proportionally</w:t>
      </w:r>
      <w:r>
        <w:rPr>
          <w:spacing w:val="-6"/>
        </w:rPr>
        <w:t xml:space="preserve"> </w:t>
      </w:r>
      <w:r>
        <w:t>with</w:t>
      </w:r>
      <w:r>
        <w:rPr>
          <w:spacing w:val="-6"/>
        </w:rPr>
        <w:t xml:space="preserve"> </w:t>
      </w:r>
      <w:r>
        <w:t>doses</w:t>
      </w:r>
      <w:r>
        <w:rPr>
          <w:spacing w:val="-6"/>
        </w:rPr>
        <w:t xml:space="preserve"> </w:t>
      </w:r>
      <w:r>
        <w:t>between</w:t>
      </w:r>
      <w:r>
        <w:rPr>
          <w:spacing w:val="-6"/>
        </w:rPr>
        <w:t xml:space="preserve"> </w:t>
      </w:r>
      <w:r>
        <w:t>5</w:t>
      </w:r>
      <w:r>
        <w:rPr>
          <w:spacing w:val="-6"/>
        </w:rPr>
        <w:t xml:space="preserve"> </w:t>
      </w:r>
      <w:r>
        <w:t>and</w:t>
      </w:r>
      <w:r>
        <w:rPr>
          <w:spacing w:val="-6"/>
        </w:rPr>
        <w:t xml:space="preserve"> </w:t>
      </w:r>
      <w:r>
        <w:t>60</w:t>
      </w:r>
      <w:r>
        <w:rPr>
          <w:spacing w:val="-3"/>
        </w:rPr>
        <w:t xml:space="preserve"> </w:t>
      </w:r>
      <w:r>
        <w:t>mg.</w:t>
      </w:r>
      <w:r>
        <w:rPr>
          <w:spacing w:val="-3"/>
        </w:rPr>
        <w:t xml:space="preserve"> </w:t>
      </w:r>
      <w:r>
        <w:t>In</w:t>
      </w:r>
      <w:r>
        <w:rPr>
          <w:spacing w:val="-3"/>
        </w:rPr>
        <w:t xml:space="preserve"> </w:t>
      </w:r>
      <w:r>
        <w:t>patients</w:t>
      </w:r>
      <w:r>
        <w:rPr>
          <w:spacing w:val="-6"/>
        </w:rPr>
        <w:t xml:space="preserve"> </w:t>
      </w:r>
      <w:r>
        <w:t>with</w:t>
      </w:r>
      <w:r>
        <w:rPr>
          <w:spacing w:val="-6"/>
        </w:rPr>
        <w:t xml:space="preserve"> </w:t>
      </w:r>
      <w:r>
        <w:t>nrSPMS</w:t>
      </w:r>
      <w:r>
        <w:rPr>
          <w:spacing w:val="-5"/>
        </w:rPr>
        <w:t xml:space="preserve"> </w:t>
      </w:r>
      <w:r>
        <w:t>at</w:t>
      </w:r>
      <w:r>
        <w:rPr>
          <w:spacing w:val="-8"/>
        </w:rPr>
        <w:t xml:space="preserve"> </w:t>
      </w:r>
      <w:r>
        <w:t>the</w:t>
      </w:r>
      <w:r>
        <w:rPr>
          <w:spacing w:val="-7"/>
        </w:rPr>
        <w:t xml:space="preserve"> </w:t>
      </w:r>
      <w:r>
        <w:t>recommended dose of 60</w:t>
      </w:r>
      <w:r>
        <w:rPr>
          <w:spacing w:val="-2"/>
        </w:rPr>
        <w:t xml:space="preserve"> </w:t>
      </w:r>
      <w:r>
        <w:t xml:space="preserve">mg daily with a meal, the mean steady state (% coefficient of variation [CV]) for </w:t>
      </w:r>
      <w:r>
        <w:rPr>
          <w:position w:val="2"/>
        </w:rPr>
        <w:t>AUC</w:t>
      </w:r>
      <w:r>
        <w:rPr>
          <w:sz w:val="16"/>
        </w:rPr>
        <w:t xml:space="preserve">0-24 </w:t>
      </w:r>
      <w:r>
        <w:rPr>
          <w:position w:val="2"/>
        </w:rPr>
        <w:t>and maximum plasma concentration C</w:t>
      </w:r>
      <w:r>
        <w:rPr>
          <w:sz w:val="16"/>
        </w:rPr>
        <w:t>max</w:t>
      </w:r>
      <w:r>
        <w:rPr>
          <w:spacing w:val="27"/>
          <w:sz w:val="16"/>
        </w:rPr>
        <w:t xml:space="preserve"> </w:t>
      </w:r>
      <w:r>
        <w:rPr>
          <w:position w:val="2"/>
        </w:rPr>
        <w:t xml:space="preserve">for tolebrutinib were 29.6 (60%) ng•h/mL </w:t>
      </w:r>
      <w:r>
        <w:t>and</w:t>
      </w:r>
      <w:r>
        <w:rPr>
          <w:spacing w:val="20"/>
        </w:rPr>
        <w:t xml:space="preserve"> </w:t>
      </w:r>
      <w:r>
        <w:t>9.94</w:t>
      </w:r>
      <w:r>
        <w:rPr>
          <w:spacing w:val="23"/>
        </w:rPr>
        <w:t xml:space="preserve"> </w:t>
      </w:r>
      <w:r>
        <w:t>(62%)</w:t>
      </w:r>
      <w:r>
        <w:rPr>
          <w:spacing w:val="22"/>
        </w:rPr>
        <w:t xml:space="preserve"> </w:t>
      </w:r>
      <w:r>
        <w:t>ng/mL,</w:t>
      </w:r>
      <w:r>
        <w:rPr>
          <w:spacing w:val="25"/>
        </w:rPr>
        <w:t xml:space="preserve"> </w:t>
      </w:r>
      <w:r>
        <w:t>respectively,</w:t>
      </w:r>
      <w:r>
        <w:rPr>
          <w:spacing w:val="24"/>
        </w:rPr>
        <w:t xml:space="preserve"> </w:t>
      </w:r>
      <w:r>
        <w:t>and</w:t>
      </w:r>
      <w:r>
        <w:rPr>
          <w:spacing w:val="23"/>
        </w:rPr>
        <w:t xml:space="preserve"> </w:t>
      </w:r>
      <w:r>
        <w:t>for</w:t>
      </w:r>
      <w:r>
        <w:rPr>
          <w:spacing w:val="22"/>
        </w:rPr>
        <w:t xml:space="preserve"> </w:t>
      </w:r>
      <w:r>
        <w:t>M2</w:t>
      </w:r>
      <w:r>
        <w:rPr>
          <w:spacing w:val="25"/>
        </w:rPr>
        <w:t xml:space="preserve"> </w:t>
      </w:r>
      <w:r>
        <w:t>metabolite</w:t>
      </w:r>
      <w:r>
        <w:rPr>
          <w:spacing w:val="21"/>
        </w:rPr>
        <w:t xml:space="preserve"> </w:t>
      </w:r>
      <w:r>
        <w:rPr>
          <w:color w:val="1F1F1F"/>
        </w:rPr>
        <w:t>were</w:t>
      </w:r>
      <w:r>
        <w:rPr>
          <w:color w:val="1F1F1F"/>
          <w:spacing w:val="22"/>
        </w:rPr>
        <w:t xml:space="preserve"> </w:t>
      </w:r>
      <w:r>
        <w:rPr>
          <w:color w:val="1F1F1F"/>
        </w:rPr>
        <w:t>84.6</w:t>
      </w:r>
      <w:r>
        <w:rPr>
          <w:color w:val="1F1F1F"/>
          <w:spacing w:val="25"/>
        </w:rPr>
        <w:t xml:space="preserve"> </w:t>
      </w:r>
      <w:r>
        <w:rPr>
          <w:color w:val="1F1F1F"/>
        </w:rPr>
        <w:t>(62%)</w:t>
      </w:r>
      <w:r>
        <w:rPr>
          <w:color w:val="1F1F1F"/>
          <w:spacing w:val="22"/>
        </w:rPr>
        <w:t xml:space="preserve"> </w:t>
      </w:r>
      <w:r>
        <w:rPr>
          <w:color w:val="1F1F1F"/>
        </w:rPr>
        <w:t>ng•h/mL</w:t>
      </w:r>
      <w:r>
        <w:rPr>
          <w:color w:val="1F1F1F"/>
          <w:spacing w:val="22"/>
        </w:rPr>
        <w:t xml:space="preserve"> </w:t>
      </w:r>
      <w:r>
        <w:rPr>
          <w:color w:val="1F1F1F"/>
          <w:spacing w:val="-5"/>
        </w:rPr>
        <w:t>and</w:t>
      </w:r>
    </w:p>
    <w:p w14:paraId="53B3900B" w14:textId="77777777" w:rsidR="008B6261" w:rsidRDefault="004C6B8B">
      <w:pPr>
        <w:pStyle w:val="BodyText"/>
        <w:spacing w:before="0" w:line="271" w:lineRule="exact"/>
        <w:ind w:left="23"/>
        <w:jc w:val="both"/>
      </w:pPr>
      <w:bookmarkStart w:id="75" w:name="Absorption"/>
      <w:bookmarkEnd w:id="75"/>
      <w:r>
        <w:rPr>
          <w:color w:val="1F1F1F"/>
        </w:rPr>
        <w:t>27.5</w:t>
      </w:r>
      <w:r>
        <w:rPr>
          <w:color w:val="1F1F1F"/>
          <w:spacing w:val="-1"/>
        </w:rPr>
        <w:t xml:space="preserve"> </w:t>
      </w:r>
      <w:r>
        <w:rPr>
          <w:color w:val="1F1F1F"/>
        </w:rPr>
        <w:t>(59%)</w:t>
      </w:r>
      <w:r>
        <w:rPr>
          <w:color w:val="1F1F1F"/>
          <w:spacing w:val="-2"/>
        </w:rPr>
        <w:t xml:space="preserve"> </w:t>
      </w:r>
      <w:r>
        <w:rPr>
          <w:color w:val="1F1F1F"/>
        </w:rPr>
        <w:t>ng/mL,</w:t>
      </w:r>
      <w:r>
        <w:rPr>
          <w:color w:val="1F1F1F"/>
          <w:spacing w:val="-1"/>
        </w:rPr>
        <w:t xml:space="preserve"> </w:t>
      </w:r>
      <w:r>
        <w:rPr>
          <w:color w:val="1F1F1F"/>
          <w:spacing w:val="-2"/>
        </w:rPr>
        <w:t>respectively.</w:t>
      </w:r>
    </w:p>
    <w:p w14:paraId="53B3900C" w14:textId="77777777" w:rsidR="008B6261" w:rsidRDefault="008B6261">
      <w:pPr>
        <w:pStyle w:val="BodyText"/>
        <w:spacing w:before="84"/>
      </w:pPr>
    </w:p>
    <w:p w14:paraId="53B3900D" w14:textId="77777777" w:rsidR="008B6261" w:rsidRDefault="004C6B8B">
      <w:pPr>
        <w:spacing w:before="1"/>
        <w:ind w:left="23"/>
        <w:rPr>
          <w:rFonts w:ascii="Arial"/>
          <w:b/>
        </w:rPr>
      </w:pPr>
      <w:r>
        <w:rPr>
          <w:rFonts w:ascii="Arial"/>
          <w:b/>
          <w:spacing w:val="-2"/>
        </w:rPr>
        <w:t>Absorption</w:t>
      </w:r>
    </w:p>
    <w:p w14:paraId="53B3900E" w14:textId="77777777" w:rsidR="008B6261" w:rsidRDefault="004C6B8B">
      <w:pPr>
        <w:pStyle w:val="BodyText"/>
        <w:ind w:left="23" w:right="588"/>
        <w:jc w:val="both"/>
      </w:pPr>
      <w:r>
        <w:t>Absolute oral bioavailability of tolebrutinib after a single oral 60</w:t>
      </w:r>
      <w:r>
        <w:rPr>
          <w:spacing w:val="-2"/>
        </w:rPr>
        <w:t xml:space="preserve"> </w:t>
      </w:r>
      <w:r>
        <w:t xml:space="preserve">mg dose with a meal was </w:t>
      </w:r>
      <w:r>
        <w:rPr>
          <w:position w:val="2"/>
        </w:rPr>
        <w:t>10.3%. The median time to reach C</w:t>
      </w:r>
      <w:r>
        <w:rPr>
          <w:sz w:val="16"/>
        </w:rPr>
        <w:t>max</w:t>
      </w:r>
      <w:r>
        <w:rPr>
          <w:spacing w:val="40"/>
          <w:sz w:val="16"/>
        </w:rPr>
        <w:t xml:space="preserve"> </w:t>
      </w:r>
      <w:r>
        <w:rPr>
          <w:position w:val="2"/>
        </w:rPr>
        <w:t xml:space="preserve">of tolebrutinib and M2 were around 1.3 hours in all </w:t>
      </w:r>
      <w:bookmarkStart w:id="76" w:name="Distribution"/>
      <w:bookmarkEnd w:id="76"/>
      <w:r>
        <w:t>studied patient populations.</w:t>
      </w:r>
    </w:p>
    <w:p w14:paraId="53B3900F" w14:textId="77777777" w:rsidR="008B6261" w:rsidRDefault="008B6261">
      <w:pPr>
        <w:pStyle w:val="BodyText"/>
        <w:spacing w:before="82"/>
      </w:pPr>
    </w:p>
    <w:p w14:paraId="53B39010" w14:textId="77777777" w:rsidR="008B6261" w:rsidRDefault="004C6B8B">
      <w:pPr>
        <w:ind w:left="23"/>
        <w:rPr>
          <w:rFonts w:ascii="Arial"/>
          <w:b/>
        </w:rPr>
      </w:pPr>
      <w:r>
        <w:rPr>
          <w:rFonts w:ascii="Arial"/>
          <w:b/>
          <w:spacing w:val="-2"/>
        </w:rPr>
        <w:t>Distribution</w:t>
      </w:r>
    </w:p>
    <w:p w14:paraId="53B39011" w14:textId="77777777" w:rsidR="008B6261" w:rsidRDefault="004C6B8B">
      <w:pPr>
        <w:pStyle w:val="BodyText"/>
        <w:spacing w:before="241"/>
        <w:ind w:left="23" w:right="567"/>
      </w:pPr>
      <w:r>
        <w:t>The steady state volume of distribution of tolebrutinib was approximately 255L. The tolebrutinib</w:t>
      </w:r>
      <w:r>
        <w:rPr>
          <w:spacing w:val="-1"/>
        </w:rPr>
        <w:t xml:space="preserve"> </w:t>
      </w:r>
      <w:r>
        <w:t>and</w:t>
      </w:r>
      <w:r>
        <w:rPr>
          <w:spacing w:val="-1"/>
        </w:rPr>
        <w:t xml:space="preserve"> </w:t>
      </w:r>
      <w:r>
        <w:t>M2</w:t>
      </w:r>
      <w:r>
        <w:rPr>
          <w:spacing w:val="-1"/>
        </w:rPr>
        <w:t xml:space="preserve"> </w:t>
      </w:r>
      <w:r>
        <w:rPr>
          <w:i/>
        </w:rPr>
        <w:t>in</w:t>
      </w:r>
      <w:r>
        <w:rPr>
          <w:i/>
          <w:spacing w:val="-1"/>
        </w:rPr>
        <w:t xml:space="preserve"> </w:t>
      </w:r>
      <w:r>
        <w:rPr>
          <w:i/>
        </w:rPr>
        <w:t>vitro</w:t>
      </w:r>
      <w:r>
        <w:rPr>
          <w:i/>
          <w:spacing w:val="-1"/>
        </w:rPr>
        <w:t xml:space="preserve"> </w:t>
      </w:r>
      <w:r>
        <w:t>unbound</w:t>
      </w:r>
      <w:r>
        <w:rPr>
          <w:spacing w:val="-1"/>
        </w:rPr>
        <w:t xml:space="preserve"> </w:t>
      </w:r>
      <w:r>
        <w:t>fraction</w:t>
      </w:r>
      <w:r>
        <w:rPr>
          <w:spacing w:val="-1"/>
        </w:rPr>
        <w:t xml:space="preserve"> </w:t>
      </w:r>
      <w:r>
        <w:t>ranged</w:t>
      </w:r>
      <w:r>
        <w:rPr>
          <w:spacing w:val="-1"/>
        </w:rPr>
        <w:t xml:space="preserve"> </w:t>
      </w:r>
      <w:r>
        <w:t>from</w:t>
      </w:r>
      <w:r>
        <w:rPr>
          <w:spacing w:val="-1"/>
        </w:rPr>
        <w:t xml:space="preserve"> </w:t>
      </w:r>
      <w:r>
        <w:t>11.1</w:t>
      </w:r>
      <w:r>
        <w:rPr>
          <w:spacing w:val="-1"/>
        </w:rPr>
        <w:t xml:space="preserve"> </w:t>
      </w:r>
      <w:r>
        <w:t>to</w:t>
      </w:r>
      <w:r>
        <w:rPr>
          <w:spacing w:val="-1"/>
        </w:rPr>
        <w:t xml:space="preserve"> </w:t>
      </w:r>
      <w:r>
        <w:t>12.5</w:t>
      </w:r>
      <w:r>
        <w:rPr>
          <w:spacing w:val="-1"/>
        </w:rPr>
        <w:t xml:space="preserve"> </w:t>
      </w:r>
      <w:r>
        <w:t>% and</w:t>
      </w:r>
      <w:r>
        <w:rPr>
          <w:spacing w:val="-1"/>
        </w:rPr>
        <w:t xml:space="preserve"> </w:t>
      </w:r>
      <w:r>
        <w:t>from</w:t>
      </w:r>
      <w:r>
        <w:rPr>
          <w:spacing w:val="-1"/>
        </w:rPr>
        <w:t xml:space="preserve"> </w:t>
      </w:r>
      <w:r>
        <w:t>8.6</w:t>
      </w:r>
      <w:r>
        <w:rPr>
          <w:spacing w:val="-1"/>
        </w:rPr>
        <w:t xml:space="preserve"> </w:t>
      </w:r>
      <w:r>
        <w:t>to 38%, respectively. In</w:t>
      </w:r>
      <w:r>
        <w:rPr>
          <w:spacing w:val="40"/>
        </w:rPr>
        <w:t xml:space="preserve"> </w:t>
      </w:r>
      <w:r>
        <w:t>n=2 healthy subjects receiving 60mg, tolebrutinib and the M2 metabolite</w:t>
      </w:r>
      <w:r>
        <w:rPr>
          <w:spacing w:val="-4"/>
        </w:rPr>
        <w:t xml:space="preserve"> </w:t>
      </w:r>
      <w:r>
        <w:t>appear</w:t>
      </w:r>
      <w:r>
        <w:rPr>
          <w:spacing w:val="-4"/>
        </w:rPr>
        <w:t xml:space="preserve"> </w:t>
      </w:r>
      <w:r>
        <w:t>in</w:t>
      </w:r>
      <w:r>
        <w:rPr>
          <w:spacing w:val="-3"/>
        </w:rPr>
        <w:t xml:space="preserve"> </w:t>
      </w:r>
      <w:r>
        <w:t>the</w:t>
      </w:r>
      <w:r>
        <w:rPr>
          <w:spacing w:val="-2"/>
        </w:rPr>
        <w:t xml:space="preserve"> </w:t>
      </w:r>
      <w:r>
        <w:t>cerebrospinal</w:t>
      </w:r>
      <w:r>
        <w:rPr>
          <w:spacing w:val="-3"/>
        </w:rPr>
        <w:t xml:space="preserve"> </w:t>
      </w:r>
      <w:r>
        <w:t>fluid</w:t>
      </w:r>
      <w:r>
        <w:rPr>
          <w:spacing w:val="-3"/>
        </w:rPr>
        <w:t xml:space="preserve"> </w:t>
      </w:r>
      <w:r>
        <w:t>(CSF),</w:t>
      </w:r>
      <w:r>
        <w:rPr>
          <w:spacing w:val="-4"/>
        </w:rPr>
        <w:t xml:space="preserve"> </w:t>
      </w:r>
      <w:r>
        <w:t>with</w:t>
      </w:r>
      <w:r>
        <w:rPr>
          <w:spacing w:val="-4"/>
        </w:rPr>
        <w:t xml:space="preserve"> </w:t>
      </w:r>
      <w:r>
        <w:t>a</w:t>
      </w:r>
      <w:r>
        <w:rPr>
          <w:spacing w:val="-4"/>
        </w:rPr>
        <w:t xml:space="preserve"> </w:t>
      </w:r>
      <w:r>
        <w:t>mean</w:t>
      </w:r>
      <w:r>
        <w:rPr>
          <w:spacing w:val="-3"/>
        </w:rPr>
        <w:t xml:space="preserve"> </w:t>
      </w:r>
      <w:r>
        <w:t>maximal</w:t>
      </w:r>
      <w:r>
        <w:rPr>
          <w:spacing w:val="-3"/>
        </w:rPr>
        <w:t xml:space="preserve"> </w:t>
      </w:r>
      <w:r>
        <w:t>CSF</w:t>
      </w:r>
      <w:r>
        <w:rPr>
          <w:spacing w:val="-5"/>
        </w:rPr>
        <w:t xml:space="preserve"> </w:t>
      </w:r>
      <w:r>
        <w:t>to</w:t>
      </w:r>
      <w:r>
        <w:rPr>
          <w:spacing w:val="-3"/>
        </w:rPr>
        <w:t xml:space="preserve"> </w:t>
      </w:r>
      <w:r>
        <w:t>unbound plasma ratio of 0.90 and 0.38, respectively.</w:t>
      </w:r>
    </w:p>
    <w:p w14:paraId="49DB977F" w14:textId="77777777" w:rsidR="0039344F" w:rsidRDefault="0039344F">
      <w:pPr>
        <w:spacing w:before="81"/>
        <w:ind w:left="23"/>
        <w:rPr>
          <w:rFonts w:ascii="Arial"/>
          <w:b/>
          <w:spacing w:val="-2"/>
        </w:rPr>
      </w:pPr>
      <w:bookmarkStart w:id="77" w:name="Metabolism"/>
      <w:bookmarkEnd w:id="77"/>
    </w:p>
    <w:p w14:paraId="53B39013" w14:textId="5602F0C5" w:rsidR="008B6261" w:rsidRDefault="004C6B8B">
      <w:pPr>
        <w:spacing w:before="81"/>
        <w:ind w:left="23"/>
        <w:rPr>
          <w:rFonts w:ascii="Arial"/>
          <w:b/>
        </w:rPr>
      </w:pPr>
      <w:r>
        <w:rPr>
          <w:rFonts w:ascii="Arial"/>
          <w:b/>
          <w:spacing w:val="-2"/>
        </w:rPr>
        <w:t>Metabolism</w:t>
      </w:r>
    </w:p>
    <w:p w14:paraId="53B39014" w14:textId="77777777" w:rsidR="008B6261" w:rsidRDefault="004C6B8B">
      <w:pPr>
        <w:pStyle w:val="BodyText"/>
        <w:ind w:left="22" w:right="587"/>
        <w:jc w:val="both"/>
      </w:pPr>
      <w:r>
        <w:rPr>
          <w:i/>
        </w:rPr>
        <w:t>In</w:t>
      </w:r>
      <w:r>
        <w:rPr>
          <w:i/>
          <w:spacing w:val="-5"/>
        </w:rPr>
        <w:t xml:space="preserve"> </w:t>
      </w:r>
      <w:r>
        <w:rPr>
          <w:i/>
        </w:rPr>
        <w:t>vitro,</w:t>
      </w:r>
      <w:r>
        <w:rPr>
          <w:i/>
          <w:spacing w:val="-5"/>
        </w:rPr>
        <w:t xml:space="preserve"> </w:t>
      </w:r>
      <w:r>
        <w:t>tolebrutinib</w:t>
      </w:r>
      <w:r>
        <w:rPr>
          <w:spacing w:val="-5"/>
        </w:rPr>
        <w:t xml:space="preserve"> </w:t>
      </w:r>
      <w:r>
        <w:t>is</w:t>
      </w:r>
      <w:r>
        <w:rPr>
          <w:spacing w:val="-5"/>
        </w:rPr>
        <w:t xml:space="preserve"> </w:t>
      </w:r>
      <w:r>
        <w:t>metabolised</w:t>
      </w:r>
      <w:r>
        <w:rPr>
          <w:spacing w:val="-5"/>
        </w:rPr>
        <w:t xml:space="preserve"> </w:t>
      </w:r>
      <w:r>
        <w:t>mainly</w:t>
      </w:r>
      <w:r>
        <w:rPr>
          <w:spacing w:val="-5"/>
        </w:rPr>
        <w:t xml:space="preserve"> </w:t>
      </w:r>
      <w:r>
        <w:t>by</w:t>
      </w:r>
      <w:r>
        <w:rPr>
          <w:spacing w:val="-5"/>
        </w:rPr>
        <w:t xml:space="preserve"> </w:t>
      </w:r>
      <w:r>
        <w:t>CYP2C8</w:t>
      </w:r>
      <w:r>
        <w:rPr>
          <w:spacing w:val="-5"/>
        </w:rPr>
        <w:t xml:space="preserve"> </w:t>
      </w:r>
      <w:r>
        <w:t>and</w:t>
      </w:r>
      <w:r>
        <w:rPr>
          <w:spacing w:val="-5"/>
        </w:rPr>
        <w:t xml:space="preserve"> </w:t>
      </w:r>
      <w:r>
        <w:t>CYP3A4</w:t>
      </w:r>
      <w:r>
        <w:rPr>
          <w:spacing w:val="-5"/>
        </w:rPr>
        <w:t xml:space="preserve"> </w:t>
      </w:r>
      <w:r>
        <w:t>and</w:t>
      </w:r>
      <w:r>
        <w:rPr>
          <w:spacing w:val="-5"/>
        </w:rPr>
        <w:t xml:space="preserve"> </w:t>
      </w:r>
      <w:r>
        <w:t>to</w:t>
      </w:r>
      <w:r>
        <w:rPr>
          <w:spacing w:val="-5"/>
        </w:rPr>
        <w:t xml:space="preserve"> </w:t>
      </w:r>
      <w:r>
        <w:t>a</w:t>
      </w:r>
      <w:r>
        <w:rPr>
          <w:spacing w:val="-6"/>
        </w:rPr>
        <w:t xml:space="preserve"> </w:t>
      </w:r>
      <w:r>
        <w:t>lesser</w:t>
      </w:r>
      <w:r>
        <w:rPr>
          <w:spacing w:val="-6"/>
        </w:rPr>
        <w:t xml:space="preserve"> </w:t>
      </w:r>
      <w:r>
        <w:t>extent</w:t>
      </w:r>
      <w:r>
        <w:rPr>
          <w:spacing w:val="-4"/>
        </w:rPr>
        <w:t xml:space="preserve"> </w:t>
      </w:r>
      <w:r>
        <w:t xml:space="preserve">by CYP2J2 and CYP2D6. </w:t>
      </w:r>
      <w:r>
        <w:rPr>
          <w:i/>
        </w:rPr>
        <w:t>In vivo</w:t>
      </w:r>
      <w:r>
        <w:t>, tolebrutinib is mainly metabolised by CYP2C8 and to a</w:t>
      </w:r>
      <w:r>
        <w:rPr>
          <w:spacing w:val="-1"/>
        </w:rPr>
        <w:t xml:space="preserve"> </w:t>
      </w:r>
      <w:r>
        <w:t>lesser extent by CYP3A4. The M2 metabolite is formed from tolebrutinib exclusively via CYP2C8 and</w:t>
      </w:r>
      <w:r>
        <w:rPr>
          <w:spacing w:val="-12"/>
        </w:rPr>
        <w:t xml:space="preserve"> </w:t>
      </w:r>
      <w:r>
        <w:t>is</w:t>
      </w:r>
      <w:r>
        <w:rPr>
          <w:spacing w:val="-12"/>
        </w:rPr>
        <w:t xml:space="preserve"> </w:t>
      </w:r>
      <w:r>
        <w:t>metabolised</w:t>
      </w:r>
      <w:r>
        <w:rPr>
          <w:spacing w:val="-12"/>
        </w:rPr>
        <w:t xml:space="preserve"> </w:t>
      </w:r>
      <w:r>
        <w:t>mainly</w:t>
      </w:r>
      <w:r>
        <w:rPr>
          <w:spacing w:val="-12"/>
        </w:rPr>
        <w:t xml:space="preserve"> </w:t>
      </w:r>
      <w:r>
        <w:t>by</w:t>
      </w:r>
      <w:r>
        <w:rPr>
          <w:spacing w:val="-12"/>
        </w:rPr>
        <w:t xml:space="preserve"> </w:t>
      </w:r>
      <w:r>
        <w:t>CYP3A4/5</w:t>
      </w:r>
      <w:r>
        <w:rPr>
          <w:spacing w:val="-12"/>
        </w:rPr>
        <w:t xml:space="preserve"> </w:t>
      </w:r>
      <w:r>
        <w:t>and</w:t>
      </w:r>
      <w:r>
        <w:rPr>
          <w:spacing w:val="-12"/>
        </w:rPr>
        <w:t xml:space="preserve"> </w:t>
      </w:r>
      <w:r>
        <w:t>to</w:t>
      </w:r>
      <w:r>
        <w:rPr>
          <w:spacing w:val="-12"/>
        </w:rPr>
        <w:t xml:space="preserve"> </w:t>
      </w:r>
      <w:r>
        <w:t>a</w:t>
      </w:r>
      <w:r>
        <w:rPr>
          <w:spacing w:val="-13"/>
        </w:rPr>
        <w:t xml:space="preserve"> </w:t>
      </w:r>
      <w:r>
        <w:t>lesser</w:t>
      </w:r>
      <w:r>
        <w:rPr>
          <w:spacing w:val="-13"/>
        </w:rPr>
        <w:t xml:space="preserve"> </w:t>
      </w:r>
      <w:r>
        <w:t>extent</w:t>
      </w:r>
      <w:r>
        <w:rPr>
          <w:spacing w:val="-12"/>
        </w:rPr>
        <w:t xml:space="preserve"> </w:t>
      </w:r>
      <w:r>
        <w:t>by</w:t>
      </w:r>
      <w:r>
        <w:rPr>
          <w:spacing w:val="-12"/>
        </w:rPr>
        <w:t xml:space="preserve"> </w:t>
      </w:r>
      <w:r>
        <w:t>CYP2D6.</w:t>
      </w:r>
      <w:r>
        <w:rPr>
          <w:spacing w:val="-10"/>
        </w:rPr>
        <w:t xml:space="preserve"> </w:t>
      </w:r>
      <w:r>
        <w:t>M2</w:t>
      </w:r>
      <w:r>
        <w:rPr>
          <w:spacing w:val="-12"/>
        </w:rPr>
        <w:t xml:space="preserve"> </w:t>
      </w:r>
      <w:r>
        <w:t>circulates</w:t>
      </w:r>
      <w:r>
        <w:rPr>
          <w:spacing w:val="-12"/>
        </w:rPr>
        <w:t xml:space="preserve"> </w:t>
      </w:r>
      <w:r>
        <w:t xml:space="preserve">with </w:t>
      </w:r>
      <w:r>
        <w:lastRenderedPageBreak/>
        <w:t>an exposure 5.7- fold higher than the parent compound and exhibits similar covalent binding potency on BTK to tolebrutinib.</w:t>
      </w:r>
    </w:p>
    <w:p w14:paraId="036581A0" w14:textId="77777777" w:rsidR="00790B46" w:rsidRDefault="00790B46" w:rsidP="00790B46">
      <w:pPr>
        <w:pStyle w:val="BodyText"/>
        <w:ind w:left="22" w:right="587"/>
      </w:pPr>
    </w:p>
    <w:p w14:paraId="53B39016" w14:textId="77777777" w:rsidR="008B6261" w:rsidRDefault="004C6B8B" w:rsidP="00790B46">
      <w:pPr>
        <w:spacing w:before="1"/>
        <w:ind w:left="23"/>
        <w:rPr>
          <w:rFonts w:ascii="Arial"/>
          <w:b/>
        </w:rPr>
      </w:pPr>
      <w:bookmarkStart w:id="78" w:name="Excretion"/>
      <w:bookmarkEnd w:id="78"/>
      <w:r>
        <w:rPr>
          <w:rFonts w:ascii="Arial"/>
          <w:b/>
          <w:spacing w:val="-2"/>
        </w:rPr>
        <w:t>Excretion</w:t>
      </w:r>
    </w:p>
    <w:p w14:paraId="53B39017" w14:textId="77777777" w:rsidR="008B6261" w:rsidRDefault="004C6B8B">
      <w:pPr>
        <w:pStyle w:val="BodyText"/>
        <w:spacing w:before="240"/>
        <w:ind w:left="23" w:right="589"/>
        <w:jc w:val="both"/>
      </w:pPr>
      <w:r>
        <w:t>Following a single 60</w:t>
      </w:r>
      <w:r>
        <w:rPr>
          <w:spacing w:val="-2"/>
        </w:rPr>
        <w:t xml:space="preserve"> </w:t>
      </w:r>
      <w:r>
        <w:t>mg radiolabelled tolebrutinib dose in healthy subjects, over 90% of the dose was recovered within 216 hours, with majority (85%) of radioactivity within 72 hours. Seventy-eight percent of the dose was recovered in the faeces and 14% of the dose was recovered in the urine. Unchanged tolebrutinib accounted for 3.8%</w:t>
      </w:r>
      <w:r>
        <w:rPr>
          <w:spacing w:val="-3"/>
        </w:rPr>
        <w:t xml:space="preserve"> </w:t>
      </w:r>
      <w:r>
        <w:t xml:space="preserve">of the radiolabelled </w:t>
      </w:r>
      <w:bookmarkStart w:id="79" w:name="Special_Populations"/>
      <w:bookmarkEnd w:id="79"/>
      <w:r>
        <w:t>excreted dose in faeces and none in urine.</w:t>
      </w:r>
    </w:p>
    <w:p w14:paraId="53B39018" w14:textId="77777777" w:rsidR="008B6261" w:rsidRDefault="008B6261">
      <w:pPr>
        <w:pStyle w:val="BodyText"/>
        <w:spacing w:before="85"/>
      </w:pPr>
    </w:p>
    <w:p w14:paraId="53B39019" w14:textId="77777777" w:rsidR="008B6261" w:rsidRDefault="004C6B8B">
      <w:pPr>
        <w:ind w:left="23"/>
        <w:rPr>
          <w:rFonts w:ascii="Arial"/>
          <w:b/>
        </w:rPr>
      </w:pPr>
      <w:r>
        <w:rPr>
          <w:rFonts w:ascii="Arial"/>
          <w:b/>
        </w:rPr>
        <w:t>Special</w:t>
      </w:r>
      <w:r>
        <w:rPr>
          <w:rFonts w:ascii="Arial"/>
          <w:b/>
          <w:spacing w:val="-2"/>
        </w:rPr>
        <w:t xml:space="preserve"> Populations</w:t>
      </w:r>
    </w:p>
    <w:p w14:paraId="53B3901A" w14:textId="77777777" w:rsidR="008B6261" w:rsidRDefault="008B6261">
      <w:pPr>
        <w:pStyle w:val="BodyText"/>
        <w:spacing w:before="106"/>
        <w:rPr>
          <w:rFonts w:ascii="Arial"/>
          <w:b/>
          <w:sz w:val="22"/>
        </w:rPr>
      </w:pPr>
    </w:p>
    <w:p w14:paraId="53B3901B" w14:textId="77777777" w:rsidR="008B6261" w:rsidRDefault="004C6B8B">
      <w:pPr>
        <w:ind w:left="23"/>
        <w:rPr>
          <w:rFonts w:ascii="Arial"/>
          <w:b/>
          <w:i/>
        </w:rPr>
      </w:pPr>
      <w:bookmarkStart w:id="80" w:name="Age"/>
      <w:bookmarkEnd w:id="80"/>
      <w:r>
        <w:rPr>
          <w:rFonts w:ascii="Arial"/>
          <w:b/>
          <w:i/>
          <w:spacing w:val="-5"/>
        </w:rPr>
        <w:t>Age</w:t>
      </w:r>
    </w:p>
    <w:p w14:paraId="53B3901C" w14:textId="77777777" w:rsidR="008B6261" w:rsidRDefault="004C6B8B">
      <w:pPr>
        <w:pStyle w:val="BodyText"/>
        <w:spacing w:before="241"/>
        <w:ind w:left="23" w:right="591"/>
        <w:jc w:val="both"/>
      </w:pPr>
      <w:r>
        <w:t>Based</w:t>
      </w:r>
      <w:r>
        <w:rPr>
          <w:spacing w:val="-4"/>
        </w:rPr>
        <w:t xml:space="preserve"> </w:t>
      </w:r>
      <w:r>
        <w:t>on</w:t>
      </w:r>
      <w:r>
        <w:rPr>
          <w:spacing w:val="-7"/>
        </w:rPr>
        <w:t xml:space="preserve"> </w:t>
      </w:r>
      <w:r>
        <w:t>the</w:t>
      </w:r>
      <w:r>
        <w:rPr>
          <w:spacing w:val="-5"/>
        </w:rPr>
        <w:t xml:space="preserve"> </w:t>
      </w:r>
      <w:r>
        <w:t>population</w:t>
      </w:r>
      <w:r>
        <w:rPr>
          <w:spacing w:val="-4"/>
        </w:rPr>
        <w:t xml:space="preserve"> </w:t>
      </w:r>
      <w:r>
        <w:t>pharmacokinetic</w:t>
      </w:r>
      <w:r>
        <w:rPr>
          <w:spacing w:val="-3"/>
        </w:rPr>
        <w:t xml:space="preserve"> </w:t>
      </w:r>
      <w:r>
        <w:t>analysis</w:t>
      </w:r>
      <w:r>
        <w:rPr>
          <w:spacing w:val="-4"/>
        </w:rPr>
        <w:t xml:space="preserve"> </w:t>
      </w:r>
      <w:r>
        <w:t>age</w:t>
      </w:r>
      <w:r>
        <w:rPr>
          <w:spacing w:val="-3"/>
        </w:rPr>
        <w:t xml:space="preserve"> </w:t>
      </w:r>
      <w:r>
        <w:t>over</w:t>
      </w:r>
      <w:r>
        <w:rPr>
          <w:spacing w:val="-3"/>
        </w:rPr>
        <w:t xml:space="preserve"> </w:t>
      </w:r>
      <w:r>
        <w:t>40</w:t>
      </w:r>
      <w:r>
        <w:rPr>
          <w:spacing w:val="-4"/>
        </w:rPr>
        <w:t xml:space="preserve"> </w:t>
      </w:r>
      <w:r>
        <w:t>years</w:t>
      </w:r>
      <w:r>
        <w:rPr>
          <w:spacing w:val="-4"/>
        </w:rPr>
        <w:t xml:space="preserve"> </w:t>
      </w:r>
      <w:r>
        <w:t>had</w:t>
      </w:r>
      <w:r>
        <w:rPr>
          <w:spacing w:val="-4"/>
        </w:rPr>
        <w:t xml:space="preserve"> </w:t>
      </w:r>
      <w:r>
        <w:t>no</w:t>
      </w:r>
      <w:r>
        <w:rPr>
          <w:spacing w:val="-2"/>
        </w:rPr>
        <w:t xml:space="preserve"> </w:t>
      </w:r>
      <w:r>
        <w:t>meaningful</w:t>
      </w:r>
      <w:r>
        <w:rPr>
          <w:spacing w:val="-2"/>
        </w:rPr>
        <w:t xml:space="preserve"> </w:t>
      </w:r>
      <w:r>
        <w:t xml:space="preserve">effect </w:t>
      </w:r>
      <w:bookmarkStart w:id="81" w:name="Gender"/>
      <w:bookmarkEnd w:id="81"/>
      <w:r>
        <w:t>on tolebrutinib pharmacokinetics. There is no data on patients aged greater than 60 years.</w:t>
      </w:r>
    </w:p>
    <w:p w14:paraId="53B3901D" w14:textId="77777777" w:rsidR="008B6261" w:rsidRDefault="008B6261">
      <w:pPr>
        <w:pStyle w:val="BodyText"/>
        <w:spacing w:before="84"/>
      </w:pPr>
    </w:p>
    <w:p w14:paraId="53B3901E" w14:textId="77777777" w:rsidR="008B6261" w:rsidRDefault="004C6B8B">
      <w:pPr>
        <w:spacing w:before="1"/>
        <w:ind w:left="23"/>
        <w:rPr>
          <w:rFonts w:ascii="Arial"/>
          <w:b/>
          <w:i/>
        </w:rPr>
      </w:pPr>
      <w:r>
        <w:rPr>
          <w:rFonts w:ascii="Arial"/>
          <w:b/>
          <w:i/>
          <w:spacing w:val="-2"/>
        </w:rPr>
        <w:t>Gender</w:t>
      </w:r>
    </w:p>
    <w:p w14:paraId="53B3901F" w14:textId="77777777" w:rsidR="008B6261" w:rsidRDefault="004C6B8B">
      <w:pPr>
        <w:pStyle w:val="BodyText"/>
        <w:ind w:left="23" w:right="590"/>
        <w:jc w:val="both"/>
      </w:pPr>
      <w:r>
        <w:t xml:space="preserve">Based on the population pharmacokinetic analysis gender had no meaningful effect on </w:t>
      </w:r>
      <w:bookmarkStart w:id="82" w:name="Race"/>
      <w:bookmarkEnd w:id="82"/>
      <w:r>
        <w:t>tolebrutinib pharmacokinetics</w:t>
      </w:r>
    </w:p>
    <w:p w14:paraId="53B39020" w14:textId="77777777" w:rsidR="008B6261" w:rsidRDefault="008B6261">
      <w:pPr>
        <w:pStyle w:val="BodyText"/>
        <w:spacing w:before="85"/>
      </w:pPr>
    </w:p>
    <w:p w14:paraId="53B39021" w14:textId="77777777" w:rsidR="008B6261" w:rsidRDefault="004C6B8B">
      <w:pPr>
        <w:ind w:left="23"/>
        <w:rPr>
          <w:rFonts w:ascii="Arial"/>
          <w:b/>
          <w:i/>
        </w:rPr>
      </w:pPr>
      <w:r>
        <w:rPr>
          <w:rFonts w:ascii="Arial"/>
          <w:b/>
          <w:i/>
          <w:spacing w:val="-4"/>
        </w:rPr>
        <w:t>Race</w:t>
      </w:r>
    </w:p>
    <w:p w14:paraId="53B39022" w14:textId="77777777" w:rsidR="008B6261" w:rsidRDefault="004C6B8B">
      <w:pPr>
        <w:pStyle w:val="BodyText"/>
        <w:ind w:left="23" w:right="587"/>
        <w:jc w:val="both"/>
      </w:pPr>
      <w:r>
        <w:t>Based on the population pharmacokinetic analysis race had no relevant difference between Chinese</w:t>
      </w:r>
      <w:r>
        <w:rPr>
          <w:spacing w:val="19"/>
        </w:rPr>
        <w:t xml:space="preserve"> </w:t>
      </w:r>
      <w:r>
        <w:t>vs.</w:t>
      </w:r>
      <w:r>
        <w:rPr>
          <w:spacing w:val="22"/>
        </w:rPr>
        <w:t xml:space="preserve"> </w:t>
      </w:r>
      <w:r>
        <w:t>non-Chinese</w:t>
      </w:r>
      <w:r>
        <w:rPr>
          <w:spacing w:val="23"/>
        </w:rPr>
        <w:t xml:space="preserve"> </w:t>
      </w:r>
      <w:r>
        <w:t>patients</w:t>
      </w:r>
      <w:r>
        <w:rPr>
          <w:spacing w:val="22"/>
        </w:rPr>
        <w:t xml:space="preserve"> </w:t>
      </w:r>
      <w:r>
        <w:t>tolebrutinib</w:t>
      </w:r>
      <w:r>
        <w:rPr>
          <w:spacing w:val="23"/>
        </w:rPr>
        <w:t xml:space="preserve"> </w:t>
      </w:r>
      <w:r>
        <w:t>pharmacokinetics</w:t>
      </w:r>
      <w:r>
        <w:rPr>
          <w:spacing w:val="22"/>
        </w:rPr>
        <w:t xml:space="preserve"> </w:t>
      </w:r>
      <w:r>
        <w:t>but</w:t>
      </w:r>
      <w:r>
        <w:rPr>
          <w:spacing w:val="22"/>
        </w:rPr>
        <w:t xml:space="preserve"> </w:t>
      </w:r>
      <w:r>
        <w:t>exposure</w:t>
      </w:r>
      <w:r>
        <w:rPr>
          <w:spacing w:val="21"/>
        </w:rPr>
        <w:t xml:space="preserve"> </w:t>
      </w:r>
      <w:r>
        <w:t>was</w:t>
      </w:r>
      <w:r>
        <w:rPr>
          <w:spacing w:val="23"/>
        </w:rPr>
        <w:t xml:space="preserve"> </w:t>
      </w:r>
      <w:r>
        <w:rPr>
          <w:spacing w:val="-2"/>
        </w:rPr>
        <w:t>increased</w:t>
      </w:r>
    </w:p>
    <w:p w14:paraId="53B39023" w14:textId="77777777" w:rsidR="008B6261" w:rsidRDefault="004C6B8B">
      <w:pPr>
        <w:pStyle w:val="BodyText"/>
        <w:spacing w:before="0"/>
        <w:ind w:left="23"/>
        <w:jc w:val="both"/>
      </w:pPr>
      <w:bookmarkStart w:id="83" w:name="Hepatic_Impairment"/>
      <w:bookmarkEnd w:id="83"/>
      <w:r>
        <w:t>~70-80%</w:t>
      </w:r>
      <w:r>
        <w:rPr>
          <w:spacing w:val="-5"/>
        </w:rPr>
        <w:t xml:space="preserve"> </w:t>
      </w:r>
      <w:r>
        <w:t>in</w:t>
      </w:r>
      <w:r>
        <w:rPr>
          <w:spacing w:val="-1"/>
        </w:rPr>
        <w:t xml:space="preserve"> </w:t>
      </w:r>
      <w:r>
        <w:t>Japanese</w:t>
      </w:r>
      <w:r>
        <w:rPr>
          <w:spacing w:val="-2"/>
        </w:rPr>
        <w:t xml:space="preserve"> </w:t>
      </w:r>
      <w:r>
        <w:t>vs.</w:t>
      </w:r>
      <w:r>
        <w:rPr>
          <w:spacing w:val="1"/>
        </w:rPr>
        <w:t xml:space="preserve"> </w:t>
      </w:r>
      <w:r>
        <w:t>non-Japanese</w:t>
      </w:r>
      <w:r>
        <w:rPr>
          <w:spacing w:val="-2"/>
        </w:rPr>
        <w:t xml:space="preserve"> patients.</w:t>
      </w:r>
    </w:p>
    <w:p w14:paraId="53B39024" w14:textId="77777777" w:rsidR="008B6261" w:rsidRDefault="008B6261">
      <w:pPr>
        <w:pStyle w:val="BodyText"/>
        <w:spacing w:before="85"/>
      </w:pPr>
    </w:p>
    <w:p w14:paraId="53B39025" w14:textId="77777777" w:rsidR="008B6261" w:rsidRDefault="004C6B8B">
      <w:pPr>
        <w:ind w:left="23"/>
        <w:rPr>
          <w:rFonts w:ascii="Arial"/>
          <w:b/>
          <w:i/>
        </w:rPr>
      </w:pPr>
      <w:r>
        <w:rPr>
          <w:rFonts w:ascii="Arial"/>
          <w:b/>
          <w:i/>
        </w:rPr>
        <w:t>Hepatic</w:t>
      </w:r>
      <w:r>
        <w:rPr>
          <w:rFonts w:ascii="Arial"/>
          <w:b/>
          <w:i/>
          <w:spacing w:val="-6"/>
        </w:rPr>
        <w:t xml:space="preserve"> </w:t>
      </w:r>
      <w:r>
        <w:rPr>
          <w:rFonts w:ascii="Arial"/>
          <w:b/>
          <w:i/>
          <w:spacing w:val="-2"/>
        </w:rPr>
        <w:t>Impairment</w:t>
      </w:r>
    </w:p>
    <w:p w14:paraId="53B39028" w14:textId="1E867F11" w:rsidR="008B6261" w:rsidRPr="0039344F" w:rsidRDefault="004C6B8B" w:rsidP="0039344F">
      <w:pPr>
        <w:pStyle w:val="BodyText"/>
        <w:spacing w:before="240"/>
        <w:ind w:left="22" w:right="585"/>
        <w:jc w:val="both"/>
        <w:rPr>
          <w:spacing w:val="-4"/>
        </w:rPr>
      </w:pPr>
      <w:r>
        <w:t>Following a single oral dose of 60</w:t>
      </w:r>
      <w:r>
        <w:rPr>
          <w:spacing w:val="-2"/>
        </w:rPr>
        <w:t xml:space="preserve"> </w:t>
      </w:r>
      <w:r>
        <w:t>mg tolebrutinib under fed conditions in subjects with mild hepatic</w:t>
      </w:r>
      <w:r>
        <w:rPr>
          <w:spacing w:val="-11"/>
        </w:rPr>
        <w:t xml:space="preserve"> </w:t>
      </w:r>
      <w:r>
        <w:t>impairment,</w:t>
      </w:r>
      <w:r>
        <w:rPr>
          <w:spacing w:val="-10"/>
        </w:rPr>
        <w:t xml:space="preserve"> </w:t>
      </w:r>
      <w:r>
        <w:t>total</w:t>
      </w:r>
      <w:r>
        <w:rPr>
          <w:spacing w:val="-8"/>
        </w:rPr>
        <w:t xml:space="preserve"> </w:t>
      </w:r>
      <w:r>
        <w:t>and</w:t>
      </w:r>
      <w:r>
        <w:rPr>
          <w:spacing w:val="-10"/>
        </w:rPr>
        <w:t xml:space="preserve"> </w:t>
      </w:r>
      <w:r>
        <w:t>unbound</w:t>
      </w:r>
      <w:r>
        <w:rPr>
          <w:spacing w:val="-10"/>
        </w:rPr>
        <w:t xml:space="preserve"> </w:t>
      </w:r>
      <w:r>
        <w:t>tolebrutinib</w:t>
      </w:r>
      <w:r>
        <w:rPr>
          <w:spacing w:val="-9"/>
        </w:rPr>
        <w:t xml:space="preserve"> </w:t>
      </w:r>
      <w:r>
        <w:t>AUC</w:t>
      </w:r>
      <w:r>
        <w:rPr>
          <w:spacing w:val="-9"/>
        </w:rPr>
        <w:t xml:space="preserve"> </w:t>
      </w:r>
      <w:r>
        <w:t>and</w:t>
      </w:r>
      <w:r>
        <w:rPr>
          <w:spacing w:val="-10"/>
        </w:rPr>
        <w:t xml:space="preserve"> </w:t>
      </w:r>
      <w:r>
        <w:t>M2</w:t>
      </w:r>
      <w:r>
        <w:rPr>
          <w:spacing w:val="-10"/>
        </w:rPr>
        <w:t xml:space="preserve"> </w:t>
      </w:r>
      <w:r>
        <w:t>AUC</w:t>
      </w:r>
      <w:r>
        <w:rPr>
          <w:spacing w:val="-9"/>
        </w:rPr>
        <w:t xml:space="preserve"> </w:t>
      </w:r>
      <w:r>
        <w:t>were</w:t>
      </w:r>
      <w:r>
        <w:rPr>
          <w:spacing w:val="-8"/>
        </w:rPr>
        <w:t xml:space="preserve"> </w:t>
      </w:r>
      <w:r>
        <w:t>between</w:t>
      </w:r>
      <w:r>
        <w:rPr>
          <w:spacing w:val="-10"/>
        </w:rPr>
        <w:t xml:space="preserve"> </w:t>
      </w:r>
      <w:r>
        <w:t>87%</w:t>
      </w:r>
      <w:r>
        <w:rPr>
          <w:spacing w:val="-10"/>
        </w:rPr>
        <w:t xml:space="preserve"> </w:t>
      </w:r>
      <w:r>
        <w:t>and 126%</w:t>
      </w:r>
      <w:r>
        <w:rPr>
          <w:spacing w:val="-9"/>
        </w:rPr>
        <w:t xml:space="preserve"> </w:t>
      </w:r>
      <w:r>
        <w:t>of</w:t>
      </w:r>
      <w:r>
        <w:rPr>
          <w:spacing w:val="-7"/>
        </w:rPr>
        <w:t xml:space="preserve"> </w:t>
      </w:r>
      <w:r>
        <w:t>those</w:t>
      </w:r>
      <w:r>
        <w:rPr>
          <w:spacing w:val="-10"/>
        </w:rPr>
        <w:t xml:space="preserve"> </w:t>
      </w:r>
      <w:r>
        <w:t>with</w:t>
      </w:r>
      <w:r>
        <w:rPr>
          <w:spacing w:val="-9"/>
        </w:rPr>
        <w:t xml:space="preserve"> </w:t>
      </w:r>
      <w:r>
        <w:t>normal</w:t>
      </w:r>
      <w:r>
        <w:rPr>
          <w:spacing w:val="-8"/>
        </w:rPr>
        <w:t xml:space="preserve"> </w:t>
      </w:r>
      <w:r>
        <w:t>hepatic</w:t>
      </w:r>
      <w:r>
        <w:rPr>
          <w:spacing w:val="-7"/>
        </w:rPr>
        <w:t xml:space="preserve"> </w:t>
      </w:r>
      <w:r>
        <w:t>function.</w:t>
      </w:r>
      <w:r>
        <w:rPr>
          <w:spacing w:val="-9"/>
        </w:rPr>
        <w:t xml:space="preserve"> </w:t>
      </w:r>
      <w:r>
        <w:t>No</w:t>
      </w:r>
      <w:r>
        <w:rPr>
          <w:spacing w:val="-6"/>
        </w:rPr>
        <w:t xml:space="preserve"> </w:t>
      </w:r>
      <w:r>
        <w:t>formal</w:t>
      </w:r>
      <w:r>
        <w:rPr>
          <w:spacing w:val="-8"/>
        </w:rPr>
        <w:t xml:space="preserve"> </w:t>
      </w:r>
      <w:r>
        <w:t>studies</w:t>
      </w:r>
      <w:r>
        <w:rPr>
          <w:spacing w:val="-8"/>
        </w:rPr>
        <w:t xml:space="preserve"> </w:t>
      </w:r>
      <w:r>
        <w:t>were</w:t>
      </w:r>
      <w:r>
        <w:rPr>
          <w:spacing w:val="-7"/>
        </w:rPr>
        <w:t xml:space="preserve"> </w:t>
      </w:r>
      <w:r>
        <w:t>conducted</w:t>
      </w:r>
      <w:r>
        <w:rPr>
          <w:spacing w:val="-9"/>
        </w:rPr>
        <w:t xml:space="preserve"> </w:t>
      </w:r>
      <w:r>
        <w:t>to</w:t>
      </w:r>
      <w:r>
        <w:rPr>
          <w:spacing w:val="-9"/>
        </w:rPr>
        <w:t xml:space="preserve"> </w:t>
      </w:r>
      <w:r>
        <w:t>examine</w:t>
      </w:r>
      <w:r>
        <w:rPr>
          <w:spacing w:val="-10"/>
        </w:rPr>
        <w:t xml:space="preserve"> </w:t>
      </w:r>
      <w:r>
        <w:t>the effects of moderate or severe hepatic impairment on the pharmacokinetics of tolebrutinib. A physiologically based pharmacokinetics model was used to predict that the exposure in this population after a single 60</w:t>
      </w:r>
      <w:r>
        <w:rPr>
          <w:spacing w:val="-2"/>
        </w:rPr>
        <w:t xml:space="preserve"> </w:t>
      </w:r>
      <w:r>
        <w:t>mg dose in fed conditions would be above the exposure achieved in</w:t>
      </w:r>
      <w:r>
        <w:rPr>
          <w:spacing w:val="-5"/>
        </w:rPr>
        <w:t xml:space="preserve"> </w:t>
      </w:r>
      <w:r>
        <w:t>healthy</w:t>
      </w:r>
      <w:r>
        <w:rPr>
          <w:spacing w:val="-5"/>
        </w:rPr>
        <w:t xml:space="preserve"> </w:t>
      </w:r>
      <w:r>
        <w:t>trial</w:t>
      </w:r>
      <w:r>
        <w:rPr>
          <w:spacing w:val="-4"/>
        </w:rPr>
        <w:t xml:space="preserve"> </w:t>
      </w:r>
      <w:r>
        <w:t>participants</w:t>
      </w:r>
      <w:r>
        <w:rPr>
          <w:spacing w:val="-5"/>
        </w:rPr>
        <w:t xml:space="preserve"> </w:t>
      </w:r>
      <w:r>
        <w:t>at</w:t>
      </w:r>
      <w:r>
        <w:rPr>
          <w:spacing w:val="-4"/>
        </w:rPr>
        <w:t xml:space="preserve"> </w:t>
      </w:r>
      <w:r>
        <w:t>the</w:t>
      </w:r>
      <w:r>
        <w:rPr>
          <w:spacing w:val="-6"/>
        </w:rPr>
        <w:t xml:space="preserve"> </w:t>
      </w:r>
      <w:r>
        <w:t>maximum</w:t>
      </w:r>
      <w:r>
        <w:rPr>
          <w:spacing w:val="-4"/>
        </w:rPr>
        <w:t xml:space="preserve"> </w:t>
      </w:r>
      <w:r>
        <w:t>240</w:t>
      </w:r>
      <w:r>
        <w:rPr>
          <w:spacing w:val="-2"/>
        </w:rPr>
        <w:t xml:space="preserve"> </w:t>
      </w:r>
      <w:r>
        <w:t>mg</w:t>
      </w:r>
      <w:r>
        <w:rPr>
          <w:spacing w:val="-5"/>
        </w:rPr>
        <w:t xml:space="preserve"> </w:t>
      </w:r>
      <w:r>
        <w:t>dose</w:t>
      </w:r>
      <w:r>
        <w:rPr>
          <w:spacing w:val="-6"/>
        </w:rPr>
        <w:t xml:space="preserve"> </w:t>
      </w:r>
      <w:r>
        <w:t>under</w:t>
      </w:r>
      <w:r>
        <w:rPr>
          <w:spacing w:val="-6"/>
        </w:rPr>
        <w:t xml:space="preserve"> </w:t>
      </w:r>
      <w:r>
        <w:t>fed</w:t>
      </w:r>
      <w:r>
        <w:rPr>
          <w:spacing w:val="-5"/>
        </w:rPr>
        <w:t xml:space="preserve"> </w:t>
      </w:r>
      <w:r>
        <w:t>conditions.</w:t>
      </w:r>
      <w:r>
        <w:rPr>
          <w:spacing w:val="-5"/>
        </w:rPr>
        <w:t xml:space="preserve"> </w:t>
      </w:r>
      <w:r>
        <w:t>Tolebrutinib</w:t>
      </w:r>
      <w:r>
        <w:rPr>
          <w:spacing w:val="-5"/>
        </w:rPr>
        <w:t xml:space="preserve"> </w:t>
      </w:r>
      <w:r>
        <w:t>is contraindicated in patients with moderate or severe hepatic impairment and in patients with pre-existing</w:t>
      </w:r>
      <w:r>
        <w:rPr>
          <w:spacing w:val="-7"/>
        </w:rPr>
        <w:t xml:space="preserve"> </w:t>
      </w:r>
      <w:r>
        <w:t>acute</w:t>
      </w:r>
      <w:r>
        <w:rPr>
          <w:spacing w:val="-8"/>
        </w:rPr>
        <w:t xml:space="preserve"> </w:t>
      </w:r>
      <w:r>
        <w:t>or</w:t>
      </w:r>
      <w:r>
        <w:rPr>
          <w:spacing w:val="-8"/>
        </w:rPr>
        <w:t xml:space="preserve"> </w:t>
      </w:r>
      <w:r>
        <w:t>chronic</w:t>
      </w:r>
      <w:r>
        <w:rPr>
          <w:spacing w:val="-8"/>
        </w:rPr>
        <w:t xml:space="preserve"> </w:t>
      </w:r>
      <w:r>
        <w:t>liver</w:t>
      </w:r>
      <w:r>
        <w:rPr>
          <w:spacing w:val="-8"/>
        </w:rPr>
        <w:t xml:space="preserve"> </w:t>
      </w:r>
      <w:r>
        <w:t>disease</w:t>
      </w:r>
      <w:r>
        <w:rPr>
          <w:spacing w:val="-8"/>
        </w:rPr>
        <w:t xml:space="preserve"> </w:t>
      </w:r>
      <w:r>
        <w:t>or</w:t>
      </w:r>
      <w:r>
        <w:rPr>
          <w:noProof/>
          <w:spacing w:val="-1"/>
          <w:position w:val="-4"/>
        </w:rPr>
        <w:drawing>
          <wp:inline distT="0" distB="0" distL="0" distR="0" wp14:anchorId="53B3907F" wp14:editId="53B39080">
            <wp:extent cx="35039" cy="21336"/>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35039" cy="21336"/>
                    </a:xfrm>
                    <a:prstGeom prst="rect">
                      <a:avLst/>
                    </a:prstGeom>
                  </pic:spPr>
                </pic:pic>
              </a:graphicData>
            </a:graphic>
          </wp:inline>
        </w:drawing>
      </w:r>
      <w:r>
        <w:t>with</w:t>
      </w:r>
      <w:r>
        <w:rPr>
          <w:spacing w:val="-7"/>
        </w:rPr>
        <w:t xml:space="preserve"> </w:t>
      </w:r>
      <w:r>
        <w:t>baseline</w:t>
      </w:r>
      <w:r>
        <w:rPr>
          <w:spacing w:val="-8"/>
        </w:rPr>
        <w:t xml:space="preserve"> </w:t>
      </w:r>
      <w:r>
        <w:t>serum</w:t>
      </w:r>
      <w:r>
        <w:rPr>
          <w:spacing w:val="-7"/>
        </w:rPr>
        <w:t xml:space="preserve"> </w:t>
      </w:r>
      <w:r>
        <w:t>ALT</w:t>
      </w:r>
      <w:r>
        <w:rPr>
          <w:spacing w:val="-7"/>
        </w:rPr>
        <w:t xml:space="preserve"> </w:t>
      </w:r>
      <w:r>
        <w:t>or</w:t>
      </w:r>
      <w:r>
        <w:rPr>
          <w:spacing w:val="-8"/>
        </w:rPr>
        <w:t xml:space="preserve"> </w:t>
      </w:r>
      <w:r>
        <w:t>AST</w:t>
      </w:r>
      <w:r>
        <w:rPr>
          <w:spacing w:val="-7"/>
        </w:rPr>
        <w:t xml:space="preserve"> </w:t>
      </w:r>
      <w:r>
        <w:t>greater</w:t>
      </w:r>
      <w:r>
        <w:rPr>
          <w:spacing w:val="-8"/>
        </w:rPr>
        <w:t xml:space="preserve"> </w:t>
      </w:r>
      <w:r>
        <w:t>than</w:t>
      </w:r>
      <w:r>
        <w:rPr>
          <w:spacing w:val="-7"/>
        </w:rPr>
        <w:t xml:space="preserve"> </w:t>
      </w:r>
      <w:r>
        <w:t>1.5 x ULN, alkaline</w:t>
      </w:r>
      <w:r>
        <w:rPr>
          <w:spacing w:val="-1"/>
        </w:rPr>
        <w:t xml:space="preserve"> </w:t>
      </w:r>
      <w:r>
        <w:t>phosphatase</w:t>
      </w:r>
      <w:r>
        <w:rPr>
          <w:spacing w:val="-1"/>
        </w:rPr>
        <w:t xml:space="preserve"> </w:t>
      </w:r>
      <w:r>
        <w:t>greater</w:t>
      </w:r>
      <w:r>
        <w:rPr>
          <w:spacing w:val="-1"/>
        </w:rPr>
        <w:t xml:space="preserve"> </w:t>
      </w:r>
      <w:r>
        <w:t>than 2 x ULN</w:t>
      </w:r>
      <w:r>
        <w:rPr>
          <w:spacing w:val="-1"/>
        </w:rPr>
        <w:t xml:space="preserve"> </w:t>
      </w:r>
      <w:r>
        <w:t>(unless explained by a stable</w:t>
      </w:r>
      <w:r>
        <w:rPr>
          <w:spacing w:val="-1"/>
        </w:rPr>
        <w:t xml:space="preserve"> </w:t>
      </w:r>
      <w:r>
        <w:t>chronic</w:t>
      </w:r>
      <w:r>
        <w:rPr>
          <w:spacing w:val="-1"/>
        </w:rPr>
        <w:t xml:space="preserve"> </w:t>
      </w:r>
      <w:r>
        <w:t>liver disorder)</w:t>
      </w:r>
      <w:r>
        <w:rPr>
          <w:spacing w:val="17"/>
        </w:rPr>
        <w:t xml:space="preserve"> </w:t>
      </w:r>
      <w:r>
        <w:t>or</w:t>
      </w:r>
      <w:r>
        <w:rPr>
          <w:spacing w:val="20"/>
        </w:rPr>
        <w:t xml:space="preserve"> </w:t>
      </w:r>
      <w:r>
        <w:t>total</w:t>
      </w:r>
      <w:r>
        <w:rPr>
          <w:spacing w:val="21"/>
        </w:rPr>
        <w:t xml:space="preserve"> </w:t>
      </w:r>
      <w:r>
        <w:t>bilirubin</w:t>
      </w:r>
      <w:r>
        <w:rPr>
          <w:spacing w:val="21"/>
        </w:rPr>
        <w:t xml:space="preserve"> </w:t>
      </w:r>
      <w:r>
        <w:t>greater</w:t>
      </w:r>
      <w:r>
        <w:rPr>
          <w:spacing w:val="19"/>
        </w:rPr>
        <w:t xml:space="preserve"> </w:t>
      </w:r>
      <w:r>
        <w:t>than</w:t>
      </w:r>
      <w:r>
        <w:rPr>
          <w:spacing w:val="24"/>
        </w:rPr>
        <w:t xml:space="preserve"> </w:t>
      </w:r>
      <w:r>
        <w:t>1.5</w:t>
      </w:r>
      <w:r>
        <w:rPr>
          <w:spacing w:val="20"/>
        </w:rPr>
        <w:t xml:space="preserve"> </w:t>
      </w:r>
      <w:r>
        <w:t>x</w:t>
      </w:r>
      <w:r>
        <w:rPr>
          <w:spacing w:val="21"/>
        </w:rPr>
        <w:t xml:space="preserve"> </w:t>
      </w:r>
      <w:r>
        <w:t>ULN</w:t>
      </w:r>
      <w:r>
        <w:rPr>
          <w:spacing w:val="20"/>
        </w:rPr>
        <w:t xml:space="preserve"> </w:t>
      </w:r>
      <w:r>
        <w:t>(unless</w:t>
      </w:r>
      <w:r>
        <w:rPr>
          <w:spacing w:val="21"/>
        </w:rPr>
        <w:t xml:space="preserve"> </w:t>
      </w:r>
      <w:r>
        <w:t>due</w:t>
      </w:r>
      <w:r>
        <w:rPr>
          <w:spacing w:val="19"/>
        </w:rPr>
        <w:t xml:space="preserve"> </w:t>
      </w:r>
      <w:r>
        <w:t>to</w:t>
      </w:r>
      <w:r>
        <w:rPr>
          <w:spacing w:val="21"/>
        </w:rPr>
        <w:t xml:space="preserve"> </w:t>
      </w:r>
      <w:r>
        <w:t>Gilbert</w:t>
      </w:r>
      <w:r>
        <w:rPr>
          <w:spacing w:val="23"/>
        </w:rPr>
        <w:t xml:space="preserve"> </w:t>
      </w:r>
      <w:r>
        <w:t>syndrome</w:t>
      </w:r>
      <w:r>
        <w:rPr>
          <w:spacing w:val="20"/>
        </w:rPr>
        <w:t xml:space="preserve"> </w:t>
      </w:r>
      <w:r>
        <w:t>or</w:t>
      </w:r>
      <w:r>
        <w:rPr>
          <w:spacing w:val="23"/>
        </w:rPr>
        <w:t xml:space="preserve"> </w:t>
      </w:r>
      <w:r>
        <w:rPr>
          <w:spacing w:val="-4"/>
        </w:rPr>
        <w:t>non-</w:t>
      </w:r>
      <w:r>
        <w:t xml:space="preserve">liver-related disorder) (see Section </w:t>
      </w:r>
      <w:hyperlink w:anchor="_bookmark0" w:history="1">
        <w:r>
          <w:t>4.2</w:t>
        </w:r>
      </w:hyperlink>
      <w:r>
        <w:t xml:space="preserve"> Dose and Method of Administration, Section </w:t>
      </w:r>
      <w:hyperlink w:anchor="_bookmark2" w:history="1">
        <w:r>
          <w:t>4.3</w:t>
        </w:r>
      </w:hyperlink>
      <w:r>
        <w:t xml:space="preserve"> Contraindications, and Section </w:t>
      </w:r>
      <w:hyperlink w:anchor="_bookmark3" w:history="1">
        <w:r>
          <w:t>4.4</w:t>
        </w:r>
      </w:hyperlink>
      <w:r>
        <w:t xml:space="preserve"> Special Warnings and Precautions for use).</w:t>
      </w:r>
    </w:p>
    <w:p w14:paraId="53B39029" w14:textId="77777777" w:rsidR="008B6261" w:rsidRDefault="008B6261">
      <w:pPr>
        <w:pStyle w:val="BodyText"/>
        <w:spacing w:before="85"/>
      </w:pPr>
    </w:p>
    <w:p w14:paraId="53B3902A" w14:textId="77777777" w:rsidR="008B6261" w:rsidRDefault="004C6B8B">
      <w:pPr>
        <w:ind w:left="23"/>
        <w:rPr>
          <w:rFonts w:ascii="Arial"/>
          <w:b/>
          <w:i/>
        </w:rPr>
      </w:pPr>
      <w:bookmarkStart w:id="84" w:name="Renal_Impairment"/>
      <w:bookmarkEnd w:id="84"/>
      <w:r>
        <w:rPr>
          <w:rFonts w:ascii="Arial"/>
          <w:b/>
          <w:i/>
        </w:rPr>
        <w:t>Renal</w:t>
      </w:r>
      <w:r>
        <w:rPr>
          <w:rFonts w:ascii="Arial"/>
          <w:b/>
          <w:i/>
          <w:spacing w:val="-3"/>
        </w:rPr>
        <w:t xml:space="preserve"> </w:t>
      </w:r>
      <w:r>
        <w:rPr>
          <w:rFonts w:ascii="Arial"/>
          <w:b/>
          <w:i/>
          <w:spacing w:val="-2"/>
        </w:rPr>
        <w:t>Impairment</w:t>
      </w:r>
    </w:p>
    <w:p w14:paraId="53B3902B" w14:textId="386366F6" w:rsidR="008B6261" w:rsidRDefault="004C6B8B">
      <w:pPr>
        <w:pStyle w:val="BodyText"/>
        <w:spacing w:before="239"/>
        <w:ind w:left="23" w:right="589"/>
        <w:jc w:val="both"/>
        <w:rPr>
          <w:spacing w:val="-2"/>
        </w:rPr>
      </w:pPr>
      <w:r>
        <w:t>Following</w:t>
      </w:r>
      <w:r>
        <w:rPr>
          <w:spacing w:val="-7"/>
        </w:rPr>
        <w:t xml:space="preserve"> </w:t>
      </w:r>
      <w:r>
        <w:t>a</w:t>
      </w:r>
      <w:r>
        <w:rPr>
          <w:spacing w:val="-10"/>
        </w:rPr>
        <w:t xml:space="preserve"> </w:t>
      </w:r>
      <w:r>
        <w:t>single</w:t>
      </w:r>
      <w:r>
        <w:rPr>
          <w:spacing w:val="-10"/>
        </w:rPr>
        <w:t xml:space="preserve"> </w:t>
      </w:r>
      <w:r>
        <w:t>oral</w:t>
      </w:r>
      <w:r>
        <w:rPr>
          <w:spacing w:val="-9"/>
        </w:rPr>
        <w:t xml:space="preserve"> </w:t>
      </w:r>
      <w:r>
        <w:t>dose</w:t>
      </w:r>
      <w:r>
        <w:rPr>
          <w:spacing w:val="-10"/>
        </w:rPr>
        <w:t xml:space="preserve"> </w:t>
      </w:r>
      <w:r>
        <w:t>of</w:t>
      </w:r>
      <w:r>
        <w:rPr>
          <w:spacing w:val="-7"/>
        </w:rPr>
        <w:t xml:space="preserve"> </w:t>
      </w:r>
      <w:r>
        <w:t>60 mg</w:t>
      </w:r>
      <w:r>
        <w:rPr>
          <w:spacing w:val="-9"/>
        </w:rPr>
        <w:t xml:space="preserve"> </w:t>
      </w:r>
      <w:r>
        <w:t>tolebrutinib</w:t>
      </w:r>
      <w:r>
        <w:rPr>
          <w:spacing w:val="-9"/>
        </w:rPr>
        <w:t xml:space="preserve"> </w:t>
      </w:r>
      <w:r>
        <w:t>under</w:t>
      </w:r>
      <w:r>
        <w:rPr>
          <w:spacing w:val="-10"/>
        </w:rPr>
        <w:t xml:space="preserve"> </w:t>
      </w:r>
      <w:r>
        <w:t>fed</w:t>
      </w:r>
      <w:r>
        <w:rPr>
          <w:spacing w:val="-9"/>
        </w:rPr>
        <w:t xml:space="preserve"> </w:t>
      </w:r>
      <w:r>
        <w:t>conditions</w:t>
      </w:r>
      <w:r>
        <w:rPr>
          <w:spacing w:val="-9"/>
        </w:rPr>
        <w:t xml:space="preserve"> </w:t>
      </w:r>
      <w:r>
        <w:t>in</w:t>
      </w:r>
      <w:r>
        <w:rPr>
          <w:spacing w:val="-9"/>
        </w:rPr>
        <w:t xml:space="preserve"> </w:t>
      </w:r>
      <w:r>
        <w:t>subjects</w:t>
      </w:r>
      <w:r>
        <w:rPr>
          <w:spacing w:val="-6"/>
        </w:rPr>
        <w:t xml:space="preserve"> </w:t>
      </w:r>
      <w:r>
        <w:t>with</w:t>
      </w:r>
      <w:r>
        <w:rPr>
          <w:spacing w:val="-7"/>
        </w:rPr>
        <w:t xml:space="preserve"> </w:t>
      </w:r>
      <w:r>
        <w:t xml:space="preserve">severe </w:t>
      </w:r>
      <w:r>
        <w:lastRenderedPageBreak/>
        <w:t xml:space="preserve">renal impairment (GFR less than 30 mL/min) not requiring dialysis, the total and unbound </w:t>
      </w:r>
      <w:r>
        <w:rPr>
          <w:position w:val="2"/>
        </w:rPr>
        <w:t>tolebrutinib C</w:t>
      </w:r>
      <w:r>
        <w:rPr>
          <w:sz w:val="16"/>
        </w:rPr>
        <w:t>max</w:t>
      </w:r>
      <w:r>
        <w:rPr>
          <w:spacing w:val="39"/>
          <w:sz w:val="16"/>
        </w:rPr>
        <w:t xml:space="preserve"> </w:t>
      </w:r>
      <w:r>
        <w:rPr>
          <w:position w:val="2"/>
        </w:rPr>
        <w:t>and AUC in participants were higher (20-64%) compared to subjects with normal</w:t>
      </w:r>
      <w:r>
        <w:rPr>
          <w:spacing w:val="-5"/>
          <w:position w:val="2"/>
        </w:rPr>
        <w:t xml:space="preserve"> </w:t>
      </w:r>
      <w:r>
        <w:rPr>
          <w:position w:val="2"/>
        </w:rPr>
        <w:t>renal</w:t>
      </w:r>
      <w:r>
        <w:rPr>
          <w:spacing w:val="-5"/>
          <w:position w:val="2"/>
        </w:rPr>
        <w:t xml:space="preserve"> </w:t>
      </w:r>
      <w:r>
        <w:rPr>
          <w:position w:val="2"/>
        </w:rPr>
        <w:t>function.</w:t>
      </w:r>
      <w:r>
        <w:rPr>
          <w:spacing w:val="-8"/>
          <w:position w:val="2"/>
        </w:rPr>
        <w:t xml:space="preserve"> </w:t>
      </w:r>
      <w:r>
        <w:rPr>
          <w:position w:val="2"/>
        </w:rPr>
        <w:t>The</w:t>
      </w:r>
      <w:r>
        <w:rPr>
          <w:spacing w:val="-10"/>
          <w:position w:val="2"/>
        </w:rPr>
        <w:t xml:space="preserve"> </w:t>
      </w:r>
      <w:r>
        <w:rPr>
          <w:position w:val="2"/>
        </w:rPr>
        <w:t>total</w:t>
      </w:r>
      <w:r>
        <w:rPr>
          <w:spacing w:val="-5"/>
          <w:position w:val="2"/>
        </w:rPr>
        <w:t xml:space="preserve"> </w:t>
      </w:r>
      <w:r>
        <w:rPr>
          <w:position w:val="2"/>
        </w:rPr>
        <w:t>and</w:t>
      </w:r>
      <w:r>
        <w:rPr>
          <w:spacing w:val="-8"/>
          <w:position w:val="2"/>
        </w:rPr>
        <w:t xml:space="preserve"> </w:t>
      </w:r>
      <w:r>
        <w:rPr>
          <w:position w:val="2"/>
        </w:rPr>
        <w:t>unbound</w:t>
      </w:r>
      <w:r>
        <w:rPr>
          <w:spacing w:val="-8"/>
          <w:position w:val="2"/>
        </w:rPr>
        <w:t xml:space="preserve"> </w:t>
      </w:r>
      <w:r>
        <w:rPr>
          <w:position w:val="2"/>
        </w:rPr>
        <w:t>M2</w:t>
      </w:r>
      <w:r>
        <w:rPr>
          <w:spacing w:val="-6"/>
          <w:position w:val="2"/>
        </w:rPr>
        <w:t xml:space="preserve"> </w:t>
      </w:r>
      <w:r>
        <w:rPr>
          <w:position w:val="2"/>
        </w:rPr>
        <w:t>C</w:t>
      </w:r>
      <w:r>
        <w:rPr>
          <w:sz w:val="16"/>
        </w:rPr>
        <w:t>max</w:t>
      </w:r>
      <w:r>
        <w:rPr>
          <w:spacing w:val="13"/>
          <w:sz w:val="16"/>
        </w:rPr>
        <w:t xml:space="preserve"> </w:t>
      </w:r>
      <w:r>
        <w:rPr>
          <w:position w:val="2"/>
        </w:rPr>
        <w:t>were</w:t>
      </w:r>
      <w:r>
        <w:rPr>
          <w:spacing w:val="-7"/>
          <w:position w:val="2"/>
        </w:rPr>
        <w:t xml:space="preserve"> </w:t>
      </w:r>
      <w:r>
        <w:rPr>
          <w:position w:val="2"/>
        </w:rPr>
        <w:t>similar,</w:t>
      </w:r>
      <w:r>
        <w:rPr>
          <w:spacing w:val="-6"/>
          <w:position w:val="2"/>
        </w:rPr>
        <w:t xml:space="preserve"> </w:t>
      </w:r>
      <w:r>
        <w:rPr>
          <w:position w:val="2"/>
        </w:rPr>
        <w:t>and</w:t>
      </w:r>
      <w:r>
        <w:rPr>
          <w:spacing w:val="-8"/>
          <w:position w:val="2"/>
        </w:rPr>
        <w:t xml:space="preserve"> </w:t>
      </w:r>
      <w:r>
        <w:rPr>
          <w:position w:val="2"/>
        </w:rPr>
        <w:t>the</w:t>
      </w:r>
      <w:r>
        <w:rPr>
          <w:spacing w:val="-10"/>
          <w:position w:val="2"/>
        </w:rPr>
        <w:t xml:space="preserve"> </w:t>
      </w:r>
      <w:r>
        <w:rPr>
          <w:position w:val="2"/>
        </w:rPr>
        <w:t>AUC</w:t>
      </w:r>
      <w:r>
        <w:rPr>
          <w:spacing w:val="-5"/>
          <w:position w:val="2"/>
        </w:rPr>
        <w:t xml:space="preserve"> </w:t>
      </w:r>
      <w:r>
        <w:rPr>
          <w:position w:val="2"/>
        </w:rPr>
        <w:t>were</w:t>
      </w:r>
      <w:r>
        <w:rPr>
          <w:spacing w:val="-7"/>
          <w:position w:val="2"/>
        </w:rPr>
        <w:t xml:space="preserve"> </w:t>
      </w:r>
      <w:r>
        <w:rPr>
          <w:position w:val="2"/>
        </w:rPr>
        <w:t xml:space="preserve">higher </w:t>
      </w:r>
      <w:r>
        <w:rPr>
          <w:spacing w:val="-2"/>
        </w:rPr>
        <w:t>(36%).</w:t>
      </w:r>
    </w:p>
    <w:p w14:paraId="1CFB32B5" w14:textId="77777777" w:rsidR="0039344F" w:rsidRDefault="0039344F">
      <w:pPr>
        <w:pStyle w:val="BodyText"/>
        <w:spacing w:before="239"/>
        <w:ind w:left="23" w:right="589"/>
        <w:jc w:val="both"/>
      </w:pPr>
    </w:p>
    <w:p w14:paraId="53B3902D" w14:textId="77777777" w:rsidR="008B6261" w:rsidRDefault="004C6B8B">
      <w:pPr>
        <w:pStyle w:val="ListParagraph"/>
        <w:numPr>
          <w:ilvl w:val="1"/>
          <w:numId w:val="4"/>
        </w:numPr>
        <w:tabs>
          <w:tab w:val="left" w:pos="702"/>
        </w:tabs>
        <w:ind w:hanging="679"/>
        <w:rPr>
          <w:b/>
        </w:rPr>
      </w:pPr>
      <w:bookmarkStart w:id="85" w:name="5.3_Preclinical_safety_data"/>
      <w:bookmarkStart w:id="86" w:name="_bookmark13"/>
      <w:bookmarkEnd w:id="85"/>
      <w:bookmarkEnd w:id="86"/>
      <w:r>
        <w:rPr>
          <w:b/>
        </w:rPr>
        <w:t>PRECLINICAL</w:t>
      </w:r>
      <w:r>
        <w:rPr>
          <w:b/>
          <w:spacing w:val="-8"/>
        </w:rPr>
        <w:t xml:space="preserve"> </w:t>
      </w:r>
      <w:r>
        <w:rPr>
          <w:b/>
        </w:rPr>
        <w:t>SAFETY</w:t>
      </w:r>
      <w:r>
        <w:rPr>
          <w:b/>
          <w:spacing w:val="-9"/>
        </w:rPr>
        <w:t xml:space="preserve"> </w:t>
      </w:r>
      <w:r>
        <w:rPr>
          <w:b/>
          <w:spacing w:val="-4"/>
        </w:rPr>
        <w:t>DATA</w:t>
      </w:r>
    </w:p>
    <w:p w14:paraId="53B3902E" w14:textId="77777777" w:rsidR="008B6261" w:rsidRDefault="008B6261">
      <w:pPr>
        <w:pStyle w:val="BodyText"/>
        <w:spacing w:before="109"/>
        <w:rPr>
          <w:rFonts w:ascii="Arial"/>
          <w:b/>
          <w:sz w:val="22"/>
        </w:rPr>
      </w:pPr>
    </w:p>
    <w:p w14:paraId="53B3902F" w14:textId="77777777" w:rsidR="008B6261" w:rsidRDefault="004C6B8B">
      <w:pPr>
        <w:ind w:left="23"/>
        <w:rPr>
          <w:rFonts w:ascii="Arial"/>
          <w:b/>
        </w:rPr>
      </w:pPr>
      <w:bookmarkStart w:id="87" w:name="Genotoxicity"/>
      <w:bookmarkEnd w:id="87"/>
      <w:r>
        <w:rPr>
          <w:rFonts w:ascii="Arial"/>
          <w:b/>
          <w:spacing w:val="-2"/>
        </w:rPr>
        <w:t>Genotoxicity</w:t>
      </w:r>
    </w:p>
    <w:p w14:paraId="53B39030" w14:textId="77777777" w:rsidR="008B6261" w:rsidRDefault="004C6B8B">
      <w:pPr>
        <w:pStyle w:val="BodyText"/>
        <w:ind w:left="23" w:right="585"/>
        <w:jc w:val="both"/>
      </w:pPr>
      <w:r>
        <w:t xml:space="preserve">Tolebrutinib was not mutagenic </w:t>
      </w:r>
      <w:r>
        <w:rPr>
          <w:i/>
        </w:rPr>
        <w:t xml:space="preserve">in vitro </w:t>
      </w:r>
      <w:r>
        <w:t>in the bacterial reverse mutation (Ames) assay or clastogenic</w:t>
      </w:r>
      <w:r>
        <w:rPr>
          <w:spacing w:val="-9"/>
        </w:rPr>
        <w:t xml:space="preserve"> </w:t>
      </w:r>
      <w:r>
        <w:t>in</w:t>
      </w:r>
      <w:r>
        <w:rPr>
          <w:spacing w:val="-8"/>
        </w:rPr>
        <w:t xml:space="preserve"> </w:t>
      </w:r>
      <w:r>
        <w:t>an</w:t>
      </w:r>
      <w:r>
        <w:rPr>
          <w:spacing w:val="-8"/>
        </w:rPr>
        <w:t xml:space="preserve"> </w:t>
      </w:r>
      <w:r>
        <w:rPr>
          <w:i/>
        </w:rPr>
        <w:t>in</w:t>
      </w:r>
      <w:r>
        <w:rPr>
          <w:i/>
          <w:spacing w:val="-8"/>
        </w:rPr>
        <w:t xml:space="preserve"> </w:t>
      </w:r>
      <w:r>
        <w:rPr>
          <w:i/>
        </w:rPr>
        <w:t>vivo</w:t>
      </w:r>
      <w:r>
        <w:rPr>
          <w:i/>
          <w:spacing w:val="-6"/>
        </w:rPr>
        <w:t xml:space="preserve"> </w:t>
      </w:r>
      <w:r>
        <w:t>micronucleus</w:t>
      </w:r>
      <w:r>
        <w:rPr>
          <w:spacing w:val="-8"/>
        </w:rPr>
        <w:t xml:space="preserve"> </w:t>
      </w:r>
      <w:r>
        <w:t>test</w:t>
      </w:r>
      <w:r>
        <w:rPr>
          <w:spacing w:val="-8"/>
        </w:rPr>
        <w:t xml:space="preserve"> </w:t>
      </w:r>
      <w:r>
        <w:t>in</w:t>
      </w:r>
      <w:r>
        <w:rPr>
          <w:spacing w:val="-8"/>
        </w:rPr>
        <w:t xml:space="preserve"> </w:t>
      </w:r>
      <w:r>
        <w:t>rats.</w:t>
      </w:r>
      <w:r>
        <w:rPr>
          <w:spacing w:val="-6"/>
        </w:rPr>
        <w:t xml:space="preserve"> </w:t>
      </w:r>
      <w:r>
        <w:t>Elevated</w:t>
      </w:r>
      <w:r>
        <w:rPr>
          <w:spacing w:val="-8"/>
        </w:rPr>
        <w:t xml:space="preserve"> </w:t>
      </w:r>
      <w:r>
        <w:t>numbers</w:t>
      </w:r>
      <w:r>
        <w:rPr>
          <w:spacing w:val="-8"/>
        </w:rPr>
        <w:t xml:space="preserve"> </w:t>
      </w:r>
      <w:r>
        <w:t>of</w:t>
      </w:r>
      <w:r>
        <w:rPr>
          <w:spacing w:val="-9"/>
        </w:rPr>
        <w:t xml:space="preserve"> </w:t>
      </w:r>
      <w:r>
        <w:t>structural</w:t>
      </w:r>
      <w:r>
        <w:rPr>
          <w:spacing w:val="-8"/>
        </w:rPr>
        <w:t xml:space="preserve"> </w:t>
      </w:r>
      <w:r>
        <w:t>chromosome aberrations</w:t>
      </w:r>
      <w:r>
        <w:rPr>
          <w:spacing w:val="-8"/>
        </w:rPr>
        <w:t xml:space="preserve"> </w:t>
      </w:r>
      <w:r>
        <w:t>were</w:t>
      </w:r>
      <w:r>
        <w:rPr>
          <w:spacing w:val="-9"/>
        </w:rPr>
        <w:t xml:space="preserve"> </w:t>
      </w:r>
      <w:r>
        <w:t>observed</w:t>
      </w:r>
      <w:r>
        <w:rPr>
          <w:spacing w:val="-8"/>
        </w:rPr>
        <w:t xml:space="preserve"> </w:t>
      </w:r>
      <w:r>
        <w:t>in</w:t>
      </w:r>
      <w:r>
        <w:rPr>
          <w:spacing w:val="-8"/>
        </w:rPr>
        <w:t xml:space="preserve"> </w:t>
      </w:r>
      <w:r>
        <w:t>the</w:t>
      </w:r>
      <w:r>
        <w:rPr>
          <w:spacing w:val="-9"/>
        </w:rPr>
        <w:t xml:space="preserve"> </w:t>
      </w:r>
      <w:r>
        <w:rPr>
          <w:i/>
        </w:rPr>
        <w:t>in</w:t>
      </w:r>
      <w:r>
        <w:rPr>
          <w:i/>
          <w:spacing w:val="-8"/>
        </w:rPr>
        <w:t xml:space="preserve"> </w:t>
      </w:r>
      <w:r>
        <w:rPr>
          <w:i/>
        </w:rPr>
        <w:t>vitro</w:t>
      </w:r>
      <w:r>
        <w:rPr>
          <w:i/>
          <w:spacing w:val="-8"/>
        </w:rPr>
        <w:t xml:space="preserve"> </w:t>
      </w:r>
      <w:r>
        <w:t>chromosome</w:t>
      </w:r>
      <w:r>
        <w:rPr>
          <w:spacing w:val="-9"/>
        </w:rPr>
        <w:t xml:space="preserve"> </w:t>
      </w:r>
      <w:r>
        <w:t>aberration</w:t>
      </w:r>
      <w:r>
        <w:rPr>
          <w:spacing w:val="-8"/>
        </w:rPr>
        <w:t xml:space="preserve"> </w:t>
      </w:r>
      <w:r>
        <w:t>test</w:t>
      </w:r>
      <w:r>
        <w:rPr>
          <w:spacing w:val="-8"/>
        </w:rPr>
        <w:t xml:space="preserve"> </w:t>
      </w:r>
      <w:r>
        <w:t>in</w:t>
      </w:r>
      <w:r>
        <w:rPr>
          <w:spacing w:val="-8"/>
        </w:rPr>
        <w:t xml:space="preserve"> </w:t>
      </w:r>
      <w:r>
        <w:t>human</w:t>
      </w:r>
      <w:r>
        <w:rPr>
          <w:spacing w:val="-8"/>
        </w:rPr>
        <w:t xml:space="preserve"> </w:t>
      </w:r>
      <w:r>
        <w:t>lymphocytes</w:t>
      </w:r>
      <w:r>
        <w:rPr>
          <w:spacing w:val="-8"/>
        </w:rPr>
        <w:t xml:space="preserve"> </w:t>
      </w:r>
      <w:r>
        <w:t>in the presence of substantial cytotoxicity only at concentrations ≥</w:t>
      </w:r>
      <w:r>
        <w:rPr>
          <w:spacing w:val="-2"/>
        </w:rPr>
        <w:t xml:space="preserve"> </w:t>
      </w:r>
      <w:r>
        <w:t>1000 times higher than the plasma levels in patients exposed to 60</w:t>
      </w:r>
      <w:r>
        <w:rPr>
          <w:spacing w:val="-2"/>
        </w:rPr>
        <w:t xml:space="preserve"> </w:t>
      </w:r>
      <w:r>
        <w:t xml:space="preserve">mg tolebrutinib with meals. Negative results from </w:t>
      </w:r>
      <w:r>
        <w:rPr>
          <w:i/>
        </w:rPr>
        <w:t xml:space="preserve">in vivo </w:t>
      </w:r>
      <w:r>
        <w:t xml:space="preserve">chromosomal damage studies with similar structures support the conclusion that the </w:t>
      </w:r>
      <w:r>
        <w:rPr>
          <w:i/>
        </w:rPr>
        <w:t xml:space="preserve">in vitro </w:t>
      </w:r>
      <w:r>
        <w:t>effect observed with tolebrutinib is not biologically relevant.</w:t>
      </w:r>
    </w:p>
    <w:p w14:paraId="53B39031" w14:textId="77777777" w:rsidR="008B6261" w:rsidRDefault="008B6261">
      <w:pPr>
        <w:pStyle w:val="BodyText"/>
        <w:spacing w:before="85"/>
      </w:pPr>
    </w:p>
    <w:p w14:paraId="53B39032" w14:textId="77777777" w:rsidR="008B6261" w:rsidRDefault="004C6B8B">
      <w:pPr>
        <w:ind w:left="23"/>
        <w:rPr>
          <w:rFonts w:ascii="Arial"/>
          <w:b/>
        </w:rPr>
      </w:pPr>
      <w:bookmarkStart w:id="88" w:name="Carcinogenicity"/>
      <w:bookmarkEnd w:id="88"/>
      <w:r>
        <w:rPr>
          <w:rFonts w:ascii="Arial"/>
          <w:b/>
          <w:spacing w:val="-2"/>
        </w:rPr>
        <w:t>Carcinogenicity</w:t>
      </w:r>
    </w:p>
    <w:p w14:paraId="53B39033" w14:textId="77777777" w:rsidR="008B6261" w:rsidRDefault="004C6B8B">
      <w:pPr>
        <w:pStyle w:val="BodyText"/>
        <w:ind w:left="22" w:right="587"/>
        <w:jc w:val="both"/>
      </w:pPr>
      <w:r>
        <w:t>No</w:t>
      </w:r>
      <w:r>
        <w:rPr>
          <w:spacing w:val="-11"/>
        </w:rPr>
        <w:t xml:space="preserve"> </w:t>
      </w:r>
      <w:r>
        <w:t>evidence</w:t>
      </w:r>
      <w:r>
        <w:rPr>
          <w:spacing w:val="-12"/>
        </w:rPr>
        <w:t xml:space="preserve"> </w:t>
      </w:r>
      <w:r>
        <w:t>of</w:t>
      </w:r>
      <w:r>
        <w:rPr>
          <w:spacing w:val="-11"/>
        </w:rPr>
        <w:t xml:space="preserve"> </w:t>
      </w:r>
      <w:r>
        <w:t>carcinogenicity</w:t>
      </w:r>
      <w:r>
        <w:rPr>
          <w:spacing w:val="-11"/>
        </w:rPr>
        <w:t xml:space="preserve"> </w:t>
      </w:r>
      <w:r>
        <w:t>was</w:t>
      </w:r>
      <w:r>
        <w:rPr>
          <w:spacing w:val="-10"/>
        </w:rPr>
        <w:t xml:space="preserve"> </w:t>
      </w:r>
      <w:r>
        <w:t>observed</w:t>
      </w:r>
      <w:r>
        <w:rPr>
          <w:spacing w:val="-11"/>
        </w:rPr>
        <w:t xml:space="preserve"> </w:t>
      </w:r>
      <w:r>
        <w:t>in</w:t>
      </w:r>
      <w:r>
        <w:rPr>
          <w:spacing w:val="-11"/>
        </w:rPr>
        <w:t xml:space="preserve"> </w:t>
      </w:r>
      <w:r>
        <w:t>a</w:t>
      </w:r>
      <w:r>
        <w:rPr>
          <w:spacing w:val="-14"/>
        </w:rPr>
        <w:t xml:space="preserve"> </w:t>
      </w:r>
      <w:r>
        <w:t>2-year</w:t>
      </w:r>
      <w:r>
        <w:rPr>
          <w:spacing w:val="-11"/>
        </w:rPr>
        <w:t xml:space="preserve"> </w:t>
      </w:r>
      <w:r>
        <w:t>rat</w:t>
      </w:r>
      <w:r>
        <w:rPr>
          <w:spacing w:val="-10"/>
        </w:rPr>
        <w:t xml:space="preserve"> </w:t>
      </w:r>
      <w:r>
        <w:t>carcinogenicity</w:t>
      </w:r>
      <w:r>
        <w:rPr>
          <w:spacing w:val="-11"/>
        </w:rPr>
        <w:t xml:space="preserve"> </w:t>
      </w:r>
      <w:r>
        <w:t>study</w:t>
      </w:r>
      <w:r>
        <w:rPr>
          <w:spacing w:val="-11"/>
        </w:rPr>
        <w:t xml:space="preserve"> </w:t>
      </w:r>
      <w:r>
        <w:t>at</w:t>
      </w:r>
      <w:r>
        <w:rPr>
          <w:spacing w:val="-13"/>
        </w:rPr>
        <w:t xml:space="preserve"> </w:t>
      </w:r>
      <w:r>
        <w:t>oral</w:t>
      </w:r>
      <w:r>
        <w:rPr>
          <w:spacing w:val="-10"/>
        </w:rPr>
        <w:t xml:space="preserve"> </w:t>
      </w:r>
      <w:r>
        <w:t>doses of</w:t>
      </w:r>
      <w:r>
        <w:rPr>
          <w:spacing w:val="-8"/>
        </w:rPr>
        <w:t xml:space="preserve"> </w:t>
      </w:r>
      <w:r>
        <w:t>tolebrutinib</w:t>
      </w:r>
      <w:r>
        <w:rPr>
          <w:spacing w:val="-7"/>
        </w:rPr>
        <w:t xml:space="preserve"> </w:t>
      </w:r>
      <w:r>
        <w:t>up</w:t>
      </w:r>
      <w:r>
        <w:rPr>
          <w:spacing w:val="-7"/>
        </w:rPr>
        <w:t xml:space="preserve"> </w:t>
      </w:r>
      <w:r>
        <w:t>to</w:t>
      </w:r>
      <w:r>
        <w:rPr>
          <w:spacing w:val="-10"/>
        </w:rPr>
        <w:t xml:space="preserve"> </w:t>
      </w:r>
      <w:r>
        <w:t>the</w:t>
      </w:r>
      <w:r>
        <w:rPr>
          <w:spacing w:val="-11"/>
        </w:rPr>
        <w:t xml:space="preserve"> </w:t>
      </w:r>
      <w:r>
        <w:t>maximally</w:t>
      </w:r>
      <w:r>
        <w:rPr>
          <w:spacing w:val="-7"/>
        </w:rPr>
        <w:t xml:space="preserve"> </w:t>
      </w:r>
      <w:r>
        <w:t>tolerated</w:t>
      </w:r>
      <w:r>
        <w:rPr>
          <w:spacing w:val="-7"/>
        </w:rPr>
        <w:t xml:space="preserve"> </w:t>
      </w:r>
      <w:r>
        <w:t>doses</w:t>
      </w:r>
      <w:r>
        <w:rPr>
          <w:spacing w:val="-7"/>
        </w:rPr>
        <w:t xml:space="preserve"> </w:t>
      </w:r>
      <w:r>
        <w:t>of</w:t>
      </w:r>
      <w:r>
        <w:rPr>
          <w:spacing w:val="-8"/>
        </w:rPr>
        <w:t xml:space="preserve"> </w:t>
      </w:r>
      <w:r>
        <w:t>2</w:t>
      </w:r>
      <w:r>
        <w:rPr>
          <w:spacing w:val="-7"/>
        </w:rPr>
        <w:t xml:space="preserve"> </w:t>
      </w:r>
      <w:r>
        <w:t>and</w:t>
      </w:r>
      <w:r>
        <w:rPr>
          <w:spacing w:val="-7"/>
        </w:rPr>
        <w:t xml:space="preserve"> </w:t>
      </w:r>
      <w:r>
        <w:t>6</w:t>
      </w:r>
      <w:r>
        <w:rPr>
          <w:spacing w:val="-2"/>
        </w:rPr>
        <w:t xml:space="preserve"> </w:t>
      </w:r>
      <w:r>
        <w:t>mg/kg/day</w:t>
      </w:r>
      <w:r>
        <w:rPr>
          <w:spacing w:val="-10"/>
        </w:rPr>
        <w:t xml:space="preserve"> </w:t>
      </w:r>
      <w:r>
        <w:t>in</w:t>
      </w:r>
      <w:r>
        <w:rPr>
          <w:spacing w:val="-10"/>
        </w:rPr>
        <w:t xml:space="preserve"> </w:t>
      </w:r>
      <w:r>
        <w:t>males</w:t>
      </w:r>
      <w:r>
        <w:rPr>
          <w:spacing w:val="-7"/>
        </w:rPr>
        <w:t xml:space="preserve"> </w:t>
      </w:r>
      <w:r>
        <w:t>and</w:t>
      </w:r>
      <w:r>
        <w:rPr>
          <w:spacing w:val="-7"/>
        </w:rPr>
        <w:t xml:space="preserve"> </w:t>
      </w:r>
      <w:r>
        <w:t>females, respectively (4 and 28 times the exposures of the unbound AUC at the clinical dose in male and female rats, respectively). No evidence of carcinogenicity was observed in a 26-week carcinogenicity study in male and female RasH2-Tg mice up to the maximally tolerated dose of 330 mg/kg/day (estimated 1625 times the clinical AUC at the MRHD).</w:t>
      </w:r>
    </w:p>
    <w:p w14:paraId="53B39034" w14:textId="77777777" w:rsidR="008B6261" w:rsidRDefault="008B6261">
      <w:pPr>
        <w:pStyle w:val="BodyText"/>
        <w:spacing w:before="240"/>
      </w:pPr>
    </w:p>
    <w:p w14:paraId="53B39035" w14:textId="77777777" w:rsidR="008B6261" w:rsidRDefault="004C6B8B">
      <w:pPr>
        <w:pStyle w:val="Heading1"/>
        <w:numPr>
          <w:ilvl w:val="0"/>
          <w:numId w:val="4"/>
        </w:numPr>
        <w:tabs>
          <w:tab w:val="left" w:pos="702"/>
        </w:tabs>
        <w:ind w:hanging="679"/>
      </w:pPr>
      <w:bookmarkStart w:id="89" w:name="6_Pharmaceutical_particulars"/>
      <w:bookmarkEnd w:id="89"/>
      <w:r>
        <w:t>PHARMACEUTICAL</w:t>
      </w:r>
      <w:r>
        <w:rPr>
          <w:spacing w:val="-14"/>
        </w:rPr>
        <w:t xml:space="preserve"> </w:t>
      </w:r>
      <w:r>
        <w:rPr>
          <w:spacing w:val="-2"/>
        </w:rPr>
        <w:t>PARTICULARS</w:t>
      </w:r>
    </w:p>
    <w:p w14:paraId="53B39036" w14:textId="77777777" w:rsidR="008B6261" w:rsidRDefault="004C6B8B">
      <w:pPr>
        <w:pStyle w:val="ListParagraph"/>
        <w:numPr>
          <w:ilvl w:val="1"/>
          <w:numId w:val="4"/>
        </w:numPr>
        <w:tabs>
          <w:tab w:val="left" w:pos="702"/>
        </w:tabs>
        <w:spacing w:before="123"/>
        <w:ind w:hanging="679"/>
        <w:rPr>
          <w:b/>
        </w:rPr>
      </w:pPr>
      <w:bookmarkStart w:id="90" w:name="6.1_List_of_excipients"/>
      <w:bookmarkStart w:id="91" w:name="_bookmark14"/>
      <w:bookmarkEnd w:id="90"/>
      <w:bookmarkEnd w:id="91"/>
      <w:r>
        <w:rPr>
          <w:b/>
        </w:rPr>
        <w:t>LIST</w:t>
      </w:r>
      <w:r>
        <w:rPr>
          <w:b/>
          <w:spacing w:val="-2"/>
        </w:rPr>
        <w:t xml:space="preserve"> </w:t>
      </w:r>
      <w:r>
        <w:rPr>
          <w:b/>
        </w:rPr>
        <w:t xml:space="preserve">OF </w:t>
      </w:r>
      <w:r>
        <w:rPr>
          <w:b/>
          <w:spacing w:val="-2"/>
        </w:rPr>
        <w:t>EXCIPIENTS</w:t>
      </w:r>
    </w:p>
    <w:p w14:paraId="53B39037" w14:textId="77777777" w:rsidR="008B6261" w:rsidRDefault="004C6B8B">
      <w:pPr>
        <w:pStyle w:val="BodyText"/>
        <w:ind w:left="23" w:right="590"/>
        <w:jc w:val="both"/>
      </w:pPr>
      <w:r>
        <w:t xml:space="preserve">Lactose monohydrate, microcrystalline cellulose, hypromellose, crospovidone, magnesium </w:t>
      </w:r>
      <w:r>
        <w:rPr>
          <w:spacing w:val="-2"/>
        </w:rPr>
        <w:t>stearate.</w:t>
      </w:r>
    </w:p>
    <w:p w14:paraId="53B39038" w14:textId="77777777" w:rsidR="008B6261" w:rsidRDefault="004C6B8B">
      <w:pPr>
        <w:pStyle w:val="BodyText"/>
        <w:spacing w:before="120"/>
        <w:ind w:left="23" w:right="584"/>
        <w:jc w:val="both"/>
      </w:pPr>
      <w:r>
        <w:t>The film coating is made up of hypromellose, titanium dioxide, iron oxide yellow, iron oxide red, macrogol 400.</w:t>
      </w:r>
    </w:p>
    <w:p w14:paraId="53B3903A" w14:textId="77777777" w:rsidR="008B6261" w:rsidRDefault="008B6261">
      <w:pPr>
        <w:pStyle w:val="BodyText"/>
        <w:spacing w:before="1"/>
      </w:pPr>
    </w:p>
    <w:p w14:paraId="53B3903B" w14:textId="77777777" w:rsidR="008B6261" w:rsidRDefault="004C6B8B" w:rsidP="00790B46">
      <w:pPr>
        <w:pStyle w:val="ListParagraph"/>
        <w:numPr>
          <w:ilvl w:val="1"/>
          <w:numId w:val="4"/>
        </w:numPr>
        <w:tabs>
          <w:tab w:val="left" w:pos="702"/>
        </w:tabs>
        <w:ind w:left="703"/>
        <w:rPr>
          <w:b/>
        </w:rPr>
      </w:pPr>
      <w:bookmarkStart w:id="92" w:name="6.2_Incompatibilities"/>
      <w:bookmarkEnd w:id="92"/>
      <w:r>
        <w:rPr>
          <w:b/>
          <w:spacing w:val="-2"/>
        </w:rPr>
        <w:t>INCOMPATIBILITIES</w:t>
      </w:r>
    </w:p>
    <w:p w14:paraId="53B3903C" w14:textId="77777777" w:rsidR="008B6261" w:rsidRDefault="004C6B8B">
      <w:pPr>
        <w:pStyle w:val="BodyText"/>
        <w:ind w:left="23" w:right="588"/>
        <w:jc w:val="both"/>
      </w:pPr>
      <w:r>
        <w:t xml:space="preserve">Incompatibilities were either not assessed or not identified as part of the registration of this </w:t>
      </w:r>
      <w:r>
        <w:rPr>
          <w:spacing w:val="-2"/>
        </w:rPr>
        <w:t>medicine.</w:t>
      </w:r>
    </w:p>
    <w:p w14:paraId="6833ED60" w14:textId="77777777" w:rsidR="008B6261" w:rsidRDefault="008B6261">
      <w:pPr>
        <w:pStyle w:val="BodyText"/>
        <w:jc w:val="both"/>
      </w:pPr>
    </w:p>
    <w:p w14:paraId="53B3903E" w14:textId="77777777" w:rsidR="008B6261" w:rsidRDefault="004C6B8B">
      <w:pPr>
        <w:pStyle w:val="ListParagraph"/>
        <w:numPr>
          <w:ilvl w:val="1"/>
          <w:numId w:val="4"/>
        </w:numPr>
        <w:tabs>
          <w:tab w:val="left" w:pos="702"/>
        </w:tabs>
        <w:spacing w:before="81"/>
        <w:ind w:hanging="679"/>
        <w:rPr>
          <w:b/>
        </w:rPr>
      </w:pPr>
      <w:bookmarkStart w:id="93" w:name="6.3_Shelf_life"/>
      <w:bookmarkEnd w:id="93"/>
      <w:r>
        <w:rPr>
          <w:b/>
        </w:rPr>
        <w:t>SHELF</w:t>
      </w:r>
      <w:r>
        <w:rPr>
          <w:b/>
          <w:spacing w:val="-7"/>
        </w:rPr>
        <w:t xml:space="preserve"> </w:t>
      </w:r>
      <w:r>
        <w:rPr>
          <w:b/>
          <w:spacing w:val="-4"/>
        </w:rPr>
        <w:t>LIFE</w:t>
      </w:r>
    </w:p>
    <w:p w14:paraId="53B39040" w14:textId="02535802" w:rsidR="008B6261" w:rsidRDefault="004C6B8B" w:rsidP="00790B46">
      <w:pPr>
        <w:pStyle w:val="BodyText"/>
        <w:ind w:left="23" w:right="567"/>
      </w:pPr>
      <w:r>
        <w:t>In</w:t>
      </w:r>
      <w:r>
        <w:rPr>
          <w:spacing w:val="-12"/>
        </w:rPr>
        <w:t xml:space="preserve"> </w:t>
      </w:r>
      <w:r>
        <w:t>Australia,</w:t>
      </w:r>
      <w:r>
        <w:rPr>
          <w:spacing w:val="-12"/>
        </w:rPr>
        <w:t xml:space="preserve"> </w:t>
      </w:r>
      <w:r>
        <w:t>information</w:t>
      </w:r>
      <w:r>
        <w:rPr>
          <w:spacing w:val="-12"/>
        </w:rPr>
        <w:t xml:space="preserve"> </w:t>
      </w:r>
      <w:r>
        <w:t>on</w:t>
      </w:r>
      <w:r>
        <w:rPr>
          <w:spacing w:val="-12"/>
        </w:rPr>
        <w:t xml:space="preserve"> </w:t>
      </w:r>
      <w:r>
        <w:t>the</w:t>
      </w:r>
      <w:r>
        <w:rPr>
          <w:spacing w:val="-13"/>
        </w:rPr>
        <w:t xml:space="preserve"> </w:t>
      </w:r>
      <w:r>
        <w:t>shelf</w:t>
      </w:r>
      <w:r>
        <w:rPr>
          <w:spacing w:val="-13"/>
        </w:rPr>
        <w:t xml:space="preserve"> </w:t>
      </w:r>
      <w:r>
        <w:t>life</w:t>
      </w:r>
      <w:r>
        <w:rPr>
          <w:spacing w:val="-13"/>
        </w:rPr>
        <w:t xml:space="preserve"> </w:t>
      </w:r>
      <w:r>
        <w:t>can</w:t>
      </w:r>
      <w:r>
        <w:rPr>
          <w:spacing w:val="-12"/>
        </w:rPr>
        <w:t xml:space="preserve"> </w:t>
      </w:r>
      <w:r>
        <w:t>be</w:t>
      </w:r>
      <w:r>
        <w:rPr>
          <w:spacing w:val="-13"/>
        </w:rPr>
        <w:t xml:space="preserve"> </w:t>
      </w:r>
      <w:r>
        <w:t>found</w:t>
      </w:r>
      <w:r>
        <w:rPr>
          <w:spacing w:val="-12"/>
        </w:rPr>
        <w:t xml:space="preserve"> </w:t>
      </w:r>
      <w:r>
        <w:t>on</w:t>
      </w:r>
      <w:r>
        <w:rPr>
          <w:spacing w:val="-12"/>
        </w:rPr>
        <w:t xml:space="preserve"> </w:t>
      </w:r>
      <w:r>
        <w:t>the</w:t>
      </w:r>
      <w:r>
        <w:rPr>
          <w:spacing w:val="-13"/>
        </w:rPr>
        <w:t xml:space="preserve"> </w:t>
      </w:r>
      <w:r>
        <w:t>public</w:t>
      </w:r>
      <w:r>
        <w:rPr>
          <w:spacing w:val="-13"/>
        </w:rPr>
        <w:t xml:space="preserve"> </w:t>
      </w:r>
      <w:r>
        <w:t>summary</w:t>
      </w:r>
      <w:r>
        <w:rPr>
          <w:spacing w:val="-12"/>
        </w:rPr>
        <w:t xml:space="preserve"> </w:t>
      </w:r>
      <w:r>
        <w:t>of</w:t>
      </w:r>
      <w:r>
        <w:rPr>
          <w:spacing w:val="-13"/>
        </w:rPr>
        <w:t xml:space="preserve"> </w:t>
      </w:r>
      <w:r>
        <w:t>the</w:t>
      </w:r>
      <w:r>
        <w:rPr>
          <w:spacing w:val="-13"/>
        </w:rPr>
        <w:t xml:space="preserve"> </w:t>
      </w:r>
      <w:r>
        <w:t>Australian Register of Therapeutic Goods (ARTG). The expiry date can be found on the packaging.</w:t>
      </w:r>
    </w:p>
    <w:p w14:paraId="53B39041" w14:textId="77777777" w:rsidR="008B6261" w:rsidRDefault="004C6B8B" w:rsidP="00790B46">
      <w:pPr>
        <w:pStyle w:val="ListParagraph"/>
        <w:pageBreakBefore/>
        <w:numPr>
          <w:ilvl w:val="1"/>
          <w:numId w:val="4"/>
        </w:numPr>
        <w:tabs>
          <w:tab w:val="left" w:pos="702"/>
        </w:tabs>
        <w:ind w:left="703"/>
        <w:rPr>
          <w:b/>
        </w:rPr>
      </w:pPr>
      <w:bookmarkStart w:id="94" w:name="6.4_Special_precautions_for_storage"/>
      <w:bookmarkEnd w:id="94"/>
      <w:r>
        <w:rPr>
          <w:b/>
        </w:rPr>
        <w:lastRenderedPageBreak/>
        <w:t>SPECIAL</w:t>
      </w:r>
      <w:r>
        <w:rPr>
          <w:b/>
          <w:spacing w:val="-6"/>
        </w:rPr>
        <w:t xml:space="preserve"> </w:t>
      </w:r>
      <w:r>
        <w:rPr>
          <w:b/>
        </w:rPr>
        <w:t>PRECAUTIONS</w:t>
      </w:r>
      <w:r>
        <w:rPr>
          <w:b/>
          <w:spacing w:val="-5"/>
        </w:rPr>
        <w:t xml:space="preserve"> </w:t>
      </w:r>
      <w:r>
        <w:rPr>
          <w:b/>
        </w:rPr>
        <w:t>FOR</w:t>
      </w:r>
      <w:r>
        <w:rPr>
          <w:b/>
          <w:spacing w:val="-5"/>
        </w:rPr>
        <w:t xml:space="preserve"> </w:t>
      </w:r>
      <w:r>
        <w:rPr>
          <w:b/>
          <w:spacing w:val="-2"/>
        </w:rPr>
        <w:t>STORAGE</w:t>
      </w:r>
    </w:p>
    <w:p w14:paraId="53B39043" w14:textId="3081DDA3" w:rsidR="008B6261" w:rsidRDefault="004C6B8B" w:rsidP="0039344F">
      <w:pPr>
        <w:pStyle w:val="BodyText"/>
        <w:spacing w:before="241"/>
        <w:ind w:left="23"/>
        <w:rPr>
          <w:spacing w:val="-2"/>
        </w:rPr>
      </w:pPr>
      <w:r>
        <w:t>Store</w:t>
      </w:r>
      <w:r>
        <w:rPr>
          <w:spacing w:val="-3"/>
        </w:rPr>
        <w:t xml:space="preserve"> </w:t>
      </w:r>
      <w:r>
        <w:t>below</w:t>
      </w:r>
      <w:r>
        <w:rPr>
          <w:spacing w:val="-2"/>
        </w:rPr>
        <w:t xml:space="preserve"> 30˚C.</w:t>
      </w:r>
    </w:p>
    <w:p w14:paraId="384BD723" w14:textId="77777777" w:rsidR="00790B46" w:rsidRDefault="00790B46" w:rsidP="0039344F">
      <w:pPr>
        <w:pStyle w:val="BodyText"/>
        <w:spacing w:before="241"/>
        <w:ind w:left="23"/>
      </w:pPr>
    </w:p>
    <w:p w14:paraId="53B39044" w14:textId="77777777" w:rsidR="008B6261" w:rsidRDefault="004C6B8B" w:rsidP="00790B46">
      <w:pPr>
        <w:pStyle w:val="ListParagraph"/>
        <w:numPr>
          <w:ilvl w:val="1"/>
          <w:numId w:val="4"/>
        </w:numPr>
        <w:tabs>
          <w:tab w:val="left" w:pos="702"/>
        </w:tabs>
        <w:ind w:left="703"/>
        <w:rPr>
          <w:b/>
        </w:rPr>
      </w:pPr>
      <w:bookmarkStart w:id="95" w:name="6.5_Nature_and_contents_of_container"/>
      <w:bookmarkEnd w:id="95"/>
      <w:r>
        <w:rPr>
          <w:b/>
        </w:rPr>
        <w:t>NATURE</w:t>
      </w:r>
      <w:r>
        <w:rPr>
          <w:b/>
          <w:spacing w:val="-4"/>
        </w:rPr>
        <w:t xml:space="preserve"> </w:t>
      </w:r>
      <w:r>
        <w:rPr>
          <w:b/>
        </w:rPr>
        <w:t>AND</w:t>
      </w:r>
      <w:r>
        <w:rPr>
          <w:b/>
          <w:spacing w:val="-4"/>
        </w:rPr>
        <w:t xml:space="preserve"> </w:t>
      </w:r>
      <w:r>
        <w:rPr>
          <w:b/>
        </w:rPr>
        <w:t>CONTENTS</w:t>
      </w:r>
      <w:r>
        <w:rPr>
          <w:b/>
          <w:spacing w:val="-7"/>
        </w:rPr>
        <w:t xml:space="preserve"> </w:t>
      </w:r>
      <w:r>
        <w:rPr>
          <w:b/>
        </w:rPr>
        <w:t>OF</w:t>
      </w:r>
      <w:r>
        <w:rPr>
          <w:b/>
          <w:spacing w:val="-5"/>
        </w:rPr>
        <w:t xml:space="preserve"> </w:t>
      </w:r>
      <w:r>
        <w:rPr>
          <w:b/>
          <w:spacing w:val="-2"/>
        </w:rPr>
        <w:t>CONTAINER</w:t>
      </w:r>
    </w:p>
    <w:p w14:paraId="53B39045" w14:textId="77777777" w:rsidR="008B6261" w:rsidRDefault="004C6B8B">
      <w:pPr>
        <w:pStyle w:val="ListParagraph"/>
        <w:numPr>
          <w:ilvl w:val="0"/>
          <w:numId w:val="4"/>
        </w:numPr>
        <w:tabs>
          <w:tab w:val="left" w:pos="203"/>
        </w:tabs>
        <w:spacing w:before="238"/>
        <w:ind w:left="23" w:right="1728" w:firstLine="0"/>
        <w:rPr>
          <w:rFonts w:ascii="Times New Roman"/>
          <w:sz w:val="24"/>
        </w:rPr>
      </w:pPr>
      <w:r>
        <w:rPr>
          <w:rFonts w:ascii="Times New Roman"/>
          <w:sz w:val="24"/>
        </w:rPr>
        <w:t>film-coated tablets in a carton containing 1 wallet composed of 1 polyamide/aluminium/polyvinylchloride-aluminium</w:t>
      </w:r>
      <w:r>
        <w:rPr>
          <w:rFonts w:ascii="Times New Roman"/>
          <w:spacing w:val="-6"/>
          <w:sz w:val="24"/>
        </w:rPr>
        <w:t xml:space="preserve"> </w:t>
      </w:r>
      <w:r>
        <w:rPr>
          <w:rFonts w:ascii="Times New Roman"/>
          <w:sz w:val="24"/>
        </w:rPr>
        <w:t>blister</w:t>
      </w:r>
      <w:r>
        <w:rPr>
          <w:rFonts w:ascii="Times New Roman"/>
          <w:spacing w:val="-7"/>
          <w:sz w:val="24"/>
        </w:rPr>
        <w:t xml:space="preserve"> </w:t>
      </w:r>
      <w:r>
        <w:rPr>
          <w:rFonts w:ascii="Times New Roman"/>
          <w:sz w:val="24"/>
        </w:rPr>
        <w:t>of</w:t>
      </w:r>
      <w:r>
        <w:rPr>
          <w:rFonts w:ascii="Times New Roman"/>
          <w:spacing w:val="-7"/>
          <w:sz w:val="24"/>
        </w:rPr>
        <w:t xml:space="preserve"> </w:t>
      </w:r>
      <w:r>
        <w:rPr>
          <w:rFonts w:ascii="Times New Roman"/>
          <w:sz w:val="24"/>
        </w:rPr>
        <w:t>7</w:t>
      </w:r>
      <w:r>
        <w:rPr>
          <w:rFonts w:ascii="Times New Roman"/>
          <w:spacing w:val="-6"/>
          <w:sz w:val="24"/>
        </w:rPr>
        <w:t xml:space="preserve"> </w:t>
      </w:r>
      <w:r>
        <w:rPr>
          <w:rFonts w:ascii="Times New Roman"/>
          <w:sz w:val="24"/>
        </w:rPr>
        <w:t>tablets</w:t>
      </w:r>
      <w:r>
        <w:rPr>
          <w:rFonts w:ascii="Times New Roman"/>
          <w:spacing w:val="-6"/>
          <w:sz w:val="24"/>
        </w:rPr>
        <w:t xml:space="preserve"> </w:t>
      </w:r>
      <w:r>
        <w:rPr>
          <w:rFonts w:ascii="Times New Roman"/>
          <w:sz w:val="24"/>
        </w:rPr>
        <w:t>per</w:t>
      </w:r>
      <w:r>
        <w:rPr>
          <w:rFonts w:ascii="Times New Roman"/>
          <w:spacing w:val="-5"/>
          <w:sz w:val="24"/>
        </w:rPr>
        <w:t xml:space="preserve"> </w:t>
      </w:r>
      <w:r>
        <w:rPr>
          <w:rFonts w:ascii="Times New Roman"/>
          <w:sz w:val="24"/>
        </w:rPr>
        <w:t>blister.</w:t>
      </w:r>
    </w:p>
    <w:p w14:paraId="53B39046" w14:textId="77777777" w:rsidR="008B6261" w:rsidRDefault="004C6B8B">
      <w:pPr>
        <w:pStyle w:val="BodyText"/>
        <w:spacing w:before="240"/>
        <w:ind w:left="22" w:right="1516"/>
      </w:pPr>
      <w:r>
        <w:t>28 film-coated tablets in a carton containing 1 wallet composed of 2 folded polyamide/aluminium/polyvinylchloride-aluminium</w:t>
      </w:r>
      <w:r>
        <w:rPr>
          <w:spacing w:val="-6"/>
        </w:rPr>
        <w:t xml:space="preserve"> </w:t>
      </w:r>
      <w:r>
        <w:t>blisters</w:t>
      </w:r>
      <w:r>
        <w:rPr>
          <w:spacing w:val="-6"/>
        </w:rPr>
        <w:t xml:space="preserve"> </w:t>
      </w:r>
      <w:r>
        <w:t>of</w:t>
      </w:r>
      <w:r>
        <w:rPr>
          <w:spacing w:val="-7"/>
        </w:rPr>
        <w:t xml:space="preserve"> </w:t>
      </w:r>
      <w:r>
        <w:t>14</w:t>
      </w:r>
      <w:r>
        <w:rPr>
          <w:spacing w:val="-6"/>
        </w:rPr>
        <w:t xml:space="preserve"> </w:t>
      </w:r>
      <w:r>
        <w:t>tablets</w:t>
      </w:r>
      <w:r>
        <w:rPr>
          <w:spacing w:val="-6"/>
        </w:rPr>
        <w:t xml:space="preserve"> </w:t>
      </w:r>
      <w:r>
        <w:t>per</w:t>
      </w:r>
      <w:r>
        <w:rPr>
          <w:spacing w:val="-7"/>
        </w:rPr>
        <w:t xml:space="preserve"> </w:t>
      </w:r>
      <w:r>
        <w:t>blister.</w:t>
      </w:r>
    </w:p>
    <w:p w14:paraId="53B39047" w14:textId="77777777" w:rsidR="008B6261" w:rsidRDefault="004C6B8B">
      <w:pPr>
        <w:pStyle w:val="BodyText"/>
        <w:spacing w:before="240"/>
        <w:ind w:left="22"/>
      </w:pPr>
      <w:r>
        <w:t>Not</w:t>
      </w:r>
      <w:r>
        <w:rPr>
          <w:spacing w:val="-1"/>
        </w:rPr>
        <w:t xml:space="preserve"> </w:t>
      </w:r>
      <w:r>
        <w:t>all</w:t>
      </w:r>
      <w:r>
        <w:rPr>
          <w:spacing w:val="-1"/>
        </w:rPr>
        <w:t xml:space="preserve"> </w:t>
      </w:r>
      <w:r>
        <w:t>pack</w:t>
      </w:r>
      <w:r>
        <w:rPr>
          <w:spacing w:val="-1"/>
        </w:rPr>
        <w:t xml:space="preserve"> </w:t>
      </w:r>
      <w:r>
        <w:t>sizes</w:t>
      </w:r>
      <w:r>
        <w:rPr>
          <w:spacing w:val="-1"/>
        </w:rPr>
        <w:t xml:space="preserve"> </w:t>
      </w:r>
      <w:r>
        <w:t>may</w:t>
      </w:r>
      <w:r>
        <w:rPr>
          <w:spacing w:val="-1"/>
        </w:rPr>
        <w:t xml:space="preserve"> </w:t>
      </w:r>
      <w:r>
        <w:t>be</w:t>
      </w:r>
      <w:r>
        <w:rPr>
          <w:spacing w:val="-1"/>
        </w:rPr>
        <w:t xml:space="preserve"> </w:t>
      </w:r>
      <w:r>
        <w:rPr>
          <w:spacing w:val="-2"/>
        </w:rPr>
        <w:t>marketed.</w:t>
      </w:r>
    </w:p>
    <w:p w14:paraId="53B39048" w14:textId="77777777" w:rsidR="008B6261" w:rsidRDefault="008B6261">
      <w:pPr>
        <w:pStyle w:val="BodyText"/>
        <w:spacing w:before="241"/>
      </w:pPr>
    </w:p>
    <w:p w14:paraId="53B39049" w14:textId="77777777" w:rsidR="008B6261" w:rsidRDefault="004C6B8B">
      <w:pPr>
        <w:pStyle w:val="ListParagraph"/>
        <w:numPr>
          <w:ilvl w:val="1"/>
          <w:numId w:val="2"/>
        </w:numPr>
        <w:tabs>
          <w:tab w:val="left" w:pos="702"/>
        </w:tabs>
        <w:ind w:hanging="679"/>
        <w:rPr>
          <w:b/>
        </w:rPr>
      </w:pPr>
      <w:bookmarkStart w:id="96" w:name="6.6_Special_precautions_for_disposal"/>
      <w:bookmarkEnd w:id="96"/>
      <w:r>
        <w:rPr>
          <w:b/>
        </w:rPr>
        <w:t>SPECIAL</w:t>
      </w:r>
      <w:r>
        <w:rPr>
          <w:b/>
          <w:spacing w:val="-6"/>
        </w:rPr>
        <w:t xml:space="preserve"> </w:t>
      </w:r>
      <w:r>
        <w:rPr>
          <w:b/>
        </w:rPr>
        <w:t>PRECAUTIONS</w:t>
      </w:r>
      <w:r>
        <w:rPr>
          <w:b/>
          <w:spacing w:val="-5"/>
        </w:rPr>
        <w:t xml:space="preserve"> </w:t>
      </w:r>
      <w:r>
        <w:rPr>
          <w:b/>
        </w:rPr>
        <w:t>FOR</w:t>
      </w:r>
      <w:r>
        <w:rPr>
          <w:b/>
          <w:spacing w:val="-5"/>
        </w:rPr>
        <w:t xml:space="preserve"> </w:t>
      </w:r>
      <w:r>
        <w:rPr>
          <w:b/>
          <w:spacing w:val="-2"/>
        </w:rPr>
        <w:t>DISPOSAL</w:t>
      </w:r>
    </w:p>
    <w:p w14:paraId="53B3904A" w14:textId="77777777" w:rsidR="008B6261" w:rsidRDefault="004C6B8B">
      <w:pPr>
        <w:pStyle w:val="BodyText"/>
        <w:spacing w:before="241"/>
        <w:ind w:left="23" w:right="567"/>
      </w:pPr>
      <w:r>
        <w:t>In</w:t>
      </w:r>
      <w:r>
        <w:rPr>
          <w:spacing w:val="-1"/>
        </w:rPr>
        <w:t xml:space="preserve"> </w:t>
      </w:r>
      <w:r>
        <w:t>Australia,</w:t>
      </w:r>
      <w:r>
        <w:rPr>
          <w:spacing w:val="-3"/>
        </w:rPr>
        <w:t xml:space="preserve"> </w:t>
      </w:r>
      <w:r>
        <w:t>any</w:t>
      </w:r>
      <w:r>
        <w:rPr>
          <w:spacing w:val="-3"/>
        </w:rPr>
        <w:t xml:space="preserve"> </w:t>
      </w:r>
      <w:r>
        <w:t>unused</w:t>
      </w:r>
      <w:r>
        <w:rPr>
          <w:spacing w:val="-1"/>
        </w:rPr>
        <w:t xml:space="preserve"> </w:t>
      </w:r>
      <w:r>
        <w:t>medicine</w:t>
      </w:r>
      <w:r>
        <w:rPr>
          <w:spacing w:val="-4"/>
        </w:rPr>
        <w:t xml:space="preserve"> </w:t>
      </w:r>
      <w:r>
        <w:t>or</w:t>
      </w:r>
      <w:r>
        <w:rPr>
          <w:spacing w:val="-4"/>
        </w:rPr>
        <w:t xml:space="preserve"> </w:t>
      </w:r>
      <w:r>
        <w:t>waste</w:t>
      </w:r>
      <w:r>
        <w:rPr>
          <w:spacing w:val="-4"/>
        </w:rPr>
        <w:t xml:space="preserve"> </w:t>
      </w:r>
      <w:r>
        <w:t>material</w:t>
      </w:r>
      <w:r>
        <w:rPr>
          <w:spacing w:val="-3"/>
        </w:rPr>
        <w:t xml:space="preserve"> </w:t>
      </w:r>
      <w:r>
        <w:t>should</w:t>
      </w:r>
      <w:r>
        <w:rPr>
          <w:spacing w:val="-3"/>
        </w:rPr>
        <w:t xml:space="preserve"> </w:t>
      </w:r>
      <w:r>
        <w:t>be</w:t>
      </w:r>
      <w:r>
        <w:rPr>
          <w:spacing w:val="-4"/>
        </w:rPr>
        <w:t xml:space="preserve"> </w:t>
      </w:r>
      <w:r>
        <w:t>disposed</w:t>
      </w:r>
      <w:r>
        <w:rPr>
          <w:spacing w:val="-3"/>
        </w:rPr>
        <w:t xml:space="preserve"> </w:t>
      </w:r>
      <w:r>
        <w:t>of</w:t>
      </w:r>
      <w:r>
        <w:rPr>
          <w:spacing w:val="-4"/>
        </w:rPr>
        <w:t xml:space="preserve"> </w:t>
      </w:r>
      <w:r>
        <w:t>in</w:t>
      </w:r>
      <w:r>
        <w:rPr>
          <w:spacing w:val="-3"/>
        </w:rPr>
        <w:t xml:space="preserve"> </w:t>
      </w:r>
      <w:r>
        <w:t>accordance</w:t>
      </w:r>
      <w:r>
        <w:rPr>
          <w:spacing w:val="-4"/>
        </w:rPr>
        <w:t xml:space="preserve"> </w:t>
      </w:r>
      <w:r>
        <w:t xml:space="preserve">with </w:t>
      </w:r>
      <w:bookmarkStart w:id="97" w:name="6.7_PHYSICOCHEMICAL_PROPERTIES"/>
      <w:bookmarkEnd w:id="97"/>
      <w:r>
        <w:t>local requirements.</w:t>
      </w:r>
    </w:p>
    <w:p w14:paraId="53B3904B" w14:textId="77777777" w:rsidR="008B6261" w:rsidRDefault="008B6261">
      <w:pPr>
        <w:pStyle w:val="BodyText"/>
        <w:spacing w:before="204"/>
      </w:pPr>
    </w:p>
    <w:p w14:paraId="53B3904C" w14:textId="77777777" w:rsidR="008B6261" w:rsidRDefault="004C6B8B">
      <w:pPr>
        <w:pStyle w:val="ListParagraph"/>
        <w:numPr>
          <w:ilvl w:val="1"/>
          <w:numId w:val="2"/>
        </w:numPr>
        <w:tabs>
          <w:tab w:val="left" w:pos="702"/>
        </w:tabs>
        <w:spacing w:before="1"/>
        <w:ind w:hanging="679"/>
        <w:rPr>
          <w:b/>
        </w:rPr>
      </w:pPr>
      <w:r>
        <w:rPr>
          <w:b/>
        </w:rPr>
        <w:t>PHYSICOCHEMICAL</w:t>
      </w:r>
      <w:r>
        <w:rPr>
          <w:b/>
          <w:spacing w:val="-12"/>
        </w:rPr>
        <w:t xml:space="preserve"> </w:t>
      </w:r>
      <w:r>
        <w:rPr>
          <w:b/>
          <w:spacing w:val="-2"/>
        </w:rPr>
        <w:t>PROPERTIES</w:t>
      </w:r>
    </w:p>
    <w:p w14:paraId="53B3904D" w14:textId="77777777" w:rsidR="008B6261" w:rsidRDefault="008B6261">
      <w:pPr>
        <w:pStyle w:val="BodyText"/>
        <w:spacing w:before="105"/>
        <w:rPr>
          <w:rFonts w:ascii="Arial"/>
          <w:b/>
          <w:sz w:val="22"/>
        </w:rPr>
      </w:pPr>
    </w:p>
    <w:p w14:paraId="53B3904E" w14:textId="77777777" w:rsidR="008B6261" w:rsidRDefault="004C6B8B">
      <w:pPr>
        <w:spacing w:before="1"/>
        <w:ind w:left="22"/>
        <w:rPr>
          <w:rFonts w:ascii="Arial"/>
          <w:b/>
        </w:rPr>
      </w:pPr>
      <w:bookmarkStart w:id="98" w:name="Chemical_structure"/>
      <w:bookmarkEnd w:id="98"/>
      <w:r>
        <w:rPr>
          <w:rFonts w:ascii="Arial"/>
          <w:b/>
        </w:rPr>
        <w:t>Chemical</w:t>
      </w:r>
      <w:r>
        <w:rPr>
          <w:rFonts w:ascii="Arial"/>
          <w:b/>
          <w:spacing w:val="-5"/>
        </w:rPr>
        <w:t xml:space="preserve"> </w:t>
      </w:r>
      <w:r>
        <w:rPr>
          <w:rFonts w:ascii="Arial"/>
          <w:b/>
          <w:spacing w:val="-2"/>
        </w:rPr>
        <w:t>structure</w:t>
      </w:r>
    </w:p>
    <w:p w14:paraId="53B3904F" w14:textId="77777777" w:rsidR="008B6261" w:rsidRDefault="008B6261">
      <w:pPr>
        <w:pStyle w:val="BodyText"/>
        <w:spacing w:before="0"/>
        <w:rPr>
          <w:rFonts w:ascii="Arial"/>
          <w:b/>
          <w:sz w:val="20"/>
        </w:rPr>
      </w:pPr>
    </w:p>
    <w:p w14:paraId="53B39052" w14:textId="508929E3" w:rsidR="008B6261" w:rsidRDefault="004C6B8B" w:rsidP="00790B46">
      <w:pPr>
        <w:pStyle w:val="BodyText"/>
        <w:spacing w:before="15"/>
        <w:jc w:val="center"/>
        <w:rPr>
          <w:rFonts w:ascii="Arial"/>
          <w:b/>
          <w:sz w:val="20"/>
        </w:rPr>
      </w:pPr>
      <w:r>
        <w:rPr>
          <w:rFonts w:ascii="Arial"/>
          <w:b/>
          <w:noProof/>
          <w:sz w:val="20"/>
        </w:rPr>
        <w:drawing>
          <wp:inline distT="0" distB="0" distL="0" distR="0" wp14:anchorId="53B39081" wp14:editId="1329FFD4">
            <wp:extent cx="996287" cy="1428012"/>
            <wp:effectExtent l="0" t="0" r="0" b="1270"/>
            <wp:docPr id="10" name="Image 10" descr="Chemical stru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Chemical struct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0504" cy="1448389"/>
                    </a:xfrm>
                    <a:prstGeom prst="rect">
                      <a:avLst/>
                    </a:prstGeom>
                  </pic:spPr>
                </pic:pic>
              </a:graphicData>
            </a:graphic>
          </wp:inline>
        </w:drawing>
      </w:r>
    </w:p>
    <w:p w14:paraId="08148179" w14:textId="77777777" w:rsidR="00790B46" w:rsidRPr="00790B46" w:rsidRDefault="00790B46" w:rsidP="00790B46">
      <w:pPr>
        <w:pStyle w:val="BodyText"/>
        <w:spacing w:before="15"/>
        <w:rPr>
          <w:rFonts w:ascii="Arial"/>
          <w:b/>
          <w:sz w:val="20"/>
        </w:rPr>
      </w:pPr>
    </w:p>
    <w:p w14:paraId="53B39053" w14:textId="77777777" w:rsidR="008B6261" w:rsidRDefault="004C6B8B">
      <w:pPr>
        <w:pStyle w:val="BodyText"/>
        <w:spacing w:before="0"/>
        <w:ind w:left="23" w:right="588"/>
        <w:jc w:val="both"/>
      </w:pPr>
      <w:r>
        <w:t xml:space="preserve">CENRIFKI (tolebrutinib) is a kinase inhibitor. The empirical formula of tolebrutinib is </w:t>
      </w:r>
      <w:r>
        <w:rPr>
          <w:position w:val="2"/>
        </w:rPr>
        <w:t>C</w:t>
      </w:r>
      <w:r>
        <w:rPr>
          <w:sz w:val="16"/>
        </w:rPr>
        <w:t>26</w:t>
      </w:r>
      <w:r>
        <w:rPr>
          <w:position w:val="2"/>
        </w:rPr>
        <w:t>H</w:t>
      </w:r>
      <w:r>
        <w:rPr>
          <w:sz w:val="16"/>
        </w:rPr>
        <w:t>25</w:t>
      </w:r>
      <w:r>
        <w:rPr>
          <w:position w:val="2"/>
        </w:rPr>
        <w:t>N</w:t>
      </w:r>
      <w:r>
        <w:rPr>
          <w:sz w:val="16"/>
        </w:rPr>
        <w:t>5</w:t>
      </w:r>
      <w:r>
        <w:rPr>
          <w:position w:val="2"/>
        </w:rPr>
        <w:t>O</w:t>
      </w:r>
      <w:r>
        <w:rPr>
          <w:sz w:val="16"/>
        </w:rPr>
        <w:t>3</w:t>
      </w:r>
      <w:r>
        <w:rPr>
          <w:spacing w:val="40"/>
          <w:sz w:val="16"/>
        </w:rPr>
        <w:t xml:space="preserve"> </w:t>
      </w:r>
      <w:r>
        <w:rPr>
          <w:position w:val="2"/>
        </w:rPr>
        <w:t>and the molecular weight is 455.52. The chemical name is (R)-1-(1-</w:t>
      </w:r>
      <w:r>
        <w:rPr>
          <w:spacing w:val="-2"/>
        </w:rPr>
        <w:t>acryloylpiperidin-3-yl)-4-amino-3-(4-phenoxyphenyl)-1H-imidazo[4,5-c]pyridin-2(3H)-one.</w:t>
      </w:r>
    </w:p>
    <w:p w14:paraId="53B39054" w14:textId="77777777" w:rsidR="008B6261" w:rsidRDefault="004C6B8B">
      <w:pPr>
        <w:pStyle w:val="BodyText"/>
        <w:ind w:left="22" w:right="587"/>
        <w:jc w:val="both"/>
      </w:pPr>
      <w:r>
        <w:t>Tolebrutinib is a white to beige powder that is freely or very soluble in dichloromethane, tetrahydrofuran,</w:t>
      </w:r>
      <w:r>
        <w:rPr>
          <w:spacing w:val="-15"/>
        </w:rPr>
        <w:t xml:space="preserve"> </w:t>
      </w:r>
      <w:r>
        <w:t>soluble</w:t>
      </w:r>
      <w:r>
        <w:rPr>
          <w:spacing w:val="-15"/>
        </w:rPr>
        <w:t xml:space="preserve"> </w:t>
      </w:r>
      <w:r>
        <w:t>in</w:t>
      </w:r>
      <w:r>
        <w:rPr>
          <w:spacing w:val="-15"/>
        </w:rPr>
        <w:t xml:space="preserve"> </w:t>
      </w:r>
      <w:r>
        <w:t>acetonitrile</w:t>
      </w:r>
      <w:r>
        <w:rPr>
          <w:spacing w:val="-14"/>
        </w:rPr>
        <w:t xml:space="preserve"> </w:t>
      </w:r>
      <w:r>
        <w:t>and</w:t>
      </w:r>
      <w:r>
        <w:rPr>
          <w:spacing w:val="-14"/>
        </w:rPr>
        <w:t xml:space="preserve"> </w:t>
      </w:r>
      <w:r>
        <w:t>methanol,</w:t>
      </w:r>
      <w:r>
        <w:rPr>
          <w:spacing w:val="-15"/>
        </w:rPr>
        <w:t xml:space="preserve"> </w:t>
      </w:r>
      <w:r>
        <w:t>sparingly</w:t>
      </w:r>
      <w:r>
        <w:rPr>
          <w:spacing w:val="-15"/>
        </w:rPr>
        <w:t xml:space="preserve"> </w:t>
      </w:r>
      <w:r>
        <w:t>soluble</w:t>
      </w:r>
      <w:r>
        <w:rPr>
          <w:spacing w:val="-15"/>
        </w:rPr>
        <w:t xml:space="preserve"> </w:t>
      </w:r>
      <w:r>
        <w:t>in</w:t>
      </w:r>
      <w:r>
        <w:rPr>
          <w:spacing w:val="-14"/>
        </w:rPr>
        <w:t xml:space="preserve"> </w:t>
      </w:r>
      <w:r>
        <w:t>ethanol,</w:t>
      </w:r>
      <w:r>
        <w:rPr>
          <w:spacing w:val="-15"/>
        </w:rPr>
        <w:t xml:space="preserve"> </w:t>
      </w:r>
      <w:r>
        <w:t>acetone,</w:t>
      </w:r>
      <w:r>
        <w:rPr>
          <w:spacing w:val="-15"/>
        </w:rPr>
        <w:t xml:space="preserve"> </w:t>
      </w:r>
      <w:r>
        <w:t>and ethyl acetate, slightly soluble in isopropanol and isopropyl acetate, practically insoluble in water and methyl tert-butyl ether.</w:t>
      </w:r>
    </w:p>
    <w:p w14:paraId="53B39055" w14:textId="77777777" w:rsidR="008B6261" w:rsidRDefault="008B6261">
      <w:pPr>
        <w:pStyle w:val="BodyText"/>
        <w:spacing w:before="85"/>
      </w:pPr>
    </w:p>
    <w:p w14:paraId="53B39056" w14:textId="77777777" w:rsidR="008B6261" w:rsidRDefault="004C6B8B">
      <w:pPr>
        <w:ind w:left="23"/>
        <w:jc w:val="both"/>
        <w:rPr>
          <w:rFonts w:ascii="Arial"/>
          <w:b/>
        </w:rPr>
      </w:pPr>
      <w:bookmarkStart w:id="99" w:name="CAS_number"/>
      <w:bookmarkEnd w:id="99"/>
      <w:r>
        <w:rPr>
          <w:rFonts w:ascii="Arial"/>
          <w:b/>
        </w:rPr>
        <w:t>CAS</w:t>
      </w:r>
      <w:r>
        <w:rPr>
          <w:rFonts w:ascii="Arial"/>
          <w:b/>
          <w:spacing w:val="-1"/>
        </w:rPr>
        <w:t xml:space="preserve"> </w:t>
      </w:r>
      <w:r>
        <w:rPr>
          <w:rFonts w:ascii="Arial"/>
          <w:b/>
          <w:spacing w:val="-2"/>
        </w:rPr>
        <w:t>number</w:t>
      </w:r>
    </w:p>
    <w:p w14:paraId="08E4C201" w14:textId="7BFEAAA0" w:rsidR="0039344F" w:rsidRPr="00790B46" w:rsidRDefault="004C6B8B" w:rsidP="00790B46">
      <w:pPr>
        <w:pStyle w:val="BodyText"/>
        <w:ind w:left="23"/>
        <w:rPr>
          <w:spacing w:val="-10"/>
        </w:rPr>
      </w:pPr>
      <w:r>
        <w:rPr>
          <w:spacing w:val="-2"/>
        </w:rPr>
        <w:t>1971920-73-</w:t>
      </w:r>
      <w:r>
        <w:rPr>
          <w:spacing w:val="-10"/>
        </w:rPr>
        <w:t>6</w:t>
      </w:r>
    </w:p>
    <w:p w14:paraId="53B39059" w14:textId="77777777" w:rsidR="008B6261" w:rsidRDefault="004C6B8B" w:rsidP="00790B46">
      <w:pPr>
        <w:pStyle w:val="Heading1"/>
        <w:pageBreakBefore/>
        <w:numPr>
          <w:ilvl w:val="0"/>
          <w:numId w:val="1"/>
        </w:numPr>
        <w:tabs>
          <w:tab w:val="left" w:pos="702"/>
        </w:tabs>
        <w:spacing w:before="76"/>
        <w:ind w:left="703"/>
      </w:pPr>
      <w:bookmarkStart w:id="100" w:name="7_Medicine_schedule_(Poisons_Standard)"/>
      <w:bookmarkEnd w:id="100"/>
      <w:r>
        <w:lastRenderedPageBreak/>
        <w:t>MEDICINE</w:t>
      </w:r>
      <w:r>
        <w:rPr>
          <w:spacing w:val="-8"/>
        </w:rPr>
        <w:t xml:space="preserve"> </w:t>
      </w:r>
      <w:r>
        <w:t>SCHEDULE</w:t>
      </w:r>
      <w:r>
        <w:rPr>
          <w:spacing w:val="-7"/>
        </w:rPr>
        <w:t xml:space="preserve"> </w:t>
      </w:r>
      <w:r>
        <w:t>(POISONS</w:t>
      </w:r>
      <w:r>
        <w:rPr>
          <w:spacing w:val="-7"/>
        </w:rPr>
        <w:t xml:space="preserve"> </w:t>
      </w:r>
      <w:r>
        <w:rPr>
          <w:spacing w:val="-2"/>
        </w:rPr>
        <w:t>STANDARD)</w:t>
      </w:r>
    </w:p>
    <w:p w14:paraId="53B3905B" w14:textId="550FBC45" w:rsidR="008B6261" w:rsidRDefault="004C6B8B" w:rsidP="0039344F">
      <w:pPr>
        <w:pStyle w:val="BodyText"/>
        <w:spacing w:before="240"/>
        <w:ind w:left="23"/>
        <w:rPr>
          <w:spacing w:val="-2"/>
        </w:rPr>
      </w:pPr>
      <w:r>
        <w:t>Schedule</w:t>
      </w:r>
      <w:r>
        <w:rPr>
          <w:spacing w:val="-3"/>
        </w:rPr>
        <w:t xml:space="preserve"> </w:t>
      </w:r>
      <w:r>
        <w:t>4</w:t>
      </w:r>
      <w:r>
        <w:rPr>
          <w:spacing w:val="-1"/>
        </w:rPr>
        <w:t xml:space="preserve"> </w:t>
      </w:r>
      <w:r>
        <w:t>(Prescription</w:t>
      </w:r>
      <w:r>
        <w:rPr>
          <w:spacing w:val="-2"/>
        </w:rPr>
        <w:t xml:space="preserve"> </w:t>
      </w:r>
      <w:r>
        <w:t>Only</w:t>
      </w:r>
      <w:r>
        <w:rPr>
          <w:spacing w:val="-1"/>
        </w:rPr>
        <w:t xml:space="preserve"> </w:t>
      </w:r>
      <w:r>
        <w:rPr>
          <w:spacing w:val="-2"/>
        </w:rPr>
        <w:t>Medicine)</w:t>
      </w:r>
    </w:p>
    <w:p w14:paraId="78485804" w14:textId="77777777" w:rsidR="00790B46" w:rsidRDefault="00790B46" w:rsidP="0039344F">
      <w:pPr>
        <w:pStyle w:val="BodyText"/>
        <w:spacing w:before="240"/>
        <w:ind w:left="23"/>
      </w:pPr>
    </w:p>
    <w:p w14:paraId="53B3905C" w14:textId="77777777" w:rsidR="008B6261" w:rsidRDefault="004C6B8B" w:rsidP="00790B46">
      <w:pPr>
        <w:pStyle w:val="Heading1"/>
        <w:numPr>
          <w:ilvl w:val="0"/>
          <w:numId w:val="1"/>
        </w:numPr>
        <w:tabs>
          <w:tab w:val="left" w:pos="702"/>
        </w:tabs>
        <w:ind w:left="703"/>
      </w:pPr>
      <w:bookmarkStart w:id="101" w:name="8_Sponsor"/>
      <w:bookmarkEnd w:id="101"/>
      <w:r>
        <w:rPr>
          <w:spacing w:val="-2"/>
        </w:rPr>
        <w:t>SPONSOR</w:t>
      </w:r>
    </w:p>
    <w:p w14:paraId="53B3905D" w14:textId="77777777" w:rsidR="008B6261" w:rsidRDefault="004C6B8B">
      <w:pPr>
        <w:pStyle w:val="BodyText"/>
        <w:spacing w:before="120"/>
        <w:ind w:left="23" w:right="5514"/>
      </w:pPr>
      <w:r>
        <w:t>sanofi-aventis australia pty ltd International</w:t>
      </w:r>
      <w:r>
        <w:rPr>
          <w:spacing w:val="-9"/>
        </w:rPr>
        <w:t xml:space="preserve"> </w:t>
      </w:r>
      <w:r>
        <w:t>Tower</w:t>
      </w:r>
      <w:r>
        <w:rPr>
          <w:spacing w:val="-10"/>
        </w:rPr>
        <w:t xml:space="preserve"> </w:t>
      </w:r>
      <w:r>
        <w:t>3,</w:t>
      </w:r>
      <w:r>
        <w:rPr>
          <w:spacing w:val="-9"/>
        </w:rPr>
        <w:t xml:space="preserve"> </w:t>
      </w:r>
      <w:r>
        <w:t>Level</w:t>
      </w:r>
      <w:r>
        <w:rPr>
          <w:spacing w:val="-9"/>
        </w:rPr>
        <w:t xml:space="preserve"> </w:t>
      </w:r>
      <w:r>
        <w:t>23</w:t>
      </w:r>
    </w:p>
    <w:p w14:paraId="53B3905E" w14:textId="77777777" w:rsidR="008B6261" w:rsidRDefault="004C6B8B">
      <w:pPr>
        <w:pStyle w:val="BodyText"/>
        <w:spacing w:before="0"/>
        <w:ind w:left="23"/>
      </w:pPr>
      <w:r>
        <w:t>300</w:t>
      </w:r>
      <w:r>
        <w:rPr>
          <w:spacing w:val="-2"/>
        </w:rPr>
        <w:t xml:space="preserve"> </w:t>
      </w:r>
      <w:r>
        <w:t>Barangaroo</w:t>
      </w:r>
      <w:r>
        <w:rPr>
          <w:spacing w:val="-1"/>
        </w:rPr>
        <w:t xml:space="preserve"> </w:t>
      </w:r>
      <w:r>
        <w:rPr>
          <w:spacing w:val="-2"/>
        </w:rPr>
        <w:t>Avenue</w:t>
      </w:r>
    </w:p>
    <w:p w14:paraId="53B3905F" w14:textId="77777777" w:rsidR="008B6261" w:rsidRDefault="004C6B8B">
      <w:pPr>
        <w:pStyle w:val="BodyText"/>
        <w:spacing w:before="0"/>
        <w:ind w:left="23"/>
      </w:pPr>
      <w:r>
        <w:t>Sydney</w:t>
      </w:r>
      <w:r>
        <w:rPr>
          <w:spacing w:val="-1"/>
        </w:rPr>
        <w:t xml:space="preserve"> </w:t>
      </w:r>
      <w:r>
        <w:t>NSW</w:t>
      </w:r>
      <w:r>
        <w:rPr>
          <w:spacing w:val="-2"/>
        </w:rPr>
        <w:t xml:space="preserve"> </w:t>
      </w:r>
      <w:r>
        <w:rPr>
          <w:spacing w:val="-4"/>
        </w:rPr>
        <w:t>2000</w:t>
      </w:r>
    </w:p>
    <w:p w14:paraId="53B39060" w14:textId="77777777" w:rsidR="008B6261" w:rsidRDefault="004C6B8B">
      <w:pPr>
        <w:pStyle w:val="BodyText"/>
        <w:spacing w:before="0"/>
        <w:ind w:left="23" w:right="4262"/>
      </w:pPr>
      <w:r>
        <w:t>Toll</w:t>
      </w:r>
      <w:r>
        <w:rPr>
          <w:spacing w:val="-5"/>
        </w:rPr>
        <w:t xml:space="preserve"> </w:t>
      </w:r>
      <w:r>
        <w:t>Free</w:t>
      </w:r>
      <w:r>
        <w:rPr>
          <w:spacing w:val="-4"/>
        </w:rPr>
        <w:t xml:space="preserve"> </w:t>
      </w:r>
      <w:r>
        <w:t>Number</w:t>
      </w:r>
      <w:r>
        <w:rPr>
          <w:spacing w:val="-6"/>
        </w:rPr>
        <w:t xml:space="preserve"> </w:t>
      </w:r>
      <w:r>
        <w:t>(medical</w:t>
      </w:r>
      <w:r>
        <w:rPr>
          <w:spacing w:val="-5"/>
        </w:rPr>
        <w:t xml:space="preserve"> </w:t>
      </w:r>
      <w:r>
        <w:t>information):</w:t>
      </w:r>
      <w:r>
        <w:rPr>
          <w:spacing w:val="-5"/>
        </w:rPr>
        <w:t xml:space="preserve"> </w:t>
      </w:r>
      <w:r>
        <w:t>1800</w:t>
      </w:r>
      <w:r>
        <w:rPr>
          <w:spacing w:val="-5"/>
        </w:rPr>
        <w:t xml:space="preserve"> </w:t>
      </w:r>
      <w:r>
        <w:t>818</w:t>
      </w:r>
      <w:r>
        <w:rPr>
          <w:spacing w:val="-5"/>
        </w:rPr>
        <w:t xml:space="preserve"> </w:t>
      </w:r>
      <w:r>
        <w:t xml:space="preserve">806 E-mail: </w:t>
      </w:r>
      <w:hyperlink r:id="rId14">
        <w:r>
          <w:t>medinfo.australia@sanofi.com</w:t>
        </w:r>
      </w:hyperlink>
    </w:p>
    <w:p w14:paraId="53B39061" w14:textId="77777777" w:rsidR="008B6261" w:rsidRDefault="008B6261">
      <w:pPr>
        <w:pStyle w:val="BodyText"/>
        <w:spacing w:before="240"/>
      </w:pPr>
    </w:p>
    <w:p w14:paraId="53B39062" w14:textId="77777777" w:rsidR="008B6261" w:rsidRDefault="004C6B8B">
      <w:pPr>
        <w:pStyle w:val="Heading1"/>
        <w:numPr>
          <w:ilvl w:val="0"/>
          <w:numId w:val="1"/>
        </w:numPr>
        <w:tabs>
          <w:tab w:val="left" w:pos="702"/>
        </w:tabs>
        <w:ind w:hanging="679"/>
      </w:pPr>
      <w:bookmarkStart w:id="102" w:name="9_Date_of_first_approval"/>
      <w:bookmarkEnd w:id="102"/>
      <w:r>
        <w:t>DATE</w:t>
      </w:r>
      <w:r>
        <w:rPr>
          <w:spacing w:val="-5"/>
        </w:rPr>
        <w:t xml:space="preserve"> </w:t>
      </w:r>
      <w:r>
        <w:t>OF</w:t>
      </w:r>
      <w:r>
        <w:rPr>
          <w:spacing w:val="-2"/>
        </w:rPr>
        <w:t xml:space="preserve"> </w:t>
      </w:r>
      <w:r>
        <w:t>FIRST</w:t>
      </w:r>
      <w:r>
        <w:rPr>
          <w:spacing w:val="-2"/>
        </w:rPr>
        <w:t xml:space="preserve"> APPROVAL</w:t>
      </w:r>
    </w:p>
    <w:p w14:paraId="53B39063" w14:textId="77777777" w:rsidR="008B6261" w:rsidRDefault="004C6B8B">
      <w:pPr>
        <w:pStyle w:val="BodyText"/>
        <w:spacing w:before="240"/>
        <w:ind w:left="23"/>
      </w:pPr>
      <w:r>
        <w:t>DD</w:t>
      </w:r>
      <w:r>
        <w:rPr>
          <w:spacing w:val="-2"/>
        </w:rPr>
        <w:t xml:space="preserve"> </w:t>
      </w:r>
      <w:r>
        <w:t xml:space="preserve">MMM </w:t>
      </w:r>
      <w:r>
        <w:rPr>
          <w:spacing w:val="-4"/>
        </w:rPr>
        <w:t>YYYY</w:t>
      </w:r>
    </w:p>
    <w:p w14:paraId="53B39064" w14:textId="77777777" w:rsidR="008B6261" w:rsidRDefault="008B6261">
      <w:pPr>
        <w:pStyle w:val="BodyText"/>
        <w:spacing w:before="0"/>
      </w:pPr>
    </w:p>
    <w:p w14:paraId="53B39065" w14:textId="77777777" w:rsidR="008B6261" w:rsidRDefault="008B6261">
      <w:pPr>
        <w:pStyle w:val="BodyText"/>
        <w:spacing w:before="0"/>
      </w:pPr>
    </w:p>
    <w:p w14:paraId="53B39066" w14:textId="77777777" w:rsidR="008B6261" w:rsidRDefault="008B6261">
      <w:pPr>
        <w:pStyle w:val="BodyText"/>
        <w:spacing w:before="204"/>
      </w:pPr>
    </w:p>
    <w:p w14:paraId="53B39067" w14:textId="77777777" w:rsidR="008B6261" w:rsidRDefault="004C6B8B">
      <w:pPr>
        <w:spacing w:before="1"/>
        <w:ind w:left="23"/>
        <w:rPr>
          <w:rFonts w:ascii="Arial"/>
          <w:b/>
        </w:rPr>
      </w:pPr>
      <w:bookmarkStart w:id="103" w:name="Summary_table_of_changes"/>
      <w:bookmarkEnd w:id="103"/>
      <w:r>
        <w:rPr>
          <w:rFonts w:ascii="Arial"/>
          <w:b/>
        </w:rPr>
        <w:t>SUMMARY</w:t>
      </w:r>
      <w:r>
        <w:rPr>
          <w:rFonts w:ascii="Arial"/>
          <w:b/>
          <w:spacing w:val="-5"/>
        </w:rPr>
        <w:t xml:space="preserve"> </w:t>
      </w:r>
      <w:r>
        <w:rPr>
          <w:rFonts w:ascii="Arial"/>
          <w:b/>
        </w:rPr>
        <w:t>TABLE</w:t>
      </w:r>
      <w:r>
        <w:rPr>
          <w:rFonts w:ascii="Arial"/>
          <w:b/>
          <w:spacing w:val="-5"/>
        </w:rPr>
        <w:t xml:space="preserve"> </w:t>
      </w:r>
      <w:r>
        <w:rPr>
          <w:rFonts w:ascii="Arial"/>
          <w:b/>
        </w:rPr>
        <w:t>OF</w:t>
      </w:r>
      <w:r>
        <w:rPr>
          <w:rFonts w:ascii="Arial"/>
          <w:b/>
          <w:spacing w:val="-4"/>
        </w:rPr>
        <w:t xml:space="preserve"> </w:t>
      </w:r>
      <w:r>
        <w:rPr>
          <w:rFonts w:ascii="Arial"/>
          <w:b/>
          <w:spacing w:val="-2"/>
        </w:rPr>
        <w:t>CHANGES</w:t>
      </w:r>
    </w:p>
    <w:p w14:paraId="53B39068" w14:textId="77777777" w:rsidR="008B6261" w:rsidRDefault="008B6261">
      <w:pPr>
        <w:pStyle w:val="BodyText"/>
        <w:spacing w:before="6"/>
        <w:rPr>
          <w:rFonts w:ascii="Arial"/>
          <w:b/>
          <w:sz w:val="10"/>
        </w:rPr>
      </w:pPr>
    </w:p>
    <w:tbl>
      <w:tblPr>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02"/>
        <w:gridCol w:w="7306"/>
      </w:tblGrid>
      <w:tr w:rsidR="008B6261" w14:paraId="53B3906D" w14:textId="77777777">
        <w:trPr>
          <w:trHeight w:val="581"/>
        </w:trPr>
        <w:tc>
          <w:tcPr>
            <w:tcW w:w="1702" w:type="dxa"/>
            <w:tcBorders>
              <w:bottom w:val="single" w:sz="18" w:space="0" w:color="000000"/>
            </w:tcBorders>
            <w:shd w:val="clear" w:color="auto" w:fill="F1F1F1"/>
          </w:tcPr>
          <w:p w14:paraId="53B39069" w14:textId="77777777" w:rsidR="008B6261" w:rsidRDefault="008B6261">
            <w:pPr>
              <w:pStyle w:val="TableParagraph"/>
              <w:spacing w:before="67"/>
              <w:rPr>
                <w:rFonts w:ascii="Arial"/>
                <w:b/>
                <w:sz w:val="20"/>
              </w:rPr>
            </w:pPr>
          </w:p>
          <w:p w14:paraId="53B3906A" w14:textId="77777777" w:rsidR="008B6261" w:rsidRDefault="004C6B8B">
            <w:pPr>
              <w:pStyle w:val="TableParagraph"/>
              <w:spacing w:before="0"/>
              <w:ind w:left="107"/>
              <w:rPr>
                <w:rFonts w:ascii="Times New Roman"/>
                <w:b/>
                <w:sz w:val="20"/>
              </w:rPr>
            </w:pPr>
            <w:r>
              <w:rPr>
                <w:rFonts w:ascii="Times New Roman"/>
                <w:b/>
                <w:sz w:val="20"/>
              </w:rPr>
              <w:t>Section</w:t>
            </w:r>
            <w:r>
              <w:rPr>
                <w:rFonts w:ascii="Times New Roman"/>
                <w:b/>
                <w:spacing w:val="-9"/>
                <w:sz w:val="20"/>
              </w:rPr>
              <w:t xml:space="preserve"> </w:t>
            </w:r>
            <w:r>
              <w:rPr>
                <w:rFonts w:ascii="Times New Roman"/>
                <w:b/>
                <w:spacing w:val="-2"/>
                <w:sz w:val="20"/>
              </w:rPr>
              <w:t>Changed</w:t>
            </w:r>
          </w:p>
        </w:tc>
        <w:tc>
          <w:tcPr>
            <w:tcW w:w="7306" w:type="dxa"/>
            <w:tcBorders>
              <w:bottom w:val="single" w:sz="18" w:space="0" w:color="000000"/>
            </w:tcBorders>
            <w:shd w:val="clear" w:color="auto" w:fill="F1F1F1"/>
          </w:tcPr>
          <w:p w14:paraId="53B3906B" w14:textId="77777777" w:rsidR="008B6261" w:rsidRDefault="008B6261">
            <w:pPr>
              <w:pStyle w:val="TableParagraph"/>
              <w:spacing w:before="67"/>
              <w:rPr>
                <w:rFonts w:ascii="Arial"/>
                <w:b/>
                <w:sz w:val="20"/>
              </w:rPr>
            </w:pPr>
          </w:p>
          <w:p w14:paraId="53B3906C" w14:textId="77777777" w:rsidR="008B6261" w:rsidRDefault="004C6B8B">
            <w:pPr>
              <w:pStyle w:val="TableParagraph"/>
              <w:spacing w:before="0"/>
              <w:ind w:left="104"/>
              <w:rPr>
                <w:rFonts w:ascii="Times New Roman"/>
                <w:b/>
                <w:sz w:val="20"/>
              </w:rPr>
            </w:pPr>
            <w:r>
              <w:rPr>
                <w:rFonts w:ascii="Times New Roman"/>
                <w:b/>
                <w:sz w:val="20"/>
              </w:rPr>
              <w:t>Summary</w:t>
            </w:r>
            <w:r>
              <w:rPr>
                <w:rFonts w:ascii="Times New Roman"/>
                <w:b/>
                <w:spacing w:val="-5"/>
                <w:sz w:val="20"/>
              </w:rPr>
              <w:t xml:space="preserve"> </w:t>
            </w:r>
            <w:r>
              <w:rPr>
                <w:rFonts w:ascii="Times New Roman"/>
                <w:b/>
                <w:sz w:val="20"/>
              </w:rPr>
              <w:t>of</w:t>
            </w:r>
            <w:r>
              <w:rPr>
                <w:rFonts w:ascii="Times New Roman"/>
                <w:b/>
                <w:spacing w:val="-3"/>
                <w:sz w:val="20"/>
              </w:rPr>
              <w:t xml:space="preserve"> </w:t>
            </w:r>
            <w:r>
              <w:rPr>
                <w:rFonts w:ascii="Times New Roman"/>
                <w:b/>
                <w:sz w:val="20"/>
              </w:rPr>
              <w:t>new</w:t>
            </w:r>
            <w:r>
              <w:rPr>
                <w:rFonts w:ascii="Times New Roman"/>
                <w:b/>
                <w:spacing w:val="-3"/>
                <w:sz w:val="20"/>
              </w:rPr>
              <w:t xml:space="preserve"> </w:t>
            </w:r>
            <w:r>
              <w:rPr>
                <w:rFonts w:ascii="Times New Roman"/>
                <w:b/>
                <w:spacing w:val="-2"/>
                <w:sz w:val="20"/>
              </w:rPr>
              <w:t>information</w:t>
            </w:r>
          </w:p>
        </w:tc>
      </w:tr>
      <w:tr w:rsidR="008B6261" w14:paraId="53B39072" w14:textId="77777777">
        <w:trPr>
          <w:trHeight w:val="584"/>
        </w:trPr>
        <w:tc>
          <w:tcPr>
            <w:tcW w:w="1702" w:type="dxa"/>
            <w:tcBorders>
              <w:top w:val="single" w:sz="18" w:space="0" w:color="000000"/>
            </w:tcBorders>
          </w:tcPr>
          <w:p w14:paraId="53B3906E" w14:textId="77777777" w:rsidR="008B6261" w:rsidRDefault="008B6261">
            <w:pPr>
              <w:pStyle w:val="TableParagraph"/>
              <w:spacing w:before="18"/>
              <w:rPr>
                <w:rFonts w:ascii="Arial"/>
                <w:b/>
              </w:rPr>
            </w:pPr>
          </w:p>
          <w:p w14:paraId="53B3906F" w14:textId="77777777" w:rsidR="008B6261" w:rsidRDefault="004C6B8B">
            <w:pPr>
              <w:pStyle w:val="TableParagraph"/>
              <w:spacing w:before="0"/>
              <w:ind w:left="107"/>
              <w:rPr>
                <w:rFonts w:ascii="Times New Roman"/>
              </w:rPr>
            </w:pPr>
            <w:r>
              <w:rPr>
                <w:rFonts w:ascii="Times New Roman"/>
                <w:spacing w:val="-5"/>
              </w:rPr>
              <w:t>All</w:t>
            </w:r>
          </w:p>
        </w:tc>
        <w:tc>
          <w:tcPr>
            <w:tcW w:w="7306" w:type="dxa"/>
            <w:tcBorders>
              <w:top w:val="single" w:sz="18" w:space="0" w:color="000000"/>
            </w:tcBorders>
          </w:tcPr>
          <w:p w14:paraId="53B39070" w14:textId="77777777" w:rsidR="008B6261" w:rsidRDefault="008B6261">
            <w:pPr>
              <w:pStyle w:val="TableParagraph"/>
              <w:spacing w:before="18"/>
              <w:rPr>
                <w:rFonts w:ascii="Arial"/>
                <w:b/>
              </w:rPr>
            </w:pPr>
          </w:p>
          <w:p w14:paraId="53B39071" w14:textId="77777777" w:rsidR="008B6261" w:rsidRDefault="004C6B8B">
            <w:pPr>
              <w:pStyle w:val="TableParagraph"/>
              <w:spacing w:before="0"/>
              <w:ind w:left="104"/>
              <w:rPr>
                <w:rFonts w:ascii="Times New Roman"/>
              </w:rPr>
            </w:pPr>
            <w:r>
              <w:rPr>
                <w:rFonts w:ascii="Times New Roman"/>
              </w:rPr>
              <w:t>New</w:t>
            </w:r>
            <w:r>
              <w:rPr>
                <w:rFonts w:ascii="Times New Roman"/>
                <w:spacing w:val="-5"/>
              </w:rPr>
              <w:t xml:space="preserve"> </w:t>
            </w:r>
            <w:r>
              <w:rPr>
                <w:rFonts w:ascii="Times New Roman"/>
                <w:spacing w:val="-2"/>
              </w:rPr>
              <w:t>document</w:t>
            </w:r>
          </w:p>
        </w:tc>
      </w:tr>
    </w:tbl>
    <w:p w14:paraId="53B39073" w14:textId="77777777" w:rsidR="004C6B8B" w:rsidRDefault="004C6B8B"/>
    <w:sectPr w:rsidR="004C6B8B" w:rsidSect="00790B46">
      <w:headerReference w:type="even" r:id="rId15"/>
      <w:headerReference w:type="default" r:id="rId16"/>
      <w:footerReference w:type="even" r:id="rId17"/>
      <w:footerReference w:type="default" r:id="rId18"/>
      <w:headerReference w:type="first" r:id="rId19"/>
      <w:footerReference w:type="first" r:id="rId20"/>
      <w:pgSz w:w="11910" w:h="16840"/>
      <w:pgMar w:top="1620" w:right="850" w:bottom="1418" w:left="1417" w:header="0" w:footer="9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A3C22" w14:textId="77777777" w:rsidR="00481A99" w:rsidRDefault="00481A99">
      <w:r>
        <w:separator/>
      </w:r>
    </w:p>
  </w:endnote>
  <w:endnote w:type="continuationSeparator" w:id="0">
    <w:p w14:paraId="39570F4A" w14:textId="77777777" w:rsidR="00481A99" w:rsidRDefault="00481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8C6DC" w14:textId="110A3101" w:rsidR="00D33E00" w:rsidRDefault="00D33E00">
    <w:pPr>
      <w:pStyle w:val="Footer"/>
    </w:pPr>
    <w:r>
      <w:rPr>
        <w:noProof/>
      </w:rPr>
      <mc:AlternateContent>
        <mc:Choice Requires="wps">
          <w:drawing>
            <wp:anchor distT="0" distB="0" distL="0" distR="0" simplePos="0" relativeHeight="486790656" behindDoc="0" locked="0" layoutInCell="1" allowOverlap="1" wp14:anchorId="4F06B96C" wp14:editId="5124E76A">
              <wp:simplePos x="635" y="635"/>
              <wp:positionH relativeFrom="page">
                <wp:align>center</wp:align>
              </wp:positionH>
              <wp:positionV relativeFrom="page">
                <wp:align>bottom</wp:align>
              </wp:positionV>
              <wp:extent cx="622300" cy="376555"/>
              <wp:effectExtent l="0" t="0" r="6350" b="0"/>
              <wp:wrapNone/>
              <wp:docPr id="1255330186"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C92816" w14:textId="2C13A8BD" w:rsidR="00D33E00" w:rsidRPr="00D33E00" w:rsidRDefault="00D33E00" w:rsidP="00D33E00">
                          <w:pPr>
                            <w:rPr>
                              <w:rFonts w:ascii="Aptos" w:eastAsia="Aptos" w:hAnsi="Aptos" w:cs="Aptos"/>
                              <w:noProof/>
                              <w:color w:val="FF0000"/>
                              <w:sz w:val="24"/>
                              <w:szCs w:val="24"/>
                            </w:rPr>
                          </w:pPr>
                          <w:r w:rsidRPr="00D33E0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06B96C" id="_x0000_t202" coordsize="21600,21600" o:spt="202" path="m,l,21600r21600,l21600,xe">
              <v:stroke joinstyle="miter"/>
              <v:path gradientshapeok="t" o:connecttype="rect"/>
            </v:shapetype>
            <v:shape id="Text Box 10" o:spid="_x0000_s1028" type="#_x0000_t202" alt="OFFICIAL" style="position:absolute;margin-left:0;margin-top:0;width:49pt;height:29.65pt;z-index:486790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5CC92816" w14:textId="2C13A8BD" w:rsidR="00D33E00" w:rsidRPr="00D33E00" w:rsidRDefault="00D33E00" w:rsidP="00D33E00">
                    <w:pPr>
                      <w:rPr>
                        <w:rFonts w:ascii="Aptos" w:eastAsia="Aptos" w:hAnsi="Aptos" w:cs="Aptos"/>
                        <w:noProof/>
                        <w:color w:val="FF0000"/>
                        <w:sz w:val="24"/>
                        <w:szCs w:val="24"/>
                      </w:rPr>
                    </w:pPr>
                    <w:r w:rsidRPr="00D33E00">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39083" w14:textId="52761E63" w:rsidR="008B6261" w:rsidRDefault="004C6B8B">
    <w:pPr>
      <w:pStyle w:val="BodyText"/>
      <w:spacing w:before="0" w:line="14" w:lineRule="auto"/>
      <w:rPr>
        <w:sz w:val="20"/>
      </w:rPr>
    </w:pPr>
    <w:r>
      <w:rPr>
        <w:noProof/>
        <w:sz w:val="20"/>
      </w:rPr>
      <mc:AlternateContent>
        <mc:Choice Requires="wps">
          <w:drawing>
            <wp:anchor distT="0" distB="0" distL="0" distR="0" simplePos="0" relativeHeight="486785024" behindDoc="1" locked="0" layoutInCell="1" allowOverlap="1" wp14:anchorId="53B39084" wp14:editId="187891FD">
              <wp:simplePos x="0" y="0"/>
              <wp:positionH relativeFrom="page">
                <wp:posOffset>901700</wp:posOffset>
              </wp:positionH>
              <wp:positionV relativeFrom="page">
                <wp:posOffset>9969734</wp:posOffset>
              </wp:positionV>
              <wp:extent cx="2493010" cy="2857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3010" cy="285750"/>
                      </a:xfrm>
                      <a:prstGeom prst="rect">
                        <a:avLst/>
                      </a:prstGeom>
                    </wps:spPr>
                    <wps:txbx>
                      <w:txbxContent>
                        <w:p w14:paraId="53B3908E" w14:textId="77777777" w:rsidR="008B6261" w:rsidRDefault="004C6B8B">
                          <w:pPr>
                            <w:spacing w:before="14"/>
                            <w:ind w:left="20" w:right="18"/>
                            <w:rPr>
                              <w:rFonts w:ascii="Arial"/>
                              <w:sz w:val="18"/>
                            </w:rPr>
                          </w:pPr>
                          <w:r>
                            <w:rPr>
                              <w:rFonts w:ascii="Arial"/>
                              <w:sz w:val="18"/>
                            </w:rPr>
                            <w:t>Property</w:t>
                          </w:r>
                          <w:r>
                            <w:rPr>
                              <w:rFonts w:ascii="Arial"/>
                              <w:spacing w:val="-5"/>
                              <w:sz w:val="18"/>
                            </w:rPr>
                            <w:t xml:space="preserve"> </w:t>
                          </w:r>
                          <w:r>
                            <w:rPr>
                              <w:rFonts w:ascii="Arial"/>
                              <w:sz w:val="18"/>
                            </w:rPr>
                            <w:t>of</w:t>
                          </w:r>
                          <w:r>
                            <w:rPr>
                              <w:rFonts w:ascii="Arial"/>
                              <w:spacing w:val="-6"/>
                              <w:sz w:val="18"/>
                            </w:rPr>
                            <w:t xml:space="preserve"> </w:t>
                          </w:r>
                          <w:r>
                            <w:rPr>
                              <w:rFonts w:ascii="Arial"/>
                              <w:sz w:val="18"/>
                            </w:rPr>
                            <w:t>the</w:t>
                          </w:r>
                          <w:r>
                            <w:rPr>
                              <w:rFonts w:ascii="Arial"/>
                              <w:spacing w:val="-5"/>
                              <w:sz w:val="18"/>
                            </w:rPr>
                            <w:t xml:space="preserve"> </w:t>
                          </w:r>
                          <w:r>
                            <w:rPr>
                              <w:rFonts w:ascii="Arial"/>
                              <w:sz w:val="18"/>
                            </w:rPr>
                            <w:t>Sanofi</w:t>
                          </w:r>
                          <w:r>
                            <w:rPr>
                              <w:rFonts w:ascii="Arial"/>
                              <w:spacing w:val="-5"/>
                              <w:sz w:val="18"/>
                            </w:rPr>
                            <w:t xml:space="preserve"> </w:t>
                          </w:r>
                          <w:r>
                            <w:rPr>
                              <w:rFonts w:ascii="Arial"/>
                              <w:sz w:val="18"/>
                            </w:rPr>
                            <w:t>group</w:t>
                          </w:r>
                          <w:r>
                            <w:rPr>
                              <w:rFonts w:ascii="Arial"/>
                              <w:spacing w:val="-5"/>
                              <w:sz w:val="18"/>
                            </w:rPr>
                            <w:t xml:space="preserve"> </w:t>
                          </w:r>
                          <w:r>
                            <w:rPr>
                              <w:rFonts w:ascii="Arial"/>
                              <w:sz w:val="18"/>
                            </w:rPr>
                            <w:t>-</w:t>
                          </w:r>
                          <w:r>
                            <w:rPr>
                              <w:rFonts w:ascii="Arial"/>
                              <w:spacing w:val="-8"/>
                              <w:sz w:val="18"/>
                            </w:rPr>
                            <w:t xml:space="preserve"> </w:t>
                          </w:r>
                          <w:r>
                            <w:rPr>
                              <w:rFonts w:ascii="Arial"/>
                              <w:sz w:val="18"/>
                            </w:rPr>
                            <w:t>strictly</w:t>
                          </w:r>
                          <w:r>
                            <w:rPr>
                              <w:rFonts w:ascii="Arial"/>
                              <w:spacing w:val="-5"/>
                              <w:sz w:val="18"/>
                            </w:rPr>
                            <w:t xml:space="preserve"> </w:t>
                          </w:r>
                          <w:r>
                            <w:rPr>
                              <w:rFonts w:ascii="Arial"/>
                              <w:sz w:val="18"/>
                            </w:rPr>
                            <w:t xml:space="preserve">confidential </w:t>
                          </w:r>
                          <w:r>
                            <w:rPr>
                              <w:rFonts w:ascii="Arial"/>
                              <w:spacing w:val="-2"/>
                              <w:sz w:val="18"/>
                            </w:rPr>
                            <w:t>cenri-ccdsv2-piv1-d11-30apr26</w:t>
                          </w:r>
                        </w:p>
                      </w:txbxContent>
                    </wps:txbx>
                    <wps:bodyPr wrap="square" lIns="0" tIns="0" rIns="0" bIns="0" rtlCol="0">
                      <a:noAutofit/>
                    </wps:bodyPr>
                  </wps:wsp>
                </a:graphicData>
              </a:graphic>
            </wp:anchor>
          </w:drawing>
        </mc:Choice>
        <mc:Fallback>
          <w:pict>
            <v:shapetype w14:anchorId="53B39084" id="_x0000_t202" coordsize="21600,21600" o:spt="202" path="m,l,21600r21600,l21600,xe">
              <v:stroke joinstyle="miter"/>
              <v:path gradientshapeok="t" o:connecttype="rect"/>
            </v:shapetype>
            <v:shape id="Textbox 1" o:spid="_x0000_s1029" type="#_x0000_t202" style="position:absolute;margin-left:71pt;margin-top:785pt;width:196.3pt;height:22.5pt;z-index:-1653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" filled="f" stroked="f">
              <v:textbox inset="0,0,0,0">
                <w:txbxContent>
                  <w:p w14:paraId="53B3908E" w14:textId="77777777" w:rsidR="008B6261" w:rsidRDefault="004C6B8B">
                    <w:pPr>
                      <w:spacing w:before="14"/>
                      <w:ind w:left="20" w:right="18"/>
                      <w:rPr>
                        <w:rFonts w:ascii="Arial"/>
                        <w:sz w:val="18"/>
                      </w:rPr>
                    </w:pPr>
                    <w:r>
                      <w:rPr>
                        <w:rFonts w:ascii="Arial"/>
                        <w:sz w:val="18"/>
                      </w:rPr>
                      <w:t>Property</w:t>
                    </w:r>
                    <w:r>
                      <w:rPr>
                        <w:rFonts w:ascii="Arial"/>
                        <w:spacing w:val="-5"/>
                        <w:sz w:val="18"/>
                      </w:rPr>
                      <w:t xml:space="preserve"> </w:t>
                    </w:r>
                    <w:r>
                      <w:rPr>
                        <w:rFonts w:ascii="Arial"/>
                        <w:sz w:val="18"/>
                      </w:rPr>
                      <w:t>of</w:t>
                    </w:r>
                    <w:r>
                      <w:rPr>
                        <w:rFonts w:ascii="Arial"/>
                        <w:spacing w:val="-6"/>
                        <w:sz w:val="18"/>
                      </w:rPr>
                      <w:t xml:space="preserve"> </w:t>
                    </w:r>
                    <w:r>
                      <w:rPr>
                        <w:rFonts w:ascii="Arial"/>
                        <w:sz w:val="18"/>
                      </w:rPr>
                      <w:t>the</w:t>
                    </w:r>
                    <w:r>
                      <w:rPr>
                        <w:rFonts w:ascii="Arial"/>
                        <w:spacing w:val="-5"/>
                        <w:sz w:val="18"/>
                      </w:rPr>
                      <w:t xml:space="preserve"> </w:t>
                    </w:r>
                    <w:r>
                      <w:rPr>
                        <w:rFonts w:ascii="Arial"/>
                        <w:sz w:val="18"/>
                      </w:rPr>
                      <w:t>Sanofi</w:t>
                    </w:r>
                    <w:r>
                      <w:rPr>
                        <w:rFonts w:ascii="Arial"/>
                        <w:spacing w:val="-5"/>
                        <w:sz w:val="18"/>
                      </w:rPr>
                      <w:t xml:space="preserve"> </w:t>
                    </w:r>
                    <w:r>
                      <w:rPr>
                        <w:rFonts w:ascii="Arial"/>
                        <w:sz w:val="18"/>
                      </w:rPr>
                      <w:t>group</w:t>
                    </w:r>
                    <w:r>
                      <w:rPr>
                        <w:rFonts w:ascii="Arial"/>
                        <w:spacing w:val="-5"/>
                        <w:sz w:val="18"/>
                      </w:rPr>
                      <w:t xml:space="preserve"> </w:t>
                    </w:r>
                    <w:r>
                      <w:rPr>
                        <w:rFonts w:ascii="Arial"/>
                        <w:sz w:val="18"/>
                      </w:rPr>
                      <w:t>-</w:t>
                    </w:r>
                    <w:r>
                      <w:rPr>
                        <w:rFonts w:ascii="Arial"/>
                        <w:spacing w:val="-8"/>
                        <w:sz w:val="18"/>
                      </w:rPr>
                      <w:t xml:space="preserve"> </w:t>
                    </w:r>
                    <w:r>
                      <w:rPr>
                        <w:rFonts w:ascii="Arial"/>
                        <w:sz w:val="18"/>
                      </w:rPr>
                      <w:t>strictly</w:t>
                    </w:r>
                    <w:r>
                      <w:rPr>
                        <w:rFonts w:ascii="Arial"/>
                        <w:spacing w:val="-5"/>
                        <w:sz w:val="18"/>
                      </w:rPr>
                      <w:t xml:space="preserve"> </w:t>
                    </w:r>
                    <w:r>
                      <w:rPr>
                        <w:rFonts w:ascii="Arial"/>
                        <w:sz w:val="18"/>
                      </w:rPr>
                      <w:t xml:space="preserve">confidential </w:t>
                    </w:r>
                    <w:r>
                      <w:rPr>
                        <w:rFonts w:ascii="Arial"/>
                        <w:spacing w:val="-2"/>
                        <w:sz w:val="18"/>
                      </w:rPr>
                      <w:t>cenri-ccdsv2-piv1-d11-30apr26</w:t>
                    </w:r>
                  </w:p>
                </w:txbxContent>
              </v:textbox>
              <w10:wrap anchorx="page" anchory="page"/>
            </v:shape>
          </w:pict>
        </mc:Fallback>
      </mc:AlternateContent>
    </w:r>
    <w:r>
      <w:rPr>
        <w:noProof/>
        <w:sz w:val="20"/>
      </w:rPr>
      <mc:AlternateContent>
        <mc:Choice Requires="wps">
          <w:drawing>
            <wp:anchor distT="0" distB="0" distL="0" distR="0" simplePos="0" relativeHeight="486785536" behindDoc="1" locked="0" layoutInCell="1" allowOverlap="1" wp14:anchorId="53B39086" wp14:editId="53B39087">
              <wp:simplePos x="0" y="0"/>
              <wp:positionH relativeFrom="page">
                <wp:posOffset>5921755</wp:posOffset>
              </wp:positionH>
              <wp:positionV relativeFrom="page">
                <wp:posOffset>10102322</wp:posOffset>
              </wp:positionV>
              <wp:extent cx="73914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140" cy="153670"/>
                      </a:xfrm>
                      <a:prstGeom prst="rect">
                        <a:avLst/>
                      </a:prstGeom>
                    </wps:spPr>
                    <wps:txbx>
                      <w:txbxContent>
                        <w:p w14:paraId="53B3908F" w14:textId="77777777" w:rsidR="008B6261" w:rsidRDefault="004C6B8B">
                          <w:pPr>
                            <w:spacing w:before="14"/>
                            <w:ind w:left="20"/>
                            <w:rPr>
                              <w:rFonts w:ascii="Arial"/>
                              <w:b/>
                              <w:sz w:val="18"/>
                            </w:rPr>
                          </w:pPr>
                          <w:r>
                            <w:rPr>
                              <w:rFonts w:ascii="Arial"/>
                              <w:sz w:val="18"/>
                            </w:rPr>
                            <w:t xml:space="preserve">Page </w:t>
                          </w:r>
                          <w:r>
                            <w:rPr>
                              <w:rFonts w:ascii="Arial"/>
                              <w:b/>
                              <w:sz w:val="18"/>
                            </w:rPr>
                            <w:fldChar w:fldCharType="begin"/>
                          </w:r>
                          <w:r>
                            <w:rPr>
                              <w:rFonts w:ascii="Arial"/>
                              <w:b/>
                              <w:sz w:val="18"/>
                            </w:rPr>
                            <w:instrText xml:space="preserve"> PAGE </w:instrText>
                          </w:r>
                          <w:r>
                            <w:rPr>
                              <w:rFonts w:ascii="Arial"/>
                              <w:b/>
                              <w:sz w:val="18"/>
                            </w:rPr>
                            <w:fldChar w:fldCharType="separate"/>
                          </w:r>
                          <w:r>
                            <w:rPr>
                              <w:rFonts w:ascii="Arial"/>
                              <w:b/>
                              <w:sz w:val="18"/>
                            </w:rPr>
                            <w:t>10</w:t>
                          </w:r>
                          <w:r>
                            <w:rPr>
                              <w:rFonts w:ascii="Arial"/>
                              <w:b/>
                              <w:sz w:val="18"/>
                            </w:rPr>
                            <w:fldChar w:fldCharType="end"/>
                          </w:r>
                          <w:r>
                            <w:rPr>
                              <w:rFonts w:ascii="Arial"/>
                              <w:b/>
                              <w:spacing w:val="1"/>
                              <w:sz w:val="18"/>
                            </w:rPr>
                            <w:t xml:space="preserve"> </w:t>
                          </w:r>
                          <w:r>
                            <w:rPr>
                              <w:rFonts w:ascii="Arial"/>
                              <w:sz w:val="18"/>
                            </w:rPr>
                            <w:t>of</w:t>
                          </w:r>
                          <w:r>
                            <w:rPr>
                              <w:rFonts w:ascii="Arial"/>
                              <w:spacing w:val="-2"/>
                              <w:sz w:val="18"/>
                            </w:rPr>
                            <w:t xml:space="preserve"> </w:t>
                          </w:r>
                          <w:r>
                            <w:rPr>
                              <w:rFonts w:ascii="Arial"/>
                              <w:b/>
                              <w:spacing w:val="-5"/>
                              <w:sz w:val="18"/>
                            </w:rPr>
                            <w:fldChar w:fldCharType="begin"/>
                          </w:r>
                          <w:r>
                            <w:rPr>
                              <w:rFonts w:ascii="Arial"/>
                              <w:b/>
                              <w:spacing w:val="-5"/>
                              <w:sz w:val="18"/>
                            </w:rPr>
                            <w:instrText xml:space="preserve"> NUMPAGES </w:instrText>
                          </w:r>
                          <w:r>
                            <w:rPr>
                              <w:rFonts w:ascii="Arial"/>
                              <w:b/>
                              <w:spacing w:val="-5"/>
                              <w:sz w:val="18"/>
                            </w:rPr>
                            <w:fldChar w:fldCharType="separate"/>
                          </w:r>
                          <w:r>
                            <w:rPr>
                              <w:rFonts w:ascii="Arial"/>
                              <w:b/>
                              <w:spacing w:val="-5"/>
                              <w:sz w:val="18"/>
                            </w:rPr>
                            <w:t>21</w:t>
                          </w:r>
                          <w:r>
                            <w:rPr>
                              <w:rFonts w:ascii="Arial"/>
                              <w:b/>
                              <w:spacing w:val="-5"/>
                              <w:sz w:val="18"/>
                            </w:rPr>
                            <w:fldChar w:fldCharType="end"/>
                          </w:r>
                        </w:p>
                      </w:txbxContent>
                    </wps:txbx>
                    <wps:bodyPr wrap="square" lIns="0" tIns="0" rIns="0" bIns="0" rtlCol="0">
                      <a:noAutofit/>
                    </wps:bodyPr>
                  </wps:wsp>
                </a:graphicData>
              </a:graphic>
            </wp:anchor>
          </w:drawing>
        </mc:Choice>
        <mc:Fallback>
          <w:pict>
            <v:shape w14:anchorId="53B39086" id="Textbox 2" o:spid="_x0000_s1030" type="#_x0000_t202" style="position:absolute;margin-left:466.3pt;margin-top:795.45pt;width:58.2pt;height:12.1pt;z-index:-1653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" filled="f" stroked="f">
              <v:textbox inset="0,0,0,0">
                <w:txbxContent>
                  <w:p w14:paraId="53B3908F" w14:textId="77777777" w:rsidR="008B6261" w:rsidRDefault="004C6B8B">
                    <w:pPr>
                      <w:spacing w:before="14"/>
                      <w:ind w:left="20"/>
                      <w:rPr>
                        <w:rFonts w:ascii="Arial"/>
                        <w:b/>
                        <w:sz w:val="18"/>
                      </w:rPr>
                    </w:pPr>
                    <w:r>
                      <w:rPr>
                        <w:rFonts w:ascii="Arial"/>
                        <w:sz w:val="18"/>
                      </w:rPr>
                      <w:t xml:space="preserve">Page </w:t>
                    </w:r>
                    <w:r>
                      <w:rPr>
                        <w:rFonts w:ascii="Arial"/>
                        <w:b/>
                        <w:sz w:val="18"/>
                      </w:rPr>
                      <w:fldChar w:fldCharType="begin"/>
                    </w:r>
                    <w:r>
                      <w:rPr>
                        <w:rFonts w:ascii="Arial"/>
                        <w:b/>
                        <w:sz w:val="18"/>
                      </w:rPr>
                      <w:instrText xml:space="preserve"> PAGE </w:instrText>
                    </w:r>
                    <w:r>
                      <w:rPr>
                        <w:rFonts w:ascii="Arial"/>
                        <w:b/>
                        <w:sz w:val="18"/>
                      </w:rPr>
                      <w:fldChar w:fldCharType="separate"/>
                    </w:r>
                    <w:r>
                      <w:rPr>
                        <w:rFonts w:ascii="Arial"/>
                        <w:b/>
                        <w:sz w:val="18"/>
                      </w:rPr>
                      <w:t>10</w:t>
                    </w:r>
                    <w:r>
                      <w:rPr>
                        <w:rFonts w:ascii="Arial"/>
                        <w:b/>
                        <w:sz w:val="18"/>
                      </w:rPr>
                      <w:fldChar w:fldCharType="end"/>
                    </w:r>
                    <w:r>
                      <w:rPr>
                        <w:rFonts w:ascii="Arial"/>
                        <w:b/>
                        <w:spacing w:val="1"/>
                        <w:sz w:val="18"/>
                      </w:rPr>
                      <w:t xml:space="preserve"> </w:t>
                    </w:r>
                    <w:r>
                      <w:rPr>
                        <w:rFonts w:ascii="Arial"/>
                        <w:sz w:val="18"/>
                      </w:rPr>
                      <w:t>of</w:t>
                    </w:r>
                    <w:r>
                      <w:rPr>
                        <w:rFonts w:ascii="Arial"/>
                        <w:spacing w:val="-2"/>
                        <w:sz w:val="18"/>
                      </w:rPr>
                      <w:t xml:space="preserve"> </w:t>
                    </w:r>
                    <w:r>
                      <w:rPr>
                        <w:rFonts w:ascii="Arial"/>
                        <w:b/>
                        <w:spacing w:val="-5"/>
                        <w:sz w:val="18"/>
                      </w:rPr>
                      <w:fldChar w:fldCharType="begin"/>
                    </w:r>
                    <w:r>
                      <w:rPr>
                        <w:rFonts w:ascii="Arial"/>
                        <w:b/>
                        <w:spacing w:val="-5"/>
                        <w:sz w:val="18"/>
                      </w:rPr>
                      <w:instrText xml:space="preserve"> NUMPAGES </w:instrText>
                    </w:r>
                    <w:r>
                      <w:rPr>
                        <w:rFonts w:ascii="Arial"/>
                        <w:b/>
                        <w:spacing w:val="-5"/>
                        <w:sz w:val="18"/>
                      </w:rPr>
                      <w:fldChar w:fldCharType="separate"/>
                    </w:r>
                    <w:r>
                      <w:rPr>
                        <w:rFonts w:ascii="Arial"/>
                        <w:b/>
                        <w:spacing w:val="-5"/>
                        <w:sz w:val="18"/>
                      </w:rPr>
                      <w:t>21</w:t>
                    </w:r>
                    <w:r>
                      <w:rPr>
                        <w:rFonts w:ascii="Arial"/>
                        <w:b/>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CEFE" w14:textId="6A85B511" w:rsidR="00D33E00" w:rsidRDefault="00D33E00">
    <w:pPr>
      <w:pStyle w:val="Footer"/>
    </w:pPr>
    <w:r>
      <w:rPr>
        <w:noProof/>
      </w:rPr>
      <mc:AlternateContent>
        <mc:Choice Requires="wps">
          <w:drawing>
            <wp:anchor distT="0" distB="0" distL="0" distR="0" simplePos="0" relativeHeight="486789632" behindDoc="0" locked="0" layoutInCell="1" allowOverlap="1" wp14:anchorId="26804151" wp14:editId="1BF04835">
              <wp:simplePos x="635" y="635"/>
              <wp:positionH relativeFrom="page">
                <wp:align>center</wp:align>
              </wp:positionH>
              <wp:positionV relativeFrom="page">
                <wp:align>bottom</wp:align>
              </wp:positionV>
              <wp:extent cx="622300" cy="376555"/>
              <wp:effectExtent l="0" t="0" r="6350" b="0"/>
              <wp:wrapNone/>
              <wp:docPr id="56833725"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31715DA" w14:textId="77AE0F7A" w:rsidR="00D33E00" w:rsidRPr="00D33E00" w:rsidRDefault="00D33E00" w:rsidP="00D33E00">
                          <w:pPr>
                            <w:rPr>
                              <w:rFonts w:ascii="Aptos" w:eastAsia="Aptos" w:hAnsi="Aptos" w:cs="Aptos"/>
                              <w:noProof/>
                              <w:color w:val="FF0000"/>
                              <w:sz w:val="24"/>
                              <w:szCs w:val="24"/>
                            </w:rPr>
                          </w:pPr>
                          <w:r w:rsidRPr="00D33E0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804151" id="_x0000_t202" coordsize="21600,21600" o:spt="202" path="m,l,21600r21600,l21600,xe">
              <v:stroke joinstyle="miter"/>
              <v:path gradientshapeok="t" o:connecttype="rect"/>
            </v:shapetype>
            <v:shape id="Text Box 9" o:spid="_x0000_s1032" type="#_x0000_t202" alt="OFFICIAL" style="position:absolute;margin-left:0;margin-top:0;width:49pt;height:29.65pt;z-index:4867896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131715DA" w14:textId="77AE0F7A" w:rsidR="00D33E00" w:rsidRPr="00D33E00" w:rsidRDefault="00D33E00" w:rsidP="00D33E00">
                    <w:pPr>
                      <w:rPr>
                        <w:rFonts w:ascii="Aptos" w:eastAsia="Aptos" w:hAnsi="Aptos" w:cs="Aptos"/>
                        <w:noProof/>
                        <w:color w:val="FF0000"/>
                        <w:sz w:val="24"/>
                        <w:szCs w:val="24"/>
                      </w:rPr>
                    </w:pPr>
                    <w:r w:rsidRPr="00D33E00">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0AC13" w14:textId="77777777" w:rsidR="00481A99" w:rsidRDefault="00481A99">
      <w:r>
        <w:separator/>
      </w:r>
    </w:p>
  </w:footnote>
  <w:footnote w:type="continuationSeparator" w:id="0">
    <w:p w14:paraId="4381652A" w14:textId="77777777" w:rsidR="00481A99" w:rsidRDefault="00481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1E3C2" w14:textId="24CEC7F7" w:rsidR="00D33E00" w:rsidRDefault="00D33E00">
    <w:pPr>
      <w:pStyle w:val="Header"/>
    </w:pPr>
    <w:r>
      <w:rPr>
        <w:noProof/>
      </w:rPr>
      <mc:AlternateContent>
        <mc:Choice Requires="wps">
          <w:drawing>
            <wp:anchor distT="0" distB="0" distL="0" distR="0" simplePos="0" relativeHeight="486787584" behindDoc="0" locked="0" layoutInCell="1" allowOverlap="1" wp14:anchorId="2BDA0B0D" wp14:editId="0D49884E">
              <wp:simplePos x="635" y="635"/>
              <wp:positionH relativeFrom="page">
                <wp:align>center</wp:align>
              </wp:positionH>
              <wp:positionV relativeFrom="page">
                <wp:align>top</wp:align>
              </wp:positionV>
              <wp:extent cx="622300" cy="376555"/>
              <wp:effectExtent l="0" t="0" r="6350" b="4445"/>
              <wp:wrapNone/>
              <wp:docPr id="51817144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604A690" w14:textId="0B76B483" w:rsidR="00D33E00" w:rsidRPr="00D33E00" w:rsidRDefault="00D33E00" w:rsidP="00D33E00">
                          <w:pPr>
                            <w:rPr>
                              <w:rFonts w:ascii="Aptos" w:eastAsia="Aptos" w:hAnsi="Aptos" w:cs="Aptos"/>
                              <w:noProof/>
                              <w:color w:val="FF0000"/>
                              <w:sz w:val="24"/>
                              <w:szCs w:val="24"/>
                            </w:rPr>
                          </w:pPr>
                          <w:r w:rsidRPr="00D33E0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DA0B0D" id="_x0000_t202" coordsize="21600,21600" o:spt="202" path="m,l,21600r21600,l21600,xe">
              <v:stroke joinstyle="miter"/>
              <v:path gradientshapeok="t" o:connecttype="rect"/>
            </v:shapetype>
            <v:shape id="Text Box 7" o:spid="_x0000_s1027" type="#_x0000_t202" alt="OFFICIAL" style="position:absolute;margin-left:0;margin-top:0;width:49pt;height:29.65pt;z-index:4867875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5604A690" w14:textId="0B76B483" w:rsidR="00D33E00" w:rsidRPr="00D33E00" w:rsidRDefault="00D33E00" w:rsidP="00D33E00">
                    <w:pPr>
                      <w:rPr>
                        <w:rFonts w:ascii="Aptos" w:eastAsia="Aptos" w:hAnsi="Aptos" w:cs="Aptos"/>
                        <w:noProof/>
                        <w:color w:val="FF0000"/>
                        <w:sz w:val="24"/>
                        <w:szCs w:val="24"/>
                      </w:rPr>
                    </w:pPr>
                    <w:r w:rsidRPr="00D33E00">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3F037" w14:textId="77777777" w:rsidR="00414297" w:rsidRDefault="00414297" w:rsidP="00414297">
    <w:pPr>
      <w:shd w:val="clear" w:color="auto" w:fill="FFFFFF"/>
      <w:rPr>
        <w:rFonts w:ascii="Segoe UI" w:hAnsi="Segoe UI" w:cs="Segoe UI"/>
        <w:b/>
        <w:bCs/>
        <w:color w:val="333333"/>
      </w:rPr>
    </w:pPr>
    <w:bookmarkStart w:id="104" w:name="_Hlk213754947"/>
  </w:p>
  <w:tbl>
    <w:tblPr>
      <w:tblStyle w:val="TableGrid"/>
      <w:tblW w:w="9640" w:type="dxa"/>
      <w:tblInd w:w="-147" w:type="dxa"/>
      <w:shd w:val="clear" w:color="auto" w:fill="E4F2E0"/>
      <w:tblLook w:val="04A0" w:firstRow="1" w:lastRow="0" w:firstColumn="1" w:lastColumn="0" w:noHBand="0" w:noVBand="1"/>
    </w:tblPr>
    <w:tblGrid>
      <w:gridCol w:w="9640"/>
    </w:tblGrid>
    <w:tr w:rsidR="00414297" w:rsidRPr="00C15CB6" w14:paraId="4A46C2F0" w14:textId="77777777" w:rsidTr="001657D5">
      <w:trPr>
        <w:trHeight w:val="1012"/>
      </w:trPr>
      <w:tc>
        <w:tcPr>
          <w:tcW w:w="9640" w:type="dxa"/>
          <w:shd w:val="clear" w:color="auto" w:fill="E4F2E0"/>
        </w:tcPr>
        <w:p w14:paraId="4FE33CBB" w14:textId="77777777" w:rsidR="00414297" w:rsidRPr="004C44AC" w:rsidRDefault="00414297" w:rsidP="00414297">
          <w:pPr>
            <w:pStyle w:val="Footer"/>
            <w:rPr>
              <w:rFonts w:ascii="Cambria" w:hAnsi="Cambria"/>
              <w:b/>
              <w:bCs/>
              <w:sz w:val="18"/>
              <w:szCs w:val="18"/>
            </w:rPr>
          </w:pPr>
          <w:bookmarkStart w:id="105" w:name="_Hlk109054010"/>
          <w:r w:rsidRPr="004C44AC">
            <w:rPr>
              <w:rFonts w:ascii="Cambria" w:hAnsi="Cambria"/>
              <w:b/>
              <w:bCs/>
              <w:sz w:val="18"/>
              <w:szCs w:val="18"/>
            </w:rPr>
            <w:t>AusPAR - Cenrifki - tolebrutinib – Sanofi-Aventis Australia Pty Ltd - PM 2025-02736-1-1</w:t>
          </w:r>
        </w:p>
        <w:p w14:paraId="5B9DA81A" w14:textId="77777777" w:rsidR="00414297" w:rsidRPr="006B6BCD" w:rsidRDefault="00414297" w:rsidP="00414297">
          <w:pPr>
            <w:pStyle w:val="Footer"/>
            <w:rPr>
              <w:rFonts w:ascii="Cambria" w:hAnsi="Cambria"/>
              <w:b/>
              <w:bCs/>
              <w:sz w:val="18"/>
              <w:szCs w:val="18"/>
            </w:rPr>
          </w:pPr>
          <w:r w:rsidRPr="004C44AC">
            <w:rPr>
              <w:rFonts w:ascii="Cambria" w:hAnsi="Cambria"/>
              <w:b/>
              <w:bCs/>
              <w:sz w:val="18"/>
              <w:szCs w:val="18"/>
            </w:rPr>
            <w:t>Date of Finalisation: 18 September 2026</w:t>
          </w:r>
          <w:r w:rsidRPr="00C15CB6">
            <w:rPr>
              <w:rFonts w:ascii="Cambria" w:hAnsi="Cambria"/>
              <w:b/>
              <w:bCs/>
              <w:sz w:val="18"/>
              <w:szCs w:val="18"/>
            </w:rPr>
            <w:t xml:space="preserve">. </w:t>
          </w:r>
          <w:r w:rsidRPr="00C15CB6">
            <w:rPr>
              <w:rFonts w:ascii="Cambria" w:hAnsi="Cambria"/>
              <w:b/>
              <w:sz w:val="18"/>
              <w:szCs w:val="18"/>
            </w:rPr>
            <w:t>This is the Product Information that was approved with the submission described in this AusPAR. It may have been superseded. For the most recent PI, please refer to the TGA website at &lt;</w:t>
          </w:r>
          <w:hyperlink r:id="rId1" w:history="1">
            <w:r w:rsidRPr="001A1E89">
              <w:rPr>
                <w:rStyle w:val="Hyperlink"/>
                <w:rFonts w:ascii="Cambria" w:hAnsi="Cambria"/>
                <w:sz w:val="18"/>
                <w:szCs w:val="18"/>
              </w:rPr>
              <w:t>https://www.tga.gov.au/products/australian-register-therapeutic-goods-artg/product-information-pi</w:t>
            </w:r>
          </w:hyperlink>
          <w:r w:rsidRPr="00C15CB6">
            <w:rPr>
              <w:rFonts w:ascii="Cambria" w:hAnsi="Cambria"/>
              <w:b/>
              <w:sz w:val="18"/>
              <w:szCs w:val="18"/>
              <w:u w:val="single"/>
            </w:rPr>
            <w:t>&gt;</w:t>
          </w:r>
        </w:p>
      </w:tc>
    </w:tr>
    <w:bookmarkEnd w:id="104"/>
    <w:bookmarkEnd w:id="105"/>
  </w:tbl>
  <w:p w14:paraId="66F78344" w14:textId="77777777" w:rsidR="00414297" w:rsidRDefault="004142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EECA3" w14:textId="1F02B356" w:rsidR="00D33E00" w:rsidRDefault="00D33E00">
    <w:pPr>
      <w:pStyle w:val="Header"/>
    </w:pPr>
    <w:r>
      <w:rPr>
        <w:noProof/>
      </w:rPr>
      <mc:AlternateContent>
        <mc:Choice Requires="wps">
          <w:drawing>
            <wp:anchor distT="0" distB="0" distL="0" distR="0" simplePos="0" relativeHeight="486786560" behindDoc="0" locked="0" layoutInCell="1" allowOverlap="1" wp14:anchorId="45A6B851" wp14:editId="1F24107D">
              <wp:simplePos x="635" y="635"/>
              <wp:positionH relativeFrom="page">
                <wp:align>center</wp:align>
              </wp:positionH>
              <wp:positionV relativeFrom="page">
                <wp:align>top</wp:align>
              </wp:positionV>
              <wp:extent cx="622300" cy="376555"/>
              <wp:effectExtent l="0" t="0" r="6350" b="4445"/>
              <wp:wrapNone/>
              <wp:docPr id="685228972"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F21482E" w14:textId="0ADAC1EA" w:rsidR="00D33E00" w:rsidRPr="00D33E00" w:rsidRDefault="00D33E00" w:rsidP="00D33E00">
                          <w:pPr>
                            <w:rPr>
                              <w:rFonts w:ascii="Aptos" w:eastAsia="Aptos" w:hAnsi="Aptos" w:cs="Aptos"/>
                              <w:noProof/>
                              <w:color w:val="FF0000"/>
                              <w:sz w:val="24"/>
                              <w:szCs w:val="24"/>
                            </w:rPr>
                          </w:pPr>
                          <w:r w:rsidRPr="00D33E0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A6B851" id="_x0000_t202" coordsize="21600,21600" o:spt="202" path="m,l,21600r21600,l21600,xe">
              <v:stroke joinstyle="miter"/>
              <v:path gradientshapeok="t" o:connecttype="rect"/>
            </v:shapetype>
            <v:shape id="Text Box 6" o:spid="_x0000_s1031" type="#_x0000_t202" alt="OFFICIAL" style="position:absolute;margin-left:0;margin-top:0;width:49pt;height:29.65pt;z-index:4867865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0F21482E" w14:textId="0ADAC1EA" w:rsidR="00D33E00" w:rsidRPr="00D33E00" w:rsidRDefault="00D33E00" w:rsidP="00D33E00">
                    <w:pPr>
                      <w:rPr>
                        <w:rFonts w:ascii="Aptos" w:eastAsia="Aptos" w:hAnsi="Aptos" w:cs="Aptos"/>
                        <w:noProof/>
                        <w:color w:val="FF0000"/>
                        <w:sz w:val="24"/>
                        <w:szCs w:val="24"/>
                      </w:rPr>
                    </w:pPr>
                    <w:r w:rsidRPr="00D33E00">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124BE"/>
    <w:multiLevelType w:val="hybridMultilevel"/>
    <w:tmpl w:val="7A5817CE"/>
    <w:lvl w:ilvl="0" w:tplc="9508BE4E">
      <w:numFmt w:val="bullet"/>
      <w:lvlText w:val=""/>
      <w:lvlJc w:val="left"/>
      <w:pPr>
        <w:ind w:left="324" w:hanging="217"/>
      </w:pPr>
      <w:rPr>
        <w:rFonts w:ascii="Symbol" w:eastAsia="Symbol" w:hAnsi="Symbol" w:cs="Symbol" w:hint="default"/>
        <w:b w:val="0"/>
        <w:bCs w:val="0"/>
        <w:i w:val="0"/>
        <w:iCs w:val="0"/>
        <w:spacing w:val="0"/>
        <w:w w:val="99"/>
        <w:sz w:val="20"/>
        <w:szCs w:val="20"/>
        <w:lang w:val="en-US" w:eastAsia="en-US" w:bidi="ar-SA"/>
      </w:rPr>
    </w:lvl>
    <w:lvl w:ilvl="1" w:tplc="4F107B86">
      <w:numFmt w:val="bullet"/>
      <w:lvlText w:val="•"/>
      <w:lvlJc w:val="left"/>
      <w:pPr>
        <w:ind w:left="893" w:hanging="217"/>
      </w:pPr>
      <w:rPr>
        <w:rFonts w:hint="default"/>
        <w:lang w:val="en-US" w:eastAsia="en-US" w:bidi="ar-SA"/>
      </w:rPr>
    </w:lvl>
    <w:lvl w:ilvl="2" w:tplc="5B2AC90A">
      <w:numFmt w:val="bullet"/>
      <w:lvlText w:val="•"/>
      <w:lvlJc w:val="left"/>
      <w:pPr>
        <w:ind w:left="1467" w:hanging="217"/>
      </w:pPr>
      <w:rPr>
        <w:rFonts w:hint="default"/>
        <w:lang w:val="en-US" w:eastAsia="en-US" w:bidi="ar-SA"/>
      </w:rPr>
    </w:lvl>
    <w:lvl w:ilvl="3" w:tplc="15585222">
      <w:numFmt w:val="bullet"/>
      <w:lvlText w:val="•"/>
      <w:lvlJc w:val="left"/>
      <w:pPr>
        <w:ind w:left="2041" w:hanging="217"/>
      </w:pPr>
      <w:rPr>
        <w:rFonts w:hint="default"/>
        <w:lang w:val="en-US" w:eastAsia="en-US" w:bidi="ar-SA"/>
      </w:rPr>
    </w:lvl>
    <w:lvl w:ilvl="4" w:tplc="61C2C6D8">
      <w:numFmt w:val="bullet"/>
      <w:lvlText w:val="•"/>
      <w:lvlJc w:val="left"/>
      <w:pPr>
        <w:ind w:left="2615" w:hanging="217"/>
      </w:pPr>
      <w:rPr>
        <w:rFonts w:hint="default"/>
        <w:lang w:val="en-US" w:eastAsia="en-US" w:bidi="ar-SA"/>
      </w:rPr>
    </w:lvl>
    <w:lvl w:ilvl="5" w:tplc="CFB6F53A">
      <w:numFmt w:val="bullet"/>
      <w:lvlText w:val="•"/>
      <w:lvlJc w:val="left"/>
      <w:pPr>
        <w:ind w:left="3189" w:hanging="217"/>
      </w:pPr>
      <w:rPr>
        <w:rFonts w:hint="default"/>
        <w:lang w:val="en-US" w:eastAsia="en-US" w:bidi="ar-SA"/>
      </w:rPr>
    </w:lvl>
    <w:lvl w:ilvl="6" w:tplc="4318597C">
      <w:numFmt w:val="bullet"/>
      <w:lvlText w:val="•"/>
      <w:lvlJc w:val="left"/>
      <w:pPr>
        <w:ind w:left="3763" w:hanging="217"/>
      </w:pPr>
      <w:rPr>
        <w:rFonts w:hint="default"/>
        <w:lang w:val="en-US" w:eastAsia="en-US" w:bidi="ar-SA"/>
      </w:rPr>
    </w:lvl>
    <w:lvl w:ilvl="7" w:tplc="553EA78A">
      <w:numFmt w:val="bullet"/>
      <w:lvlText w:val="•"/>
      <w:lvlJc w:val="left"/>
      <w:pPr>
        <w:ind w:left="4337" w:hanging="217"/>
      </w:pPr>
      <w:rPr>
        <w:rFonts w:hint="default"/>
        <w:lang w:val="en-US" w:eastAsia="en-US" w:bidi="ar-SA"/>
      </w:rPr>
    </w:lvl>
    <w:lvl w:ilvl="8" w:tplc="F306E49C">
      <w:numFmt w:val="bullet"/>
      <w:lvlText w:val="•"/>
      <w:lvlJc w:val="left"/>
      <w:pPr>
        <w:ind w:left="4911" w:hanging="217"/>
      </w:pPr>
      <w:rPr>
        <w:rFonts w:hint="default"/>
        <w:lang w:val="en-US" w:eastAsia="en-US" w:bidi="ar-SA"/>
      </w:rPr>
    </w:lvl>
  </w:abstractNum>
  <w:abstractNum w:abstractNumId="1" w15:restartNumberingAfterBreak="0">
    <w:nsid w:val="2A425186"/>
    <w:multiLevelType w:val="hybridMultilevel"/>
    <w:tmpl w:val="9B324928"/>
    <w:lvl w:ilvl="0" w:tplc="D3A628B0">
      <w:start w:val="7"/>
      <w:numFmt w:val="decimal"/>
      <w:lvlText w:val="%1"/>
      <w:lvlJc w:val="left"/>
      <w:pPr>
        <w:ind w:left="702" w:hanging="680"/>
        <w:jc w:val="left"/>
      </w:pPr>
      <w:rPr>
        <w:rFonts w:ascii="Arial" w:eastAsia="Arial" w:hAnsi="Arial" w:cs="Arial" w:hint="default"/>
        <w:b/>
        <w:bCs/>
        <w:i w:val="0"/>
        <w:iCs w:val="0"/>
        <w:spacing w:val="0"/>
        <w:w w:val="100"/>
        <w:sz w:val="28"/>
        <w:szCs w:val="28"/>
        <w:lang w:val="en-US" w:eastAsia="en-US" w:bidi="ar-SA"/>
      </w:rPr>
    </w:lvl>
    <w:lvl w:ilvl="1" w:tplc="61F097C2">
      <w:numFmt w:val="bullet"/>
      <w:lvlText w:val="•"/>
      <w:lvlJc w:val="left"/>
      <w:pPr>
        <w:ind w:left="1593" w:hanging="680"/>
      </w:pPr>
      <w:rPr>
        <w:rFonts w:hint="default"/>
        <w:lang w:val="en-US" w:eastAsia="en-US" w:bidi="ar-SA"/>
      </w:rPr>
    </w:lvl>
    <w:lvl w:ilvl="2" w:tplc="6D945F18">
      <w:numFmt w:val="bullet"/>
      <w:lvlText w:val="•"/>
      <w:lvlJc w:val="left"/>
      <w:pPr>
        <w:ind w:left="2487" w:hanging="680"/>
      </w:pPr>
      <w:rPr>
        <w:rFonts w:hint="default"/>
        <w:lang w:val="en-US" w:eastAsia="en-US" w:bidi="ar-SA"/>
      </w:rPr>
    </w:lvl>
    <w:lvl w:ilvl="3" w:tplc="7A22F80C">
      <w:numFmt w:val="bullet"/>
      <w:lvlText w:val="•"/>
      <w:lvlJc w:val="left"/>
      <w:pPr>
        <w:ind w:left="3381" w:hanging="680"/>
      </w:pPr>
      <w:rPr>
        <w:rFonts w:hint="default"/>
        <w:lang w:val="en-US" w:eastAsia="en-US" w:bidi="ar-SA"/>
      </w:rPr>
    </w:lvl>
    <w:lvl w:ilvl="4" w:tplc="67ACBF26">
      <w:numFmt w:val="bullet"/>
      <w:lvlText w:val="•"/>
      <w:lvlJc w:val="left"/>
      <w:pPr>
        <w:ind w:left="4275" w:hanging="680"/>
      </w:pPr>
      <w:rPr>
        <w:rFonts w:hint="default"/>
        <w:lang w:val="en-US" w:eastAsia="en-US" w:bidi="ar-SA"/>
      </w:rPr>
    </w:lvl>
    <w:lvl w:ilvl="5" w:tplc="8E8ABE30">
      <w:numFmt w:val="bullet"/>
      <w:lvlText w:val="•"/>
      <w:lvlJc w:val="left"/>
      <w:pPr>
        <w:ind w:left="5169" w:hanging="680"/>
      </w:pPr>
      <w:rPr>
        <w:rFonts w:hint="default"/>
        <w:lang w:val="en-US" w:eastAsia="en-US" w:bidi="ar-SA"/>
      </w:rPr>
    </w:lvl>
    <w:lvl w:ilvl="6" w:tplc="E1F65986">
      <w:numFmt w:val="bullet"/>
      <w:lvlText w:val="•"/>
      <w:lvlJc w:val="left"/>
      <w:pPr>
        <w:ind w:left="6063" w:hanging="680"/>
      </w:pPr>
      <w:rPr>
        <w:rFonts w:hint="default"/>
        <w:lang w:val="en-US" w:eastAsia="en-US" w:bidi="ar-SA"/>
      </w:rPr>
    </w:lvl>
    <w:lvl w:ilvl="7" w:tplc="E2B6F3EE">
      <w:numFmt w:val="bullet"/>
      <w:lvlText w:val="•"/>
      <w:lvlJc w:val="left"/>
      <w:pPr>
        <w:ind w:left="6957" w:hanging="680"/>
      </w:pPr>
      <w:rPr>
        <w:rFonts w:hint="default"/>
        <w:lang w:val="en-US" w:eastAsia="en-US" w:bidi="ar-SA"/>
      </w:rPr>
    </w:lvl>
    <w:lvl w:ilvl="8" w:tplc="A65C8C8E">
      <w:numFmt w:val="bullet"/>
      <w:lvlText w:val="•"/>
      <w:lvlJc w:val="left"/>
      <w:pPr>
        <w:ind w:left="7851" w:hanging="680"/>
      </w:pPr>
      <w:rPr>
        <w:rFonts w:hint="default"/>
        <w:lang w:val="en-US" w:eastAsia="en-US" w:bidi="ar-SA"/>
      </w:rPr>
    </w:lvl>
  </w:abstractNum>
  <w:abstractNum w:abstractNumId="2" w15:restartNumberingAfterBreak="0">
    <w:nsid w:val="648E7572"/>
    <w:multiLevelType w:val="multilevel"/>
    <w:tmpl w:val="EB7EFE0C"/>
    <w:lvl w:ilvl="0">
      <w:start w:val="6"/>
      <w:numFmt w:val="decimal"/>
      <w:lvlText w:val="%1"/>
      <w:lvlJc w:val="left"/>
      <w:pPr>
        <w:ind w:left="702" w:hanging="680"/>
        <w:jc w:val="left"/>
      </w:pPr>
      <w:rPr>
        <w:rFonts w:hint="default"/>
        <w:lang w:val="en-US" w:eastAsia="en-US" w:bidi="ar-SA"/>
      </w:rPr>
    </w:lvl>
    <w:lvl w:ilvl="1">
      <w:start w:val="6"/>
      <w:numFmt w:val="decimal"/>
      <w:lvlText w:val="%1.%2"/>
      <w:lvlJc w:val="left"/>
      <w:pPr>
        <w:ind w:left="702" w:hanging="680"/>
        <w:jc w:val="left"/>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2487" w:hanging="680"/>
      </w:pPr>
      <w:rPr>
        <w:rFonts w:hint="default"/>
        <w:lang w:val="en-US" w:eastAsia="en-US" w:bidi="ar-SA"/>
      </w:rPr>
    </w:lvl>
    <w:lvl w:ilvl="3">
      <w:numFmt w:val="bullet"/>
      <w:lvlText w:val="•"/>
      <w:lvlJc w:val="left"/>
      <w:pPr>
        <w:ind w:left="3381" w:hanging="680"/>
      </w:pPr>
      <w:rPr>
        <w:rFonts w:hint="default"/>
        <w:lang w:val="en-US" w:eastAsia="en-US" w:bidi="ar-SA"/>
      </w:rPr>
    </w:lvl>
    <w:lvl w:ilvl="4">
      <w:numFmt w:val="bullet"/>
      <w:lvlText w:val="•"/>
      <w:lvlJc w:val="left"/>
      <w:pPr>
        <w:ind w:left="4275" w:hanging="680"/>
      </w:pPr>
      <w:rPr>
        <w:rFonts w:hint="default"/>
        <w:lang w:val="en-US" w:eastAsia="en-US" w:bidi="ar-SA"/>
      </w:rPr>
    </w:lvl>
    <w:lvl w:ilvl="5">
      <w:numFmt w:val="bullet"/>
      <w:lvlText w:val="•"/>
      <w:lvlJc w:val="left"/>
      <w:pPr>
        <w:ind w:left="5169" w:hanging="680"/>
      </w:pPr>
      <w:rPr>
        <w:rFonts w:hint="default"/>
        <w:lang w:val="en-US" w:eastAsia="en-US" w:bidi="ar-SA"/>
      </w:rPr>
    </w:lvl>
    <w:lvl w:ilvl="6">
      <w:numFmt w:val="bullet"/>
      <w:lvlText w:val="•"/>
      <w:lvlJc w:val="left"/>
      <w:pPr>
        <w:ind w:left="6063" w:hanging="680"/>
      </w:pPr>
      <w:rPr>
        <w:rFonts w:hint="default"/>
        <w:lang w:val="en-US" w:eastAsia="en-US" w:bidi="ar-SA"/>
      </w:rPr>
    </w:lvl>
    <w:lvl w:ilvl="7">
      <w:numFmt w:val="bullet"/>
      <w:lvlText w:val="•"/>
      <w:lvlJc w:val="left"/>
      <w:pPr>
        <w:ind w:left="6957" w:hanging="680"/>
      </w:pPr>
      <w:rPr>
        <w:rFonts w:hint="default"/>
        <w:lang w:val="en-US" w:eastAsia="en-US" w:bidi="ar-SA"/>
      </w:rPr>
    </w:lvl>
    <w:lvl w:ilvl="8">
      <w:numFmt w:val="bullet"/>
      <w:lvlText w:val="•"/>
      <w:lvlJc w:val="left"/>
      <w:pPr>
        <w:ind w:left="7851" w:hanging="680"/>
      </w:pPr>
      <w:rPr>
        <w:rFonts w:hint="default"/>
        <w:lang w:val="en-US" w:eastAsia="en-US" w:bidi="ar-SA"/>
      </w:rPr>
    </w:lvl>
  </w:abstractNum>
  <w:abstractNum w:abstractNumId="3" w15:restartNumberingAfterBreak="0">
    <w:nsid w:val="71550ABB"/>
    <w:multiLevelType w:val="multilevel"/>
    <w:tmpl w:val="AFA4C3CE"/>
    <w:lvl w:ilvl="0">
      <w:start w:val="1"/>
      <w:numFmt w:val="decimal"/>
      <w:lvlText w:val="%1"/>
      <w:lvlJc w:val="left"/>
      <w:pPr>
        <w:ind w:left="702" w:hanging="680"/>
        <w:jc w:val="left"/>
      </w:pPr>
      <w:rPr>
        <w:rFonts w:hint="default"/>
        <w:spacing w:val="0"/>
        <w:w w:val="100"/>
        <w:lang w:val="en-US" w:eastAsia="en-US" w:bidi="ar-SA"/>
      </w:rPr>
    </w:lvl>
    <w:lvl w:ilvl="1">
      <w:start w:val="1"/>
      <w:numFmt w:val="decimal"/>
      <w:lvlText w:val="%1.%2"/>
      <w:lvlJc w:val="left"/>
      <w:pPr>
        <w:ind w:left="702" w:hanging="680"/>
        <w:jc w:val="left"/>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743" w:hanging="358"/>
      </w:pPr>
      <w:rPr>
        <w:rFonts w:ascii="Symbol" w:eastAsia="Symbol" w:hAnsi="Symbol" w:cs="Symbol" w:hint="default"/>
        <w:spacing w:val="0"/>
        <w:w w:val="100"/>
        <w:lang w:val="en-US" w:eastAsia="en-US" w:bidi="ar-SA"/>
      </w:rPr>
    </w:lvl>
    <w:lvl w:ilvl="3">
      <w:numFmt w:val="bullet"/>
      <w:lvlText w:val="•"/>
      <w:lvlJc w:val="left"/>
      <w:pPr>
        <w:ind w:left="2717" w:hanging="358"/>
      </w:pPr>
      <w:rPr>
        <w:rFonts w:hint="default"/>
        <w:lang w:val="en-US" w:eastAsia="en-US" w:bidi="ar-SA"/>
      </w:rPr>
    </w:lvl>
    <w:lvl w:ilvl="4">
      <w:numFmt w:val="bullet"/>
      <w:lvlText w:val="•"/>
      <w:lvlJc w:val="left"/>
      <w:pPr>
        <w:ind w:left="3706" w:hanging="358"/>
      </w:pPr>
      <w:rPr>
        <w:rFonts w:hint="default"/>
        <w:lang w:val="en-US" w:eastAsia="en-US" w:bidi="ar-SA"/>
      </w:rPr>
    </w:lvl>
    <w:lvl w:ilvl="5">
      <w:numFmt w:val="bullet"/>
      <w:lvlText w:val="•"/>
      <w:lvlJc w:val="left"/>
      <w:pPr>
        <w:ind w:left="4695" w:hanging="358"/>
      </w:pPr>
      <w:rPr>
        <w:rFonts w:hint="default"/>
        <w:lang w:val="en-US" w:eastAsia="en-US" w:bidi="ar-SA"/>
      </w:rPr>
    </w:lvl>
    <w:lvl w:ilvl="6">
      <w:numFmt w:val="bullet"/>
      <w:lvlText w:val="•"/>
      <w:lvlJc w:val="left"/>
      <w:pPr>
        <w:ind w:left="5684" w:hanging="358"/>
      </w:pPr>
      <w:rPr>
        <w:rFonts w:hint="default"/>
        <w:lang w:val="en-US" w:eastAsia="en-US" w:bidi="ar-SA"/>
      </w:rPr>
    </w:lvl>
    <w:lvl w:ilvl="7">
      <w:numFmt w:val="bullet"/>
      <w:lvlText w:val="•"/>
      <w:lvlJc w:val="left"/>
      <w:pPr>
        <w:ind w:left="6672" w:hanging="358"/>
      </w:pPr>
      <w:rPr>
        <w:rFonts w:hint="default"/>
        <w:lang w:val="en-US" w:eastAsia="en-US" w:bidi="ar-SA"/>
      </w:rPr>
    </w:lvl>
    <w:lvl w:ilvl="8">
      <w:numFmt w:val="bullet"/>
      <w:lvlText w:val="•"/>
      <w:lvlJc w:val="left"/>
      <w:pPr>
        <w:ind w:left="7661" w:hanging="358"/>
      </w:pPr>
      <w:rPr>
        <w:rFonts w:hint="default"/>
        <w:lang w:val="en-US" w:eastAsia="en-US" w:bidi="ar-SA"/>
      </w:rPr>
    </w:lvl>
  </w:abstractNum>
  <w:num w:numId="1" w16cid:durableId="1800340514">
    <w:abstractNumId w:val="1"/>
  </w:num>
  <w:num w:numId="2" w16cid:durableId="1990939454">
    <w:abstractNumId w:val="2"/>
  </w:num>
  <w:num w:numId="3" w16cid:durableId="2063627181">
    <w:abstractNumId w:val="0"/>
  </w:num>
  <w:num w:numId="4" w16cid:durableId="1916934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61"/>
    <w:rsid w:val="001657D5"/>
    <w:rsid w:val="0027411C"/>
    <w:rsid w:val="0039344F"/>
    <w:rsid w:val="003C6674"/>
    <w:rsid w:val="00414297"/>
    <w:rsid w:val="00481A99"/>
    <w:rsid w:val="004C6B8B"/>
    <w:rsid w:val="00790B46"/>
    <w:rsid w:val="007E1790"/>
    <w:rsid w:val="008B6261"/>
    <w:rsid w:val="00A77020"/>
    <w:rsid w:val="00B04EA6"/>
    <w:rsid w:val="00CF356C"/>
    <w:rsid w:val="00D33E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8D59"/>
  <w15:docId w15:val="{42C08D11-0AF0-415E-BBB2-6BB699D5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702" w:hanging="679"/>
      <w:outlineLvl w:val="0"/>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38"/>
    </w:pPr>
    <w:rPr>
      <w:sz w:val="24"/>
      <w:szCs w:val="24"/>
    </w:rPr>
  </w:style>
  <w:style w:type="paragraph" w:styleId="ListParagraph">
    <w:name w:val="List Paragraph"/>
    <w:basedOn w:val="Normal"/>
    <w:uiPriority w:val="1"/>
    <w:qFormat/>
    <w:pPr>
      <w:ind w:left="702" w:hanging="679"/>
    </w:pPr>
    <w:rPr>
      <w:rFonts w:ascii="Arial" w:eastAsia="Arial" w:hAnsi="Arial" w:cs="Arial"/>
    </w:rPr>
  </w:style>
  <w:style w:type="paragraph" w:customStyle="1" w:styleId="TableParagraph">
    <w:name w:val="Table Paragraph"/>
    <w:basedOn w:val="Normal"/>
    <w:uiPriority w:val="1"/>
    <w:qFormat/>
    <w:pPr>
      <w:spacing w:before="60"/>
    </w:pPr>
    <w:rPr>
      <w:rFonts w:ascii="Arial Narrow" w:eastAsia="Arial Narrow" w:hAnsi="Arial Narrow" w:cs="Arial Narrow"/>
    </w:rPr>
  </w:style>
  <w:style w:type="paragraph" w:styleId="Header">
    <w:name w:val="header"/>
    <w:basedOn w:val="Normal"/>
    <w:link w:val="HeaderChar"/>
    <w:uiPriority w:val="99"/>
    <w:unhideWhenUsed/>
    <w:rsid w:val="00D33E00"/>
    <w:pPr>
      <w:tabs>
        <w:tab w:val="center" w:pos="4513"/>
        <w:tab w:val="right" w:pos="9026"/>
      </w:tabs>
    </w:pPr>
  </w:style>
  <w:style w:type="character" w:customStyle="1" w:styleId="HeaderChar">
    <w:name w:val="Header Char"/>
    <w:basedOn w:val="DefaultParagraphFont"/>
    <w:link w:val="Header"/>
    <w:uiPriority w:val="99"/>
    <w:rsid w:val="00D33E00"/>
    <w:rPr>
      <w:rFonts w:ascii="Times New Roman" w:eastAsia="Times New Roman" w:hAnsi="Times New Roman" w:cs="Times New Roman"/>
    </w:rPr>
  </w:style>
  <w:style w:type="paragraph" w:styleId="Footer">
    <w:name w:val="footer"/>
    <w:basedOn w:val="Normal"/>
    <w:link w:val="FooterChar"/>
    <w:unhideWhenUsed/>
    <w:qFormat/>
    <w:rsid w:val="00D33E00"/>
    <w:pPr>
      <w:tabs>
        <w:tab w:val="center" w:pos="4513"/>
        <w:tab w:val="right" w:pos="9026"/>
      </w:tabs>
    </w:pPr>
  </w:style>
  <w:style w:type="character" w:customStyle="1" w:styleId="FooterChar">
    <w:name w:val="Footer Char"/>
    <w:basedOn w:val="DefaultParagraphFont"/>
    <w:link w:val="Footer"/>
    <w:rsid w:val="00D33E00"/>
    <w:rPr>
      <w:rFonts w:ascii="Times New Roman" w:eastAsia="Times New Roman" w:hAnsi="Times New Roman" w:cs="Times New Roman"/>
    </w:rPr>
  </w:style>
  <w:style w:type="character" w:styleId="Hyperlink">
    <w:name w:val="Hyperlink"/>
    <w:basedOn w:val="DefaultParagraphFont"/>
    <w:uiPriority w:val="99"/>
    <w:unhideWhenUsed/>
    <w:rsid w:val="00414297"/>
    <w:rPr>
      <w:color w:val="0000FF"/>
      <w:u w:val="single"/>
    </w:rPr>
  </w:style>
  <w:style w:type="table" w:styleId="TableGrid">
    <w:name w:val="Table Grid"/>
    <w:basedOn w:val="TableNormal"/>
    <w:uiPriority w:val="59"/>
    <w:rsid w:val="00414297"/>
    <w:pPr>
      <w:widowControl/>
      <w:autoSpaceDE/>
      <w:autoSpaceDN/>
    </w:pPr>
    <w:rPr>
      <w:rFonts w:eastAsia="Cambria"/>
      <w:lang w:val="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tga.gov.au/reporting-problems" TargetMode="Externa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tga.gov.au/reporting-" TargetMode="External"/><Relationship Id="rId14" Type="http://schemas.openxmlformats.org/officeDocument/2006/relationships/hyperlink" Target="mailto:medinfo.australia@sanofi.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hyperlink" Target="https://www.tga.gov.au/products/australian-register-therapeutic-goods-artg/product-information-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21</Pages>
  <Words>6841</Words>
  <Characters>38998</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Attachment: Product information for Cenrifki</vt:lpstr>
    </vt:vector>
  </TitlesOfParts>
  <Company/>
  <LinksUpToDate>false</LinksUpToDate>
  <CharactersWithSpaces>45748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Product information for Cenrifki</dc:title>
  <dc:subject>Prescription medicines</dc:subject>
  <dc:creator>Sanofi-Aventis Australia Pty Ltd</dc:creator>
  <dcterms:created xsi:type="dcterms:W3CDTF">2026-09-29T01:06:00Z</dcterms:created>
  <dcterms:modified xsi:type="dcterms:W3CDTF">2026-09-29T02:05:00Z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#ff0000,12,Aptos</vt:lpwstr>
  </property>
  <property fmtid="{D5CDD505-2E9C-101B-9397-08002B2CF9AE}" pid="3" name="ClassificationContentMarkingHeaderShapeIds">
    <vt:lpwstr>2,5,6,28d7c3ac,1ee2ab35,261c405d</vt:lpwstr>
  </property>
  <property fmtid="{D5CDD505-2E9C-101B-9397-08002B2CF9AE}" pid="4" name="ClassificationContentMarkingHeaderText">
    <vt:lpwstr>OFFICIAL</vt:lpwstr>
  </property>
  <property fmtid="{D5CDD505-2E9C-101B-9397-08002B2CF9AE}" pid="5" name="ContentTypeId">
    <vt:lpwstr>0x010100924AB7A060C945448CEABB0B139D10FB</vt:lpwstr>
  </property>
  <property fmtid="{D5CDD505-2E9C-101B-9397-08002B2CF9AE}" pid="6" name="Created">
    <vt:filetime>2026-04-30T00:00:00Z</vt:filetime>
  </property>
  <property fmtid="{D5CDD505-2E9C-101B-9397-08002B2CF9AE}" pid="7" name="Creator">
    <vt:lpwstr>Mono eCTD Office</vt:lpwstr>
  </property>
  <property fmtid="{D5CDD505-2E9C-101B-9397-08002B2CF9AE}" pid="8" name="Custom1">
    <vt:lpwstr/>
  </property>
  <property fmtid="{D5CDD505-2E9C-101B-9397-08002B2CF9AE}" pid="9" name="Custom2">
    <vt:lpwstr/>
  </property>
  <property fmtid="{D5CDD505-2E9C-101B-9397-08002B2CF9AE}" pid="10" name="Custom3">
    <vt:lpwstr/>
  </property>
  <property fmtid="{D5CDD505-2E9C-101B-9397-08002B2CF9AE}" pid="11" name="Custom4">
    <vt:lpwstr/>
  </property>
  <property fmtid="{D5CDD505-2E9C-101B-9397-08002B2CF9AE}" pid="12" name="Date">
    <vt:lpwstr>Date</vt:lpwstr>
  </property>
  <property fmtid="{D5CDD505-2E9C-101B-9397-08002B2CF9AE}" pid="13" name="Document Type">
    <vt:lpwstr>Type of Document</vt:lpwstr>
  </property>
  <property fmtid="{D5CDD505-2E9C-101B-9397-08002B2CF9AE}" pid="14" name="INN">
    <vt:lpwstr>INN</vt:lpwstr>
  </property>
  <property fmtid="{D5CDD505-2E9C-101B-9397-08002B2CF9AE}" pid="15" name="LastRefNum">
    <vt:lpwstr>0</vt:lpwstr>
  </property>
  <property fmtid="{D5CDD505-2E9C-101B-9397-08002B2CF9AE}" pid="16" name="LastSaved">
    <vt:filetime>2026-08-21T00:00:00Z</vt:filetime>
  </property>
  <property fmtid="{D5CDD505-2E9C-101B-9397-08002B2CF9AE}" pid="17" name="MSIP_Label_9e3dcb88-8425-4e1d-b1a3-bd5572915bbc_ActionId">
    <vt:lpwstr>28bf8be9-171c-457d-8074-c01fe28d77bb</vt:lpwstr>
  </property>
  <property fmtid="{D5CDD505-2E9C-101B-9397-08002B2CF9AE}" pid="18" name="MSIP_Label_9e3dcb88-8425-4e1d-b1a3-bd5572915bbc_ContentBits">
    <vt:lpwstr>1</vt:lpwstr>
  </property>
  <property fmtid="{D5CDD505-2E9C-101B-9397-08002B2CF9AE}" pid="19" name="MSIP_Label_9e3dcb88-8425-4e1d-b1a3-bd5572915bbc_Enabled">
    <vt:lpwstr>true</vt:lpwstr>
  </property>
  <property fmtid="{D5CDD505-2E9C-101B-9397-08002B2CF9AE}" pid="20" name="MSIP_Label_9e3dcb88-8425-4e1d-b1a3-bd5572915bbc_Method">
    <vt:lpwstr>Standard</vt:lpwstr>
  </property>
  <property fmtid="{D5CDD505-2E9C-101B-9397-08002B2CF9AE}" pid="21" name="MSIP_Label_9e3dcb88-8425-4e1d-b1a3-bd5572915bbc_Name">
    <vt:lpwstr>Internal</vt:lpwstr>
  </property>
  <property fmtid="{D5CDD505-2E9C-101B-9397-08002B2CF9AE}" pid="22" name="MSIP_Label_9e3dcb88-8425-4e1d-b1a3-bd5572915bbc_SetDate">
    <vt:lpwstr>2023-05-11T18:02:26Z</vt:lpwstr>
  </property>
  <property fmtid="{D5CDD505-2E9C-101B-9397-08002B2CF9AE}" pid="23" name="MSIP_Label_9e3dcb88-8425-4e1d-b1a3-bd5572915bbc_SiteId">
    <vt:lpwstr>aca3c8d6-aa71-4e1a-a10e-03572fc58c0b</vt:lpwstr>
  </property>
  <property fmtid="{D5CDD505-2E9C-101B-9397-08002B2CF9AE}" pid="24" name="Producer">
    <vt:lpwstr>Mono eCTD Office</vt:lpwstr>
  </property>
  <property fmtid="{D5CDD505-2E9C-101B-9397-08002B2CF9AE}" pid="25" name="Product Code">
    <vt:lpwstr>Product Code / Study Number</vt:lpwstr>
  </property>
  <property fmtid="{D5CDD505-2E9C-101B-9397-08002B2CF9AE}" pid="26" name="SourceModified">
    <vt:lpwstr>D:20260430070924</vt:lpwstr>
  </property>
  <property fmtid="{D5CDD505-2E9C-101B-9397-08002B2CF9AE}" pid="27" name="https">
    <vt:lpwstr>1</vt:lpwstr>
  </property>
  <property fmtid="{D5CDD505-2E9C-101B-9397-08002B2CF9AE}" pid="28" name="ClassificationContentMarkingFooterShapeIds">
    <vt:lpwstr>36336bd,4ad2d18a,52147a14</vt:lpwstr>
  </property>
  <property fmtid="{D5CDD505-2E9C-101B-9397-08002B2CF9AE}" pid="29" name="ClassificationContentMarkingFooterFontProps">
    <vt:lpwstr>#ff0000,12,Aptos</vt:lpwstr>
  </property>
  <property fmtid="{D5CDD505-2E9C-101B-9397-08002B2CF9AE}" pid="30" name="ClassificationContentMarkingFooterText">
    <vt:lpwstr>OFFICIAL</vt:lpwstr>
  </property>
  <property fmtid="{D5CDD505-2E9C-101B-9397-08002B2CF9AE}" pid="31" name="MSIP_Label_7cd3e8b9-ffed-43a8-b7f4-cc2fa0382d36_Enabled">
    <vt:lpwstr>true</vt:lpwstr>
  </property>
  <property fmtid="{D5CDD505-2E9C-101B-9397-08002B2CF9AE}" pid="32" name="MSIP_Label_7cd3e8b9-ffed-43a8-b7f4-cc2fa0382d36_SetDate">
    <vt:lpwstr>2026-08-21T01:23:46Z</vt:lpwstr>
  </property>
  <property fmtid="{D5CDD505-2E9C-101B-9397-08002B2CF9AE}" pid="33" name="MSIP_Label_7cd3e8b9-ffed-43a8-b7f4-cc2fa0382d36_Method">
    <vt:lpwstr>Privileged</vt:lpwstr>
  </property>
  <property fmtid="{D5CDD505-2E9C-101B-9397-08002B2CF9AE}" pid="34" name="MSIP_Label_7cd3e8b9-ffed-43a8-b7f4-cc2fa0382d36_Name">
    <vt:lpwstr>O</vt:lpwstr>
  </property>
  <property fmtid="{D5CDD505-2E9C-101B-9397-08002B2CF9AE}" pid="35" name="MSIP_Label_7cd3e8b9-ffed-43a8-b7f4-cc2fa0382d36_SiteId">
    <vt:lpwstr>34a3929c-73cf-4954-abfe-147dc3517892</vt:lpwstr>
  </property>
  <property fmtid="{D5CDD505-2E9C-101B-9397-08002B2CF9AE}" pid="36" name="MSIP_Label_7cd3e8b9-ffed-43a8-b7f4-cc2fa0382d36_ActionId">
    <vt:lpwstr>6aabfe96-645e-437f-9db3-4ef22e11f7de</vt:lpwstr>
  </property>
  <property fmtid="{D5CDD505-2E9C-101B-9397-08002B2CF9AE}" pid="37" name="MSIP_Label_7cd3e8b9-ffed-43a8-b7f4-cc2fa0382d36_ContentBits">
    <vt:lpwstr>3</vt:lpwstr>
  </property>
  <property fmtid="{D5CDD505-2E9C-101B-9397-08002B2CF9AE}" pid="38" name="MSIP_Label_7cd3e8b9-ffed-43a8-b7f4-cc2fa0382d36_Tag">
    <vt:lpwstr>10, 0, 1, 1</vt:lpwstr>
  </property>
</Properties>
</file>