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02AEC" w:rsidRPr="00215D48" w14:paraId="08AE1D54" w14:textId="77777777" w:rsidTr="00346EC2">
        <w:trPr>
          <w:trHeight w:val="1558"/>
        </w:trPr>
        <w:tc>
          <w:tcPr>
            <w:tcW w:w="8720" w:type="dxa"/>
          </w:tcPr>
          <w:p w14:paraId="2538A211" w14:textId="5F023F49" w:rsidR="00F02AEC" w:rsidRPr="00215D48" w:rsidRDefault="00346EC2" w:rsidP="007452E8">
            <w:pPr>
              <w:pStyle w:val="Title"/>
            </w:pPr>
            <w:r w:rsidRPr="00346EC2">
              <w:t xml:space="preserve">Australian Public Assessment Report for </w:t>
            </w:r>
            <w:r w:rsidR="00B943ED">
              <w:t>Zirdawny</w:t>
            </w:r>
          </w:p>
        </w:tc>
      </w:tr>
      <w:tr w:rsidR="00F02AEC" w:rsidRPr="00215D48" w14:paraId="318A40A3" w14:textId="77777777" w:rsidTr="00346EC2">
        <w:trPr>
          <w:trHeight w:val="995"/>
        </w:trPr>
        <w:tc>
          <w:tcPr>
            <w:tcW w:w="8720" w:type="dxa"/>
          </w:tcPr>
          <w:p w14:paraId="1AA7C701" w14:textId="3B466F2D" w:rsidR="00F02AEC" w:rsidRPr="00215D48" w:rsidRDefault="00346EC2" w:rsidP="007452E8">
            <w:pPr>
              <w:pStyle w:val="Subtitle"/>
              <w:ind w:left="0"/>
            </w:pPr>
            <w:r w:rsidRPr="00346EC2">
              <w:t xml:space="preserve">Active ingredient: </w:t>
            </w:r>
            <w:r w:rsidR="00391A74">
              <w:t>Donidalorsen (as sodium)</w:t>
            </w:r>
          </w:p>
        </w:tc>
      </w:tr>
      <w:tr w:rsidR="00346EC2" w:rsidRPr="00215D48" w14:paraId="362CCAE4" w14:textId="77777777" w:rsidTr="007452E8">
        <w:trPr>
          <w:trHeight w:val="1916"/>
        </w:trPr>
        <w:tc>
          <w:tcPr>
            <w:tcW w:w="8720" w:type="dxa"/>
          </w:tcPr>
          <w:p w14:paraId="709C45C0" w14:textId="767BE69E" w:rsidR="00346EC2" w:rsidRPr="00215D48" w:rsidRDefault="00346EC2" w:rsidP="007452E8">
            <w:pPr>
              <w:pStyle w:val="Subtitle"/>
              <w:ind w:left="0"/>
            </w:pPr>
            <w:r w:rsidRPr="00346EC2">
              <w:t>Sponsor:</w:t>
            </w:r>
            <w:r w:rsidR="001E349B">
              <w:t xml:space="preserve"> Otsuka Australia Pharmaceutical Pty Ltd</w:t>
            </w:r>
          </w:p>
        </w:tc>
      </w:tr>
      <w:tr w:rsidR="00F02AEC" w:rsidRPr="00215D48" w14:paraId="37F2AA1F" w14:textId="77777777" w:rsidTr="007452E8">
        <w:tc>
          <w:tcPr>
            <w:tcW w:w="8720" w:type="dxa"/>
          </w:tcPr>
          <w:p w14:paraId="1FDE8DCD" w14:textId="480AB4A2" w:rsidR="00F02AEC" w:rsidRPr="00215D48" w:rsidRDefault="00022550" w:rsidP="007452E8">
            <w:pPr>
              <w:pStyle w:val="Date"/>
            </w:pPr>
            <w:r>
              <w:t>August</w:t>
            </w:r>
            <w:r w:rsidR="008B7EE8">
              <w:t xml:space="preserve"> 2026</w:t>
            </w:r>
          </w:p>
        </w:tc>
      </w:tr>
    </w:tbl>
    <w:p w14:paraId="73752706" w14:textId="77777777" w:rsidR="00F02AEC" w:rsidRPr="00215D48" w:rsidRDefault="00F02AEC" w:rsidP="007452E8">
      <w:pPr>
        <w:pStyle w:val="ListBullet"/>
        <w:numPr>
          <w:ilvl w:val="0"/>
          <w:numId w:val="0"/>
        </w:numPr>
        <w:sectPr w:rsidR="00F02AEC" w:rsidRPr="00215D48" w:rsidSect="00CB0550">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titlePg/>
          <w:docGrid w:linePitch="360"/>
        </w:sectPr>
      </w:pPr>
    </w:p>
    <w:p w14:paraId="2170A423" w14:textId="77777777" w:rsidR="00346EC2" w:rsidRPr="001F6CBA" w:rsidRDefault="00346EC2" w:rsidP="00346EC2">
      <w:pPr>
        <w:pStyle w:val="NonTOCHeading20"/>
      </w:pPr>
      <w:r w:rsidRPr="001F6CBA">
        <w:lastRenderedPageBreak/>
        <w:t>About the Therapeutic Goods Administration (TGA)</w:t>
      </w:r>
    </w:p>
    <w:p w14:paraId="79558AE9" w14:textId="038D0DA4" w:rsidR="00346EC2" w:rsidRPr="00391B0C" w:rsidRDefault="00346EC2" w:rsidP="0056766D">
      <w:pPr>
        <w:pStyle w:val="ListBullet"/>
      </w:pPr>
      <w:r w:rsidRPr="00391B0C">
        <w:t xml:space="preserve">The Therapeutic Goods Administration (TGA) is part of the Australian Government </w:t>
      </w:r>
      <w:r w:rsidRPr="00C22214">
        <w:t>Department of Health</w:t>
      </w:r>
      <w:r w:rsidR="0006693A">
        <w:t>, Disability</w:t>
      </w:r>
      <w:r w:rsidRPr="00C22214">
        <w:t xml:space="preserve"> and Ag</w:t>
      </w:r>
      <w:r w:rsidR="0006693A">
        <w:t>eing</w:t>
      </w:r>
      <w:r>
        <w:t xml:space="preserve"> </w:t>
      </w:r>
      <w:r w:rsidRPr="00391B0C">
        <w:t>and is responsible for regulating therapeutic goods, including medicines, medical devices, and biologicals.</w:t>
      </w:r>
    </w:p>
    <w:p w14:paraId="61BEFDB6" w14:textId="77777777" w:rsidR="00346EC2" w:rsidRPr="00391B0C" w:rsidRDefault="00346EC2" w:rsidP="00346EC2">
      <w:pPr>
        <w:pStyle w:val="ListBullet"/>
      </w:pPr>
      <w:r w:rsidRPr="00391B0C">
        <w:t xml:space="preserve">The TGA administers the </w:t>
      </w:r>
      <w:r w:rsidRPr="00822FCB">
        <w:rPr>
          <w:i/>
          <w:iCs/>
        </w:rPr>
        <w:t>Therapeutic Goods Act 1989</w:t>
      </w:r>
      <w:r w:rsidRPr="00391B0C">
        <w:t xml:space="preserve"> (the Act), applying a risk management approach designed to ensure therapeutic goods supplied in Australia meet acceptable standards of quality, safety, and efficacy.</w:t>
      </w:r>
    </w:p>
    <w:p w14:paraId="77180CB3" w14:textId="77777777" w:rsidR="00346EC2" w:rsidRPr="003C6D1F" w:rsidRDefault="00346EC2" w:rsidP="00346EC2">
      <w:pPr>
        <w:pStyle w:val="ListBullet"/>
      </w:pPr>
      <w:r w:rsidRPr="003C6D1F">
        <w:t xml:space="preserve">The work of the TGA is based on applying scientific and clinical expertise to decision-making, to ensure that the benefits to </w:t>
      </w:r>
      <w:r>
        <w:t>the Australian public</w:t>
      </w:r>
      <w:r w:rsidRPr="003C6D1F">
        <w:t xml:space="preserve"> outweigh any risks associated with the use of </w:t>
      </w:r>
      <w:r>
        <w:t>therapeutic goods</w:t>
      </w:r>
      <w:r w:rsidRPr="003C6D1F">
        <w:t>.</w:t>
      </w:r>
    </w:p>
    <w:p w14:paraId="70AC2A35" w14:textId="77777777" w:rsidR="00346EC2" w:rsidRPr="003C6D1F" w:rsidRDefault="00346EC2" w:rsidP="00346EC2">
      <w:pPr>
        <w:pStyle w:val="ListBullet"/>
      </w:pPr>
      <w:r w:rsidRPr="003C6D1F">
        <w:t xml:space="preserve">The TGA relies on the public, healthcare professionals and industry to report problems with </w:t>
      </w:r>
      <w:r>
        <w:t>therapeutic goods</w:t>
      </w:r>
      <w:r w:rsidRPr="003C6D1F">
        <w:t>.</w:t>
      </w:r>
      <w:r>
        <w:t xml:space="preserve"> The</w:t>
      </w:r>
      <w:r w:rsidRPr="003C6D1F">
        <w:t xml:space="preserve"> TGA investigates reports received to determine any necessary regulatory action.</w:t>
      </w:r>
    </w:p>
    <w:p w14:paraId="17DC24C6" w14:textId="1C976CB8" w:rsidR="00346EC2" w:rsidRDefault="00346EC2" w:rsidP="00346EC2">
      <w:pPr>
        <w:pStyle w:val="ListBullet"/>
      </w:pPr>
      <w:r w:rsidRPr="003C6D1F">
        <w:t xml:space="preserve">To report a problem with a </w:t>
      </w:r>
      <w:r>
        <w:t>therapeutic good</w:t>
      </w:r>
      <w:r w:rsidRPr="003C6D1F">
        <w:t xml:space="preserve">, please see the information on the </w:t>
      </w:r>
      <w:hyperlink r:id="rId14" w:history="1">
        <w:r w:rsidRPr="00A63C07">
          <w:rPr>
            <w:rStyle w:val="Hyperlink"/>
          </w:rPr>
          <w:t>TGA website</w:t>
        </w:r>
      </w:hyperlink>
      <w:r w:rsidRPr="003C6D1F">
        <w:t>.</w:t>
      </w:r>
    </w:p>
    <w:p w14:paraId="737B7A99" w14:textId="77777777" w:rsidR="00346EC2" w:rsidRDefault="00346EC2" w:rsidP="00346EC2">
      <w:pPr>
        <w:pStyle w:val="NonTOCHeading20"/>
      </w:pPr>
      <w:r>
        <w:t>About AusPARs</w:t>
      </w:r>
    </w:p>
    <w:p w14:paraId="631B2209" w14:textId="010FE2EE" w:rsidR="00346EC2" w:rsidRPr="003C6D1F" w:rsidRDefault="00346EC2" w:rsidP="00346EC2">
      <w:pPr>
        <w:pStyle w:val="ListBullet"/>
      </w:pPr>
      <w:r>
        <w:t>The</w:t>
      </w:r>
      <w:r w:rsidRPr="003C6D1F">
        <w:t xml:space="preserve"> Australian Public Assessment Report (AusPAR) provides information about the evaluation of a prescription medicine and the considerations that led the TGA to approve or not approve a prescription medicine submission.</w:t>
      </w:r>
      <w:r>
        <w:t xml:space="preserve"> Further information can be found in </w:t>
      </w:r>
      <w:hyperlink r:id="rId15" w:history="1">
        <w:r w:rsidRPr="005A2EB8">
          <w:rPr>
            <w:rStyle w:val="Hyperlink"/>
          </w:rPr>
          <w:t>Australian Public Assessment Report (AusPAR) guidance</w:t>
        </w:r>
      </w:hyperlink>
      <w:r>
        <w:t>.</w:t>
      </w:r>
    </w:p>
    <w:p w14:paraId="22F5A730" w14:textId="77777777" w:rsidR="00346EC2" w:rsidRPr="003C6D1F" w:rsidRDefault="00346EC2" w:rsidP="00346EC2">
      <w:pPr>
        <w:pStyle w:val="ListBullet"/>
      </w:pPr>
      <w:r w:rsidRPr="003C6D1F">
        <w:t>AusPARs are prepared and published by the TGA.</w:t>
      </w:r>
    </w:p>
    <w:p w14:paraId="451B8FD7" w14:textId="77777777" w:rsidR="00346EC2" w:rsidRPr="003C6D1F" w:rsidRDefault="00346EC2" w:rsidP="00346EC2">
      <w:pPr>
        <w:pStyle w:val="ListBullet"/>
      </w:pPr>
      <w:r w:rsidRPr="003C6D1F">
        <w:t>AusPAR</w:t>
      </w:r>
      <w:r>
        <w:t xml:space="preserve">s are </w:t>
      </w:r>
      <w:r w:rsidRPr="003C6D1F">
        <w:t>static document</w:t>
      </w:r>
      <w:r>
        <w:t xml:space="preserve">s that </w:t>
      </w:r>
      <w:r w:rsidRPr="003C6D1F">
        <w:t>provide information that relates to a submission at a particular point in time.</w:t>
      </w:r>
      <w:r>
        <w:t xml:space="preserve"> The publication of an AusPAR is an important part of the transparency of the TGA’s decision-making process.</w:t>
      </w:r>
    </w:p>
    <w:p w14:paraId="4D69F5CF" w14:textId="77777777" w:rsidR="00346EC2" w:rsidRPr="003C6D1F" w:rsidRDefault="00346EC2" w:rsidP="00346EC2">
      <w:pPr>
        <w:pStyle w:val="ListBullet"/>
      </w:pPr>
      <w:r w:rsidRPr="003C6D1F">
        <w:t xml:space="preserve">A new AusPAR </w:t>
      </w:r>
      <w:r>
        <w:t xml:space="preserve">may be provided </w:t>
      </w:r>
      <w:r w:rsidRPr="003C6D1F">
        <w:t>to reflect changes to indications or major variations to a prescription medicine subject to evaluation by the TGA.</w:t>
      </w:r>
    </w:p>
    <w:p w14:paraId="7067011F" w14:textId="510D5C5C" w:rsidR="00F02AEC" w:rsidRPr="00E1198B" w:rsidRDefault="00F02AEC" w:rsidP="00FE087C">
      <w:pPr>
        <w:pStyle w:val="LegalSubheading"/>
        <w:spacing w:before="3600"/>
      </w:pPr>
      <w:r w:rsidRPr="00BA0DFC">
        <w:t>Copyright</w:t>
      </w:r>
    </w:p>
    <w:p w14:paraId="170A8A5D" w14:textId="07487008" w:rsidR="00175CD8" w:rsidRPr="00346EC2" w:rsidRDefault="00F02AEC" w:rsidP="00346EC2">
      <w:pPr>
        <w:pStyle w:val="LegalCopy"/>
        <w:rPr>
          <w:rFonts w:cs="Arial"/>
        </w:rPr>
      </w:pPr>
      <w:r w:rsidRPr="00215D48">
        <w:rPr>
          <w:rFonts w:cs="Arial"/>
        </w:rPr>
        <w:t>© Commonwealth of Australia 20</w:t>
      </w:r>
      <w:r>
        <w:rPr>
          <w:rFonts w:cs="Arial"/>
        </w:rPr>
        <w:t>2</w:t>
      </w:r>
      <w:r w:rsidR="004E16C6">
        <w:rPr>
          <w:rFonts w:cs="Arial"/>
        </w:rPr>
        <w:t>6</w:t>
      </w:r>
      <w:r w:rsidR="00A3333E">
        <w:rPr>
          <w:rFonts w:cs="Arial"/>
        </w:rPr>
        <w:t>.</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w:t>
      </w:r>
      <w:r w:rsidR="000C5432" w:rsidRPr="00215D48">
        <w:rPr>
          <w:rFonts w:cs="Arial"/>
        </w:rPr>
        <w:t>reserved,</w:t>
      </w:r>
      <w:r w:rsidRPr="00215D48">
        <w:rPr>
          <w:rFonts w:cs="Arial"/>
        </w:rPr>
        <w:t xml:space="preserve">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6" w:history="1">
        <w:r w:rsidRPr="00215D48">
          <w:rPr>
            <w:rStyle w:val="Hyperlink"/>
            <w:rFonts w:cs="Arial"/>
          </w:rPr>
          <w:t>tga.copyright@tga.gov.au</w:t>
        </w:r>
      </w:hyperlink>
      <w:r w:rsidRPr="00215D48">
        <w:rPr>
          <w:rFonts w:cs="Arial"/>
        </w:rPr>
        <w:t>&gt;.</w:t>
      </w:r>
    </w:p>
    <w:sdt>
      <w:sdtPr>
        <w:rPr>
          <w:rFonts w:ascii="Cambria" w:eastAsiaTheme="minorHAnsi" w:hAnsi="Cambria" w:cstheme="minorBidi"/>
          <w:b w:val="0"/>
          <w:color w:val="auto"/>
          <w:sz w:val="22"/>
          <w:szCs w:val="22"/>
        </w:rPr>
        <w:id w:val="21514769"/>
        <w:docPartObj>
          <w:docPartGallery w:val="Table of Contents"/>
          <w:docPartUnique/>
        </w:docPartObj>
      </w:sdtPr>
      <w:sdtEndPr>
        <w:rPr>
          <w:szCs w:val="20"/>
        </w:rPr>
      </w:sdtEndPr>
      <w:sdtContent>
        <w:p w14:paraId="0A6ADA2B" w14:textId="77777777" w:rsidR="00F02AEC" w:rsidRPr="00215D48" w:rsidRDefault="00F02AEC" w:rsidP="007452E8">
          <w:pPr>
            <w:pStyle w:val="NonTOCheading2"/>
          </w:pPr>
          <w:r w:rsidRPr="00215D48">
            <w:t>Contents</w:t>
          </w:r>
        </w:p>
        <w:p w14:paraId="200CA1B5" w14:textId="5641BA33" w:rsidR="00120F3F" w:rsidRDefault="00F02AEC">
          <w:pPr>
            <w:pStyle w:val="TOC1"/>
            <w:rPr>
              <w:rFonts w:asciiTheme="minorHAnsi" w:eastAsiaTheme="minorEastAsia" w:hAnsiTheme="minorHAnsi" w:cstheme="minorBidi"/>
              <w:b w:val="0"/>
              <w:noProof/>
              <w:color w:val="auto"/>
              <w:kern w:val="2"/>
              <w:sz w:val="24"/>
              <w:szCs w:val="24"/>
              <w:lang w:eastAsia="en-AU"/>
              <w14:ligatures w14:val="standardContextual"/>
            </w:rPr>
          </w:pPr>
          <w:r w:rsidRPr="00215D48">
            <w:fldChar w:fldCharType="begin"/>
          </w:r>
          <w:r w:rsidRPr="00215D48">
            <w:instrText xml:space="preserve"> TOC \h \z \u \t "Heading 2,1,Heading 3,2,Heading 4,3" </w:instrText>
          </w:r>
          <w:r w:rsidRPr="00215D48">
            <w:fldChar w:fldCharType="separate"/>
          </w:r>
          <w:hyperlink w:anchor="_Toc238032158" w:history="1">
            <w:r w:rsidR="00120F3F" w:rsidRPr="00C81357">
              <w:rPr>
                <w:rStyle w:val="Hyperlink"/>
                <w:noProof/>
              </w:rPr>
              <w:t>List of abbreviations</w:t>
            </w:r>
            <w:r w:rsidR="00120F3F">
              <w:rPr>
                <w:noProof/>
                <w:webHidden/>
              </w:rPr>
              <w:tab/>
            </w:r>
            <w:r w:rsidR="00120F3F">
              <w:rPr>
                <w:noProof/>
                <w:webHidden/>
              </w:rPr>
              <w:fldChar w:fldCharType="begin"/>
            </w:r>
            <w:r w:rsidR="00120F3F">
              <w:rPr>
                <w:noProof/>
                <w:webHidden/>
              </w:rPr>
              <w:instrText xml:space="preserve"> PAGEREF _Toc238032158 \h </w:instrText>
            </w:r>
            <w:r w:rsidR="00120F3F">
              <w:rPr>
                <w:noProof/>
                <w:webHidden/>
              </w:rPr>
            </w:r>
            <w:r w:rsidR="00120F3F">
              <w:rPr>
                <w:noProof/>
                <w:webHidden/>
              </w:rPr>
              <w:fldChar w:fldCharType="separate"/>
            </w:r>
            <w:r w:rsidR="00120F3F">
              <w:rPr>
                <w:noProof/>
                <w:webHidden/>
              </w:rPr>
              <w:t>4</w:t>
            </w:r>
            <w:r w:rsidR="00120F3F">
              <w:rPr>
                <w:noProof/>
                <w:webHidden/>
              </w:rPr>
              <w:fldChar w:fldCharType="end"/>
            </w:r>
          </w:hyperlink>
        </w:p>
        <w:p w14:paraId="1FA46211" w14:textId="02759497" w:rsidR="00120F3F" w:rsidRDefault="00120F3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2159" w:history="1">
            <w:r w:rsidRPr="00C81357">
              <w:rPr>
                <w:rStyle w:val="Hyperlink"/>
                <w:noProof/>
              </w:rPr>
              <w:t>Product submission</w:t>
            </w:r>
            <w:r>
              <w:rPr>
                <w:noProof/>
                <w:webHidden/>
              </w:rPr>
              <w:tab/>
            </w:r>
            <w:r>
              <w:rPr>
                <w:noProof/>
                <w:webHidden/>
              </w:rPr>
              <w:fldChar w:fldCharType="begin"/>
            </w:r>
            <w:r>
              <w:rPr>
                <w:noProof/>
                <w:webHidden/>
              </w:rPr>
              <w:instrText xml:space="preserve"> PAGEREF _Toc238032159 \h </w:instrText>
            </w:r>
            <w:r>
              <w:rPr>
                <w:noProof/>
                <w:webHidden/>
              </w:rPr>
            </w:r>
            <w:r>
              <w:rPr>
                <w:noProof/>
                <w:webHidden/>
              </w:rPr>
              <w:fldChar w:fldCharType="separate"/>
            </w:r>
            <w:r>
              <w:rPr>
                <w:noProof/>
                <w:webHidden/>
              </w:rPr>
              <w:t>6</w:t>
            </w:r>
            <w:r>
              <w:rPr>
                <w:noProof/>
                <w:webHidden/>
              </w:rPr>
              <w:fldChar w:fldCharType="end"/>
            </w:r>
          </w:hyperlink>
        </w:p>
        <w:p w14:paraId="0052DA55" w14:textId="5FB9D282"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60" w:history="1">
            <w:r w:rsidRPr="00C81357">
              <w:rPr>
                <w:rStyle w:val="Hyperlink"/>
                <w:noProof/>
                <w:lang w:eastAsia="en-AU"/>
              </w:rPr>
              <w:t>Submission details</w:t>
            </w:r>
            <w:r>
              <w:rPr>
                <w:noProof/>
                <w:webHidden/>
              </w:rPr>
              <w:tab/>
            </w:r>
            <w:r>
              <w:rPr>
                <w:noProof/>
                <w:webHidden/>
              </w:rPr>
              <w:fldChar w:fldCharType="begin"/>
            </w:r>
            <w:r>
              <w:rPr>
                <w:noProof/>
                <w:webHidden/>
              </w:rPr>
              <w:instrText xml:space="preserve"> PAGEREF _Toc238032160 \h </w:instrText>
            </w:r>
            <w:r>
              <w:rPr>
                <w:noProof/>
                <w:webHidden/>
              </w:rPr>
            </w:r>
            <w:r>
              <w:rPr>
                <w:noProof/>
                <w:webHidden/>
              </w:rPr>
              <w:fldChar w:fldCharType="separate"/>
            </w:r>
            <w:r>
              <w:rPr>
                <w:noProof/>
                <w:webHidden/>
              </w:rPr>
              <w:t>6</w:t>
            </w:r>
            <w:r>
              <w:rPr>
                <w:noProof/>
                <w:webHidden/>
              </w:rPr>
              <w:fldChar w:fldCharType="end"/>
            </w:r>
          </w:hyperlink>
        </w:p>
        <w:p w14:paraId="058E8C2E" w14:textId="490024FC"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61" w:history="1">
            <w:r w:rsidRPr="00C81357">
              <w:rPr>
                <w:rStyle w:val="Hyperlink"/>
                <w:noProof/>
              </w:rPr>
              <w:t>Product background</w:t>
            </w:r>
            <w:r>
              <w:rPr>
                <w:noProof/>
                <w:webHidden/>
              </w:rPr>
              <w:tab/>
            </w:r>
            <w:r>
              <w:rPr>
                <w:noProof/>
                <w:webHidden/>
              </w:rPr>
              <w:fldChar w:fldCharType="begin"/>
            </w:r>
            <w:r>
              <w:rPr>
                <w:noProof/>
                <w:webHidden/>
              </w:rPr>
              <w:instrText xml:space="preserve"> PAGEREF _Toc238032161 \h </w:instrText>
            </w:r>
            <w:r>
              <w:rPr>
                <w:noProof/>
                <w:webHidden/>
              </w:rPr>
            </w:r>
            <w:r>
              <w:rPr>
                <w:noProof/>
                <w:webHidden/>
              </w:rPr>
              <w:fldChar w:fldCharType="separate"/>
            </w:r>
            <w:r>
              <w:rPr>
                <w:noProof/>
                <w:webHidden/>
              </w:rPr>
              <w:t>7</w:t>
            </w:r>
            <w:r>
              <w:rPr>
                <w:noProof/>
                <w:webHidden/>
              </w:rPr>
              <w:fldChar w:fldCharType="end"/>
            </w:r>
          </w:hyperlink>
        </w:p>
        <w:p w14:paraId="48A47503" w14:textId="49F5582F"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62" w:history="1">
            <w:r w:rsidRPr="00C81357">
              <w:rPr>
                <w:rStyle w:val="Hyperlink"/>
                <w:noProof/>
              </w:rPr>
              <w:t>Disease or condition</w:t>
            </w:r>
            <w:r>
              <w:rPr>
                <w:noProof/>
                <w:webHidden/>
              </w:rPr>
              <w:tab/>
            </w:r>
            <w:r>
              <w:rPr>
                <w:noProof/>
                <w:webHidden/>
              </w:rPr>
              <w:fldChar w:fldCharType="begin"/>
            </w:r>
            <w:r>
              <w:rPr>
                <w:noProof/>
                <w:webHidden/>
              </w:rPr>
              <w:instrText xml:space="preserve"> PAGEREF _Toc238032162 \h </w:instrText>
            </w:r>
            <w:r>
              <w:rPr>
                <w:noProof/>
                <w:webHidden/>
              </w:rPr>
            </w:r>
            <w:r>
              <w:rPr>
                <w:noProof/>
                <w:webHidden/>
              </w:rPr>
              <w:fldChar w:fldCharType="separate"/>
            </w:r>
            <w:r>
              <w:rPr>
                <w:noProof/>
                <w:webHidden/>
              </w:rPr>
              <w:t>7</w:t>
            </w:r>
            <w:r>
              <w:rPr>
                <w:noProof/>
                <w:webHidden/>
              </w:rPr>
              <w:fldChar w:fldCharType="end"/>
            </w:r>
          </w:hyperlink>
        </w:p>
        <w:p w14:paraId="6829D40F" w14:textId="42E6F724"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63" w:history="1">
            <w:r w:rsidRPr="00C81357">
              <w:rPr>
                <w:rStyle w:val="Hyperlink"/>
                <w:noProof/>
              </w:rPr>
              <w:t>Current treatment options</w:t>
            </w:r>
            <w:r>
              <w:rPr>
                <w:noProof/>
                <w:webHidden/>
              </w:rPr>
              <w:tab/>
            </w:r>
            <w:r>
              <w:rPr>
                <w:noProof/>
                <w:webHidden/>
              </w:rPr>
              <w:fldChar w:fldCharType="begin"/>
            </w:r>
            <w:r>
              <w:rPr>
                <w:noProof/>
                <w:webHidden/>
              </w:rPr>
              <w:instrText xml:space="preserve"> PAGEREF _Toc238032163 \h </w:instrText>
            </w:r>
            <w:r>
              <w:rPr>
                <w:noProof/>
                <w:webHidden/>
              </w:rPr>
            </w:r>
            <w:r>
              <w:rPr>
                <w:noProof/>
                <w:webHidden/>
              </w:rPr>
              <w:fldChar w:fldCharType="separate"/>
            </w:r>
            <w:r>
              <w:rPr>
                <w:noProof/>
                <w:webHidden/>
              </w:rPr>
              <w:t>8</w:t>
            </w:r>
            <w:r>
              <w:rPr>
                <w:noProof/>
                <w:webHidden/>
              </w:rPr>
              <w:fldChar w:fldCharType="end"/>
            </w:r>
          </w:hyperlink>
        </w:p>
        <w:p w14:paraId="27B92096" w14:textId="7D3B6112"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64" w:history="1">
            <w:r w:rsidRPr="00C81357">
              <w:rPr>
                <w:rStyle w:val="Hyperlink"/>
                <w:noProof/>
              </w:rPr>
              <w:t>Clinical rationale</w:t>
            </w:r>
            <w:r>
              <w:rPr>
                <w:noProof/>
                <w:webHidden/>
              </w:rPr>
              <w:tab/>
            </w:r>
            <w:r>
              <w:rPr>
                <w:noProof/>
                <w:webHidden/>
              </w:rPr>
              <w:fldChar w:fldCharType="begin"/>
            </w:r>
            <w:r>
              <w:rPr>
                <w:noProof/>
                <w:webHidden/>
              </w:rPr>
              <w:instrText xml:space="preserve"> PAGEREF _Toc238032164 \h </w:instrText>
            </w:r>
            <w:r>
              <w:rPr>
                <w:noProof/>
                <w:webHidden/>
              </w:rPr>
            </w:r>
            <w:r>
              <w:rPr>
                <w:noProof/>
                <w:webHidden/>
              </w:rPr>
              <w:fldChar w:fldCharType="separate"/>
            </w:r>
            <w:r>
              <w:rPr>
                <w:noProof/>
                <w:webHidden/>
              </w:rPr>
              <w:t>8</w:t>
            </w:r>
            <w:r>
              <w:rPr>
                <w:noProof/>
                <w:webHidden/>
              </w:rPr>
              <w:fldChar w:fldCharType="end"/>
            </w:r>
          </w:hyperlink>
        </w:p>
        <w:p w14:paraId="0423EBDE" w14:textId="4D17E2AF"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65" w:history="1">
            <w:r w:rsidRPr="00C81357">
              <w:rPr>
                <w:rStyle w:val="Hyperlink"/>
                <w:noProof/>
              </w:rPr>
              <w:t>Regulatory status</w:t>
            </w:r>
            <w:r>
              <w:rPr>
                <w:noProof/>
                <w:webHidden/>
              </w:rPr>
              <w:tab/>
            </w:r>
            <w:r>
              <w:rPr>
                <w:noProof/>
                <w:webHidden/>
              </w:rPr>
              <w:fldChar w:fldCharType="begin"/>
            </w:r>
            <w:r>
              <w:rPr>
                <w:noProof/>
                <w:webHidden/>
              </w:rPr>
              <w:instrText xml:space="preserve"> PAGEREF _Toc238032165 \h </w:instrText>
            </w:r>
            <w:r>
              <w:rPr>
                <w:noProof/>
                <w:webHidden/>
              </w:rPr>
            </w:r>
            <w:r>
              <w:rPr>
                <w:noProof/>
                <w:webHidden/>
              </w:rPr>
              <w:fldChar w:fldCharType="separate"/>
            </w:r>
            <w:r>
              <w:rPr>
                <w:noProof/>
                <w:webHidden/>
              </w:rPr>
              <w:t>9</w:t>
            </w:r>
            <w:r>
              <w:rPr>
                <w:noProof/>
                <w:webHidden/>
              </w:rPr>
              <w:fldChar w:fldCharType="end"/>
            </w:r>
          </w:hyperlink>
        </w:p>
        <w:p w14:paraId="711C6129" w14:textId="0E2DDC80"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66" w:history="1">
            <w:r w:rsidRPr="00C81357">
              <w:rPr>
                <w:rStyle w:val="Hyperlink"/>
                <w:noProof/>
              </w:rPr>
              <w:t>Australian regulatory status</w:t>
            </w:r>
            <w:r>
              <w:rPr>
                <w:noProof/>
                <w:webHidden/>
              </w:rPr>
              <w:tab/>
            </w:r>
            <w:r>
              <w:rPr>
                <w:noProof/>
                <w:webHidden/>
              </w:rPr>
              <w:fldChar w:fldCharType="begin"/>
            </w:r>
            <w:r>
              <w:rPr>
                <w:noProof/>
                <w:webHidden/>
              </w:rPr>
              <w:instrText xml:space="preserve"> PAGEREF _Toc238032166 \h </w:instrText>
            </w:r>
            <w:r>
              <w:rPr>
                <w:noProof/>
                <w:webHidden/>
              </w:rPr>
            </w:r>
            <w:r>
              <w:rPr>
                <w:noProof/>
                <w:webHidden/>
              </w:rPr>
              <w:fldChar w:fldCharType="separate"/>
            </w:r>
            <w:r>
              <w:rPr>
                <w:noProof/>
                <w:webHidden/>
              </w:rPr>
              <w:t>9</w:t>
            </w:r>
            <w:r>
              <w:rPr>
                <w:noProof/>
                <w:webHidden/>
              </w:rPr>
              <w:fldChar w:fldCharType="end"/>
            </w:r>
          </w:hyperlink>
        </w:p>
        <w:p w14:paraId="68C866F7" w14:textId="535B58D4"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67" w:history="1">
            <w:r w:rsidRPr="00C81357">
              <w:rPr>
                <w:rStyle w:val="Hyperlink"/>
                <w:noProof/>
              </w:rPr>
              <w:t>International regulatory status</w:t>
            </w:r>
            <w:r>
              <w:rPr>
                <w:noProof/>
                <w:webHidden/>
              </w:rPr>
              <w:tab/>
            </w:r>
            <w:r>
              <w:rPr>
                <w:noProof/>
                <w:webHidden/>
              </w:rPr>
              <w:fldChar w:fldCharType="begin"/>
            </w:r>
            <w:r>
              <w:rPr>
                <w:noProof/>
                <w:webHidden/>
              </w:rPr>
              <w:instrText xml:space="preserve"> PAGEREF _Toc238032167 \h </w:instrText>
            </w:r>
            <w:r>
              <w:rPr>
                <w:noProof/>
                <w:webHidden/>
              </w:rPr>
            </w:r>
            <w:r>
              <w:rPr>
                <w:noProof/>
                <w:webHidden/>
              </w:rPr>
              <w:fldChar w:fldCharType="separate"/>
            </w:r>
            <w:r>
              <w:rPr>
                <w:noProof/>
                <w:webHidden/>
              </w:rPr>
              <w:t>9</w:t>
            </w:r>
            <w:r>
              <w:rPr>
                <w:noProof/>
                <w:webHidden/>
              </w:rPr>
              <w:fldChar w:fldCharType="end"/>
            </w:r>
          </w:hyperlink>
        </w:p>
        <w:p w14:paraId="6B230258" w14:textId="23538F12" w:rsidR="00120F3F" w:rsidRDefault="00120F3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2168" w:history="1">
            <w:r w:rsidRPr="00C81357">
              <w:rPr>
                <w:rStyle w:val="Hyperlink"/>
                <w:noProof/>
              </w:rPr>
              <w:t>Registration timeline</w:t>
            </w:r>
            <w:r>
              <w:rPr>
                <w:noProof/>
                <w:webHidden/>
              </w:rPr>
              <w:tab/>
            </w:r>
            <w:r>
              <w:rPr>
                <w:noProof/>
                <w:webHidden/>
              </w:rPr>
              <w:fldChar w:fldCharType="begin"/>
            </w:r>
            <w:r>
              <w:rPr>
                <w:noProof/>
                <w:webHidden/>
              </w:rPr>
              <w:instrText xml:space="preserve"> PAGEREF _Toc238032168 \h </w:instrText>
            </w:r>
            <w:r>
              <w:rPr>
                <w:noProof/>
                <w:webHidden/>
              </w:rPr>
            </w:r>
            <w:r>
              <w:rPr>
                <w:noProof/>
                <w:webHidden/>
              </w:rPr>
              <w:fldChar w:fldCharType="separate"/>
            </w:r>
            <w:r>
              <w:rPr>
                <w:noProof/>
                <w:webHidden/>
              </w:rPr>
              <w:t>9</w:t>
            </w:r>
            <w:r>
              <w:rPr>
                <w:noProof/>
                <w:webHidden/>
              </w:rPr>
              <w:fldChar w:fldCharType="end"/>
            </w:r>
          </w:hyperlink>
        </w:p>
        <w:p w14:paraId="391DEA66" w14:textId="59C0A00D" w:rsidR="00120F3F" w:rsidRDefault="00120F3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2169" w:history="1">
            <w:r w:rsidRPr="00C81357">
              <w:rPr>
                <w:rStyle w:val="Hyperlink"/>
                <w:noProof/>
              </w:rPr>
              <w:t>Assessment overview</w:t>
            </w:r>
            <w:r>
              <w:rPr>
                <w:noProof/>
                <w:webHidden/>
              </w:rPr>
              <w:tab/>
            </w:r>
            <w:r>
              <w:rPr>
                <w:noProof/>
                <w:webHidden/>
              </w:rPr>
              <w:fldChar w:fldCharType="begin"/>
            </w:r>
            <w:r>
              <w:rPr>
                <w:noProof/>
                <w:webHidden/>
              </w:rPr>
              <w:instrText xml:space="preserve"> PAGEREF _Toc238032169 \h </w:instrText>
            </w:r>
            <w:r>
              <w:rPr>
                <w:noProof/>
                <w:webHidden/>
              </w:rPr>
            </w:r>
            <w:r>
              <w:rPr>
                <w:noProof/>
                <w:webHidden/>
              </w:rPr>
              <w:fldChar w:fldCharType="separate"/>
            </w:r>
            <w:r>
              <w:rPr>
                <w:noProof/>
                <w:webHidden/>
              </w:rPr>
              <w:t>10</w:t>
            </w:r>
            <w:r>
              <w:rPr>
                <w:noProof/>
                <w:webHidden/>
              </w:rPr>
              <w:fldChar w:fldCharType="end"/>
            </w:r>
          </w:hyperlink>
        </w:p>
        <w:p w14:paraId="4BB60B6B" w14:textId="3227CAF7"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70" w:history="1">
            <w:r w:rsidRPr="00C81357">
              <w:rPr>
                <w:rStyle w:val="Hyperlink"/>
                <w:noProof/>
              </w:rPr>
              <w:t>Quality evaluation summary</w:t>
            </w:r>
            <w:r>
              <w:rPr>
                <w:noProof/>
                <w:webHidden/>
              </w:rPr>
              <w:tab/>
            </w:r>
            <w:r>
              <w:rPr>
                <w:noProof/>
                <w:webHidden/>
              </w:rPr>
              <w:fldChar w:fldCharType="begin"/>
            </w:r>
            <w:r>
              <w:rPr>
                <w:noProof/>
                <w:webHidden/>
              </w:rPr>
              <w:instrText xml:space="preserve"> PAGEREF _Toc238032170 \h </w:instrText>
            </w:r>
            <w:r>
              <w:rPr>
                <w:noProof/>
                <w:webHidden/>
              </w:rPr>
            </w:r>
            <w:r>
              <w:rPr>
                <w:noProof/>
                <w:webHidden/>
              </w:rPr>
              <w:fldChar w:fldCharType="separate"/>
            </w:r>
            <w:r>
              <w:rPr>
                <w:noProof/>
                <w:webHidden/>
              </w:rPr>
              <w:t>10</w:t>
            </w:r>
            <w:r>
              <w:rPr>
                <w:noProof/>
                <w:webHidden/>
              </w:rPr>
              <w:fldChar w:fldCharType="end"/>
            </w:r>
          </w:hyperlink>
        </w:p>
        <w:p w14:paraId="21E0E2D6" w14:textId="59AA1E81"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71" w:history="1">
            <w:r w:rsidRPr="00C81357">
              <w:rPr>
                <w:rStyle w:val="Hyperlink"/>
                <w:noProof/>
              </w:rPr>
              <w:t>Nonclinical evaluation summary</w:t>
            </w:r>
            <w:r>
              <w:rPr>
                <w:noProof/>
                <w:webHidden/>
              </w:rPr>
              <w:tab/>
            </w:r>
            <w:r>
              <w:rPr>
                <w:noProof/>
                <w:webHidden/>
              </w:rPr>
              <w:fldChar w:fldCharType="begin"/>
            </w:r>
            <w:r>
              <w:rPr>
                <w:noProof/>
                <w:webHidden/>
              </w:rPr>
              <w:instrText xml:space="preserve"> PAGEREF _Toc238032171 \h </w:instrText>
            </w:r>
            <w:r>
              <w:rPr>
                <w:noProof/>
                <w:webHidden/>
              </w:rPr>
            </w:r>
            <w:r>
              <w:rPr>
                <w:noProof/>
                <w:webHidden/>
              </w:rPr>
              <w:fldChar w:fldCharType="separate"/>
            </w:r>
            <w:r>
              <w:rPr>
                <w:noProof/>
                <w:webHidden/>
              </w:rPr>
              <w:t>10</w:t>
            </w:r>
            <w:r>
              <w:rPr>
                <w:noProof/>
                <w:webHidden/>
              </w:rPr>
              <w:fldChar w:fldCharType="end"/>
            </w:r>
          </w:hyperlink>
        </w:p>
        <w:p w14:paraId="4B6AF2D9" w14:textId="1F133BAA"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72" w:history="1">
            <w:r w:rsidRPr="00C81357">
              <w:rPr>
                <w:rStyle w:val="Hyperlink"/>
                <w:noProof/>
              </w:rPr>
              <w:t>Clinical evaluation summary</w:t>
            </w:r>
            <w:r>
              <w:rPr>
                <w:noProof/>
                <w:webHidden/>
              </w:rPr>
              <w:tab/>
            </w:r>
            <w:r>
              <w:rPr>
                <w:noProof/>
                <w:webHidden/>
              </w:rPr>
              <w:fldChar w:fldCharType="begin"/>
            </w:r>
            <w:r>
              <w:rPr>
                <w:noProof/>
                <w:webHidden/>
              </w:rPr>
              <w:instrText xml:space="preserve"> PAGEREF _Toc238032172 \h </w:instrText>
            </w:r>
            <w:r>
              <w:rPr>
                <w:noProof/>
                <w:webHidden/>
              </w:rPr>
            </w:r>
            <w:r>
              <w:rPr>
                <w:noProof/>
                <w:webHidden/>
              </w:rPr>
              <w:fldChar w:fldCharType="separate"/>
            </w:r>
            <w:r>
              <w:rPr>
                <w:noProof/>
                <w:webHidden/>
              </w:rPr>
              <w:t>12</w:t>
            </w:r>
            <w:r>
              <w:rPr>
                <w:noProof/>
                <w:webHidden/>
              </w:rPr>
              <w:fldChar w:fldCharType="end"/>
            </w:r>
          </w:hyperlink>
        </w:p>
        <w:p w14:paraId="60F35721" w14:textId="45524188"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73" w:history="1">
            <w:r w:rsidRPr="00C81357">
              <w:rPr>
                <w:rStyle w:val="Hyperlink"/>
                <w:noProof/>
              </w:rPr>
              <w:t>Summary of clinical evaluation studies</w:t>
            </w:r>
            <w:r>
              <w:rPr>
                <w:noProof/>
                <w:webHidden/>
              </w:rPr>
              <w:tab/>
            </w:r>
            <w:r>
              <w:rPr>
                <w:noProof/>
                <w:webHidden/>
              </w:rPr>
              <w:fldChar w:fldCharType="begin"/>
            </w:r>
            <w:r>
              <w:rPr>
                <w:noProof/>
                <w:webHidden/>
              </w:rPr>
              <w:instrText xml:space="preserve"> PAGEREF _Toc238032173 \h </w:instrText>
            </w:r>
            <w:r>
              <w:rPr>
                <w:noProof/>
                <w:webHidden/>
              </w:rPr>
            </w:r>
            <w:r>
              <w:rPr>
                <w:noProof/>
                <w:webHidden/>
              </w:rPr>
              <w:fldChar w:fldCharType="separate"/>
            </w:r>
            <w:r>
              <w:rPr>
                <w:noProof/>
                <w:webHidden/>
              </w:rPr>
              <w:t>12</w:t>
            </w:r>
            <w:r>
              <w:rPr>
                <w:noProof/>
                <w:webHidden/>
              </w:rPr>
              <w:fldChar w:fldCharType="end"/>
            </w:r>
          </w:hyperlink>
        </w:p>
        <w:p w14:paraId="72628732" w14:textId="0AB3839D"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74" w:history="1">
            <w:r w:rsidRPr="00C81357">
              <w:rPr>
                <w:rStyle w:val="Hyperlink"/>
                <w:noProof/>
              </w:rPr>
              <w:t>Pharmacology</w:t>
            </w:r>
            <w:r>
              <w:rPr>
                <w:noProof/>
                <w:webHidden/>
              </w:rPr>
              <w:tab/>
            </w:r>
            <w:r>
              <w:rPr>
                <w:noProof/>
                <w:webHidden/>
              </w:rPr>
              <w:fldChar w:fldCharType="begin"/>
            </w:r>
            <w:r>
              <w:rPr>
                <w:noProof/>
                <w:webHidden/>
              </w:rPr>
              <w:instrText xml:space="preserve"> PAGEREF _Toc238032174 \h </w:instrText>
            </w:r>
            <w:r>
              <w:rPr>
                <w:noProof/>
                <w:webHidden/>
              </w:rPr>
            </w:r>
            <w:r>
              <w:rPr>
                <w:noProof/>
                <w:webHidden/>
              </w:rPr>
              <w:fldChar w:fldCharType="separate"/>
            </w:r>
            <w:r>
              <w:rPr>
                <w:noProof/>
                <w:webHidden/>
              </w:rPr>
              <w:t>13</w:t>
            </w:r>
            <w:r>
              <w:rPr>
                <w:noProof/>
                <w:webHidden/>
              </w:rPr>
              <w:fldChar w:fldCharType="end"/>
            </w:r>
          </w:hyperlink>
        </w:p>
        <w:p w14:paraId="48E96CD2" w14:textId="0679BEA4"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75" w:history="1">
            <w:r w:rsidRPr="00C81357">
              <w:rPr>
                <w:rStyle w:val="Hyperlink"/>
                <w:noProof/>
              </w:rPr>
              <w:t>Efficacy</w:t>
            </w:r>
            <w:r>
              <w:rPr>
                <w:noProof/>
                <w:webHidden/>
              </w:rPr>
              <w:tab/>
            </w:r>
            <w:r>
              <w:rPr>
                <w:noProof/>
                <w:webHidden/>
              </w:rPr>
              <w:fldChar w:fldCharType="begin"/>
            </w:r>
            <w:r>
              <w:rPr>
                <w:noProof/>
                <w:webHidden/>
              </w:rPr>
              <w:instrText xml:space="preserve"> PAGEREF _Toc238032175 \h </w:instrText>
            </w:r>
            <w:r>
              <w:rPr>
                <w:noProof/>
                <w:webHidden/>
              </w:rPr>
            </w:r>
            <w:r>
              <w:rPr>
                <w:noProof/>
                <w:webHidden/>
              </w:rPr>
              <w:fldChar w:fldCharType="separate"/>
            </w:r>
            <w:r>
              <w:rPr>
                <w:noProof/>
                <w:webHidden/>
              </w:rPr>
              <w:t>14</w:t>
            </w:r>
            <w:r>
              <w:rPr>
                <w:noProof/>
                <w:webHidden/>
              </w:rPr>
              <w:fldChar w:fldCharType="end"/>
            </w:r>
          </w:hyperlink>
        </w:p>
        <w:p w14:paraId="3E007E3E" w14:textId="39561FE1"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76" w:history="1">
            <w:r w:rsidRPr="00C81357">
              <w:rPr>
                <w:rStyle w:val="Hyperlink"/>
                <w:noProof/>
              </w:rPr>
              <w:t>Safety</w:t>
            </w:r>
            <w:r>
              <w:rPr>
                <w:noProof/>
                <w:webHidden/>
              </w:rPr>
              <w:tab/>
            </w:r>
            <w:r>
              <w:rPr>
                <w:noProof/>
                <w:webHidden/>
              </w:rPr>
              <w:fldChar w:fldCharType="begin"/>
            </w:r>
            <w:r>
              <w:rPr>
                <w:noProof/>
                <w:webHidden/>
              </w:rPr>
              <w:instrText xml:space="preserve"> PAGEREF _Toc238032176 \h </w:instrText>
            </w:r>
            <w:r>
              <w:rPr>
                <w:noProof/>
                <w:webHidden/>
              </w:rPr>
            </w:r>
            <w:r>
              <w:rPr>
                <w:noProof/>
                <w:webHidden/>
              </w:rPr>
              <w:fldChar w:fldCharType="separate"/>
            </w:r>
            <w:r>
              <w:rPr>
                <w:noProof/>
                <w:webHidden/>
              </w:rPr>
              <w:t>20</w:t>
            </w:r>
            <w:r>
              <w:rPr>
                <w:noProof/>
                <w:webHidden/>
              </w:rPr>
              <w:fldChar w:fldCharType="end"/>
            </w:r>
          </w:hyperlink>
        </w:p>
        <w:p w14:paraId="33F7F514" w14:textId="1DBC12F6"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77" w:history="1">
            <w:r w:rsidRPr="00C81357">
              <w:rPr>
                <w:rStyle w:val="Hyperlink"/>
                <w:noProof/>
                <w:lang w:eastAsia="en-AU"/>
              </w:rPr>
              <w:t>Risk management plan</w:t>
            </w:r>
            <w:r>
              <w:rPr>
                <w:noProof/>
                <w:webHidden/>
              </w:rPr>
              <w:tab/>
            </w:r>
            <w:r>
              <w:rPr>
                <w:noProof/>
                <w:webHidden/>
              </w:rPr>
              <w:fldChar w:fldCharType="begin"/>
            </w:r>
            <w:r>
              <w:rPr>
                <w:noProof/>
                <w:webHidden/>
              </w:rPr>
              <w:instrText xml:space="preserve"> PAGEREF _Toc238032177 \h </w:instrText>
            </w:r>
            <w:r>
              <w:rPr>
                <w:noProof/>
                <w:webHidden/>
              </w:rPr>
            </w:r>
            <w:r>
              <w:rPr>
                <w:noProof/>
                <w:webHidden/>
              </w:rPr>
              <w:fldChar w:fldCharType="separate"/>
            </w:r>
            <w:r>
              <w:rPr>
                <w:noProof/>
                <w:webHidden/>
              </w:rPr>
              <w:t>22</w:t>
            </w:r>
            <w:r>
              <w:rPr>
                <w:noProof/>
                <w:webHidden/>
              </w:rPr>
              <w:fldChar w:fldCharType="end"/>
            </w:r>
          </w:hyperlink>
        </w:p>
        <w:p w14:paraId="4A81D0F7" w14:textId="76D06A28"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78" w:history="1">
            <w:r w:rsidRPr="00C81357">
              <w:rPr>
                <w:rStyle w:val="Hyperlink"/>
                <w:noProof/>
              </w:rPr>
              <w:t>Risk-benefit analysis</w:t>
            </w:r>
            <w:r>
              <w:rPr>
                <w:noProof/>
                <w:webHidden/>
              </w:rPr>
              <w:tab/>
            </w:r>
            <w:r>
              <w:rPr>
                <w:noProof/>
                <w:webHidden/>
              </w:rPr>
              <w:fldChar w:fldCharType="begin"/>
            </w:r>
            <w:r>
              <w:rPr>
                <w:noProof/>
                <w:webHidden/>
              </w:rPr>
              <w:instrText xml:space="preserve"> PAGEREF _Toc238032178 \h </w:instrText>
            </w:r>
            <w:r>
              <w:rPr>
                <w:noProof/>
                <w:webHidden/>
              </w:rPr>
            </w:r>
            <w:r>
              <w:rPr>
                <w:noProof/>
                <w:webHidden/>
              </w:rPr>
              <w:fldChar w:fldCharType="separate"/>
            </w:r>
            <w:r>
              <w:rPr>
                <w:noProof/>
                <w:webHidden/>
              </w:rPr>
              <w:t>23</w:t>
            </w:r>
            <w:r>
              <w:rPr>
                <w:noProof/>
                <w:webHidden/>
              </w:rPr>
              <w:fldChar w:fldCharType="end"/>
            </w:r>
          </w:hyperlink>
        </w:p>
        <w:p w14:paraId="713A5F41" w14:textId="7EA31552"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79" w:history="1">
            <w:r w:rsidRPr="00C81357">
              <w:rPr>
                <w:rStyle w:val="Hyperlink"/>
                <w:noProof/>
              </w:rPr>
              <w:t>Delegate’s considerations</w:t>
            </w:r>
            <w:r>
              <w:rPr>
                <w:noProof/>
                <w:webHidden/>
              </w:rPr>
              <w:tab/>
            </w:r>
            <w:r>
              <w:rPr>
                <w:noProof/>
                <w:webHidden/>
              </w:rPr>
              <w:fldChar w:fldCharType="begin"/>
            </w:r>
            <w:r>
              <w:rPr>
                <w:noProof/>
                <w:webHidden/>
              </w:rPr>
              <w:instrText xml:space="preserve"> PAGEREF _Toc238032179 \h </w:instrText>
            </w:r>
            <w:r>
              <w:rPr>
                <w:noProof/>
                <w:webHidden/>
              </w:rPr>
            </w:r>
            <w:r>
              <w:rPr>
                <w:noProof/>
                <w:webHidden/>
              </w:rPr>
              <w:fldChar w:fldCharType="separate"/>
            </w:r>
            <w:r>
              <w:rPr>
                <w:noProof/>
                <w:webHidden/>
              </w:rPr>
              <w:t>23</w:t>
            </w:r>
            <w:r>
              <w:rPr>
                <w:noProof/>
                <w:webHidden/>
              </w:rPr>
              <w:fldChar w:fldCharType="end"/>
            </w:r>
          </w:hyperlink>
        </w:p>
        <w:p w14:paraId="67654469" w14:textId="30EDA4D1" w:rsidR="00120F3F" w:rsidRDefault="00120F3F">
          <w:pPr>
            <w:pStyle w:val="TOC3"/>
            <w:rPr>
              <w:rFonts w:asciiTheme="minorHAnsi" w:eastAsiaTheme="minorEastAsia" w:hAnsiTheme="minorHAnsi" w:cstheme="minorBidi"/>
              <w:b w:val="0"/>
              <w:noProof/>
              <w:color w:val="auto"/>
              <w:kern w:val="2"/>
              <w:sz w:val="24"/>
              <w:szCs w:val="24"/>
              <w:lang w:eastAsia="en-AU"/>
              <w14:ligatures w14:val="standardContextual"/>
            </w:rPr>
          </w:pPr>
          <w:hyperlink w:anchor="_Toc238032180" w:history="1">
            <w:r w:rsidRPr="00C81357">
              <w:rPr>
                <w:rStyle w:val="Hyperlink"/>
                <w:noProof/>
              </w:rPr>
              <w:t>Proposed action</w:t>
            </w:r>
            <w:r>
              <w:rPr>
                <w:noProof/>
                <w:webHidden/>
              </w:rPr>
              <w:tab/>
            </w:r>
            <w:r>
              <w:rPr>
                <w:noProof/>
                <w:webHidden/>
              </w:rPr>
              <w:fldChar w:fldCharType="begin"/>
            </w:r>
            <w:r>
              <w:rPr>
                <w:noProof/>
                <w:webHidden/>
              </w:rPr>
              <w:instrText xml:space="preserve"> PAGEREF _Toc238032180 \h </w:instrText>
            </w:r>
            <w:r>
              <w:rPr>
                <w:noProof/>
                <w:webHidden/>
              </w:rPr>
            </w:r>
            <w:r>
              <w:rPr>
                <w:noProof/>
                <w:webHidden/>
              </w:rPr>
              <w:fldChar w:fldCharType="separate"/>
            </w:r>
            <w:r>
              <w:rPr>
                <w:noProof/>
                <w:webHidden/>
              </w:rPr>
              <w:t>24</w:t>
            </w:r>
            <w:r>
              <w:rPr>
                <w:noProof/>
                <w:webHidden/>
              </w:rPr>
              <w:fldChar w:fldCharType="end"/>
            </w:r>
          </w:hyperlink>
        </w:p>
        <w:p w14:paraId="32FE5D77" w14:textId="3E8CD30B" w:rsidR="00120F3F" w:rsidRDefault="00120F3F">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38032181" w:history="1">
            <w:r w:rsidRPr="00C81357">
              <w:rPr>
                <w:rStyle w:val="Hyperlink"/>
                <w:noProof/>
              </w:rPr>
              <w:t>Assessment outcome</w:t>
            </w:r>
            <w:r>
              <w:rPr>
                <w:noProof/>
                <w:webHidden/>
              </w:rPr>
              <w:tab/>
            </w:r>
            <w:r>
              <w:rPr>
                <w:noProof/>
                <w:webHidden/>
              </w:rPr>
              <w:fldChar w:fldCharType="begin"/>
            </w:r>
            <w:r>
              <w:rPr>
                <w:noProof/>
                <w:webHidden/>
              </w:rPr>
              <w:instrText xml:space="preserve"> PAGEREF _Toc238032181 \h </w:instrText>
            </w:r>
            <w:r>
              <w:rPr>
                <w:noProof/>
                <w:webHidden/>
              </w:rPr>
            </w:r>
            <w:r>
              <w:rPr>
                <w:noProof/>
                <w:webHidden/>
              </w:rPr>
              <w:fldChar w:fldCharType="separate"/>
            </w:r>
            <w:r>
              <w:rPr>
                <w:noProof/>
                <w:webHidden/>
              </w:rPr>
              <w:t>24</w:t>
            </w:r>
            <w:r>
              <w:rPr>
                <w:noProof/>
                <w:webHidden/>
              </w:rPr>
              <w:fldChar w:fldCharType="end"/>
            </w:r>
          </w:hyperlink>
        </w:p>
        <w:p w14:paraId="63547898" w14:textId="16EE9990"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82" w:history="1">
            <w:r w:rsidRPr="00C81357">
              <w:rPr>
                <w:rStyle w:val="Hyperlink"/>
                <w:noProof/>
              </w:rPr>
              <w:t>Specific conditions of registration</w:t>
            </w:r>
            <w:r>
              <w:rPr>
                <w:noProof/>
                <w:webHidden/>
              </w:rPr>
              <w:tab/>
            </w:r>
            <w:r>
              <w:rPr>
                <w:noProof/>
                <w:webHidden/>
              </w:rPr>
              <w:fldChar w:fldCharType="begin"/>
            </w:r>
            <w:r>
              <w:rPr>
                <w:noProof/>
                <w:webHidden/>
              </w:rPr>
              <w:instrText xml:space="preserve"> PAGEREF _Toc238032182 \h </w:instrText>
            </w:r>
            <w:r>
              <w:rPr>
                <w:noProof/>
                <w:webHidden/>
              </w:rPr>
            </w:r>
            <w:r>
              <w:rPr>
                <w:noProof/>
                <w:webHidden/>
              </w:rPr>
              <w:fldChar w:fldCharType="separate"/>
            </w:r>
            <w:r>
              <w:rPr>
                <w:noProof/>
                <w:webHidden/>
              </w:rPr>
              <w:t>24</w:t>
            </w:r>
            <w:r>
              <w:rPr>
                <w:noProof/>
                <w:webHidden/>
              </w:rPr>
              <w:fldChar w:fldCharType="end"/>
            </w:r>
          </w:hyperlink>
        </w:p>
        <w:p w14:paraId="3AA33B4E" w14:textId="60CC7101" w:rsidR="00120F3F" w:rsidRDefault="00120F3F">
          <w:pPr>
            <w:pStyle w:val="TOC2"/>
            <w:rPr>
              <w:rFonts w:asciiTheme="minorHAnsi" w:eastAsiaTheme="minorEastAsia" w:hAnsiTheme="minorHAnsi" w:cstheme="minorBidi"/>
              <w:b w:val="0"/>
              <w:noProof/>
              <w:color w:val="auto"/>
              <w:kern w:val="2"/>
              <w:sz w:val="24"/>
              <w:szCs w:val="24"/>
              <w:lang w:eastAsia="en-AU"/>
              <w14:ligatures w14:val="standardContextual"/>
            </w:rPr>
          </w:pPr>
          <w:hyperlink w:anchor="_Toc238032183" w:history="1">
            <w:r w:rsidRPr="00C81357">
              <w:rPr>
                <w:rStyle w:val="Hyperlink"/>
                <w:noProof/>
              </w:rPr>
              <w:t>Product Information and Consumer Medicine Information</w:t>
            </w:r>
            <w:r>
              <w:rPr>
                <w:noProof/>
                <w:webHidden/>
              </w:rPr>
              <w:tab/>
            </w:r>
            <w:r>
              <w:rPr>
                <w:noProof/>
                <w:webHidden/>
              </w:rPr>
              <w:fldChar w:fldCharType="begin"/>
            </w:r>
            <w:r>
              <w:rPr>
                <w:noProof/>
                <w:webHidden/>
              </w:rPr>
              <w:instrText xml:space="preserve"> PAGEREF _Toc238032183 \h </w:instrText>
            </w:r>
            <w:r>
              <w:rPr>
                <w:noProof/>
                <w:webHidden/>
              </w:rPr>
            </w:r>
            <w:r>
              <w:rPr>
                <w:noProof/>
                <w:webHidden/>
              </w:rPr>
              <w:fldChar w:fldCharType="separate"/>
            </w:r>
            <w:r>
              <w:rPr>
                <w:noProof/>
                <w:webHidden/>
              </w:rPr>
              <w:t>25</w:t>
            </w:r>
            <w:r>
              <w:rPr>
                <w:noProof/>
                <w:webHidden/>
              </w:rPr>
              <w:fldChar w:fldCharType="end"/>
            </w:r>
          </w:hyperlink>
        </w:p>
        <w:p w14:paraId="77659F2D" w14:textId="2327023E" w:rsidR="00F02AEC" w:rsidRPr="00215D48" w:rsidRDefault="00F02AEC" w:rsidP="007452E8">
          <w:r w:rsidRPr="00215D48">
            <w:fldChar w:fldCharType="end"/>
          </w:r>
        </w:p>
      </w:sdtContent>
    </w:sdt>
    <w:p w14:paraId="10987AE2" w14:textId="77777777" w:rsidR="00F02AEC" w:rsidRPr="00215D48" w:rsidRDefault="00F02AEC" w:rsidP="007452E8">
      <w:r w:rsidRPr="00215D48">
        <w:br w:type="page"/>
      </w:r>
    </w:p>
    <w:p w14:paraId="1E73AB93" w14:textId="77777777" w:rsidR="00324B33" w:rsidRDefault="00324B33" w:rsidP="00324B33">
      <w:pPr>
        <w:pStyle w:val="Heading2"/>
      </w:pPr>
      <w:bookmarkStart w:id="0" w:name="_Toc98931917"/>
      <w:bookmarkStart w:id="1" w:name="_Toc103679287"/>
      <w:bookmarkStart w:id="2" w:name="_Toc238032158"/>
      <w:bookmarkStart w:id="3" w:name="_Toc323739589"/>
      <w:bookmarkStart w:id="4" w:name="_Toc356305216"/>
      <w:r>
        <w:lastRenderedPageBreak/>
        <w:t>List of abbreviations</w:t>
      </w:r>
      <w:bookmarkEnd w:id="0"/>
      <w:bookmarkEnd w:id="1"/>
      <w:bookmarkEnd w:id="2"/>
    </w:p>
    <w:tbl>
      <w:tblPr>
        <w:tblStyle w:val="TableTGAblue2023"/>
        <w:tblW w:w="5000" w:type="pct"/>
        <w:tblLook w:val="04A0" w:firstRow="1" w:lastRow="0" w:firstColumn="1" w:lastColumn="0" w:noHBand="0" w:noVBand="1"/>
      </w:tblPr>
      <w:tblGrid>
        <w:gridCol w:w="2174"/>
        <w:gridCol w:w="6886"/>
      </w:tblGrid>
      <w:tr w:rsidR="00324B33" w:rsidRPr="00D01DDB" w14:paraId="2117AEF6" w14:textId="77777777" w:rsidTr="00BD5DBD">
        <w:trPr>
          <w:cnfStyle w:val="100000000000" w:firstRow="1" w:lastRow="0" w:firstColumn="0" w:lastColumn="0" w:oddVBand="0" w:evenVBand="0" w:oddHBand="0"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00" w:type="pct"/>
          </w:tcPr>
          <w:p w14:paraId="1207B6A7" w14:textId="67F7D360" w:rsidR="00324B33" w:rsidRPr="00D01DDB" w:rsidRDefault="00324B33" w:rsidP="00324B33">
            <w:pPr>
              <w:rPr>
                <w:szCs w:val="22"/>
              </w:rPr>
            </w:pPr>
            <w:r w:rsidRPr="00D01DDB">
              <w:rPr>
                <w:szCs w:val="22"/>
              </w:rPr>
              <w:t>Abbreviation</w:t>
            </w:r>
          </w:p>
        </w:tc>
        <w:tc>
          <w:tcPr>
            <w:tcW w:w="3800" w:type="pct"/>
          </w:tcPr>
          <w:p w14:paraId="4CF6D0CD" w14:textId="2974FA0B"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Meaning</w:t>
            </w:r>
          </w:p>
        </w:tc>
      </w:tr>
      <w:tr w:rsidR="00E77996" w:rsidRPr="00D01DDB" w14:paraId="3CE0B76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3335D51" w14:textId="7675B20F" w:rsidR="00E77996" w:rsidRPr="00D01DDB" w:rsidRDefault="00E77996" w:rsidP="00324B33">
            <w:pPr>
              <w:rPr>
                <w:szCs w:val="22"/>
              </w:rPr>
            </w:pPr>
            <w:r>
              <w:rPr>
                <w:szCs w:val="22"/>
              </w:rPr>
              <w:t>AE</w:t>
            </w:r>
          </w:p>
        </w:tc>
        <w:tc>
          <w:tcPr>
            <w:tcW w:w="3800" w:type="pct"/>
          </w:tcPr>
          <w:p w14:paraId="248FD4BA" w14:textId="3994C110" w:rsidR="00E77996" w:rsidRPr="00D01DDB" w:rsidRDefault="00E77996"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Adverse event</w:t>
            </w:r>
          </w:p>
        </w:tc>
      </w:tr>
      <w:tr w:rsidR="00907B84" w:rsidRPr="00D01DDB" w14:paraId="0B6617E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BAE400B" w14:textId="66B0F268" w:rsidR="00907B84" w:rsidRPr="00D01DDB" w:rsidRDefault="00907B84" w:rsidP="00324B33">
            <w:pPr>
              <w:rPr>
                <w:szCs w:val="22"/>
              </w:rPr>
            </w:pPr>
            <w:r w:rsidRPr="00907B84">
              <w:rPr>
                <w:iCs/>
                <w:szCs w:val="22"/>
              </w:rPr>
              <w:t>AE-QoL</w:t>
            </w:r>
          </w:p>
        </w:tc>
        <w:tc>
          <w:tcPr>
            <w:tcW w:w="3800" w:type="pct"/>
          </w:tcPr>
          <w:p w14:paraId="16DBDAD0" w14:textId="35559972" w:rsidR="00907B84" w:rsidRPr="00D01DDB" w:rsidRDefault="00C575F5" w:rsidP="00324B33">
            <w:pPr>
              <w:cnfStyle w:val="000000000000" w:firstRow="0" w:lastRow="0" w:firstColumn="0" w:lastColumn="0" w:oddVBand="0" w:evenVBand="0" w:oddHBand="0" w:evenHBand="0" w:firstRowFirstColumn="0" w:firstRowLastColumn="0" w:lastRowFirstColumn="0" w:lastRowLastColumn="0"/>
              <w:rPr>
                <w:szCs w:val="22"/>
              </w:rPr>
            </w:pPr>
            <w:r w:rsidRPr="00C575F5">
              <w:rPr>
                <w:szCs w:val="22"/>
              </w:rPr>
              <w:t>Angioedema quality of life</w:t>
            </w:r>
          </w:p>
        </w:tc>
      </w:tr>
      <w:tr w:rsidR="009F118E" w:rsidRPr="00D01DDB" w14:paraId="075271D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5F5A383" w14:textId="77A3A874" w:rsidR="009F118E" w:rsidRPr="00907B84" w:rsidRDefault="009F118E" w:rsidP="00324B33">
            <w:pPr>
              <w:rPr>
                <w:iCs/>
                <w:szCs w:val="22"/>
              </w:rPr>
            </w:pPr>
            <w:r>
              <w:rPr>
                <w:iCs/>
                <w:szCs w:val="22"/>
              </w:rPr>
              <w:t>ALT</w:t>
            </w:r>
          </w:p>
        </w:tc>
        <w:tc>
          <w:tcPr>
            <w:tcW w:w="3800" w:type="pct"/>
          </w:tcPr>
          <w:p w14:paraId="5B8E90B6" w14:textId="6FA21A4B" w:rsidR="009F118E" w:rsidRPr="00C575F5" w:rsidRDefault="00C066DE" w:rsidP="00324B33">
            <w:pPr>
              <w:cnfStyle w:val="000000000000" w:firstRow="0" w:lastRow="0" w:firstColumn="0" w:lastColumn="0" w:oddVBand="0" w:evenVBand="0" w:oddHBand="0" w:evenHBand="0" w:firstRowFirstColumn="0" w:firstRowLastColumn="0" w:lastRowFirstColumn="0" w:lastRowLastColumn="0"/>
              <w:rPr>
                <w:szCs w:val="22"/>
              </w:rPr>
            </w:pPr>
            <w:r w:rsidRPr="00C066DE">
              <w:rPr>
                <w:szCs w:val="22"/>
              </w:rPr>
              <w:t>Alanine aminotransferase</w:t>
            </w:r>
          </w:p>
        </w:tc>
      </w:tr>
      <w:tr w:rsidR="00324B33" w:rsidRPr="00D01DDB" w14:paraId="6965466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43A7AEA" w14:textId="6D49EBE6" w:rsidR="00324B33" w:rsidRPr="00D01DDB" w:rsidRDefault="00324B33" w:rsidP="00324B33">
            <w:pPr>
              <w:rPr>
                <w:szCs w:val="22"/>
              </w:rPr>
            </w:pPr>
            <w:r w:rsidRPr="00D01DDB">
              <w:rPr>
                <w:szCs w:val="22"/>
              </w:rPr>
              <w:t>ARTG</w:t>
            </w:r>
          </w:p>
        </w:tc>
        <w:tc>
          <w:tcPr>
            <w:tcW w:w="3800" w:type="pct"/>
          </w:tcPr>
          <w:p w14:paraId="228A203A" w14:textId="47EBCFA3"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Australian Register of Therapeutic Goods</w:t>
            </w:r>
          </w:p>
        </w:tc>
      </w:tr>
      <w:tr w:rsidR="00324B33" w:rsidRPr="00D01DDB" w14:paraId="0536676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0516A80" w14:textId="1329E9D5" w:rsidR="00324B33" w:rsidRPr="00D01DDB" w:rsidRDefault="00324B33" w:rsidP="00324B33">
            <w:pPr>
              <w:rPr>
                <w:szCs w:val="22"/>
              </w:rPr>
            </w:pPr>
            <w:r w:rsidRPr="00D01DDB">
              <w:rPr>
                <w:szCs w:val="22"/>
              </w:rPr>
              <w:t>ASA</w:t>
            </w:r>
          </w:p>
        </w:tc>
        <w:tc>
          <w:tcPr>
            <w:tcW w:w="3800" w:type="pct"/>
          </w:tcPr>
          <w:p w14:paraId="4E6F5284" w14:textId="21C063B1"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Australia</w:t>
            </w:r>
            <w:r w:rsidR="00873D7A">
              <w:rPr>
                <w:szCs w:val="22"/>
              </w:rPr>
              <w:noBreakHyphen/>
            </w:r>
            <w:r w:rsidRPr="00D01DDB">
              <w:rPr>
                <w:szCs w:val="22"/>
              </w:rPr>
              <w:t>specific annex</w:t>
            </w:r>
          </w:p>
        </w:tc>
      </w:tr>
      <w:tr w:rsidR="00010E1F" w:rsidRPr="00D01DDB" w14:paraId="75CC861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BC9C8E4" w14:textId="3685F13D" w:rsidR="00010E1F" w:rsidRPr="00D01DDB" w:rsidRDefault="00010E1F" w:rsidP="00324B33">
            <w:pPr>
              <w:rPr>
                <w:szCs w:val="22"/>
              </w:rPr>
            </w:pPr>
            <w:r>
              <w:rPr>
                <w:szCs w:val="22"/>
              </w:rPr>
              <w:t>ASO</w:t>
            </w:r>
          </w:p>
        </w:tc>
        <w:tc>
          <w:tcPr>
            <w:tcW w:w="3800" w:type="pct"/>
          </w:tcPr>
          <w:p w14:paraId="272C9E95" w14:textId="0568FE8E" w:rsidR="00010E1F" w:rsidRPr="00D01DDB" w:rsidRDefault="00010E1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w:t>
            </w:r>
            <w:r w:rsidRPr="00010E1F">
              <w:rPr>
                <w:szCs w:val="22"/>
              </w:rPr>
              <w:t>ntisense oligonucleotide</w:t>
            </w:r>
          </w:p>
        </w:tc>
      </w:tr>
      <w:tr w:rsidR="00CD4E89" w:rsidRPr="00D01DDB" w14:paraId="1F5E35D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67DC384" w14:textId="6BCA22C7" w:rsidR="00CD4E89" w:rsidRPr="00D01DDB" w:rsidRDefault="00CD4E89" w:rsidP="00324B33">
            <w:pPr>
              <w:rPr>
                <w:szCs w:val="22"/>
              </w:rPr>
            </w:pPr>
            <w:r>
              <w:rPr>
                <w:szCs w:val="22"/>
              </w:rPr>
              <w:t>C1-INH</w:t>
            </w:r>
          </w:p>
        </w:tc>
        <w:tc>
          <w:tcPr>
            <w:tcW w:w="3800" w:type="pct"/>
          </w:tcPr>
          <w:p w14:paraId="01C28B14" w14:textId="65DBA1FA" w:rsidR="00CD4E89" w:rsidRPr="00D01DDB" w:rsidRDefault="00CD4E89"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w:t>
            </w:r>
            <w:r w:rsidR="00A93051">
              <w:rPr>
                <w:szCs w:val="22"/>
              </w:rPr>
              <w:t>1</w:t>
            </w:r>
            <w:r>
              <w:rPr>
                <w:szCs w:val="22"/>
              </w:rPr>
              <w:t xml:space="preserve"> inhibitor</w:t>
            </w:r>
          </w:p>
        </w:tc>
      </w:tr>
      <w:tr w:rsidR="00C058BB" w:rsidRPr="00D01DDB" w14:paraId="2833B36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5C61CF9" w14:textId="1402A642" w:rsidR="00C058BB" w:rsidRDefault="00C058BB" w:rsidP="00324B33">
            <w:pPr>
              <w:rPr>
                <w:szCs w:val="22"/>
              </w:rPr>
            </w:pPr>
            <w:r>
              <w:rPr>
                <w:szCs w:val="22"/>
              </w:rPr>
              <w:t>CI</w:t>
            </w:r>
          </w:p>
        </w:tc>
        <w:tc>
          <w:tcPr>
            <w:tcW w:w="3800" w:type="pct"/>
          </w:tcPr>
          <w:p w14:paraId="6C523121" w14:textId="65E02B43" w:rsidR="00C058BB" w:rsidRDefault="00C058BB"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Confidence interval</w:t>
            </w:r>
          </w:p>
        </w:tc>
      </w:tr>
      <w:tr w:rsidR="005E2389" w:rsidRPr="00D01DDB" w14:paraId="0100B1B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ADF9CFE" w14:textId="12AEF554" w:rsidR="005E2389" w:rsidRDefault="005E2389" w:rsidP="00324B33">
            <w:pPr>
              <w:rPr>
                <w:szCs w:val="22"/>
              </w:rPr>
            </w:pPr>
            <w:r w:rsidRPr="005E2389">
              <w:rPr>
                <w:szCs w:val="22"/>
              </w:rPr>
              <w:t>CL/F</w:t>
            </w:r>
          </w:p>
        </w:tc>
        <w:tc>
          <w:tcPr>
            <w:tcW w:w="3800" w:type="pct"/>
          </w:tcPr>
          <w:p w14:paraId="6F96A339" w14:textId="07124DED" w:rsidR="005E2389" w:rsidRDefault="00175EB5" w:rsidP="00324B33">
            <w:pPr>
              <w:cnfStyle w:val="000000000000" w:firstRow="0" w:lastRow="0" w:firstColumn="0" w:lastColumn="0" w:oddVBand="0" w:evenVBand="0" w:oddHBand="0" w:evenHBand="0" w:firstRowFirstColumn="0" w:firstRowLastColumn="0" w:lastRowFirstColumn="0" w:lastRowLastColumn="0"/>
              <w:rPr>
                <w:szCs w:val="22"/>
              </w:rPr>
            </w:pPr>
            <w:r w:rsidRPr="00175EB5">
              <w:rPr>
                <w:szCs w:val="22"/>
              </w:rPr>
              <w:t>Apparent clearance</w:t>
            </w:r>
          </w:p>
        </w:tc>
      </w:tr>
      <w:tr w:rsidR="00395140" w:rsidRPr="00D01DDB" w14:paraId="7694A4E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AC18809" w14:textId="14711A93" w:rsidR="00395140" w:rsidRPr="00D01DDB" w:rsidRDefault="00395140" w:rsidP="00324B33">
            <w:pPr>
              <w:rPr>
                <w:szCs w:val="22"/>
              </w:rPr>
            </w:pPr>
            <w:r w:rsidRPr="00D01DDB">
              <w:rPr>
                <w:szCs w:val="22"/>
              </w:rPr>
              <w:t>CMI</w:t>
            </w:r>
          </w:p>
        </w:tc>
        <w:tc>
          <w:tcPr>
            <w:tcW w:w="3800" w:type="pct"/>
          </w:tcPr>
          <w:p w14:paraId="5D8C9DF5" w14:textId="60C23379" w:rsidR="00395140" w:rsidRPr="00D01DDB" w:rsidRDefault="00395140"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Consumer Medicines Information</w:t>
            </w:r>
          </w:p>
        </w:tc>
      </w:tr>
      <w:tr w:rsidR="00121B10" w:rsidRPr="00D01DDB" w14:paraId="5AF2390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A891B82" w14:textId="0C33BC25" w:rsidR="00121B10" w:rsidRPr="00D01DDB" w:rsidRDefault="00121B10" w:rsidP="00324B33">
            <w:pPr>
              <w:rPr>
                <w:szCs w:val="22"/>
              </w:rPr>
            </w:pPr>
            <w:r>
              <w:rPr>
                <w:szCs w:val="22"/>
              </w:rPr>
              <w:t>CNS</w:t>
            </w:r>
          </w:p>
        </w:tc>
        <w:tc>
          <w:tcPr>
            <w:tcW w:w="3800" w:type="pct"/>
          </w:tcPr>
          <w:p w14:paraId="78F14508" w14:textId="32D92F3D" w:rsidR="00121B10" w:rsidRPr="00D01DDB" w:rsidRDefault="00121B1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C</w:t>
            </w:r>
            <w:r w:rsidRPr="00121B10">
              <w:rPr>
                <w:szCs w:val="22"/>
              </w:rPr>
              <w:t>entral nervous systems</w:t>
            </w:r>
          </w:p>
        </w:tc>
      </w:tr>
      <w:tr w:rsidR="00CD0FAF" w:rsidRPr="00D01DDB" w14:paraId="6D93E3E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2C87C75" w14:textId="15B4A03B" w:rsidR="00CD0FAF" w:rsidRDefault="00CD0FAF" w:rsidP="00324B33">
            <w:pPr>
              <w:rPr>
                <w:szCs w:val="22"/>
              </w:rPr>
            </w:pPr>
            <w:r>
              <w:rPr>
                <w:szCs w:val="22"/>
              </w:rPr>
              <w:t>CYP</w:t>
            </w:r>
          </w:p>
        </w:tc>
        <w:tc>
          <w:tcPr>
            <w:tcW w:w="3800" w:type="pct"/>
          </w:tcPr>
          <w:p w14:paraId="205B673A" w14:textId="27CE974B" w:rsidR="00CD0FAF" w:rsidRDefault="00CD0FAF" w:rsidP="00324B33">
            <w:pPr>
              <w:cnfStyle w:val="000000000000" w:firstRow="0" w:lastRow="0" w:firstColumn="0" w:lastColumn="0" w:oddVBand="0" w:evenVBand="0" w:oddHBand="0" w:evenHBand="0" w:firstRowFirstColumn="0" w:firstRowLastColumn="0" w:lastRowFirstColumn="0" w:lastRowLastColumn="0"/>
              <w:rPr>
                <w:szCs w:val="22"/>
              </w:rPr>
            </w:pPr>
            <w:r w:rsidRPr="00CD0FAF">
              <w:rPr>
                <w:szCs w:val="22"/>
              </w:rPr>
              <w:t xml:space="preserve">Cytochrome P450 </w:t>
            </w:r>
            <w:r>
              <w:rPr>
                <w:szCs w:val="22"/>
              </w:rPr>
              <w:t>(</w:t>
            </w:r>
            <w:r w:rsidRPr="00CD0FAF">
              <w:rPr>
                <w:szCs w:val="22"/>
              </w:rPr>
              <w:t>enzymes</w:t>
            </w:r>
            <w:r>
              <w:rPr>
                <w:szCs w:val="22"/>
              </w:rPr>
              <w:t>)</w:t>
            </w:r>
          </w:p>
        </w:tc>
      </w:tr>
      <w:tr w:rsidR="00324B33" w:rsidRPr="00D01DDB" w14:paraId="7B87377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CE05B04" w14:textId="0D6731AA" w:rsidR="00324B33" w:rsidRPr="00D01DDB" w:rsidRDefault="00324B33" w:rsidP="00324B33">
            <w:pPr>
              <w:rPr>
                <w:szCs w:val="22"/>
              </w:rPr>
            </w:pPr>
            <w:r w:rsidRPr="00D01DDB">
              <w:rPr>
                <w:szCs w:val="22"/>
              </w:rPr>
              <w:t>DLP</w:t>
            </w:r>
          </w:p>
        </w:tc>
        <w:tc>
          <w:tcPr>
            <w:tcW w:w="3800" w:type="pct"/>
          </w:tcPr>
          <w:p w14:paraId="26109D0B" w14:textId="4AE8F60A"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Data lock point</w:t>
            </w:r>
          </w:p>
        </w:tc>
      </w:tr>
      <w:tr w:rsidR="003854BE" w:rsidRPr="00D01DDB" w14:paraId="45072D4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DA867EB" w14:textId="3319CF46" w:rsidR="003854BE" w:rsidRPr="00D01DDB" w:rsidRDefault="003854BE" w:rsidP="00324B33">
            <w:pPr>
              <w:rPr>
                <w:szCs w:val="22"/>
              </w:rPr>
            </w:pPr>
            <w:r>
              <w:rPr>
                <w:szCs w:val="22"/>
              </w:rPr>
              <w:t>ECGs</w:t>
            </w:r>
          </w:p>
        </w:tc>
        <w:tc>
          <w:tcPr>
            <w:tcW w:w="3800" w:type="pct"/>
          </w:tcPr>
          <w:p w14:paraId="50A780DB" w14:textId="11AE8A1C" w:rsidR="003854BE" w:rsidRPr="00D01DDB" w:rsidRDefault="00AB310B" w:rsidP="00324B33">
            <w:pPr>
              <w:cnfStyle w:val="000000000000" w:firstRow="0" w:lastRow="0" w:firstColumn="0" w:lastColumn="0" w:oddVBand="0" w:evenVBand="0" w:oddHBand="0" w:evenHBand="0" w:firstRowFirstColumn="0" w:firstRowLastColumn="0" w:lastRowFirstColumn="0" w:lastRowLastColumn="0"/>
              <w:rPr>
                <w:szCs w:val="22"/>
              </w:rPr>
            </w:pPr>
            <w:r w:rsidRPr="00AB310B">
              <w:rPr>
                <w:szCs w:val="22"/>
              </w:rPr>
              <w:t>Electrocardiogram</w:t>
            </w:r>
            <w:r>
              <w:rPr>
                <w:szCs w:val="22"/>
              </w:rPr>
              <w:t>s</w:t>
            </w:r>
          </w:p>
        </w:tc>
      </w:tr>
      <w:tr w:rsidR="00A67756" w:rsidRPr="00D01DDB" w14:paraId="3C2BDAC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20E064C" w14:textId="575DEAB3" w:rsidR="00A67756" w:rsidRPr="00D01DDB" w:rsidRDefault="00A67756" w:rsidP="00324B33">
            <w:pPr>
              <w:rPr>
                <w:szCs w:val="22"/>
              </w:rPr>
            </w:pPr>
            <w:r>
              <w:rPr>
                <w:szCs w:val="22"/>
              </w:rPr>
              <w:t>EMA</w:t>
            </w:r>
          </w:p>
        </w:tc>
        <w:tc>
          <w:tcPr>
            <w:tcW w:w="3800" w:type="pct"/>
          </w:tcPr>
          <w:p w14:paraId="2F146322" w14:textId="68CC81B2" w:rsidR="00A67756" w:rsidRPr="00D01DDB" w:rsidRDefault="00A67756"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European Medicines Agency</w:t>
            </w:r>
          </w:p>
        </w:tc>
      </w:tr>
      <w:tr w:rsidR="00BE614F" w:rsidRPr="00D01DDB" w14:paraId="103C636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0962CDD" w14:textId="3B45E89D" w:rsidR="00BE614F" w:rsidRDefault="00BE614F" w:rsidP="00324B33">
            <w:pPr>
              <w:rPr>
                <w:szCs w:val="22"/>
              </w:rPr>
            </w:pPr>
            <w:r>
              <w:rPr>
                <w:szCs w:val="22"/>
              </w:rPr>
              <w:t>EU</w:t>
            </w:r>
          </w:p>
        </w:tc>
        <w:tc>
          <w:tcPr>
            <w:tcW w:w="3800" w:type="pct"/>
          </w:tcPr>
          <w:p w14:paraId="3C43CDD6" w14:textId="3B60D9F9" w:rsidR="00BE614F" w:rsidRDefault="00BE614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European Union</w:t>
            </w:r>
          </w:p>
        </w:tc>
      </w:tr>
      <w:tr w:rsidR="00906EC2" w:rsidRPr="00D01DDB" w14:paraId="5481F990"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B6E9FAA" w14:textId="194FDE95" w:rsidR="00906EC2" w:rsidRDefault="00906EC2" w:rsidP="00324B33">
            <w:pPr>
              <w:rPr>
                <w:szCs w:val="22"/>
              </w:rPr>
            </w:pPr>
            <w:r w:rsidRPr="00906EC2">
              <w:rPr>
                <w:szCs w:val="22"/>
              </w:rPr>
              <w:t>GLP</w:t>
            </w:r>
          </w:p>
        </w:tc>
        <w:tc>
          <w:tcPr>
            <w:tcW w:w="3800" w:type="pct"/>
          </w:tcPr>
          <w:p w14:paraId="0DF03DDD" w14:textId="6890D19F" w:rsidR="00906EC2" w:rsidRDefault="00906EC2"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Good laboratory practice</w:t>
            </w:r>
          </w:p>
        </w:tc>
      </w:tr>
      <w:tr w:rsidR="00D6180D" w:rsidRPr="00D01DDB" w14:paraId="2202895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6019BA8" w14:textId="63EA9A51" w:rsidR="00D6180D" w:rsidRPr="00D01DDB" w:rsidRDefault="00D6180D" w:rsidP="00324B33">
            <w:pPr>
              <w:rPr>
                <w:szCs w:val="22"/>
              </w:rPr>
            </w:pPr>
            <w:r>
              <w:rPr>
                <w:szCs w:val="22"/>
              </w:rPr>
              <w:t>HAE</w:t>
            </w:r>
          </w:p>
        </w:tc>
        <w:tc>
          <w:tcPr>
            <w:tcW w:w="3800" w:type="pct"/>
          </w:tcPr>
          <w:p w14:paraId="06BD2A0B" w14:textId="684DE7FA" w:rsidR="00D6180D" w:rsidRPr="00D01DDB" w:rsidRDefault="00D6180D" w:rsidP="00324B33">
            <w:pPr>
              <w:cnfStyle w:val="000000000000" w:firstRow="0" w:lastRow="0" w:firstColumn="0" w:lastColumn="0" w:oddVBand="0" w:evenVBand="0" w:oddHBand="0" w:evenHBand="0" w:firstRowFirstColumn="0" w:firstRowLastColumn="0" w:lastRowFirstColumn="0" w:lastRowLastColumn="0"/>
              <w:rPr>
                <w:szCs w:val="22"/>
              </w:rPr>
            </w:pPr>
            <w:r w:rsidRPr="00D6180D">
              <w:rPr>
                <w:szCs w:val="22"/>
              </w:rPr>
              <w:t xml:space="preserve">Hereditary angioedema </w:t>
            </w:r>
          </w:p>
        </w:tc>
      </w:tr>
      <w:tr w:rsidR="00FD27C8" w:rsidRPr="00D01DDB" w14:paraId="0F52F17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71C8658" w14:textId="484A4635" w:rsidR="00FD27C8" w:rsidRDefault="00FD27C8" w:rsidP="00324B33">
            <w:pPr>
              <w:rPr>
                <w:szCs w:val="22"/>
              </w:rPr>
            </w:pPr>
            <w:r>
              <w:rPr>
                <w:szCs w:val="22"/>
              </w:rPr>
              <w:t>HMWK</w:t>
            </w:r>
          </w:p>
        </w:tc>
        <w:tc>
          <w:tcPr>
            <w:tcW w:w="3800" w:type="pct"/>
          </w:tcPr>
          <w:p w14:paraId="0C5AB809" w14:textId="346D5AFC" w:rsidR="00FD27C8" w:rsidRPr="00D6180D" w:rsidRDefault="00FD27C8" w:rsidP="00324B33">
            <w:pPr>
              <w:cnfStyle w:val="000000000000" w:firstRow="0" w:lastRow="0" w:firstColumn="0" w:lastColumn="0" w:oddVBand="0" w:evenVBand="0" w:oddHBand="0" w:evenHBand="0" w:firstRowFirstColumn="0" w:firstRowLastColumn="0" w:lastRowFirstColumn="0" w:lastRowLastColumn="0"/>
              <w:rPr>
                <w:szCs w:val="22"/>
              </w:rPr>
            </w:pPr>
            <w:r w:rsidRPr="00FD27C8">
              <w:rPr>
                <w:szCs w:val="22"/>
              </w:rPr>
              <w:t xml:space="preserve">High </w:t>
            </w:r>
            <w:r w:rsidR="003E3E8F" w:rsidRPr="00FD27C8">
              <w:rPr>
                <w:szCs w:val="22"/>
              </w:rPr>
              <w:t>molecular weight</w:t>
            </w:r>
            <w:r w:rsidRPr="00FD27C8">
              <w:rPr>
                <w:szCs w:val="22"/>
              </w:rPr>
              <w:t xml:space="preserve"> kininogen</w:t>
            </w:r>
          </w:p>
        </w:tc>
      </w:tr>
      <w:tr w:rsidR="007060AE" w:rsidRPr="00D01DDB" w14:paraId="484597E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F2540CA" w14:textId="09D592C8" w:rsidR="007060AE" w:rsidRDefault="007060AE" w:rsidP="00324B33">
            <w:pPr>
              <w:rPr>
                <w:szCs w:val="22"/>
              </w:rPr>
            </w:pPr>
            <w:r>
              <w:rPr>
                <w:szCs w:val="22"/>
              </w:rPr>
              <w:t>ICH</w:t>
            </w:r>
          </w:p>
        </w:tc>
        <w:tc>
          <w:tcPr>
            <w:tcW w:w="3800" w:type="pct"/>
          </w:tcPr>
          <w:p w14:paraId="63337613" w14:textId="31B11419" w:rsidR="007060AE" w:rsidRPr="00D6180D" w:rsidRDefault="00B316F3" w:rsidP="00324B33">
            <w:pPr>
              <w:cnfStyle w:val="000000000000" w:firstRow="0" w:lastRow="0" w:firstColumn="0" w:lastColumn="0" w:oddVBand="0" w:evenVBand="0" w:oddHBand="0" w:evenHBand="0" w:firstRowFirstColumn="0" w:firstRowLastColumn="0" w:lastRowFirstColumn="0" w:lastRowLastColumn="0"/>
              <w:rPr>
                <w:szCs w:val="22"/>
              </w:rPr>
            </w:pPr>
            <w:r w:rsidRPr="00B316F3">
              <w:rPr>
                <w:szCs w:val="22"/>
              </w:rPr>
              <w:t>The International Council for Harmonisation of Technical Requirements for Pharmaceuticals for Human Use </w:t>
            </w:r>
          </w:p>
        </w:tc>
      </w:tr>
      <w:tr w:rsidR="004F6F09" w:rsidRPr="00D01DDB" w14:paraId="2DC97A5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7496C1D" w14:textId="287E8787" w:rsidR="004F6F09" w:rsidRDefault="004F6F09" w:rsidP="00324B33">
            <w:pPr>
              <w:rPr>
                <w:szCs w:val="22"/>
              </w:rPr>
            </w:pPr>
            <w:r>
              <w:rPr>
                <w:szCs w:val="22"/>
              </w:rPr>
              <w:t>IFU</w:t>
            </w:r>
          </w:p>
        </w:tc>
        <w:tc>
          <w:tcPr>
            <w:tcW w:w="3800" w:type="pct"/>
          </w:tcPr>
          <w:p w14:paraId="16C5653C" w14:textId="2399F9A4" w:rsidR="004F6F09" w:rsidRPr="00B316F3" w:rsidRDefault="004F6F09" w:rsidP="00324B33">
            <w:pPr>
              <w:cnfStyle w:val="000000000000" w:firstRow="0" w:lastRow="0" w:firstColumn="0" w:lastColumn="0" w:oddVBand="0" w:evenVBand="0" w:oddHBand="0" w:evenHBand="0" w:firstRowFirstColumn="0" w:firstRowLastColumn="0" w:lastRowFirstColumn="0" w:lastRowLastColumn="0"/>
              <w:rPr>
                <w:szCs w:val="22"/>
              </w:rPr>
            </w:pPr>
            <w:r w:rsidRPr="004F6F09">
              <w:rPr>
                <w:szCs w:val="22"/>
              </w:rPr>
              <w:t>Instruction for Use</w:t>
            </w:r>
          </w:p>
        </w:tc>
      </w:tr>
      <w:tr w:rsidR="002F5530" w:rsidRPr="00D01DDB" w14:paraId="28D23C9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C2E32AD" w14:textId="521BB1AE" w:rsidR="002F5530" w:rsidRDefault="002F5530" w:rsidP="00324B33">
            <w:pPr>
              <w:rPr>
                <w:szCs w:val="22"/>
              </w:rPr>
            </w:pPr>
            <w:r>
              <w:rPr>
                <w:szCs w:val="22"/>
              </w:rPr>
              <w:t>IIV</w:t>
            </w:r>
          </w:p>
        </w:tc>
        <w:tc>
          <w:tcPr>
            <w:tcW w:w="3800" w:type="pct"/>
          </w:tcPr>
          <w:p w14:paraId="135B18C7" w14:textId="5376913F" w:rsidR="002F5530" w:rsidRPr="00B316F3" w:rsidRDefault="002F5530" w:rsidP="00324B33">
            <w:pPr>
              <w:cnfStyle w:val="000000000000" w:firstRow="0" w:lastRow="0" w:firstColumn="0" w:lastColumn="0" w:oddVBand="0" w:evenVBand="0" w:oddHBand="0" w:evenHBand="0" w:firstRowFirstColumn="0" w:firstRowLastColumn="0" w:lastRowFirstColumn="0" w:lastRowLastColumn="0"/>
              <w:rPr>
                <w:szCs w:val="22"/>
              </w:rPr>
            </w:pPr>
            <w:r w:rsidRPr="002F5530">
              <w:rPr>
                <w:szCs w:val="22"/>
              </w:rPr>
              <w:t xml:space="preserve">Interindividual variability </w:t>
            </w:r>
          </w:p>
        </w:tc>
      </w:tr>
      <w:tr w:rsidR="00FF4DA7" w:rsidRPr="00D01DDB" w14:paraId="12D45421"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9771679" w14:textId="32255146" w:rsidR="00FF4DA7" w:rsidRDefault="00FF4DA7" w:rsidP="00324B33">
            <w:pPr>
              <w:rPr>
                <w:szCs w:val="22"/>
              </w:rPr>
            </w:pPr>
            <w:r>
              <w:rPr>
                <w:szCs w:val="22"/>
              </w:rPr>
              <w:t>LLN</w:t>
            </w:r>
          </w:p>
        </w:tc>
        <w:tc>
          <w:tcPr>
            <w:tcW w:w="3800" w:type="pct"/>
          </w:tcPr>
          <w:p w14:paraId="78A5FC7E" w14:textId="5CABAE77" w:rsidR="00FF4DA7" w:rsidRPr="002F5530" w:rsidRDefault="00FF4DA7" w:rsidP="00324B33">
            <w:pPr>
              <w:cnfStyle w:val="000000000000" w:firstRow="0" w:lastRow="0" w:firstColumn="0" w:lastColumn="0" w:oddVBand="0" w:evenVBand="0" w:oddHBand="0" w:evenHBand="0" w:firstRowFirstColumn="0" w:firstRowLastColumn="0" w:lastRowFirstColumn="0" w:lastRowLastColumn="0"/>
              <w:rPr>
                <w:szCs w:val="22"/>
              </w:rPr>
            </w:pPr>
            <w:r>
              <w:rPr>
                <w:szCs w:val="22"/>
                <w:lang w:val="en-NZ"/>
              </w:rPr>
              <w:t>L</w:t>
            </w:r>
            <w:r w:rsidRPr="00FF4DA7">
              <w:rPr>
                <w:szCs w:val="22"/>
                <w:lang w:val="en-NZ"/>
              </w:rPr>
              <w:t xml:space="preserve">ower limit of normal </w:t>
            </w:r>
          </w:p>
        </w:tc>
      </w:tr>
      <w:tr w:rsidR="00D6180D" w:rsidRPr="00D01DDB" w14:paraId="07E0A41E"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72A58B4" w14:textId="38E5ED0A" w:rsidR="00D6180D" w:rsidRPr="00D01DDB" w:rsidRDefault="00DC0140" w:rsidP="00324B33">
            <w:pPr>
              <w:rPr>
                <w:szCs w:val="22"/>
              </w:rPr>
            </w:pPr>
            <w:r>
              <w:rPr>
                <w:szCs w:val="22"/>
              </w:rPr>
              <w:t>LTP</w:t>
            </w:r>
          </w:p>
        </w:tc>
        <w:tc>
          <w:tcPr>
            <w:tcW w:w="3800" w:type="pct"/>
          </w:tcPr>
          <w:p w14:paraId="1E99A877" w14:textId="475AFC2B" w:rsidR="00D6180D" w:rsidRPr="002029B2" w:rsidRDefault="002029B2"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L</w:t>
            </w:r>
            <w:r w:rsidR="00DC0140" w:rsidRPr="002029B2">
              <w:rPr>
                <w:szCs w:val="22"/>
              </w:rPr>
              <w:t xml:space="preserve">ong-term prophylaxis </w:t>
            </w:r>
          </w:p>
        </w:tc>
      </w:tr>
      <w:tr w:rsidR="000728C9" w:rsidRPr="00D01DDB" w14:paraId="5ED1CB2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6A16080" w14:textId="4959A82C" w:rsidR="000728C9" w:rsidRDefault="000728C9" w:rsidP="000728C9">
            <w:pPr>
              <w:rPr>
                <w:szCs w:val="22"/>
              </w:rPr>
            </w:pPr>
            <w:r w:rsidRPr="002665D6">
              <w:rPr>
                <w:rFonts w:cs="Cambria"/>
                <w:szCs w:val="22"/>
              </w:rPr>
              <w:t xml:space="preserve">MMRM </w:t>
            </w:r>
          </w:p>
        </w:tc>
        <w:tc>
          <w:tcPr>
            <w:tcW w:w="3800" w:type="pct"/>
          </w:tcPr>
          <w:p w14:paraId="67FFE3C4" w14:textId="0F9584EB" w:rsidR="000728C9" w:rsidRDefault="000728C9" w:rsidP="000728C9">
            <w:pPr>
              <w:cnfStyle w:val="000000000000" w:firstRow="0" w:lastRow="0" w:firstColumn="0" w:lastColumn="0" w:oddVBand="0" w:evenVBand="0" w:oddHBand="0" w:evenHBand="0" w:firstRowFirstColumn="0" w:firstRowLastColumn="0" w:lastRowFirstColumn="0" w:lastRowLastColumn="0"/>
              <w:rPr>
                <w:szCs w:val="22"/>
              </w:rPr>
            </w:pPr>
            <w:r w:rsidRPr="002665D6">
              <w:rPr>
                <w:rFonts w:cs="Cambria"/>
                <w:szCs w:val="22"/>
              </w:rPr>
              <w:t>Mixed effects model with repeated measures</w:t>
            </w:r>
          </w:p>
        </w:tc>
      </w:tr>
      <w:tr w:rsidR="003848A0" w:rsidRPr="00D01DDB" w14:paraId="7F4F0D6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0366A496" w14:textId="304E5A83" w:rsidR="003848A0" w:rsidRDefault="003848A0" w:rsidP="00324B33">
            <w:pPr>
              <w:rPr>
                <w:szCs w:val="22"/>
              </w:rPr>
            </w:pPr>
            <w:proofErr w:type="spellStart"/>
            <w:r>
              <w:rPr>
                <w:szCs w:val="22"/>
              </w:rPr>
              <w:t>MoA</w:t>
            </w:r>
            <w:proofErr w:type="spellEnd"/>
          </w:p>
        </w:tc>
        <w:tc>
          <w:tcPr>
            <w:tcW w:w="3800" w:type="pct"/>
          </w:tcPr>
          <w:p w14:paraId="13C4C891" w14:textId="27F0807D" w:rsidR="003848A0" w:rsidRDefault="003848A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M</w:t>
            </w:r>
            <w:r w:rsidRPr="003848A0">
              <w:rPr>
                <w:szCs w:val="22"/>
              </w:rPr>
              <w:t>echanism of action</w:t>
            </w:r>
          </w:p>
        </w:tc>
      </w:tr>
      <w:tr w:rsidR="00DE4D7C" w:rsidRPr="00D01DDB" w14:paraId="7243069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DE367E8" w14:textId="17F93562" w:rsidR="00DE4D7C" w:rsidRDefault="00DE4D7C" w:rsidP="00324B33">
            <w:pPr>
              <w:rPr>
                <w:szCs w:val="22"/>
              </w:rPr>
            </w:pPr>
            <w:r w:rsidRPr="00DE4D7C">
              <w:rPr>
                <w:szCs w:val="22"/>
              </w:rPr>
              <w:t>mRNA</w:t>
            </w:r>
          </w:p>
        </w:tc>
        <w:tc>
          <w:tcPr>
            <w:tcW w:w="3800" w:type="pct"/>
          </w:tcPr>
          <w:p w14:paraId="2816157C" w14:textId="36280828" w:rsidR="00DE4D7C" w:rsidRPr="002029B2" w:rsidRDefault="002029B2" w:rsidP="00324B33">
            <w:pPr>
              <w:cnfStyle w:val="000000000000" w:firstRow="0" w:lastRow="0" w:firstColumn="0" w:lastColumn="0" w:oddVBand="0" w:evenVBand="0" w:oddHBand="0" w:evenHBand="0" w:firstRowFirstColumn="0" w:firstRowLastColumn="0" w:lastRowFirstColumn="0" w:lastRowLastColumn="0"/>
              <w:rPr>
                <w:szCs w:val="22"/>
              </w:rPr>
            </w:pPr>
            <w:r w:rsidRPr="002029B2">
              <w:rPr>
                <w:szCs w:val="22"/>
              </w:rPr>
              <w:t>Messenger ribonucleic acid</w:t>
            </w:r>
          </w:p>
        </w:tc>
      </w:tr>
      <w:tr w:rsidR="00D6180D" w:rsidRPr="00D01DDB" w14:paraId="1BD6C1B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EE58B26" w14:textId="3CDD3FCB" w:rsidR="00D6180D" w:rsidRPr="00D01DDB" w:rsidRDefault="00E917A4" w:rsidP="00324B33">
            <w:pPr>
              <w:rPr>
                <w:szCs w:val="22"/>
              </w:rPr>
            </w:pPr>
            <w:r w:rsidRPr="00E917A4">
              <w:rPr>
                <w:szCs w:val="22"/>
              </w:rPr>
              <w:t>NOAEL</w:t>
            </w:r>
          </w:p>
        </w:tc>
        <w:tc>
          <w:tcPr>
            <w:tcW w:w="3800" w:type="pct"/>
          </w:tcPr>
          <w:p w14:paraId="6717EC72" w14:textId="1CCDA25F" w:rsidR="00D6180D" w:rsidRPr="00AC5AA3" w:rsidRDefault="00AC5AA3" w:rsidP="00324B33">
            <w:pPr>
              <w:cnfStyle w:val="000000000000" w:firstRow="0" w:lastRow="0" w:firstColumn="0" w:lastColumn="0" w:oddVBand="0" w:evenVBand="0" w:oddHBand="0" w:evenHBand="0" w:firstRowFirstColumn="0" w:firstRowLastColumn="0" w:lastRowFirstColumn="0" w:lastRowLastColumn="0"/>
              <w:rPr>
                <w:szCs w:val="22"/>
              </w:rPr>
            </w:pPr>
            <w:r w:rsidRPr="00AC5AA3">
              <w:rPr>
                <w:szCs w:val="22"/>
              </w:rPr>
              <w:t xml:space="preserve">No </w:t>
            </w:r>
            <w:r>
              <w:rPr>
                <w:szCs w:val="22"/>
              </w:rPr>
              <w:t>o</w:t>
            </w:r>
            <w:r w:rsidRPr="00AC5AA3">
              <w:rPr>
                <w:szCs w:val="22"/>
              </w:rPr>
              <w:t xml:space="preserve">bserved </w:t>
            </w:r>
            <w:r>
              <w:rPr>
                <w:szCs w:val="22"/>
              </w:rPr>
              <w:t>a</w:t>
            </w:r>
            <w:r w:rsidRPr="00AC5AA3">
              <w:rPr>
                <w:szCs w:val="22"/>
              </w:rPr>
              <w:t xml:space="preserve">dverse </w:t>
            </w:r>
            <w:r>
              <w:rPr>
                <w:szCs w:val="22"/>
              </w:rPr>
              <w:t>e</w:t>
            </w:r>
            <w:r w:rsidRPr="00AC5AA3">
              <w:rPr>
                <w:szCs w:val="22"/>
              </w:rPr>
              <w:t xml:space="preserve">ffect </w:t>
            </w:r>
            <w:r>
              <w:rPr>
                <w:szCs w:val="22"/>
              </w:rPr>
              <w:t>l</w:t>
            </w:r>
            <w:r w:rsidRPr="00AC5AA3">
              <w:rPr>
                <w:szCs w:val="22"/>
              </w:rPr>
              <w:t>evel</w:t>
            </w:r>
          </w:p>
        </w:tc>
      </w:tr>
      <w:tr w:rsidR="00B63867" w:rsidRPr="00D01DDB" w14:paraId="017BB51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2E3B671" w14:textId="0FDBF28F" w:rsidR="00B63867" w:rsidRPr="00E917A4" w:rsidRDefault="00B63867" w:rsidP="00324B33">
            <w:pPr>
              <w:rPr>
                <w:szCs w:val="22"/>
              </w:rPr>
            </w:pPr>
            <w:r>
              <w:rPr>
                <w:szCs w:val="22"/>
              </w:rPr>
              <w:t>OLE</w:t>
            </w:r>
          </w:p>
        </w:tc>
        <w:tc>
          <w:tcPr>
            <w:tcW w:w="3800" w:type="pct"/>
          </w:tcPr>
          <w:p w14:paraId="24DB05D6" w14:textId="6B50FFEE" w:rsidR="00B63867" w:rsidRPr="00AC5AA3" w:rsidRDefault="00B63867"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O</w:t>
            </w:r>
            <w:r w:rsidRPr="00B63867">
              <w:rPr>
                <w:szCs w:val="22"/>
              </w:rPr>
              <w:t xml:space="preserve">pen-label extension </w:t>
            </w:r>
          </w:p>
        </w:tc>
      </w:tr>
      <w:tr w:rsidR="0052217D" w:rsidRPr="00D01DDB" w14:paraId="7ECD9F38"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649BD1D" w14:textId="5DB3E60B" w:rsidR="0052217D" w:rsidRPr="00E917A4" w:rsidRDefault="0052217D" w:rsidP="00324B33">
            <w:pPr>
              <w:rPr>
                <w:szCs w:val="22"/>
              </w:rPr>
            </w:pPr>
            <w:r>
              <w:rPr>
                <w:szCs w:val="22"/>
              </w:rPr>
              <w:t>PD</w:t>
            </w:r>
          </w:p>
        </w:tc>
        <w:tc>
          <w:tcPr>
            <w:tcW w:w="3800" w:type="pct"/>
          </w:tcPr>
          <w:p w14:paraId="75E8CB56" w14:textId="7C58515B" w:rsidR="0052217D" w:rsidRPr="00AC5AA3" w:rsidRDefault="008B556C" w:rsidP="00324B33">
            <w:pPr>
              <w:cnfStyle w:val="000000000000" w:firstRow="0" w:lastRow="0" w:firstColumn="0" w:lastColumn="0" w:oddVBand="0" w:evenVBand="0" w:oddHBand="0" w:evenHBand="0" w:firstRowFirstColumn="0" w:firstRowLastColumn="0" w:lastRowFirstColumn="0" w:lastRowLastColumn="0"/>
              <w:rPr>
                <w:szCs w:val="22"/>
              </w:rPr>
            </w:pPr>
            <w:r w:rsidRPr="008B556C">
              <w:rPr>
                <w:szCs w:val="22"/>
              </w:rPr>
              <w:t>Pharmacodynamic(s)</w:t>
            </w:r>
          </w:p>
        </w:tc>
      </w:tr>
      <w:tr w:rsidR="00395140" w:rsidRPr="00D01DDB" w14:paraId="2756B6F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12AA960E" w14:textId="72403C37" w:rsidR="00395140" w:rsidRPr="00D01DDB" w:rsidRDefault="00395140" w:rsidP="00324B33">
            <w:pPr>
              <w:rPr>
                <w:szCs w:val="22"/>
              </w:rPr>
            </w:pPr>
            <w:r w:rsidRPr="00D01DDB">
              <w:rPr>
                <w:szCs w:val="22"/>
              </w:rPr>
              <w:t>PI</w:t>
            </w:r>
          </w:p>
        </w:tc>
        <w:tc>
          <w:tcPr>
            <w:tcW w:w="3800" w:type="pct"/>
          </w:tcPr>
          <w:p w14:paraId="354B5DB5" w14:textId="3DAE38C1" w:rsidR="00395140" w:rsidRPr="00D01DDB" w:rsidRDefault="00395140"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Product Information</w:t>
            </w:r>
          </w:p>
        </w:tc>
      </w:tr>
      <w:tr w:rsidR="0052217D" w:rsidRPr="00D01DDB" w14:paraId="7AA223C4"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541DEFB" w14:textId="16CB14B7" w:rsidR="0052217D" w:rsidRPr="00D01DDB" w:rsidRDefault="0052217D" w:rsidP="00324B33">
            <w:pPr>
              <w:rPr>
                <w:szCs w:val="22"/>
              </w:rPr>
            </w:pPr>
            <w:r>
              <w:rPr>
                <w:szCs w:val="22"/>
              </w:rPr>
              <w:lastRenderedPageBreak/>
              <w:t>PK</w:t>
            </w:r>
          </w:p>
        </w:tc>
        <w:tc>
          <w:tcPr>
            <w:tcW w:w="3800" w:type="pct"/>
          </w:tcPr>
          <w:p w14:paraId="6B1408CA" w14:textId="552B61EB" w:rsidR="0052217D" w:rsidRPr="00D01DDB" w:rsidRDefault="008B556C" w:rsidP="00324B33">
            <w:pPr>
              <w:cnfStyle w:val="000000000000" w:firstRow="0" w:lastRow="0" w:firstColumn="0" w:lastColumn="0" w:oddVBand="0" w:evenVBand="0" w:oddHBand="0" w:evenHBand="0" w:firstRowFirstColumn="0" w:firstRowLastColumn="0" w:lastRowFirstColumn="0" w:lastRowLastColumn="0"/>
              <w:rPr>
                <w:szCs w:val="22"/>
              </w:rPr>
            </w:pPr>
            <w:r w:rsidRPr="008B556C">
              <w:rPr>
                <w:szCs w:val="22"/>
              </w:rPr>
              <w:t>Pharmacokinetic(s)</w:t>
            </w:r>
          </w:p>
        </w:tc>
      </w:tr>
      <w:tr w:rsidR="00DE4D7C" w:rsidRPr="00D01DDB" w14:paraId="6F39485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1265EDE" w14:textId="12363ED2" w:rsidR="00DE4D7C" w:rsidRPr="00D01DDB" w:rsidRDefault="00DE4D7C" w:rsidP="00324B33">
            <w:pPr>
              <w:rPr>
                <w:szCs w:val="22"/>
              </w:rPr>
            </w:pPr>
            <w:r>
              <w:rPr>
                <w:szCs w:val="22"/>
              </w:rPr>
              <w:t>PKK</w:t>
            </w:r>
          </w:p>
        </w:tc>
        <w:tc>
          <w:tcPr>
            <w:tcW w:w="3800" w:type="pct"/>
          </w:tcPr>
          <w:p w14:paraId="7812404A" w14:textId="264A3778" w:rsidR="00DE4D7C" w:rsidRPr="00D01DDB" w:rsidRDefault="00DE4D7C" w:rsidP="00324B33">
            <w:pPr>
              <w:cnfStyle w:val="000000000000" w:firstRow="0" w:lastRow="0" w:firstColumn="0" w:lastColumn="0" w:oddVBand="0" w:evenVBand="0" w:oddHBand="0" w:evenHBand="0" w:firstRowFirstColumn="0" w:firstRowLastColumn="0" w:lastRowFirstColumn="0" w:lastRowLastColumn="0"/>
              <w:rPr>
                <w:szCs w:val="22"/>
              </w:rPr>
            </w:pPr>
            <w:proofErr w:type="spellStart"/>
            <w:r>
              <w:rPr>
                <w:szCs w:val="22"/>
              </w:rPr>
              <w:t>P</w:t>
            </w:r>
            <w:r w:rsidRPr="00DE4D7C">
              <w:rPr>
                <w:szCs w:val="22"/>
              </w:rPr>
              <w:t>rekallikrein</w:t>
            </w:r>
            <w:proofErr w:type="spellEnd"/>
          </w:p>
        </w:tc>
      </w:tr>
      <w:tr w:rsidR="00915BDA" w:rsidRPr="00D01DDB" w14:paraId="25A6638B"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5806534" w14:textId="7B4597FF" w:rsidR="00915BDA" w:rsidRDefault="00915BDA" w:rsidP="00324B33">
            <w:pPr>
              <w:rPr>
                <w:szCs w:val="22"/>
              </w:rPr>
            </w:pPr>
            <w:proofErr w:type="spellStart"/>
            <w:r w:rsidRPr="00915BDA">
              <w:rPr>
                <w:szCs w:val="22"/>
              </w:rPr>
              <w:t>popPK</w:t>
            </w:r>
            <w:proofErr w:type="spellEnd"/>
          </w:p>
        </w:tc>
        <w:tc>
          <w:tcPr>
            <w:tcW w:w="3800" w:type="pct"/>
          </w:tcPr>
          <w:p w14:paraId="19B73CDB" w14:textId="13A0243B" w:rsidR="00915BDA" w:rsidRDefault="00915BDA" w:rsidP="00324B33">
            <w:pPr>
              <w:cnfStyle w:val="000000000000" w:firstRow="0" w:lastRow="0" w:firstColumn="0" w:lastColumn="0" w:oddVBand="0" w:evenVBand="0" w:oddHBand="0" w:evenHBand="0" w:firstRowFirstColumn="0" w:firstRowLastColumn="0" w:lastRowFirstColumn="0" w:lastRowLastColumn="0"/>
              <w:rPr>
                <w:szCs w:val="22"/>
              </w:rPr>
            </w:pPr>
            <w:r w:rsidRPr="00915BDA">
              <w:rPr>
                <w:szCs w:val="22"/>
              </w:rPr>
              <w:t>Population PK</w:t>
            </w:r>
          </w:p>
        </w:tc>
      </w:tr>
      <w:tr w:rsidR="00A704DC" w:rsidRPr="00D01DDB" w14:paraId="3D3C703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6FC5D65" w14:textId="2915A0B8" w:rsidR="00A704DC" w:rsidRPr="00D01DDB" w:rsidRDefault="00A704DC" w:rsidP="00A704DC">
            <w:pPr>
              <w:rPr>
                <w:szCs w:val="22"/>
              </w:rPr>
            </w:pPr>
            <w:r w:rsidRPr="00D01DDB">
              <w:rPr>
                <w:szCs w:val="22"/>
              </w:rPr>
              <w:t>PSUR</w:t>
            </w:r>
          </w:p>
        </w:tc>
        <w:tc>
          <w:tcPr>
            <w:tcW w:w="3800" w:type="pct"/>
          </w:tcPr>
          <w:p w14:paraId="4A97D112" w14:textId="3DC38D82"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Periodic safety update report</w:t>
            </w:r>
          </w:p>
        </w:tc>
      </w:tr>
      <w:tr w:rsidR="00E21614" w:rsidRPr="00D01DDB" w14:paraId="1BAC6DE3"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31B9840" w14:textId="4349E728" w:rsidR="00E21614" w:rsidRPr="00D01DDB" w:rsidRDefault="00E21614" w:rsidP="00E21614">
            <w:pPr>
              <w:rPr>
                <w:szCs w:val="22"/>
              </w:rPr>
            </w:pPr>
            <w:r w:rsidRPr="000100B8">
              <w:t xml:space="preserve">q4w </w:t>
            </w:r>
          </w:p>
        </w:tc>
        <w:tc>
          <w:tcPr>
            <w:tcW w:w="3800" w:type="pct"/>
          </w:tcPr>
          <w:p w14:paraId="74AC93BB" w14:textId="677F50AC" w:rsidR="00E21614" w:rsidRPr="00D01DDB" w:rsidRDefault="00E21614" w:rsidP="00E21614">
            <w:pPr>
              <w:cnfStyle w:val="000000000000" w:firstRow="0" w:lastRow="0" w:firstColumn="0" w:lastColumn="0" w:oddVBand="0" w:evenVBand="0" w:oddHBand="0" w:evenHBand="0" w:firstRowFirstColumn="0" w:firstRowLastColumn="0" w:lastRowFirstColumn="0" w:lastRowLastColumn="0"/>
              <w:rPr>
                <w:szCs w:val="22"/>
              </w:rPr>
            </w:pPr>
            <w:r w:rsidRPr="000100B8">
              <w:t>Every four weeks</w:t>
            </w:r>
          </w:p>
        </w:tc>
      </w:tr>
      <w:tr w:rsidR="000F050C" w:rsidRPr="00D01DDB" w14:paraId="10BAD32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FCB1B32" w14:textId="1C62B5CC" w:rsidR="000F050C" w:rsidRPr="00D01DDB" w:rsidRDefault="00E21614" w:rsidP="00A704DC">
            <w:pPr>
              <w:rPr>
                <w:szCs w:val="22"/>
              </w:rPr>
            </w:pPr>
            <w:r w:rsidRPr="00E21614">
              <w:rPr>
                <w:szCs w:val="22"/>
              </w:rPr>
              <w:t xml:space="preserve">q8m </w:t>
            </w:r>
          </w:p>
        </w:tc>
        <w:tc>
          <w:tcPr>
            <w:tcW w:w="3800" w:type="pct"/>
          </w:tcPr>
          <w:p w14:paraId="1DDF0B22" w14:textId="11E517F9" w:rsidR="000F050C" w:rsidRPr="00D01DDB" w:rsidRDefault="00E21614" w:rsidP="00A704DC">
            <w:pPr>
              <w:cnfStyle w:val="000000000000" w:firstRow="0" w:lastRow="0" w:firstColumn="0" w:lastColumn="0" w:oddVBand="0" w:evenVBand="0" w:oddHBand="0" w:evenHBand="0" w:firstRowFirstColumn="0" w:firstRowLastColumn="0" w:lastRowFirstColumn="0" w:lastRowLastColumn="0"/>
              <w:rPr>
                <w:szCs w:val="22"/>
              </w:rPr>
            </w:pPr>
            <w:r w:rsidRPr="00E21614">
              <w:rPr>
                <w:szCs w:val="22"/>
              </w:rPr>
              <w:t>Every eight weeks</w:t>
            </w:r>
          </w:p>
        </w:tc>
      </w:tr>
      <w:tr w:rsidR="002A1B3E" w:rsidRPr="00D01DDB" w14:paraId="7C154BD7"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22C189D" w14:textId="580B6ED7" w:rsidR="002A1B3E" w:rsidRPr="00D01DDB" w:rsidRDefault="002A1B3E" w:rsidP="00A704DC">
            <w:pPr>
              <w:rPr>
                <w:szCs w:val="22"/>
              </w:rPr>
            </w:pPr>
            <w:r w:rsidRPr="002A1B3E">
              <w:rPr>
                <w:szCs w:val="22"/>
              </w:rPr>
              <w:t>Q/F</w:t>
            </w:r>
          </w:p>
        </w:tc>
        <w:tc>
          <w:tcPr>
            <w:tcW w:w="3800" w:type="pct"/>
          </w:tcPr>
          <w:p w14:paraId="20B9343A" w14:textId="203A67CB" w:rsidR="002A1B3E" w:rsidRPr="00D01DDB" w:rsidRDefault="00853545" w:rsidP="00A704DC">
            <w:pPr>
              <w:cnfStyle w:val="000000000000" w:firstRow="0" w:lastRow="0" w:firstColumn="0" w:lastColumn="0" w:oddVBand="0" w:evenVBand="0" w:oddHBand="0" w:evenHBand="0" w:firstRowFirstColumn="0" w:firstRowLastColumn="0" w:lastRowFirstColumn="0" w:lastRowLastColumn="0"/>
              <w:rPr>
                <w:szCs w:val="22"/>
              </w:rPr>
            </w:pPr>
            <w:r w:rsidRPr="00853545">
              <w:rPr>
                <w:szCs w:val="22"/>
              </w:rPr>
              <w:t>Apparent inter-compartmental clearance</w:t>
            </w:r>
          </w:p>
        </w:tc>
      </w:tr>
      <w:tr w:rsidR="00A704DC" w:rsidRPr="00D01DDB" w14:paraId="07F3695A"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49390BCA" w14:textId="201D691B" w:rsidR="00A704DC" w:rsidRPr="00D01DDB" w:rsidRDefault="00A704DC" w:rsidP="00A704DC">
            <w:pPr>
              <w:rPr>
                <w:szCs w:val="22"/>
              </w:rPr>
            </w:pPr>
            <w:r w:rsidRPr="00D01DDB">
              <w:rPr>
                <w:szCs w:val="22"/>
              </w:rPr>
              <w:t>RMP</w:t>
            </w:r>
          </w:p>
        </w:tc>
        <w:tc>
          <w:tcPr>
            <w:tcW w:w="3800" w:type="pct"/>
          </w:tcPr>
          <w:p w14:paraId="2C862F75" w14:textId="2355E842"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Risk management plan</w:t>
            </w:r>
          </w:p>
        </w:tc>
      </w:tr>
      <w:tr w:rsidR="0093294E" w:rsidRPr="00D01DDB" w14:paraId="41DAEB3D"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FE300B1" w14:textId="73E6F935" w:rsidR="0093294E" w:rsidRPr="00D01DDB" w:rsidRDefault="0093294E" w:rsidP="00A704DC">
            <w:pPr>
              <w:rPr>
                <w:szCs w:val="22"/>
              </w:rPr>
            </w:pPr>
            <w:r>
              <w:rPr>
                <w:szCs w:val="22"/>
              </w:rPr>
              <w:t>SAEs</w:t>
            </w:r>
          </w:p>
        </w:tc>
        <w:tc>
          <w:tcPr>
            <w:tcW w:w="3800" w:type="pct"/>
          </w:tcPr>
          <w:p w14:paraId="729E66CE" w14:textId="0E088D24" w:rsidR="0093294E" w:rsidRPr="00D01DDB" w:rsidRDefault="0093294E"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Serious adverse events</w:t>
            </w:r>
          </w:p>
        </w:tc>
      </w:tr>
      <w:tr w:rsidR="00D7149A" w:rsidRPr="00D01DDB" w14:paraId="5540A70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E2AE6FB" w14:textId="41547473" w:rsidR="00D7149A" w:rsidRDefault="00D7149A" w:rsidP="00A704DC">
            <w:pPr>
              <w:rPr>
                <w:szCs w:val="22"/>
              </w:rPr>
            </w:pPr>
            <w:r>
              <w:rPr>
                <w:szCs w:val="22"/>
              </w:rPr>
              <w:t>SAS</w:t>
            </w:r>
          </w:p>
        </w:tc>
        <w:tc>
          <w:tcPr>
            <w:tcW w:w="3800" w:type="pct"/>
          </w:tcPr>
          <w:p w14:paraId="4EEC2B29" w14:textId="325C8DDC" w:rsidR="00D7149A" w:rsidRDefault="00D7149A" w:rsidP="00A704DC">
            <w:pPr>
              <w:cnfStyle w:val="000000000000" w:firstRow="0" w:lastRow="0" w:firstColumn="0" w:lastColumn="0" w:oddVBand="0" w:evenVBand="0" w:oddHBand="0" w:evenHBand="0" w:firstRowFirstColumn="0" w:firstRowLastColumn="0" w:lastRowFirstColumn="0" w:lastRowLastColumn="0"/>
              <w:rPr>
                <w:szCs w:val="22"/>
              </w:rPr>
            </w:pPr>
            <w:r w:rsidRPr="00D7149A">
              <w:rPr>
                <w:szCs w:val="22"/>
              </w:rPr>
              <w:t xml:space="preserve">Special Access Scheme </w:t>
            </w:r>
          </w:p>
        </w:tc>
      </w:tr>
      <w:tr w:rsidR="00186E60" w:rsidRPr="00D01DDB" w14:paraId="62B47226"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B2DA90D" w14:textId="7C66328B" w:rsidR="00186E60" w:rsidRPr="00D01DDB" w:rsidRDefault="00186E60" w:rsidP="00A704DC">
            <w:pPr>
              <w:rPr>
                <w:szCs w:val="22"/>
              </w:rPr>
            </w:pPr>
            <w:r>
              <w:rPr>
                <w:szCs w:val="22"/>
              </w:rPr>
              <w:t>SC</w:t>
            </w:r>
          </w:p>
        </w:tc>
        <w:tc>
          <w:tcPr>
            <w:tcW w:w="3800" w:type="pct"/>
          </w:tcPr>
          <w:p w14:paraId="61BB1F81" w14:textId="77ADF554" w:rsidR="00186E60" w:rsidRPr="00D01DDB" w:rsidRDefault="00186E60" w:rsidP="00A704DC">
            <w:pPr>
              <w:cnfStyle w:val="000000000000" w:firstRow="0" w:lastRow="0" w:firstColumn="0" w:lastColumn="0" w:oddVBand="0" w:evenVBand="0" w:oddHBand="0" w:evenHBand="0" w:firstRowFirstColumn="0" w:firstRowLastColumn="0" w:lastRowFirstColumn="0" w:lastRowLastColumn="0"/>
              <w:rPr>
                <w:szCs w:val="22"/>
              </w:rPr>
            </w:pPr>
            <w:r w:rsidRPr="00186E60">
              <w:rPr>
                <w:szCs w:val="22"/>
              </w:rPr>
              <w:t>Subcutaneous</w:t>
            </w:r>
          </w:p>
        </w:tc>
      </w:tr>
      <w:tr w:rsidR="00186E60" w:rsidRPr="00D01DDB" w14:paraId="1042C74C"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2EC36D55" w14:textId="4373C9B8" w:rsidR="00186E60" w:rsidRPr="00D01DDB" w:rsidRDefault="00CC67BF" w:rsidP="00A704DC">
            <w:pPr>
              <w:rPr>
                <w:szCs w:val="22"/>
              </w:rPr>
            </w:pPr>
            <w:r w:rsidRPr="00CC67BF">
              <w:rPr>
                <w:szCs w:val="22"/>
              </w:rPr>
              <w:t>SD</w:t>
            </w:r>
          </w:p>
        </w:tc>
        <w:tc>
          <w:tcPr>
            <w:tcW w:w="3800" w:type="pct"/>
          </w:tcPr>
          <w:p w14:paraId="1A462694" w14:textId="2C7D0DC4" w:rsidR="00186E60" w:rsidRPr="00D01DDB" w:rsidRDefault="00CC67BF"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Standard deviation</w:t>
            </w:r>
          </w:p>
        </w:tc>
      </w:tr>
      <w:tr w:rsidR="00107657" w:rsidRPr="00D01DDB" w14:paraId="043ECD65"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71A744D1" w14:textId="31B459E4" w:rsidR="00107657" w:rsidRPr="00CC67BF" w:rsidRDefault="00107657" w:rsidP="00A704DC">
            <w:pPr>
              <w:rPr>
                <w:szCs w:val="22"/>
              </w:rPr>
            </w:pPr>
            <w:r>
              <w:rPr>
                <w:szCs w:val="22"/>
              </w:rPr>
              <w:t>SEM</w:t>
            </w:r>
          </w:p>
        </w:tc>
        <w:tc>
          <w:tcPr>
            <w:tcW w:w="3800" w:type="pct"/>
          </w:tcPr>
          <w:p w14:paraId="3908089A" w14:textId="502FAD19" w:rsidR="00107657" w:rsidRDefault="00107657"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Standard error of mean</w:t>
            </w:r>
          </w:p>
        </w:tc>
      </w:tr>
      <w:tr w:rsidR="00E77996" w:rsidRPr="00D01DDB" w14:paraId="4E90307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A0F2174" w14:textId="36A9E181" w:rsidR="00E77996" w:rsidRDefault="00E77996" w:rsidP="00A704DC">
            <w:pPr>
              <w:rPr>
                <w:szCs w:val="22"/>
              </w:rPr>
            </w:pPr>
            <w:r>
              <w:rPr>
                <w:szCs w:val="22"/>
              </w:rPr>
              <w:t>TEAE</w:t>
            </w:r>
          </w:p>
        </w:tc>
        <w:tc>
          <w:tcPr>
            <w:tcW w:w="3800" w:type="pct"/>
          </w:tcPr>
          <w:p w14:paraId="718320DA" w14:textId="1D63B279" w:rsidR="00E77996" w:rsidRDefault="00E77996" w:rsidP="00A704DC">
            <w:pPr>
              <w:cnfStyle w:val="000000000000" w:firstRow="0" w:lastRow="0" w:firstColumn="0" w:lastColumn="0" w:oddVBand="0" w:evenVBand="0" w:oddHBand="0" w:evenHBand="0" w:firstRowFirstColumn="0" w:firstRowLastColumn="0" w:lastRowFirstColumn="0" w:lastRowLastColumn="0"/>
              <w:rPr>
                <w:szCs w:val="22"/>
              </w:rPr>
            </w:pPr>
            <w:r>
              <w:rPr>
                <w:szCs w:val="22"/>
              </w:rPr>
              <w:t>Treatment emergent adverse event</w:t>
            </w:r>
          </w:p>
        </w:tc>
      </w:tr>
      <w:tr w:rsidR="00A704DC" w:rsidRPr="00D01DDB" w14:paraId="254AC9B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574FC2A0" w14:textId="41297C79" w:rsidR="00A704DC" w:rsidRPr="00D01DDB" w:rsidRDefault="00A704DC" w:rsidP="00A704DC">
            <w:pPr>
              <w:rPr>
                <w:szCs w:val="22"/>
              </w:rPr>
            </w:pPr>
            <w:r w:rsidRPr="00D01DDB">
              <w:rPr>
                <w:szCs w:val="22"/>
              </w:rPr>
              <w:t>TGA</w:t>
            </w:r>
          </w:p>
        </w:tc>
        <w:tc>
          <w:tcPr>
            <w:tcW w:w="3800" w:type="pct"/>
          </w:tcPr>
          <w:p w14:paraId="29EA6BA3" w14:textId="6F99059F" w:rsidR="00A704DC" w:rsidRPr="00D01DDB" w:rsidRDefault="00A704DC" w:rsidP="00A704DC">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Therapeutic Goods Administration</w:t>
            </w:r>
          </w:p>
        </w:tc>
      </w:tr>
      <w:tr w:rsidR="00A704DC" w:rsidRPr="00D01DDB" w14:paraId="4BDC33D2"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61819C5F" w14:textId="0F0BCD81" w:rsidR="00A704DC" w:rsidRPr="00D01DDB" w:rsidRDefault="001A60FD" w:rsidP="00A704DC">
            <w:pPr>
              <w:rPr>
                <w:szCs w:val="22"/>
              </w:rPr>
            </w:pPr>
            <w:proofErr w:type="spellStart"/>
            <w:r w:rsidRPr="001A60FD">
              <w:rPr>
                <w:szCs w:val="22"/>
              </w:rPr>
              <w:t>T</w:t>
            </w:r>
            <w:r w:rsidRPr="001A60FD">
              <w:rPr>
                <w:szCs w:val="22"/>
                <w:vertAlign w:val="subscript"/>
              </w:rPr>
              <w:t>max</w:t>
            </w:r>
            <w:proofErr w:type="spellEnd"/>
          </w:p>
        </w:tc>
        <w:tc>
          <w:tcPr>
            <w:tcW w:w="3800" w:type="pct"/>
          </w:tcPr>
          <w:p w14:paraId="4458E485" w14:textId="0E49ACFD" w:rsidR="00A704DC" w:rsidRPr="00D01DDB" w:rsidRDefault="00B11675" w:rsidP="00A704DC">
            <w:pPr>
              <w:cnfStyle w:val="000000000000" w:firstRow="0" w:lastRow="0" w:firstColumn="0" w:lastColumn="0" w:oddVBand="0" w:evenVBand="0" w:oddHBand="0" w:evenHBand="0" w:firstRowFirstColumn="0" w:firstRowLastColumn="0" w:lastRowFirstColumn="0" w:lastRowLastColumn="0"/>
              <w:rPr>
                <w:szCs w:val="22"/>
              </w:rPr>
            </w:pPr>
            <w:r w:rsidRPr="00B11675">
              <w:rPr>
                <w:szCs w:val="22"/>
              </w:rPr>
              <w:t>Time to maximum concentration</w:t>
            </w:r>
          </w:p>
        </w:tc>
      </w:tr>
      <w:tr w:rsidR="00A704DC" w:rsidRPr="00D01DDB" w14:paraId="2C8657A9"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46CFA8D" w14:textId="2654CB5E" w:rsidR="00A704DC" w:rsidRPr="00D01DDB" w:rsidRDefault="00175EB5" w:rsidP="00A704DC">
            <w:pPr>
              <w:rPr>
                <w:szCs w:val="22"/>
              </w:rPr>
            </w:pPr>
            <w:proofErr w:type="spellStart"/>
            <w:r w:rsidRPr="00175EB5">
              <w:rPr>
                <w:szCs w:val="22"/>
              </w:rPr>
              <w:t>V</w:t>
            </w:r>
            <w:r w:rsidRPr="00175EB5">
              <w:rPr>
                <w:szCs w:val="22"/>
                <w:vertAlign w:val="subscript"/>
              </w:rPr>
              <w:t>c</w:t>
            </w:r>
            <w:proofErr w:type="spellEnd"/>
            <w:r w:rsidRPr="00175EB5">
              <w:rPr>
                <w:szCs w:val="22"/>
              </w:rPr>
              <w:t>/F</w:t>
            </w:r>
          </w:p>
        </w:tc>
        <w:tc>
          <w:tcPr>
            <w:tcW w:w="3800" w:type="pct"/>
          </w:tcPr>
          <w:p w14:paraId="53D4D108" w14:textId="59C02165" w:rsidR="00A704DC" w:rsidRPr="00D01DDB" w:rsidRDefault="00347425" w:rsidP="00A704DC">
            <w:pPr>
              <w:cnfStyle w:val="000000000000" w:firstRow="0" w:lastRow="0" w:firstColumn="0" w:lastColumn="0" w:oddVBand="0" w:evenVBand="0" w:oddHBand="0" w:evenHBand="0" w:firstRowFirstColumn="0" w:firstRowLastColumn="0" w:lastRowFirstColumn="0" w:lastRowLastColumn="0"/>
              <w:rPr>
                <w:szCs w:val="22"/>
              </w:rPr>
            </w:pPr>
            <w:r w:rsidRPr="00347425">
              <w:rPr>
                <w:szCs w:val="22"/>
              </w:rPr>
              <w:t>Apparent volume of distribution of central compartment</w:t>
            </w:r>
          </w:p>
        </w:tc>
      </w:tr>
      <w:tr w:rsidR="00D414DB" w:rsidRPr="00D01DDB" w14:paraId="690F757F" w14:textId="77777777" w:rsidTr="00BD5DBD">
        <w:trPr>
          <w:trHeight w:val="386"/>
        </w:trPr>
        <w:tc>
          <w:tcPr>
            <w:cnfStyle w:val="001000000000" w:firstRow="0" w:lastRow="0" w:firstColumn="1" w:lastColumn="0" w:oddVBand="0" w:evenVBand="0" w:oddHBand="0" w:evenHBand="0" w:firstRowFirstColumn="0" w:firstRowLastColumn="0" w:lastRowFirstColumn="0" w:lastRowLastColumn="0"/>
            <w:tcW w:w="1200" w:type="pct"/>
          </w:tcPr>
          <w:p w14:paraId="3AD29564" w14:textId="31AB0EE7" w:rsidR="00D414DB" w:rsidRPr="00D01DDB" w:rsidRDefault="002A1B3E" w:rsidP="00A704DC">
            <w:pPr>
              <w:rPr>
                <w:szCs w:val="22"/>
              </w:rPr>
            </w:pPr>
            <w:proofErr w:type="spellStart"/>
            <w:r w:rsidRPr="002A1B3E">
              <w:rPr>
                <w:szCs w:val="22"/>
              </w:rPr>
              <w:t>V</w:t>
            </w:r>
            <w:r w:rsidRPr="002A1B3E">
              <w:rPr>
                <w:szCs w:val="22"/>
                <w:vertAlign w:val="subscript"/>
              </w:rPr>
              <w:t>p</w:t>
            </w:r>
            <w:proofErr w:type="spellEnd"/>
            <w:r w:rsidRPr="002A1B3E">
              <w:rPr>
                <w:szCs w:val="22"/>
              </w:rPr>
              <w:t>/F</w:t>
            </w:r>
          </w:p>
        </w:tc>
        <w:tc>
          <w:tcPr>
            <w:tcW w:w="3800" w:type="pct"/>
          </w:tcPr>
          <w:p w14:paraId="3BB9FC43" w14:textId="2992376B" w:rsidR="00D414DB" w:rsidRPr="00D01DDB" w:rsidRDefault="009D016D" w:rsidP="00A704DC">
            <w:pPr>
              <w:cnfStyle w:val="000000000000" w:firstRow="0" w:lastRow="0" w:firstColumn="0" w:lastColumn="0" w:oddVBand="0" w:evenVBand="0" w:oddHBand="0" w:evenHBand="0" w:firstRowFirstColumn="0" w:firstRowLastColumn="0" w:lastRowFirstColumn="0" w:lastRowLastColumn="0"/>
              <w:rPr>
                <w:szCs w:val="22"/>
              </w:rPr>
            </w:pPr>
            <w:r w:rsidRPr="009D016D">
              <w:rPr>
                <w:szCs w:val="22"/>
              </w:rPr>
              <w:t>Apparent volume of distribution of peripheral compartment</w:t>
            </w:r>
          </w:p>
        </w:tc>
      </w:tr>
    </w:tbl>
    <w:p w14:paraId="7378F926" w14:textId="77777777" w:rsidR="00324B33" w:rsidRDefault="00324B33" w:rsidP="00324B33"/>
    <w:p w14:paraId="02FB1F38" w14:textId="77777777" w:rsidR="00324B33" w:rsidRPr="00FD119B" w:rsidRDefault="00324B33" w:rsidP="00324B33">
      <w:pPr>
        <w:spacing w:after="200" w:line="0" w:lineRule="auto"/>
        <w:rPr>
          <w:b/>
          <w:i/>
          <w:sz w:val="24"/>
          <w:szCs w:val="24"/>
        </w:rPr>
      </w:pPr>
      <w:r w:rsidRPr="00FD119B">
        <w:rPr>
          <w:b/>
          <w:i/>
          <w:sz w:val="24"/>
          <w:szCs w:val="24"/>
        </w:rPr>
        <w:br w:type="page"/>
      </w:r>
    </w:p>
    <w:p w14:paraId="44C2A39C" w14:textId="77777777" w:rsidR="00324B33" w:rsidRDefault="00324B33" w:rsidP="00324B33">
      <w:pPr>
        <w:pStyle w:val="Heading2"/>
      </w:pPr>
      <w:bookmarkStart w:id="5" w:name="_Toc103679288"/>
      <w:bookmarkStart w:id="6" w:name="_Toc238032159"/>
      <w:r>
        <w:lastRenderedPageBreak/>
        <w:t>Product submission</w:t>
      </w:r>
      <w:bookmarkEnd w:id="5"/>
      <w:bookmarkEnd w:id="6"/>
    </w:p>
    <w:p w14:paraId="21D559DF" w14:textId="77777777" w:rsidR="00324B33" w:rsidRDefault="00324B33" w:rsidP="00324B33">
      <w:pPr>
        <w:pStyle w:val="Heading3"/>
        <w:rPr>
          <w:lang w:eastAsia="en-AU"/>
        </w:rPr>
      </w:pPr>
      <w:bookmarkStart w:id="7" w:name="_Toc247691502"/>
      <w:bookmarkStart w:id="8" w:name="_Toc314842483"/>
      <w:bookmarkStart w:id="9" w:name="_Toc103679289"/>
      <w:bookmarkStart w:id="10" w:name="_Toc238032160"/>
      <w:r>
        <w:rPr>
          <w:lang w:eastAsia="en-AU"/>
        </w:rPr>
        <w:t>Submission details</w:t>
      </w:r>
      <w:bookmarkEnd w:id="7"/>
      <w:bookmarkEnd w:id="8"/>
      <w:bookmarkEnd w:id="9"/>
      <w:bookmarkEnd w:id="10"/>
    </w:p>
    <w:tbl>
      <w:tblPr>
        <w:tblW w:w="5000" w:type="pct"/>
        <w:tblLook w:val="01E0" w:firstRow="1" w:lastRow="1" w:firstColumn="1" w:lastColumn="1" w:noHBand="0" w:noVBand="0"/>
      </w:tblPr>
      <w:tblGrid>
        <w:gridCol w:w="2975"/>
        <w:gridCol w:w="6095"/>
      </w:tblGrid>
      <w:tr w:rsidR="00324B33" w:rsidRPr="00BD5DBD" w14:paraId="77D11C95" w14:textId="77777777" w:rsidTr="00120F3F">
        <w:tc>
          <w:tcPr>
            <w:tcW w:w="1640" w:type="pct"/>
          </w:tcPr>
          <w:p w14:paraId="10E57D62" w14:textId="1930735E" w:rsidR="00324B33" w:rsidRPr="00BD5DBD" w:rsidRDefault="00324B33" w:rsidP="007452E8">
            <w:pPr>
              <w:rPr>
                <w:i/>
                <w:szCs w:val="22"/>
              </w:rPr>
            </w:pPr>
            <w:r w:rsidRPr="00BD5DBD">
              <w:rPr>
                <w:i/>
                <w:szCs w:val="22"/>
              </w:rPr>
              <w:t>Type of submission:</w:t>
            </w:r>
          </w:p>
        </w:tc>
        <w:tc>
          <w:tcPr>
            <w:tcW w:w="3360" w:type="pct"/>
          </w:tcPr>
          <w:p w14:paraId="4F07C303" w14:textId="6297F877" w:rsidR="00324B33" w:rsidRPr="00BD5DBD" w:rsidRDefault="00324B33" w:rsidP="007452E8">
            <w:pPr>
              <w:rPr>
                <w:szCs w:val="22"/>
              </w:rPr>
            </w:pPr>
            <w:r w:rsidRPr="00BD5DBD">
              <w:rPr>
                <w:szCs w:val="22"/>
              </w:rPr>
              <w:t>New chemical entity</w:t>
            </w:r>
          </w:p>
        </w:tc>
      </w:tr>
      <w:tr w:rsidR="00324B33" w:rsidRPr="00BD5DBD" w14:paraId="13482B61" w14:textId="77777777" w:rsidTr="00120F3F">
        <w:tc>
          <w:tcPr>
            <w:tcW w:w="1640" w:type="pct"/>
          </w:tcPr>
          <w:p w14:paraId="2C427FCF" w14:textId="60510B8C" w:rsidR="00324B33" w:rsidRPr="00BD5DBD" w:rsidRDefault="00324B33" w:rsidP="007452E8">
            <w:pPr>
              <w:rPr>
                <w:i/>
                <w:szCs w:val="22"/>
              </w:rPr>
            </w:pPr>
            <w:r w:rsidRPr="00BD5DBD">
              <w:rPr>
                <w:i/>
                <w:szCs w:val="22"/>
              </w:rPr>
              <w:t>Product name:</w:t>
            </w:r>
          </w:p>
        </w:tc>
        <w:tc>
          <w:tcPr>
            <w:tcW w:w="3360" w:type="pct"/>
          </w:tcPr>
          <w:p w14:paraId="0E2DEF76" w14:textId="5BBC1837" w:rsidR="00324B33" w:rsidRPr="00BD5DBD" w:rsidRDefault="004019F7" w:rsidP="007452E8">
            <w:pPr>
              <w:rPr>
                <w:szCs w:val="22"/>
              </w:rPr>
            </w:pPr>
            <w:r>
              <w:rPr>
                <w:szCs w:val="22"/>
              </w:rPr>
              <w:t>Zirdawny</w:t>
            </w:r>
          </w:p>
        </w:tc>
      </w:tr>
      <w:tr w:rsidR="00324B33" w:rsidRPr="00BD5DBD" w14:paraId="01255B5B" w14:textId="77777777" w:rsidTr="00120F3F">
        <w:tc>
          <w:tcPr>
            <w:tcW w:w="1640" w:type="pct"/>
          </w:tcPr>
          <w:p w14:paraId="52B4F3D7" w14:textId="34D668A5" w:rsidR="00324B33" w:rsidRPr="00BD5DBD" w:rsidRDefault="00324B33" w:rsidP="007452E8">
            <w:pPr>
              <w:rPr>
                <w:i/>
                <w:szCs w:val="22"/>
              </w:rPr>
            </w:pPr>
            <w:r w:rsidRPr="00BD5DBD">
              <w:rPr>
                <w:i/>
                <w:szCs w:val="22"/>
              </w:rPr>
              <w:t>Active ingredient:</w:t>
            </w:r>
          </w:p>
        </w:tc>
        <w:tc>
          <w:tcPr>
            <w:tcW w:w="3360" w:type="pct"/>
          </w:tcPr>
          <w:p w14:paraId="02FB6383" w14:textId="7460D411" w:rsidR="00324B33" w:rsidRPr="00BD5DBD" w:rsidRDefault="009D315C" w:rsidP="007452E8">
            <w:pPr>
              <w:rPr>
                <w:szCs w:val="22"/>
              </w:rPr>
            </w:pPr>
            <w:r>
              <w:rPr>
                <w:szCs w:val="22"/>
              </w:rPr>
              <w:t>Donidalorsen (as sodium)</w:t>
            </w:r>
          </w:p>
        </w:tc>
      </w:tr>
      <w:tr w:rsidR="00324B33" w:rsidRPr="00BD5DBD" w14:paraId="219A281B" w14:textId="77777777" w:rsidTr="00120F3F">
        <w:tc>
          <w:tcPr>
            <w:tcW w:w="1640" w:type="pct"/>
          </w:tcPr>
          <w:p w14:paraId="112E5F78" w14:textId="77777777" w:rsidR="00324B33" w:rsidRPr="00BD5DBD" w:rsidRDefault="00324B33" w:rsidP="007452E8">
            <w:pPr>
              <w:rPr>
                <w:i/>
                <w:szCs w:val="22"/>
              </w:rPr>
            </w:pPr>
            <w:r w:rsidRPr="00BD5DBD">
              <w:rPr>
                <w:i/>
                <w:szCs w:val="22"/>
              </w:rPr>
              <w:t>Decision:</w:t>
            </w:r>
          </w:p>
        </w:tc>
        <w:tc>
          <w:tcPr>
            <w:tcW w:w="3360" w:type="pct"/>
          </w:tcPr>
          <w:p w14:paraId="3B114BEA" w14:textId="41B47F4B" w:rsidR="00324B33" w:rsidRPr="00BD5DBD" w:rsidRDefault="00324B33" w:rsidP="007452E8">
            <w:pPr>
              <w:rPr>
                <w:szCs w:val="22"/>
              </w:rPr>
            </w:pPr>
            <w:r w:rsidRPr="00BD5DBD">
              <w:rPr>
                <w:szCs w:val="22"/>
              </w:rPr>
              <w:t xml:space="preserve">Approved </w:t>
            </w:r>
          </w:p>
        </w:tc>
      </w:tr>
      <w:tr w:rsidR="00AE1947" w:rsidRPr="00BD5DBD" w14:paraId="32B72632" w14:textId="77777777" w:rsidTr="00120F3F">
        <w:tc>
          <w:tcPr>
            <w:tcW w:w="1640" w:type="pct"/>
          </w:tcPr>
          <w:p w14:paraId="332A5CD5" w14:textId="65682B5F" w:rsidR="00AE1947" w:rsidRPr="00BD5DBD" w:rsidRDefault="00AE1947" w:rsidP="007F1E37">
            <w:r w:rsidRPr="00BD5DBD">
              <w:rPr>
                <w:i/>
                <w:szCs w:val="22"/>
              </w:rPr>
              <w:t>Date of decision:</w:t>
            </w:r>
          </w:p>
        </w:tc>
        <w:tc>
          <w:tcPr>
            <w:tcW w:w="3360" w:type="pct"/>
          </w:tcPr>
          <w:p w14:paraId="7B381CD6" w14:textId="240AD463" w:rsidR="00AE1947" w:rsidRPr="00BD5DBD" w:rsidRDefault="009D315C">
            <w:pPr>
              <w:rPr>
                <w:szCs w:val="22"/>
              </w:rPr>
            </w:pPr>
            <w:r>
              <w:rPr>
                <w:szCs w:val="22"/>
              </w:rPr>
              <w:t>1</w:t>
            </w:r>
            <w:r w:rsidR="002A058D">
              <w:rPr>
                <w:szCs w:val="22"/>
              </w:rPr>
              <w:t>0</w:t>
            </w:r>
            <w:r>
              <w:rPr>
                <w:szCs w:val="22"/>
              </w:rPr>
              <w:t xml:space="preserve"> June 2026</w:t>
            </w:r>
          </w:p>
        </w:tc>
      </w:tr>
      <w:tr w:rsidR="00324B33" w:rsidRPr="00BD5DBD" w14:paraId="60A25F5A" w14:textId="77777777" w:rsidTr="00120F3F">
        <w:tc>
          <w:tcPr>
            <w:tcW w:w="1640" w:type="pct"/>
          </w:tcPr>
          <w:p w14:paraId="5C5E4CBA" w14:textId="77777777" w:rsidR="00324B33" w:rsidRPr="00BD5DBD" w:rsidRDefault="00324B33" w:rsidP="007452E8">
            <w:pPr>
              <w:rPr>
                <w:i/>
                <w:szCs w:val="22"/>
              </w:rPr>
            </w:pPr>
            <w:r w:rsidRPr="00BD5DBD">
              <w:rPr>
                <w:i/>
                <w:szCs w:val="22"/>
              </w:rPr>
              <w:t>Date of entry onto ARTG:</w:t>
            </w:r>
          </w:p>
        </w:tc>
        <w:tc>
          <w:tcPr>
            <w:tcW w:w="3360" w:type="pct"/>
          </w:tcPr>
          <w:p w14:paraId="28B270E9" w14:textId="22246DD9" w:rsidR="00324B33" w:rsidRPr="00BD5DBD" w:rsidRDefault="002A058D" w:rsidP="007452E8">
            <w:pPr>
              <w:rPr>
                <w:szCs w:val="22"/>
              </w:rPr>
            </w:pPr>
            <w:r>
              <w:rPr>
                <w:szCs w:val="22"/>
              </w:rPr>
              <w:t>11 June 2026</w:t>
            </w:r>
          </w:p>
        </w:tc>
      </w:tr>
      <w:tr w:rsidR="00324B33" w:rsidRPr="00BD5DBD" w14:paraId="547E08D7" w14:textId="77777777" w:rsidTr="00120F3F">
        <w:tc>
          <w:tcPr>
            <w:tcW w:w="1640" w:type="pct"/>
          </w:tcPr>
          <w:p w14:paraId="5030EF30" w14:textId="70440AAE" w:rsidR="00324B33" w:rsidRPr="00BD5DBD" w:rsidRDefault="00324B33" w:rsidP="007452E8">
            <w:pPr>
              <w:rPr>
                <w:i/>
                <w:szCs w:val="22"/>
              </w:rPr>
            </w:pPr>
            <w:r w:rsidRPr="00BD5DBD">
              <w:rPr>
                <w:i/>
                <w:szCs w:val="22"/>
              </w:rPr>
              <w:t>ARTG number:</w:t>
            </w:r>
          </w:p>
        </w:tc>
        <w:tc>
          <w:tcPr>
            <w:tcW w:w="3360" w:type="pct"/>
          </w:tcPr>
          <w:p w14:paraId="0054E912" w14:textId="5A0EC913" w:rsidR="00324B33" w:rsidRPr="00BD5DBD" w:rsidRDefault="00427208" w:rsidP="00427208">
            <w:pPr>
              <w:rPr>
                <w:szCs w:val="22"/>
              </w:rPr>
            </w:pPr>
            <w:r w:rsidRPr="00427208">
              <w:rPr>
                <w:szCs w:val="22"/>
              </w:rPr>
              <w:t>490867</w:t>
            </w:r>
          </w:p>
        </w:tc>
      </w:tr>
      <w:tr w:rsidR="00324B33" w:rsidRPr="00BD5DBD" w14:paraId="7618393F" w14:textId="77777777" w:rsidTr="00120F3F">
        <w:tc>
          <w:tcPr>
            <w:tcW w:w="1640" w:type="pct"/>
          </w:tcPr>
          <w:p w14:paraId="6C24CEB6" w14:textId="6A7FE944" w:rsidR="00E47E0C" w:rsidRPr="00BD5DBD" w:rsidRDefault="00324B33" w:rsidP="007452E8">
            <w:pPr>
              <w:rPr>
                <w:rStyle w:val="Hyperlink"/>
                <w:i/>
                <w:szCs w:val="22"/>
              </w:rPr>
            </w:pPr>
            <w:r w:rsidRPr="00BD5DBD">
              <w:rPr>
                <w:rFonts w:ascii="Wingdings 3" w:hAnsi="Wingdings 3"/>
                <w:szCs w:val="22"/>
                <w:lang w:eastAsia="en-AU"/>
              </w:rPr>
              <w:t></w:t>
            </w:r>
            <w:hyperlink r:id="rId17" w:history="1">
              <w:r w:rsidRPr="00BD5DBD">
                <w:rPr>
                  <w:rStyle w:val="Hyperlink"/>
                  <w:i/>
                  <w:szCs w:val="22"/>
                </w:rPr>
                <w:t>Black Triangle Scheme</w:t>
              </w:r>
            </w:hyperlink>
          </w:p>
          <w:p w14:paraId="02260DE2" w14:textId="1FC334AE" w:rsidR="00324B33" w:rsidRPr="00BD5DBD" w:rsidRDefault="00E47E0C" w:rsidP="007452E8">
            <w:pPr>
              <w:rPr>
                <w:i/>
                <w:szCs w:val="22"/>
              </w:rPr>
            </w:pPr>
            <w:r w:rsidRPr="00BD5DBD">
              <w:rPr>
                <w:i/>
                <w:szCs w:val="22"/>
              </w:rPr>
              <w:t xml:space="preserve">for </w:t>
            </w:r>
            <w:r w:rsidR="007B04DE" w:rsidRPr="00BD5DBD">
              <w:rPr>
                <w:i/>
                <w:szCs w:val="22"/>
              </w:rPr>
              <w:t>the current</w:t>
            </w:r>
            <w:r w:rsidRPr="00BD5DBD">
              <w:rPr>
                <w:i/>
                <w:szCs w:val="22"/>
              </w:rPr>
              <w:t xml:space="preserve"> submission</w:t>
            </w:r>
            <w:r w:rsidR="00324B33" w:rsidRPr="00BD5DBD">
              <w:rPr>
                <w:i/>
                <w:szCs w:val="22"/>
              </w:rPr>
              <w:t>:</w:t>
            </w:r>
          </w:p>
        </w:tc>
        <w:tc>
          <w:tcPr>
            <w:tcW w:w="3360" w:type="pct"/>
          </w:tcPr>
          <w:p w14:paraId="6FF3C6A2" w14:textId="0FF1C6AF" w:rsidR="00324B33" w:rsidRPr="00BD5DBD" w:rsidRDefault="00324B33" w:rsidP="007452E8">
            <w:pPr>
              <w:rPr>
                <w:szCs w:val="22"/>
              </w:rPr>
            </w:pPr>
            <w:r w:rsidRPr="00501311">
              <w:rPr>
                <w:szCs w:val="22"/>
              </w:rPr>
              <w:t>Yes</w:t>
            </w:r>
          </w:p>
        </w:tc>
      </w:tr>
      <w:tr w:rsidR="00324B33" w:rsidRPr="00BD5DBD" w14:paraId="179E09FE" w14:textId="77777777" w:rsidTr="00120F3F">
        <w:tc>
          <w:tcPr>
            <w:tcW w:w="1640" w:type="pct"/>
          </w:tcPr>
          <w:p w14:paraId="1A592498" w14:textId="77777777" w:rsidR="00324B33" w:rsidRPr="00BD5DBD" w:rsidRDefault="00324B33" w:rsidP="007452E8">
            <w:pPr>
              <w:rPr>
                <w:i/>
                <w:szCs w:val="22"/>
              </w:rPr>
            </w:pPr>
            <w:r w:rsidRPr="00BD5DBD">
              <w:rPr>
                <w:i/>
                <w:szCs w:val="22"/>
              </w:rPr>
              <w:t>Sponsor’s name and address:</w:t>
            </w:r>
          </w:p>
        </w:tc>
        <w:tc>
          <w:tcPr>
            <w:tcW w:w="3360" w:type="pct"/>
          </w:tcPr>
          <w:p w14:paraId="4CA39802" w14:textId="77777777" w:rsidR="00F57F92" w:rsidRPr="00F57F92" w:rsidRDefault="00F57F92" w:rsidP="00F57F92">
            <w:pPr>
              <w:rPr>
                <w:szCs w:val="22"/>
              </w:rPr>
            </w:pPr>
            <w:r w:rsidRPr="00F57F92">
              <w:rPr>
                <w:szCs w:val="22"/>
              </w:rPr>
              <w:t xml:space="preserve">Otsuka Australia Pharmaceutical Pty Ltd </w:t>
            </w:r>
          </w:p>
          <w:p w14:paraId="3B0B54C0" w14:textId="77777777" w:rsidR="00F57F92" w:rsidRPr="00F57F92" w:rsidRDefault="00F57F92" w:rsidP="00F57F92">
            <w:pPr>
              <w:rPr>
                <w:szCs w:val="22"/>
              </w:rPr>
            </w:pPr>
            <w:r w:rsidRPr="00F57F92">
              <w:rPr>
                <w:szCs w:val="22"/>
              </w:rPr>
              <w:t xml:space="preserve">Suite 2.03, Level 2 </w:t>
            </w:r>
          </w:p>
          <w:p w14:paraId="0BB9AA0C" w14:textId="77777777" w:rsidR="00F57F92" w:rsidRPr="00F57F92" w:rsidRDefault="00F57F92" w:rsidP="00F57F92">
            <w:pPr>
              <w:rPr>
                <w:szCs w:val="22"/>
              </w:rPr>
            </w:pPr>
            <w:r w:rsidRPr="00F57F92">
              <w:rPr>
                <w:szCs w:val="22"/>
              </w:rPr>
              <w:t xml:space="preserve">9 Help Street </w:t>
            </w:r>
          </w:p>
          <w:p w14:paraId="68DD94B0" w14:textId="6CBD51DE" w:rsidR="00324B33" w:rsidRPr="00BD5DBD" w:rsidRDefault="00F57F92" w:rsidP="00F57F92">
            <w:pPr>
              <w:rPr>
                <w:szCs w:val="22"/>
              </w:rPr>
            </w:pPr>
            <w:r w:rsidRPr="00F57F92">
              <w:rPr>
                <w:szCs w:val="22"/>
              </w:rPr>
              <w:t>Chatswood NSW 2067</w:t>
            </w:r>
          </w:p>
        </w:tc>
      </w:tr>
      <w:tr w:rsidR="00324B33" w:rsidRPr="00BD5DBD" w14:paraId="5322B989" w14:textId="77777777" w:rsidTr="00120F3F">
        <w:tc>
          <w:tcPr>
            <w:tcW w:w="1640" w:type="pct"/>
          </w:tcPr>
          <w:p w14:paraId="24F217E3" w14:textId="38957E42" w:rsidR="00324B33" w:rsidRPr="00BD5DBD" w:rsidRDefault="00324B33" w:rsidP="007452E8">
            <w:pPr>
              <w:rPr>
                <w:i/>
                <w:szCs w:val="22"/>
              </w:rPr>
            </w:pPr>
            <w:r w:rsidRPr="00BD5DBD">
              <w:rPr>
                <w:i/>
                <w:szCs w:val="22"/>
              </w:rPr>
              <w:t>Dose form:</w:t>
            </w:r>
          </w:p>
        </w:tc>
        <w:tc>
          <w:tcPr>
            <w:tcW w:w="3360" w:type="pct"/>
          </w:tcPr>
          <w:p w14:paraId="768B254C" w14:textId="63E1FBE9" w:rsidR="00324B33" w:rsidRPr="00BD5DBD" w:rsidRDefault="00BC4DD3" w:rsidP="00BC4DD3">
            <w:pPr>
              <w:rPr>
                <w:szCs w:val="22"/>
              </w:rPr>
            </w:pPr>
            <w:r w:rsidRPr="00BC4DD3">
              <w:rPr>
                <w:szCs w:val="22"/>
              </w:rPr>
              <w:t>Solution for injection in pre-filled pen (injection)</w:t>
            </w:r>
          </w:p>
        </w:tc>
      </w:tr>
      <w:tr w:rsidR="00324B33" w:rsidRPr="00BD5DBD" w14:paraId="115243E6" w14:textId="77777777" w:rsidTr="00120F3F">
        <w:tc>
          <w:tcPr>
            <w:tcW w:w="1640" w:type="pct"/>
          </w:tcPr>
          <w:p w14:paraId="7634B062" w14:textId="74397DCE" w:rsidR="00324B33" w:rsidRPr="00BD5DBD" w:rsidRDefault="00324B33" w:rsidP="007452E8">
            <w:pPr>
              <w:rPr>
                <w:i/>
                <w:szCs w:val="22"/>
              </w:rPr>
            </w:pPr>
            <w:r w:rsidRPr="00BD5DBD">
              <w:rPr>
                <w:i/>
                <w:szCs w:val="22"/>
              </w:rPr>
              <w:t>Strength:</w:t>
            </w:r>
          </w:p>
        </w:tc>
        <w:tc>
          <w:tcPr>
            <w:tcW w:w="3360" w:type="pct"/>
          </w:tcPr>
          <w:p w14:paraId="5E5F83DB" w14:textId="55BAA1E7" w:rsidR="00324B33" w:rsidRPr="00BD5DBD" w:rsidRDefault="00EF3D55" w:rsidP="007452E8">
            <w:pPr>
              <w:rPr>
                <w:szCs w:val="22"/>
              </w:rPr>
            </w:pPr>
            <w:r w:rsidRPr="00EF3D55">
              <w:rPr>
                <w:szCs w:val="22"/>
              </w:rPr>
              <w:t>80 mg</w:t>
            </w:r>
            <w:r>
              <w:rPr>
                <w:szCs w:val="22"/>
              </w:rPr>
              <w:t xml:space="preserve"> in </w:t>
            </w:r>
            <w:r w:rsidRPr="00EF3D55">
              <w:rPr>
                <w:szCs w:val="22"/>
              </w:rPr>
              <w:t xml:space="preserve">0.8 mL </w:t>
            </w:r>
            <w:r w:rsidR="006C702A">
              <w:rPr>
                <w:szCs w:val="22"/>
              </w:rPr>
              <w:t>solution</w:t>
            </w:r>
          </w:p>
        </w:tc>
      </w:tr>
      <w:tr w:rsidR="00324B33" w:rsidRPr="00BD5DBD" w14:paraId="34B07BA6" w14:textId="77777777" w:rsidTr="00120F3F">
        <w:tc>
          <w:tcPr>
            <w:tcW w:w="1640" w:type="pct"/>
          </w:tcPr>
          <w:p w14:paraId="1C039224" w14:textId="6C06C240" w:rsidR="00324B33" w:rsidRPr="00BD5DBD" w:rsidRDefault="00324B33" w:rsidP="007452E8">
            <w:pPr>
              <w:rPr>
                <w:i/>
                <w:szCs w:val="22"/>
              </w:rPr>
            </w:pPr>
            <w:r w:rsidRPr="00BD5DBD">
              <w:rPr>
                <w:i/>
                <w:szCs w:val="22"/>
              </w:rPr>
              <w:t>Container:</w:t>
            </w:r>
          </w:p>
        </w:tc>
        <w:tc>
          <w:tcPr>
            <w:tcW w:w="3360" w:type="pct"/>
          </w:tcPr>
          <w:p w14:paraId="500A42C6" w14:textId="636D62E2" w:rsidR="00324B33" w:rsidRPr="00BD5DBD" w:rsidRDefault="00792368" w:rsidP="007452E8">
            <w:pPr>
              <w:rPr>
                <w:szCs w:val="22"/>
              </w:rPr>
            </w:pPr>
            <w:r w:rsidRPr="00792368">
              <w:rPr>
                <w:szCs w:val="22"/>
              </w:rPr>
              <w:t xml:space="preserve">Glass Type I </w:t>
            </w:r>
            <w:r>
              <w:rPr>
                <w:szCs w:val="22"/>
              </w:rPr>
              <w:t>C</w:t>
            </w:r>
            <w:r w:rsidRPr="00792368">
              <w:rPr>
                <w:szCs w:val="22"/>
              </w:rPr>
              <w:t xml:space="preserve">lear </w:t>
            </w:r>
            <w:r>
              <w:rPr>
                <w:szCs w:val="22"/>
              </w:rPr>
              <w:t>p</w:t>
            </w:r>
            <w:r w:rsidR="007B3911">
              <w:rPr>
                <w:szCs w:val="22"/>
              </w:rPr>
              <w:t xml:space="preserve">re-filled syringe </w:t>
            </w:r>
          </w:p>
        </w:tc>
      </w:tr>
      <w:tr w:rsidR="00324B33" w:rsidRPr="00BD5DBD" w14:paraId="176B6773" w14:textId="77777777" w:rsidTr="00120F3F">
        <w:tc>
          <w:tcPr>
            <w:tcW w:w="1640" w:type="pct"/>
          </w:tcPr>
          <w:p w14:paraId="71846159" w14:textId="468DA14A" w:rsidR="00324B33" w:rsidRPr="00BD5DBD" w:rsidRDefault="00324B33" w:rsidP="007452E8">
            <w:pPr>
              <w:rPr>
                <w:i/>
                <w:szCs w:val="22"/>
              </w:rPr>
            </w:pPr>
            <w:r w:rsidRPr="00BD5DBD">
              <w:rPr>
                <w:i/>
                <w:szCs w:val="22"/>
              </w:rPr>
              <w:t>Pack size:</w:t>
            </w:r>
          </w:p>
        </w:tc>
        <w:tc>
          <w:tcPr>
            <w:tcW w:w="3360" w:type="pct"/>
          </w:tcPr>
          <w:p w14:paraId="7E978F8F" w14:textId="70B3A7AF" w:rsidR="00324B33" w:rsidRPr="00BD5DBD" w:rsidRDefault="007B2319" w:rsidP="007B2319">
            <w:pPr>
              <w:rPr>
                <w:szCs w:val="22"/>
              </w:rPr>
            </w:pPr>
            <w:r w:rsidRPr="007B2319">
              <w:rPr>
                <w:szCs w:val="22"/>
              </w:rPr>
              <w:t xml:space="preserve">1 </w:t>
            </w:r>
            <w:r>
              <w:rPr>
                <w:szCs w:val="22"/>
              </w:rPr>
              <w:t xml:space="preserve">or 3 </w:t>
            </w:r>
            <w:r w:rsidRPr="007B2319">
              <w:rPr>
                <w:szCs w:val="22"/>
              </w:rPr>
              <w:t>single-use pre-filled pen</w:t>
            </w:r>
            <w:r>
              <w:rPr>
                <w:szCs w:val="22"/>
              </w:rPr>
              <w:t>s</w:t>
            </w:r>
            <w:r w:rsidRPr="007B2319">
              <w:rPr>
                <w:szCs w:val="22"/>
              </w:rPr>
              <w:t xml:space="preserve">. </w:t>
            </w:r>
          </w:p>
        </w:tc>
      </w:tr>
      <w:tr w:rsidR="00324B33" w:rsidRPr="00BD5DBD" w14:paraId="19A2544A" w14:textId="77777777" w:rsidTr="00120F3F">
        <w:tc>
          <w:tcPr>
            <w:tcW w:w="1640" w:type="pct"/>
          </w:tcPr>
          <w:p w14:paraId="0E6C5C0E" w14:textId="7DB3FC66" w:rsidR="00324B33" w:rsidRPr="00BD5DBD" w:rsidRDefault="00324B33" w:rsidP="007452E8">
            <w:pPr>
              <w:rPr>
                <w:i/>
                <w:szCs w:val="22"/>
              </w:rPr>
            </w:pPr>
            <w:r w:rsidRPr="00BD5DBD">
              <w:rPr>
                <w:i/>
                <w:szCs w:val="22"/>
              </w:rPr>
              <w:t>Approved therapeutic use</w:t>
            </w:r>
            <w:r w:rsidR="00E47E0C" w:rsidRPr="00BD5DBD">
              <w:rPr>
                <w:i/>
                <w:szCs w:val="22"/>
              </w:rPr>
              <w:t xml:space="preserve"> </w:t>
            </w:r>
            <w:r w:rsidR="007B04DE" w:rsidRPr="00BD5DBD">
              <w:rPr>
                <w:i/>
                <w:szCs w:val="22"/>
              </w:rPr>
              <w:t>for the current</w:t>
            </w:r>
            <w:r w:rsidR="00E47E0C" w:rsidRPr="00BD5DBD">
              <w:rPr>
                <w:i/>
                <w:szCs w:val="22"/>
              </w:rPr>
              <w:t xml:space="preserve"> submission</w:t>
            </w:r>
            <w:r w:rsidRPr="00BD5DBD">
              <w:rPr>
                <w:i/>
                <w:szCs w:val="22"/>
              </w:rPr>
              <w:t>:</w:t>
            </w:r>
          </w:p>
        </w:tc>
        <w:tc>
          <w:tcPr>
            <w:tcW w:w="3360" w:type="pct"/>
          </w:tcPr>
          <w:p w14:paraId="6E143E2E" w14:textId="47002DDB" w:rsidR="00324B33" w:rsidRPr="00FE223F" w:rsidRDefault="00FE223F" w:rsidP="00FE223F">
            <w:pPr>
              <w:rPr>
                <w:i/>
                <w:iCs/>
                <w:szCs w:val="22"/>
              </w:rPr>
            </w:pPr>
            <w:r w:rsidRPr="00FE223F">
              <w:rPr>
                <w:i/>
                <w:iCs/>
                <w:szCs w:val="22"/>
              </w:rPr>
              <w:t>Z</w:t>
            </w:r>
            <w:r>
              <w:rPr>
                <w:i/>
                <w:iCs/>
                <w:szCs w:val="22"/>
              </w:rPr>
              <w:t>irdawny</w:t>
            </w:r>
            <w:r w:rsidRPr="00FE223F">
              <w:rPr>
                <w:i/>
                <w:iCs/>
                <w:szCs w:val="22"/>
              </w:rPr>
              <w:t xml:space="preserve"> is indicated for routine prevention of recurrent attacks of hereditary angioedema (HAE) in adults and adolescents aged 12 years and older.</w:t>
            </w:r>
          </w:p>
        </w:tc>
      </w:tr>
      <w:tr w:rsidR="00324B33" w:rsidRPr="00BD5DBD" w14:paraId="5AFDEED3" w14:textId="77777777" w:rsidTr="00120F3F">
        <w:tc>
          <w:tcPr>
            <w:tcW w:w="1640" w:type="pct"/>
          </w:tcPr>
          <w:p w14:paraId="03884BD1" w14:textId="253E891F" w:rsidR="00324B33" w:rsidRPr="00BD5DBD" w:rsidRDefault="00324B33" w:rsidP="007452E8">
            <w:pPr>
              <w:rPr>
                <w:i/>
                <w:szCs w:val="22"/>
              </w:rPr>
            </w:pPr>
            <w:r w:rsidRPr="00BD5DBD">
              <w:rPr>
                <w:i/>
                <w:szCs w:val="22"/>
              </w:rPr>
              <w:t>Route of administration:</w:t>
            </w:r>
          </w:p>
        </w:tc>
        <w:tc>
          <w:tcPr>
            <w:tcW w:w="3360" w:type="pct"/>
          </w:tcPr>
          <w:p w14:paraId="1ED1357E" w14:textId="7DB4D5D3" w:rsidR="00324B33" w:rsidRPr="00BD5DBD" w:rsidRDefault="00186E60" w:rsidP="00186E60">
            <w:pPr>
              <w:rPr>
                <w:szCs w:val="22"/>
              </w:rPr>
            </w:pPr>
            <w:r>
              <w:rPr>
                <w:szCs w:val="22"/>
              </w:rPr>
              <w:t>S</w:t>
            </w:r>
            <w:r w:rsidRPr="00186E60">
              <w:rPr>
                <w:szCs w:val="22"/>
              </w:rPr>
              <w:t>ubcutaneous injection</w:t>
            </w:r>
          </w:p>
        </w:tc>
      </w:tr>
      <w:tr w:rsidR="00324B33" w:rsidRPr="00BD5DBD" w14:paraId="70D7E9FA" w14:textId="77777777" w:rsidTr="00120F3F">
        <w:tc>
          <w:tcPr>
            <w:tcW w:w="1640" w:type="pct"/>
          </w:tcPr>
          <w:p w14:paraId="5ABFFC80" w14:textId="77777777" w:rsidR="00324B33" w:rsidRPr="00BD5DBD" w:rsidRDefault="00324B33" w:rsidP="007452E8">
            <w:pPr>
              <w:rPr>
                <w:i/>
                <w:szCs w:val="22"/>
              </w:rPr>
            </w:pPr>
            <w:r w:rsidRPr="00BD5DBD">
              <w:rPr>
                <w:i/>
                <w:szCs w:val="22"/>
              </w:rPr>
              <w:t>Dosage:</w:t>
            </w:r>
          </w:p>
        </w:tc>
        <w:tc>
          <w:tcPr>
            <w:tcW w:w="3360" w:type="pct"/>
          </w:tcPr>
          <w:p w14:paraId="1E2E0F66" w14:textId="6FE873A9" w:rsidR="00846FB1" w:rsidRPr="00846FB1" w:rsidRDefault="00846FB1" w:rsidP="00846FB1">
            <w:pPr>
              <w:rPr>
                <w:szCs w:val="22"/>
              </w:rPr>
            </w:pPr>
            <w:r w:rsidRPr="00846FB1">
              <w:rPr>
                <w:szCs w:val="22"/>
              </w:rPr>
              <w:t xml:space="preserve">The recommended starting dose in adult and adolescent patients is 80 mg donidalorsen by subcutaneous injection. Doses should be administered once monthly. </w:t>
            </w:r>
          </w:p>
          <w:p w14:paraId="4BD4ECF7" w14:textId="7DFCE087" w:rsidR="00666911" w:rsidRDefault="00846FB1" w:rsidP="00846FB1">
            <w:pPr>
              <w:rPr>
                <w:szCs w:val="22"/>
              </w:rPr>
            </w:pPr>
            <w:r w:rsidRPr="00846FB1">
              <w:rPr>
                <w:szCs w:val="22"/>
              </w:rPr>
              <w:t>A dosing interval of 80 mg once every 2 months may be considered if the patient is well controlled (e.g., attack free) for at least 3 months while receiving Z</w:t>
            </w:r>
            <w:r w:rsidR="00506B2D">
              <w:rPr>
                <w:szCs w:val="22"/>
              </w:rPr>
              <w:t>irdawny</w:t>
            </w:r>
            <w:r w:rsidRPr="00846FB1">
              <w:rPr>
                <w:szCs w:val="22"/>
              </w:rPr>
              <w:t>.</w:t>
            </w:r>
          </w:p>
          <w:p w14:paraId="3D0B2D5C" w14:textId="6E29920D" w:rsidR="00324B33" w:rsidRPr="00BD5DBD" w:rsidRDefault="00324B33" w:rsidP="007452E8">
            <w:pPr>
              <w:rPr>
                <w:szCs w:val="22"/>
              </w:rPr>
            </w:pPr>
            <w:r w:rsidRPr="00BD5DBD">
              <w:rPr>
                <w:szCs w:val="22"/>
              </w:rPr>
              <w:t xml:space="preserve">For further information regarding dosage, </w:t>
            </w:r>
            <w:r w:rsidR="006B7126">
              <w:rPr>
                <w:szCs w:val="22"/>
              </w:rPr>
              <w:t xml:space="preserve">such as dosage modifications to manage adverse reactions, </w:t>
            </w:r>
            <w:r w:rsidRPr="00BD5DBD">
              <w:rPr>
                <w:szCs w:val="22"/>
              </w:rPr>
              <w:t>refer to the Product Information.</w:t>
            </w:r>
          </w:p>
        </w:tc>
      </w:tr>
      <w:tr w:rsidR="0017005C" w:rsidRPr="00BD5DBD" w14:paraId="7B7BB6AE" w14:textId="77777777" w:rsidTr="00120F3F">
        <w:tc>
          <w:tcPr>
            <w:tcW w:w="1640" w:type="pct"/>
          </w:tcPr>
          <w:p w14:paraId="3A76AFF7" w14:textId="7C436DD9" w:rsidR="0017005C" w:rsidRPr="00F8083B" w:rsidRDefault="0070330F" w:rsidP="0017005C">
            <w:r w:rsidRPr="00BD5DBD">
              <w:rPr>
                <w:i/>
                <w:szCs w:val="22"/>
              </w:rPr>
              <w:t>Pregnancy category:</w:t>
            </w:r>
          </w:p>
        </w:tc>
        <w:tc>
          <w:tcPr>
            <w:tcW w:w="3360" w:type="pct"/>
          </w:tcPr>
          <w:p w14:paraId="11A35F4E" w14:textId="512CC6F0" w:rsidR="00CE1B87" w:rsidRDefault="00CE1B87" w:rsidP="00306E72">
            <w:pPr>
              <w:rPr>
                <w:b/>
                <w:bCs/>
                <w:szCs w:val="22"/>
              </w:rPr>
            </w:pPr>
            <w:r w:rsidRPr="00CE1B87">
              <w:rPr>
                <w:b/>
                <w:bCs/>
                <w:szCs w:val="22"/>
              </w:rPr>
              <w:t>Pregnancy Category B1</w:t>
            </w:r>
          </w:p>
          <w:p w14:paraId="04FDFC58" w14:textId="6B2971B8" w:rsidR="007E0878" w:rsidRDefault="007E0878" w:rsidP="00306E72">
            <w:pPr>
              <w:rPr>
                <w:szCs w:val="22"/>
              </w:rPr>
            </w:pPr>
            <w:r w:rsidRPr="007E0878">
              <w:rPr>
                <w:szCs w:val="22"/>
              </w:rPr>
              <w:t>There are no or limited amount of data (less than 300 pregnancy outcomes) from the use of Z</w:t>
            </w:r>
            <w:r w:rsidR="00D64DEB">
              <w:rPr>
                <w:szCs w:val="22"/>
              </w:rPr>
              <w:t>irdawny</w:t>
            </w:r>
            <w:r w:rsidRPr="007E0878">
              <w:rPr>
                <w:szCs w:val="22"/>
              </w:rPr>
              <w:t xml:space="preserve"> in pregnant women.</w:t>
            </w:r>
          </w:p>
          <w:p w14:paraId="76497789" w14:textId="48196779" w:rsidR="0017005C" w:rsidRPr="00BD5DBD" w:rsidRDefault="0070330F" w:rsidP="00306E72">
            <w:pPr>
              <w:rPr>
                <w:szCs w:val="22"/>
              </w:rPr>
            </w:pPr>
            <w:r w:rsidRPr="00BD5DBD">
              <w:rPr>
                <w:szCs w:val="22"/>
              </w:rPr>
              <w:t xml:space="preserve">The use of any medicine during pregnancy requires careful consideration of both risks and benefits by the treating health </w:t>
            </w:r>
            <w:r w:rsidRPr="00BD5DBD">
              <w:rPr>
                <w:szCs w:val="22"/>
              </w:rPr>
              <w:lastRenderedPageBreak/>
              <w:t xml:space="preserve">professional. </w:t>
            </w:r>
            <w:r w:rsidR="00721059">
              <w:rPr>
                <w:szCs w:val="22"/>
              </w:rPr>
              <w:t xml:space="preserve">The </w:t>
            </w:r>
            <w:hyperlink r:id="rId18" w:history="1">
              <w:r w:rsidR="00721059" w:rsidRPr="00065FDF">
                <w:rPr>
                  <w:rStyle w:val="Hyperlink"/>
                  <w:szCs w:val="22"/>
                </w:rPr>
                <w:t>pregnancy database</w:t>
              </w:r>
            </w:hyperlink>
            <w:r w:rsidR="00387984">
              <w:t xml:space="preserve"> </w:t>
            </w:r>
            <w:r w:rsidRPr="00BD5DBD">
              <w:rPr>
                <w:szCs w:val="22"/>
              </w:rPr>
              <w:t xml:space="preserve">must not be used as the sole basis of decision making in the use of medicines during pregnancy. The TGA does not provide advice on the use of medicines in pregnancy for specific cases. More information is available from </w:t>
            </w:r>
            <w:hyperlink r:id="rId19" w:history="1">
              <w:r w:rsidRPr="00C059D0">
                <w:rPr>
                  <w:rStyle w:val="Hyperlink"/>
                  <w:szCs w:val="22"/>
                </w:rPr>
                <w:t>obstetric drug information services</w:t>
              </w:r>
            </w:hyperlink>
            <w:r w:rsidRPr="00BD5DBD">
              <w:rPr>
                <w:szCs w:val="22"/>
              </w:rPr>
              <w:t xml:space="preserve"> in your </w:t>
            </w:r>
            <w:r w:rsidR="00306E72">
              <w:rPr>
                <w:szCs w:val="22"/>
              </w:rPr>
              <w:t>s</w:t>
            </w:r>
            <w:r w:rsidRPr="00BD5DBD">
              <w:rPr>
                <w:szCs w:val="22"/>
              </w:rPr>
              <w:t xml:space="preserve">tate or </w:t>
            </w:r>
            <w:r w:rsidR="00306E72">
              <w:rPr>
                <w:szCs w:val="22"/>
              </w:rPr>
              <w:t>t</w:t>
            </w:r>
            <w:r w:rsidRPr="00BD5DBD">
              <w:rPr>
                <w:szCs w:val="22"/>
              </w:rPr>
              <w:t>erritory.</w:t>
            </w:r>
          </w:p>
        </w:tc>
      </w:tr>
    </w:tbl>
    <w:p w14:paraId="51F2479F" w14:textId="1E34B277" w:rsidR="00324B33" w:rsidRDefault="00324B33" w:rsidP="00324B33">
      <w:pPr>
        <w:pStyle w:val="Heading3"/>
      </w:pPr>
      <w:bookmarkStart w:id="11" w:name="_Toc247691503"/>
      <w:bookmarkStart w:id="12" w:name="_Toc314842484"/>
      <w:bookmarkStart w:id="13" w:name="_Toc103679290"/>
      <w:bookmarkStart w:id="14" w:name="_Toc238032161"/>
      <w:r>
        <w:lastRenderedPageBreak/>
        <w:t>Product background</w:t>
      </w:r>
      <w:bookmarkEnd w:id="11"/>
      <w:bookmarkEnd w:id="12"/>
      <w:bookmarkEnd w:id="13"/>
      <w:bookmarkEnd w:id="14"/>
    </w:p>
    <w:p w14:paraId="59BF31D1" w14:textId="4DC42845" w:rsidR="001500A8" w:rsidRDefault="00324B33" w:rsidP="006007F4">
      <w:r w:rsidRPr="00065839">
        <w:t xml:space="preserve">This AusPAR describes the submission by </w:t>
      </w:r>
      <w:r w:rsidR="009F04D6" w:rsidRPr="009F04D6">
        <w:t xml:space="preserve">Otsuka Australia Pharmaceutical </w:t>
      </w:r>
      <w:r w:rsidRPr="00065839">
        <w:t xml:space="preserve">(the sponsor) to register </w:t>
      </w:r>
      <w:r w:rsidR="00067FC9">
        <w:t>Zirdawny</w:t>
      </w:r>
      <w:r w:rsidR="00CA6A98" w:rsidRPr="00CA6A98">
        <w:rPr>
          <w:rFonts w:eastAsia="Cambria" w:cs="Times New Roman"/>
          <w:szCs w:val="22"/>
        </w:rPr>
        <w:t xml:space="preserve"> </w:t>
      </w:r>
      <w:r w:rsidR="00CA6A98">
        <w:rPr>
          <w:rFonts w:eastAsia="Cambria" w:cs="Times New Roman"/>
          <w:szCs w:val="22"/>
        </w:rPr>
        <w:t>(</w:t>
      </w:r>
      <w:r w:rsidR="00CA6A98" w:rsidRPr="00CA6A98">
        <w:t>donidalorsen</w:t>
      </w:r>
      <w:r w:rsidR="00EF6C87">
        <w:t>)</w:t>
      </w:r>
      <w:r w:rsidR="00CA6A98" w:rsidRPr="00CA6A98">
        <w:t xml:space="preserve"> 80 mg / 0.8 mL </w:t>
      </w:r>
      <w:r w:rsidR="006007F4" w:rsidRPr="006007F4">
        <w:t>solution for</w:t>
      </w:r>
      <w:r w:rsidR="006007F4">
        <w:t xml:space="preserve"> </w:t>
      </w:r>
      <w:r w:rsidR="006007F4" w:rsidRPr="006007F4">
        <w:t>injection pre-filled pen</w:t>
      </w:r>
      <w:r w:rsidR="006007F4">
        <w:t xml:space="preserve">, </w:t>
      </w:r>
      <w:r w:rsidRPr="00065839">
        <w:t>for the following proposed</w:t>
      </w:r>
      <w:r w:rsidR="00EF6C87">
        <w:t xml:space="preserve"> </w:t>
      </w:r>
      <w:r w:rsidRPr="00065839">
        <w:t>indication:</w:t>
      </w:r>
      <w:r w:rsidR="00D63760" w:rsidRPr="00065839">
        <w:rPr>
          <w:vertAlign w:val="superscript"/>
        </w:rPr>
        <w:footnoteReference w:id="1"/>
      </w:r>
    </w:p>
    <w:p w14:paraId="1EFD5C62" w14:textId="0B89D712" w:rsidR="00A001E0" w:rsidRPr="00065839" w:rsidRDefault="001579E9" w:rsidP="00A001E0">
      <w:pPr>
        <w:ind w:left="720"/>
      </w:pPr>
      <w:r>
        <w:rPr>
          <w:i/>
          <w:iCs/>
          <w:lang w:val="en-NZ"/>
        </w:rPr>
        <w:t>Zirdawny</w:t>
      </w:r>
      <w:r w:rsidR="00A001E0" w:rsidRPr="00A001E0">
        <w:rPr>
          <w:i/>
          <w:iCs/>
          <w:lang w:val="en-NZ"/>
        </w:rPr>
        <w:t xml:space="preserve"> is indicated for routine prevention of recurrent attacks of hereditary angioedema</w:t>
      </w:r>
      <w:r w:rsidR="00A001E0" w:rsidRPr="00A001E0">
        <w:rPr>
          <w:i/>
          <w:iCs/>
        </w:rPr>
        <w:t xml:space="preserve"> </w:t>
      </w:r>
      <w:r w:rsidR="00A001E0" w:rsidRPr="00A001E0">
        <w:rPr>
          <w:i/>
          <w:iCs/>
          <w:lang w:val="en-NZ"/>
        </w:rPr>
        <w:t>(HAE) in adults and adolescents aged 12 years and older.</w:t>
      </w:r>
    </w:p>
    <w:p w14:paraId="1E63A2AE" w14:textId="5FCD6C6F" w:rsidR="00CB6813" w:rsidRDefault="00005DFC" w:rsidP="00CB6813">
      <w:pPr>
        <w:pStyle w:val="Heading4"/>
      </w:pPr>
      <w:bookmarkStart w:id="15" w:name="_Toc238032162"/>
      <w:bookmarkStart w:id="16" w:name="_Toc314842485"/>
      <w:bookmarkStart w:id="17" w:name="_Toc247691504"/>
      <w:r>
        <w:t>D</w:t>
      </w:r>
      <w:r w:rsidR="00CB6813" w:rsidRPr="00C12D65">
        <w:t>isease</w:t>
      </w:r>
      <w:r w:rsidR="006428C5">
        <w:t xml:space="preserve"> or condition</w:t>
      </w:r>
      <w:bookmarkEnd w:id="15"/>
    </w:p>
    <w:p w14:paraId="0D7047FD" w14:textId="1CB37971" w:rsidR="00683BD4" w:rsidRDefault="00683BD4" w:rsidP="00683BD4">
      <w:r w:rsidRPr="005632D5">
        <w:t>Hereditary angioedema is a rare disorder characterised by local subcutaneous oedema and submucosal oedema involving the upper respiratory and gastrointestinal tracts.  There are several forms, with the most common being HAE</w:t>
      </w:r>
      <w:r w:rsidR="00827B7A">
        <w:t xml:space="preserve"> </w:t>
      </w:r>
      <w:r w:rsidRPr="005632D5">
        <w:t>1, representing 85% of patients</w:t>
      </w:r>
      <w:r w:rsidR="000D13BE">
        <w:t>.</w:t>
      </w:r>
      <w:r w:rsidR="000D13BE" w:rsidRPr="000D13BE">
        <w:rPr>
          <w:vertAlign w:val="superscript"/>
        </w:rPr>
        <w:fldChar w:fldCharType="begin"/>
      </w:r>
      <w:r w:rsidR="000D13BE" w:rsidRPr="000D13BE">
        <w:rPr>
          <w:vertAlign w:val="superscript"/>
        </w:rPr>
        <w:instrText xml:space="preserve"> NOTEREF _Ref235703708 \h </w:instrText>
      </w:r>
      <w:r w:rsidR="000D13BE">
        <w:rPr>
          <w:vertAlign w:val="superscript"/>
        </w:rPr>
        <w:instrText xml:space="preserve"> \* MERGEFORMAT </w:instrText>
      </w:r>
      <w:r w:rsidR="000D13BE" w:rsidRPr="000D13BE">
        <w:rPr>
          <w:vertAlign w:val="superscript"/>
        </w:rPr>
      </w:r>
      <w:r w:rsidR="000D13BE" w:rsidRPr="000D13BE">
        <w:rPr>
          <w:vertAlign w:val="superscript"/>
        </w:rPr>
        <w:fldChar w:fldCharType="separate"/>
      </w:r>
      <w:r w:rsidR="000D13BE" w:rsidRPr="000D13BE">
        <w:rPr>
          <w:vertAlign w:val="superscript"/>
        </w:rPr>
        <w:t>2</w:t>
      </w:r>
      <w:r w:rsidR="000D13BE" w:rsidRPr="000D13BE">
        <w:rPr>
          <w:vertAlign w:val="superscript"/>
        </w:rPr>
        <w:fldChar w:fldCharType="end"/>
      </w:r>
      <w:r w:rsidRPr="005632D5">
        <w:t xml:space="preserve"> </w:t>
      </w:r>
      <w:r>
        <w:t xml:space="preserve">The </w:t>
      </w:r>
      <w:r w:rsidRPr="000220C1">
        <w:t>HAE-C1INH-</w:t>
      </w:r>
      <w:r w:rsidR="00E13873">
        <w:t>t</w:t>
      </w:r>
      <w:r w:rsidRPr="000220C1">
        <w:t>ype1 (HAE</w:t>
      </w:r>
      <w:r w:rsidR="00827B7A">
        <w:t xml:space="preserve"> </w:t>
      </w:r>
      <w:r w:rsidRPr="000220C1">
        <w:t>1) and HAE-C1INH-</w:t>
      </w:r>
      <w:r w:rsidR="00E13873">
        <w:t>t</w:t>
      </w:r>
      <w:r w:rsidRPr="000220C1">
        <w:t>ype2 (HAE</w:t>
      </w:r>
      <w:r w:rsidR="00827B7A">
        <w:t xml:space="preserve"> </w:t>
      </w:r>
      <w:r w:rsidRPr="000220C1">
        <w:t>2)</w:t>
      </w:r>
      <w:r w:rsidR="004C7570">
        <w:t xml:space="preserve"> present</w:t>
      </w:r>
      <w:r w:rsidRPr="000220C1">
        <w:t xml:space="preserve"> in approximately 85% and 15% of cases, respectively.</w:t>
      </w:r>
      <w:bookmarkStart w:id="18" w:name="_Ref235703708"/>
      <w:r w:rsidR="004C1F33">
        <w:rPr>
          <w:rStyle w:val="FootnoteReference"/>
        </w:rPr>
        <w:footnoteReference w:id="2"/>
      </w:r>
      <w:bookmarkEnd w:id="18"/>
      <w:r w:rsidRPr="000220C1">
        <w:t xml:space="preserve"> </w:t>
      </w:r>
      <w:r w:rsidRPr="005632D5">
        <w:t xml:space="preserve"> HAE</w:t>
      </w:r>
      <w:r w:rsidR="00827B7A">
        <w:t xml:space="preserve"> </w:t>
      </w:r>
      <w:r w:rsidRPr="005632D5">
        <w:t>1 and HAE</w:t>
      </w:r>
      <w:r w:rsidR="00827B7A">
        <w:t xml:space="preserve"> </w:t>
      </w:r>
      <w:r w:rsidRPr="005632D5">
        <w:t>2 are clinically indistinguishable but have different biochemical features.  Both are caused by heterozygous mutations in the C1 inhibitor gene on Chromosome 11q.  In HAE</w:t>
      </w:r>
      <w:r w:rsidR="00827B7A">
        <w:t xml:space="preserve"> </w:t>
      </w:r>
      <w:r w:rsidRPr="005632D5">
        <w:t>1</w:t>
      </w:r>
      <w:r w:rsidR="001669D7">
        <w:t>,</w:t>
      </w:r>
      <w:r w:rsidRPr="005632D5">
        <w:t xml:space="preserve"> serum levels of C1-1NH are &lt;35% of normal, and in HAE</w:t>
      </w:r>
      <w:r w:rsidR="00827B7A">
        <w:t xml:space="preserve"> </w:t>
      </w:r>
      <w:r w:rsidRPr="005632D5">
        <w:t>2 the</w:t>
      </w:r>
      <w:r w:rsidR="002C6A10">
        <w:t>re</w:t>
      </w:r>
      <w:r w:rsidRPr="005632D5">
        <w:t xml:space="preserve"> are normal or elevated concentrations of C1-INH, but the protein is nonfunctional.  </w:t>
      </w:r>
    </w:p>
    <w:p w14:paraId="27866491" w14:textId="4D874160" w:rsidR="00683BD4" w:rsidRPr="005632D5" w:rsidRDefault="00683BD4" w:rsidP="00683BD4">
      <w:r w:rsidRPr="00EB74DA">
        <w:t>In rare cases,</w:t>
      </w:r>
      <w:r w:rsidRPr="00A97F52">
        <w:t xml:space="preserve"> patients have a third type of HAE, nC1-INH-HAE (international nomenclature: HAE-nC1INH) (formerly referred to as HAE </w:t>
      </w:r>
      <w:r w:rsidR="0094699C">
        <w:t>t</w:t>
      </w:r>
      <w:r w:rsidRPr="00A97F52">
        <w:t>ype III), is a rare genetic disease with similar phenotype to HAE-C1-INH but different genetic background, in which antigenic and functional C1-INH levels are normal.</w:t>
      </w:r>
      <w:r w:rsidR="0094699C" w:rsidRPr="0094699C">
        <w:rPr>
          <w:vertAlign w:val="superscript"/>
        </w:rPr>
        <w:fldChar w:fldCharType="begin"/>
      </w:r>
      <w:r w:rsidR="0094699C" w:rsidRPr="0094699C">
        <w:rPr>
          <w:vertAlign w:val="superscript"/>
        </w:rPr>
        <w:instrText xml:space="preserve"> NOTEREF _Ref235703708 \h </w:instrText>
      </w:r>
      <w:r w:rsidR="0094699C">
        <w:rPr>
          <w:vertAlign w:val="superscript"/>
        </w:rPr>
        <w:instrText xml:space="preserve"> \* MERGEFORMAT </w:instrText>
      </w:r>
      <w:r w:rsidR="0094699C" w:rsidRPr="0094699C">
        <w:rPr>
          <w:vertAlign w:val="superscript"/>
        </w:rPr>
      </w:r>
      <w:r w:rsidR="0094699C" w:rsidRPr="0094699C">
        <w:rPr>
          <w:vertAlign w:val="superscript"/>
        </w:rPr>
        <w:fldChar w:fldCharType="separate"/>
      </w:r>
      <w:r w:rsidR="0094699C" w:rsidRPr="0094699C">
        <w:rPr>
          <w:vertAlign w:val="superscript"/>
        </w:rPr>
        <w:t>2</w:t>
      </w:r>
      <w:r w:rsidR="0094699C" w:rsidRPr="0094699C">
        <w:rPr>
          <w:vertAlign w:val="superscript"/>
        </w:rPr>
        <w:fldChar w:fldCharType="end"/>
      </w:r>
    </w:p>
    <w:p w14:paraId="69CCD63B" w14:textId="77777777" w:rsidR="00683BD4" w:rsidRPr="005632D5" w:rsidRDefault="00683BD4" w:rsidP="00683BD4">
      <w:r w:rsidRPr="005632D5">
        <w:t>The inheritance is predominantly autosomal dominant, but some of the rarer variants can be autosomal recessive.  Rarely, recurrent angioedema may be an acquired condition, resulting from C1 inhibitor deficiency resulting from anti-C1NH autoantibodies.</w:t>
      </w:r>
    </w:p>
    <w:p w14:paraId="7243812D" w14:textId="649C8C08" w:rsidR="00683BD4" w:rsidRPr="005632D5" w:rsidRDefault="00683BD4" w:rsidP="00683BD4">
      <w:r w:rsidRPr="005632D5">
        <w:t>The clinical manifestations are recurrent episodes of localised oedema in the subcutaneous tissue of the extremities, face, trunk or genitalia, or the submucosal tissues of the gastrointestinal and upper respiratory tract.</w:t>
      </w:r>
      <w:r w:rsidR="003C7841">
        <w:rPr>
          <w:rStyle w:val="FootnoteReference"/>
        </w:rPr>
        <w:footnoteReference w:id="3"/>
      </w:r>
      <w:r w:rsidRPr="005632D5">
        <w:t xml:space="preserve"> Laryngeal obstruction may be life threatening and may result in asphyxiation.  Intestinal oedema may lead to obstruction and/or pain.  Triggering factors include local trauma, infection and emotional stress but most attacks occur spontaneously.</w:t>
      </w:r>
    </w:p>
    <w:p w14:paraId="255E083A" w14:textId="77777777" w:rsidR="00CB6813" w:rsidRDefault="00CB6813" w:rsidP="00CB6813">
      <w:pPr>
        <w:pStyle w:val="Heading4"/>
      </w:pPr>
      <w:bookmarkStart w:id="19" w:name="_Toc238032163"/>
      <w:r>
        <w:lastRenderedPageBreak/>
        <w:t>Current treatment options</w:t>
      </w:r>
      <w:bookmarkEnd w:id="19"/>
    </w:p>
    <w:p w14:paraId="2EBF1461" w14:textId="0E3FB1E7" w:rsidR="0096414A" w:rsidRDefault="0096414A" w:rsidP="0096414A">
      <w:r w:rsidRPr="00395FA5">
        <w:t>Treatments for HAE include bradykinin antagonist (</w:t>
      </w:r>
      <w:proofErr w:type="spellStart"/>
      <w:r w:rsidRPr="00395FA5">
        <w:t>Icatibant</w:t>
      </w:r>
      <w:proofErr w:type="spellEnd"/>
      <w:r w:rsidRPr="00395FA5">
        <w:t xml:space="preserve"> acetate), CI-esterase inhibitor (recombinant or plasma derived), kallikrein inhibitor (</w:t>
      </w:r>
      <w:proofErr w:type="spellStart"/>
      <w:r w:rsidRPr="00395FA5">
        <w:t>ecallantide</w:t>
      </w:r>
      <w:proofErr w:type="spellEnd"/>
      <w:r w:rsidRPr="00395FA5">
        <w:t xml:space="preserve">, </w:t>
      </w:r>
      <w:proofErr w:type="spellStart"/>
      <w:r w:rsidRPr="00395FA5">
        <w:t>berotralstat</w:t>
      </w:r>
      <w:proofErr w:type="spellEnd"/>
      <w:r w:rsidRPr="00395FA5">
        <w:t xml:space="preserve"> and </w:t>
      </w:r>
      <w:proofErr w:type="spellStart"/>
      <w:r w:rsidRPr="00395FA5">
        <w:t>lanadelumab-flyo</w:t>
      </w:r>
      <w:proofErr w:type="spellEnd"/>
      <w:r w:rsidRPr="00395FA5">
        <w:t>), androgens (e.g. danazol) and antifibrinolytics (aminocaproic acid and tranexamic acid).</w:t>
      </w:r>
      <w:r w:rsidR="002B5834">
        <w:rPr>
          <w:rStyle w:val="FootnoteReference"/>
        </w:rPr>
        <w:footnoteReference w:id="4"/>
      </w:r>
      <w:r w:rsidRPr="00395FA5">
        <w:t xml:space="preserve">  </w:t>
      </w:r>
    </w:p>
    <w:p w14:paraId="737D9DC9" w14:textId="62CCE72E" w:rsidR="0096414A" w:rsidRPr="000444BD" w:rsidRDefault="0096414A" w:rsidP="0096414A">
      <w:r w:rsidRPr="000444BD">
        <w:t xml:space="preserve">In </w:t>
      </w:r>
      <w:r w:rsidR="00F969B6">
        <w:t>an e</w:t>
      </w:r>
      <w:r w:rsidR="00F969B6" w:rsidRPr="00F969B6">
        <w:t>pidemiological survey of HAE in South Australia</w:t>
      </w:r>
      <w:r w:rsidR="00F969B6">
        <w:t>,</w:t>
      </w:r>
      <w:r w:rsidRPr="000444BD">
        <w:t xml:space="preserve"> </w:t>
      </w:r>
      <w:r w:rsidR="00211F7B">
        <w:t xml:space="preserve">46% </w:t>
      </w:r>
      <w:r w:rsidR="007B07D3">
        <w:t xml:space="preserve">of subjects were on </w:t>
      </w:r>
      <w:r w:rsidRPr="000444BD">
        <w:t>long-term prophylaxis</w:t>
      </w:r>
      <w:r w:rsidR="00694490">
        <w:t xml:space="preserve"> </w:t>
      </w:r>
      <w:r w:rsidR="00694490" w:rsidRPr="00694490">
        <w:t>(LTP)</w:t>
      </w:r>
      <w:r w:rsidR="007B07D3">
        <w:t xml:space="preserve"> therapy</w:t>
      </w:r>
      <w:r w:rsidR="006E365B">
        <w:t xml:space="preserve"> </w:t>
      </w:r>
      <w:r w:rsidR="007B07D3">
        <w:t>with</w:t>
      </w:r>
      <w:r w:rsidRPr="000444BD">
        <w:t xml:space="preserve"> danazol</w:t>
      </w:r>
      <w:r w:rsidR="00187CE0">
        <w:t xml:space="preserve">, </w:t>
      </w:r>
      <w:r w:rsidRPr="000444BD">
        <w:t>29%</w:t>
      </w:r>
      <w:r w:rsidR="00187CE0">
        <w:t xml:space="preserve"> </w:t>
      </w:r>
      <w:r w:rsidR="0003425A">
        <w:t xml:space="preserve">of subjects were managed </w:t>
      </w:r>
      <w:r w:rsidR="00187CE0">
        <w:t>with</w:t>
      </w:r>
      <w:r w:rsidR="00187CE0" w:rsidRPr="00187CE0">
        <w:t xml:space="preserve"> </w:t>
      </w:r>
      <w:proofErr w:type="spellStart"/>
      <w:r w:rsidR="00187CE0" w:rsidRPr="00187CE0">
        <w:t>lanadelumab</w:t>
      </w:r>
      <w:proofErr w:type="spellEnd"/>
      <w:r w:rsidRPr="000444BD">
        <w:t>, 5.7%</w:t>
      </w:r>
      <w:r w:rsidR="006E365B">
        <w:t xml:space="preserve"> with</w:t>
      </w:r>
      <w:r w:rsidR="006E365B" w:rsidRPr="006E365B">
        <w:t xml:space="preserve"> tranexamic acid</w:t>
      </w:r>
      <w:r w:rsidRPr="000444BD">
        <w:t>, and</w:t>
      </w:r>
      <w:r w:rsidR="0003425A">
        <w:t xml:space="preserve"> 5.7% with </w:t>
      </w:r>
      <w:r w:rsidRPr="000444BD">
        <w:t>subcutaneous Ci-INH</w:t>
      </w:r>
      <w:r w:rsidR="0003425A">
        <w:t>.</w:t>
      </w:r>
      <w:bookmarkStart w:id="20" w:name="_Ref236038224"/>
      <w:r w:rsidR="002E7DC1">
        <w:rPr>
          <w:rStyle w:val="FootnoteReference"/>
        </w:rPr>
        <w:footnoteReference w:id="5"/>
      </w:r>
      <w:bookmarkEnd w:id="20"/>
      <w:r w:rsidRPr="000444BD">
        <w:t xml:space="preserve">  There were 11% </w:t>
      </w:r>
      <w:r w:rsidR="009A0FBB">
        <w:t xml:space="preserve">of subjects </w:t>
      </w:r>
      <w:r w:rsidRPr="000444BD">
        <w:t>who receiv</w:t>
      </w:r>
      <w:r w:rsidR="009A0FBB">
        <w:t>ed no</w:t>
      </w:r>
      <w:r w:rsidRPr="000444BD">
        <w:t xml:space="preserve"> long-term prophylaxis</w:t>
      </w:r>
      <w:r w:rsidR="009A0FBB">
        <w:t xml:space="preserve"> therapy</w:t>
      </w:r>
      <w:r w:rsidRPr="00503A38">
        <w:rPr>
          <w:vertAlign w:val="superscript"/>
        </w:rPr>
        <w:t>.</w:t>
      </w:r>
      <w:r w:rsidR="00503A38" w:rsidRPr="00503A38">
        <w:rPr>
          <w:vertAlign w:val="superscript"/>
        </w:rPr>
        <w:fldChar w:fldCharType="begin"/>
      </w:r>
      <w:r w:rsidR="00503A38" w:rsidRPr="00503A38">
        <w:rPr>
          <w:vertAlign w:val="superscript"/>
        </w:rPr>
        <w:instrText xml:space="preserve"> NOTEREF _Ref236038224 \h </w:instrText>
      </w:r>
      <w:r w:rsidR="00503A38">
        <w:rPr>
          <w:vertAlign w:val="superscript"/>
        </w:rPr>
        <w:instrText xml:space="preserve"> \* MERGEFORMAT </w:instrText>
      </w:r>
      <w:r w:rsidR="00503A38" w:rsidRPr="00503A38">
        <w:rPr>
          <w:vertAlign w:val="superscript"/>
        </w:rPr>
      </w:r>
      <w:r w:rsidR="00503A38" w:rsidRPr="00503A38">
        <w:rPr>
          <w:vertAlign w:val="superscript"/>
        </w:rPr>
        <w:fldChar w:fldCharType="separate"/>
      </w:r>
      <w:r w:rsidR="00503A38" w:rsidRPr="00503A38">
        <w:rPr>
          <w:vertAlign w:val="superscript"/>
        </w:rPr>
        <w:t>5</w:t>
      </w:r>
      <w:r w:rsidR="00503A38" w:rsidRPr="00503A38">
        <w:rPr>
          <w:vertAlign w:val="superscript"/>
        </w:rPr>
        <w:fldChar w:fldCharType="end"/>
      </w:r>
    </w:p>
    <w:p w14:paraId="351B0BFA" w14:textId="20C3D359" w:rsidR="0096414A" w:rsidRPr="000444BD" w:rsidRDefault="0096414A" w:rsidP="0096414A">
      <w:r w:rsidRPr="000444BD">
        <w:t xml:space="preserve">The following </w:t>
      </w:r>
      <w:r w:rsidR="00D018B6">
        <w:t xml:space="preserve">therapies </w:t>
      </w:r>
      <w:r w:rsidRPr="000444BD">
        <w:t>are approved for the treatment of HAE in Australia:</w:t>
      </w:r>
    </w:p>
    <w:p w14:paraId="69A73548" w14:textId="444C5ACC" w:rsidR="0096414A" w:rsidRPr="000444BD" w:rsidRDefault="0096414A" w:rsidP="006F45FF">
      <w:pPr>
        <w:pStyle w:val="ListBullet"/>
      </w:pPr>
      <w:proofErr w:type="spellStart"/>
      <w:r w:rsidRPr="000444BD">
        <w:t>T</w:t>
      </w:r>
      <w:r w:rsidR="006F45FF">
        <w:t>ak</w:t>
      </w:r>
      <w:r w:rsidR="00FB2CC5">
        <w:t>hzyro</w:t>
      </w:r>
      <w:proofErr w:type="spellEnd"/>
      <w:r w:rsidRPr="000444BD">
        <w:t xml:space="preserve"> (</w:t>
      </w:r>
      <w:proofErr w:type="spellStart"/>
      <w:r w:rsidRPr="000444BD">
        <w:t>lanadelumab</w:t>
      </w:r>
      <w:proofErr w:type="spellEnd"/>
      <w:r w:rsidRPr="000444BD">
        <w:t>) 150 mg/1 mL and 300 mg/2 mL solution for injection</w:t>
      </w:r>
    </w:p>
    <w:p w14:paraId="4EB40597" w14:textId="77777777" w:rsidR="0096414A" w:rsidRPr="000444BD" w:rsidRDefault="0096414A" w:rsidP="00FB2CC5">
      <w:pPr>
        <w:pStyle w:val="ListBullet"/>
      </w:pPr>
      <w:proofErr w:type="spellStart"/>
      <w:r w:rsidRPr="000444BD">
        <w:t>Icatibant</w:t>
      </w:r>
      <w:proofErr w:type="spellEnd"/>
      <w:r w:rsidRPr="000444BD">
        <w:t xml:space="preserve"> (as acetate) 30 mg/3 mL solution for injection</w:t>
      </w:r>
    </w:p>
    <w:p w14:paraId="6B47440D" w14:textId="77A77E51" w:rsidR="0096414A" w:rsidRPr="000444BD" w:rsidRDefault="0096414A" w:rsidP="00FB2CC5">
      <w:pPr>
        <w:pStyle w:val="ListBullet"/>
      </w:pPr>
      <w:proofErr w:type="spellStart"/>
      <w:r w:rsidRPr="000444BD">
        <w:t>B</w:t>
      </w:r>
      <w:r w:rsidR="00FB2CC5">
        <w:t>erinert</w:t>
      </w:r>
      <w:proofErr w:type="spellEnd"/>
      <w:r w:rsidRPr="000444BD">
        <w:t xml:space="preserve"> SC Human C1 esterase inhibitor 2000 IU powder for injection glass vial with diluent vial</w:t>
      </w:r>
    </w:p>
    <w:p w14:paraId="280A8A87" w14:textId="06BDB596" w:rsidR="0096414A" w:rsidRPr="000444BD" w:rsidRDefault="0096414A" w:rsidP="00FC6D29">
      <w:pPr>
        <w:pStyle w:val="ListBullet"/>
      </w:pPr>
      <w:proofErr w:type="spellStart"/>
      <w:r w:rsidRPr="000444BD">
        <w:t>C</w:t>
      </w:r>
      <w:r w:rsidR="00FC6D29">
        <w:t>inryze</w:t>
      </w:r>
      <w:proofErr w:type="spellEnd"/>
      <w:r w:rsidRPr="000444BD">
        <w:t xml:space="preserve"> C1 esterase inhibitor 500 units powder for solution for injection vial with diluent vial</w:t>
      </w:r>
    </w:p>
    <w:p w14:paraId="617EE1E0" w14:textId="18F74221" w:rsidR="00C309A7" w:rsidRPr="001D111E" w:rsidRDefault="0096414A" w:rsidP="0096414A">
      <w:pPr>
        <w:rPr>
          <w:i/>
          <w:color w:val="007099"/>
        </w:rPr>
      </w:pPr>
      <w:r w:rsidRPr="000444BD">
        <w:t xml:space="preserve">Danazol is currently not available in Australia but can be sourced using a Special Access Scheme (SAS) application to the TGA. </w:t>
      </w:r>
      <w:r w:rsidR="008340DD">
        <w:rPr>
          <w:rStyle w:val="FootnoteReference"/>
        </w:rPr>
        <w:footnoteReference w:id="6"/>
      </w:r>
    </w:p>
    <w:p w14:paraId="37C47E09" w14:textId="14D3762D" w:rsidR="00CB6813" w:rsidRDefault="00CB6813" w:rsidP="00CB6813">
      <w:pPr>
        <w:pStyle w:val="Heading4"/>
      </w:pPr>
      <w:bookmarkStart w:id="21" w:name="_Toc238032164"/>
      <w:r>
        <w:t>C</w:t>
      </w:r>
      <w:r w:rsidRPr="00DE1344">
        <w:t>linical rational</w:t>
      </w:r>
      <w:r w:rsidR="0025785B">
        <w:t>e</w:t>
      </w:r>
      <w:bookmarkEnd w:id="21"/>
    </w:p>
    <w:p w14:paraId="197DDCAD" w14:textId="337BF4A8" w:rsidR="00057713" w:rsidRDefault="00E54DFC" w:rsidP="00885FF7">
      <w:r w:rsidRPr="00E54DFC">
        <w:t xml:space="preserve">Donidalorsen is a 2’-O-methoxyethyl–modified antisense oligonucleotide (ASO) conjugated to a </w:t>
      </w:r>
      <w:proofErr w:type="spellStart"/>
      <w:r w:rsidRPr="00E54DFC">
        <w:t>triantennary</w:t>
      </w:r>
      <w:proofErr w:type="spellEnd"/>
      <w:r w:rsidRPr="00E54DFC">
        <w:t xml:space="preserve"> N-</w:t>
      </w:r>
      <w:proofErr w:type="spellStart"/>
      <w:r w:rsidRPr="00E54DFC">
        <w:t>acetylgalactosamine</w:t>
      </w:r>
      <w:proofErr w:type="spellEnd"/>
      <w:r w:rsidRPr="00E54DFC">
        <w:t xml:space="preserve"> (GalNAc3) moiety that causes ribonuclease H1 (RNase H1) mediated degradation of </w:t>
      </w:r>
      <w:proofErr w:type="spellStart"/>
      <w:r w:rsidRPr="00E54DFC">
        <w:t>prekallikrein</w:t>
      </w:r>
      <w:proofErr w:type="spellEnd"/>
      <w:r w:rsidRPr="00E54DFC">
        <w:t xml:space="preserve"> (PKK) mRNA </w:t>
      </w:r>
      <w:r w:rsidR="002454E9">
        <w:t>(</w:t>
      </w:r>
      <w:r w:rsidR="002454E9" w:rsidRPr="002454E9">
        <w:t xml:space="preserve">messenger ribonucleic acid) </w:t>
      </w:r>
      <w:r w:rsidRPr="002454E9">
        <w:t>through</w:t>
      </w:r>
      <w:r w:rsidRPr="00E54DFC">
        <w:t xml:space="preserve"> selective binding to PKK mRNA, which results in reduced production of PKK protein. PKK is a pro-enzyme for plasma kallikrein, which drives the release of bradykinin, a vasodilator responsible for the swelling and pain in HAE. In patients with HAE, C1 inhibitor (C1-INH) deficiency or dysfunction leads to excessive plasma kallikrein activity and bradykinin generation, resulting in angioedema attacks. Donidalorsen lowers PKK and plasma kallikrein concentrations, preventing excessive bradykinin production in patients with HAE.</w:t>
      </w:r>
    </w:p>
    <w:p w14:paraId="5327CFAC" w14:textId="7C5A1F72" w:rsidR="00885FF7" w:rsidRPr="00885FF7" w:rsidRDefault="00885FF7" w:rsidP="00885FF7">
      <w:r w:rsidRPr="00885FF7">
        <w:t>Current long-term prophylactic regimens for HAE include plasma-derived C1-INH concentrate</w:t>
      </w:r>
      <w:r>
        <w:t xml:space="preserve"> </w:t>
      </w:r>
      <w:r w:rsidRPr="00885FF7">
        <w:t>(administered either intravenously or subcutaneously), monoclonal antibodies directed against</w:t>
      </w:r>
      <w:r>
        <w:t xml:space="preserve"> </w:t>
      </w:r>
      <w:r w:rsidRPr="00885FF7">
        <w:t>plasma kallikrein, a small molecule inhibitor of plasma kallikrein, and attenuated androgens.</w:t>
      </w:r>
      <w:r>
        <w:t xml:space="preserve"> </w:t>
      </w:r>
      <w:r w:rsidRPr="00885FF7">
        <w:t>These options reduce the number and severity of attacks due to HAE, although breakthrough</w:t>
      </w:r>
      <w:r w:rsidR="00CD13A2">
        <w:t xml:space="preserve"> </w:t>
      </w:r>
      <w:r w:rsidRPr="00885FF7">
        <w:t>attacks still occur. These treatment options can be associated with injection-site reactions,</w:t>
      </w:r>
      <w:r w:rsidR="00CD13A2">
        <w:t xml:space="preserve"> </w:t>
      </w:r>
      <w:r w:rsidRPr="00885FF7">
        <w:t>headache, nausea, rash, vomiting, fever, upper respiratory infection, myalgia, dizziness, and</w:t>
      </w:r>
      <w:r w:rsidR="00CD13A2">
        <w:t xml:space="preserve"> </w:t>
      </w:r>
      <w:r w:rsidRPr="00885FF7">
        <w:t>diarrhea. Current oral treatment options are associated with gastrointestinal adverse reactions</w:t>
      </w:r>
      <w:r w:rsidR="00CD13A2">
        <w:t xml:space="preserve"> </w:t>
      </w:r>
      <w:r w:rsidRPr="00885FF7">
        <w:t>in some patients. Current treatment options with oral long-term prophylaxis androgens can</w:t>
      </w:r>
      <w:r w:rsidR="00A611BD">
        <w:t xml:space="preserve"> </w:t>
      </w:r>
      <w:r w:rsidRPr="00885FF7">
        <w:t xml:space="preserve">lead </w:t>
      </w:r>
      <w:r w:rsidRPr="00885FF7">
        <w:lastRenderedPageBreak/>
        <w:t>to adverse androgenic and anabolic effects, have a potential for drug-drug interactions, and</w:t>
      </w:r>
      <w:r w:rsidR="00A611BD">
        <w:t xml:space="preserve"> </w:t>
      </w:r>
      <w:r w:rsidRPr="00885FF7">
        <w:t>have contraindications.</w:t>
      </w:r>
    </w:p>
    <w:p w14:paraId="4D016F71" w14:textId="73EF5A99" w:rsidR="00885FF7" w:rsidRDefault="00885FF7" w:rsidP="00885FF7">
      <w:r w:rsidRPr="00885FF7">
        <w:t xml:space="preserve">A need remains for long-term prophylaxis that provides less treatment burden, a more </w:t>
      </w:r>
      <w:r w:rsidR="00A611BD" w:rsidRPr="00885FF7">
        <w:t>patient friendly</w:t>
      </w:r>
      <w:r w:rsidR="00A611BD">
        <w:t xml:space="preserve"> </w:t>
      </w:r>
      <w:r w:rsidRPr="00885FF7">
        <w:t>experience (e.g., route of administration, dosing frequency), greater efficacy, safety and</w:t>
      </w:r>
      <w:r w:rsidR="00A611BD">
        <w:t xml:space="preserve"> </w:t>
      </w:r>
      <w:r w:rsidRPr="00885FF7">
        <w:t>tolerability, and reduced anxiety for breakthrough attacks. In general, patients with HAE are</w:t>
      </w:r>
      <w:r w:rsidR="00A611BD">
        <w:t xml:space="preserve"> </w:t>
      </w:r>
      <w:r w:rsidRPr="00885FF7">
        <w:t>highly motivated to switch to therapies with improved and more convenient dosing (e.g. route,</w:t>
      </w:r>
      <w:r w:rsidR="00A611BD">
        <w:t xml:space="preserve"> </w:t>
      </w:r>
      <w:r w:rsidRPr="00885FF7">
        <w:t>frequency) as well as an overall reduction in treatment burden and improved quality-of-li</w:t>
      </w:r>
      <w:r>
        <w:t>fe.</w:t>
      </w:r>
    </w:p>
    <w:p w14:paraId="0D615854" w14:textId="77777777" w:rsidR="00324B33" w:rsidRPr="003F31A2" w:rsidRDefault="00324B33" w:rsidP="00324B33">
      <w:pPr>
        <w:pStyle w:val="Heading3"/>
      </w:pPr>
      <w:bookmarkStart w:id="22" w:name="_Toc103679291"/>
      <w:bookmarkStart w:id="23" w:name="_Toc238032165"/>
      <w:r>
        <w:t>Regulatory status</w:t>
      </w:r>
      <w:bookmarkEnd w:id="16"/>
      <w:bookmarkEnd w:id="17"/>
      <w:bookmarkEnd w:id="22"/>
      <w:bookmarkEnd w:id="23"/>
    </w:p>
    <w:p w14:paraId="72C889D6" w14:textId="7E200950" w:rsidR="0017005C" w:rsidRPr="00BD5DBD" w:rsidRDefault="0017005C" w:rsidP="00741AB9">
      <w:pPr>
        <w:pStyle w:val="Heading4"/>
      </w:pPr>
      <w:bookmarkStart w:id="24" w:name="_Toc238032166"/>
      <w:r w:rsidRPr="00BD5DBD">
        <w:t>Australian regulatory</w:t>
      </w:r>
      <w:r>
        <w:t xml:space="preserve"> sta</w:t>
      </w:r>
      <w:r w:rsidR="0025785B">
        <w:t>t</w:t>
      </w:r>
      <w:r>
        <w:t>us</w:t>
      </w:r>
      <w:bookmarkEnd w:id="24"/>
    </w:p>
    <w:p w14:paraId="6A8633FA" w14:textId="5B8CC2F1" w:rsidR="00324B33" w:rsidRDefault="00324B33" w:rsidP="00324B33">
      <w:pPr>
        <w:rPr>
          <w:szCs w:val="22"/>
        </w:rPr>
      </w:pPr>
      <w:r w:rsidRPr="00BD5DBD">
        <w:rPr>
          <w:szCs w:val="22"/>
        </w:rPr>
        <w:t>This product is considered a new chemical</w:t>
      </w:r>
      <w:r w:rsidR="008C754C" w:rsidRPr="00BD5DBD">
        <w:rPr>
          <w:szCs w:val="22"/>
        </w:rPr>
        <w:t xml:space="preserve"> entity</w:t>
      </w:r>
      <w:r w:rsidRPr="00BD5DBD">
        <w:rPr>
          <w:szCs w:val="22"/>
        </w:rPr>
        <w:t xml:space="preserve"> for Australian regulatory purposes.</w:t>
      </w:r>
      <w:r w:rsidR="005A6FDC" w:rsidRPr="005A6FDC">
        <w:rPr>
          <w:rFonts w:cs="Cambria"/>
          <w:szCs w:val="22"/>
        </w:rPr>
        <w:t xml:space="preserve"> </w:t>
      </w:r>
      <w:r w:rsidR="005A6FDC" w:rsidRPr="005A6FDC">
        <w:rPr>
          <w:szCs w:val="22"/>
        </w:rPr>
        <w:t>The present submission is the first application for donidalorsen in Australia.</w:t>
      </w:r>
    </w:p>
    <w:p w14:paraId="546C1031" w14:textId="4EF98FA1" w:rsidR="0017005C" w:rsidRDefault="00131B1B" w:rsidP="0017005C">
      <w:pPr>
        <w:pStyle w:val="Heading4"/>
      </w:pPr>
      <w:bookmarkStart w:id="25" w:name="_Toc238032167"/>
      <w:r>
        <w:t xml:space="preserve">International </w:t>
      </w:r>
      <w:r w:rsidR="0017005C" w:rsidRPr="00BD5DBD">
        <w:t>regulatory</w:t>
      </w:r>
      <w:r w:rsidR="0017005C">
        <w:t xml:space="preserve"> status</w:t>
      </w:r>
      <w:bookmarkEnd w:id="25"/>
    </w:p>
    <w:p w14:paraId="7FDF4A0B" w14:textId="69363995" w:rsidR="008F4A62" w:rsidRPr="0017005C" w:rsidRDefault="008F4A62" w:rsidP="008F4A62">
      <w:r w:rsidRPr="00BD5DBD">
        <w:rPr>
          <w:szCs w:val="22"/>
        </w:rPr>
        <w:t>At the time the TGA considered this submission, similar submission</w:t>
      </w:r>
      <w:r w:rsidR="00135A43">
        <w:rPr>
          <w:szCs w:val="22"/>
        </w:rPr>
        <w:t>s</w:t>
      </w:r>
      <w:r w:rsidRPr="00BD5DBD">
        <w:rPr>
          <w:szCs w:val="22"/>
        </w:rPr>
        <w:t xml:space="preserve"> had been </w:t>
      </w:r>
      <w:r>
        <w:rPr>
          <w:szCs w:val="22"/>
        </w:rPr>
        <w:t xml:space="preserve">considered by other regulatory agencies. </w:t>
      </w:r>
      <w:r w:rsidRPr="00BD5DBD">
        <w:rPr>
          <w:szCs w:val="22"/>
        </w:rPr>
        <w:t xml:space="preserve">The following table summarises </w:t>
      </w:r>
      <w:r w:rsidR="00F72419">
        <w:rPr>
          <w:szCs w:val="22"/>
        </w:rPr>
        <w:t>the</w:t>
      </w:r>
      <w:r w:rsidRPr="00BD5DBD">
        <w:rPr>
          <w:szCs w:val="22"/>
        </w:rPr>
        <w:t xml:space="preserve"> </w:t>
      </w:r>
      <w:r w:rsidR="008F4DFB" w:rsidRPr="008F4DFB">
        <w:rPr>
          <w:szCs w:val="22"/>
        </w:rPr>
        <w:t xml:space="preserve">regulatory status </w:t>
      </w:r>
      <w:r w:rsidR="008F4DFB">
        <w:rPr>
          <w:szCs w:val="22"/>
        </w:rPr>
        <w:t>of</w:t>
      </w:r>
      <w:r w:rsidR="001427D7">
        <w:rPr>
          <w:szCs w:val="22"/>
        </w:rPr>
        <w:t xml:space="preserve"> </w:t>
      </w:r>
      <w:r w:rsidR="006B049E" w:rsidRPr="006B049E">
        <w:rPr>
          <w:szCs w:val="22"/>
        </w:rPr>
        <w:t>Z</w:t>
      </w:r>
      <w:r w:rsidR="00061AD8">
        <w:rPr>
          <w:szCs w:val="22"/>
        </w:rPr>
        <w:t>irdawny</w:t>
      </w:r>
      <w:r w:rsidR="006B049E" w:rsidRPr="006B049E">
        <w:rPr>
          <w:szCs w:val="22"/>
        </w:rPr>
        <w:t>/</w:t>
      </w:r>
      <w:proofErr w:type="spellStart"/>
      <w:r w:rsidR="006B049E" w:rsidRPr="006B049E">
        <w:rPr>
          <w:szCs w:val="22"/>
        </w:rPr>
        <w:t>D</w:t>
      </w:r>
      <w:r w:rsidR="00061AD8">
        <w:rPr>
          <w:szCs w:val="22"/>
        </w:rPr>
        <w:t>awnzera</w:t>
      </w:r>
      <w:proofErr w:type="spellEnd"/>
      <w:r w:rsidR="006B049E" w:rsidRPr="006B049E">
        <w:rPr>
          <w:szCs w:val="22"/>
        </w:rPr>
        <w:t xml:space="preserve"> (</w:t>
      </w:r>
      <w:r w:rsidR="00061AD8">
        <w:rPr>
          <w:szCs w:val="22"/>
        </w:rPr>
        <w:t>d</w:t>
      </w:r>
      <w:r w:rsidR="006B049E" w:rsidRPr="006B049E">
        <w:rPr>
          <w:szCs w:val="22"/>
        </w:rPr>
        <w:t xml:space="preserve">onidalorsen) </w:t>
      </w:r>
      <w:r w:rsidR="001427D7">
        <w:rPr>
          <w:szCs w:val="22"/>
        </w:rPr>
        <w:t>with</w:t>
      </w:r>
      <w:r w:rsidR="008F4DFB">
        <w:rPr>
          <w:szCs w:val="22"/>
        </w:rPr>
        <w:t xml:space="preserve"> approved</w:t>
      </w:r>
      <w:r w:rsidR="001427D7">
        <w:rPr>
          <w:szCs w:val="22"/>
        </w:rPr>
        <w:t xml:space="preserve"> indications</w:t>
      </w:r>
      <w:r w:rsidRPr="00BD5DBD">
        <w:rPr>
          <w:szCs w:val="22"/>
        </w:rPr>
        <w:t>.</w:t>
      </w:r>
      <w:r>
        <w:rPr>
          <w:szCs w:val="22"/>
        </w:rPr>
        <w:t xml:space="preserve"> </w:t>
      </w:r>
    </w:p>
    <w:p w14:paraId="19B9E0AC" w14:textId="61A31825" w:rsidR="00324B33" w:rsidRDefault="00324B33" w:rsidP="00324B33">
      <w:pPr>
        <w:pStyle w:val="TableTitle"/>
      </w:pPr>
      <w:bookmarkStart w:id="26" w:name="_Ref99705479"/>
      <w:r>
        <w:t xml:space="preserve">Table </w:t>
      </w:r>
      <w:fldSimple w:instr=" SEQ Table \* ARABIC ">
        <w:r w:rsidR="008B1CB5">
          <w:rPr>
            <w:noProof/>
          </w:rPr>
          <w:t>1</w:t>
        </w:r>
      </w:fldSimple>
      <w:bookmarkEnd w:id="26"/>
      <w:r>
        <w:t>: International regulatory status</w:t>
      </w:r>
    </w:p>
    <w:tbl>
      <w:tblPr>
        <w:tblStyle w:val="TableTGAblue2023"/>
        <w:tblW w:w="4848" w:type="pct"/>
        <w:tblLook w:val="04A0" w:firstRow="1" w:lastRow="0" w:firstColumn="1" w:lastColumn="0" w:noHBand="0" w:noVBand="1"/>
      </w:tblPr>
      <w:tblGrid>
        <w:gridCol w:w="1699"/>
        <w:gridCol w:w="1701"/>
        <w:gridCol w:w="1701"/>
        <w:gridCol w:w="3684"/>
      </w:tblGrid>
      <w:tr w:rsidR="00324B33" w:rsidRPr="00D01DDB" w14:paraId="405E5D78" w14:textId="16839333" w:rsidTr="00173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 w:type="pct"/>
          </w:tcPr>
          <w:p w14:paraId="185B099B" w14:textId="7A4C0E6C" w:rsidR="00324B33" w:rsidRPr="00D01DDB" w:rsidRDefault="00324B33" w:rsidP="00324B33">
            <w:pPr>
              <w:rPr>
                <w:szCs w:val="22"/>
              </w:rPr>
            </w:pPr>
            <w:r w:rsidRPr="00D01DDB">
              <w:rPr>
                <w:szCs w:val="22"/>
              </w:rPr>
              <w:t>Region</w:t>
            </w:r>
          </w:p>
        </w:tc>
        <w:tc>
          <w:tcPr>
            <w:tcW w:w="968" w:type="pct"/>
          </w:tcPr>
          <w:p w14:paraId="778C35C7" w14:textId="52D23C85"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Submission date</w:t>
            </w:r>
          </w:p>
        </w:tc>
        <w:tc>
          <w:tcPr>
            <w:tcW w:w="968" w:type="pct"/>
          </w:tcPr>
          <w:p w14:paraId="58F81584" w14:textId="66689ABF"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Status</w:t>
            </w:r>
          </w:p>
        </w:tc>
        <w:tc>
          <w:tcPr>
            <w:tcW w:w="2098" w:type="pct"/>
          </w:tcPr>
          <w:p w14:paraId="50B2D435" w14:textId="560588D2" w:rsidR="00324B33" w:rsidRPr="00D01DDB" w:rsidRDefault="00324B33" w:rsidP="00324B33">
            <w:pPr>
              <w:cnfStyle w:val="100000000000" w:firstRow="1" w:lastRow="0" w:firstColumn="0" w:lastColumn="0" w:oddVBand="0" w:evenVBand="0" w:oddHBand="0" w:evenHBand="0" w:firstRowFirstColumn="0" w:firstRowLastColumn="0" w:lastRowFirstColumn="0" w:lastRowLastColumn="0"/>
              <w:rPr>
                <w:szCs w:val="22"/>
              </w:rPr>
            </w:pPr>
            <w:r w:rsidRPr="00D01DDB">
              <w:rPr>
                <w:szCs w:val="22"/>
              </w:rPr>
              <w:t>Approved indications</w:t>
            </w:r>
          </w:p>
        </w:tc>
      </w:tr>
      <w:tr w:rsidR="00324B33" w:rsidRPr="00D01DDB" w14:paraId="38D24E86" w14:textId="77777777" w:rsidTr="0017366E">
        <w:tc>
          <w:tcPr>
            <w:cnfStyle w:val="001000000000" w:firstRow="0" w:lastRow="0" w:firstColumn="1" w:lastColumn="0" w:oddVBand="0" w:evenVBand="0" w:oddHBand="0" w:evenHBand="0" w:firstRowFirstColumn="0" w:firstRowLastColumn="0" w:lastRowFirstColumn="0" w:lastRowLastColumn="0"/>
            <w:tcW w:w="967" w:type="pct"/>
          </w:tcPr>
          <w:p w14:paraId="4C540DE5" w14:textId="24C7B45E" w:rsidR="00324B33" w:rsidRPr="00D01DDB" w:rsidRDefault="008F2C3D" w:rsidP="00324B33">
            <w:pPr>
              <w:rPr>
                <w:szCs w:val="22"/>
              </w:rPr>
            </w:pPr>
            <w:r>
              <w:rPr>
                <w:szCs w:val="22"/>
              </w:rPr>
              <w:t>United States of America</w:t>
            </w:r>
          </w:p>
        </w:tc>
        <w:tc>
          <w:tcPr>
            <w:tcW w:w="968" w:type="pct"/>
          </w:tcPr>
          <w:p w14:paraId="4FA5DDA9" w14:textId="195472C1" w:rsidR="00324B33" w:rsidRPr="00D01DDB" w:rsidRDefault="008F2C3D"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21 August 2024</w:t>
            </w:r>
          </w:p>
        </w:tc>
        <w:tc>
          <w:tcPr>
            <w:tcW w:w="968" w:type="pct"/>
          </w:tcPr>
          <w:p w14:paraId="29358393" w14:textId="36CC5AF5" w:rsidR="00324B33" w:rsidRPr="00D01DDB" w:rsidRDefault="00324B33" w:rsidP="00324B33">
            <w:pPr>
              <w:cnfStyle w:val="000000000000" w:firstRow="0" w:lastRow="0" w:firstColumn="0" w:lastColumn="0" w:oddVBand="0" w:evenVBand="0" w:oddHBand="0" w:evenHBand="0" w:firstRowFirstColumn="0" w:firstRowLastColumn="0" w:lastRowFirstColumn="0" w:lastRowLastColumn="0"/>
              <w:rPr>
                <w:szCs w:val="22"/>
              </w:rPr>
            </w:pPr>
            <w:r w:rsidRPr="00D01DDB">
              <w:rPr>
                <w:szCs w:val="22"/>
              </w:rPr>
              <w:t xml:space="preserve">Approved on </w:t>
            </w:r>
            <w:r w:rsidR="0098113B">
              <w:rPr>
                <w:szCs w:val="22"/>
              </w:rPr>
              <w:t>21 August 2025</w:t>
            </w:r>
          </w:p>
        </w:tc>
        <w:tc>
          <w:tcPr>
            <w:tcW w:w="2098" w:type="pct"/>
          </w:tcPr>
          <w:p w14:paraId="05055674" w14:textId="05BB53CD" w:rsidR="00324B33" w:rsidRPr="00CC6B39" w:rsidRDefault="006175FD" w:rsidP="00324B33">
            <w:pPr>
              <w:cnfStyle w:val="000000000000" w:firstRow="0" w:lastRow="0" w:firstColumn="0" w:lastColumn="0" w:oddVBand="0" w:evenVBand="0" w:oddHBand="0" w:evenHBand="0" w:firstRowFirstColumn="0" w:firstRowLastColumn="0" w:lastRowFirstColumn="0" w:lastRowLastColumn="0"/>
              <w:rPr>
                <w:i/>
                <w:iCs/>
                <w:szCs w:val="22"/>
              </w:rPr>
            </w:pPr>
            <w:proofErr w:type="spellStart"/>
            <w:r w:rsidRPr="00CC6B39">
              <w:rPr>
                <w:i/>
                <w:iCs/>
                <w:szCs w:val="22"/>
              </w:rPr>
              <w:t>Dawnzera</w:t>
            </w:r>
            <w:proofErr w:type="spellEnd"/>
            <w:r w:rsidRPr="00CC6B39">
              <w:rPr>
                <w:i/>
                <w:iCs/>
                <w:szCs w:val="22"/>
              </w:rPr>
              <w:t xml:space="preserve"> </w:t>
            </w:r>
            <w:r w:rsidR="003016C7" w:rsidRPr="003016C7">
              <w:rPr>
                <w:i/>
                <w:iCs/>
                <w:szCs w:val="22"/>
              </w:rPr>
              <w:t xml:space="preserve">is indicated for prophylaxis to prevent attacks of hereditary angioedema (HAE) in adult and </w:t>
            </w:r>
            <w:r w:rsidR="00912416" w:rsidRPr="003016C7">
              <w:rPr>
                <w:i/>
                <w:iCs/>
                <w:szCs w:val="22"/>
              </w:rPr>
              <w:t>paediatric</w:t>
            </w:r>
            <w:r w:rsidR="003016C7" w:rsidRPr="003016C7">
              <w:rPr>
                <w:i/>
                <w:iCs/>
                <w:szCs w:val="22"/>
              </w:rPr>
              <w:t xml:space="preserve"> patients 12 years of age and older.</w:t>
            </w:r>
          </w:p>
        </w:tc>
      </w:tr>
      <w:tr w:rsidR="00324B33" w:rsidRPr="00D01DDB" w14:paraId="18B6E2AA" w14:textId="7783D66F" w:rsidTr="0017366E">
        <w:tc>
          <w:tcPr>
            <w:cnfStyle w:val="001000000000" w:firstRow="0" w:lastRow="0" w:firstColumn="1" w:lastColumn="0" w:oddVBand="0" w:evenVBand="0" w:oddHBand="0" w:evenHBand="0" w:firstRowFirstColumn="0" w:firstRowLastColumn="0" w:lastRowFirstColumn="0" w:lastRowLastColumn="0"/>
            <w:tcW w:w="967" w:type="pct"/>
          </w:tcPr>
          <w:p w14:paraId="7F348960" w14:textId="6FB75B0E" w:rsidR="00324B33" w:rsidRPr="00D01DDB" w:rsidRDefault="008F2C3D" w:rsidP="00324B33">
            <w:pPr>
              <w:rPr>
                <w:szCs w:val="22"/>
              </w:rPr>
            </w:pPr>
            <w:r>
              <w:rPr>
                <w:szCs w:val="22"/>
              </w:rPr>
              <w:t>European Union</w:t>
            </w:r>
          </w:p>
        </w:tc>
        <w:tc>
          <w:tcPr>
            <w:tcW w:w="968" w:type="pct"/>
          </w:tcPr>
          <w:p w14:paraId="1D871E57" w14:textId="7693A1C0" w:rsidR="00324B33" w:rsidRPr="00D01DDB" w:rsidRDefault="008F2C3D"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20 November 2024</w:t>
            </w:r>
          </w:p>
        </w:tc>
        <w:tc>
          <w:tcPr>
            <w:tcW w:w="968" w:type="pct"/>
          </w:tcPr>
          <w:p w14:paraId="63A3A9D3" w14:textId="135AC2D8" w:rsidR="00324B33" w:rsidRPr="00D01DDB" w:rsidRDefault="002F30B6"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Approved on 19 January 2026</w:t>
            </w:r>
          </w:p>
        </w:tc>
        <w:tc>
          <w:tcPr>
            <w:tcW w:w="2098" w:type="pct"/>
          </w:tcPr>
          <w:p w14:paraId="17C650B8" w14:textId="32F5B749" w:rsidR="00324B33" w:rsidRPr="005867CF" w:rsidRDefault="005867CF" w:rsidP="005867CF">
            <w:pPr>
              <w:ind w:left="0"/>
              <w:cnfStyle w:val="000000000000" w:firstRow="0" w:lastRow="0" w:firstColumn="0" w:lastColumn="0" w:oddVBand="0" w:evenVBand="0" w:oddHBand="0" w:evenHBand="0" w:firstRowFirstColumn="0" w:firstRowLastColumn="0" w:lastRowFirstColumn="0" w:lastRowLastColumn="0"/>
              <w:rPr>
                <w:i/>
                <w:iCs/>
              </w:rPr>
            </w:pPr>
            <w:proofErr w:type="spellStart"/>
            <w:r w:rsidRPr="005867CF">
              <w:rPr>
                <w:i/>
                <w:iCs/>
              </w:rPr>
              <w:t>Dawnzera</w:t>
            </w:r>
            <w:proofErr w:type="spellEnd"/>
            <w:r w:rsidRPr="005867CF">
              <w:rPr>
                <w:i/>
                <w:iCs/>
              </w:rPr>
              <w:t xml:space="preserve"> is indicated for routine prevention of recurrent attacks of hereditary angioedema (HAE) in adult and adolescent patients aged 12 years and older.</w:t>
            </w:r>
          </w:p>
        </w:tc>
      </w:tr>
      <w:tr w:rsidR="008F2C3D" w:rsidRPr="00D01DDB" w14:paraId="6A9A19B6" w14:textId="77777777" w:rsidTr="0017366E">
        <w:tc>
          <w:tcPr>
            <w:cnfStyle w:val="001000000000" w:firstRow="0" w:lastRow="0" w:firstColumn="1" w:lastColumn="0" w:oddVBand="0" w:evenVBand="0" w:oddHBand="0" w:evenHBand="0" w:firstRowFirstColumn="0" w:firstRowLastColumn="0" w:lastRowFirstColumn="0" w:lastRowLastColumn="0"/>
            <w:tcW w:w="967" w:type="pct"/>
          </w:tcPr>
          <w:p w14:paraId="1BDE8392" w14:textId="2EE599A4" w:rsidR="008F2C3D" w:rsidRDefault="008F2C3D" w:rsidP="00324B33">
            <w:pPr>
              <w:rPr>
                <w:szCs w:val="22"/>
              </w:rPr>
            </w:pPr>
            <w:r>
              <w:rPr>
                <w:szCs w:val="22"/>
              </w:rPr>
              <w:t>Switzerland</w:t>
            </w:r>
          </w:p>
        </w:tc>
        <w:tc>
          <w:tcPr>
            <w:tcW w:w="968" w:type="pct"/>
          </w:tcPr>
          <w:p w14:paraId="426A2D2A" w14:textId="6CD253B8" w:rsidR="008F2C3D" w:rsidRDefault="00311470"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 xml:space="preserve">11 </w:t>
            </w:r>
            <w:r w:rsidR="00FB5093">
              <w:rPr>
                <w:szCs w:val="22"/>
              </w:rPr>
              <w:t>M</w:t>
            </w:r>
            <w:r>
              <w:rPr>
                <w:szCs w:val="22"/>
              </w:rPr>
              <w:t>arch 2025</w:t>
            </w:r>
          </w:p>
        </w:tc>
        <w:tc>
          <w:tcPr>
            <w:tcW w:w="968" w:type="pct"/>
          </w:tcPr>
          <w:p w14:paraId="7E5375C7" w14:textId="274D4CBD" w:rsidR="008F2C3D" w:rsidRPr="00D01DDB" w:rsidRDefault="00A14FDF" w:rsidP="00324B33">
            <w:pPr>
              <w:cnfStyle w:val="000000000000" w:firstRow="0" w:lastRow="0" w:firstColumn="0" w:lastColumn="0" w:oddVBand="0" w:evenVBand="0" w:oddHBand="0" w:evenHBand="0" w:firstRowFirstColumn="0" w:firstRowLastColumn="0" w:lastRowFirstColumn="0" w:lastRowLastColumn="0"/>
              <w:rPr>
                <w:szCs w:val="22"/>
              </w:rPr>
            </w:pPr>
            <w:r>
              <w:rPr>
                <w:szCs w:val="22"/>
              </w:rPr>
              <w:t>Approved on 2 June 2026</w:t>
            </w:r>
          </w:p>
        </w:tc>
        <w:tc>
          <w:tcPr>
            <w:tcW w:w="2098" w:type="pct"/>
          </w:tcPr>
          <w:p w14:paraId="62DA451B" w14:textId="430B657D" w:rsidR="008F2C3D" w:rsidRPr="00323272" w:rsidRDefault="00323272" w:rsidP="00323272">
            <w:pPr>
              <w:ind w:left="0"/>
              <w:cnfStyle w:val="000000000000" w:firstRow="0" w:lastRow="0" w:firstColumn="0" w:lastColumn="0" w:oddVBand="0" w:evenVBand="0" w:oddHBand="0" w:evenHBand="0" w:firstRowFirstColumn="0" w:firstRowLastColumn="0" w:lastRowFirstColumn="0" w:lastRowLastColumn="0"/>
              <w:rPr>
                <w:i/>
                <w:iCs/>
                <w:szCs w:val="22"/>
              </w:rPr>
            </w:pPr>
            <w:proofErr w:type="spellStart"/>
            <w:r w:rsidRPr="00323272">
              <w:rPr>
                <w:i/>
                <w:iCs/>
              </w:rPr>
              <w:t>Dawnzera</w:t>
            </w:r>
            <w:proofErr w:type="spellEnd"/>
            <w:r w:rsidRPr="00323272">
              <w:rPr>
                <w:i/>
                <w:iCs/>
              </w:rPr>
              <w:t xml:space="preserve"> is indicated for routine prevention of recurrent attacks of hereditary angioedema (HAE) in adults and adolescents aged 12 years and older.</w:t>
            </w:r>
          </w:p>
        </w:tc>
      </w:tr>
    </w:tbl>
    <w:p w14:paraId="6D92589C" w14:textId="09786CEF" w:rsidR="00324B33" w:rsidRDefault="00324B33" w:rsidP="00324B33">
      <w:pPr>
        <w:pStyle w:val="Heading2"/>
      </w:pPr>
      <w:bookmarkStart w:id="27" w:name="_Toc504480011"/>
      <w:bookmarkStart w:id="28" w:name="_Toc103679293"/>
      <w:bookmarkStart w:id="29" w:name="_Toc238032168"/>
      <w:r>
        <w:t>Registration timeline</w:t>
      </w:r>
      <w:bookmarkEnd w:id="27"/>
      <w:bookmarkEnd w:id="28"/>
      <w:bookmarkEnd w:id="29"/>
    </w:p>
    <w:p w14:paraId="5B779104" w14:textId="6872FECD" w:rsidR="0017005C" w:rsidRDefault="00324B33" w:rsidP="0017005C">
      <w:r w:rsidRPr="00BD5DBD">
        <w:rPr>
          <w:szCs w:val="22"/>
        </w:rPr>
        <w:t>The following table captures the key steps and dates for this submission.</w:t>
      </w:r>
      <w:r w:rsidR="00C064D3">
        <w:rPr>
          <w:szCs w:val="22"/>
        </w:rPr>
        <w:t xml:space="preserve"> </w:t>
      </w:r>
      <w:r w:rsidR="0017005C" w:rsidRPr="00BD5DBD">
        <w:rPr>
          <w:szCs w:val="22"/>
        </w:rPr>
        <w:t>Th</w:t>
      </w:r>
      <w:r w:rsidR="00804897">
        <w:rPr>
          <w:szCs w:val="22"/>
        </w:rPr>
        <w:t>e active ingredient with its proposed indication was given</w:t>
      </w:r>
      <w:r w:rsidR="00804897" w:rsidRPr="00804897">
        <w:t xml:space="preserve"> </w:t>
      </w:r>
      <w:hyperlink r:id="rId20" w:history="1">
        <w:r w:rsidR="00804897">
          <w:rPr>
            <w:rStyle w:val="Hyperlink"/>
          </w:rPr>
          <w:t>orphan drug designation</w:t>
        </w:r>
      </w:hyperlink>
      <w:r w:rsidR="00804897">
        <w:t>.</w:t>
      </w:r>
    </w:p>
    <w:p w14:paraId="44628C5F" w14:textId="453016B7" w:rsidR="00324B33" w:rsidRDefault="00324B33" w:rsidP="002C1232">
      <w:pPr>
        <w:pStyle w:val="TableTitle"/>
      </w:pPr>
      <w:r w:rsidRPr="002C1232">
        <w:lastRenderedPageBreak/>
        <w:t xml:space="preserve">Table </w:t>
      </w:r>
      <w:fldSimple w:instr=" SEQ Table \* ARABIC ">
        <w:r w:rsidR="008B1CB5" w:rsidRPr="002C1232">
          <w:t>2</w:t>
        </w:r>
      </w:fldSimple>
      <w:r w:rsidRPr="002C1232">
        <w:t>: Timeline for Submission PM-202</w:t>
      </w:r>
      <w:r w:rsidR="008C2599">
        <w:t>6</w:t>
      </w:r>
      <w:r w:rsidRPr="002C1232">
        <w:t>-</w:t>
      </w:r>
      <w:r w:rsidR="00C064D3">
        <w:t>02384</w:t>
      </w:r>
      <w:r w:rsidRPr="002C1232">
        <w:t>-1-</w:t>
      </w:r>
      <w:r w:rsidR="00C064D3">
        <w:t>2</w:t>
      </w:r>
    </w:p>
    <w:tbl>
      <w:tblPr>
        <w:tblStyle w:val="TableTGAblue2023"/>
        <w:tblW w:w="9067" w:type="dxa"/>
        <w:tblLook w:val="04A0" w:firstRow="1" w:lastRow="0" w:firstColumn="1" w:lastColumn="0" w:noHBand="0" w:noVBand="1"/>
      </w:tblPr>
      <w:tblGrid>
        <w:gridCol w:w="6799"/>
        <w:gridCol w:w="2268"/>
      </w:tblGrid>
      <w:tr w:rsidR="00324B33" w:rsidRPr="00D01DDB" w14:paraId="6C59BE9C" w14:textId="77777777" w:rsidTr="00120F3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9" w:type="dxa"/>
          </w:tcPr>
          <w:p w14:paraId="16D80E78" w14:textId="3EC0CCAF" w:rsidR="00324B33" w:rsidRPr="00D01DDB" w:rsidRDefault="00324B33" w:rsidP="00120F3F">
            <w:r w:rsidRPr="00D01DDB">
              <w:t>Description</w:t>
            </w:r>
          </w:p>
        </w:tc>
        <w:tc>
          <w:tcPr>
            <w:tcW w:w="2268" w:type="dxa"/>
          </w:tcPr>
          <w:p w14:paraId="79AFDC4B" w14:textId="05792035" w:rsidR="00324B33" w:rsidRPr="00D01DDB" w:rsidRDefault="00324B33" w:rsidP="00120F3F">
            <w:pPr>
              <w:cnfStyle w:val="100000000000" w:firstRow="1" w:lastRow="0" w:firstColumn="0" w:lastColumn="0" w:oddVBand="0" w:evenVBand="0" w:oddHBand="0" w:evenHBand="0" w:firstRowFirstColumn="0" w:firstRowLastColumn="0" w:lastRowFirstColumn="0" w:lastRowLastColumn="0"/>
            </w:pPr>
            <w:r w:rsidRPr="00D01DDB">
              <w:t>Date</w:t>
            </w:r>
          </w:p>
        </w:tc>
      </w:tr>
      <w:tr w:rsidR="00324B33" w:rsidRPr="00D01DDB" w14:paraId="1398460B"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1106CC1E" w14:textId="56269E33" w:rsidR="00324B33" w:rsidRPr="00E679D1" w:rsidRDefault="00324B33" w:rsidP="00120F3F">
            <w:r w:rsidRPr="00E679D1">
              <w:t>Designation (Orphan)</w:t>
            </w:r>
          </w:p>
        </w:tc>
        <w:tc>
          <w:tcPr>
            <w:tcW w:w="2268" w:type="dxa"/>
          </w:tcPr>
          <w:p w14:paraId="4CD143CF" w14:textId="24A6829F" w:rsidR="00324B33" w:rsidRPr="00D01DDB" w:rsidRDefault="00BA2B4F" w:rsidP="00120F3F">
            <w:pPr>
              <w:cnfStyle w:val="000000000000" w:firstRow="0" w:lastRow="0" w:firstColumn="0" w:lastColumn="0" w:oddVBand="0" w:evenVBand="0" w:oddHBand="0" w:evenHBand="0" w:firstRowFirstColumn="0" w:firstRowLastColumn="0" w:lastRowFirstColumn="0" w:lastRowLastColumn="0"/>
            </w:pPr>
            <w:r>
              <w:t>11 April 2025</w:t>
            </w:r>
          </w:p>
        </w:tc>
      </w:tr>
      <w:tr w:rsidR="00324B33" w:rsidRPr="00D01DDB" w14:paraId="23610C53"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759D2A12" w14:textId="0D705F83" w:rsidR="00324B33" w:rsidRPr="00E679D1" w:rsidRDefault="00324B33" w:rsidP="00120F3F">
            <w:r w:rsidRPr="00E679D1">
              <w:t>Submission dossier accepted and first round evaluation commenced</w:t>
            </w:r>
          </w:p>
        </w:tc>
        <w:tc>
          <w:tcPr>
            <w:tcW w:w="2268" w:type="dxa"/>
          </w:tcPr>
          <w:p w14:paraId="2963D9D8" w14:textId="378DB9CA" w:rsidR="00324B33" w:rsidRPr="00D01DDB" w:rsidRDefault="00CE58CC" w:rsidP="00120F3F">
            <w:pPr>
              <w:cnfStyle w:val="000000000000" w:firstRow="0" w:lastRow="0" w:firstColumn="0" w:lastColumn="0" w:oddVBand="0" w:evenVBand="0" w:oddHBand="0" w:evenHBand="0" w:firstRowFirstColumn="0" w:firstRowLastColumn="0" w:lastRowFirstColumn="0" w:lastRowLastColumn="0"/>
            </w:pPr>
            <w:r>
              <w:t>31 July 2025</w:t>
            </w:r>
          </w:p>
        </w:tc>
      </w:tr>
      <w:tr w:rsidR="00803926" w:rsidRPr="00D01DDB" w14:paraId="16D13F79"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6858B45A" w14:textId="615A218B" w:rsidR="00803926" w:rsidRPr="00E679D1" w:rsidDel="00C62B1C" w:rsidRDefault="00803926" w:rsidP="00120F3F">
            <w:r>
              <w:t>Evaluation completed</w:t>
            </w:r>
            <w:r w:rsidR="005775D0">
              <w:t xml:space="preserve"> (End of round </w:t>
            </w:r>
            <w:r w:rsidR="00C00844">
              <w:t>2)</w:t>
            </w:r>
          </w:p>
        </w:tc>
        <w:tc>
          <w:tcPr>
            <w:tcW w:w="2268" w:type="dxa"/>
          </w:tcPr>
          <w:p w14:paraId="2E0BD403" w14:textId="02AD9687" w:rsidR="00803926" w:rsidRPr="00D01DDB" w:rsidRDefault="008C2599" w:rsidP="00120F3F">
            <w:pPr>
              <w:cnfStyle w:val="000000000000" w:firstRow="0" w:lastRow="0" w:firstColumn="0" w:lastColumn="0" w:oddVBand="0" w:evenVBand="0" w:oddHBand="0" w:evenHBand="0" w:firstRowFirstColumn="0" w:firstRowLastColumn="0" w:lastRowFirstColumn="0" w:lastRowLastColumn="0"/>
            </w:pPr>
            <w:r>
              <w:t>5 May 2026</w:t>
            </w:r>
          </w:p>
        </w:tc>
      </w:tr>
      <w:tr w:rsidR="00324B33" w:rsidRPr="00D01DDB" w14:paraId="6E5D32FE"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4E95C44C" w14:textId="7A91C710" w:rsidR="00324B33" w:rsidRPr="00E679D1" w:rsidRDefault="00324B33" w:rsidP="00120F3F">
            <w:r w:rsidRPr="00E679D1">
              <w:t>Registration decision (Outcome)</w:t>
            </w:r>
          </w:p>
        </w:tc>
        <w:tc>
          <w:tcPr>
            <w:tcW w:w="2268" w:type="dxa"/>
          </w:tcPr>
          <w:p w14:paraId="62987ABD" w14:textId="4A102B4F" w:rsidR="00324B33" w:rsidRPr="00D01DDB" w:rsidRDefault="008C2599" w:rsidP="00120F3F">
            <w:pPr>
              <w:cnfStyle w:val="000000000000" w:firstRow="0" w:lastRow="0" w:firstColumn="0" w:lastColumn="0" w:oddVBand="0" w:evenVBand="0" w:oddHBand="0" w:evenHBand="0" w:firstRowFirstColumn="0" w:firstRowLastColumn="0" w:lastRowFirstColumn="0" w:lastRowLastColumn="0"/>
            </w:pPr>
            <w:r>
              <w:t>10 June 2026</w:t>
            </w:r>
          </w:p>
        </w:tc>
      </w:tr>
      <w:tr w:rsidR="00324B33" w:rsidRPr="00D01DDB" w14:paraId="6DDCDDA4"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192FD19D" w14:textId="14B5C6BD" w:rsidR="00324B33" w:rsidRPr="00E679D1" w:rsidRDefault="0013132F" w:rsidP="00120F3F">
            <w:r w:rsidRPr="00E679D1">
              <w:t xml:space="preserve"> </w:t>
            </w:r>
            <w:r w:rsidR="00BA2B4F">
              <w:t xml:space="preserve"> </w:t>
            </w:r>
            <w:r w:rsidR="00C00844">
              <w:t>R</w:t>
            </w:r>
            <w:r w:rsidRPr="00E679D1">
              <w:t xml:space="preserve">egistration </w:t>
            </w:r>
            <w:r w:rsidR="005C4B46" w:rsidRPr="00E679D1">
              <w:t xml:space="preserve">in </w:t>
            </w:r>
            <w:r w:rsidRPr="00E679D1">
              <w:t>the ARTG completed</w:t>
            </w:r>
          </w:p>
        </w:tc>
        <w:tc>
          <w:tcPr>
            <w:tcW w:w="2268" w:type="dxa"/>
          </w:tcPr>
          <w:p w14:paraId="5A8923FD" w14:textId="529BD036" w:rsidR="00324B33" w:rsidRPr="00D01DDB" w:rsidRDefault="008C2599" w:rsidP="00120F3F">
            <w:pPr>
              <w:cnfStyle w:val="000000000000" w:firstRow="0" w:lastRow="0" w:firstColumn="0" w:lastColumn="0" w:oddVBand="0" w:evenVBand="0" w:oddHBand="0" w:evenHBand="0" w:firstRowFirstColumn="0" w:firstRowLastColumn="0" w:lastRowFirstColumn="0" w:lastRowLastColumn="0"/>
            </w:pPr>
            <w:r>
              <w:t>11 June 2026</w:t>
            </w:r>
          </w:p>
        </w:tc>
      </w:tr>
      <w:tr w:rsidR="00324B33" w:rsidRPr="00D01DDB" w14:paraId="56D922E2" w14:textId="77777777" w:rsidTr="00120F3F">
        <w:tc>
          <w:tcPr>
            <w:cnfStyle w:val="001000000000" w:firstRow="0" w:lastRow="0" w:firstColumn="1" w:lastColumn="0" w:oddVBand="0" w:evenVBand="0" w:oddHBand="0" w:evenHBand="0" w:firstRowFirstColumn="0" w:firstRowLastColumn="0" w:lastRowFirstColumn="0" w:lastRowLastColumn="0"/>
            <w:tcW w:w="6799" w:type="dxa"/>
          </w:tcPr>
          <w:p w14:paraId="787FD8DD" w14:textId="0E0CF97F" w:rsidR="00324B33" w:rsidRPr="00E679D1" w:rsidRDefault="00324B33" w:rsidP="00120F3F">
            <w:r w:rsidRPr="00E679D1">
              <w:t>Number of working days from submission dossier acceptance to registration decision*</w:t>
            </w:r>
          </w:p>
        </w:tc>
        <w:tc>
          <w:tcPr>
            <w:tcW w:w="2268" w:type="dxa"/>
          </w:tcPr>
          <w:p w14:paraId="5BAF9FA1" w14:textId="45A2C997" w:rsidR="00324B33" w:rsidRPr="00D01DDB" w:rsidRDefault="00754BDC" w:rsidP="00120F3F">
            <w:pPr>
              <w:cnfStyle w:val="000000000000" w:firstRow="0" w:lastRow="0" w:firstColumn="0" w:lastColumn="0" w:oddVBand="0" w:evenVBand="0" w:oddHBand="0" w:evenHBand="0" w:firstRowFirstColumn="0" w:firstRowLastColumn="0" w:lastRowFirstColumn="0" w:lastRowLastColumn="0"/>
            </w:pPr>
            <w:r>
              <w:t>167</w:t>
            </w:r>
          </w:p>
        </w:tc>
      </w:tr>
    </w:tbl>
    <w:p w14:paraId="7B02554C" w14:textId="77777777" w:rsidR="00433318" w:rsidRDefault="00433318" w:rsidP="00433318">
      <w:pPr>
        <w:pStyle w:val="TableDescription"/>
      </w:pPr>
      <w:r>
        <w:t>*</w:t>
      </w:r>
      <w:r w:rsidRPr="00BF3774">
        <w:t xml:space="preserve">Statutory </w:t>
      </w:r>
      <w:r>
        <w:t>timeframe for standard submissions is 255 working days</w:t>
      </w:r>
    </w:p>
    <w:p w14:paraId="220925F1" w14:textId="75C7430A" w:rsidR="00C22214" w:rsidRPr="00792A32" w:rsidRDefault="00083763" w:rsidP="00C22214">
      <w:pPr>
        <w:pStyle w:val="Heading2"/>
      </w:pPr>
      <w:bookmarkStart w:id="30" w:name="_Toc238032169"/>
      <w:bookmarkStart w:id="31" w:name="_Toc196046504"/>
      <w:bookmarkStart w:id="32" w:name="_Toc247691527"/>
      <w:bookmarkStart w:id="33" w:name="_Toc314842510"/>
      <w:bookmarkStart w:id="34" w:name="_Toc103679294"/>
      <w:r>
        <w:t xml:space="preserve">Assessment </w:t>
      </w:r>
      <w:r w:rsidR="00C22214" w:rsidRPr="00006FAB">
        <w:t>overview</w:t>
      </w:r>
      <w:bookmarkEnd w:id="30"/>
      <w:r w:rsidR="00C22214" w:rsidRPr="00006FAB">
        <w:t xml:space="preserve"> </w:t>
      </w:r>
      <w:bookmarkEnd w:id="31"/>
      <w:bookmarkEnd w:id="32"/>
      <w:bookmarkEnd w:id="33"/>
      <w:bookmarkEnd w:id="34"/>
    </w:p>
    <w:p w14:paraId="540151FC" w14:textId="77777777" w:rsidR="00C22214" w:rsidRPr="00BD5DBD" w:rsidRDefault="00C22214" w:rsidP="00BD5DBD">
      <w:pPr>
        <w:rPr>
          <w:szCs w:val="22"/>
        </w:rPr>
      </w:pPr>
      <w:bookmarkStart w:id="35" w:name="_Toc247691528"/>
      <w:bookmarkStart w:id="36" w:name="_Toc314842511"/>
      <w:r w:rsidRPr="00BD5DBD">
        <w:rPr>
          <w:szCs w:val="22"/>
        </w:rPr>
        <w:t>A summary of the TGA’s assessment for this submission is provided below.</w:t>
      </w:r>
    </w:p>
    <w:p w14:paraId="37F5A1C0" w14:textId="5D3D5FE0" w:rsidR="00C22214" w:rsidRDefault="00095C6A" w:rsidP="00C22214">
      <w:pPr>
        <w:pStyle w:val="Heading3"/>
      </w:pPr>
      <w:bookmarkStart w:id="37" w:name="_Toc103679295"/>
      <w:bookmarkStart w:id="38" w:name="_Toc238032170"/>
      <w:r>
        <w:t>Q</w:t>
      </w:r>
      <w:r w:rsidR="00C22214">
        <w:t>uality</w:t>
      </w:r>
      <w:bookmarkEnd w:id="35"/>
      <w:bookmarkEnd w:id="36"/>
      <w:bookmarkEnd w:id="37"/>
      <w:r w:rsidR="007E6443">
        <w:t xml:space="preserve"> evaluation</w:t>
      </w:r>
      <w:r>
        <w:t xml:space="preserve"> summary</w:t>
      </w:r>
      <w:bookmarkEnd w:id="38"/>
    </w:p>
    <w:p w14:paraId="5ED8986B" w14:textId="2D25695A" w:rsidR="0035352A" w:rsidRPr="0035352A" w:rsidRDefault="0035352A" w:rsidP="0035352A">
      <w:r w:rsidRPr="0035352A">
        <w:t>Donidalorsen is a 2’-</w:t>
      </w:r>
      <w:r w:rsidRPr="0035352A">
        <w:rPr>
          <w:i/>
          <w:iCs/>
        </w:rPr>
        <w:t>O</w:t>
      </w:r>
      <w:r w:rsidRPr="0035352A">
        <w:t xml:space="preserve">-methoxyethyl–modified antisense oligonucleotide conjugated to a </w:t>
      </w:r>
      <w:proofErr w:type="spellStart"/>
      <w:r w:rsidRPr="0035352A">
        <w:t>triantennary</w:t>
      </w:r>
      <w:proofErr w:type="spellEnd"/>
      <w:r w:rsidRPr="0035352A">
        <w:t xml:space="preserve"> </w:t>
      </w:r>
      <w:r w:rsidRPr="0035352A">
        <w:rPr>
          <w:i/>
          <w:iCs/>
        </w:rPr>
        <w:t>N</w:t>
      </w:r>
      <w:r w:rsidRPr="0035352A">
        <w:t>-</w:t>
      </w:r>
      <w:proofErr w:type="spellStart"/>
      <w:r w:rsidRPr="0035352A">
        <w:t>acetylgalactosamine</w:t>
      </w:r>
      <w:proofErr w:type="spellEnd"/>
      <w:r w:rsidRPr="0035352A">
        <w:t xml:space="preserve"> (GalNAc3) moiety</w:t>
      </w:r>
      <w:r w:rsidR="00B0085B">
        <w:t>.</w:t>
      </w:r>
    </w:p>
    <w:p w14:paraId="0C1DB50E" w14:textId="4E047CA2" w:rsidR="0035352A" w:rsidRDefault="004E0940" w:rsidP="0035352A">
      <w:r w:rsidRPr="004E0940">
        <w:t xml:space="preserve">The drug substance specification has been set in line with the ICH guidelines and the EMA draft guideline on </w:t>
      </w:r>
      <w:r w:rsidR="00A67756">
        <w:t>d</w:t>
      </w:r>
      <w:r w:rsidRPr="004E0940">
        <w:t>evelopment and manufacture of oligonucleotides. It includes appropriate tests for appearance, identification by mass, sequence confirmation, identity and quantity of counterion, assay, purity, oligonucleotide impurities and degradation products, residual solvents, bacterial endotoxins, microbial limits, and water content.</w:t>
      </w:r>
    </w:p>
    <w:p w14:paraId="4A918F4B" w14:textId="77777777" w:rsidR="003B249A" w:rsidRDefault="003B249A" w:rsidP="003B249A">
      <w:r w:rsidRPr="003B249A">
        <w:t>The analytical methods used to analyse the drug substance were adequately described and validated. Risk assessments on the potential presence of nitrosamines and elemental impurities were performed. No significant risk was identified.</w:t>
      </w:r>
    </w:p>
    <w:p w14:paraId="549E5192" w14:textId="568DDF4F" w:rsidR="006C59A3" w:rsidRPr="006C59A3" w:rsidRDefault="006C59A3" w:rsidP="006C59A3">
      <w:r w:rsidRPr="006C59A3">
        <w:t xml:space="preserve">The drug product is a sterile, clear, colourless to yellow, single-dose, ready-to-use, parenteral solution of donidalorsen for SC administration. It is packaged as 0.8 mL deliverable volume in a 1 mL staked needle glass pre-filled syringe closed with a </w:t>
      </w:r>
      <w:proofErr w:type="spellStart"/>
      <w:r w:rsidRPr="006C59A3">
        <w:t>siliconised</w:t>
      </w:r>
      <w:proofErr w:type="spellEnd"/>
      <w:r w:rsidRPr="006C59A3">
        <w:t xml:space="preserve"> butyl rubber plunger stopper. The autoinjector delivers a single dose of 80 mg donidalorsen. </w:t>
      </w:r>
    </w:p>
    <w:p w14:paraId="43FD5A9F" w14:textId="70B91E41" w:rsidR="00F62B9A" w:rsidRPr="00F62B9A" w:rsidRDefault="00F62B9A" w:rsidP="00F62B9A">
      <w:r w:rsidRPr="00F62B9A">
        <w:t xml:space="preserve">The drug product shelf-life is 36 months when stored at 2-8 °C. Refrigerate. Do not freeze. Keep the pre-filled pen in the outer carton </w:t>
      </w:r>
      <w:proofErr w:type="gramStart"/>
      <w:r w:rsidRPr="00F62B9A">
        <w:t>in order to</w:t>
      </w:r>
      <w:proofErr w:type="gramEnd"/>
      <w:r w:rsidRPr="00F62B9A">
        <w:t xml:space="preserve"> protect from light. Do not expose to heat. The product may be stored in the original carton unrefrigerated for up to 6 weeks</w:t>
      </w:r>
      <w:r w:rsidR="00DC62F2">
        <w:t xml:space="preserve"> at or</w:t>
      </w:r>
      <w:r w:rsidRPr="00F62B9A">
        <w:t xml:space="preserve"> below 30 °C.</w:t>
      </w:r>
      <w:r w:rsidR="002F66EA" w:rsidRPr="002F66EA">
        <w:rPr>
          <w:rFonts w:cs="Cambria"/>
          <w:color w:val="000000"/>
          <w:szCs w:val="22"/>
        </w:rPr>
        <w:t xml:space="preserve"> </w:t>
      </w:r>
      <w:r w:rsidR="002F66EA" w:rsidRPr="002F66EA">
        <w:t>If not used within 6 weeks, it should be discarded.</w:t>
      </w:r>
    </w:p>
    <w:p w14:paraId="2BE90AAE" w14:textId="35796FD3" w:rsidR="00C22214" w:rsidRDefault="00C22214" w:rsidP="00C22214">
      <w:pPr>
        <w:pStyle w:val="Heading3"/>
      </w:pPr>
      <w:bookmarkStart w:id="39" w:name="_Toc314842512"/>
      <w:bookmarkStart w:id="40" w:name="_Toc103679296"/>
      <w:bookmarkStart w:id="41" w:name="_Toc238032171"/>
      <w:r>
        <w:t>Nonclinical</w:t>
      </w:r>
      <w:bookmarkEnd w:id="39"/>
      <w:bookmarkEnd w:id="40"/>
      <w:r w:rsidR="007E6443">
        <w:t xml:space="preserve"> evaluation</w:t>
      </w:r>
      <w:r w:rsidR="00095C6A">
        <w:t xml:space="preserve"> summary</w:t>
      </w:r>
      <w:bookmarkEnd w:id="41"/>
    </w:p>
    <w:p w14:paraId="545871C8" w14:textId="77777777" w:rsidR="00CD125B" w:rsidRPr="00521D1D" w:rsidRDefault="00CD125B" w:rsidP="00CD125B">
      <w:r w:rsidRPr="00521D1D">
        <w:t>The overall quality of the nonclinical dossier was sound, and all pivotal safety-related studies were GLP-compliant.</w:t>
      </w:r>
      <w:r w:rsidRPr="00BB279D">
        <w:t xml:space="preserve"> </w:t>
      </w:r>
    </w:p>
    <w:p w14:paraId="28226389" w14:textId="6808039B" w:rsidR="00CD125B" w:rsidRPr="00521D1D" w:rsidRDefault="00CD125B" w:rsidP="00CD125B">
      <w:r w:rsidRPr="00521D1D">
        <w:t xml:space="preserve">The </w:t>
      </w:r>
      <w:r w:rsidRPr="00521D1D">
        <w:rPr>
          <w:i/>
          <w:iCs/>
        </w:rPr>
        <w:t xml:space="preserve">in vitro </w:t>
      </w:r>
      <w:r w:rsidRPr="00521D1D">
        <w:t xml:space="preserve">and </w:t>
      </w:r>
      <w:r w:rsidRPr="00521D1D">
        <w:rPr>
          <w:i/>
          <w:iCs/>
        </w:rPr>
        <w:t xml:space="preserve">in vivo </w:t>
      </w:r>
      <w:r w:rsidRPr="00521D1D">
        <w:t xml:space="preserve">primary pharmacology studies submitted support that inhibiting the expression of PKK with donidalorsen produces the expected upstream target engagement (i.e. ↓ PKK mRNA), downstream pharmacodynamic effects (↓PKK protein; ↓HMWK cleavage), and </w:t>
      </w:r>
      <w:r w:rsidRPr="00521D1D">
        <w:lastRenderedPageBreak/>
        <w:t xml:space="preserve">functional efficacy readouts (↓vascular permeability). The data support the proposed </w:t>
      </w:r>
      <w:r w:rsidR="000002B4" w:rsidRPr="000002B4">
        <w:t xml:space="preserve">mechanism of action </w:t>
      </w:r>
      <w:r w:rsidR="003848A0">
        <w:t>(</w:t>
      </w:r>
      <w:proofErr w:type="spellStart"/>
      <w:r w:rsidRPr="00521D1D">
        <w:t>MoA</w:t>
      </w:r>
      <w:proofErr w:type="spellEnd"/>
      <w:r w:rsidR="003848A0">
        <w:t>)</w:t>
      </w:r>
      <w:r w:rsidRPr="00521D1D">
        <w:t xml:space="preserve"> and indication.</w:t>
      </w:r>
      <w:r w:rsidRPr="00BB279D">
        <w:t xml:space="preserve"> Cynomolgus monkeys were considered a </w:t>
      </w:r>
      <w:r w:rsidR="000C1F6E" w:rsidRPr="00BB279D">
        <w:t>pharmacologically responsive</w:t>
      </w:r>
      <w:r w:rsidRPr="00BB279D">
        <w:t xml:space="preserve"> species.</w:t>
      </w:r>
      <w:r w:rsidR="00CC4CE0">
        <w:t xml:space="preserve"> </w:t>
      </w:r>
      <w:r w:rsidRPr="00BB279D">
        <w:t xml:space="preserve">No significant off-target sites were identified in an </w:t>
      </w:r>
      <w:r w:rsidRPr="00BB279D">
        <w:rPr>
          <w:i/>
          <w:iCs/>
        </w:rPr>
        <w:t>in silico</w:t>
      </w:r>
      <w:r>
        <w:rPr>
          <w:i/>
          <w:iCs/>
        </w:rPr>
        <w:t>/in vitro</w:t>
      </w:r>
      <w:r w:rsidRPr="00BB279D">
        <w:t xml:space="preserve"> screen.</w:t>
      </w:r>
    </w:p>
    <w:p w14:paraId="4A514846" w14:textId="53726E3C" w:rsidR="00CD125B" w:rsidRPr="00290FF6" w:rsidRDefault="00CD125B" w:rsidP="00CD125B">
      <w:r w:rsidRPr="006735D3">
        <w:t xml:space="preserve">Safety pharmacology studies assessed effects on the cardiovascular, respiratory and central nervous system (CNS) parameters in monkeys. No adverse effects were seen on the tested systems at doses associated with high exposure compared to human. No significant inhibition of </w:t>
      </w:r>
      <w:proofErr w:type="spellStart"/>
      <w:r w:rsidRPr="006735D3">
        <w:t>hERG</w:t>
      </w:r>
      <w:proofErr w:type="spellEnd"/>
      <w:r w:rsidRPr="006735D3">
        <w:t xml:space="preserve"> K+ channel tail current was observed </w:t>
      </w:r>
      <w:r w:rsidRPr="00BB279D">
        <w:rPr>
          <w:i/>
          <w:iCs/>
        </w:rPr>
        <w:t>in vitro</w:t>
      </w:r>
      <w:r w:rsidRPr="00BB279D">
        <w:t xml:space="preserve"> at high concentr</w:t>
      </w:r>
      <w:r>
        <w:t>a</w:t>
      </w:r>
      <w:r w:rsidRPr="00BB279D">
        <w:t>tions. Do</w:t>
      </w:r>
      <w:r w:rsidRPr="006735D3">
        <w:t xml:space="preserve">nidalorsen is not </w:t>
      </w:r>
      <w:r w:rsidRPr="00290FF6">
        <w:t xml:space="preserve">expected </w:t>
      </w:r>
      <w:r w:rsidRPr="00BB279D">
        <w:t>to affect cardiovascular, respiratory or CNS parameters</w:t>
      </w:r>
      <w:r w:rsidRPr="00290FF6">
        <w:t xml:space="preserve"> in patients.</w:t>
      </w:r>
    </w:p>
    <w:p w14:paraId="2B4E868A" w14:textId="77777777" w:rsidR="00CD125B" w:rsidRPr="00290FF6" w:rsidRDefault="00CD125B" w:rsidP="00CD125B">
      <w:r w:rsidRPr="00290FF6">
        <w:t>Overall, the pharmacokinetic profile in animals was qualitatively similar to that of humans</w:t>
      </w:r>
      <w:r w:rsidRPr="00BB279D">
        <w:t xml:space="preserve"> and </w:t>
      </w:r>
      <w:proofErr w:type="gramStart"/>
      <w:r w:rsidRPr="00BB279D">
        <w:t>similar to</w:t>
      </w:r>
      <w:proofErr w:type="gramEnd"/>
      <w:r w:rsidRPr="00BB279D">
        <w:t xml:space="preserve"> the profile of other GalNAc-conjugated oligonucleotides</w:t>
      </w:r>
      <w:r w:rsidRPr="00290FF6">
        <w:t xml:space="preserve">. Donidalorsen was readily and rapidly absorbed with a similar </w:t>
      </w:r>
      <w:proofErr w:type="spellStart"/>
      <w:r w:rsidRPr="00290FF6">
        <w:rPr>
          <w:rFonts w:eastAsia="Cambria"/>
        </w:rPr>
        <w:t>T</w:t>
      </w:r>
      <w:r w:rsidRPr="00290FF6">
        <w:rPr>
          <w:rFonts w:eastAsia="Cambria"/>
          <w:vertAlign w:val="subscript"/>
        </w:rPr>
        <w:t>max</w:t>
      </w:r>
      <w:proofErr w:type="spellEnd"/>
      <w:r w:rsidRPr="00290FF6">
        <w:t xml:space="preserve"> in all species</w:t>
      </w:r>
      <w:r w:rsidRPr="00BB279D">
        <w:t xml:space="preserve"> following SC dosing</w:t>
      </w:r>
      <w:r w:rsidRPr="00290FF6">
        <w:t xml:space="preserve">. </w:t>
      </w:r>
      <w:r w:rsidRPr="00BB279D">
        <w:t xml:space="preserve">The biphasic plasma concentration-time profile was indicative of a rapid tissue distribution phase, mainly to the liver (target tissue) and kidney (site of elimination), followed by a much slower elimination profile with the rate of the second phase dependent on tissue half-lives. </w:t>
      </w:r>
      <w:r w:rsidRPr="00290FF6">
        <w:t xml:space="preserve">Plasma protein binding of donidalorsen was high in all </w:t>
      </w:r>
      <w:r w:rsidRPr="00BB279D">
        <w:t xml:space="preserve">tested </w:t>
      </w:r>
      <w:r w:rsidRPr="00290FF6">
        <w:t xml:space="preserve">animal species and humans. </w:t>
      </w:r>
      <w:r w:rsidRPr="00BB279D">
        <w:t>Metabolism of d</w:t>
      </w:r>
      <w:r w:rsidRPr="00290FF6">
        <w:t>onidalorsen</w:t>
      </w:r>
      <w:r w:rsidRPr="00BB279D">
        <w:t xml:space="preserve"> involved rapid hydrolysis of the GalNAc linker component in tissues followed </w:t>
      </w:r>
      <w:r w:rsidRPr="00290FF6">
        <w:t xml:space="preserve">by </w:t>
      </w:r>
      <w:r w:rsidRPr="00BB279D">
        <w:t xml:space="preserve">metabolism of the oligonucleotide component by endo- and </w:t>
      </w:r>
      <w:r w:rsidRPr="00290FF6">
        <w:t>exonucleases in all species. Excretion of linker</w:t>
      </w:r>
      <w:r w:rsidRPr="00BB279D">
        <w:noBreakHyphen/>
      </w:r>
      <w:r w:rsidRPr="00290FF6">
        <w:t xml:space="preserve">related </w:t>
      </w:r>
      <w:r w:rsidRPr="00BB279D">
        <w:t>material</w:t>
      </w:r>
      <w:r w:rsidRPr="00290FF6">
        <w:t xml:space="preserve"> </w:t>
      </w:r>
      <w:r w:rsidRPr="00BB279D">
        <w:t>was primarily</w:t>
      </w:r>
      <w:r w:rsidRPr="00290FF6">
        <w:t xml:space="preserve"> in </w:t>
      </w:r>
      <w:r w:rsidRPr="00BB279D">
        <w:t xml:space="preserve">the </w:t>
      </w:r>
      <w:r w:rsidRPr="00290FF6">
        <w:t>faeces.</w:t>
      </w:r>
      <w:r w:rsidRPr="00BB279D">
        <w:t xml:space="preserve"> Oligonucleotide-related components are expected to be excreted primarily in the urine.</w:t>
      </w:r>
    </w:p>
    <w:p w14:paraId="7E8C1F31" w14:textId="77777777" w:rsidR="00CD125B" w:rsidRPr="0001597E" w:rsidRDefault="00CD125B" w:rsidP="00CD125B">
      <w:r w:rsidRPr="00A63644">
        <w:t xml:space="preserve">Donidalorsen did not exhibit any appreciable activity against CYP isozymes or efflux and uptake </w:t>
      </w:r>
      <w:r w:rsidRPr="0001597E">
        <w:t>transporters, thus pharmacokinetic drug interaction potential is considered negligible.</w:t>
      </w:r>
    </w:p>
    <w:p w14:paraId="60958A71" w14:textId="77777777" w:rsidR="00CD125B" w:rsidRPr="0001597E" w:rsidRDefault="00CD125B" w:rsidP="00CD125B">
      <w:r w:rsidRPr="00BB279D">
        <w:t>Key r</w:t>
      </w:r>
      <w:r w:rsidRPr="0001597E">
        <w:t xml:space="preserve">epeat-dose toxicity studies by the SC route were conducted in mice (up to 26 weeks) and </w:t>
      </w:r>
      <w:r w:rsidRPr="00BB279D">
        <w:t>c</w:t>
      </w:r>
      <w:r w:rsidRPr="0001597E">
        <w:t xml:space="preserve">ynomolgus monkeys (39 weeks). </w:t>
      </w:r>
      <w:r w:rsidRPr="00BB279D">
        <w:t>Maximum estimated s</w:t>
      </w:r>
      <w:r w:rsidRPr="0001597E">
        <w:t xml:space="preserve">ystemic exposures achieved in mice were </w:t>
      </w:r>
      <w:r w:rsidRPr="00BB279D">
        <w:t xml:space="preserve">moderate while maximum exposures were </w:t>
      </w:r>
      <w:r w:rsidRPr="0001597E">
        <w:t>very high in monkey</w:t>
      </w:r>
      <w:r w:rsidRPr="00BB279D">
        <w:t>s</w:t>
      </w:r>
      <w:r w:rsidRPr="0001597E">
        <w:t>, relative to exposures at the proposed clinical dose. The most notable toxicity observed was severe thrombocytopenia in monkey</w:t>
      </w:r>
      <w:r w:rsidRPr="00BB279D">
        <w:t>s</w:t>
      </w:r>
      <w:r w:rsidRPr="0001597E">
        <w:t xml:space="preserve"> at </w:t>
      </w:r>
      <w:r w:rsidRPr="00BB279D">
        <w:t xml:space="preserve">high relative exposures. Given the margin at the NOAEL, this </w:t>
      </w:r>
      <w:r w:rsidRPr="0001597E">
        <w:t xml:space="preserve">is unlikely to be clinically relevant. Most other findings were associated with areas of high localisation of the drug. These included the liver—the intended pharmacological target, through its GalNAc linker, the kidneys—the main excretory pathway, the injection site—site of administration, and the lymph nodes. </w:t>
      </w:r>
      <w:proofErr w:type="gramStart"/>
      <w:r w:rsidRPr="0001597E">
        <w:t>All of</w:t>
      </w:r>
      <w:proofErr w:type="gramEnd"/>
      <w:r w:rsidRPr="0001597E">
        <w:t xml:space="preserve"> the effects were associated with the uptake/disposition of the drug</w:t>
      </w:r>
      <w:r w:rsidRPr="00BB279D">
        <w:t xml:space="preserve"> or an expected foreign body reaction</w:t>
      </w:r>
      <w:r w:rsidRPr="0001597E">
        <w:t xml:space="preserve">. </w:t>
      </w:r>
      <w:r>
        <w:t xml:space="preserve">Degenerative findings in the liver of treated mice are considered rodent-specific. </w:t>
      </w:r>
      <w:r w:rsidRPr="0001597E">
        <w:t xml:space="preserve">They are </w:t>
      </w:r>
      <w:r w:rsidRPr="00BB279D">
        <w:t xml:space="preserve">not </w:t>
      </w:r>
      <w:r w:rsidRPr="0001597E">
        <w:t xml:space="preserve">considered </w:t>
      </w:r>
      <w:r w:rsidRPr="00BB279D">
        <w:t>to pose a concern for patients</w:t>
      </w:r>
      <w:r w:rsidRPr="0001597E">
        <w:t>.</w:t>
      </w:r>
      <w:r w:rsidRPr="00BB279D">
        <w:t xml:space="preserve"> </w:t>
      </w:r>
    </w:p>
    <w:p w14:paraId="63ED03C4" w14:textId="77777777" w:rsidR="00CD125B" w:rsidRPr="007273F5" w:rsidRDefault="00CD125B" w:rsidP="00CD125B">
      <w:r w:rsidRPr="007273F5">
        <w:t xml:space="preserve">Donidalorsen </w:t>
      </w:r>
      <w:r w:rsidRPr="00BB279D">
        <w:t xml:space="preserve">does not pose a genotoxic concern based on negative results </w:t>
      </w:r>
      <w:r w:rsidRPr="007273F5">
        <w:t>in the bacterial mutation assay</w:t>
      </w:r>
      <w:r w:rsidRPr="00BB279D">
        <w:t>, an</w:t>
      </w:r>
      <w:r w:rsidRPr="007273F5">
        <w:t xml:space="preserve"> </w:t>
      </w:r>
      <w:r w:rsidRPr="00BB279D">
        <w:rPr>
          <w:i/>
          <w:iCs/>
        </w:rPr>
        <w:t>in vitro</w:t>
      </w:r>
      <w:r w:rsidRPr="00BB279D">
        <w:t xml:space="preserve"> </w:t>
      </w:r>
      <w:proofErr w:type="spellStart"/>
      <w:r w:rsidRPr="007273F5">
        <w:t>clastogenic</w:t>
      </w:r>
      <w:r w:rsidRPr="00BB279D">
        <w:t>ity</w:t>
      </w:r>
      <w:proofErr w:type="spellEnd"/>
      <w:r w:rsidRPr="00BB279D">
        <w:t xml:space="preserve"> study</w:t>
      </w:r>
      <w:r w:rsidRPr="007273F5">
        <w:t xml:space="preserve"> (Chinese </w:t>
      </w:r>
      <w:r w:rsidRPr="00BB279D">
        <w:t>h</w:t>
      </w:r>
      <w:r w:rsidRPr="007273F5">
        <w:t xml:space="preserve">amster </w:t>
      </w:r>
      <w:r w:rsidRPr="00BB279D">
        <w:t>l</w:t>
      </w:r>
      <w:r w:rsidRPr="007273F5">
        <w:t>ung cells)</w:t>
      </w:r>
      <w:r w:rsidRPr="00BB279D">
        <w:t xml:space="preserve"> and mouse bone marrow</w:t>
      </w:r>
      <w:r w:rsidRPr="007273F5">
        <w:t xml:space="preserve"> micronucleus test. </w:t>
      </w:r>
    </w:p>
    <w:p w14:paraId="16B65391" w14:textId="77777777" w:rsidR="00CD125B" w:rsidRPr="00303742" w:rsidRDefault="00CD125B" w:rsidP="00CD125B">
      <w:r w:rsidRPr="00BB279D">
        <w:t>An increased incidence of hepatocellular adenomas was seen in males at the high dose in a c</w:t>
      </w:r>
      <w:r w:rsidRPr="007273F5">
        <w:t xml:space="preserve">arcinogenicity study conducted in transgenic mice (6-month in TgRasH2, SC). </w:t>
      </w:r>
      <w:r w:rsidRPr="00BB279D">
        <w:t xml:space="preserve">The underlying mechanism for formation of these tumours </w:t>
      </w:r>
      <w:proofErr w:type="gramStart"/>
      <w:r w:rsidRPr="00BB279D">
        <w:t>is considered to be</w:t>
      </w:r>
      <w:proofErr w:type="gramEnd"/>
      <w:r w:rsidRPr="00BB279D">
        <w:t xml:space="preserve"> rodent-specific and are not considered a concern in patients. A l</w:t>
      </w:r>
      <w:r w:rsidRPr="00303742">
        <w:t xml:space="preserve">ong-term rodent carcinogenicity study </w:t>
      </w:r>
      <w:r w:rsidRPr="00BB279D">
        <w:t xml:space="preserve">is </w:t>
      </w:r>
      <w:r w:rsidRPr="00303742">
        <w:t xml:space="preserve">in progress. </w:t>
      </w:r>
    </w:p>
    <w:p w14:paraId="6BB0A196" w14:textId="2A9BE824" w:rsidR="00CD125B" w:rsidRDefault="00CD125B" w:rsidP="00CD125B">
      <w:r w:rsidRPr="00BB279D">
        <w:t>A c</w:t>
      </w:r>
      <w:r w:rsidRPr="00303742">
        <w:t>ombined fertility and embryofetal development study and pre-/ postnatal development study were performed in mice with</w:t>
      </w:r>
      <w:r w:rsidRPr="00BB279D">
        <w:t xml:space="preserve"> moderate relative</w:t>
      </w:r>
      <w:r w:rsidRPr="00303742">
        <w:t xml:space="preserve"> doses of donidalorsen. Donidalorsen did not affect </w:t>
      </w:r>
      <w:r w:rsidRPr="00BB279D">
        <w:t xml:space="preserve">functional fertility in </w:t>
      </w:r>
      <w:r w:rsidRPr="00303742">
        <w:t xml:space="preserve">male or female mice, and there was no evidence of adverse effects on embryofetal development or pre-/ postnatal development. Detectable but low level of donidalorsen could be seen in </w:t>
      </w:r>
      <w:r>
        <w:t xml:space="preserve">the </w:t>
      </w:r>
      <w:r w:rsidRPr="00303742">
        <w:t xml:space="preserve">placenta of female mice but it is unclear if it could be transferred to the </w:t>
      </w:r>
      <w:r w:rsidR="00F70015" w:rsidRPr="00303742">
        <w:t>foetus</w:t>
      </w:r>
      <w:r w:rsidRPr="00303742">
        <w:t>. Milk transfer was demonstrated in mice; however, due to the poor oral absorption of oligonucleotides, plasma levels of donidalorsen were below the levels of detection in pups.</w:t>
      </w:r>
    </w:p>
    <w:p w14:paraId="7233F55E" w14:textId="77777777" w:rsidR="00CD125B" w:rsidRPr="0041285C" w:rsidRDefault="00CD125B" w:rsidP="00CD125B">
      <w:r>
        <w:lastRenderedPageBreak/>
        <w:t xml:space="preserve">No adverse effects on developmental parameters were seen in juvenile mice at a dose </w:t>
      </w:r>
      <w:proofErr w:type="gramStart"/>
      <w:r>
        <w:t>similar to</w:t>
      </w:r>
      <w:proofErr w:type="gramEnd"/>
      <w:r>
        <w:t xml:space="preserve"> </w:t>
      </w:r>
      <w:r w:rsidRPr="0041285C">
        <w:t>the clinical dose.</w:t>
      </w:r>
    </w:p>
    <w:p w14:paraId="4E591D58" w14:textId="77777777" w:rsidR="00CD125B" w:rsidRPr="00EA1B4F" w:rsidRDefault="00CD125B" w:rsidP="00CD125B">
      <w:r w:rsidRPr="0041285C">
        <w:t xml:space="preserve">Dedicated local tolerance studies were not conducted but repeat-dose toxicity studies showed injection site reactions to donidalorsen in both monkeys and mice consistent with </w:t>
      </w:r>
      <w:r w:rsidRPr="00BB279D">
        <w:t xml:space="preserve">an expected </w:t>
      </w:r>
      <w:r w:rsidRPr="00EA1B4F">
        <w:t>immune reaction to the drug.</w:t>
      </w:r>
    </w:p>
    <w:p w14:paraId="4BC79F18" w14:textId="77777777" w:rsidR="00CD125B" w:rsidRPr="00B141B8" w:rsidRDefault="00CD125B" w:rsidP="00CD125B">
      <w:r w:rsidRPr="00B141B8">
        <w:t>Limits for specified impurities have been toxicologically qualified.</w:t>
      </w:r>
    </w:p>
    <w:p w14:paraId="65767A78" w14:textId="1BF0D4A1" w:rsidR="00CD125B" w:rsidRPr="00EB69F1" w:rsidRDefault="00CD125B" w:rsidP="00F70015">
      <w:pPr>
        <w:pStyle w:val="Heading5"/>
      </w:pPr>
      <w:bookmarkStart w:id="42" w:name="_Toc294861479"/>
      <w:bookmarkStart w:id="43" w:name="_Toc295290862"/>
      <w:bookmarkStart w:id="44" w:name="_Toc228802026"/>
      <w:r w:rsidRPr="00EB69F1">
        <w:t>C</w:t>
      </w:r>
      <w:r w:rsidR="00120F3F" w:rsidRPr="00EB69F1">
        <w:t>onclusions and recommendation</w:t>
      </w:r>
      <w:bookmarkEnd w:id="42"/>
      <w:bookmarkEnd w:id="43"/>
      <w:bookmarkEnd w:id="44"/>
    </w:p>
    <w:p w14:paraId="32BE6B36" w14:textId="77777777" w:rsidR="00CD125B" w:rsidRPr="00BB279D" w:rsidRDefault="00CD125B" w:rsidP="00CD125B">
      <w:r w:rsidRPr="00BB279D">
        <w:rPr>
          <w:iCs/>
        </w:rPr>
        <w:t>The primary pharmacology studies support the proposed mechanism of action and</w:t>
      </w:r>
      <w:r w:rsidRPr="00BB279D">
        <w:t xml:space="preserve"> indication.</w:t>
      </w:r>
    </w:p>
    <w:p w14:paraId="4E23BF4C" w14:textId="35814E29" w:rsidR="00CD125B" w:rsidRPr="00BB279D" w:rsidRDefault="004A338F" w:rsidP="00CD125B">
      <w:r w:rsidRPr="004A338F">
        <w:t>No major deficiencies were identified.</w:t>
      </w:r>
      <w:r>
        <w:t xml:space="preserve"> </w:t>
      </w:r>
      <w:r w:rsidR="00CD125B" w:rsidRPr="00BB279D">
        <w:t xml:space="preserve">No clinically relevant organ system hazards were identified in the safety pharmacology or general toxicity studies. </w:t>
      </w:r>
    </w:p>
    <w:p w14:paraId="4C6EA7CA" w14:textId="77777777" w:rsidR="00CD125B" w:rsidRPr="00BB279D" w:rsidRDefault="00CD125B" w:rsidP="00CD125B">
      <w:r w:rsidRPr="00BB279D">
        <w:t>Severe thrombocytopenia noted in 2 animals in the repeat-dose toxicity study in monkeys</w:t>
      </w:r>
      <w:r>
        <w:t xml:space="preserve"> </w:t>
      </w:r>
      <w:r w:rsidRPr="00BB279D">
        <w:t xml:space="preserve">at high doses has unlikely clinical relevance. </w:t>
      </w:r>
    </w:p>
    <w:p w14:paraId="4C27E0C6" w14:textId="77777777" w:rsidR="00CD125B" w:rsidRPr="00BB279D" w:rsidRDefault="00CD125B" w:rsidP="00CD125B">
      <w:r w:rsidRPr="00BB279D">
        <w:t>The 2-year carcinogenicity study in rats currently in progress should be submitted to the TGA in a subsequent submission if the product is approved.</w:t>
      </w:r>
    </w:p>
    <w:p w14:paraId="30E6F774" w14:textId="77777777" w:rsidR="00CD125B" w:rsidRPr="00BB279D" w:rsidRDefault="00CD125B" w:rsidP="00CD125B">
      <w:r w:rsidRPr="00BB279D">
        <w:t>The proposed pregnancy category for donidalorsen (Category B1) is acceptable.</w:t>
      </w:r>
    </w:p>
    <w:p w14:paraId="6C438CE5" w14:textId="1402F453" w:rsidR="00CD125B" w:rsidRPr="00CD125B" w:rsidRDefault="00CD125B" w:rsidP="00CD125B">
      <w:r w:rsidRPr="007273F5">
        <w:t>There are no nonclinical objections to the registration of donidalorsen</w:t>
      </w:r>
      <w:r w:rsidRPr="00BB279D">
        <w:t xml:space="preserve"> for the proposed clinical use.</w:t>
      </w:r>
    </w:p>
    <w:p w14:paraId="35B580A5" w14:textId="40B226DC" w:rsidR="00C22214" w:rsidRDefault="00C22214" w:rsidP="008804CF">
      <w:pPr>
        <w:pStyle w:val="Heading3"/>
      </w:pPr>
      <w:bookmarkStart w:id="45" w:name="_Toc247691530"/>
      <w:bookmarkStart w:id="46" w:name="_Toc314842513"/>
      <w:bookmarkStart w:id="47" w:name="_Toc103679297"/>
      <w:bookmarkStart w:id="48" w:name="_Toc238032172"/>
      <w:r>
        <w:t>Clinical</w:t>
      </w:r>
      <w:bookmarkEnd w:id="45"/>
      <w:bookmarkEnd w:id="46"/>
      <w:bookmarkEnd w:id="47"/>
      <w:r w:rsidR="00095C6A">
        <w:t xml:space="preserve"> evaluation summary</w:t>
      </w:r>
      <w:bookmarkEnd w:id="48"/>
    </w:p>
    <w:p w14:paraId="32B0DEDA" w14:textId="771FBE89" w:rsidR="00C22214" w:rsidRPr="00433318" w:rsidRDefault="00C22214" w:rsidP="00433318">
      <w:pPr>
        <w:pStyle w:val="Heading4"/>
      </w:pPr>
      <w:bookmarkStart w:id="49" w:name="_Toc98931928"/>
      <w:bookmarkStart w:id="50" w:name="_Toc238032173"/>
      <w:r>
        <w:t xml:space="preserve">Summary of clinical </w:t>
      </w:r>
      <w:r w:rsidR="00A67187">
        <w:t xml:space="preserve">evaluation </w:t>
      </w:r>
      <w:r>
        <w:t>studies</w:t>
      </w:r>
      <w:bookmarkEnd w:id="49"/>
      <w:bookmarkEnd w:id="50"/>
    </w:p>
    <w:p w14:paraId="6B56CB17" w14:textId="2140B0F3" w:rsidR="00C22214" w:rsidRPr="007A19A9" w:rsidRDefault="007A19A9" w:rsidP="007A19A9">
      <w:pPr>
        <w:pStyle w:val="TableTitle"/>
        <w:rPr>
          <w:szCs w:val="20"/>
        </w:rPr>
      </w:pPr>
      <w:bookmarkStart w:id="51" w:name="_Toc453839419"/>
      <w:r>
        <w:t xml:space="preserve">Table 3. </w:t>
      </w:r>
      <w:r w:rsidR="00D82B70">
        <w:t>S</w:t>
      </w:r>
      <w:r>
        <w:t>tudies</w:t>
      </w:r>
      <w:bookmarkEnd w:id="51"/>
      <w:r w:rsidR="00D82B70">
        <w:t xml:space="preserve"> submitted for clinical evaluatio</w:t>
      </w:r>
      <w:r w:rsidR="007778E4">
        <w:t>n</w:t>
      </w:r>
      <w:r>
        <w:t>.</w:t>
      </w:r>
    </w:p>
    <w:tbl>
      <w:tblPr>
        <w:tblStyle w:val="TableTGAblue2023"/>
        <w:tblW w:w="9346" w:type="dxa"/>
        <w:tblLayout w:type="fixed"/>
        <w:tblLook w:val="04A0" w:firstRow="1" w:lastRow="0" w:firstColumn="1" w:lastColumn="0" w:noHBand="0" w:noVBand="1"/>
      </w:tblPr>
      <w:tblGrid>
        <w:gridCol w:w="3109"/>
        <w:gridCol w:w="3685"/>
        <w:gridCol w:w="1560"/>
        <w:gridCol w:w="992"/>
      </w:tblGrid>
      <w:tr w:rsidR="00CC5DB3" w:rsidRPr="00C37A1D" w14:paraId="2AD9C6FA" w14:textId="77777777" w:rsidTr="001736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9" w:type="dxa"/>
          </w:tcPr>
          <w:p w14:paraId="69D2C9E3" w14:textId="33A142C1" w:rsidR="00CC5DB3" w:rsidRPr="00C37A1D" w:rsidRDefault="007C0C7E" w:rsidP="00120F3F">
            <w:pPr>
              <w:rPr>
                <w:b w:val="0"/>
              </w:rPr>
            </w:pPr>
            <w:r>
              <w:t>Topic</w:t>
            </w:r>
          </w:p>
        </w:tc>
        <w:tc>
          <w:tcPr>
            <w:tcW w:w="3685" w:type="dxa"/>
          </w:tcPr>
          <w:p w14:paraId="56980146" w14:textId="12B998A8" w:rsidR="00CC5DB3" w:rsidRPr="00C37A1D" w:rsidRDefault="00CC5DB3" w:rsidP="00120F3F">
            <w:pPr>
              <w:cnfStyle w:val="100000000000" w:firstRow="1" w:lastRow="0" w:firstColumn="0" w:lastColumn="0" w:oddVBand="0" w:evenVBand="0" w:oddHBand="0" w:evenHBand="0" w:firstRowFirstColumn="0" w:firstRowLastColumn="0" w:lastRowFirstColumn="0" w:lastRowLastColumn="0"/>
              <w:rPr>
                <w:b w:val="0"/>
              </w:rPr>
            </w:pPr>
            <w:r w:rsidRPr="00C37A1D">
              <w:t>Subtopic</w:t>
            </w:r>
            <w:r w:rsidR="00884F48">
              <w:t>/ Study</w:t>
            </w:r>
            <w:r w:rsidR="00983628">
              <w:t xml:space="preserve"> </w:t>
            </w:r>
          </w:p>
        </w:tc>
        <w:tc>
          <w:tcPr>
            <w:tcW w:w="1560" w:type="dxa"/>
          </w:tcPr>
          <w:p w14:paraId="2075C548" w14:textId="77777777" w:rsidR="00CC5DB3" w:rsidRPr="00C37A1D" w:rsidRDefault="00CC5DB3" w:rsidP="00120F3F">
            <w:pPr>
              <w:cnfStyle w:val="100000000000" w:firstRow="1" w:lastRow="0" w:firstColumn="0" w:lastColumn="0" w:oddVBand="0" w:evenVBand="0" w:oddHBand="0" w:evenHBand="0" w:firstRowFirstColumn="0" w:firstRowLastColumn="0" w:lastRowFirstColumn="0" w:lastRowLastColumn="0"/>
              <w:rPr>
                <w:b w:val="0"/>
              </w:rPr>
            </w:pPr>
            <w:r w:rsidRPr="00C37A1D">
              <w:t>Study ID</w:t>
            </w:r>
          </w:p>
        </w:tc>
        <w:tc>
          <w:tcPr>
            <w:tcW w:w="992" w:type="dxa"/>
          </w:tcPr>
          <w:p w14:paraId="611E0F61" w14:textId="77777777" w:rsidR="00CC5DB3" w:rsidRPr="00C37A1D" w:rsidRDefault="00CC5DB3" w:rsidP="00120F3F">
            <w:pPr>
              <w:cnfStyle w:val="100000000000" w:firstRow="1" w:lastRow="0" w:firstColumn="0" w:lastColumn="0" w:oddVBand="0" w:evenVBand="0" w:oddHBand="0" w:evenHBand="0" w:firstRowFirstColumn="0" w:firstRowLastColumn="0" w:lastRowFirstColumn="0" w:lastRowLastColumn="0"/>
              <w:rPr>
                <w:b w:val="0"/>
              </w:rPr>
            </w:pPr>
            <w:r w:rsidRPr="00C37A1D">
              <w:t>*</w:t>
            </w:r>
          </w:p>
        </w:tc>
      </w:tr>
      <w:tr w:rsidR="00CC5DB3" w:rsidRPr="00C37A1D" w14:paraId="0989F27E" w14:textId="77777777" w:rsidTr="0017366E">
        <w:tc>
          <w:tcPr>
            <w:cnfStyle w:val="001000000000" w:firstRow="0" w:lastRow="0" w:firstColumn="1" w:lastColumn="0" w:oddVBand="0" w:evenVBand="0" w:oddHBand="0" w:evenHBand="0" w:firstRowFirstColumn="0" w:firstRowLastColumn="0" w:lastRowFirstColumn="0" w:lastRowLastColumn="0"/>
            <w:tcW w:w="3109" w:type="dxa"/>
            <w:vMerge w:val="restart"/>
          </w:tcPr>
          <w:p w14:paraId="7FB336CA" w14:textId="77777777" w:rsidR="00CC5DB3" w:rsidRPr="00C37A1D" w:rsidRDefault="00CC5DB3" w:rsidP="00120F3F">
            <w:r>
              <w:t>PK in healthy adults</w:t>
            </w:r>
          </w:p>
        </w:tc>
        <w:tc>
          <w:tcPr>
            <w:tcW w:w="3685" w:type="dxa"/>
          </w:tcPr>
          <w:p w14:paraId="1949D8A6"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sidRPr="00C37A1D">
              <w:t>General PK</w:t>
            </w:r>
            <w:r w:rsidRPr="00C37A1D">
              <w:tab/>
              <w:t xml:space="preserve">- </w:t>
            </w:r>
            <w:r>
              <w:t>Multiple</w:t>
            </w:r>
            <w:r w:rsidRPr="00C37A1D">
              <w:t xml:space="preserve"> dose</w:t>
            </w:r>
          </w:p>
        </w:tc>
        <w:tc>
          <w:tcPr>
            <w:tcW w:w="1560" w:type="dxa"/>
          </w:tcPr>
          <w:p w14:paraId="4109161F"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t xml:space="preserve">Study CS01 </w:t>
            </w:r>
          </w:p>
        </w:tc>
        <w:tc>
          <w:tcPr>
            <w:tcW w:w="992" w:type="dxa"/>
          </w:tcPr>
          <w:p w14:paraId="14A2777C"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sidRPr="00C37A1D">
              <w:t>*</w:t>
            </w:r>
          </w:p>
        </w:tc>
      </w:tr>
      <w:tr w:rsidR="00CC5DB3" w:rsidRPr="00C37A1D" w14:paraId="029C0EF1" w14:textId="77777777" w:rsidTr="0017366E">
        <w:tc>
          <w:tcPr>
            <w:cnfStyle w:val="001000000000" w:firstRow="0" w:lastRow="0" w:firstColumn="1" w:lastColumn="0" w:oddVBand="0" w:evenVBand="0" w:oddHBand="0" w:evenHBand="0" w:firstRowFirstColumn="0" w:firstRowLastColumn="0" w:lastRowFirstColumn="0" w:lastRowLastColumn="0"/>
            <w:tcW w:w="3109" w:type="dxa"/>
            <w:vMerge/>
          </w:tcPr>
          <w:p w14:paraId="0C287DE7" w14:textId="77777777" w:rsidR="00CC5DB3" w:rsidRPr="00C37A1D" w:rsidRDefault="00CC5DB3" w:rsidP="00120F3F"/>
        </w:tc>
        <w:tc>
          <w:tcPr>
            <w:tcW w:w="3685" w:type="dxa"/>
          </w:tcPr>
          <w:p w14:paraId="0872CE41" w14:textId="12F67E70"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sidRPr="00C37A1D">
              <w:t>Bioequivalence</w:t>
            </w:r>
            <w:r>
              <w:t xml:space="preserve"> </w:t>
            </w:r>
            <w:r w:rsidRPr="00C37A1D">
              <w:t>- Single dose</w:t>
            </w:r>
          </w:p>
        </w:tc>
        <w:tc>
          <w:tcPr>
            <w:tcW w:w="1560" w:type="dxa"/>
          </w:tcPr>
          <w:p w14:paraId="375F4418"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Pr>
                <w:lang w:eastAsia="ja-JP"/>
              </w:rPr>
              <w:t>Study CS09</w:t>
            </w:r>
          </w:p>
        </w:tc>
        <w:tc>
          <w:tcPr>
            <w:tcW w:w="992" w:type="dxa"/>
          </w:tcPr>
          <w:p w14:paraId="5CC41433" w14:textId="44465468"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sidRPr="00C37A1D">
              <w:t>*</w:t>
            </w:r>
            <w:r w:rsidR="00FD5A47">
              <w:t xml:space="preserve"> </w:t>
            </w:r>
            <w:r w:rsidR="00FD5A47" w:rsidRPr="00FD5A47">
              <w:t>†</w:t>
            </w:r>
          </w:p>
        </w:tc>
      </w:tr>
      <w:tr w:rsidR="00CC5DB3" w:rsidRPr="00C37A1D" w14:paraId="7CB6A64E" w14:textId="77777777" w:rsidTr="00E257BD">
        <w:trPr>
          <w:trHeight w:val="617"/>
        </w:trPr>
        <w:tc>
          <w:tcPr>
            <w:cnfStyle w:val="001000000000" w:firstRow="0" w:lastRow="0" w:firstColumn="1" w:lastColumn="0" w:oddVBand="0" w:evenVBand="0" w:oddHBand="0" w:evenHBand="0" w:firstRowFirstColumn="0" w:firstRowLastColumn="0" w:lastRowFirstColumn="0" w:lastRowLastColumn="0"/>
            <w:tcW w:w="3109" w:type="dxa"/>
          </w:tcPr>
          <w:p w14:paraId="37F5F2B7" w14:textId="401EE369" w:rsidR="00CC5DB3" w:rsidRPr="00E97659" w:rsidRDefault="00CC5DB3" w:rsidP="00120F3F">
            <w:pPr>
              <w:rPr>
                <w:lang w:val="fr-FR"/>
              </w:rPr>
            </w:pPr>
            <w:r w:rsidRPr="00E97659">
              <w:rPr>
                <w:lang w:val="fr-FR"/>
              </w:rPr>
              <w:t>Population PK analyses</w:t>
            </w:r>
            <w:r w:rsidR="008246C8" w:rsidRPr="00E97659">
              <w:rPr>
                <w:lang w:val="fr-FR"/>
              </w:rPr>
              <w:t>,</w:t>
            </w:r>
            <w:r w:rsidR="005768B4" w:rsidRPr="00E97659">
              <w:rPr>
                <w:rFonts w:eastAsiaTheme="minorHAnsi" w:cstheme="minorBidi"/>
                <w:szCs w:val="20"/>
                <w:lang w:val="fr-FR"/>
              </w:rPr>
              <w:t xml:space="preserve"> </w:t>
            </w:r>
            <w:r w:rsidR="005768B4" w:rsidRPr="00E97659">
              <w:rPr>
                <w:lang w:val="fr-FR"/>
              </w:rPr>
              <w:t>Population PD</w:t>
            </w:r>
            <w:r w:rsidR="008246C8" w:rsidRPr="00E97659">
              <w:rPr>
                <w:lang w:val="fr-FR"/>
              </w:rPr>
              <w:t xml:space="preserve">, </w:t>
            </w:r>
            <w:r w:rsidR="005768B4" w:rsidRPr="00E97659">
              <w:rPr>
                <w:lang w:val="fr-FR"/>
              </w:rPr>
              <w:t>PK-PD analyses</w:t>
            </w:r>
          </w:p>
        </w:tc>
        <w:tc>
          <w:tcPr>
            <w:tcW w:w="3685" w:type="dxa"/>
          </w:tcPr>
          <w:p w14:paraId="716D350A"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r w:rsidRPr="00C37A1D">
              <w:t>Healthy subjects</w:t>
            </w:r>
            <w:r>
              <w:t xml:space="preserve"> and t</w:t>
            </w:r>
            <w:r w:rsidRPr="00C37A1D">
              <w:t>arget population</w:t>
            </w:r>
          </w:p>
        </w:tc>
        <w:tc>
          <w:tcPr>
            <w:tcW w:w="1560" w:type="dxa"/>
          </w:tcPr>
          <w:p w14:paraId="0598BA52" w14:textId="77777777" w:rsidR="00CC5DB3" w:rsidRPr="00C37A1D" w:rsidRDefault="00CC5DB3" w:rsidP="00120F3F">
            <w:pPr>
              <w:cnfStyle w:val="000000000000" w:firstRow="0" w:lastRow="0" w:firstColumn="0" w:lastColumn="0" w:oddVBand="0" w:evenVBand="0" w:oddHBand="0" w:evenHBand="0" w:firstRowFirstColumn="0" w:firstRowLastColumn="0" w:lastRowFirstColumn="0" w:lastRowLastColumn="0"/>
            </w:pPr>
            <w:proofErr w:type="spellStart"/>
            <w:r>
              <w:t>PopPK</w:t>
            </w:r>
            <w:proofErr w:type="spellEnd"/>
            <w:r>
              <w:t xml:space="preserve"> 01 </w:t>
            </w:r>
          </w:p>
        </w:tc>
        <w:tc>
          <w:tcPr>
            <w:tcW w:w="992" w:type="dxa"/>
          </w:tcPr>
          <w:p w14:paraId="14DDF66A" w14:textId="66FDE97A" w:rsidR="00CC5DB3" w:rsidRPr="00C37A1D" w:rsidRDefault="00730138" w:rsidP="00120F3F">
            <w:pPr>
              <w:cnfStyle w:val="000000000000" w:firstRow="0" w:lastRow="0" w:firstColumn="0" w:lastColumn="0" w:oddVBand="0" w:evenVBand="0" w:oddHBand="0" w:evenHBand="0" w:firstRowFirstColumn="0" w:firstRowLastColumn="0" w:lastRowFirstColumn="0" w:lastRowLastColumn="0"/>
            </w:pPr>
            <w:r w:rsidRPr="00730138">
              <w:t>*</w:t>
            </w:r>
            <w:r>
              <w:t xml:space="preserve"> </w:t>
            </w:r>
            <w:r w:rsidR="00CC5DB3" w:rsidRPr="00C37A1D">
              <w:t>§</w:t>
            </w:r>
          </w:p>
        </w:tc>
      </w:tr>
      <w:tr w:rsidR="00B71146" w:rsidRPr="00C37A1D" w14:paraId="7055252B" w14:textId="77777777" w:rsidTr="00FA46EF">
        <w:trPr>
          <w:trHeight w:val="541"/>
        </w:trPr>
        <w:tc>
          <w:tcPr>
            <w:cnfStyle w:val="001000000000" w:firstRow="0" w:lastRow="0" w:firstColumn="1" w:lastColumn="0" w:oddVBand="0" w:evenVBand="0" w:oddHBand="0" w:evenHBand="0" w:firstRowFirstColumn="0" w:firstRowLastColumn="0" w:lastRowFirstColumn="0" w:lastRowLastColumn="0"/>
            <w:tcW w:w="3109" w:type="dxa"/>
            <w:vMerge w:val="restart"/>
          </w:tcPr>
          <w:p w14:paraId="1C8F9960" w14:textId="07B54774" w:rsidR="00B71146" w:rsidRPr="00C37A1D" w:rsidRDefault="00B71146" w:rsidP="00120F3F">
            <w:r w:rsidRPr="00C37A1D">
              <w:t>Primary Pharmacology</w:t>
            </w:r>
            <w:r w:rsidR="0046045A">
              <w:t xml:space="preserve"> (PD studies)</w:t>
            </w:r>
          </w:p>
        </w:tc>
        <w:tc>
          <w:tcPr>
            <w:tcW w:w="3685" w:type="dxa"/>
          </w:tcPr>
          <w:p w14:paraId="4BFBABA6" w14:textId="3FCC32F6" w:rsidR="00B71146" w:rsidRPr="00C37A1D" w:rsidRDefault="00B71146" w:rsidP="00120F3F">
            <w:pPr>
              <w:cnfStyle w:val="000000000000" w:firstRow="0" w:lastRow="0" w:firstColumn="0" w:lastColumn="0" w:oddVBand="0" w:evenVBand="0" w:oddHBand="0" w:evenHBand="0" w:firstRowFirstColumn="0" w:firstRowLastColumn="0" w:lastRowFirstColumn="0" w:lastRowLastColumn="0"/>
            </w:pPr>
            <w:r w:rsidRPr="00370305">
              <w:rPr>
                <w:szCs w:val="19"/>
              </w:rPr>
              <w:t xml:space="preserve">Effect on </w:t>
            </w:r>
            <w:r w:rsidRPr="00370305">
              <w:rPr>
                <w:szCs w:val="19"/>
                <w:lang w:eastAsia="ja-JP"/>
              </w:rPr>
              <w:t>PKK, plasma proenzyme activation and HMWK cleavage.</w:t>
            </w:r>
          </w:p>
        </w:tc>
        <w:tc>
          <w:tcPr>
            <w:tcW w:w="1560" w:type="dxa"/>
          </w:tcPr>
          <w:p w14:paraId="10F4ECDA" w14:textId="17CBEF25" w:rsidR="00B71146" w:rsidRDefault="00B71146" w:rsidP="00120F3F">
            <w:pPr>
              <w:cnfStyle w:val="000000000000" w:firstRow="0" w:lastRow="0" w:firstColumn="0" w:lastColumn="0" w:oddVBand="0" w:evenVBand="0" w:oddHBand="0" w:evenHBand="0" w:firstRowFirstColumn="0" w:firstRowLastColumn="0" w:lastRowFirstColumn="0" w:lastRowLastColumn="0"/>
            </w:pPr>
            <w:r>
              <w:t>Study CS01</w:t>
            </w:r>
          </w:p>
        </w:tc>
        <w:tc>
          <w:tcPr>
            <w:tcW w:w="992" w:type="dxa"/>
          </w:tcPr>
          <w:p w14:paraId="1F2F301A" w14:textId="05A227E0" w:rsidR="00B71146" w:rsidRPr="00730138" w:rsidRDefault="00B71146" w:rsidP="00120F3F">
            <w:pPr>
              <w:cnfStyle w:val="000000000000" w:firstRow="0" w:lastRow="0" w:firstColumn="0" w:lastColumn="0" w:oddVBand="0" w:evenVBand="0" w:oddHBand="0" w:evenHBand="0" w:firstRowFirstColumn="0" w:firstRowLastColumn="0" w:lastRowFirstColumn="0" w:lastRowLastColumn="0"/>
            </w:pPr>
            <w:r w:rsidRPr="00C37A1D">
              <w:t>*</w:t>
            </w:r>
          </w:p>
        </w:tc>
      </w:tr>
      <w:tr w:rsidR="00B71146" w:rsidRPr="00C37A1D" w14:paraId="5F97F863" w14:textId="77777777" w:rsidTr="00FA46EF">
        <w:trPr>
          <w:trHeight w:val="593"/>
        </w:trPr>
        <w:tc>
          <w:tcPr>
            <w:cnfStyle w:val="001000000000" w:firstRow="0" w:lastRow="0" w:firstColumn="1" w:lastColumn="0" w:oddVBand="0" w:evenVBand="0" w:oddHBand="0" w:evenHBand="0" w:firstRowFirstColumn="0" w:firstRowLastColumn="0" w:lastRowFirstColumn="0" w:lastRowLastColumn="0"/>
            <w:tcW w:w="3109" w:type="dxa"/>
            <w:vMerge/>
          </w:tcPr>
          <w:p w14:paraId="0B5FF29B" w14:textId="77777777" w:rsidR="00B71146" w:rsidRPr="00C37A1D" w:rsidRDefault="00B71146" w:rsidP="00120F3F"/>
        </w:tc>
        <w:tc>
          <w:tcPr>
            <w:tcW w:w="3685" w:type="dxa"/>
          </w:tcPr>
          <w:p w14:paraId="7AEADCF3" w14:textId="5F6FC23D" w:rsidR="00B71146" w:rsidRPr="00370305" w:rsidRDefault="00B71146" w:rsidP="00120F3F">
            <w:pPr>
              <w:cnfStyle w:val="000000000000" w:firstRow="0" w:lastRow="0" w:firstColumn="0" w:lastColumn="0" w:oddVBand="0" w:evenVBand="0" w:oddHBand="0" w:evenHBand="0" w:firstRowFirstColumn="0" w:firstRowLastColumn="0" w:lastRowFirstColumn="0" w:lastRowLastColumn="0"/>
              <w:rPr>
                <w:szCs w:val="19"/>
              </w:rPr>
            </w:pPr>
            <w:r w:rsidRPr="00C37A1D">
              <w:t xml:space="preserve">Effect on </w:t>
            </w:r>
            <w:r w:rsidRPr="00370305">
              <w:rPr>
                <w:szCs w:val="19"/>
                <w:lang w:eastAsia="ja-JP"/>
              </w:rPr>
              <w:t xml:space="preserve">PKK, plasma proenzyme activation and </w:t>
            </w:r>
            <w:proofErr w:type="spellStart"/>
            <w:r>
              <w:rPr>
                <w:szCs w:val="19"/>
                <w:lang w:eastAsia="ja-JP"/>
              </w:rPr>
              <w:t>c</w:t>
            </w:r>
            <w:r w:rsidRPr="00370305">
              <w:rPr>
                <w:szCs w:val="19"/>
                <w:lang w:eastAsia="ja-JP"/>
              </w:rPr>
              <w:t>HK</w:t>
            </w:r>
            <w:proofErr w:type="spellEnd"/>
            <w:r w:rsidRPr="00370305">
              <w:rPr>
                <w:szCs w:val="19"/>
                <w:lang w:eastAsia="ja-JP"/>
              </w:rPr>
              <w:t>.</w:t>
            </w:r>
          </w:p>
        </w:tc>
        <w:tc>
          <w:tcPr>
            <w:tcW w:w="1560" w:type="dxa"/>
          </w:tcPr>
          <w:p w14:paraId="1F2B62C5" w14:textId="5D7B852F" w:rsidR="00B71146" w:rsidRDefault="00B71146" w:rsidP="00120F3F">
            <w:pPr>
              <w:cnfStyle w:val="000000000000" w:firstRow="0" w:lastRow="0" w:firstColumn="0" w:lastColumn="0" w:oddVBand="0" w:evenVBand="0" w:oddHBand="0" w:evenHBand="0" w:firstRowFirstColumn="0" w:firstRowLastColumn="0" w:lastRowFirstColumn="0" w:lastRowLastColumn="0"/>
            </w:pPr>
            <w:r>
              <w:t>Study CS02</w:t>
            </w:r>
          </w:p>
        </w:tc>
        <w:tc>
          <w:tcPr>
            <w:tcW w:w="992" w:type="dxa"/>
          </w:tcPr>
          <w:p w14:paraId="5E78E938" w14:textId="66B152E9" w:rsidR="00B71146" w:rsidRPr="00C37A1D" w:rsidRDefault="00B71146" w:rsidP="00120F3F">
            <w:pPr>
              <w:cnfStyle w:val="000000000000" w:firstRow="0" w:lastRow="0" w:firstColumn="0" w:lastColumn="0" w:oddVBand="0" w:evenVBand="0" w:oddHBand="0" w:evenHBand="0" w:firstRowFirstColumn="0" w:firstRowLastColumn="0" w:lastRowFirstColumn="0" w:lastRowLastColumn="0"/>
            </w:pPr>
            <w:r w:rsidRPr="00C37A1D">
              <w:t>*</w:t>
            </w:r>
          </w:p>
        </w:tc>
      </w:tr>
      <w:tr w:rsidR="00B71146" w:rsidRPr="00C37A1D" w14:paraId="26815897" w14:textId="77777777" w:rsidTr="00FA46EF">
        <w:trPr>
          <w:trHeight w:val="659"/>
        </w:trPr>
        <w:tc>
          <w:tcPr>
            <w:cnfStyle w:val="001000000000" w:firstRow="0" w:lastRow="0" w:firstColumn="1" w:lastColumn="0" w:oddVBand="0" w:evenVBand="0" w:oddHBand="0" w:evenHBand="0" w:firstRowFirstColumn="0" w:firstRowLastColumn="0" w:lastRowFirstColumn="0" w:lastRowLastColumn="0"/>
            <w:tcW w:w="3109" w:type="dxa"/>
            <w:vMerge/>
          </w:tcPr>
          <w:p w14:paraId="560DF7C3" w14:textId="77777777" w:rsidR="00B71146" w:rsidRPr="00C37A1D" w:rsidRDefault="00B71146" w:rsidP="00120F3F"/>
        </w:tc>
        <w:tc>
          <w:tcPr>
            <w:tcW w:w="3685" w:type="dxa"/>
          </w:tcPr>
          <w:p w14:paraId="70E6E880" w14:textId="44CCF748" w:rsidR="00B71146" w:rsidRPr="00C37A1D" w:rsidRDefault="00B71146" w:rsidP="00120F3F">
            <w:pPr>
              <w:cnfStyle w:val="000000000000" w:firstRow="0" w:lastRow="0" w:firstColumn="0" w:lastColumn="0" w:oddVBand="0" w:evenVBand="0" w:oddHBand="0" w:evenHBand="0" w:firstRowFirstColumn="0" w:firstRowLastColumn="0" w:lastRowFirstColumn="0" w:lastRowLastColumn="0"/>
            </w:pPr>
            <w:r w:rsidRPr="00370305">
              <w:rPr>
                <w:szCs w:val="19"/>
              </w:rPr>
              <w:t xml:space="preserve">Effect on </w:t>
            </w:r>
            <w:r w:rsidRPr="00370305">
              <w:rPr>
                <w:szCs w:val="19"/>
                <w:lang w:eastAsia="ja-JP"/>
              </w:rPr>
              <w:t>PKK</w:t>
            </w:r>
            <w:r>
              <w:rPr>
                <w:szCs w:val="19"/>
                <w:lang w:eastAsia="ja-JP"/>
              </w:rPr>
              <w:t xml:space="preserve"> and</w:t>
            </w:r>
            <w:r w:rsidRPr="00370305">
              <w:rPr>
                <w:szCs w:val="19"/>
                <w:lang w:eastAsia="ja-JP"/>
              </w:rPr>
              <w:t xml:space="preserve"> plasma proenzyme activation</w:t>
            </w:r>
            <w:r>
              <w:rPr>
                <w:szCs w:val="19"/>
                <w:lang w:eastAsia="ja-JP"/>
              </w:rPr>
              <w:t>.</w:t>
            </w:r>
          </w:p>
        </w:tc>
        <w:tc>
          <w:tcPr>
            <w:tcW w:w="1560" w:type="dxa"/>
          </w:tcPr>
          <w:p w14:paraId="65726F95" w14:textId="06376418" w:rsidR="00B71146" w:rsidRDefault="00B71146" w:rsidP="00120F3F">
            <w:pPr>
              <w:cnfStyle w:val="000000000000" w:firstRow="0" w:lastRow="0" w:firstColumn="0" w:lastColumn="0" w:oddVBand="0" w:evenVBand="0" w:oddHBand="0" w:evenHBand="0" w:firstRowFirstColumn="0" w:firstRowLastColumn="0" w:lastRowFirstColumn="0" w:lastRowLastColumn="0"/>
            </w:pPr>
            <w:r>
              <w:rPr>
                <w:lang w:eastAsia="ja-JP"/>
              </w:rPr>
              <w:t>Study CS03</w:t>
            </w:r>
          </w:p>
        </w:tc>
        <w:tc>
          <w:tcPr>
            <w:tcW w:w="992" w:type="dxa"/>
          </w:tcPr>
          <w:p w14:paraId="722F9558" w14:textId="1607A584" w:rsidR="00B71146" w:rsidRPr="00C37A1D" w:rsidRDefault="00B71146" w:rsidP="00120F3F">
            <w:pPr>
              <w:cnfStyle w:val="000000000000" w:firstRow="0" w:lastRow="0" w:firstColumn="0" w:lastColumn="0" w:oddVBand="0" w:evenVBand="0" w:oddHBand="0" w:evenHBand="0" w:firstRowFirstColumn="0" w:firstRowLastColumn="0" w:lastRowFirstColumn="0" w:lastRowLastColumn="0"/>
            </w:pPr>
            <w:r w:rsidRPr="00C37A1D">
              <w:t>*</w:t>
            </w:r>
          </w:p>
        </w:tc>
      </w:tr>
      <w:tr w:rsidR="00C575F5" w:rsidRPr="00C37A1D" w14:paraId="41D09DA7" w14:textId="77777777" w:rsidTr="00C575F5">
        <w:trPr>
          <w:trHeight w:val="402"/>
        </w:trPr>
        <w:tc>
          <w:tcPr>
            <w:cnfStyle w:val="001000000000" w:firstRow="0" w:lastRow="0" w:firstColumn="1" w:lastColumn="0" w:oddVBand="0" w:evenVBand="0" w:oddHBand="0" w:evenHBand="0" w:firstRowFirstColumn="0" w:firstRowLastColumn="0" w:lastRowFirstColumn="0" w:lastRowLastColumn="0"/>
            <w:tcW w:w="3109" w:type="dxa"/>
            <w:vMerge w:val="restart"/>
          </w:tcPr>
          <w:p w14:paraId="7B1154A8" w14:textId="48628F4E" w:rsidR="00C575F5" w:rsidRPr="00C37A1D" w:rsidRDefault="00C575F5" w:rsidP="00120F3F">
            <w:r w:rsidRPr="00E6635D">
              <w:rPr>
                <w:bCs/>
              </w:rPr>
              <w:t>Population PD and PK-PD analyses</w:t>
            </w:r>
          </w:p>
        </w:tc>
        <w:tc>
          <w:tcPr>
            <w:tcW w:w="3685" w:type="dxa"/>
            <w:vMerge w:val="restart"/>
          </w:tcPr>
          <w:p w14:paraId="62E9A624" w14:textId="0820813A" w:rsidR="00C575F5" w:rsidRPr="00C37A1D" w:rsidRDefault="00C575F5" w:rsidP="00120F3F">
            <w:pPr>
              <w:cnfStyle w:val="000000000000" w:firstRow="0" w:lastRow="0" w:firstColumn="0" w:lastColumn="0" w:oddVBand="0" w:evenVBand="0" w:oddHBand="0" w:evenHBand="0" w:firstRowFirstColumn="0" w:firstRowLastColumn="0" w:lastRowFirstColumn="0" w:lastRowLastColumn="0"/>
            </w:pPr>
            <w:r w:rsidRPr="00FD798A">
              <w:t xml:space="preserve">Healthy subjects and target population </w:t>
            </w:r>
          </w:p>
        </w:tc>
        <w:tc>
          <w:tcPr>
            <w:tcW w:w="1560" w:type="dxa"/>
          </w:tcPr>
          <w:p w14:paraId="3897AFAF" w14:textId="620A3209" w:rsidR="00C575F5" w:rsidRDefault="00C575F5" w:rsidP="00120F3F">
            <w:pPr>
              <w:cnfStyle w:val="000000000000" w:firstRow="0" w:lastRow="0" w:firstColumn="0" w:lastColumn="0" w:oddVBand="0" w:evenVBand="0" w:oddHBand="0" w:evenHBand="0" w:firstRowFirstColumn="0" w:firstRowLastColumn="0" w:lastRowFirstColumn="0" w:lastRowLastColumn="0"/>
            </w:pPr>
            <w:proofErr w:type="spellStart"/>
            <w:r w:rsidRPr="00331E8D">
              <w:t>PopPK</w:t>
            </w:r>
            <w:proofErr w:type="spellEnd"/>
            <w:r w:rsidRPr="00331E8D">
              <w:t xml:space="preserve"> 02</w:t>
            </w:r>
          </w:p>
        </w:tc>
        <w:tc>
          <w:tcPr>
            <w:tcW w:w="992" w:type="dxa"/>
          </w:tcPr>
          <w:p w14:paraId="2E3BA90A" w14:textId="3C2E644D" w:rsidR="00C575F5" w:rsidRPr="00C37A1D" w:rsidRDefault="00C575F5" w:rsidP="00120F3F">
            <w:pPr>
              <w:cnfStyle w:val="000000000000" w:firstRow="0" w:lastRow="0" w:firstColumn="0" w:lastColumn="0" w:oddVBand="0" w:evenVBand="0" w:oddHBand="0" w:evenHBand="0" w:firstRowFirstColumn="0" w:firstRowLastColumn="0" w:lastRowFirstColumn="0" w:lastRowLastColumn="0"/>
            </w:pPr>
            <w:r w:rsidRPr="00C37A1D">
              <w:t>*</w:t>
            </w:r>
            <w:r>
              <w:t xml:space="preserve"> </w:t>
            </w:r>
            <w:r w:rsidRPr="007D212A">
              <w:t>§</w:t>
            </w:r>
          </w:p>
        </w:tc>
      </w:tr>
      <w:tr w:rsidR="00C575F5" w:rsidRPr="00C37A1D" w14:paraId="31FA60F0" w14:textId="77777777" w:rsidTr="00D92BA4">
        <w:trPr>
          <w:trHeight w:val="433"/>
        </w:trPr>
        <w:tc>
          <w:tcPr>
            <w:cnfStyle w:val="001000000000" w:firstRow="0" w:lastRow="0" w:firstColumn="1" w:lastColumn="0" w:oddVBand="0" w:evenVBand="0" w:oddHBand="0" w:evenHBand="0" w:firstRowFirstColumn="0" w:firstRowLastColumn="0" w:lastRowFirstColumn="0" w:lastRowLastColumn="0"/>
            <w:tcW w:w="3109" w:type="dxa"/>
            <w:vMerge/>
          </w:tcPr>
          <w:p w14:paraId="6CFD0D4B" w14:textId="77777777" w:rsidR="00C575F5" w:rsidRPr="00E6635D" w:rsidRDefault="00C575F5" w:rsidP="00120F3F">
            <w:pPr>
              <w:rPr>
                <w:bCs/>
              </w:rPr>
            </w:pPr>
          </w:p>
        </w:tc>
        <w:tc>
          <w:tcPr>
            <w:tcW w:w="3685" w:type="dxa"/>
            <w:vMerge/>
          </w:tcPr>
          <w:p w14:paraId="42F3F3FA" w14:textId="77777777" w:rsidR="00C575F5" w:rsidRPr="00FD798A" w:rsidRDefault="00C575F5" w:rsidP="00120F3F">
            <w:pPr>
              <w:cnfStyle w:val="000000000000" w:firstRow="0" w:lastRow="0" w:firstColumn="0" w:lastColumn="0" w:oddVBand="0" w:evenVBand="0" w:oddHBand="0" w:evenHBand="0" w:firstRowFirstColumn="0" w:firstRowLastColumn="0" w:lastRowFirstColumn="0" w:lastRowLastColumn="0"/>
            </w:pPr>
          </w:p>
        </w:tc>
        <w:tc>
          <w:tcPr>
            <w:tcW w:w="1560" w:type="dxa"/>
          </w:tcPr>
          <w:p w14:paraId="23E38FDE" w14:textId="0F6A0039" w:rsidR="00C575F5" w:rsidRPr="00331E8D" w:rsidRDefault="00C575F5" w:rsidP="00120F3F">
            <w:pPr>
              <w:cnfStyle w:val="000000000000" w:firstRow="0" w:lastRow="0" w:firstColumn="0" w:lastColumn="0" w:oddVBand="0" w:evenVBand="0" w:oddHBand="0" w:evenHBand="0" w:firstRowFirstColumn="0" w:firstRowLastColumn="0" w:lastRowFirstColumn="0" w:lastRowLastColumn="0"/>
            </w:pPr>
            <w:proofErr w:type="spellStart"/>
            <w:r w:rsidRPr="008A66B2">
              <w:t>PopPK</w:t>
            </w:r>
            <w:proofErr w:type="spellEnd"/>
            <w:r w:rsidRPr="008A66B2">
              <w:t xml:space="preserve"> 03</w:t>
            </w:r>
          </w:p>
        </w:tc>
        <w:tc>
          <w:tcPr>
            <w:tcW w:w="992" w:type="dxa"/>
          </w:tcPr>
          <w:p w14:paraId="6C130D84" w14:textId="626C4D99" w:rsidR="00C575F5" w:rsidRPr="00C37A1D" w:rsidRDefault="00C575F5" w:rsidP="00120F3F">
            <w:pPr>
              <w:cnfStyle w:val="000000000000" w:firstRow="0" w:lastRow="0" w:firstColumn="0" w:lastColumn="0" w:oddVBand="0" w:evenVBand="0" w:oddHBand="0" w:evenHBand="0" w:firstRowFirstColumn="0" w:firstRowLastColumn="0" w:lastRowFirstColumn="0" w:lastRowLastColumn="0"/>
            </w:pPr>
            <w:r w:rsidRPr="008A66B2">
              <w:t>* §</w:t>
            </w:r>
          </w:p>
        </w:tc>
      </w:tr>
      <w:tr w:rsidR="00EC77DC" w:rsidRPr="00C37A1D" w14:paraId="5D2EAA4D" w14:textId="77777777" w:rsidTr="00C575F5">
        <w:trPr>
          <w:trHeight w:val="430"/>
        </w:trPr>
        <w:tc>
          <w:tcPr>
            <w:cnfStyle w:val="001000000000" w:firstRow="0" w:lastRow="0" w:firstColumn="1" w:lastColumn="0" w:oddVBand="0" w:evenVBand="0" w:oddHBand="0" w:evenHBand="0" w:firstRowFirstColumn="0" w:firstRowLastColumn="0" w:lastRowFirstColumn="0" w:lastRowLastColumn="0"/>
            <w:tcW w:w="3109" w:type="dxa"/>
            <w:vMerge w:val="restart"/>
          </w:tcPr>
          <w:p w14:paraId="0F448059" w14:textId="3EEEF7B4" w:rsidR="00EC77DC" w:rsidRPr="00E6635D" w:rsidRDefault="00EC77DC" w:rsidP="00120F3F">
            <w:pPr>
              <w:rPr>
                <w:bCs/>
              </w:rPr>
            </w:pPr>
            <w:r w:rsidRPr="00A1709A">
              <w:rPr>
                <w:bCs/>
              </w:rPr>
              <w:t>Efficacy</w:t>
            </w:r>
          </w:p>
        </w:tc>
        <w:tc>
          <w:tcPr>
            <w:tcW w:w="3685" w:type="dxa"/>
            <w:shd w:val="clear" w:color="auto" w:fill="auto"/>
          </w:tcPr>
          <w:p w14:paraId="51FC85FC" w14:textId="3461795B" w:rsidR="00EC77DC" w:rsidRPr="00FD798A" w:rsidRDefault="00EC77DC" w:rsidP="00120F3F">
            <w:pPr>
              <w:cnfStyle w:val="000000000000" w:firstRow="0" w:lastRow="0" w:firstColumn="0" w:lastColumn="0" w:oddVBand="0" w:evenVBand="0" w:oddHBand="0" w:evenHBand="0" w:firstRowFirstColumn="0" w:firstRowLastColumn="0" w:lastRowFirstColumn="0" w:lastRowLastColumn="0"/>
            </w:pPr>
            <w:r>
              <w:t xml:space="preserve">Pivotal Study: </w:t>
            </w:r>
            <w:r w:rsidRPr="00C2451C">
              <w:t>Study ISIS 721744-CS5</w:t>
            </w:r>
          </w:p>
        </w:tc>
        <w:tc>
          <w:tcPr>
            <w:tcW w:w="2552" w:type="dxa"/>
            <w:gridSpan w:val="2"/>
            <w:shd w:val="clear" w:color="auto" w:fill="auto"/>
          </w:tcPr>
          <w:p w14:paraId="0B447AFB" w14:textId="5EB041E8" w:rsidR="00EC77DC" w:rsidRPr="00C37A1D" w:rsidRDefault="00EC77DC" w:rsidP="00120F3F">
            <w:pPr>
              <w:cnfStyle w:val="000000000000" w:firstRow="0" w:lastRow="0" w:firstColumn="0" w:lastColumn="0" w:oddVBand="0" w:evenVBand="0" w:oddHBand="0" w:evenHBand="0" w:firstRowFirstColumn="0" w:firstRowLastColumn="0" w:lastRowFirstColumn="0" w:lastRowLastColumn="0"/>
            </w:pPr>
            <w:r w:rsidRPr="004C3EEA">
              <w:rPr>
                <w:lang w:eastAsia="ja-JP"/>
              </w:rPr>
              <w:t>Study CS05</w:t>
            </w:r>
          </w:p>
        </w:tc>
      </w:tr>
      <w:tr w:rsidR="00EC77DC" w:rsidRPr="00C37A1D" w14:paraId="1DDE7726" w14:textId="77777777" w:rsidTr="00C575F5">
        <w:trPr>
          <w:trHeight w:val="407"/>
        </w:trPr>
        <w:tc>
          <w:tcPr>
            <w:cnfStyle w:val="001000000000" w:firstRow="0" w:lastRow="0" w:firstColumn="1" w:lastColumn="0" w:oddVBand="0" w:evenVBand="0" w:oddHBand="0" w:evenHBand="0" w:firstRowFirstColumn="0" w:firstRowLastColumn="0" w:lastRowFirstColumn="0" w:lastRowLastColumn="0"/>
            <w:tcW w:w="3109" w:type="dxa"/>
            <w:vMerge/>
          </w:tcPr>
          <w:p w14:paraId="2C68886C" w14:textId="77777777" w:rsidR="00EC77DC" w:rsidRPr="00E6635D" w:rsidRDefault="00EC77DC" w:rsidP="00120F3F">
            <w:pPr>
              <w:rPr>
                <w:bCs/>
              </w:rPr>
            </w:pPr>
          </w:p>
        </w:tc>
        <w:tc>
          <w:tcPr>
            <w:tcW w:w="3685" w:type="dxa"/>
            <w:shd w:val="clear" w:color="auto" w:fill="auto"/>
          </w:tcPr>
          <w:p w14:paraId="41467066" w14:textId="1A795DF8" w:rsidR="00EC77DC" w:rsidRPr="00FD798A" w:rsidRDefault="00EC77DC" w:rsidP="00120F3F">
            <w:pPr>
              <w:cnfStyle w:val="000000000000" w:firstRow="0" w:lastRow="0" w:firstColumn="0" w:lastColumn="0" w:oddVBand="0" w:evenVBand="0" w:oddHBand="0" w:evenHBand="0" w:firstRowFirstColumn="0" w:firstRowLastColumn="0" w:lastRowFirstColumn="0" w:lastRowLastColumn="0"/>
            </w:pPr>
            <w:r w:rsidRPr="004C46FB">
              <w:t xml:space="preserve">Study ISIS 721744-CS2 </w:t>
            </w:r>
          </w:p>
        </w:tc>
        <w:tc>
          <w:tcPr>
            <w:tcW w:w="2552" w:type="dxa"/>
            <w:gridSpan w:val="2"/>
            <w:shd w:val="clear" w:color="auto" w:fill="auto"/>
          </w:tcPr>
          <w:p w14:paraId="7351A2C6" w14:textId="2ADD4490" w:rsidR="00EC77DC" w:rsidRPr="00C37A1D" w:rsidRDefault="00EC77DC" w:rsidP="00120F3F">
            <w:pPr>
              <w:cnfStyle w:val="000000000000" w:firstRow="0" w:lastRow="0" w:firstColumn="0" w:lastColumn="0" w:oddVBand="0" w:evenVBand="0" w:oddHBand="0" w:evenHBand="0" w:firstRowFirstColumn="0" w:firstRowLastColumn="0" w:lastRowFirstColumn="0" w:lastRowLastColumn="0"/>
            </w:pPr>
            <w:r w:rsidRPr="001F2276">
              <w:rPr>
                <w:lang w:eastAsia="ja-JP"/>
              </w:rPr>
              <w:t>Study CS02</w:t>
            </w:r>
          </w:p>
        </w:tc>
      </w:tr>
      <w:tr w:rsidR="00EC77DC" w:rsidRPr="00C37A1D" w14:paraId="38AF4360" w14:textId="77777777" w:rsidTr="00C575F5">
        <w:trPr>
          <w:trHeight w:val="427"/>
        </w:trPr>
        <w:tc>
          <w:tcPr>
            <w:cnfStyle w:val="001000000000" w:firstRow="0" w:lastRow="0" w:firstColumn="1" w:lastColumn="0" w:oddVBand="0" w:evenVBand="0" w:oddHBand="0" w:evenHBand="0" w:firstRowFirstColumn="0" w:firstRowLastColumn="0" w:lastRowFirstColumn="0" w:lastRowLastColumn="0"/>
            <w:tcW w:w="3109" w:type="dxa"/>
            <w:vMerge/>
          </w:tcPr>
          <w:p w14:paraId="752E3C81" w14:textId="77777777" w:rsidR="00EC77DC" w:rsidRPr="00E6635D" w:rsidRDefault="00EC77DC" w:rsidP="00120F3F">
            <w:pPr>
              <w:rPr>
                <w:bCs/>
              </w:rPr>
            </w:pPr>
          </w:p>
        </w:tc>
        <w:tc>
          <w:tcPr>
            <w:tcW w:w="3685" w:type="dxa"/>
            <w:shd w:val="clear" w:color="auto" w:fill="auto"/>
          </w:tcPr>
          <w:p w14:paraId="09D40F89" w14:textId="3D16B8A1" w:rsidR="00EC77DC" w:rsidRPr="00FD798A" w:rsidRDefault="00EC77DC" w:rsidP="00120F3F">
            <w:pPr>
              <w:cnfStyle w:val="000000000000" w:firstRow="0" w:lastRow="0" w:firstColumn="0" w:lastColumn="0" w:oddVBand="0" w:evenVBand="0" w:oddHBand="0" w:evenHBand="0" w:firstRowFirstColumn="0" w:firstRowLastColumn="0" w:lastRowFirstColumn="0" w:lastRowLastColumn="0"/>
            </w:pPr>
            <w:r w:rsidRPr="00077B8E">
              <w:t xml:space="preserve">Study ISIS 721744-CS3 </w:t>
            </w:r>
          </w:p>
        </w:tc>
        <w:tc>
          <w:tcPr>
            <w:tcW w:w="2552" w:type="dxa"/>
            <w:gridSpan w:val="2"/>
            <w:shd w:val="clear" w:color="auto" w:fill="auto"/>
          </w:tcPr>
          <w:p w14:paraId="5E2125AD" w14:textId="059C15A4" w:rsidR="00EC77DC" w:rsidRPr="00C37A1D" w:rsidRDefault="00EC77DC" w:rsidP="00120F3F">
            <w:pPr>
              <w:cnfStyle w:val="000000000000" w:firstRow="0" w:lastRow="0" w:firstColumn="0" w:lastColumn="0" w:oddVBand="0" w:evenVBand="0" w:oddHBand="0" w:evenHBand="0" w:firstRowFirstColumn="0" w:firstRowLastColumn="0" w:lastRowFirstColumn="0" w:lastRowLastColumn="0"/>
            </w:pPr>
            <w:r w:rsidRPr="001F2276">
              <w:rPr>
                <w:lang w:eastAsia="ja-JP"/>
              </w:rPr>
              <w:t>Study CS03</w:t>
            </w:r>
          </w:p>
        </w:tc>
      </w:tr>
      <w:tr w:rsidR="00EC77DC" w:rsidRPr="00C37A1D" w14:paraId="1EBEC366" w14:textId="77777777" w:rsidTr="00C575F5">
        <w:trPr>
          <w:trHeight w:val="405"/>
        </w:trPr>
        <w:tc>
          <w:tcPr>
            <w:cnfStyle w:val="001000000000" w:firstRow="0" w:lastRow="0" w:firstColumn="1" w:lastColumn="0" w:oddVBand="0" w:evenVBand="0" w:oddHBand="0" w:evenHBand="0" w:firstRowFirstColumn="0" w:firstRowLastColumn="0" w:lastRowFirstColumn="0" w:lastRowLastColumn="0"/>
            <w:tcW w:w="3109" w:type="dxa"/>
            <w:vMerge/>
          </w:tcPr>
          <w:p w14:paraId="631B2CD7" w14:textId="77777777" w:rsidR="00EC77DC" w:rsidRPr="00E6635D" w:rsidRDefault="00EC77DC" w:rsidP="00120F3F">
            <w:pPr>
              <w:rPr>
                <w:bCs/>
              </w:rPr>
            </w:pPr>
          </w:p>
        </w:tc>
        <w:tc>
          <w:tcPr>
            <w:tcW w:w="3685" w:type="dxa"/>
            <w:shd w:val="clear" w:color="auto" w:fill="auto"/>
          </w:tcPr>
          <w:p w14:paraId="24942852" w14:textId="2BB5C18C" w:rsidR="00EC77DC" w:rsidRPr="00FD798A" w:rsidRDefault="00EC77DC" w:rsidP="00120F3F">
            <w:pPr>
              <w:cnfStyle w:val="000000000000" w:firstRow="0" w:lastRow="0" w:firstColumn="0" w:lastColumn="0" w:oddVBand="0" w:evenVBand="0" w:oddHBand="0" w:evenHBand="0" w:firstRowFirstColumn="0" w:firstRowLastColumn="0" w:lastRowFirstColumn="0" w:lastRowLastColumn="0"/>
            </w:pPr>
            <w:r w:rsidRPr="001F2276">
              <w:t xml:space="preserve">Study ISIS 721744-CS7 </w:t>
            </w:r>
          </w:p>
        </w:tc>
        <w:tc>
          <w:tcPr>
            <w:tcW w:w="2552" w:type="dxa"/>
            <w:gridSpan w:val="2"/>
            <w:shd w:val="clear" w:color="auto" w:fill="auto"/>
          </w:tcPr>
          <w:p w14:paraId="62DBA110" w14:textId="4FF6F970" w:rsidR="00EC77DC" w:rsidRPr="00C37A1D" w:rsidRDefault="00EC77DC" w:rsidP="00120F3F">
            <w:pPr>
              <w:cnfStyle w:val="000000000000" w:firstRow="0" w:lastRow="0" w:firstColumn="0" w:lastColumn="0" w:oddVBand="0" w:evenVBand="0" w:oddHBand="0" w:evenHBand="0" w:firstRowFirstColumn="0" w:firstRowLastColumn="0" w:lastRowFirstColumn="0" w:lastRowLastColumn="0"/>
            </w:pPr>
            <w:r w:rsidRPr="001F2276">
              <w:rPr>
                <w:lang w:eastAsia="ja-JP"/>
              </w:rPr>
              <w:t>Study CS07</w:t>
            </w:r>
          </w:p>
        </w:tc>
      </w:tr>
      <w:tr w:rsidR="00EC77DC" w:rsidRPr="00C37A1D" w14:paraId="38307A14" w14:textId="77777777">
        <w:trPr>
          <w:trHeight w:val="699"/>
        </w:trPr>
        <w:tc>
          <w:tcPr>
            <w:cnfStyle w:val="001000000000" w:firstRow="0" w:lastRow="0" w:firstColumn="1" w:lastColumn="0" w:oddVBand="0" w:evenVBand="0" w:oddHBand="0" w:evenHBand="0" w:firstRowFirstColumn="0" w:firstRowLastColumn="0" w:lastRowFirstColumn="0" w:lastRowLastColumn="0"/>
            <w:tcW w:w="3109" w:type="dxa"/>
          </w:tcPr>
          <w:p w14:paraId="09908C65" w14:textId="5CF2F25B" w:rsidR="00EC77DC" w:rsidRPr="00E6635D" w:rsidRDefault="00EC77DC" w:rsidP="00120F3F">
            <w:pPr>
              <w:rPr>
                <w:bCs/>
              </w:rPr>
            </w:pPr>
            <w:r w:rsidRPr="00EC77DC">
              <w:rPr>
                <w:bCs/>
              </w:rPr>
              <w:t>Safety</w:t>
            </w:r>
          </w:p>
        </w:tc>
        <w:tc>
          <w:tcPr>
            <w:tcW w:w="6237" w:type="dxa"/>
            <w:gridSpan w:val="3"/>
            <w:shd w:val="clear" w:color="auto" w:fill="auto"/>
          </w:tcPr>
          <w:p w14:paraId="45325D42" w14:textId="3BFAE10A" w:rsidR="00EC77DC" w:rsidRPr="001F2276" w:rsidRDefault="00EC77DC" w:rsidP="00120F3F">
            <w:pPr>
              <w:cnfStyle w:val="000000000000" w:firstRow="0" w:lastRow="0" w:firstColumn="0" w:lastColumn="0" w:oddVBand="0" w:evenVBand="0" w:oddHBand="0" w:evenHBand="0" w:firstRowFirstColumn="0" w:firstRowLastColumn="0" w:lastRowFirstColumn="0" w:lastRowLastColumn="0"/>
              <w:rPr>
                <w:lang w:eastAsia="ja-JP"/>
              </w:rPr>
            </w:pPr>
            <w:r w:rsidRPr="00EC77DC">
              <w:rPr>
                <w:lang w:eastAsia="ja-JP"/>
              </w:rPr>
              <w:t>There were no pivotal studies that assessed safety as the primary outcome.</w:t>
            </w:r>
          </w:p>
        </w:tc>
      </w:tr>
      <w:tr w:rsidR="00EC77DC" w:rsidRPr="00C37A1D" w14:paraId="28BBCEB9" w14:textId="77777777">
        <w:trPr>
          <w:trHeight w:val="699"/>
        </w:trPr>
        <w:tc>
          <w:tcPr>
            <w:cnfStyle w:val="001000000000" w:firstRow="0" w:lastRow="0" w:firstColumn="1" w:lastColumn="0" w:oddVBand="0" w:evenVBand="0" w:oddHBand="0" w:evenHBand="0" w:firstRowFirstColumn="0" w:firstRowLastColumn="0" w:lastRowFirstColumn="0" w:lastRowLastColumn="0"/>
            <w:tcW w:w="3109" w:type="dxa"/>
            <w:shd w:val="clear" w:color="auto" w:fill="auto"/>
          </w:tcPr>
          <w:p w14:paraId="6C28D558" w14:textId="22271E31" w:rsidR="00EC77DC" w:rsidRPr="00E6635D" w:rsidRDefault="00EC77DC" w:rsidP="00120F3F">
            <w:pPr>
              <w:rPr>
                <w:bCs/>
              </w:rPr>
            </w:pPr>
            <w:r w:rsidRPr="00657016">
              <w:t>Pivotal and/or main efficacy stud</w:t>
            </w:r>
            <w:r>
              <w:t>y (safety data)</w:t>
            </w:r>
          </w:p>
        </w:tc>
        <w:tc>
          <w:tcPr>
            <w:tcW w:w="3685" w:type="dxa"/>
            <w:shd w:val="clear" w:color="auto" w:fill="auto"/>
          </w:tcPr>
          <w:p w14:paraId="758D8E19" w14:textId="51BE06C8" w:rsidR="00EC77DC" w:rsidRPr="001F2276" w:rsidRDefault="00EC77DC" w:rsidP="00120F3F">
            <w:pPr>
              <w:cnfStyle w:val="000000000000" w:firstRow="0" w:lastRow="0" w:firstColumn="0" w:lastColumn="0" w:oddVBand="0" w:evenVBand="0" w:oddHBand="0" w:evenHBand="0" w:firstRowFirstColumn="0" w:firstRowLastColumn="0" w:lastRowFirstColumn="0" w:lastRowLastColumn="0"/>
            </w:pPr>
            <w:r w:rsidRPr="00B60529">
              <w:t>Study ISIS 721744-CS5</w:t>
            </w:r>
          </w:p>
        </w:tc>
        <w:tc>
          <w:tcPr>
            <w:tcW w:w="2552" w:type="dxa"/>
            <w:gridSpan w:val="2"/>
            <w:shd w:val="clear" w:color="auto" w:fill="auto"/>
          </w:tcPr>
          <w:p w14:paraId="52913C1C" w14:textId="0216FD5A" w:rsidR="00EC77DC" w:rsidRPr="001F2276" w:rsidRDefault="00EC77DC" w:rsidP="00120F3F">
            <w:pPr>
              <w:cnfStyle w:val="000000000000" w:firstRow="0" w:lastRow="0" w:firstColumn="0" w:lastColumn="0" w:oddVBand="0" w:evenVBand="0" w:oddHBand="0" w:evenHBand="0" w:firstRowFirstColumn="0" w:firstRowLastColumn="0" w:lastRowFirstColumn="0" w:lastRowLastColumn="0"/>
              <w:rPr>
                <w:lang w:eastAsia="ja-JP"/>
              </w:rPr>
            </w:pPr>
            <w:r w:rsidRPr="004C3EEA">
              <w:rPr>
                <w:lang w:eastAsia="ja-JP"/>
              </w:rPr>
              <w:t>Study CS05</w:t>
            </w:r>
          </w:p>
        </w:tc>
      </w:tr>
      <w:tr w:rsidR="00945905" w:rsidRPr="00C37A1D" w14:paraId="2368E0A2" w14:textId="77777777" w:rsidTr="00C575F5">
        <w:trPr>
          <w:trHeight w:val="433"/>
        </w:trPr>
        <w:tc>
          <w:tcPr>
            <w:cnfStyle w:val="001000000000" w:firstRow="0" w:lastRow="0" w:firstColumn="1" w:lastColumn="0" w:oddVBand="0" w:evenVBand="0" w:oddHBand="0" w:evenHBand="0" w:firstRowFirstColumn="0" w:firstRowLastColumn="0" w:lastRowFirstColumn="0" w:lastRowLastColumn="0"/>
            <w:tcW w:w="3109" w:type="dxa"/>
            <w:vMerge w:val="restart"/>
            <w:shd w:val="clear" w:color="auto" w:fill="auto"/>
          </w:tcPr>
          <w:p w14:paraId="03719C4F" w14:textId="3FE018E3" w:rsidR="00945905" w:rsidRPr="00657016" w:rsidRDefault="00945905" w:rsidP="00120F3F">
            <w:pPr>
              <w:rPr>
                <w:iCs/>
              </w:rPr>
            </w:pPr>
            <w:r w:rsidRPr="00657016">
              <w:rPr>
                <w:iCs/>
              </w:rPr>
              <w:t>Other efficacy studies, providing safety data</w:t>
            </w:r>
          </w:p>
        </w:tc>
        <w:tc>
          <w:tcPr>
            <w:tcW w:w="3685" w:type="dxa"/>
            <w:shd w:val="clear" w:color="auto" w:fill="auto"/>
          </w:tcPr>
          <w:p w14:paraId="38863ECB" w14:textId="132783E0" w:rsidR="00945905" w:rsidRPr="00FC1710" w:rsidRDefault="00945905" w:rsidP="00120F3F">
            <w:pPr>
              <w:cnfStyle w:val="000000000000" w:firstRow="0" w:lastRow="0" w:firstColumn="0" w:lastColumn="0" w:oddVBand="0" w:evenVBand="0" w:oddHBand="0" w:evenHBand="0" w:firstRowFirstColumn="0" w:firstRowLastColumn="0" w:lastRowFirstColumn="0" w:lastRowLastColumn="0"/>
            </w:pPr>
            <w:r w:rsidRPr="00FC1710">
              <w:t xml:space="preserve">Study ISIS 721744-CS2 </w:t>
            </w:r>
          </w:p>
        </w:tc>
        <w:tc>
          <w:tcPr>
            <w:tcW w:w="2552" w:type="dxa"/>
            <w:gridSpan w:val="2"/>
            <w:shd w:val="clear" w:color="auto" w:fill="auto"/>
          </w:tcPr>
          <w:p w14:paraId="1123BF26" w14:textId="6DFADFD2" w:rsidR="00945905" w:rsidRPr="00657016" w:rsidRDefault="00945905" w:rsidP="00120F3F">
            <w:pPr>
              <w:cnfStyle w:val="000000000000" w:firstRow="0" w:lastRow="0" w:firstColumn="0" w:lastColumn="0" w:oddVBand="0" w:evenVBand="0" w:oddHBand="0" w:evenHBand="0" w:firstRowFirstColumn="0" w:firstRowLastColumn="0" w:lastRowFirstColumn="0" w:lastRowLastColumn="0"/>
            </w:pPr>
            <w:r w:rsidRPr="00657016">
              <w:t>Study CS02</w:t>
            </w:r>
          </w:p>
        </w:tc>
      </w:tr>
      <w:tr w:rsidR="00945905" w:rsidRPr="00C37A1D" w14:paraId="6892D73D" w14:textId="77777777" w:rsidTr="00C575F5">
        <w:trPr>
          <w:trHeight w:val="429"/>
        </w:trPr>
        <w:tc>
          <w:tcPr>
            <w:cnfStyle w:val="001000000000" w:firstRow="0" w:lastRow="0" w:firstColumn="1" w:lastColumn="0" w:oddVBand="0" w:evenVBand="0" w:oddHBand="0" w:evenHBand="0" w:firstRowFirstColumn="0" w:firstRowLastColumn="0" w:lastRowFirstColumn="0" w:lastRowLastColumn="0"/>
            <w:tcW w:w="3109" w:type="dxa"/>
            <w:vMerge/>
            <w:shd w:val="clear" w:color="auto" w:fill="auto"/>
          </w:tcPr>
          <w:p w14:paraId="09FC554F" w14:textId="77777777" w:rsidR="00945905" w:rsidRPr="00657016" w:rsidRDefault="00945905" w:rsidP="00120F3F">
            <w:pPr>
              <w:rPr>
                <w:iCs/>
              </w:rPr>
            </w:pPr>
          </w:p>
        </w:tc>
        <w:tc>
          <w:tcPr>
            <w:tcW w:w="3685" w:type="dxa"/>
            <w:shd w:val="clear" w:color="auto" w:fill="auto"/>
          </w:tcPr>
          <w:p w14:paraId="30617152" w14:textId="4C696503" w:rsidR="00945905" w:rsidRPr="00FC1710" w:rsidRDefault="00945905" w:rsidP="00120F3F">
            <w:pPr>
              <w:cnfStyle w:val="000000000000" w:firstRow="0" w:lastRow="0" w:firstColumn="0" w:lastColumn="0" w:oddVBand="0" w:evenVBand="0" w:oddHBand="0" w:evenHBand="0" w:firstRowFirstColumn="0" w:firstRowLastColumn="0" w:lastRowFirstColumn="0" w:lastRowLastColumn="0"/>
            </w:pPr>
            <w:r w:rsidRPr="009272E6">
              <w:t xml:space="preserve">Study ISIS 721744-CS3 </w:t>
            </w:r>
          </w:p>
        </w:tc>
        <w:tc>
          <w:tcPr>
            <w:tcW w:w="2552" w:type="dxa"/>
            <w:gridSpan w:val="2"/>
            <w:shd w:val="clear" w:color="auto" w:fill="auto"/>
          </w:tcPr>
          <w:p w14:paraId="2545246B" w14:textId="02550952" w:rsidR="00945905" w:rsidRPr="00657016" w:rsidRDefault="00945905" w:rsidP="00120F3F">
            <w:pPr>
              <w:cnfStyle w:val="000000000000" w:firstRow="0" w:lastRow="0" w:firstColumn="0" w:lastColumn="0" w:oddVBand="0" w:evenVBand="0" w:oddHBand="0" w:evenHBand="0" w:firstRowFirstColumn="0" w:firstRowLastColumn="0" w:lastRowFirstColumn="0" w:lastRowLastColumn="0"/>
            </w:pPr>
            <w:r w:rsidRPr="008B1A39">
              <w:t>Study CS03</w:t>
            </w:r>
          </w:p>
        </w:tc>
      </w:tr>
      <w:tr w:rsidR="00945905" w:rsidRPr="00C37A1D" w14:paraId="78C6E232" w14:textId="77777777" w:rsidTr="00C575F5">
        <w:trPr>
          <w:trHeight w:val="425"/>
        </w:trPr>
        <w:tc>
          <w:tcPr>
            <w:cnfStyle w:val="001000000000" w:firstRow="0" w:lastRow="0" w:firstColumn="1" w:lastColumn="0" w:oddVBand="0" w:evenVBand="0" w:oddHBand="0" w:evenHBand="0" w:firstRowFirstColumn="0" w:firstRowLastColumn="0" w:lastRowFirstColumn="0" w:lastRowLastColumn="0"/>
            <w:tcW w:w="3109" w:type="dxa"/>
            <w:vMerge/>
            <w:shd w:val="clear" w:color="auto" w:fill="auto"/>
          </w:tcPr>
          <w:p w14:paraId="595314A4" w14:textId="77777777" w:rsidR="00945905" w:rsidRPr="00657016" w:rsidRDefault="00945905" w:rsidP="00120F3F">
            <w:pPr>
              <w:rPr>
                <w:iCs/>
              </w:rPr>
            </w:pPr>
          </w:p>
        </w:tc>
        <w:tc>
          <w:tcPr>
            <w:tcW w:w="3685" w:type="dxa"/>
            <w:shd w:val="clear" w:color="auto" w:fill="auto"/>
          </w:tcPr>
          <w:p w14:paraId="634BB084" w14:textId="1353517A" w:rsidR="00945905" w:rsidRPr="00FC1710" w:rsidRDefault="00945905" w:rsidP="00120F3F">
            <w:pPr>
              <w:cnfStyle w:val="000000000000" w:firstRow="0" w:lastRow="0" w:firstColumn="0" w:lastColumn="0" w:oddVBand="0" w:evenVBand="0" w:oddHBand="0" w:evenHBand="0" w:firstRowFirstColumn="0" w:firstRowLastColumn="0" w:lastRowFirstColumn="0" w:lastRowLastColumn="0"/>
            </w:pPr>
            <w:r w:rsidRPr="008B1A39">
              <w:t xml:space="preserve">Study ISIS 721744-CS7 </w:t>
            </w:r>
          </w:p>
        </w:tc>
        <w:tc>
          <w:tcPr>
            <w:tcW w:w="2552" w:type="dxa"/>
            <w:gridSpan w:val="2"/>
            <w:shd w:val="clear" w:color="auto" w:fill="auto"/>
          </w:tcPr>
          <w:p w14:paraId="69BFA918" w14:textId="7E69821F" w:rsidR="00945905" w:rsidRPr="00657016" w:rsidRDefault="00945905" w:rsidP="00120F3F">
            <w:pPr>
              <w:cnfStyle w:val="000000000000" w:firstRow="0" w:lastRow="0" w:firstColumn="0" w:lastColumn="0" w:oddVBand="0" w:evenVBand="0" w:oddHBand="0" w:evenHBand="0" w:firstRowFirstColumn="0" w:firstRowLastColumn="0" w:lastRowFirstColumn="0" w:lastRowLastColumn="0"/>
            </w:pPr>
            <w:r w:rsidRPr="008B1A39">
              <w:t>Study CS07</w:t>
            </w:r>
          </w:p>
        </w:tc>
      </w:tr>
      <w:tr w:rsidR="00945905" w:rsidRPr="00C37A1D" w14:paraId="02AC1AF5" w14:textId="77777777" w:rsidTr="00C575F5">
        <w:trPr>
          <w:trHeight w:val="521"/>
        </w:trPr>
        <w:tc>
          <w:tcPr>
            <w:cnfStyle w:val="001000000000" w:firstRow="0" w:lastRow="0" w:firstColumn="1" w:lastColumn="0" w:oddVBand="0" w:evenVBand="0" w:oddHBand="0" w:evenHBand="0" w:firstRowFirstColumn="0" w:firstRowLastColumn="0" w:lastRowFirstColumn="0" w:lastRowLastColumn="0"/>
            <w:tcW w:w="3109" w:type="dxa"/>
            <w:vMerge w:val="restart"/>
            <w:shd w:val="clear" w:color="auto" w:fill="auto"/>
          </w:tcPr>
          <w:p w14:paraId="1792AFB5" w14:textId="30B1D713" w:rsidR="00945905" w:rsidRPr="00657016" w:rsidRDefault="00945905" w:rsidP="00120F3F">
            <w:pPr>
              <w:rPr>
                <w:iCs/>
              </w:rPr>
            </w:pPr>
            <w:r w:rsidRPr="00933B23">
              <w:rPr>
                <w:iCs/>
              </w:rPr>
              <w:t xml:space="preserve">Studies with evaluable safety data: dose finding and pharmacology </w:t>
            </w:r>
          </w:p>
        </w:tc>
        <w:tc>
          <w:tcPr>
            <w:tcW w:w="3685" w:type="dxa"/>
            <w:shd w:val="clear" w:color="auto" w:fill="auto"/>
          </w:tcPr>
          <w:p w14:paraId="716B7420" w14:textId="3194B877" w:rsidR="00945905" w:rsidRPr="00FC1710" w:rsidRDefault="00945905" w:rsidP="00120F3F">
            <w:pPr>
              <w:cnfStyle w:val="000000000000" w:firstRow="0" w:lastRow="0" w:firstColumn="0" w:lastColumn="0" w:oddVBand="0" w:evenVBand="0" w:oddHBand="0" w:evenHBand="0" w:firstRowFirstColumn="0" w:firstRowLastColumn="0" w:lastRowFirstColumn="0" w:lastRowLastColumn="0"/>
            </w:pPr>
            <w:r w:rsidRPr="009B27E3">
              <w:t xml:space="preserve">Study ISIS 721744-CS9 </w:t>
            </w:r>
          </w:p>
        </w:tc>
        <w:tc>
          <w:tcPr>
            <w:tcW w:w="2552" w:type="dxa"/>
            <w:gridSpan w:val="2"/>
            <w:shd w:val="clear" w:color="auto" w:fill="auto"/>
          </w:tcPr>
          <w:p w14:paraId="4252EF1E" w14:textId="3175686D" w:rsidR="00945905" w:rsidRPr="00657016" w:rsidRDefault="00945905" w:rsidP="00120F3F">
            <w:pPr>
              <w:cnfStyle w:val="000000000000" w:firstRow="0" w:lastRow="0" w:firstColumn="0" w:lastColumn="0" w:oddVBand="0" w:evenVBand="0" w:oddHBand="0" w:evenHBand="0" w:firstRowFirstColumn="0" w:firstRowLastColumn="0" w:lastRowFirstColumn="0" w:lastRowLastColumn="0"/>
            </w:pPr>
            <w:r w:rsidRPr="009B27E3">
              <w:t>Study CS09</w:t>
            </w:r>
          </w:p>
        </w:tc>
      </w:tr>
      <w:tr w:rsidR="00945905" w:rsidRPr="00C37A1D" w14:paraId="2C92CA1A" w14:textId="77777777" w:rsidTr="00FA46EF">
        <w:trPr>
          <w:trHeight w:val="427"/>
        </w:trPr>
        <w:tc>
          <w:tcPr>
            <w:cnfStyle w:val="001000000000" w:firstRow="0" w:lastRow="0" w:firstColumn="1" w:lastColumn="0" w:oddVBand="0" w:evenVBand="0" w:oddHBand="0" w:evenHBand="0" w:firstRowFirstColumn="0" w:firstRowLastColumn="0" w:lastRowFirstColumn="0" w:lastRowLastColumn="0"/>
            <w:tcW w:w="3109" w:type="dxa"/>
            <w:vMerge/>
            <w:shd w:val="clear" w:color="auto" w:fill="auto"/>
          </w:tcPr>
          <w:p w14:paraId="61EABAA3" w14:textId="77777777" w:rsidR="00945905" w:rsidRPr="00657016" w:rsidRDefault="00945905" w:rsidP="00120F3F">
            <w:pPr>
              <w:rPr>
                <w:iCs/>
              </w:rPr>
            </w:pPr>
          </w:p>
        </w:tc>
        <w:tc>
          <w:tcPr>
            <w:tcW w:w="3685" w:type="dxa"/>
            <w:shd w:val="clear" w:color="auto" w:fill="auto"/>
          </w:tcPr>
          <w:p w14:paraId="0506FA7A" w14:textId="0033E41C" w:rsidR="00945905" w:rsidRPr="00FC1710" w:rsidRDefault="00945905" w:rsidP="00120F3F">
            <w:pPr>
              <w:cnfStyle w:val="000000000000" w:firstRow="0" w:lastRow="0" w:firstColumn="0" w:lastColumn="0" w:oddVBand="0" w:evenVBand="0" w:oddHBand="0" w:evenHBand="0" w:firstRowFirstColumn="0" w:firstRowLastColumn="0" w:lastRowFirstColumn="0" w:lastRowLastColumn="0"/>
            </w:pPr>
            <w:r w:rsidRPr="00826249">
              <w:t xml:space="preserve">Study ISIS 721744-CS1 </w:t>
            </w:r>
          </w:p>
        </w:tc>
        <w:tc>
          <w:tcPr>
            <w:tcW w:w="2552" w:type="dxa"/>
            <w:gridSpan w:val="2"/>
            <w:shd w:val="clear" w:color="auto" w:fill="auto"/>
          </w:tcPr>
          <w:p w14:paraId="77C3C613" w14:textId="61C2B6B9" w:rsidR="00945905" w:rsidRPr="00657016" w:rsidRDefault="00945905" w:rsidP="00120F3F">
            <w:pPr>
              <w:cnfStyle w:val="000000000000" w:firstRow="0" w:lastRow="0" w:firstColumn="0" w:lastColumn="0" w:oddVBand="0" w:evenVBand="0" w:oddHBand="0" w:evenHBand="0" w:firstRowFirstColumn="0" w:firstRowLastColumn="0" w:lastRowFirstColumn="0" w:lastRowLastColumn="0"/>
            </w:pPr>
            <w:r w:rsidRPr="00826249">
              <w:t>Study CS01</w:t>
            </w:r>
          </w:p>
        </w:tc>
      </w:tr>
    </w:tbl>
    <w:p w14:paraId="0A4FF2C3" w14:textId="77777777" w:rsidR="00A5129A" w:rsidRPr="00A5129A" w:rsidRDefault="00A5129A" w:rsidP="004A338F">
      <w:pPr>
        <w:pStyle w:val="TableDescription"/>
        <w:spacing w:before="0" w:after="0"/>
      </w:pPr>
      <w:r w:rsidRPr="00A5129A">
        <w:t>* Indicates the primary PK aim of the study.</w:t>
      </w:r>
    </w:p>
    <w:p w14:paraId="3820E72D" w14:textId="77777777" w:rsidR="00A5129A" w:rsidRPr="00A5129A" w:rsidRDefault="00A5129A" w:rsidP="004A338F">
      <w:pPr>
        <w:pStyle w:val="TableDescription"/>
        <w:spacing w:before="0" w:after="0"/>
      </w:pPr>
      <w:r w:rsidRPr="00A5129A">
        <w:t>† Bioequivalence of different formulations.</w:t>
      </w:r>
    </w:p>
    <w:p w14:paraId="615175FF" w14:textId="77777777" w:rsidR="00A5129A" w:rsidRPr="00A5129A" w:rsidRDefault="00A5129A" w:rsidP="004A338F">
      <w:pPr>
        <w:pStyle w:val="TableDescription"/>
        <w:spacing w:before="0" w:after="0"/>
      </w:pPr>
      <w:r w:rsidRPr="00A5129A">
        <w:t>§ Subjects who would be eligible to receive the drug if approved for the proposed indication.</w:t>
      </w:r>
    </w:p>
    <w:p w14:paraId="57D6B900" w14:textId="77777777" w:rsidR="00605936" w:rsidRPr="00605936" w:rsidRDefault="00605936" w:rsidP="00F066B7">
      <w:pPr>
        <w:pStyle w:val="Heading4"/>
        <w:rPr>
          <w:i/>
        </w:rPr>
      </w:pPr>
      <w:bookmarkStart w:id="52" w:name="_Toc238032174"/>
      <w:r w:rsidRPr="00605936">
        <w:t>Pharmacology</w:t>
      </w:r>
      <w:bookmarkEnd w:id="52"/>
    </w:p>
    <w:p w14:paraId="63840A91" w14:textId="1157CD83" w:rsidR="00605936" w:rsidRPr="00605936" w:rsidRDefault="00605936" w:rsidP="00F066B7">
      <w:pPr>
        <w:pStyle w:val="Heading5"/>
      </w:pPr>
      <w:r w:rsidRPr="00605936">
        <w:t>Pharmacokinetics</w:t>
      </w:r>
    </w:p>
    <w:p w14:paraId="5B964726" w14:textId="48010558" w:rsidR="00605936" w:rsidRPr="00605936" w:rsidRDefault="00605936" w:rsidP="00605936">
      <w:r w:rsidRPr="00605936">
        <w:t xml:space="preserve">The </w:t>
      </w:r>
      <w:r w:rsidR="00A67187" w:rsidRPr="00A67187">
        <w:rPr>
          <w:iCs/>
        </w:rPr>
        <w:t>Pharmacokinetics (PK)</w:t>
      </w:r>
      <w:r w:rsidR="00A67187">
        <w:rPr>
          <w:iCs/>
        </w:rPr>
        <w:t xml:space="preserve"> </w:t>
      </w:r>
      <w:r w:rsidRPr="00605936">
        <w:t>of donidalorsen have been adequately characterised.  Although donidalorsen, as a conjugated oligonucleotide, is a novel molecule its PK profile fitted well with a two-compartment model, with first order absorption and elimination.  The interindividual variability was acceptable, indicating predictable exposures.  It has a long half-life and is suitable for monthly or second monthly administration.  The PK data are supportive of the proposed dosing regimen.</w:t>
      </w:r>
    </w:p>
    <w:p w14:paraId="2F345AEA" w14:textId="36697193" w:rsidR="00605936" w:rsidRPr="00605936" w:rsidRDefault="00605936" w:rsidP="004D2CC3">
      <w:pPr>
        <w:pStyle w:val="Heading6"/>
      </w:pPr>
      <w:r w:rsidRPr="00605936">
        <w:t xml:space="preserve">Population PK data  </w:t>
      </w:r>
    </w:p>
    <w:p w14:paraId="0690A23F" w14:textId="024BDE34" w:rsidR="00605936" w:rsidRPr="00605936" w:rsidRDefault="00605936" w:rsidP="00605936">
      <w:r w:rsidRPr="00605936">
        <w:t xml:space="preserve">In </w:t>
      </w:r>
      <w:r w:rsidR="00A67187" w:rsidRPr="00A67187">
        <w:t xml:space="preserve">Population PK data </w:t>
      </w:r>
      <w:r w:rsidR="00A67187">
        <w:t>(</w:t>
      </w:r>
      <w:proofErr w:type="spellStart"/>
      <w:r w:rsidR="00A67187" w:rsidRPr="00A67187">
        <w:t>popPK</w:t>
      </w:r>
      <w:proofErr w:type="spellEnd"/>
      <w:r w:rsidR="00A67187" w:rsidRPr="00A67187">
        <w:t>)</w:t>
      </w:r>
      <w:r w:rsidR="00A67187">
        <w:t xml:space="preserve"> </w:t>
      </w:r>
      <w:proofErr w:type="spellStart"/>
      <w:r w:rsidRPr="00605936">
        <w:t>PopPK</w:t>
      </w:r>
      <w:proofErr w:type="spellEnd"/>
      <w:r w:rsidRPr="00605936">
        <w:t xml:space="preserve"> 01, the final </w:t>
      </w:r>
      <w:proofErr w:type="spellStart"/>
      <w:r w:rsidRPr="00605936">
        <w:t>PopPK</w:t>
      </w:r>
      <w:proofErr w:type="spellEnd"/>
      <w:r w:rsidRPr="00605936">
        <w:t xml:space="preserve"> model was two compartment</w:t>
      </w:r>
      <w:r w:rsidR="00915BDA">
        <w:t>s</w:t>
      </w:r>
      <w:r w:rsidRPr="00605936">
        <w:t xml:space="preserve"> with first order absorption and elimination, parameterised as clearance.  The covariate model included:</w:t>
      </w:r>
    </w:p>
    <w:p w14:paraId="75ACF931" w14:textId="77777777" w:rsidR="00605936" w:rsidRPr="00605936" w:rsidRDefault="00605936" w:rsidP="0024707F">
      <w:pPr>
        <w:pStyle w:val="ListBullet"/>
      </w:pPr>
      <w:r w:rsidRPr="00605936">
        <w:t xml:space="preserve">Effects for body weight </w:t>
      </w:r>
      <w:r w:rsidRPr="00853545">
        <w:t xml:space="preserve">on CL/F, </w:t>
      </w:r>
      <w:proofErr w:type="spellStart"/>
      <w:r w:rsidRPr="00853545">
        <w:t>V</w:t>
      </w:r>
      <w:r w:rsidRPr="00853545">
        <w:rPr>
          <w:vertAlign w:val="subscript"/>
        </w:rPr>
        <w:t>c</w:t>
      </w:r>
      <w:proofErr w:type="spellEnd"/>
      <w:r w:rsidRPr="00853545">
        <w:t xml:space="preserve">/F, Q/F and </w:t>
      </w:r>
      <w:proofErr w:type="spellStart"/>
      <w:r w:rsidRPr="00853545">
        <w:t>V</w:t>
      </w:r>
      <w:r w:rsidRPr="00853545">
        <w:rPr>
          <w:vertAlign w:val="subscript"/>
        </w:rPr>
        <w:t>p</w:t>
      </w:r>
      <w:proofErr w:type="spellEnd"/>
      <w:r w:rsidRPr="00853545">
        <w:t>/F, with the exponents</w:t>
      </w:r>
      <w:r w:rsidRPr="00605936">
        <w:t xml:space="preserve"> estimated.</w:t>
      </w:r>
    </w:p>
    <w:p w14:paraId="07E0B062" w14:textId="77777777" w:rsidR="00605936" w:rsidRPr="00605936" w:rsidRDefault="00605936" w:rsidP="0024707F">
      <w:pPr>
        <w:pStyle w:val="ListBullet"/>
      </w:pPr>
      <w:r w:rsidRPr="00605936">
        <w:t>Site of administration on ka, with a 34% reduction for injection in the arm compared to abdomen or thigh.</w:t>
      </w:r>
    </w:p>
    <w:p w14:paraId="51DB6283" w14:textId="77777777" w:rsidR="00605936" w:rsidRPr="00605936" w:rsidRDefault="00605936" w:rsidP="0024707F">
      <w:pPr>
        <w:pStyle w:val="ListBullet"/>
      </w:pPr>
      <w:r w:rsidRPr="00605936">
        <w:t>Drug presentation on ka, with a 26% increase for the autoinjector compared to the vial.</w:t>
      </w:r>
    </w:p>
    <w:p w14:paraId="685F1D4B" w14:textId="77777777" w:rsidR="00605936" w:rsidRPr="00605936" w:rsidRDefault="00605936" w:rsidP="0024707F">
      <w:pPr>
        <w:pStyle w:val="ListBullet"/>
      </w:pPr>
      <w:r w:rsidRPr="00605936">
        <w:t xml:space="preserve">Disease status on </w:t>
      </w:r>
      <w:proofErr w:type="spellStart"/>
      <w:r w:rsidRPr="00605936">
        <w:t>V</w:t>
      </w:r>
      <w:r w:rsidRPr="00605936">
        <w:rPr>
          <w:vertAlign w:val="subscript"/>
        </w:rPr>
        <w:t>c</w:t>
      </w:r>
      <w:proofErr w:type="spellEnd"/>
      <w:r w:rsidRPr="00605936">
        <w:t xml:space="preserve">/F (43% higher in HAE) and Q/F (26% lower in HAE). </w:t>
      </w:r>
    </w:p>
    <w:p w14:paraId="23F3C10E" w14:textId="416BF0E4" w:rsidR="00605936" w:rsidRPr="00605936" w:rsidRDefault="002F5530" w:rsidP="00605936">
      <w:r w:rsidRPr="002F5530">
        <w:t>Interindividual variability (IIV</w:t>
      </w:r>
      <w:r w:rsidR="00863A9E">
        <w:t>)</w:t>
      </w:r>
      <w:r w:rsidR="00605936" w:rsidRPr="00605936">
        <w:t xml:space="preserve"> was estimated on CL/F, </w:t>
      </w:r>
      <w:proofErr w:type="spellStart"/>
      <w:r w:rsidR="00605936" w:rsidRPr="00605936">
        <w:t>V</w:t>
      </w:r>
      <w:r w:rsidR="00605936" w:rsidRPr="00605936">
        <w:rPr>
          <w:vertAlign w:val="subscript"/>
        </w:rPr>
        <w:t>c</w:t>
      </w:r>
      <w:proofErr w:type="spellEnd"/>
      <w:r w:rsidR="00605936" w:rsidRPr="00605936">
        <w:t xml:space="preserve">/F, Q/F and </w:t>
      </w:r>
      <w:proofErr w:type="spellStart"/>
      <w:r w:rsidR="00605936" w:rsidRPr="00605936">
        <w:t>V</w:t>
      </w:r>
      <w:r w:rsidR="00605936" w:rsidRPr="00605936">
        <w:rPr>
          <w:vertAlign w:val="subscript"/>
        </w:rPr>
        <w:t>p</w:t>
      </w:r>
      <w:proofErr w:type="spellEnd"/>
      <w:r w:rsidR="00605936" w:rsidRPr="00605936">
        <w:t>/F.  There was a full omega block with correlation terms for all the IIV parameters.  Residual error was log-additive (exponential).  The parameters were estimated with acceptable precision.  Shrinkage on IIV parameters was acceptable (&lt;30%).</w:t>
      </w:r>
    </w:p>
    <w:p w14:paraId="594204C2" w14:textId="77777777" w:rsidR="00605936" w:rsidRPr="00605936" w:rsidRDefault="00605936" w:rsidP="00605936">
      <w:r w:rsidRPr="00605936">
        <w:t xml:space="preserve">The typical estimates (IIV, expressed as CV%) were 12.8 L/h (19.6%) for CL/F, 69.8 L (59.0%) for </w:t>
      </w:r>
      <w:proofErr w:type="spellStart"/>
      <w:r w:rsidRPr="00605936">
        <w:t>V</w:t>
      </w:r>
      <w:r w:rsidRPr="00605936">
        <w:rPr>
          <w:vertAlign w:val="subscript"/>
        </w:rPr>
        <w:t>c</w:t>
      </w:r>
      <w:proofErr w:type="spellEnd"/>
      <w:r w:rsidRPr="00605936">
        <w:t xml:space="preserve">/F, 1.79 L/h (10.2%) for Q/F and 1840 L (42.9%) for </w:t>
      </w:r>
      <w:proofErr w:type="spellStart"/>
      <w:r w:rsidRPr="00605936">
        <w:t>V</w:t>
      </w:r>
      <w:r w:rsidRPr="00605936">
        <w:rPr>
          <w:vertAlign w:val="subscript"/>
        </w:rPr>
        <w:t>p</w:t>
      </w:r>
      <w:proofErr w:type="spellEnd"/>
      <w:r w:rsidRPr="00605936">
        <w:t xml:space="preserve">/F. Age was not identified as a statistically significant covariate in the population PK analysis. Therefore, no dose adjustment is </w:t>
      </w:r>
      <w:r w:rsidRPr="00605936">
        <w:lastRenderedPageBreak/>
        <w:t>required based on age in patients 12 years of age and older. Donidalorsen has not been studied in children.</w:t>
      </w:r>
    </w:p>
    <w:p w14:paraId="54BD7C0A" w14:textId="0826302B" w:rsidR="00605936" w:rsidRPr="00605936" w:rsidRDefault="00605936" w:rsidP="004D2CC3">
      <w:pPr>
        <w:pStyle w:val="Heading5"/>
      </w:pPr>
      <w:r w:rsidRPr="00605936">
        <w:t xml:space="preserve">Pharmacodynamics  </w:t>
      </w:r>
    </w:p>
    <w:p w14:paraId="044C6540" w14:textId="77777777" w:rsidR="00605936" w:rsidRPr="00605936" w:rsidRDefault="00605936" w:rsidP="00605936">
      <w:r w:rsidRPr="00605936">
        <w:t xml:space="preserve">Donidalorsen is a 2’-O-methoxyethyl–modified antisense oligonucleotide (ASO) conjugated to a </w:t>
      </w:r>
      <w:proofErr w:type="spellStart"/>
      <w:r w:rsidRPr="00605936">
        <w:t>triantennary</w:t>
      </w:r>
      <w:proofErr w:type="spellEnd"/>
      <w:r w:rsidRPr="00605936">
        <w:t xml:space="preserve"> N-</w:t>
      </w:r>
      <w:proofErr w:type="spellStart"/>
      <w:r w:rsidRPr="00605936">
        <w:t>acetylgalactosamine</w:t>
      </w:r>
      <w:proofErr w:type="spellEnd"/>
      <w:r w:rsidRPr="00605936">
        <w:t xml:space="preserve"> (GalNAc3) moiety that causes ribonuclease H1 (RNase H1) mediated degradation of </w:t>
      </w:r>
      <w:proofErr w:type="spellStart"/>
      <w:r w:rsidRPr="00605936">
        <w:t>prekallikrein</w:t>
      </w:r>
      <w:proofErr w:type="spellEnd"/>
      <w:r w:rsidRPr="00605936">
        <w:t xml:space="preserve"> (PKK) mRNA through selective binding to PKK mRNA, which results in reduced production of PKK protein.  PKK is a pro-enzyme for plasma kallikrein, which results in the release of bradykinin, a potent vasodilator causing swelling and pain in HAE.  In patients with HAE, C1 inhibitor (C1-INH) deficiency or dysfunction leads to excessive plasma kallikrein activity, bradykinin generation, and angioedema attacks.  Donidalorsen lowers PKK concentration, preventing excessive bradykinin production in patients with HAE.</w:t>
      </w:r>
    </w:p>
    <w:p w14:paraId="01D50505" w14:textId="15061B9C" w:rsidR="00605936" w:rsidRPr="00605936" w:rsidRDefault="00605936" w:rsidP="00605936">
      <w:r w:rsidRPr="00605936">
        <w:t xml:space="preserve">The </w:t>
      </w:r>
      <w:r w:rsidR="00E8011D">
        <w:t>p</w:t>
      </w:r>
      <w:r w:rsidR="00E8011D" w:rsidRPr="00E8011D">
        <w:t xml:space="preserve">harmacodynamics </w:t>
      </w:r>
      <w:r w:rsidR="00E8011D">
        <w:t>(</w:t>
      </w:r>
      <w:r w:rsidRPr="00605936">
        <w:t>PD</w:t>
      </w:r>
      <w:r w:rsidR="00E8011D">
        <w:t>)</w:t>
      </w:r>
      <w:r w:rsidRPr="00605936">
        <w:t xml:space="preserve"> of donidalorsen have been adequately characterised.  A lack </w:t>
      </w:r>
      <w:r w:rsidRPr="00FD297D">
        <w:t>of QT</w:t>
      </w:r>
      <w:r w:rsidRPr="00605936">
        <w:t xml:space="preserve"> effect has been demonstrated. The Sponsor has described the concentration response relationships for both donidalorsen plasma concentration and PKK concentration.  These relationships support the proposed dosing regimen of 80 mg q4w, and, in the presence of good HAE control, a reduction in dosing frequency to q8w.</w:t>
      </w:r>
    </w:p>
    <w:p w14:paraId="642E5034" w14:textId="77777777" w:rsidR="00605936" w:rsidRPr="00605936" w:rsidRDefault="00605936" w:rsidP="004D2CC3">
      <w:pPr>
        <w:pStyle w:val="Heading4"/>
      </w:pPr>
      <w:bookmarkStart w:id="53" w:name="_Toc238032175"/>
      <w:r w:rsidRPr="00605936">
        <w:t>Efficacy</w:t>
      </w:r>
      <w:bookmarkEnd w:id="53"/>
    </w:p>
    <w:p w14:paraId="5FC7CE5B" w14:textId="77777777" w:rsidR="00605936" w:rsidRPr="00605936" w:rsidRDefault="00605936" w:rsidP="00605936">
      <w:r w:rsidRPr="00605936">
        <w:t xml:space="preserve">The Sponsor has provided adequate justification of the proposed dosing regimen.  This regimen is supported by the PKPD modelling data and from the results of the pivotal study. Study CS01 examined the dose range of 20 to 80 mg q4w and found there was greater decrease in PKK concentrations with increasing dose. Study CS02 investigated the 80 mg q4w dosing regimen only, in a proof-of-concept study. Study CS05 compared the 80 mg q4w and 80 mg q8w regimens with placebo.  </w:t>
      </w:r>
    </w:p>
    <w:p w14:paraId="2351FE53" w14:textId="09BB15D0" w:rsidR="00605936" w:rsidRPr="00605936" w:rsidRDefault="00743199" w:rsidP="00936370">
      <w:pPr>
        <w:pStyle w:val="Heading5"/>
      </w:pPr>
      <w:r>
        <w:t xml:space="preserve">Pivotal Study: </w:t>
      </w:r>
      <w:r w:rsidR="00605936" w:rsidRPr="00605936">
        <w:t>Study ISIS 721744-CS5 (Study CS05)</w:t>
      </w:r>
    </w:p>
    <w:p w14:paraId="1B966A74" w14:textId="7EA55E4E" w:rsidR="00605936" w:rsidRPr="00605936" w:rsidRDefault="00605936" w:rsidP="00605936">
      <w:r w:rsidRPr="00605936">
        <w:t xml:space="preserve">Study CS05 was a Phase III, randomised, double blind, placebo-controlled study of donidalorsen in participants with HAE.  </w:t>
      </w:r>
      <w:r w:rsidRPr="00605936">
        <w:rPr>
          <w:lang w:val="en-NZ"/>
        </w:rPr>
        <w:t xml:space="preserve">The primary objective of this study was to evaluate the clinical efficacy of donidalorsen in patients with HAE.  </w:t>
      </w:r>
      <w:r w:rsidRPr="00605936">
        <w:t>The study was conducted from 25</w:t>
      </w:r>
      <w:r w:rsidRPr="00605936">
        <w:rPr>
          <w:vertAlign w:val="superscript"/>
        </w:rPr>
        <w:t>th</w:t>
      </w:r>
      <w:r w:rsidRPr="00605936">
        <w:t xml:space="preserve"> January 2022 to 9</w:t>
      </w:r>
      <w:r w:rsidRPr="00605936">
        <w:rPr>
          <w:vertAlign w:val="superscript"/>
        </w:rPr>
        <w:t>th</w:t>
      </w:r>
      <w:r w:rsidRPr="00605936">
        <w:t xml:space="preserve"> November 2023</w:t>
      </w:r>
      <w:r w:rsidR="00154206">
        <w:t>,</w:t>
      </w:r>
      <w:r w:rsidR="00AF61E5">
        <w:t xml:space="preserve"> </w:t>
      </w:r>
      <w:r w:rsidR="00154206">
        <w:t xml:space="preserve">with </w:t>
      </w:r>
      <w:r w:rsidR="00AF61E5">
        <w:t>a</w:t>
      </w:r>
      <w:r w:rsidR="00420FCA" w:rsidRPr="00420FCA">
        <w:t xml:space="preserve"> study treatment period of 24 weeks</w:t>
      </w:r>
      <w:r w:rsidR="00FF4DA7">
        <w:t xml:space="preserve"> (Figure 1)</w:t>
      </w:r>
      <w:r w:rsidR="00AF61E5">
        <w:t>.</w:t>
      </w:r>
    </w:p>
    <w:p w14:paraId="5D6C7BCE" w14:textId="77777777" w:rsidR="00120F3F" w:rsidRDefault="000E0A8D" w:rsidP="00F731F6">
      <w:pPr>
        <w:pStyle w:val="FigureTitle"/>
      </w:pPr>
      <w:r w:rsidRPr="005C3A84">
        <w:lastRenderedPageBreak/>
        <w:t>Figure</w:t>
      </w:r>
      <w:r w:rsidR="00F731F6">
        <w:t xml:space="preserve"> 1.</w:t>
      </w:r>
      <w:r w:rsidRPr="005C3A84">
        <w:t xml:space="preserve"> Study</w:t>
      </w:r>
      <w:r>
        <w:t xml:space="preserve"> Schema</w:t>
      </w:r>
      <w:r w:rsidR="00F731F6">
        <w:t xml:space="preserve"> for</w:t>
      </w:r>
      <w:r w:rsidR="00F731F6" w:rsidRPr="00F731F6">
        <w:t xml:space="preserve"> Study ISIS 721744-CS5 (Study CS05)</w:t>
      </w:r>
    </w:p>
    <w:p w14:paraId="6DB77DB7" w14:textId="424147CE" w:rsidR="00605936" w:rsidRDefault="008435FE" w:rsidP="00120F3F">
      <w:r w:rsidRPr="0087189C">
        <w:rPr>
          <w:noProof/>
        </w:rPr>
        <w:drawing>
          <wp:inline distT="0" distB="0" distL="0" distR="0" wp14:anchorId="2B52FA56" wp14:editId="4870DC3B">
            <wp:extent cx="4521432" cy="4781796"/>
            <wp:effectExtent l="0" t="0" r="0" b="0"/>
            <wp:docPr id="1645657257" name="Picture 1" descr="Figure 1. Study Schema for Study ISIS 721744-CS5 (Study CS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657257" name="Picture 1" descr="Figure 1. Study Schema for Study ISIS 721744-CS5 (Study CS05)"/>
                    <pic:cNvPicPr/>
                  </pic:nvPicPr>
                  <pic:blipFill>
                    <a:blip r:embed="rId21"/>
                    <a:stretch>
                      <a:fillRect/>
                    </a:stretch>
                  </pic:blipFill>
                  <pic:spPr>
                    <a:xfrm>
                      <a:off x="0" y="0"/>
                      <a:ext cx="4521432" cy="4781796"/>
                    </a:xfrm>
                    <a:prstGeom prst="rect">
                      <a:avLst/>
                    </a:prstGeom>
                  </pic:spPr>
                </pic:pic>
              </a:graphicData>
            </a:graphic>
          </wp:inline>
        </w:drawing>
      </w:r>
    </w:p>
    <w:p w14:paraId="13A728D3" w14:textId="2D53EFA1" w:rsidR="002A543A" w:rsidRPr="002A543A" w:rsidRDefault="002A543A" w:rsidP="00632E44">
      <w:pPr>
        <w:rPr>
          <w:b/>
          <w:bCs/>
        </w:rPr>
      </w:pPr>
      <w:r w:rsidRPr="002A543A">
        <w:rPr>
          <w:b/>
          <w:bCs/>
        </w:rPr>
        <w:t>Key inclusion criteria</w:t>
      </w:r>
    </w:p>
    <w:p w14:paraId="64F63BE7" w14:textId="45B03327" w:rsidR="00632E44" w:rsidRPr="00632E44" w:rsidRDefault="00632E44" w:rsidP="00632E44">
      <w:r w:rsidRPr="00632E44">
        <w:t>The key inclusion criteria included:</w:t>
      </w:r>
    </w:p>
    <w:p w14:paraId="5564EC9A" w14:textId="77777777" w:rsidR="00632E44" w:rsidRPr="00632E44" w:rsidRDefault="00632E44" w:rsidP="0024707F">
      <w:pPr>
        <w:pStyle w:val="ListBullet"/>
        <w:rPr>
          <w:lang w:val="en-NZ"/>
        </w:rPr>
      </w:pPr>
      <w:r w:rsidRPr="00632E44">
        <w:rPr>
          <w:lang w:val="en-NZ"/>
        </w:rPr>
        <w:t>Aged ≥12 years.</w:t>
      </w:r>
    </w:p>
    <w:p w14:paraId="1BD5A810" w14:textId="77777777" w:rsidR="00632E44" w:rsidRPr="00632E44" w:rsidRDefault="00632E44" w:rsidP="0024707F">
      <w:pPr>
        <w:pStyle w:val="ListBullet"/>
        <w:rPr>
          <w:lang w:val="en-NZ"/>
        </w:rPr>
      </w:pPr>
      <w:r w:rsidRPr="00632E44">
        <w:rPr>
          <w:lang w:val="en-NZ"/>
        </w:rPr>
        <w:t>A documented diagnosis of HAE-1/HAE-2 based upon ALL the following:</w:t>
      </w:r>
    </w:p>
    <w:p w14:paraId="6E9D38AA" w14:textId="77777777" w:rsidR="00632E44" w:rsidRPr="00632E44" w:rsidRDefault="00632E44" w:rsidP="0024707F">
      <w:pPr>
        <w:pStyle w:val="ListBullet2"/>
        <w:rPr>
          <w:lang w:val="en-NZ"/>
        </w:rPr>
      </w:pPr>
      <w:r w:rsidRPr="00632E44">
        <w:rPr>
          <w:lang w:val="en-NZ"/>
        </w:rPr>
        <w:t>Documented clinical history consistent with HAE (subcutaneous or mucosal, non-pruritic swelling episodes without accompanying urticaria).</w:t>
      </w:r>
    </w:p>
    <w:p w14:paraId="2093BD35" w14:textId="77777777" w:rsidR="00632E44" w:rsidRPr="00632E44" w:rsidRDefault="00632E44" w:rsidP="0024707F">
      <w:pPr>
        <w:pStyle w:val="ListBullet2"/>
        <w:rPr>
          <w:lang w:val="en-NZ"/>
        </w:rPr>
      </w:pPr>
      <w:r w:rsidRPr="00632E44">
        <w:rPr>
          <w:lang w:val="en-NZ"/>
        </w:rPr>
        <w:t>Diagnostic testing results that confirmed HAE-1/HAE-2: C1-INH functional level &lt;40% normal level.  Patients with a functional level of 40% to 50% of normal could be enrolled if their complement factor C4 level was below the lower limit of normal (LLN) or when a known pathogenic mutation in the SERPING1 gene had been demonstrated.</w:t>
      </w:r>
    </w:p>
    <w:p w14:paraId="5ECE6003" w14:textId="77777777" w:rsidR="00632E44" w:rsidRPr="00632E44" w:rsidRDefault="00632E44" w:rsidP="0024707F">
      <w:pPr>
        <w:pStyle w:val="ListBullet2"/>
        <w:rPr>
          <w:lang w:val="en-NZ"/>
        </w:rPr>
      </w:pPr>
      <w:r w:rsidRPr="00632E44">
        <w:rPr>
          <w:lang w:val="en-NZ"/>
        </w:rPr>
        <w:t>At least one of the following: age at reported HAE onset ≤30 years; a family history consistent with HAE-1/HAE-2; or complement component 1q within the normal range.</w:t>
      </w:r>
    </w:p>
    <w:p w14:paraId="2E46310D" w14:textId="77777777" w:rsidR="00632E44" w:rsidRPr="00632E44" w:rsidRDefault="00632E44" w:rsidP="0024707F">
      <w:pPr>
        <w:pStyle w:val="ListBullet"/>
        <w:rPr>
          <w:lang w:val="en-NZ"/>
        </w:rPr>
      </w:pPr>
      <w:r w:rsidRPr="00632E44">
        <w:rPr>
          <w:lang w:val="en-NZ"/>
        </w:rPr>
        <w:t>Patients must have:</w:t>
      </w:r>
    </w:p>
    <w:p w14:paraId="55D49105" w14:textId="77777777" w:rsidR="00632E44" w:rsidRPr="00632E44" w:rsidRDefault="00632E44" w:rsidP="0024707F">
      <w:pPr>
        <w:pStyle w:val="ListBullet2"/>
        <w:rPr>
          <w:lang w:val="en-NZ"/>
        </w:rPr>
      </w:pPr>
      <w:r w:rsidRPr="00632E44">
        <w:rPr>
          <w:lang w:val="en-NZ"/>
        </w:rPr>
        <w:t>Experienced a minimum of 2 HAE attacks (confirmed by the Investigator) during the Screening Period.</w:t>
      </w:r>
    </w:p>
    <w:p w14:paraId="56CC49BA" w14:textId="77777777" w:rsidR="00632E44" w:rsidRPr="00632E44" w:rsidRDefault="00632E44" w:rsidP="0024707F">
      <w:pPr>
        <w:pStyle w:val="ListBullet2"/>
        <w:rPr>
          <w:lang w:val="en-NZ"/>
        </w:rPr>
      </w:pPr>
      <w:r w:rsidRPr="00632E44">
        <w:rPr>
          <w:lang w:val="en-NZ"/>
        </w:rPr>
        <w:t>Been willing to complete the patient reported outcome (PRO) assessments throughout the study.</w:t>
      </w:r>
    </w:p>
    <w:p w14:paraId="76354766" w14:textId="77777777" w:rsidR="00632E44" w:rsidRPr="00632E44" w:rsidRDefault="00632E44" w:rsidP="00632E44">
      <w:r w:rsidRPr="00632E44">
        <w:lastRenderedPageBreak/>
        <w:t>The study treatments were:</w:t>
      </w:r>
    </w:p>
    <w:p w14:paraId="7501044B" w14:textId="77777777" w:rsidR="00632E44" w:rsidRPr="00632E44" w:rsidRDefault="00632E44" w:rsidP="0024707F">
      <w:pPr>
        <w:pStyle w:val="Numberbullet0"/>
      </w:pPr>
      <w:r w:rsidRPr="00632E44">
        <w:t>Donidalorsen 80 mg (0.8 mL of 100 mg/ml) vial, q4w</w:t>
      </w:r>
    </w:p>
    <w:p w14:paraId="430EB558" w14:textId="758F1FF7" w:rsidR="00632E44" w:rsidRPr="00632E44" w:rsidRDefault="00632E44" w:rsidP="0024707F">
      <w:pPr>
        <w:pStyle w:val="Numberbullet0"/>
      </w:pPr>
      <w:r w:rsidRPr="00632E44">
        <w:t>Donidalorsen 80 mg (0.8 mL of 100 mg/ml) vial, q8w</w:t>
      </w:r>
    </w:p>
    <w:p w14:paraId="264FD3CD" w14:textId="35CBD330" w:rsidR="00632E44" w:rsidRPr="00632E44" w:rsidRDefault="00632E44" w:rsidP="0024707F">
      <w:pPr>
        <w:pStyle w:val="Numberbullet0"/>
      </w:pPr>
      <w:r w:rsidRPr="00632E44">
        <w:t>Placebo q4w</w:t>
      </w:r>
      <w:r w:rsidR="006C2F26">
        <w:t xml:space="preserve"> or </w:t>
      </w:r>
      <w:r w:rsidR="007C0EFD">
        <w:t>q8w</w:t>
      </w:r>
    </w:p>
    <w:p w14:paraId="5F7D295A" w14:textId="77777777" w:rsidR="00632E44" w:rsidRPr="00632E44" w:rsidRDefault="00632E44" w:rsidP="00632E44">
      <w:pPr>
        <w:rPr>
          <w:lang w:val="en-NZ"/>
        </w:rPr>
      </w:pPr>
      <w:r w:rsidRPr="00632E44">
        <w:t xml:space="preserve">The primary efficacy outcome measure was the </w:t>
      </w:r>
      <w:r w:rsidRPr="00632E44">
        <w:rPr>
          <w:lang w:val="en-NZ"/>
        </w:rPr>
        <w:t xml:space="preserve">time-normalised number of Investigator-confirmed HAE attacks (per 4 week) from Week 1 to Week 25 compared with the placebo group for the q4w regimen.  </w:t>
      </w:r>
    </w:p>
    <w:p w14:paraId="5B337954" w14:textId="1FD641C8" w:rsidR="002A543A" w:rsidRDefault="00632E44" w:rsidP="00632E44">
      <w:pPr>
        <w:rPr>
          <w:b/>
          <w:bCs/>
          <w:iCs/>
        </w:rPr>
      </w:pPr>
      <w:r w:rsidRPr="002A543A">
        <w:rPr>
          <w:b/>
          <w:bCs/>
          <w:iCs/>
        </w:rPr>
        <w:t>Statistical methods</w:t>
      </w:r>
    </w:p>
    <w:p w14:paraId="5FA83F47" w14:textId="75BFD3F6" w:rsidR="00632E44" w:rsidRPr="00632E44" w:rsidRDefault="00632E44" w:rsidP="00632E44">
      <w:pPr>
        <w:rPr>
          <w:b/>
          <w:bCs/>
          <w:iCs/>
        </w:rPr>
      </w:pPr>
      <w:r w:rsidRPr="00632E44">
        <w:rPr>
          <w:iCs/>
        </w:rPr>
        <w:t>Counts, or rates, were analysed using Poisson regression models.  Categorical outcomes were tested using logistic regression models.  The change in AE-QoL score was tested using a mixed effects model with repeated measures (MMRM).</w:t>
      </w:r>
      <w:r w:rsidRPr="00632E44">
        <w:rPr>
          <w:b/>
          <w:bCs/>
          <w:iCs/>
        </w:rPr>
        <w:t xml:space="preserve"> </w:t>
      </w:r>
      <w:r w:rsidRPr="00632E44">
        <w:rPr>
          <w:iCs/>
        </w:rPr>
        <w:t>Multiplicity was addressed by using a hierarchical ranking strategy in a testing sequence.</w:t>
      </w:r>
    </w:p>
    <w:p w14:paraId="0F05912F" w14:textId="77777777" w:rsidR="002A543A" w:rsidRDefault="00632E44" w:rsidP="00632E44">
      <w:pPr>
        <w:rPr>
          <w:i/>
        </w:rPr>
      </w:pPr>
      <w:r w:rsidRPr="002A543A">
        <w:rPr>
          <w:b/>
          <w:bCs/>
          <w:iCs/>
        </w:rPr>
        <w:t>Participant flow</w:t>
      </w:r>
    </w:p>
    <w:p w14:paraId="549081F9" w14:textId="0047C936" w:rsidR="00632E44" w:rsidRDefault="00632E44" w:rsidP="00632E44">
      <w:r w:rsidRPr="00632E44">
        <w:t>There were 116 patients screened, and 91 were randomised to treatment: 46 to donidalorsen q4w, 23 to donidalorsen q8w, and 22 to placebo.  One patient in the donidalorsen q4w group withdrew prior to receiving treatment.  The number (%) patients completing treatment was 44 (95.7%) in the donidalorsen q4w, 21 (91.3%) in the donidalorsen q8w, and 18 (81.8%) in the placebo.  In total, 83 (95.6%) of patients rolled over to the open-label extension (OLE) study</w:t>
      </w:r>
      <w:r w:rsidR="00FB1879">
        <w:t xml:space="preserve"> (Table 4)</w:t>
      </w:r>
      <w:r w:rsidRPr="00632E44">
        <w:t>.</w:t>
      </w:r>
    </w:p>
    <w:p w14:paraId="35B6AEBF" w14:textId="77777777" w:rsidR="00120F3F" w:rsidRDefault="002A4172" w:rsidP="002A4172">
      <w:pPr>
        <w:pStyle w:val="TableTitle"/>
        <w:rPr>
          <w:bCs/>
          <w:iCs/>
          <w:lang w:val="en-NZ"/>
        </w:rPr>
      </w:pPr>
      <w:r w:rsidRPr="002A4172">
        <w:rPr>
          <w:bCs/>
          <w:iCs/>
          <w:lang w:val="en-NZ"/>
        </w:rPr>
        <w:t>Table 4. Patient Disposition (All Screened Patients).</w:t>
      </w:r>
    </w:p>
    <w:p w14:paraId="6B209A61" w14:textId="7A9809A3" w:rsidR="002A4172" w:rsidRDefault="002A4172" w:rsidP="00120F3F">
      <w:pPr>
        <w:rPr>
          <w:lang w:val="en-NZ"/>
        </w:rPr>
      </w:pPr>
      <w:r w:rsidRPr="002A4172">
        <w:rPr>
          <w:noProof/>
          <w:lang w:val="en-NZ"/>
        </w:rPr>
        <w:drawing>
          <wp:inline distT="0" distB="0" distL="0" distR="0" wp14:anchorId="41347DD1" wp14:editId="4DB73E79">
            <wp:extent cx="5253487" cy="4591869"/>
            <wp:effectExtent l="0" t="0" r="4445" b="0"/>
            <wp:docPr id="1944783901" name="Picture 1" descr="Table 4. Patient Disposition (All Screened Pati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783901" name="Picture 1" descr="Table 4. Patient Disposition (All Screened Patients)."/>
                    <pic:cNvPicPr/>
                  </pic:nvPicPr>
                  <pic:blipFill>
                    <a:blip r:embed="rId22"/>
                    <a:stretch>
                      <a:fillRect/>
                    </a:stretch>
                  </pic:blipFill>
                  <pic:spPr>
                    <a:xfrm>
                      <a:off x="0" y="0"/>
                      <a:ext cx="5280056" cy="4615092"/>
                    </a:xfrm>
                    <a:prstGeom prst="rect">
                      <a:avLst/>
                    </a:prstGeom>
                  </pic:spPr>
                </pic:pic>
              </a:graphicData>
            </a:graphic>
          </wp:inline>
        </w:drawing>
      </w:r>
    </w:p>
    <w:p w14:paraId="4122E6D6" w14:textId="59A94344" w:rsidR="002A4172" w:rsidRDefault="002A4172" w:rsidP="00120F3F">
      <w:pPr>
        <w:pStyle w:val="TableDescription"/>
        <w:rPr>
          <w:b/>
        </w:rPr>
      </w:pPr>
      <w:r w:rsidRPr="002A4172">
        <w:rPr>
          <w:noProof/>
        </w:rPr>
        <w:lastRenderedPageBreak/>
        <w:drawing>
          <wp:inline distT="0" distB="0" distL="0" distR="0" wp14:anchorId="4D866A62" wp14:editId="4696E124">
            <wp:extent cx="5762625" cy="1473617"/>
            <wp:effectExtent l="0" t="0" r="0" b="0"/>
            <wp:docPr id="586771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71926" name=""/>
                    <pic:cNvPicPr/>
                  </pic:nvPicPr>
                  <pic:blipFill>
                    <a:blip r:embed="rId23"/>
                    <a:stretch>
                      <a:fillRect/>
                    </a:stretch>
                  </pic:blipFill>
                  <pic:spPr>
                    <a:xfrm>
                      <a:off x="0" y="0"/>
                      <a:ext cx="5789267" cy="1480430"/>
                    </a:xfrm>
                    <a:prstGeom prst="rect">
                      <a:avLst/>
                    </a:prstGeom>
                  </pic:spPr>
                </pic:pic>
              </a:graphicData>
            </a:graphic>
          </wp:inline>
        </w:drawing>
      </w:r>
    </w:p>
    <w:p w14:paraId="695EC7B0" w14:textId="0B68737B" w:rsidR="00262C9D" w:rsidRPr="00262C9D" w:rsidRDefault="008C7085" w:rsidP="008C7085">
      <w:pPr>
        <w:tabs>
          <w:tab w:val="num" w:pos="3885"/>
        </w:tabs>
        <w:rPr>
          <w:b/>
          <w:bCs/>
          <w:iCs/>
        </w:rPr>
      </w:pPr>
      <w:r w:rsidRPr="00262C9D">
        <w:rPr>
          <w:b/>
          <w:bCs/>
          <w:iCs/>
        </w:rPr>
        <w:t>Baseline data</w:t>
      </w:r>
    </w:p>
    <w:p w14:paraId="6D2DB47D" w14:textId="741F9B41" w:rsidR="008C7085" w:rsidRDefault="008C7085" w:rsidP="008C7085">
      <w:pPr>
        <w:tabs>
          <w:tab w:val="num" w:pos="3885"/>
        </w:tabs>
        <w:rPr>
          <w:lang w:val="en-NZ"/>
        </w:rPr>
      </w:pPr>
      <w:r w:rsidRPr="000E2238">
        <w:t>There were 48 (53.3%) females and 42 (46.7%) males.  The median (range) age was 35.5 (12 to 68) years.  There were seven (7.8%) patents aged 12 to 17 years, and two (2.2%) aged ≥65 years.  There were 82 (19.1%) White patients.  The median (range) BMI was 26.30 (16.0 to 57.4) kg/m</w:t>
      </w:r>
      <w:r w:rsidRPr="000E2238">
        <w:rPr>
          <w:vertAlign w:val="superscript"/>
        </w:rPr>
        <w:t>2</w:t>
      </w:r>
      <w:r w:rsidRPr="000E2238">
        <w:t xml:space="preserve">. </w:t>
      </w:r>
      <w:r>
        <w:t xml:space="preserve"> </w:t>
      </w:r>
      <w:r w:rsidRPr="000E2238">
        <w:t xml:space="preserve">Median (range) C1-INH activity was 26.00 (2.9 to 56.0) %.  There were 84 (93.3%) patients with HAE-I and six (6.7%) with HAE-2.  Median (range) run-in period HAE attack rate was 2.85 (0.5 to 10.0) attacks/4 weeks.  </w:t>
      </w:r>
      <w:r w:rsidRPr="000E2238">
        <w:rPr>
          <w:lang w:val="en-NZ"/>
        </w:rPr>
        <w:t xml:space="preserve">The most common prior medications taken by ≥20% of patients in at least one treatment group by preferred term included medications for use in HAE such as complement C1 esterase inhibitors, </w:t>
      </w:r>
      <w:proofErr w:type="spellStart"/>
      <w:r w:rsidRPr="000E2238">
        <w:rPr>
          <w:lang w:val="en-NZ"/>
        </w:rPr>
        <w:t>icatibant</w:t>
      </w:r>
      <w:proofErr w:type="spellEnd"/>
      <w:r w:rsidRPr="000E2238">
        <w:rPr>
          <w:lang w:val="en-NZ"/>
        </w:rPr>
        <w:t xml:space="preserve"> acetate, </w:t>
      </w:r>
      <w:proofErr w:type="spellStart"/>
      <w:r w:rsidRPr="000E2238">
        <w:rPr>
          <w:lang w:val="en-NZ"/>
        </w:rPr>
        <w:t>icatibant</w:t>
      </w:r>
      <w:proofErr w:type="spellEnd"/>
      <w:r w:rsidRPr="000E2238">
        <w:rPr>
          <w:lang w:val="en-NZ"/>
        </w:rPr>
        <w:t xml:space="preserve"> and paracetamol.</w:t>
      </w:r>
    </w:p>
    <w:p w14:paraId="1969F00B" w14:textId="77777777" w:rsidR="001E4A16" w:rsidRPr="001E4A16" w:rsidRDefault="001E4A16" w:rsidP="001E4A16">
      <w:pPr>
        <w:tabs>
          <w:tab w:val="num" w:pos="3885"/>
        </w:tabs>
        <w:rPr>
          <w:b/>
          <w:bCs/>
          <w:iCs/>
        </w:rPr>
      </w:pPr>
      <w:r w:rsidRPr="001E4A16">
        <w:rPr>
          <w:b/>
          <w:bCs/>
          <w:iCs/>
        </w:rPr>
        <w:t>Results for the primary efficacy outcome</w:t>
      </w:r>
    </w:p>
    <w:p w14:paraId="102AA2E0" w14:textId="77777777" w:rsidR="001E4A16" w:rsidRPr="001E4A16" w:rsidRDefault="001E4A16" w:rsidP="001E4A16">
      <w:pPr>
        <w:tabs>
          <w:tab w:val="num" w:pos="3885"/>
        </w:tabs>
        <w:rPr>
          <w:iCs/>
        </w:rPr>
      </w:pPr>
      <w:r w:rsidRPr="001E4A16">
        <w:rPr>
          <w:iCs/>
        </w:rPr>
        <w:t>By the primary efficacy outcome measure, donidalorsen 80 mg q4w was superior to placebo.  The mean (SD) time-normalised HAE attack rate from Week 1 to Week 25 was 0.89 (1.851) for donidalorsen 80 mg q4w and 2.29 (1.807) for placebo; mean rate ratio (95% CI) 0.19 (0.107 to 0.351); % difference relative to placebo (95% CI) -81 (-89.3 to -64.9) %, p &lt;0.001 (Table 5).</w:t>
      </w:r>
    </w:p>
    <w:p w14:paraId="38C54D45" w14:textId="77777777" w:rsidR="00120F3F" w:rsidRDefault="001E4A16" w:rsidP="001E4A16">
      <w:pPr>
        <w:pStyle w:val="TableTitle"/>
        <w:rPr>
          <w:lang w:val="en-NZ"/>
        </w:rPr>
      </w:pPr>
      <w:r w:rsidRPr="001E4A16">
        <w:t xml:space="preserve">Table 5. </w:t>
      </w:r>
      <w:r w:rsidRPr="001E4A16">
        <w:rPr>
          <w:lang w:val="en-NZ"/>
        </w:rPr>
        <w:t>Analyses of Time-Normalized Investigator-Confirmed HAE Attack Rate (Per</w:t>
      </w:r>
      <w:r w:rsidRPr="001E4A16">
        <w:t xml:space="preserve"> </w:t>
      </w:r>
      <w:r w:rsidRPr="001E4A16">
        <w:rPr>
          <w:lang w:val="en-NZ"/>
        </w:rPr>
        <w:t>4 Weeks) from Week 1 to Week 25 for the Donidalorsen-4 Group (Full</w:t>
      </w:r>
      <w:r w:rsidRPr="001E4A16">
        <w:t xml:space="preserve"> </w:t>
      </w:r>
      <w:r w:rsidRPr="001E4A16">
        <w:rPr>
          <w:lang w:val="en-NZ"/>
        </w:rPr>
        <w:t>Analysis Set).</w:t>
      </w:r>
    </w:p>
    <w:p w14:paraId="067406DC" w14:textId="01D08D31" w:rsidR="00C11700" w:rsidRDefault="00C11700" w:rsidP="00120F3F">
      <w:pPr>
        <w:rPr>
          <w:lang w:val="en-NZ"/>
        </w:rPr>
      </w:pPr>
      <w:r w:rsidRPr="006836FD">
        <w:rPr>
          <w:noProof/>
        </w:rPr>
        <w:drawing>
          <wp:inline distT="0" distB="0" distL="0" distR="0" wp14:anchorId="007C018D" wp14:editId="2A8D1FFC">
            <wp:extent cx="5829300" cy="3071438"/>
            <wp:effectExtent l="0" t="0" r="0" b="0"/>
            <wp:docPr id="1521193351" name="Picture 1" descr="Table 5. Analyses of Time-Normalized Investigator-Confirmed HAE Attack Rate (Per 4 Weeks) from Week 1 to Week 25 for the Donidalorsen-4 Group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193351" name="Picture 1" descr="Table 5. Analyses of Time-Normalized Investigator-Confirmed HAE Attack Rate (Per 4 Weeks) from Week 1 to Week 25 for the Donidalorsen-4 Group (Full Analysis Set)."/>
                    <pic:cNvPicPr/>
                  </pic:nvPicPr>
                  <pic:blipFill>
                    <a:blip r:embed="rId24"/>
                    <a:stretch>
                      <a:fillRect/>
                    </a:stretch>
                  </pic:blipFill>
                  <pic:spPr>
                    <a:xfrm>
                      <a:off x="0" y="0"/>
                      <a:ext cx="5837165" cy="3075582"/>
                    </a:xfrm>
                    <a:prstGeom prst="rect">
                      <a:avLst/>
                    </a:prstGeom>
                  </pic:spPr>
                </pic:pic>
              </a:graphicData>
            </a:graphic>
          </wp:inline>
        </w:drawing>
      </w:r>
    </w:p>
    <w:p w14:paraId="326FFA1D" w14:textId="6919825E" w:rsidR="001E4A16" w:rsidRPr="000E2238" w:rsidRDefault="001E4A16" w:rsidP="001E4A16">
      <w:pPr>
        <w:pStyle w:val="TableTitle"/>
        <w:rPr>
          <w:b w:val="0"/>
          <w:bCs/>
          <w:i/>
        </w:rPr>
      </w:pPr>
      <w:r w:rsidRPr="00C93A6B">
        <w:rPr>
          <w:noProof/>
        </w:rPr>
        <w:lastRenderedPageBreak/>
        <w:drawing>
          <wp:inline distT="0" distB="0" distL="0" distR="0" wp14:anchorId="725EF19B" wp14:editId="2F41FB5E">
            <wp:extent cx="6089650" cy="2095500"/>
            <wp:effectExtent l="0" t="0" r="6350" b="0"/>
            <wp:docPr id="3895897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89771" name=""/>
                    <pic:cNvPicPr/>
                  </pic:nvPicPr>
                  <pic:blipFill>
                    <a:blip r:embed="rId25"/>
                    <a:stretch>
                      <a:fillRect/>
                    </a:stretch>
                  </pic:blipFill>
                  <pic:spPr>
                    <a:xfrm>
                      <a:off x="0" y="0"/>
                      <a:ext cx="6093044" cy="2096668"/>
                    </a:xfrm>
                    <a:prstGeom prst="rect">
                      <a:avLst/>
                    </a:prstGeom>
                  </pic:spPr>
                </pic:pic>
              </a:graphicData>
            </a:graphic>
          </wp:inline>
        </w:drawing>
      </w:r>
    </w:p>
    <w:p w14:paraId="2A04BE31" w14:textId="08E0C86D" w:rsidR="00046A7F" w:rsidRPr="00046A7F" w:rsidRDefault="00046A7F" w:rsidP="00046A7F">
      <w:r w:rsidRPr="00046A7F">
        <w:t>The benefit was apparent from Week 5, but maximal from Week 9 to Week 25</w:t>
      </w:r>
      <w:r w:rsidR="00287A03">
        <w:t xml:space="preserve"> (Figure 2)</w:t>
      </w:r>
      <w:r w:rsidRPr="00046A7F">
        <w:t>.</w:t>
      </w:r>
    </w:p>
    <w:p w14:paraId="13012DE7" w14:textId="169971A0" w:rsidR="00046A7F" w:rsidRDefault="00046A7F" w:rsidP="00C058BB">
      <w:pPr>
        <w:pStyle w:val="FigureTitle"/>
      </w:pPr>
      <w:r w:rsidRPr="00046A7F">
        <w:t>Figure</w:t>
      </w:r>
      <w:r w:rsidR="00C058BB">
        <w:t xml:space="preserve"> 2.</w:t>
      </w:r>
      <w:r w:rsidRPr="00046A7F">
        <w:t xml:space="preserve"> </w:t>
      </w:r>
      <w:r w:rsidRPr="00046A7F">
        <w:rPr>
          <w:lang w:val="en-NZ"/>
        </w:rPr>
        <w:t>Percent Change from Baseline Mean (± SEM) of Investigator-Confirmed HAE Attack Rate (Per 4 Weeks) over</w:t>
      </w:r>
      <w:r w:rsidRPr="00046A7F">
        <w:t xml:space="preserve"> </w:t>
      </w:r>
      <w:r w:rsidRPr="00046A7F">
        <w:rPr>
          <w:lang w:val="en-NZ"/>
        </w:rPr>
        <w:t>Successive 4-Week Periods from Week 1 to Week 25 (Full Analysis Set)</w:t>
      </w:r>
      <w:r w:rsidR="00C058BB">
        <w:t>.</w:t>
      </w:r>
    </w:p>
    <w:p w14:paraId="7C0836A0" w14:textId="378C5481" w:rsidR="00107657" w:rsidRPr="00046A7F" w:rsidRDefault="00E1294A" w:rsidP="00120F3F">
      <w:pPr>
        <w:pStyle w:val="FigureDescription"/>
      </w:pPr>
      <w:r w:rsidRPr="00E1294A">
        <w:rPr>
          <w:noProof/>
        </w:rPr>
        <w:drawing>
          <wp:inline distT="0" distB="0" distL="0" distR="0" wp14:anchorId="21F1C41F" wp14:editId="142124C4">
            <wp:extent cx="5872351" cy="2647950"/>
            <wp:effectExtent l="0" t="0" r="0" b="0"/>
            <wp:docPr id="1169745338" name="Picture 1" descr="Figure 2. Percent Change from Baseline Mean (± SEM) of Investigator-Confirmed HAE Attack Rate (Per 4 Weeks) over Successive 4-Week Periods from Week 1 to Week 25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45338" name="Picture 1" descr="Figure 2. Percent Change from Baseline Mean (± SEM) of Investigator-Confirmed HAE Attack Rate (Per 4 Weeks) over Successive 4-Week Periods from Week 1 to Week 25 (Full Analysis Set)."/>
                    <pic:cNvPicPr/>
                  </pic:nvPicPr>
                  <pic:blipFill>
                    <a:blip r:embed="rId26"/>
                    <a:stretch>
                      <a:fillRect/>
                    </a:stretch>
                  </pic:blipFill>
                  <pic:spPr>
                    <a:xfrm>
                      <a:off x="0" y="0"/>
                      <a:ext cx="5904160" cy="2662293"/>
                    </a:xfrm>
                    <a:prstGeom prst="rect">
                      <a:avLst/>
                    </a:prstGeom>
                  </pic:spPr>
                </pic:pic>
              </a:graphicData>
            </a:graphic>
          </wp:inline>
        </w:drawing>
      </w:r>
      <w:r w:rsidR="00107657" w:rsidRPr="00107657">
        <w:rPr>
          <w:noProof/>
        </w:rPr>
        <w:drawing>
          <wp:inline distT="0" distB="0" distL="0" distR="0" wp14:anchorId="34589D48" wp14:editId="7A28AD18">
            <wp:extent cx="5836243" cy="1264285"/>
            <wp:effectExtent l="0" t="0" r="0" b="0"/>
            <wp:docPr id="1056818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818406" name=""/>
                    <pic:cNvPicPr/>
                  </pic:nvPicPr>
                  <pic:blipFill>
                    <a:blip r:embed="rId27"/>
                    <a:stretch>
                      <a:fillRect/>
                    </a:stretch>
                  </pic:blipFill>
                  <pic:spPr>
                    <a:xfrm>
                      <a:off x="0" y="0"/>
                      <a:ext cx="5873700" cy="1272399"/>
                    </a:xfrm>
                    <a:prstGeom prst="rect">
                      <a:avLst/>
                    </a:prstGeom>
                  </pic:spPr>
                </pic:pic>
              </a:graphicData>
            </a:graphic>
          </wp:inline>
        </w:drawing>
      </w:r>
    </w:p>
    <w:p w14:paraId="77C90909" w14:textId="70BDC808" w:rsidR="003A4A68" w:rsidRDefault="003A4A68" w:rsidP="003A4A68">
      <w:r w:rsidRPr="00F0313A">
        <w:t>There were no significant subgroup effects</w:t>
      </w:r>
      <w:r w:rsidR="003E141B">
        <w:t xml:space="preserve"> (Table 6)</w:t>
      </w:r>
      <w:r w:rsidRPr="00F0313A">
        <w:t>.</w:t>
      </w:r>
    </w:p>
    <w:p w14:paraId="766C8717" w14:textId="46E6F582" w:rsidR="003A4A68" w:rsidRDefault="003A4A68" w:rsidP="004E2BD1">
      <w:pPr>
        <w:pStyle w:val="TableTitle"/>
      </w:pPr>
      <w:r w:rsidRPr="002658E5">
        <w:lastRenderedPageBreak/>
        <w:t>Table</w:t>
      </w:r>
      <w:r w:rsidR="00A516E6">
        <w:t xml:space="preserve"> 6.</w:t>
      </w:r>
      <w:r w:rsidRPr="00BB51DB">
        <w:t xml:space="preserve"> Results of primary and secondary efficacy endpoints (full analysis set)</w:t>
      </w:r>
      <w:r w:rsidR="00A516E6">
        <w:t>.</w:t>
      </w:r>
    </w:p>
    <w:p w14:paraId="53002526" w14:textId="541D51D0" w:rsidR="00EC6A53" w:rsidRDefault="00B95DE4" w:rsidP="00605936">
      <w:r w:rsidRPr="007A5F6B">
        <w:rPr>
          <w:noProof/>
        </w:rPr>
        <w:drawing>
          <wp:inline distT="0" distB="0" distL="0" distR="0" wp14:anchorId="333DC6D9" wp14:editId="6DBA05E8">
            <wp:extent cx="5686425" cy="3568700"/>
            <wp:effectExtent l="0" t="0" r="9525" b="0"/>
            <wp:docPr id="244803120" name="Picture 1" descr="Table 6. Results of primary and secondary efficacy endpoints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803120" name="Picture 1" descr="Table 6. Results of primary and secondary efficacy endpoints (full analysis set)."/>
                    <pic:cNvPicPr/>
                  </pic:nvPicPr>
                  <pic:blipFill>
                    <a:blip r:embed="rId28"/>
                    <a:stretch>
                      <a:fillRect/>
                    </a:stretch>
                  </pic:blipFill>
                  <pic:spPr>
                    <a:xfrm>
                      <a:off x="0" y="0"/>
                      <a:ext cx="5686718" cy="3568884"/>
                    </a:xfrm>
                    <a:prstGeom prst="rect">
                      <a:avLst/>
                    </a:prstGeom>
                  </pic:spPr>
                </pic:pic>
              </a:graphicData>
            </a:graphic>
          </wp:inline>
        </w:drawing>
      </w:r>
      <w:r w:rsidR="00196698" w:rsidRPr="0063295F">
        <w:rPr>
          <w:noProof/>
        </w:rPr>
        <w:drawing>
          <wp:inline distT="0" distB="0" distL="0" distR="0" wp14:anchorId="2D576D95" wp14:editId="01098BD5">
            <wp:extent cx="5686425" cy="2768599"/>
            <wp:effectExtent l="0" t="0" r="0" b="0"/>
            <wp:docPr id="2128274788" name="Picture 1" descr="Table 6. Results of primary and secondary efficacy endpoints (full analysis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274788" name="Picture 1" descr="Table 6. Results of primary and secondary efficacy endpoints (full analysis set)."/>
                    <pic:cNvPicPr/>
                  </pic:nvPicPr>
                  <pic:blipFill>
                    <a:blip r:embed="rId29"/>
                    <a:stretch>
                      <a:fillRect/>
                    </a:stretch>
                  </pic:blipFill>
                  <pic:spPr>
                    <a:xfrm>
                      <a:off x="0" y="0"/>
                      <a:ext cx="5702367" cy="2776361"/>
                    </a:xfrm>
                    <a:prstGeom prst="rect">
                      <a:avLst/>
                    </a:prstGeom>
                  </pic:spPr>
                </pic:pic>
              </a:graphicData>
            </a:graphic>
          </wp:inline>
        </w:drawing>
      </w:r>
    </w:p>
    <w:p w14:paraId="5517B8CF" w14:textId="7A9A4145" w:rsidR="001B4D4C" w:rsidRPr="001B4D4C" w:rsidRDefault="001B4D4C" w:rsidP="001B4D4C">
      <w:pPr>
        <w:pStyle w:val="Heading5"/>
      </w:pPr>
      <w:bookmarkStart w:id="54" w:name="_Toc290888504"/>
      <w:bookmarkStart w:id="55" w:name="_Toc416353720"/>
      <w:r w:rsidRPr="001B4D4C">
        <w:t>Other efficacy studies</w:t>
      </w:r>
    </w:p>
    <w:p w14:paraId="6E7056D2" w14:textId="1957B717" w:rsidR="002B3F0F" w:rsidRDefault="002B3F0F" w:rsidP="001B4D4C">
      <w:pPr>
        <w:pStyle w:val="Heading6"/>
      </w:pPr>
      <w:r w:rsidRPr="00463E0F">
        <w:t>Study</w:t>
      </w:r>
      <w:bookmarkEnd w:id="54"/>
      <w:r w:rsidRPr="00463E0F">
        <w:t xml:space="preserve"> ISIS 721744-CS2 (Study CS02)</w:t>
      </w:r>
      <w:bookmarkEnd w:id="55"/>
    </w:p>
    <w:p w14:paraId="66BFA0AF" w14:textId="77777777" w:rsidR="002B3F0F" w:rsidRPr="00E15258" w:rsidRDefault="002B3F0F" w:rsidP="002B3F0F">
      <w:pPr>
        <w:spacing w:after="0"/>
      </w:pPr>
      <w:r w:rsidRPr="00E15258">
        <w:t>Study CS02 was a Phase II study to assess clinical efficacy of donidalorsen conducted in two parts:</w:t>
      </w:r>
    </w:p>
    <w:p w14:paraId="60845714" w14:textId="77777777" w:rsidR="002B3F0F" w:rsidRPr="00E15258" w:rsidRDefault="002B3F0F" w:rsidP="00C07FE7">
      <w:pPr>
        <w:pStyle w:val="ListBullet"/>
      </w:pPr>
      <w:r w:rsidRPr="00E15258">
        <w:t>Part A: a randomised, double-blind, placebo-controlled study in participants with either HAE Type I (HAE-1) or Type 2 (HAE-2).</w:t>
      </w:r>
    </w:p>
    <w:p w14:paraId="500D7D9F" w14:textId="77777777" w:rsidR="002B3F0F" w:rsidRDefault="002B3F0F" w:rsidP="00C07FE7">
      <w:pPr>
        <w:pStyle w:val="ListBullet"/>
      </w:pPr>
      <w:r w:rsidRPr="00E15258">
        <w:t>Part B: an open-label study in participants with HAE with normal C1-inhibitor (nC1-INH-HAE).</w:t>
      </w:r>
    </w:p>
    <w:p w14:paraId="3099110F" w14:textId="77777777" w:rsidR="002B3F0F" w:rsidRPr="00E15258" w:rsidRDefault="002B3F0F" w:rsidP="002B3F0F">
      <w:r w:rsidRPr="009B2661">
        <w:t xml:space="preserve">Study CS02 is supportive of efficacy for the 80 mg q4w regimen, and in a small sample size demonstrated superiority for donidalorsen compared to placebo.  The mean (95% CI) number of </w:t>
      </w:r>
      <w:r w:rsidRPr="009B2661">
        <w:lastRenderedPageBreak/>
        <w:t>confirmed HAE attacks in the treatment period was 0.23 (0.08 to 0.39) for donidalorsen and 2.21 (0.58 to 3.85) for placebo, rate ratio (95% CI) 0.10 (0.04 to 0.24)</w:t>
      </w:r>
      <w:r>
        <w:t>.</w:t>
      </w:r>
    </w:p>
    <w:p w14:paraId="7B302D2F" w14:textId="77777777" w:rsidR="002B3F0F" w:rsidRPr="00463E0F" w:rsidRDefault="002B3F0F" w:rsidP="007C0AB0">
      <w:pPr>
        <w:pStyle w:val="Heading6"/>
      </w:pPr>
      <w:r w:rsidRPr="005B199A">
        <w:t>Study ISIS 721744-CS3 (Study CS03)</w:t>
      </w:r>
    </w:p>
    <w:p w14:paraId="024261E2" w14:textId="144C8909" w:rsidR="002B3F0F" w:rsidRDefault="002B3F0F" w:rsidP="002B3F0F">
      <w:r w:rsidRPr="00D876FD">
        <w:t>Study CS03 was an OLE study of Study CS02.  The treatment regimen was donidalorsen 80 mg q4w, with a step down to 80 mg q8w if attack free for ≥12 weeks, or a step up to 100 mg q4w of not attack-free at the start of the open label extension.</w:t>
      </w:r>
    </w:p>
    <w:p w14:paraId="47B1CDAE" w14:textId="24A3398A" w:rsidR="002B3F0F" w:rsidRDefault="002B3F0F" w:rsidP="002B3F0F">
      <w:r w:rsidRPr="00193356">
        <w:t>Study CS03</w:t>
      </w:r>
      <w:r w:rsidR="007532D3">
        <w:t xml:space="preserve"> </w:t>
      </w:r>
      <w:r w:rsidRPr="00193356">
        <w:t xml:space="preserve">demonstrated preservation of efficacy, using the proposed dosing regimen, for up to 3 years.  </w:t>
      </w:r>
    </w:p>
    <w:p w14:paraId="0B2C56FF" w14:textId="77777777" w:rsidR="002B3F0F" w:rsidRPr="002A4DF6" w:rsidRDefault="002B3F0F" w:rsidP="007C0AB0">
      <w:pPr>
        <w:pStyle w:val="Heading6"/>
      </w:pPr>
      <w:r w:rsidRPr="002A4DF6">
        <w:t>Study ISIS 721744-CS7 (Study CS07)</w:t>
      </w:r>
    </w:p>
    <w:p w14:paraId="3F122364" w14:textId="23F558D2" w:rsidR="002B3F0F" w:rsidRDefault="002B3F0F" w:rsidP="002B3F0F">
      <w:r w:rsidRPr="00F54DE9">
        <w:t>Study CS07 was an OLE of Study CS05.  The study commenced on 14 July 2022 and is ongoing, with a data cutoff for the present report of 10 April 2024.  The study also included patients not previously enrolled in a donidalorsen study who had switched over from other treatments (switch patients).</w:t>
      </w:r>
    </w:p>
    <w:p w14:paraId="35E49A5B" w14:textId="77777777" w:rsidR="002B3F0F" w:rsidRPr="00076AB7" w:rsidRDefault="002B3F0F" w:rsidP="002B3F0F">
      <w:r w:rsidRPr="00076AB7">
        <w:t>Study CS07</w:t>
      </w:r>
      <w:r>
        <w:t xml:space="preserve"> </w:t>
      </w:r>
      <w:r w:rsidRPr="00076AB7">
        <w:t xml:space="preserve">demonstrated preservation of effect over a one-year period and that patients switching from other treatments benefited from donidalorsen.  </w:t>
      </w:r>
      <w:r w:rsidRPr="00076AB7">
        <w:rPr>
          <w:lang w:val="en-NZ"/>
        </w:rPr>
        <w:t xml:space="preserve">For the Switch patients, the mean (SD) time-normalized Investigator confirmed HAE attack rate (per 4 weeks) from Week 1 to Week 53 was 0.30 (0.46); mean % change (95% CI) -66.12 (-79.69 to -52.55) %; mean (95% CI) percent -51.05 (-78.77 to -23.32%) %, -76.47 (-93.38% to -59.56) %, and -78.20 (-97.31 to -59.09) % for the prior </w:t>
      </w:r>
      <w:proofErr w:type="spellStart"/>
      <w:r w:rsidRPr="00076AB7">
        <w:rPr>
          <w:lang w:val="en-NZ"/>
        </w:rPr>
        <w:t>lanadelumab</w:t>
      </w:r>
      <w:proofErr w:type="spellEnd"/>
      <w:r w:rsidRPr="00076AB7">
        <w:rPr>
          <w:lang w:val="en-NZ"/>
        </w:rPr>
        <w:t xml:space="preserve">, prior </w:t>
      </w:r>
      <w:proofErr w:type="spellStart"/>
      <w:r w:rsidRPr="00076AB7">
        <w:rPr>
          <w:lang w:val="en-NZ"/>
        </w:rPr>
        <w:t>berotralstat</w:t>
      </w:r>
      <w:proofErr w:type="spellEnd"/>
      <w:r w:rsidRPr="00076AB7">
        <w:rPr>
          <w:lang w:val="en-NZ"/>
        </w:rPr>
        <w:t>, and prior C1-esterase inhibitors groups, respectively.</w:t>
      </w:r>
    </w:p>
    <w:p w14:paraId="1E026589" w14:textId="77777777" w:rsidR="002B3F0F" w:rsidRDefault="002B3F0F" w:rsidP="002B3F0F">
      <w:pPr>
        <w:pStyle w:val="Heading4"/>
      </w:pPr>
      <w:bookmarkStart w:id="56" w:name="_Toc238032176"/>
      <w:r w:rsidRPr="00AA53F4">
        <w:t>Safety</w:t>
      </w:r>
      <w:bookmarkEnd w:id="56"/>
    </w:p>
    <w:p w14:paraId="5CFDEF64" w14:textId="73BC4968" w:rsidR="002B3F0F" w:rsidRDefault="002B3F0F" w:rsidP="002B3F0F">
      <w:r w:rsidRPr="00B00747">
        <w:t>Donidalorsen has a favourable safety profile.  Overall, the rate of TEAEs was similar for donidalorsen and placebo, but with more treatment related injection site TEAEs in the donidalorsen group</w:t>
      </w:r>
      <w:r w:rsidR="004921B8">
        <w:t xml:space="preserve"> (Table 7)</w:t>
      </w:r>
      <w:r w:rsidRPr="00B00747">
        <w:t>.</w:t>
      </w:r>
    </w:p>
    <w:p w14:paraId="14D5B921" w14:textId="079B7366" w:rsidR="002B3F0F" w:rsidRDefault="002B3F0F" w:rsidP="00881AEF">
      <w:pPr>
        <w:pStyle w:val="TableTitle"/>
      </w:pPr>
      <w:r>
        <w:lastRenderedPageBreak/>
        <w:t>Table</w:t>
      </w:r>
      <w:r w:rsidR="00881AEF">
        <w:t xml:space="preserve"> 7.</w:t>
      </w:r>
      <w:r>
        <w:t xml:space="preserve"> </w:t>
      </w:r>
      <w:r w:rsidRPr="00EC530F">
        <w:rPr>
          <w:lang w:val="en-NZ"/>
        </w:rPr>
        <w:t>Treatment-Emergent Adverse Events in &gt; 5% of Patients in Any Treatment</w:t>
      </w:r>
      <w:r w:rsidRPr="00EC530F">
        <w:t xml:space="preserve"> </w:t>
      </w:r>
      <w:r w:rsidRPr="00EC530F">
        <w:rPr>
          <w:lang w:val="en-NZ"/>
        </w:rPr>
        <w:t>Group by Preferred Term (Safety Set)</w:t>
      </w:r>
      <w:r w:rsidR="00881AEF">
        <w:t>.</w:t>
      </w:r>
    </w:p>
    <w:p w14:paraId="662BECBF" w14:textId="5FA794D1" w:rsidR="002B3F0F" w:rsidRDefault="00EF70F0" w:rsidP="00120F3F">
      <w:pPr>
        <w:pStyle w:val="TableDescription"/>
      </w:pPr>
      <w:r w:rsidRPr="00EF70F0">
        <w:rPr>
          <w:noProof/>
        </w:rPr>
        <w:drawing>
          <wp:inline distT="0" distB="0" distL="0" distR="0" wp14:anchorId="3EDAB8F8" wp14:editId="1565A14C">
            <wp:extent cx="5724525" cy="4114800"/>
            <wp:effectExtent l="0" t="0" r="9525" b="0"/>
            <wp:docPr id="1057197469" name="Picture 1" descr="Table 7. Treatment-Emergent Adverse Events in &gt; 5% of Patients in Any Treatment Group by Preferred Term (Safety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197469" name="Picture 1" descr="Table 7. Treatment-Emergent Adverse Events in &gt; 5% of Patients in Any Treatment Group by Preferred Term (Safety Set)."/>
                    <pic:cNvPicPr/>
                  </pic:nvPicPr>
                  <pic:blipFill>
                    <a:blip r:embed="rId30"/>
                    <a:stretch>
                      <a:fillRect/>
                    </a:stretch>
                  </pic:blipFill>
                  <pic:spPr>
                    <a:xfrm>
                      <a:off x="0" y="0"/>
                      <a:ext cx="5725346" cy="4115390"/>
                    </a:xfrm>
                    <a:prstGeom prst="rect">
                      <a:avLst/>
                    </a:prstGeom>
                  </pic:spPr>
                </pic:pic>
              </a:graphicData>
            </a:graphic>
          </wp:inline>
        </w:drawing>
      </w:r>
      <w:r w:rsidR="00D013BE" w:rsidRPr="00D013BE">
        <w:rPr>
          <w:noProof/>
        </w:rPr>
        <w:drawing>
          <wp:inline distT="0" distB="0" distL="0" distR="0" wp14:anchorId="0366955E" wp14:editId="117CE04A">
            <wp:extent cx="5696745" cy="685896"/>
            <wp:effectExtent l="0" t="0" r="0" b="0"/>
            <wp:docPr id="1942612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612317" name=""/>
                    <pic:cNvPicPr/>
                  </pic:nvPicPr>
                  <pic:blipFill>
                    <a:blip r:embed="rId31"/>
                    <a:stretch>
                      <a:fillRect/>
                    </a:stretch>
                  </pic:blipFill>
                  <pic:spPr>
                    <a:xfrm>
                      <a:off x="0" y="0"/>
                      <a:ext cx="5696745" cy="685896"/>
                    </a:xfrm>
                    <a:prstGeom prst="rect">
                      <a:avLst/>
                    </a:prstGeom>
                  </pic:spPr>
                </pic:pic>
              </a:graphicData>
            </a:graphic>
          </wp:inline>
        </w:drawing>
      </w:r>
    </w:p>
    <w:p w14:paraId="3E263959" w14:textId="77777777" w:rsidR="002B3F0F" w:rsidRPr="00C65263" w:rsidRDefault="002B3F0F" w:rsidP="002B3F0F">
      <w:r w:rsidRPr="00C65263">
        <w:t>In the pooled analysis of Study CS05 and Study CS02, TEAEs were reported in 70.6% patients in the donidalorsen group and 81.8% in the placebo.  The pattern of TEAEs was similar except for an increased rate of injection site erythema (9.4% patients in the donidalorsen group and none in the placebo) and urinary tract infection (8.2% patients in the donidalorsen group and none in the placebo).</w:t>
      </w:r>
    </w:p>
    <w:p w14:paraId="5B72DCA1" w14:textId="02269760" w:rsidR="002B3F0F" w:rsidRPr="004E4C06" w:rsidRDefault="002B3F0F" w:rsidP="002B3F0F">
      <w:r w:rsidRPr="004E4C06">
        <w:t>In the pooled analysis of Study CS05</w:t>
      </w:r>
      <w:r>
        <w:t xml:space="preserve"> </w:t>
      </w:r>
      <w:r w:rsidRPr="004E4C06">
        <w:t>and Study CS02</w:t>
      </w:r>
      <w:r w:rsidR="00523C03">
        <w:t>,</w:t>
      </w:r>
      <w:r>
        <w:t xml:space="preserve"> </w:t>
      </w:r>
      <w:r w:rsidRPr="004E4C06">
        <w:t xml:space="preserve">TEAEs related to study treatment were reported in 32.9% patients in the donidalorsen group and 27.3% in the placebo.  The </w:t>
      </w:r>
      <w:proofErr w:type="gramStart"/>
      <w:r w:rsidRPr="004E4C06">
        <w:t>most commonly reported</w:t>
      </w:r>
      <w:proofErr w:type="gramEnd"/>
      <w:r w:rsidRPr="004E4C06">
        <w:t xml:space="preserve"> TEAEs related to </w:t>
      </w:r>
      <w:r w:rsidR="009F0ADA">
        <w:t xml:space="preserve">the </w:t>
      </w:r>
      <w:r w:rsidRPr="004E4C06">
        <w:t>study treatment in the donidalorsen group were injection site erythema in 9.4% patients, injection site discolouration in 5.9%, headache in 4.7%, injection site pain in 3.5% and injection site pruritus in 3.5%.</w:t>
      </w:r>
    </w:p>
    <w:p w14:paraId="6086E966" w14:textId="77777777" w:rsidR="002B3F0F" w:rsidRPr="00A07283" w:rsidRDefault="002B3F0F" w:rsidP="002B3F0F">
      <w:r w:rsidRPr="00A07283">
        <w:t>No deaths were reported in the study reports, but after database lock in Study CS07 one patient died by suicide.  In the pooled analysis of Study CS05</w:t>
      </w:r>
      <w:r>
        <w:t xml:space="preserve"> </w:t>
      </w:r>
      <w:r w:rsidRPr="00A07283">
        <w:t>and Study CS02</w:t>
      </w:r>
      <w:r>
        <w:t xml:space="preserve">. </w:t>
      </w:r>
      <w:r w:rsidRPr="00A07283">
        <w:t>SAEs were reported in six (3.5%) patients in the donidalorsen group and one (3.6%) in the placebo.  There were no SAEs related to study treatment.</w:t>
      </w:r>
    </w:p>
    <w:p w14:paraId="32B4D0E3" w14:textId="77777777" w:rsidR="002B3F0F" w:rsidRPr="00D11511" w:rsidRDefault="002B3F0F" w:rsidP="002B3F0F">
      <w:r w:rsidRPr="00D11511">
        <w:t>There were no safety concerns with clinical laboratory tests, vital signs or ECGs.</w:t>
      </w:r>
    </w:p>
    <w:p w14:paraId="120C21F6" w14:textId="77777777" w:rsidR="00EC6A53" w:rsidRDefault="00EC6A53" w:rsidP="00605936"/>
    <w:p w14:paraId="2858B006" w14:textId="77777777" w:rsidR="00C22214" w:rsidRDefault="00C22214" w:rsidP="00C22214">
      <w:pPr>
        <w:pStyle w:val="Heading3"/>
        <w:rPr>
          <w:lang w:eastAsia="en-AU"/>
        </w:rPr>
      </w:pPr>
      <w:bookmarkStart w:id="57" w:name="_Toc314842514"/>
      <w:bookmarkStart w:id="58" w:name="_Toc103679298"/>
      <w:bookmarkStart w:id="59" w:name="_Toc238032177"/>
      <w:r>
        <w:rPr>
          <w:lang w:eastAsia="en-AU"/>
        </w:rPr>
        <w:lastRenderedPageBreak/>
        <w:t>Risk management plan</w:t>
      </w:r>
      <w:bookmarkEnd w:id="57"/>
      <w:bookmarkEnd w:id="58"/>
      <w:bookmarkEnd w:id="59"/>
    </w:p>
    <w:p w14:paraId="053A691B" w14:textId="77777777" w:rsidR="004962F9" w:rsidRPr="004962F9" w:rsidRDefault="004962F9" w:rsidP="004962F9">
      <w:pPr>
        <w:rPr>
          <w:bCs/>
          <w:szCs w:val="22"/>
        </w:rPr>
      </w:pPr>
      <w:bookmarkStart w:id="60" w:name="_Toc247691531"/>
      <w:bookmarkStart w:id="61" w:name="_Toc314842515"/>
      <w:r w:rsidRPr="004962F9">
        <w:rPr>
          <w:bCs/>
          <w:szCs w:val="22"/>
        </w:rPr>
        <w:t>Otsuka Australia Pharmaceutical Pty Ltd has submitted a draft EU-RMP version 0.1 (dated 15 October 2024; DLP 19 April 2024) and ASA version 1.0 (dated June 2025) in support of this application. At Round 2, the sponsor has submitted EU-RMP version 1.1 (dated 10 November 2025; DLP 27 January 2025) and ASA version 1.1 (dated February 2026) in support of this application.</w:t>
      </w:r>
    </w:p>
    <w:p w14:paraId="39F3CD1D" w14:textId="2152ED14" w:rsidR="0072003B" w:rsidRDefault="00C22214" w:rsidP="00C22214">
      <w:pPr>
        <w:rPr>
          <w:szCs w:val="22"/>
        </w:rPr>
      </w:pPr>
      <w:r w:rsidRPr="00BD5DBD">
        <w:rPr>
          <w:szCs w:val="22"/>
        </w:rPr>
        <w:t>The summary of safety concerns and their associated risk monitoring and mitigation strategies are summarised in</w:t>
      </w:r>
      <w:r w:rsidR="003B149C">
        <w:rPr>
          <w:szCs w:val="22"/>
        </w:rPr>
        <w:t xml:space="preserve"> </w:t>
      </w:r>
      <w:r w:rsidR="00BC46A9">
        <w:rPr>
          <w:szCs w:val="22"/>
        </w:rPr>
        <w:t>Table 8</w:t>
      </w:r>
      <w:r w:rsidR="008C49C6" w:rsidRPr="003B149C">
        <w:rPr>
          <w:szCs w:val="22"/>
        </w:rPr>
        <w:t>.</w:t>
      </w:r>
      <w:r w:rsidR="0072003B" w:rsidRPr="00BD5DBD">
        <w:rPr>
          <w:szCs w:val="22"/>
        </w:rPr>
        <w:t xml:space="preserve"> </w:t>
      </w:r>
    </w:p>
    <w:p w14:paraId="67F5947F" w14:textId="50634D83" w:rsidR="00076939" w:rsidRPr="008B07F8" w:rsidRDefault="00076939" w:rsidP="00120F3F">
      <w:pPr>
        <w:pStyle w:val="TableTitle"/>
      </w:pPr>
      <w:bookmarkStart w:id="62" w:name="_Ref97629131"/>
      <w:r w:rsidRPr="00076939">
        <w:t xml:space="preserve">Table </w:t>
      </w:r>
      <w:bookmarkEnd w:id="62"/>
      <w:r>
        <w:t>8.</w:t>
      </w:r>
      <w:r w:rsidRPr="00076939">
        <w:t xml:space="preserve"> Summary of safety concerns</w:t>
      </w:r>
      <w:r>
        <w:t>.</w:t>
      </w:r>
    </w:p>
    <w:p w14:paraId="5ED52932" w14:textId="2F523A4A" w:rsidR="008B07F8" w:rsidRDefault="00B8350B" w:rsidP="00C22214">
      <w:pPr>
        <w:rPr>
          <w:szCs w:val="22"/>
        </w:rPr>
      </w:pPr>
      <w:r w:rsidRPr="00C001E4">
        <w:rPr>
          <w:bCs/>
          <w:noProof/>
        </w:rPr>
        <w:drawing>
          <wp:inline distT="0" distB="0" distL="0" distR="0" wp14:anchorId="0092EE45" wp14:editId="5806EC35">
            <wp:extent cx="5641676" cy="2562950"/>
            <wp:effectExtent l="0" t="0" r="0" b="8890"/>
            <wp:docPr id="2008323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323261" name=""/>
                    <pic:cNvPicPr/>
                  </pic:nvPicPr>
                  <pic:blipFill>
                    <a:blip r:embed="rId32">
                      <a:extLst>
                        <a:ext uri="{BEBA8EAE-BF5A-486C-A8C5-ECC9F3942E4B}">
                          <a14:imgProps xmlns:a14="http://schemas.microsoft.com/office/drawing/2010/main">
                            <a14:imgLayer r:embed="rId33">
                              <a14:imgEffect>
                                <a14:colorTemperature colorTemp="5300"/>
                              </a14:imgEffect>
                            </a14:imgLayer>
                          </a14:imgProps>
                        </a:ext>
                      </a:extLst>
                    </a:blip>
                    <a:stretch>
                      <a:fillRect/>
                    </a:stretch>
                  </pic:blipFill>
                  <pic:spPr>
                    <a:xfrm>
                      <a:off x="0" y="0"/>
                      <a:ext cx="5672345" cy="2576883"/>
                    </a:xfrm>
                    <a:prstGeom prst="rect">
                      <a:avLst/>
                    </a:prstGeom>
                  </pic:spPr>
                </pic:pic>
              </a:graphicData>
            </a:graphic>
          </wp:inline>
        </w:drawing>
      </w:r>
    </w:p>
    <w:p w14:paraId="757CD81A" w14:textId="77777777" w:rsidR="00444615" w:rsidRPr="00DB5A98" w:rsidRDefault="00444615" w:rsidP="009956BA">
      <w:r w:rsidRPr="00A9042B">
        <w:t>The summary of safety concerns proposed in the ASA align with the EU-RMP and is acceptable from an RMP perspective.</w:t>
      </w:r>
      <w:r w:rsidRPr="00DB5A98">
        <w:t xml:space="preserve"> There are no new and outstanding recommendations.</w:t>
      </w:r>
    </w:p>
    <w:p w14:paraId="517B5DCC" w14:textId="77777777" w:rsidR="00444615" w:rsidRPr="00A9042B" w:rsidRDefault="00444615" w:rsidP="009956BA">
      <w:r w:rsidRPr="00277CAF">
        <w:t xml:space="preserve">The sponsor has proposed routine pharmacovigilance for all safety concerns. An </w:t>
      </w:r>
      <w:r w:rsidRPr="00A9042B">
        <w:t>additional pharmacovigilance activity of a long-term safety and efficacy study has been proposed for all the important potential risks and the missing information of ‘long-term use’. The proposed pharmacovigilance plan aligns with the EU-RMP and is acceptable from an RMP perspective.</w:t>
      </w:r>
    </w:p>
    <w:p w14:paraId="524A1208" w14:textId="28D301F2" w:rsidR="00685084" w:rsidRDefault="00444615" w:rsidP="009956BA">
      <w:r w:rsidRPr="00A9042B">
        <w:t>The sponsor has addressed missing information ‘Use in Pregnancy’ and ‘Use in Breastfeeding’ in the PI and the CMI. The sponsor does not propose any additional risk minimisation activities. The PI and IFU have been proposed as a package insert. The risk minimisation plan is acceptable from an RMP perspective.</w:t>
      </w:r>
      <w:bookmarkStart w:id="63" w:name="_Toc103679299"/>
      <w:r w:rsidR="00685084">
        <w:t xml:space="preserve"> </w:t>
      </w:r>
    </w:p>
    <w:p w14:paraId="456C7934" w14:textId="678C12FE" w:rsidR="00FA1BC9" w:rsidRDefault="00FA1BC9" w:rsidP="009956BA">
      <w:pPr>
        <w:rPr>
          <w:szCs w:val="22"/>
        </w:rPr>
      </w:pPr>
      <w:r w:rsidRPr="00BD5DBD">
        <w:rPr>
          <w:szCs w:val="22"/>
        </w:rPr>
        <w:t xml:space="preserve">The TGA may request an updated RMP at any stage of a product's </w:t>
      </w:r>
      <w:r w:rsidR="00CD1697" w:rsidRPr="00BD5DBD">
        <w:rPr>
          <w:szCs w:val="22"/>
        </w:rPr>
        <w:t>life cycle</w:t>
      </w:r>
      <w:r w:rsidRPr="00BD5DBD">
        <w:rPr>
          <w:szCs w:val="22"/>
        </w:rPr>
        <w:t xml:space="preserve">, during both the pre-approval and post-approval phases. Further information regarding the TGA’s risk management approach can be found in </w:t>
      </w:r>
      <w:hyperlink r:id="rId34" w:history="1">
        <w:r w:rsidRPr="00BD5DBD">
          <w:rPr>
            <w:rStyle w:val="Hyperlink"/>
            <w:szCs w:val="22"/>
          </w:rPr>
          <w:t>risk management plans for medicines and biologicals</w:t>
        </w:r>
      </w:hyperlink>
      <w:r w:rsidRPr="00BD5DBD">
        <w:rPr>
          <w:szCs w:val="22"/>
        </w:rPr>
        <w:t xml:space="preserve"> and </w:t>
      </w:r>
      <w:hyperlink r:id="rId35" w:history="1">
        <w:r w:rsidRPr="00BD5DBD">
          <w:rPr>
            <w:rStyle w:val="Hyperlink"/>
            <w:szCs w:val="22"/>
          </w:rPr>
          <w:t>the TGA's risk management approach</w:t>
        </w:r>
      </w:hyperlink>
      <w:r w:rsidRPr="00BD5DBD">
        <w:rPr>
          <w:szCs w:val="22"/>
        </w:rPr>
        <w:t xml:space="preserve">. Information on the </w:t>
      </w:r>
      <w:hyperlink r:id="rId36" w:history="1">
        <w:r w:rsidRPr="00BD5DBD">
          <w:rPr>
            <w:rStyle w:val="Hyperlink"/>
            <w:szCs w:val="22"/>
          </w:rPr>
          <w:t>Australia</w:t>
        </w:r>
        <w:r w:rsidR="00C57CEA">
          <w:rPr>
            <w:rStyle w:val="Hyperlink"/>
            <w:szCs w:val="22"/>
          </w:rPr>
          <w:t>-</w:t>
        </w:r>
        <w:r w:rsidRPr="00BD5DBD">
          <w:rPr>
            <w:rStyle w:val="Hyperlink"/>
            <w:szCs w:val="22"/>
          </w:rPr>
          <w:t>specific annex</w:t>
        </w:r>
      </w:hyperlink>
      <w:r w:rsidRPr="00BD5DBD">
        <w:rPr>
          <w:szCs w:val="22"/>
        </w:rPr>
        <w:t xml:space="preserve"> (</w:t>
      </w:r>
      <w:hyperlink r:id="rId37" w:history="1">
        <w:r w:rsidRPr="00BD5DBD">
          <w:rPr>
            <w:rStyle w:val="Hyperlink"/>
            <w:szCs w:val="22"/>
          </w:rPr>
          <w:t>ASA</w:t>
        </w:r>
      </w:hyperlink>
      <w:r w:rsidRPr="00BD5DBD">
        <w:rPr>
          <w:szCs w:val="22"/>
        </w:rPr>
        <w:t>) can be found on the TGA website.</w:t>
      </w:r>
    </w:p>
    <w:p w14:paraId="74A4F87F" w14:textId="77777777" w:rsidR="00C22214" w:rsidRDefault="00C22214" w:rsidP="00C22214">
      <w:pPr>
        <w:pStyle w:val="Heading3"/>
      </w:pPr>
      <w:bookmarkStart w:id="64" w:name="_Toc238032178"/>
      <w:r>
        <w:lastRenderedPageBreak/>
        <w:t>Risk-benefit analysis</w:t>
      </w:r>
      <w:bookmarkEnd w:id="60"/>
      <w:bookmarkEnd w:id="61"/>
      <w:bookmarkEnd w:id="63"/>
      <w:bookmarkEnd w:id="64"/>
    </w:p>
    <w:p w14:paraId="77DE2655" w14:textId="77777777" w:rsidR="00C22214" w:rsidRDefault="00C22214" w:rsidP="00C22214">
      <w:pPr>
        <w:pStyle w:val="Heading4"/>
      </w:pPr>
      <w:bookmarkStart w:id="65" w:name="_Toc98931932"/>
      <w:bookmarkStart w:id="66" w:name="_Toc238032179"/>
      <w:r>
        <w:t>Delegate’s considerations</w:t>
      </w:r>
      <w:bookmarkEnd w:id="65"/>
      <w:bookmarkEnd w:id="66"/>
    </w:p>
    <w:p w14:paraId="55560FCD" w14:textId="77777777" w:rsidR="00210D7D" w:rsidRDefault="00210D7D" w:rsidP="00C07FE7">
      <w:pPr>
        <w:pStyle w:val="Heading5"/>
      </w:pPr>
      <w:r w:rsidRPr="0011684F">
        <w:t>Quality</w:t>
      </w:r>
    </w:p>
    <w:p w14:paraId="61A905D6" w14:textId="77777777" w:rsidR="00210D7D" w:rsidRPr="00E770AB" w:rsidRDefault="00210D7D" w:rsidP="00210D7D">
      <w:pPr>
        <w:rPr>
          <w:bCs/>
          <w:szCs w:val="21"/>
        </w:rPr>
      </w:pPr>
      <w:r w:rsidRPr="002F7E68">
        <w:rPr>
          <w:szCs w:val="21"/>
        </w:rPr>
        <w:t xml:space="preserve">The evaluator has confirmed </w:t>
      </w:r>
      <w:r w:rsidRPr="00E770AB">
        <w:rPr>
          <w:bCs/>
          <w:szCs w:val="21"/>
        </w:rPr>
        <w:t>that approval is recommended from a quality and biopharmaceutic perspective.</w:t>
      </w:r>
    </w:p>
    <w:p w14:paraId="2C51BED5" w14:textId="77777777" w:rsidR="00210D7D" w:rsidRDefault="00210D7D" w:rsidP="00C07FE7">
      <w:pPr>
        <w:pStyle w:val="Heading5"/>
      </w:pPr>
      <w:r w:rsidRPr="0011684F">
        <w:t>Effic</w:t>
      </w:r>
      <w:r>
        <w:t>acy</w:t>
      </w:r>
    </w:p>
    <w:p w14:paraId="5712ADEB" w14:textId="77777777" w:rsidR="00210D7D" w:rsidRDefault="00210D7D" w:rsidP="00CD1697">
      <w:bookmarkStart w:id="67" w:name="3.1.2.__Available_therapies_and_unmet_me"/>
      <w:bookmarkStart w:id="68" w:name="_bookmark6"/>
      <w:bookmarkStart w:id="69" w:name="2.9.__Product_information"/>
      <w:bookmarkStart w:id="70" w:name="2.9.1.__User_consultation"/>
      <w:bookmarkStart w:id="71" w:name="2.9.2.__Additional_monitoring"/>
      <w:bookmarkStart w:id="72" w:name="3.__Benefit-Risk_Balance"/>
      <w:bookmarkStart w:id="73" w:name="3.1.__Therapeutic_Context"/>
      <w:bookmarkStart w:id="74" w:name="3.1.1.__Disease_or_condition"/>
      <w:bookmarkStart w:id="75" w:name="_bookmark0"/>
      <w:bookmarkStart w:id="76" w:name="_bookmark1"/>
      <w:bookmarkStart w:id="77" w:name="_bookmark2"/>
      <w:bookmarkStart w:id="78" w:name="_bookmark3"/>
      <w:bookmarkStart w:id="79" w:name="_bookmark4"/>
      <w:bookmarkStart w:id="80" w:name="_bookmark5"/>
      <w:bookmarkEnd w:id="67"/>
      <w:bookmarkEnd w:id="68"/>
      <w:bookmarkEnd w:id="69"/>
      <w:bookmarkEnd w:id="70"/>
      <w:bookmarkEnd w:id="71"/>
      <w:bookmarkEnd w:id="72"/>
      <w:bookmarkEnd w:id="73"/>
      <w:bookmarkEnd w:id="74"/>
      <w:bookmarkEnd w:id="75"/>
      <w:bookmarkEnd w:id="76"/>
      <w:bookmarkEnd w:id="77"/>
      <w:bookmarkEnd w:id="78"/>
      <w:bookmarkEnd w:id="79"/>
      <w:bookmarkEnd w:id="80"/>
      <w:r w:rsidRPr="008404E5">
        <w:t xml:space="preserve">Hereditary angioedema (HAE) is a rare and potentially life-threatening autosomal dominant inherited disease of vascular permeability. Donidalorsen lowers </w:t>
      </w:r>
      <w:proofErr w:type="spellStart"/>
      <w:r w:rsidRPr="008404E5">
        <w:t>prekallikrein</w:t>
      </w:r>
      <w:proofErr w:type="spellEnd"/>
      <w:r w:rsidRPr="008404E5">
        <w:t xml:space="preserve"> concentration, preventing excessive bradykinin (a potent vasodilator that causes swelling and pain in HAE) production in patients with HAE.</w:t>
      </w:r>
      <w:r>
        <w:t xml:space="preserve"> </w:t>
      </w:r>
    </w:p>
    <w:p w14:paraId="02A70796" w14:textId="77777777" w:rsidR="00210D7D" w:rsidRPr="00505267" w:rsidRDefault="00210D7D" w:rsidP="00CD1697">
      <w:proofErr w:type="spellStart"/>
      <w:r w:rsidRPr="00505267">
        <w:t>Donidalorsen's</w:t>
      </w:r>
      <w:proofErr w:type="spellEnd"/>
      <w:r w:rsidRPr="00505267">
        <w:t xml:space="preserve"> clinical pharmacology is deemed adequately characterised. The dose level of 80 mg once every 4 weeks was determined by the safety, tolerability, PK, pharmacodynamic, and immunogenicity data from the ISIS 721744-CS1 study in healthy volunteers, as well as the clinical efficacy data of the ISIS 721744-CS2 and ISIS 721744-CS5 study in patients with HAE.</w:t>
      </w:r>
    </w:p>
    <w:p w14:paraId="5CDAB898" w14:textId="77777777" w:rsidR="00210D7D" w:rsidRPr="00154747" w:rsidRDefault="00210D7D" w:rsidP="00CD1697">
      <w:r w:rsidRPr="004A5B95">
        <w:t>The number of HAE attacks was substantially reduced by donidalorsen 80 mg when administered every four weeks in comparison to the placebo (primary endpoint). The secondary endpoints results revealed comparable findings, and comparable effects were observed in pre-specified subpopulations.</w:t>
      </w:r>
      <w:r>
        <w:t xml:space="preserve"> </w:t>
      </w:r>
      <w:r w:rsidRPr="00154747">
        <w:t xml:space="preserve">In the pivotal study, Study CS05, the mean (SD) time-normalised HAE attack rate from Week 1 to Week 25 was 0.89 (1.851) for donidalorsen 80 mg q4w and 2.29 (1.807) for placebo. The mean rate ratio (95% confidence interval) was 0.19 (0.107 to 0.351), and the percentage difference relative to placebo (95% confidence interval) was -81 (-89.3 to -64.9), with a p-value of &lt;0.001. The secondary endpoints results corroborated the primary endpoint. The benefit was sustained throughout the treatment period. The benefit was obvious from Week 5, but it was at its peak from Week 9 to Week 25. The frequency of attacks was assessed during these 25 weeks, and an open-label extension study was conducted </w:t>
      </w:r>
      <w:proofErr w:type="gramStart"/>
      <w:r w:rsidRPr="00154747">
        <w:t>subsequent to</w:t>
      </w:r>
      <w:proofErr w:type="gramEnd"/>
      <w:r w:rsidRPr="00154747">
        <w:t xml:space="preserve"> the controlled treatment period. The use of placebo as a comparator in the study that investigated the prophylactic effect of donidalorsen on recurrent attacks of HAE was deemed permissible due to the permissibility of acute medications to treat attacks as concomitant treatment.</w:t>
      </w:r>
    </w:p>
    <w:p w14:paraId="4DE8746A" w14:textId="77777777" w:rsidR="00210D7D" w:rsidRPr="00C70C82" w:rsidRDefault="00210D7D" w:rsidP="00210D7D">
      <w:pPr>
        <w:rPr>
          <w:szCs w:val="21"/>
        </w:rPr>
      </w:pPr>
      <w:r w:rsidRPr="00C70C82">
        <w:rPr>
          <w:szCs w:val="21"/>
        </w:rPr>
        <w:t>Responding to the evaluator's enquiry, the sponsor verified that two phase 2 studies, ISIS 721744-CS2 and ISIS 721744-CS2-CS3, were conducted to assess the efficacy and safety of donidalorsen in patients with hereditary angioedema (HAE)-1/HAE-2 and in patients with normal C1-inhibitor (HAE-nC1-INH, formerly known as HAE Type 3). The Sponsor also provided a comprehensive analysis of three patients with nC1-INH who were enrolled in the study. The results of this analysis indicate that the patients did indeed have nC1-INH and that they responded adequately to donidalorsen. The Sponsor also emphasised that nC1-INH is a rare disorder, and as a result, it would be challenging to obtain additional efficacy data. Therefore, the inclusion of nC1-INH in the indication is considered appropriate.</w:t>
      </w:r>
    </w:p>
    <w:p w14:paraId="69C6E524" w14:textId="77777777" w:rsidR="00210D7D" w:rsidRPr="00BB38C7" w:rsidRDefault="00210D7D" w:rsidP="00210D7D">
      <w:pPr>
        <w:rPr>
          <w:szCs w:val="21"/>
        </w:rPr>
      </w:pPr>
      <w:r w:rsidRPr="00BB38C7">
        <w:rPr>
          <w:szCs w:val="21"/>
        </w:rPr>
        <w:t>Donidalorsen 80 mg q4w was reported to provide a ≥50% reduction in HAE attack rate from baseline in 93.3% of patients, and a ≥90% reduction in HAE attack rate from baseline in 62.2% of patients.</w:t>
      </w:r>
    </w:p>
    <w:p w14:paraId="0E517FBB" w14:textId="240E9E71" w:rsidR="00210D7D" w:rsidRPr="009E538A" w:rsidRDefault="00210D7D" w:rsidP="00210D7D">
      <w:pPr>
        <w:rPr>
          <w:szCs w:val="21"/>
        </w:rPr>
      </w:pPr>
      <w:r w:rsidRPr="009E538A">
        <w:rPr>
          <w:szCs w:val="21"/>
        </w:rPr>
        <w:t xml:space="preserve">The 80 mg q4w regimen is efficacious, as evidenced by Study CS02, which reported a mean (95% CI) number of confirmed HAE attacks in the treatment period of 0.23 (0.08 to 0.39) for </w:t>
      </w:r>
      <w:r w:rsidRPr="009E538A">
        <w:rPr>
          <w:szCs w:val="21"/>
        </w:rPr>
        <w:lastRenderedPageBreak/>
        <w:t>donidalorsen and 2.21 (0.58 to 3.85) for placebo, with a rate ratio (95% CI) of 0.10 (0.04 to 0.24)</w:t>
      </w:r>
      <w:r>
        <w:rPr>
          <w:szCs w:val="21"/>
        </w:rPr>
        <w:t>.</w:t>
      </w:r>
    </w:p>
    <w:p w14:paraId="679DE0C1" w14:textId="77777777" w:rsidR="00210D7D" w:rsidRDefault="00210D7D" w:rsidP="00C07FE7">
      <w:pPr>
        <w:pStyle w:val="Heading5"/>
      </w:pPr>
      <w:r w:rsidRPr="00846549">
        <w:t>Safety</w:t>
      </w:r>
    </w:p>
    <w:p w14:paraId="2EC43251" w14:textId="77777777" w:rsidR="00210D7D" w:rsidRDefault="00210D7D" w:rsidP="00210D7D">
      <w:pPr>
        <w:rPr>
          <w:lang w:eastAsia="ja-JP"/>
        </w:rPr>
      </w:pPr>
      <w:r w:rsidRPr="00262CA6">
        <w:rPr>
          <w:lang w:eastAsia="ja-JP"/>
        </w:rPr>
        <w:t>In general, the incidence of TEAEs was comparable between donidalorsen and placebo; however, the donidalorsen group experienced a higher number of TEAEs related to the injection site of treatment. Clinical trials did not result in any deaths or serious adverse drug reactions.</w:t>
      </w:r>
    </w:p>
    <w:p w14:paraId="37CB1DF9" w14:textId="77777777" w:rsidR="00210D7D" w:rsidRPr="00262CA6" w:rsidRDefault="00210D7D" w:rsidP="00210D7D">
      <w:pPr>
        <w:rPr>
          <w:lang w:eastAsia="ja-JP"/>
        </w:rPr>
      </w:pPr>
      <w:r w:rsidRPr="00262CA6">
        <w:rPr>
          <w:lang w:eastAsia="ja-JP"/>
        </w:rPr>
        <w:t xml:space="preserve">Overall, it is acknowledged that the safety data provided indicate an acceptable safety and tolerability profile in HAE patients </w:t>
      </w:r>
      <w:r w:rsidRPr="00483FDA">
        <w:rPr>
          <w:iCs/>
          <w:lang w:eastAsia="ja-JP"/>
        </w:rPr>
        <w:t>in adults and adolescents aged 12 years and older</w:t>
      </w:r>
      <w:r>
        <w:rPr>
          <w:iCs/>
          <w:lang w:eastAsia="ja-JP"/>
        </w:rPr>
        <w:t>.</w:t>
      </w:r>
    </w:p>
    <w:p w14:paraId="3916F296" w14:textId="77777777" w:rsidR="00C22214" w:rsidRDefault="00C22214" w:rsidP="00C22214">
      <w:pPr>
        <w:pStyle w:val="Heading4"/>
      </w:pPr>
      <w:bookmarkStart w:id="81" w:name="_Toc98931933"/>
      <w:bookmarkStart w:id="82" w:name="_Toc238032180"/>
      <w:r w:rsidRPr="00D23139">
        <w:t>Proposed action</w:t>
      </w:r>
      <w:bookmarkEnd w:id="81"/>
      <w:bookmarkEnd w:id="82"/>
    </w:p>
    <w:p w14:paraId="7D5D65E8" w14:textId="1664A9E8" w:rsidR="00675869" w:rsidRPr="00FE04FB" w:rsidRDefault="00675869" w:rsidP="00675869">
      <w:r w:rsidRPr="00FE04FB">
        <w:t xml:space="preserve">The Delegate considers that the benefit-risk balance of </w:t>
      </w:r>
      <w:r w:rsidR="001579E9">
        <w:t>Zirdawny</w:t>
      </w:r>
      <w:r>
        <w:t xml:space="preserve"> </w:t>
      </w:r>
      <w:r w:rsidR="004C7274">
        <w:t>(</w:t>
      </w:r>
      <w:r w:rsidR="004C7274" w:rsidRPr="004C7274">
        <w:t>donidalorsen</w:t>
      </w:r>
      <w:r w:rsidR="004C7274">
        <w:t xml:space="preserve">) </w:t>
      </w:r>
      <w:r w:rsidRPr="00FE04FB">
        <w:t>is favourable</w:t>
      </w:r>
      <w:r>
        <w:t>,</w:t>
      </w:r>
      <w:r w:rsidRPr="00FE04FB">
        <w:t xml:space="preserve"> in the following indication:</w:t>
      </w:r>
    </w:p>
    <w:p w14:paraId="031B605C" w14:textId="216BD526" w:rsidR="00675869" w:rsidRPr="003E27CE" w:rsidRDefault="001579E9" w:rsidP="00B33480">
      <w:pPr>
        <w:pStyle w:val="Indication"/>
      </w:pPr>
      <w:r>
        <w:t>Zirdawny</w:t>
      </w:r>
      <w:r w:rsidR="00675869" w:rsidRPr="003E27CE">
        <w:t xml:space="preserve"> is indicated for routine prevention of recurrent attacks of hereditary angioedema (HAE) in adults and adolescents aged 12 years and older.</w:t>
      </w:r>
    </w:p>
    <w:p w14:paraId="307F236C" w14:textId="7FD19BD3" w:rsidR="00C22214" w:rsidRPr="002E238E" w:rsidRDefault="0046285C" w:rsidP="00C22214">
      <w:pPr>
        <w:pStyle w:val="Heading2"/>
      </w:pPr>
      <w:bookmarkStart w:id="83" w:name="_Toc247691532"/>
      <w:bookmarkStart w:id="84" w:name="_Toc314842516"/>
      <w:bookmarkStart w:id="85" w:name="_Toc103679300"/>
      <w:bookmarkStart w:id="86" w:name="_Toc238032181"/>
      <w:r>
        <w:t>Assessment</w:t>
      </w:r>
      <w:r w:rsidR="00190853">
        <w:t xml:space="preserve"> </w:t>
      </w:r>
      <w:r>
        <w:t>o</w:t>
      </w:r>
      <w:r w:rsidR="00C22214">
        <w:t>utcome</w:t>
      </w:r>
      <w:bookmarkEnd w:id="83"/>
      <w:bookmarkEnd w:id="84"/>
      <w:bookmarkEnd w:id="85"/>
      <w:bookmarkEnd w:id="86"/>
    </w:p>
    <w:p w14:paraId="4EF22939" w14:textId="6C3669F0" w:rsidR="00C22214" w:rsidRPr="0017005C" w:rsidRDefault="00C22214" w:rsidP="001453EE">
      <w:r w:rsidRPr="0017005C">
        <w:t xml:space="preserve">Based on a review of quality, safety, and efficacy, the TGA </w:t>
      </w:r>
      <w:r w:rsidR="00B46DFB">
        <w:t>decided to</w:t>
      </w:r>
      <w:r w:rsidRPr="0017005C">
        <w:t xml:space="preserve"> regist</w:t>
      </w:r>
      <w:r w:rsidR="00B46DFB">
        <w:t>er</w:t>
      </w:r>
      <w:r w:rsidRPr="0017005C">
        <w:t xml:space="preserve"> </w:t>
      </w:r>
      <w:r w:rsidR="001453EE" w:rsidRPr="001453EE">
        <w:t>Z</w:t>
      </w:r>
      <w:r w:rsidR="001453EE">
        <w:t xml:space="preserve">irdawny </w:t>
      </w:r>
      <w:r w:rsidR="001453EE" w:rsidRPr="001453EE">
        <w:t>donidalorsen (as sodium) 80 mg/0.8 mL solution for</w:t>
      </w:r>
      <w:r w:rsidR="001453EE">
        <w:t xml:space="preserve"> </w:t>
      </w:r>
      <w:r w:rsidR="001453EE" w:rsidRPr="001453EE">
        <w:t>injection pre-filled pen</w:t>
      </w:r>
      <w:r w:rsidRPr="0017005C">
        <w:t>, indicated for:</w:t>
      </w:r>
    </w:p>
    <w:p w14:paraId="607D768A" w14:textId="316ABE2A" w:rsidR="0080362C" w:rsidRPr="00B33480" w:rsidRDefault="0080362C" w:rsidP="00B33480">
      <w:pPr>
        <w:pStyle w:val="Indication"/>
      </w:pPr>
      <w:r w:rsidRPr="00B33480">
        <w:t>Zirdawny is indicated for routine prevention of recurrent attacks of hereditary</w:t>
      </w:r>
    </w:p>
    <w:p w14:paraId="3B245AB5" w14:textId="48396D2A" w:rsidR="00C22214" w:rsidRPr="00B33480" w:rsidRDefault="0080362C" w:rsidP="00B33480">
      <w:pPr>
        <w:pStyle w:val="Indication"/>
      </w:pPr>
      <w:r w:rsidRPr="00B33480">
        <w:t>angioedema (HAE) in adults and adolescents aged 12 years and older.</w:t>
      </w:r>
    </w:p>
    <w:p w14:paraId="0D732DA4" w14:textId="74882685" w:rsidR="00854D98" w:rsidRPr="00D23139" w:rsidRDefault="00854D98" w:rsidP="004D2CC3">
      <w:pPr>
        <w:pStyle w:val="Heading3"/>
      </w:pPr>
      <w:bookmarkStart w:id="87" w:name="_Toc238032182"/>
      <w:bookmarkStart w:id="88" w:name="_Toc103679301"/>
      <w:r w:rsidRPr="00D23139">
        <w:t>Specific conditions of registration</w:t>
      </w:r>
      <w:bookmarkEnd w:id="87"/>
      <w:r w:rsidRPr="00D23139">
        <w:t xml:space="preserve"> </w:t>
      </w:r>
      <w:bookmarkEnd w:id="88"/>
    </w:p>
    <w:p w14:paraId="1EBBF148" w14:textId="77777777" w:rsidR="00547950" w:rsidRDefault="001579E9" w:rsidP="00B520D2">
      <w:pPr>
        <w:pStyle w:val="ListBullet"/>
      </w:pPr>
      <w:r>
        <w:t>Zirdawny</w:t>
      </w:r>
      <w:r w:rsidR="009A5DB3">
        <w:t xml:space="preserve"> (donidalorsen) is to be included in the Black Triangle Scheme. The PI and</w:t>
      </w:r>
      <w:r w:rsidR="00547950">
        <w:t xml:space="preserve"> </w:t>
      </w:r>
      <w:r w:rsidR="009A5DB3">
        <w:t xml:space="preserve">CMI for </w:t>
      </w:r>
      <w:r>
        <w:t>Zirdawny</w:t>
      </w:r>
      <w:r w:rsidR="009A5DB3">
        <w:t xml:space="preserve"> must include the black triangle symbol and mandatory</w:t>
      </w:r>
      <w:r w:rsidR="00547950">
        <w:t xml:space="preserve"> </w:t>
      </w:r>
      <w:r w:rsidR="009A5DB3">
        <w:t>accompanying text for five years, which starts from the date of first supply of the</w:t>
      </w:r>
      <w:r w:rsidR="00547950">
        <w:t xml:space="preserve"> </w:t>
      </w:r>
      <w:r w:rsidR="009A5DB3">
        <w:t>product.</w:t>
      </w:r>
    </w:p>
    <w:p w14:paraId="44B92130" w14:textId="77777777" w:rsidR="00862C07" w:rsidRDefault="009A5DB3" w:rsidP="00B520D2">
      <w:pPr>
        <w:pStyle w:val="ListBullet"/>
      </w:pPr>
      <w:r>
        <w:t xml:space="preserve">The </w:t>
      </w:r>
      <w:r w:rsidR="001579E9">
        <w:t>Zirdawny</w:t>
      </w:r>
      <w:r>
        <w:t xml:space="preserve"> EU-Risk Management Plan (RMP) version 1.1 </w:t>
      </w:r>
      <w:r w:rsidR="00547950">
        <w:t>(</w:t>
      </w:r>
      <w:r>
        <w:t>dated 10 November</w:t>
      </w:r>
      <w:r w:rsidR="00862C07">
        <w:t xml:space="preserve"> </w:t>
      </w:r>
      <w:r>
        <w:t>2025, data lock point 27 January 2025), with Australia-Specific Annex (ASA) version</w:t>
      </w:r>
      <w:r w:rsidR="00862C07">
        <w:t xml:space="preserve"> </w:t>
      </w:r>
      <w:r>
        <w:t>1.1</w:t>
      </w:r>
      <w:r w:rsidR="00161665">
        <w:t xml:space="preserve"> (</w:t>
      </w:r>
      <w:r>
        <w:t>dated February 2026), included with submission PM-2025-02384-1-2, and any</w:t>
      </w:r>
      <w:r w:rsidR="00862C07">
        <w:t xml:space="preserve"> </w:t>
      </w:r>
      <w:r>
        <w:t>subsequent revisions, as agreed with the TGA will be implemented in Australia.</w:t>
      </w:r>
    </w:p>
    <w:p w14:paraId="38161F14" w14:textId="1C8E7E6A" w:rsidR="009A5DB3" w:rsidRDefault="009A5DB3" w:rsidP="00B520D2">
      <w:pPr>
        <w:pStyle w:val="ListBullet"/>
      </w:pPr>
      <w:r>
        <w:t>An obligatory component of risk management plans is routine pharmacovigilance.</w:t>
      </w:r>
      <w:r w:rsidR="007645C9">
        <w:t xml:space="preserve"> </w:t>
      </w:r>
      <w:r>
        <w:t>Routine pharmacovigilance includes the submission of periodic safety update reports</w:t>
      </w:r>
      <w:r w:rsidR="007645C9">
        <w:t xml:space="preserve"> </w:t>
      </w:r>
      <w:r>
        <w:t>(PSURs).</w:t>
      </w:r>
    </w:p>
    <w:p w14:paraId="236B1B8F" w14:textId="77777777" w:rsidR="007645C9" w:rsidRDefault="00FB5887" w:rsidP="00F70587">
      <w:pPr>
        <w:pStyle w:val="ListBullet"/>
        <w:numPr>
          <w:ilvl w:val="0"/>
          <w:numId w:val="0"/>
        </w:numPr>
        <w:ind w:left="360"/>
      </w:pPr>
      <w:r>
        <w:t>Reports are to be provided in line with the current published list of EU reference dates</w:t>
      </w:r>
      <w:r w:rsidR="007645C9">
        <w:t xml:space="preserve"> </w:t>
      </w:r>
      <w:r>
        <w:t>and frequency of submission of PSURs until the period covered by such reports is not</w:t>
      </w:r>
      <w:r w:rsidR="007645C9">
        <w:t xml:space="preserve"> </w:t>
      </w:r>
      <w:r>
        <w:t>less than three years from the date of this approval letter. Each report must be</w:t>
      </w:r>
      <w:r w:rsidR="007645C9">
        <w:t xml:space="preserve"> </w:t>
      </w:r>
      <w:r>
        <w:t>submitted within ninety calendar days of the data lock point for that report.</w:t>
      </w:r>
      <w:r w:rsidR="007645C9">
        <w:t xml:space="preserve"> </w:t>
      </w:r>
    </w:p>
    <w:p w14:paraId="7B687840" w14:textId="6F67CA9A" w:rsidR="00FB5887" w:rsidRPr="00F73346" w:rsidRDefault="00FB5887" w:rsidP="00F70587">
      <w:pPr>
        <w:pStyle w:val="ListBullet"/>
        <w:numPr>
          <w:ilvl w:val="0"/>
          <w:numId w:val="0"/>
        </w:numPr>
        <w:ind w:left="360"/>
      </w:pPr>
      <w:r>
        <w:t>The reports are to at least meet the requirements for PSURs as described in the</w:t>
      </w:r>
      <w:r w:rsidR="007645C9">
        <w:t xml:space="preserve"> </w:t>
      </w:r>
      <w:r>
        <w:t>European Medicines Agency’s Guideline on good pharmacovigilance practices (GVP)</w:t>
      </w:r>
      <w:r w:rsidR="007645C9">
        <w:t xml:space="preserve"> </w:t>
      </w:r>
      <w:r>
        <w:t>Module VII-periodic safety update report (Rev 1), Part VII.B Structures and processes.</w:t>
      </w:r>
      <w:r w:rsidR="007645C9">
        <w:t xml:space="preserve"> </w:t>
      </w:r>
      <w:r>
        <w:t>Note that submission of a PSUR does not constitute an application to vary the</w:t>
      </w:r>
      <w:r w:rsidR="007645C9">
        <w:t xml:space="preserve"> </w:t>
      </w:r>
      <w:r>
        <w:t>registration.</w:t>
      </w:r>
    </w:p>
    <w:p w14:paraId="0F9C1952" w14:textId="46BD475E" w:rsidR="00BA657C" w:rsidRPr="00BA657C" w:rsidRDefault="00BA657C" w:rsidP="004D4AD5">
      <w:pPr>
        <w:pStyle w:val="Heading3"/>
      </w:pPr>
      <w:bookmarkStart w:id="89" w:name="_Toc238032183"/>
      <w:bookmarkStart w:id="90" w:name="_Toc196738290"/>
      <w:r w:rsidRPr="00BA657C">
        <w:lastRenderedPageBreak/>
        <w:t>Product Information and Consumer Medicine Information</w:t>
      </w:r>
      <w:bookmarkEnd w:id="89"/>
      <w:r w:rsidRPr="00BA657C">
        <w:t xml:space="preserve"> </w:t>
      </w:r>
      <w:bookmarkEnd w:id="90"/>
    </w:p>
    <w:p w14:paraId="5F276616" w14:textId="6667B73D" w:rsidR="004D0933" w:rsidRPr="004D0933" w:rsidRDefault="004D0933" w:rsidP="004D0933">
      <w:bookmarkStart w:id="91" w:name="_Hlk200021736"/>
      <w:r w:rsidRPr="004D0933">
        <w:t xml:space="preserve">For the most recent Product Information (PI) and Consumer Medicine Information (CMI), please refer to the TGA </w:t>
      </w:r>
      <w:hyperlink r:id="rId38" w:history="1">
        <w:r w:rsidRPr="004D0933">
          <w:rPr>
            <w:rStyle w:val="Hyperlink"/>
          </w:rPr>
          <w:t>PI/CMI search facility.</w:t>
        </w:r>
      </w:hyperlink>
    </w:p>
    <w:bookmarkEnd w:id="91"/>
    <w:p w14:paraId="53357BF3" w14:textId="276457B5" w:rsidR="00C22214" w:rsidRDefault="00C22214" w:rsidP="00C22214">
      <w:pPr>
        <w:rPr>
          <w:lang w:eastAsia="ja-JP"/>
        </w:rPr>
        <w:sectPr w:rsidR="00C22214" w:rsidSect="007452E8">
          <w:headerReference w:type="default" r:id="rId39"/>
          <w:footerReference w:type="default" r:id="rId40"/>
          <w:pgSz w:w="11906" w:h="16838" w:code="9"/>
          <w:pgMar w:top="1134" w:right="1418" w:bottom="1361" w:left="1418" w:header="573" w:footer="567" w:gutter="0"/>
          <w:cols w:space="708"/>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02AEC" w:rsidRPr="00215D48" w14:paraId="3C0C07BF" w14:textId="77777777" w:rsidTr="007452E8">
        <w:trPr>
          <w:trHeight w:hRule="exact" w:val="565"/>
          <w:jc w:val="center"/>
        </w:trPr>
        <w:tc>
          <w:tcPr>
            <w:tcW w:w="9145" w:type="dxa"/>
          </w:tcPr>
          <w:bookmarkEnd w:id="3"/>
          <w:bookmarkEnd w:id="4"/>
          <w:p w14:paraId="7E090B86" w14:textId="77777777" w:rsidR="00F02AEC" w:rsidRPr="00215D48" w:rsidRDefault="00F02AEC" w:rsidP="007452E8">
            <w:pPr>
              <w:pStyle w:val="TGASignoff"/>
            </w:pPr>
            <w:r w:rsidRPr="00215D48">
              <w:lastRenderedPageBreak/>
              <w:t>Therapeutic Goods Administration</w:t>
            </w:r>
          </w:p>
        </w:tc>
      </w:tr>
      <w:tr w:rsidR="00F02AEC" w:rsidRPr="00031F4C" w14:paraId="70F47EA1" w14:textId="77777777" w:rsidTr="007452E8">
        <w:trPr>
          <w:trHeight w:val="963"/>
          <w:jc w:val="center"/>
        </w:trPr>
        <w:tc>
          <w:tcPr>
            <w:tcW w:w="9145" w:type="dxa"/>
            <w:tcMar>
              <w:top w:w="28" w:type="dxa"/>
            </w:tcMar>
          </w:tcPr>
          <w:p w14:paraId="3491EBCD" w14:textId="77777777" w:rsidR="00F02AEC" w:rsidRPr="00215D48" w:rsidRDefault="00F02AEC" w:rsidP="007452E8">
            <w:pPr>
              <w:pStyle w:val="Address"/>
              <w:jc w:val="center"/>
            </w:pPr>
            <w:r w:rsidRPr="00215D48">
              <w:t>PO Box 100 Woden ACT 2606 Australia</w:t>
            </w:r>
          </w:p>
          <w:p w14:paraId="5D0FE0E7" w14:textId="0B791B6E" w:rsidR="00F02AEC" w:rsidRPr="00031F4C" w:rsidRDefault="00F02AEC">
            <w:pPr>
              <w:pStyle w:val="Address"/>
              <w:jc w:val="center"/>
              <w:rPr>
                <w:sz w:val="22"/>
                <w:szCs w:val="22"/>
                <w:lang w:val="fr-FR"/>
              </w:rPr>
            </w:pPr>
            <w:r w:rsidRPr="00031F4C">
              <w:rPr>
                <w:lang w:val="fr-FR"/>
              </w:rPr>
              <w:t xml:space="preserve">Email: </w:t>
            </w:r>
            <w:hyperlink r:id="rId41" w:history="1">
              <w:r w:rsidRPr="00031F4C">
                <w:rPr>
                  <w:rStyle w:val="Hyperlink"/>
                  <w:lang w:val="fr-FR"/>
                </w:rPr>
                <w:t>info@tga.gov.au</w:t>
              </w:r>
            </w:hyperlink>
            <w:r w:rsidRPr="00031F4C">
              <w:rPr>
                <w:lang w:val="fr-FR"/>
              </w:rPr>
              <w:t xml:space="preserve">  Phone: 1800 020 653 Fax: 02 6203 1605</w:t>
            </w:r>
          </w:p>
          <w:p w14:paraId="4533D80F" w14:textId="1519D7A3" w:rsidR="00F02AEC" w:rsidRPr="00C11700" w:rsidRDefault="00F02AEC">
            <w:pPr>
              <w:pStyle w:val="Address"/>
              <w:jc w:val="center"/>
              <w:rPr>
                <w:rStyle w:val="Hyperlink"/>
                <w:b/>
                <w:color w:val="auto"/>
                <w:sz w:val="22"/>
                <w:lang w:val="fr-FR"/>
              </w:rPr>
            </w:pPr>
            <w:hyperlink r:id="rId42" w:history="1">
              <w:r w:rsidRPr="00C11700">
                <w:rPr>
                  <w:rStyle w:val="Hyperlink"/>
                  <w:b/>
                  <w:lang w:val="fr-FR"/>
                </w:rPr>
                <w:t>https://www.tga.gov.au</w:t>
              </w:r>
            </w:hyperlink>
          </w:p>
        </w:tc>
      </w:tr>
      <w:tr w:rsidR="00F02AEC" w:rsidRPr="00215D48" w14:paraId="2AD74347" w14:textId="77777777" w:rsidTr="007452E8">
        <w:trPr>
          <w:trHeight w:val="251"/>
          <w:jc w:val="center"/>
        </w:trPr>
        <w:tc>
          <w:tcPr>
            <w:tcW w:w="9145" w:type="dxa"/>
            <w:tcMar>
              <w:top w:w="28" w:type="dxa"/>
            </w:tcMar>
          </w:tcPr>
          <w:p w14:paraId="6EAAD5C1" w14:textId="77777777" w:rsidR="00F02AEC" w:rsidRPr="00215D48" w:rsidRDefault="00F02AEC" w:rsidP="007452E8">
            <w:pPr>
              <w:pStyle w:val="Address"/>
              <w:jc w:val="center"/>
            </w:pPr>
            <w:r w:rsidRPr="00215D48">
              <w:t>Reference/Publication #</w:t>
            </w:r>
          </w:p>
        </w:tc>
      </w:tr>
    </w:tbl>
    <w:p w14:paraId="788B80FD" w14:textId="77777777" w:rsidR="007452E8" w:rsidRDefault="007452E8"/>
    <w:sectPr w:rsidR="007452E8" w:rsidSect="007452E8">
      <w:headerReference w:type="first" r:id="rId43"/>
      <w:footerReference w:type="first" r:id="rId44"/>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962C4" w14:textId="77777777" w:rsidR="00E94A62" w:rsidRDefault="00E94A62" w:rsidP="00F02AEC">
      <w:pPr>
        <w:spacing w:after="0" w:line="240" w:lineRule="auto"/>
      </w:pPr>
      <w:r>
        <w:separator/>
      </w:r>
    </w:p>
  </w:endnote>
  <w:endnote w:type="continuationSeparator" w:id="0">
    <w:p w14:paraId="1B06FBB3" w14:textId="77777777" w:rsidR="00E94A62" w:rsidRDefault="00E94A62" w:rsidP="00F02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Wingdings 3">
    <w:panose1 w:val="050401020108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6339A" w14:textId="6DEDA436" w:rsidR="00AD0779" w:rsidRDefault="00AD0779">
    <w:pPr>
      <w:pStyle w:val="Footer"/>
    </w:pPr>
    <w:r>
      <w:rPr>
        <w:noProof/>
      </w:rPr>
      <mc:AlternateContent>
        <mc:Choice Requires="wps">
          <w:drawing>
            <wp:anchor distT="0" distB="0" distL="0" distR="0" simplePos="0" relativeHeight="251665408" behindDoc="0" locked="0" layoutInCell="1" allowOverlap="1" wp14:anchorId="50C1AFB7" wp14:editId="0A39BAEC">
              <wp:simplePos x="635" y="635"/>
              <wp:positionH relativeFrom="page">
                <wp:align>center</wp:align>
              </wp:positionH>
              <wp:positionV relativeFrom="page">
                <wp:align>bottom</wp:align>
              </wp:positionV>
              <wp:extent cx="622300" cy="391160"/>
              <wp:effectExtent l="0" t="0" r="6350" b="0"/>
              <wp:wrapNone/>
              <wp:docPr id="140880608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80E5B23" w14:textId="69CB229B"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C1AFB7" id="_x0000_t202" coordsize="21600,21600" o:spt="202" path="m,l,21600r21600,l21600,xe">
              <v:stroke joinstyle="miter"/>
              <v:path gradientshapeok="t" o:connecttype="rect"/>
            </v:shapetype>
            <v:shape id="Text Box 7" o:spid="_x0000_s1028" type="#_x0000_t202" alt="OFFICIAL" style="position:absolute;margin-left:0;margin-top:0;width:49pt;height:30.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dT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0rPh2n30J9pKUQTnx7J1cttV4LH54FEsE0LYk2&#10;PNGhDfQVh7PFWQP482/+mE+4U5SzngRTcUuK5sx8t8RH1NZo4Ghsk1Hc5p8jPHbf3QPJsKAX4WQy&#10;yYvBjKZG6F5JzsvYiELCSmpX8e1o3oeTcuk5SLVcpiSSkRNhbTdOxtIRrojly/Aq0J0BD8TUI4xq&#10;EuU73E+58aZ3y30g9BMpEdoTkGfESYKJq/NziRp/+5+yro968Qs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LoM91MNAgAAHAQA&#10;AA4AAAAAAAAAAAAAAAAALgIAAGRycy9lMm9Eb2MueG1sUEsBAi0AFAAGAAgAAAAhAIJRlNfaAAAA&#10;AwEAAA8AAAAAAAAAAAAAAAAAZwQAAGRycy9kb3ducmV2LnhtbFBLBQYAAAAABAAEAPMAAABuBQAA&#10;AAA=&#10;" filled="f" stroked="f">
              <v:textbox style="mso-fit-shape-to-text:t" inset="0,0,0,15pt">
                <w:txbxContent>
                  <w:p w14:paraId="480E5B23" w14:textId="69CB229B"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7452E8" w:rsidRPr="00257138" w14:paraId="162D69C2" w14:textId="77777777" w:rsidTr="007452E8">
      <w:trPr>
        <w:trHeight w:val="423"/>
      </w:trPr>
      <w:tc>
        <w:tcPr>
          <w:tcW w:w="4360" w:type="dxa"/>
          <w:tcBorders>
            <w:top w:val="single" w:sz="4" w:space="0" w:color="auto"/>
          </w:tcBorders>
        </w:tcPr>
        <w:p w14:paraId="32E1B782" w14:textId="0A993613" w:rsidR="007452E8" w:rsidRDefault="00AD0779" w:rsidP="007452E8">
          <w:pPr>
            <w:pStyle w:val="Footer"/>
          </w:pPr>
          <w:r>
            <w:rPr>
              <w:noProof/>
            </w:rPr>
            <mc:AlternateContent>
              <mc:Choice Requires="wps">
                <w:drawing>
                  <wp:anchor distT="0" distB="0" distL="0" distR="0" simplePos="0" relativeHeight="251666432" behindDoc="0" locked="0" layoutInCell="1" allowOverlap="1" wp14:anchorId="32BC3DA3" wp14:editId="433B9B9E">
                    <wp:simplePos x="635" y="635"/>
                    <wp:positionH relativeFrom="page">
                      <wp:align>center</wp:align>
                    </wp:positionH>
                    <wp:positionV relativeFrom="page">
                      <wp:align>bottom</wp:align>
                    </wp:positionV>
                    <wp:extent cx="622300" cy="391160"/>
                    <wp:effectExtent l="0" t="0" r="6350" b="0"/>
                    <wp:wrapNone/>
                    <wp:docPr id="1199544780"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E855BC2" w14:textId="7D1DE476"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C3DA3" id="_x0000_t202" coordsize="21600,21600" o:spt="202" path="m,l,21600r21600,l21600,xe">
                    <v:stroke joinstyle="miter"/>
                    <v:path gradientshapeok="t" o:connecttype="rect"/>
                  </v:shapetype>
                  <v:shape id="Text Box 8" o:spid="_x0000_s1029" type="#_x0000_t202" alt="OFFICIAL" style="position:absolute;margin-left:0;margin-top:0;width:49pt;height:30.8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1E855BC2" w14:textId="7D1DE476"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p w14:paraId="1849C07C" w14:textId="77777777" w:rsidR="007452E8" w:rsidRPr="00257138" w:rsidRDefault="007452E8" w:rsidP="007452E8">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EndPr/>
          <w:sdtContent>
            <w:p w14:paraId="606A08BF" w14:textId="77777777" w:rsidR="007452E8" w:rsidRDefault="007452E8" w:rsidP="007452E8">
              <w:pPr>
                <w:pStyle w:val="Footer"/>
                <w:jc w:val="right"/>
              </w:pPr>
            </w:p>
            <w:p w14:paraId="5EDE6DF6" w14:textId="77777777" w:rsidR="007452E8" w:rsidRPr="00257138" w:rsidRDefault="007452E8" w:rsidP="007452E8">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fldSimple w:instr=" NUMPAGES  ">
                <w:r>
                  <w:rPr>
                    <w:noProof/>
                  </w:rPr>
                  <w:t>2</w:t>
                </w:r>
              </w:fldSimple>
            </w:p>
          </w:sdtContent>
        </w:sdt>
      </w:tc>
    </w:tr>
    <w:tr w:rsidR="007452E8" w:rsidRPr="00257138" w14:paraId="280F09C8" w14:textId="77777777" w:rsidTr="007452E8">
      <w:trPr>
        <w:trHeight w:val="263"/>
      </w:trPr>
      <w:tc>
        <w:tcPr>
          <w:tcW w:w="4360" w:type="dxa"/>
        </w:tcPr>
        <w:p w14:paraId="673F06D3" w14:textId="77777777" w:rsidR="007452E8" w:rsidRPr="00257138" w:rsidRDefault="007452E8" w:rsidP="007452E8">
          <w:pPr>
            <w:pStyle w:val="Footer"/>
          </w:pPr>
          <w:r w:rsidRPr="00257138">
            <w:t xml:space="preserve">V1.0 </w:t>
          </w:r>
          <w:r>
            <w:t>Month</w:t>
          </w:r>
          <w:r w:rsidRPr="00257138">
            <w:t xml:space="preserve"> 201</w:t>
          </w:r>
          <w:r>
            <w:t>2</w:t>
          </w:r>
        </w:p>
      </w:tc>
      <w:tc>
        <w:tcPr>
          <w:tcW w:w="4360" w:type="dxa"/>
        </w:tcPr>
        <w:p w14:paraId="77F5B433" w14:textId="77777777" w:rsidR="007452E8" w:rsidRPr="00257138" w:rsidRDefault="007452E8" w:rsidP="007452E8">
          <w:pPr>
            <w:pStyle w:val="Footer"/>
            <w:jc w:val="right"/>
          </w:pPr>
        </w:p>
      </w:tc>
    </w:tr>
  </w:tbl>
  <w:p w14:paraId="63F6FDDE" w14:textId="77777777" w:rsidR="007452E8" w:rsidRPr="00826007" w:rsidRDefault="007452E8" w:rsidP="007452E8">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AA29C" w14:textId="27FAD0CF" w:rsidR="007452E8" w:rsidRDefault="007452E8" w:rsidP="007452E8">
    <w:pPr>
      <w:pStyle w:val="Footer"/>
      <w:ind w:left="-1701"/>
    </w:pPr>
    <w:r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7452E8" w:rsidRPr="004A3084" w14:paraId="6266BC33" w14:textId="77777777" w:rsidTr="007452E8">
      <w:trPr>
        <w:trHeight w:val="423"/>
      </w:trPr>
      <w:tc>
        <w:tcPr>
          <w:tcW w:w="7338" w:type="dxa"/>
          <w:tcBorders>
            <w:top w:val="single" w:sz="4" w:space="0" w:color="auto"/>
          </w:tcBorders>
        </w:tcPr>
        <w:p w14:paraId="3C421323" w14:textId="3E4F4C94" w:rsidR="007452E8" w:rsidRPr="004A3084" w:rsidRDefault="007452E8" w:rsidP="007452E8">
          <w:pPr>
            <w:pStyle w:val="Footer"/>
          </w:pPr>
          <w:r w:rsidRPr="00487162">
            <w:t>AusPA</w:t>
          </w:r>
          <w:r>
            <w:t>R -</w:t>
          </w:r>
          <w:r w:rsidR="00967B79">
            <w:t xml:space="preserve"> Zirdawny</w:t>
          </w:r>
          <w:r w:rsidR="00C5717C">
            <w:t xml:space="preserve"> </w:t>
          </w:r>
          <w:r>
            <w:t>-</w:t>
          </w:r>
          <w:r w:rsidRPr="00460036">
            <w:t xml:space="preserve"> </w:t>
          </w:r>
          <w:r w:rsidR="00C5717C">
            <w:t>donidalorsen</w:t>
          </w:r>
          <w:r w:rsidRPr="00460036">
            <w:t xml:space="preserve"> </w:t>
          </w:r>
          <w:r w:rsidR="00027A6F">
            <w:t>–</w:t>
          </w:r>
          <w:r>
            <w:t xml:space="preserve"> </w:t>
          </w:r>
          <w:r w:rsidR="00027A6F">
            <w:t>Otsuka Australia Pharmaceutical</w:t>
          </w:r>
          <w:r>
            <w:t xml:space="preserve"> - PM-202</w:t>
          </w:r>
          <w:r w:rsidR="00D27259">
            <w:t>5</w:t>
          </w:r>
          <w:r w:rsidRPr="00487162">
            <w:t>-</w:t>
          </w:r>
          <w:r w:rsidR="00D27259">
            <w:t>02384</w:t>
          </w:r>
          <w:r w:rsidRPr="00487162">
            <w:t>-</w:t>
          </w:r>
          <w:r w:rsidR="00D27259">
            <w:t>1</w:t>
          </w:r>
          <w:r w:rsidRPr="00487162">
            <w:t>-</w:t>
          </w:r>
          <w:r w:rsidR="00D27259">
            <w:t>2</w:t>
          </w:r>
          <w:r>
            <w:br/>
          </w:r>
          <w:r w:rsidR="0093134C" w:rsidRPr="006D4B89">
            <w:t xml:space="preserve">Final </w:t>
          </w:r>
          <w:r w:rsidR="006D4B89" w:rsidRPr="006D4B89">
            <w:t xml:space="preserve">14 August 2026 </w:t>
          </w:r>
        </w:p>
      </w:tc>
      <w:tc>
        <w:tcPr>
          <w:tcW w:w="1734" w:type="dxa"/>
          <w:tcBorders>
            <w:top w:val="single" w:sz="4" w:space="0" w:color="auto"/>
          </w:tcBorders>
        </w:tcPr>
        <w:sdt>
          <w:sdtPr>
            <w:id w:val="11571659"/>
            <w:docPartObj>
              <w:docPartGallery w:val="Page Numbers (Top of Page)"/>
              <w:docPartUnique/>
            </w:docPartObj>
          </w:sdtPr>
          <w:sdtEndPr/>
          <w:sdtContent>
            <w:p w14:paraId="4DE4ED0C" w14:textId="29F65FFD" w:rsidR="007452E8" w:rsidRPr="004A3084" w:rsidRDefault="007452E8" w:rsidP="007452E8">
              <w:pPr>
                <w:pStyle w:val="Footer"/>
                <w:jc w:val="right"/>
              </w:pPr>
              <w:r w:rsidRPr="004A3084">
                <w:t xml:space="preserve">Page </w:t>
              </w:r>
              <w:r>
                <w:fldChar w:fldCharType="begin"/>
              </w:r>
              <w:r>
                <w:instrText xml:space="preserve"> PAGE </w:instrText>
              </w:r>
              <w:r>
                <w:fldChar w:fldCharType="separate"/>
              </w:r>
              <w:r w:rsidR="006D6B44">
                <w:rPr>
                  <w:noProof/>
                </w:rPr>
                <w:t>13</w:t>
              </w:r>
              <w:r>
                <w:rPr>
                  <w:noProof/>
                </w:rPr>
                <w:fldChar w:fldCharType="end"/>
              </w:r>
              <w:r w:rsidRPr="004A3084">
                <w:t xml:space="preserve"> of </w:t>
              </w:r>
              <w:fldSimple w:instr=" NUMPAGES  ">
                <w:r w:rsidR="006D6B44">
                  <w:rPr>
                    <w:noProof/>
                  </w:rPr>
                  <w:t>17</w:t>
                </w:r>
              </w:fldSimple>
            </w:p>
          </w:sdtContent>
        </w:sdt>
      </w:tc>
    </w:tr>
  </w:tbl>
  <w:p w14:paraId="1A4EDE60" w14:textId="12845056" w:rsidR="007452E8" w:rsidRPr="00826007" w:rsidRDefault="007452E8" w:rsidP="007452E8">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3F70A" w14:textId="247D1EB8" w:rsidR="007452E8" w:rsidRPr="008E3C43" w:rsidRDefault="00AD0779" w:rsidP="007452E8">
    <w:pPr>
      <w:pStyle w:val="Footer"/>
    </w:pPr>
    <w:r>
      <w:rPr>
        <w:noProof/>
      </w:rPr>
      <mc:AlternateContent>
        <mc:Choice Requires="wps">
          <w:drawing>
            <wp:anchor distT="0" distB="0" distL="0" distR="0" simplePos="0" relativeHeight="251668480" behindDoc="0" locked="0" layoutInCell="1" allowOverlap="1" wp14:anchorId="6F104904" wp14:editId="399CA087">
              <wp:simplePos x="635" y="635"/>
              <wp:positionH relativeFrom="page">
                <wp:align>center</wp:align>
              </wp:positionH>
              <wp:positionV relativeFrom="page">
                <wp:align>bottom</wp:align>
              </wp:positionV>
              <wp:extent cx="622300" cy="391160"/>
              <wp:effectExtent l="0" t="0" r="6350" b="0"/>
              <wp:wrapNone/>
              <wp:docPr id="181936935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2E306BB" w14:textId="0A861BDD"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104904" id="_x0000_t202" coordsize="21600,21600" o:spt="202" path="m,l,21600r21600,l21600,xe">
              <v:stroke joinstyle="miter"/>
              <v:path gradientshapeok="t" o:connecttype="rect"/>
            </v:shapetype>
            <v:shape id="Text Box 10" o:spid="_x0000_s1032" type="#_x0000_t202" alt="OFFICIAL" style="position:absolute;margin-left:0;margin-top:0;width:49pt;height:30.8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T2l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kHH6LdRHWgrhxLd3ctVS67Xw4VkgEUzTkmjD&#10;Ex3aQF9xOFucNYA//+aP+YQ7RTnrSTAVt6Rozsx3S3xEbY0GjsY2GcVt/jnCY/fdPZAMC3oRTiaT&#10;vBjMaGqE7pXkvIyNKCSspHYV347mfTgpl56DVMtlSiIZORHWduNkLB3hili+DK8C3RnwQEw9wqgm&#10;Ub7D/ZQbb3q33AdCP5ESoT0BeUacJJi4Oj+XqPG3/ynr+qgXv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A7xPaUNAgAAHAQA&#10;AA4AAAAAAAAAAAAAAAAALgIAAGRycy9lMm9Eb2MueG1sUEsBAi0AFAAGAAgAAAAhAIJRlNfaAAAA&#10;AwEAAA8AAAAAAAAAAAAAAAAAZwQAAGRycy9kb3ducmV2LnhtbFBLBQYAAAAABAAEAPMAAABuBQAA&#10;AAA=&#10;" filled="f" stroked="f">
              <v:textbox style="mso-fit-shape-to-text:t" inset="0,0,0,15pt">
                <w:txbxContent>
                  <w:p w14:paraId="72E306BB" w14:textId="0A861BDD"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9C7E4" w14:textId="77777777" w:rsidR="00E94A62" w:rsidRDefault="00E94A62" w:rsidP="00F02AEC">
      <w:pPr>
        <w:spacing w:after="0" w:line="240" w:lineRule="auto"/>
      </w:pPr>
      <w:r>
        <w:separator/>
      </w:r>
    </w:p>
  </w:footnote>
  <w:footnote w:type="continuationSeparator" w:id="0">
    <w:p w14:paraId="1609BA10" w14:textId="77777777" w:rsidR="00E94A62" w:rsidRDefault="00E94A62" w:rsidP="00F02AEC">
      <w:pPr>
        <w:spacing w:after="0" w:line="240" w:lineRule="auto"/>
      </w:pPr>
      <w:r>
        <w:continuationSeparator/>
      </w:r>
    </w:p>
  </w:footnote>
  <w:footnote w:id="1">
    <w:p w14:paraId="68402A9B" w14:textId="42E6F8E0" w:rsidR="007452E8" w:rsidRPr="00A93DC6" w:rsidRDefault="007452E8">
      <w:pPr>
        <w:pStyle w:val="FootnoteText"/>
        <w:rPr>
          <w:lang w:val="en-GB"/>
        </w:rPr>
      </w:pPr>
      <w:r>
        <w:rPr>
          <w:rStyle w:val="FootnoteReference"/>
        </w:rPr>
        <w:footnoteRef/>
      </w:r>
      <w:r>
        <w:t xml:space="preserve"> </w:t>
      </w:r>
      <w:r w:rsidR="00FB236E">
        <w:t>This is the original indication proposed by the sponsor</w:t>
      </w:r>
      <w:r w:rsidR="00FB236E">
        <w:rPr>
          <w:lang w:val="en-GB"/>
        </w:rPr>
        <w:t xml:space="preserve"> when the TGA commenced the evaluation of this submission. It </w:t>
      </w:r>
      <w:r w:rsidRPr="007452E8">
        <w:rPr>
          <w:lang w:val="en-GB"/>
        </w:rPr>
        <w:t xml:space="preserve">may </w:t>
      </w:r>
      <w:r w:rsidR="00FB236E">
        <w:rPr>
          <w:lang w:val="en-GB"/>
        </w:rPr>
        <w:t>differ</w:t>
      </w:r>
      <w:r w:rsidRPr="007452E8">
        <w:rPr>
          <w:lang w:val="en-GB"/>
        </w:rPr>
        <w:t xml:space="preserve"> to the final indication approved by th</w:t>
      </w:r>
      <w:r w:rsidR="00FB236E">
        <w:rPr>
          <w:lang w:val="en-GB"/>
        </w:rPr>
        <w:t xml:space="preserve">e TGA and registered </w:t>
      </w:r>
      <w:r w:rsidR="005C4B46">
        <w:rPr>
          <w:lang w:val="en-GB"/>
        </w:rPr>
        <w:t xml:space="preserve">in </w:t>
      </w:r>
      <w:r w:rsidR="00FB236E">
        <w:rPr>
          <w:lang w:val="en-GB"/>
        </w:rPr>
        <w:t>the Australian Register of Therapeutic Goods.</w:t>
      </w:r>
    </w:p>
  </w:footnote>
  <w:footnote w:id="2">
    <w:p w14:paraId="3AD8C373" w14:textId="1A9E93D1" w:rsidR="004C1F33" w:rsidRDefault="004C1F33">
      <w:pPr>
        <w:pStyle w:val="FootnoteText"/>
      </w:pPr>
      <w:r>
        <w:rPr>
          <w:rStyle w:val="FootnoteReference"/>
        </w:rPr>
        <w:footnoteRef/>
      </w:r>
      <w:r w:rsidRPr="00E97659">
        <w:rPr>
          <w:lang w:val="fr-FR"/>
        </w:rPr>
        <w:t xml:space="preserve"> </w:t>
      </w:r>
      <w:r w:rsidRPr="00E97659">
        <w:rPr>
          <w:lang w:val="fr-FR"/>
        </w:rPr>
        <w:t xml:space="preserve">Sinnathamby ES, Issa PP, Roberts L, et al. </w:t>
      </w:r>
      <w:r w:rsidR="00F77A72">
        <w:t>(2023)</w:t>
      </w:r>
      <w:r w:rsidR="00D26856">
        <w:t xml:space="preserve"> </w:t>
      </w:r>
      <w:r w:rsidRPr="004C1F33">
        <w:t>Hereditary Angioedema: Diagnosis, Clinical Implications, and Pathophysiology. Advances in Therapy. 40(3):814-827.</w:t>
      </w:r>
      <w:r w:rsidR="00E16412">
        <w:t xml:space="preserve"> </w:t>
      </w:r>
      <w:hyperlink r:id="rId1" w:history="1">
        <w:r w:rsidR="00E16412" w:rsidRPr="00A770FC">
          <w:rPr>
            <w:rStyle w:val="Hyperlink"/>
          </w:rPr>
          <w:t>https://doi.org/10.1007/s12325-022-02401-0</w:t>
        </w:r>
      </w:hyperlink>
      <w:r w:rsidR="00E16412">
        <w:t xml:space="preserve"> </w:t>
      </w:r>
      <w:r w:rsidRPr="004C1F33">
        <w:t>PMID: 36609679; PMCID: PMC9988798.</w:t>
      </w:r>
    </w:p>
  </w:footnote>
  <w:footnote w:id="3">
    <w:p w14:paraId="707E5C41" w14:textId="632E813F" w:rsidR="003C7841" w:rsidRDefault="003C7841">
      <w:pPr>
        <w:pStyle w:val="FootnoteText"/>
      </w:pPr>
      <w:r>
        <w:rPr>
          <w:rStyle w:val="FootnoteReference"/>
        </w:rPr>
        <w:footnoteRef/>
      </w:r>
      <w:r>
        <w:t xml:space="preserve"> Longhurst</w:t>
      </w:r>
      <w:r w:rsidR="00A847D3">
        <w:t xml:space="preserve">, H.J. &amp; Bork, K. (2019) </w:t>
      </w:r>
      <w:r w:rsidR="00AC4F6B" w:rsidRPr="00AC4F6B">
        <w:t>Hereditary angioedema: an update on causes, manifestations and treatment</w:t>
      </w:r>
      <w:r w:rsidR="00AC4F6B">
        <w:t xml:space="preserve">. </w:t>
      </w:r>
      <w:r w:rsidR="00AC4F6B" w:rsidRPr="00AC4F6B">
        <w:t>British Journal of Hospital Medicine,</w:t>
      </w:r>
      <w:r w:rsidR="00AC4F6B">
        <w:t xml:space="preserve"> </w:t>
      </w:r>
      <w:r w:rsidR="00AC4F6B" w:rsidRPr="00AC4F6B">
        <w:t>Vol 80</w:t>
      </w:r>
      <w:r w:rsidR="00AC4F6B">
        <w:t>(</w:t>
      </w:r>
      <w:r w:rsidR="00AC4F6B" w:rsidRPr="00AC4F6B">
        <w:t>7</w:t>
      </w:r>
      <w:r w:rsidR="00AC4F6B">
        <w:t xml:space="preserve">): </w:t>
      </w:r>
      <w:r w:rsidR="009812CD">
        <w:t xml:space="preserve">391-398. </w:t>
      </w:r>
      <w:hyperlink r:id="rId2" w:history="1">
        <w:r w:rsidR="009F3175" w:rsidRPr="00A770FC">
          <w:rPr>
            <w:rStyle w:val="Hyperlink"/>
          </w:rPr>
          <w:t>https://doi.org/10.12968/hmed.2019.80.7.391</w:t>
        </w:r>
      </w:hyperlink>
      <w:r w:rsidR="009F3175">
        <w:t xml:space="preserve"> </w:t>
      </w:r>
    </w:p>
  </w:footnote>
  <w:footnote w:id="4">
    <w:p w14:paraId="2ACB87DC" w14:textId="71B51AEA" w:rsidR="002B5834" w:rsidRDefault="002B5834" w:rsidP="002B5834">
      <w:pPr>
        <w:pStyle w:val="FootnoteText"/>
      </w:pPr>
      <w:r>
        <w:rPr>
          <w:rStyle w:val="FootnoteReference"/>
        </w:rPr>
        <w:footnoteRef/>
      </w:r>
      <w:r>
        <w:t xml:space="preserve"> Castaldo, A.J., Wells, K.E., Khalid, S., Rashidi, E., Selva, C.N., Corcoran, D., Christiansen, S.</w:t>
      </w:r>
      <w:r w:rsidR="006A0B55">
        <w:t xml:space="preserve">C., </w:t>
      </w:r>
      <w:r>
        <w:t xml:space="preserve">Riedl, </w:t>
      </w:r>
      <w:r w:rsidR="006A0B55">
        <w:t xml:space="preserve">M.A., </w:t>
      </w:r>
      <w:r>
        <w:t xml:space="preserve">Zuraw, </w:t>
      </w:r>
      <w:r w:rsidR="006A0B55">
        <w:t xml:space="preserve">B.L. and </w:t>
      </w:r>
      <w:r>
        <w:t>Loyo-Berrios,</w:t>
      </w:r>
      <w:r w:rsidR="006A0B55">
        <w:t xml:space="preserve"> N. </w:t>
      </w:r>
      <w:r w:rsidR="005C2734">
        <w:t xml:space="preserve">(2025) </w:t>
      </w:r>
      <w:r>
        <w:t>Establishing a hereditary angioedema prevalence for the United States using a large administrative claims database</w:t>
      </w:r>
      <w:r w:rsidR="005C2734">
        <w:t xml:space="preserve">. </w:t>
      </w:r>
      <w:r>
        <w:t>Annals of Allergy, Asthma &amp; Immunology</w:t>
      </w:r>
      <w:r w:rsidR="005C2734">
        <w:t>; 1</w:t>
      </w:r>
      <w:r>
        <w:t>35</w:t>
      </w:r>
      <w:r w:rsidR="005C2734">
        <w:t>(</w:t>
      </w:r>
      <w:r>
        <w:t>3</w:t>
      </w:r>
      <w:r w:rsidR="005C2734">
        <w:t>)</w:t>
      </w:r>
      <w:r w:rsidR="004329D1">
        <w:t>:</w:t>
      </w:r>
      <w:r>
        <w:t xml:space="preserve"> 303-310</w:t>
      </w:r>
      <w:r w:rsidR="004329D1">
        <w:t xml:space="preserve">. </w:t>
      </w:r>
      <w:hyperlink r:id="rId3" w:history="1">
        <w:r w:rsidR="004329D1" w:rsidRPr="00A770FC">
          <w:rPr>
            <w:rStyle w:val="Hyperlink"/>
          </w:rPr>
          <w:t>https://doi.org/10.1016/j.anai.2025.05.018</w:t>
        </w:r>
      </w:hyperlink>
      <w:r>
        <w:t>.</w:t>
      </w:r>
      <w:r w:rsidR="004329D1">
        <w:t xml:space="preserve"> </w:t>
      </w:r>
    </w:p>
  </w:footnote>
  <w:footnote w:id="5">
    <w:p w14:paraId="713E1A18" w14:textId="45184681" w:rsidR="002E7DC1" w:rsidRDefault="002E7DC1" w:rsidP="002E7DC1">
      <w:pPr>
        <w:pStyle w:val="FootnoteText"/>
      </w:pPr>
      <w:r>
        <w:rPr>
          <w:rStyle w:val="FootnoteReference"/>
        </w:rPr>
        <w:footnoteRef/>
      </w:r>
      <w:r>
        <w:t xml:space="preserve"> Alexander Troelnikov, A., Milburn, </w:t>
      </w:r>
      <w:r w:rsidR="00135FC2">
        <w:t xml:space="preserve">K., </w:t>
      </w:r>
      <w:r>
        <w:t xml:space="preserve">Hissaria, </w:t>
      </w:r>
      <w:r w:rsidR="00135FC2">
        <w:t>P.,</w:t>
      </w:r>
      <w:r>
        <w:t xml:space="preserve"> Le</w:t>
      </w:r>
      <w:r w:rsidR="00135FC2">
        <w:t xml:space="preserve"> T.T.</w:t>
      </w:r>
      <w:r w:rsidR="001B7107">
        <w:t xml:space="preserve"> and </w:t>
      </w:r>
      <w:r>
        <w:t>Smith,</w:t>
      </w:r>
      <w:r w:rsidR="001B7107">
        <w:t xml:space="preserve"> W. (2024) </w:t>
      </w:r>
      <w:r>
        <w:t>Hereditary angioedema prevalence and satisfaction with prophylaxis in South Australia</w:t>
      </w:r>
      <w:r w:rsidR="001B7107">
        <w:t xml:space="preserve">. </w:t>
      </w:r>
      <w:r>
        <w:t>World Allergy Organization Journal</w:t>
      </w:r>
      <w:r w:rsidR="001B7107">
        <w:t>, 1</w:t>
      </w:r>
      <w:r>
        <w:t>7</w:t>
      </w:r>
      <w:r w:rsidR="001B7107">
        <w:t>(</w:t>
      </w:r>
      <w:r>
        <w:t>7</w:t>
      </w:r>
      <w:r w:rsidR="001B7107">
        <w:t>)</w:t>
      </w:r>
      <w:r w:rsidR="00F97488">
        <w:t>.</w:t>
      </w:r>
      <w:r w:rsidR="002D3B5A">
        <w:t xml:space="preserve"> </w:t>
      </w:r>
      <w:hyperlink r:id="rId4" w:history="1">
        <w:r w:rsidR="002D3B5A" w:rsidRPr="00A770FC">
          <w:rPr>
            <w:rStyle w:val="Hyperlink"/>
          </w:rPr>
          <w:t>https://doi.org/10.1016/j.waojou.2024.100918</w:t>
        </w:r>
      </w:hyperlink>
      <w:r w:rsidR="002D3B5A">
        <w:t xml:space="preserve"> </w:t>
      </w:r>
    </w:p>
  </w:footnote>
  <w:footnote w:id="6">
    <w:p w14:paraId="54FA5A8C" w14:textId="0780E463" w:rsidR="008340DD" w:rsidRDefault="008340DD">
      <w:pPr>
        <w:pStyle w:val="FootnoteText"/>
      </w:pPr>
      <w:r>
        <w:rPr>
          <w:rStyle w:val="FootnoteReference"/>
        </w:rPr>
        <w:footnoteRef/>
      </w:r>
      <w:r>
        <w:t xml:space="preserve"> </w:t>
      </w:r>
      <w:r w:rsidR="002375D5">
        <w:t xml:space="preserve">Australian Society of Clinical Immunology and Allergy (ASCIA) (2022) </w:t>
      </w:r>
      <w:r w:rsidR="00312416" w:rsidRPr="00312416">
        <w:t>Updated ASCIA HAE Position Paper 2022</w:t>
      </w:r>
      <w:r w:rsidR="00A31705">
        <w:t>: Information for Health Professionals</w:t>
      </w:r>
      <w:r w:rsidR="00312416">
        <w:t>. Updated October 2022</w:t>
      </w:r>
      <w:r w:rsidR="00852B4D">
        <w:t>; Page 11.</w:t>
      </w:r>
      <w:r w:rsidR="00852B4D" w:rsidRPr="00852B4D">
        <w:t xml:space="preserve"> </w:t>
      </w:r>
      <w:hyperlink r:id="rId5" w:history="1">
        <w:r w:rsidR="00852B4D" w:rsidRPr="00B97B05">
          <w:rPr>
            <w:rStyle w:val="Hyperlink"/>
          </w:rPr>
          <w:t>https://www.allergy.org.au/images/docs/ASCIA_HP_Position_Paper_HAE_2022_Updated_Nov.pdf</w:t>
        </w:r>
      </w:hyperlink>
      <w:r w:rsidR="00852B4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62C0C" w14:textId="74308B2B" w:rsidR="00AD0779" w:rsidRDefault="00AD0779">
    <w:pPr>
      <w:pStyle w:val="Header"/>
    </w:pPr>
    <w:r>
      <w:rPr>
        <w:noProof/>
      </w:rPr>
      <mc:AlternateContent>
        <mc:Choice Requires="wps">
          <w:drawing>
            <wp:anchor distT="0" distB="0" distL="0" distR="0" simplePos="0" relativeHeight="251660288" behindDoc="0" locked="0" layoutInCell="1" allowOverlap="1" wp14:anchorId="0557DA0D" wp14:editId="707774FC">
              <wp:simplePos x="635" y="635"/>
              <wp:positionH relativeFrom="page">
                <wp:align>center</wp:align>
              </wp:positionH>
              <wp:positionV relativeFrom="page">
                <wp:align>top</wp:align>
              </wp:positionV>
              <wp:extent cx="622300" cy="391160"/>
              <wp:effectExtent l="0" t="0" r="6350" b="8890"/>
              <wp:wrapNone/>
              <wp:docPr id="99545553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A99F3F9" w14:textId="4F315FFD"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557DA0D"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" filled="f" stroked="f">
              <v:textbox style="mso-fit-shape-to-text:t" inset="0,15pt,0,0">
                <w:txbxContent>
                  <w:p w14:paraId="0A99F3F9" w14:textId="4F315FFD"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3517" w14:textId="0F5989BE" w:rsidR="007452E8" w:rsidRPr="00CB0550" w:rsidRDefault="00AD0779" w:rsidP="00CB0550">
    <w:pPr>
      <w:pStyle w:val="Header"/>
      <w:jc w:val="left"/>
    </w:pPr>
    <w:r>
      <w:rPr>
        <w:noProof/>
      </w:rPr>
      <mc:AlternateContent>
        <mc:Choice Requires="wps">
          <w:drawing>
            <wp:anchor distT="0" distB="0" distL="0" distR="0" simplePos="0" relativeHeight="251661312" behindDoc="0" locked="0" layoutInCell="1" allowOverlap="1" wp14:anchorId="7905F89D" wp14:editId="6610DC88">
              <wp:simplePos x="635" y="635"/>
              <wp:positionH relativeFrom="page">
                <wp:align>center</wp:align>
              </wp:positionH>
              <wp:positionV relativeFrom="page">
                <wp:align>top</wp:align>
              </wp:positionV>
              <wp:extent cx="622300" cy="391160"/>
              <wp:effectExtent l="0" t="0" r="6350" b="8890"/>
              <wp:wrapNone/>
              <wp:docPr id="48261711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DCB9650" w14:textId="26522E04"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05F89D" id="_x0000_t202" coordsize="21600,21600" o:spt="202" path="m,l,21600r21600,l21600,xe">
              <v:stroke joinstyle="miter"/>
              <v:path gradientshapeok="t" o:connecttype="rect"/>
            </v:shapetype>
            <v:shape id="Text Box 3" o:spid="_x0000_s1027" type="#_x0000_t202" alt="OFFICIAL" style="position:absolute;margin-left:0;margin-top:0;width:49pt;height:30.8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1DCB9650" w14:textId="26522E04"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7452E8" w:rsidRPr="002B29B2" w14:paraId="3E15C3BC" w14:textId="77777777" w:rsidTr="007452E8">
      <w:trPr>
        <w:trHeight w:hRule="exact" w:val="8845"/>
      </w:trPr>
      <w:tc>
        <w:tcPr>
          <w:tcW w:w="11964" w:type="dxa"/>
          <w:vAlign w:val="center"/>
        </w:tcPr>
        <w:p w14:paraId="6FDE4BFB" w14:textId="709E04E4" w:rsidR="007452E8" w:rsidRPr="002B29B2" w:rsidRDefault="00E94A62" w:rsidP="007452E8">
          <w:pPr>
            <w:ind w:left="-57"/>
            <w:rPr>
              <w:noProof/>
            </w:rPr>
          </w:pPr>
          <w:sdt>
            <w:sdtPr>
              <w:rPr>
                <w:noProof/>
              </w:rPr>
              <w:id w:val="1926993388"/>
              <w:showingPlcHdr/>
              <w:picture/>
            </w:sdtPr>
            <w:sdtEndPr/>
            <w:sdtContent>
              <w:r w:rsidR="007452E8" w:rsidRPr="00F71E1E">
                <w:rPr>
                  <w:noProof/>
                  <w:lang w:val="en-GB" w:eastAsia="en-GB"/>
                </w:rPr>
                <w:drawing>
                  <wp:inline distT="0" distB="0" distL="0" distR="0" wp14:anchorId="5C7F8AC9" wp14:editId="23FC1BBE">
                    <wp:extent cx="7631430" cy="5523865"/>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1430" cy="5523865"/>
                            </a:xfrm>
                            <a:prstGeom prst="rect">
                              <a:avLst/>
                            </a:prstGeom>
                            <a:noFill/>
                            <a:ln w="9525">
                              <a:noFill/>
                              <a:miter lim="800000"/>
                              <a:headEnd/>
                              <a:tailEnd/>
                            </a:ln>
                          </pic:spPr>
                        </pic:pic>
                      </a:graphicData>
                    </a:graphic>
                  </wp:inline>
                </w:drawing>
              </w:r>
            </w:sdtContent>
          </w:sdt>
        </w:p>
      </w:tc>
    </w:tr>
  </w:tbl>
  <w:p w14:paraId="6402DE55" w14:textId="46B656A2" w:rsidR="007452E8" w:rsidRDefault="0006693A" w:rsidP="007452E8">
    <w:pPr>
      <w:rPr>
        <w:noProof/>
      </w:rPr>
    </w:pPr>
    <w:r>
      <w:rPr>
        <w:noProof/>
      </w:rPr>
      <w:drawing>
        <wp:inline distT="0" distB="0" distL="0" distR="0" wp14:anchorId="26654E9F" wp14:editId="78E105AB">
          <wp:extent cx="3344545" cy="694055"/>
          <wp:effectExtent l="0" t="0" r="8255" b="0"/>
          <wp:docPr id="1596027861"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027861" name="Picture 2"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44545" cy="694055"/>
                  </a:xfrm>
                  <a:prstGeom prst="rect">
                    <a:avLst/>
                  </a:prstGeom>
                  <a:noFill/>
                  <a:ln>
                    <a:noFill/>
                  </a:ln>
                </pic:spPr>
              </pic:pic>
            </a:graphicData>
          </a:graphic>
        </wp:inline>
      </w:drawing>
    </w:r>
    <w:r w:rsidR="007452E8" w:rsidRPr="002B29B2">
      <w:rPr>
        <w:noProof/>
        <w:lang w:val="en-GB" w:eastAsia="en-GB"/>
      </w:rPr>
      <w:drawing>
        <wp:anchor distT="0" distB="0" distL="114300" distR="114300" simplePos="0" relativeHeight="251658240" behindDoc="0" locked="0" layoutInCell="0" allowOverlap="1" wp14:anchorId="14BBEAC1" wp14:editId="5D9F0498">
          <wp:simplePos x="0" y="0"/>
          <wp:positionH relativeFrom="page">
            <wp:align>left</wp:align>
          </wp:positionH>
          <wp:positionV relativeFrom="page">
            <wp:posOffset>3239495</wp:posOffset>
          </wp:positionV>
          <wp:extent cx="7663815" cy="4323091"/>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1632D" w14:textId="1F0F0800" w:rsidR="007452E8" w:rsidRDefault="00AD0779" w:rsidP="007452E8">
    <w:pPr>
      <w:pStyle w:val="Header"/>
    </w:pPr>
    <w:r>
      <w:rPr>
        <w:noProof/>
      </w:rPr>
      <mc:AlternateContent>
        <mc:Choice Requires="wps">
          <w:drawing>
            <wp:anchor distT="0" distB="0" distL="0" distR="0" simplePos="0" relativeHeight="251662336" behindDoc="0" locked="0" layoutInCell="1" allowOverlap="1" wp14:anchorId="1EB2A9A4" wp14:editId="74D29409">
              <wp:simplePos x="901065" y="364490"/>
              <wp:positionH relativeFrom="page">
                <wp:align>center</wp:align>
              </wp:positionH>
              <wp:positionV relativeFrom="page">
                <wp:align>top</wp:align>
              </wp:positionV>
              <wp:extent cx="622300" cy="391160"/>
              <wp:effectExtent l="0" t="0" r="6350" b="8890"/>
              <wp:wrapNone/>
              <wp:docPr id="77074406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606CB4E" w14:textId="0DB2540B"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B2A9A4" id="_x0000_t202" coordsize="21600,21600" o:spt="202" path="m,l,21600r21600,l21600,xe">
              <v:stroke joinstyle="miter"/>
              <v:path gradientshapeok="t" o:connecttype="rect"/>
            </v:shapetype>
            <v:shape id="Text Box 4" o:spid="_x0000_s1030" type="#_x0000_t202" alt="OFFICIAL" style="position:absolute;left:0;text-align:left;margin-left:0;margin-top:0;width:49pt;height:30.8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4606CB4E" w14:textId="0DB2540B"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r w:rsidR="007452E8"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B477B" w14:textId="292BEA7D" w:rsidR="007452E8" w:rsidRPr="00FE501F" w:rsidRDefault="00AD0779" w:rsidP="007452E8">
    <w:pPr>
      <w:pStyle w:val="Headernoline"/>
    </w:pPr>
    <w:r>
      <w:rPr>
        <w:noProof/>
      </w:rPr>
      <mc:AlternateContent>
        <mc:Choice Requires="wps">
          <w:drawing>
            <wp:anchor distT="0" distB="0" distL="0" distR="0" simplePos="0" relativeHeight="251663360" behindDoc="0" locked="0" layoutInCell="1" allowOverlap="1" wp14:anchorId="14CF7875" wp14:editId="221E48B7">
              <wp:simplePos x="635" y="635"/>
              <wp:positionH relativeFrom="page">
                <wp:align>center</wp:align>
              </wp:positionH>
              <wp:positionV relativeFrom="page">
                <wp:align>top</wp:align>
              </wp:positionV>
              <wp:extent cx="622300" cy="391160"/>
              <wp:effectExtent l="0" t="0" r="6350" b="8890"/>
              <wp:wrapNone/>
              <wp:docPr id="139542116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AA06CAA" w14:textId="0775851C"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4CF7875" id="_x0000_t202" coordsize="21600,21600" o:spt="202" path="m,l,21600r21600,l21600,xe">
              <v:stroke joinstyle="miter"/>
              <v:path gradientshapeok="t" o:connecttype="rect"/>
            </v:shapetype>
            <v:shape id="Text Box 5" o:spid="_x0000_s1031" type="#_x0000_t202" alt="OFFICIAL" style="position:absolute;left:0;text-align:left;margin-left:0;margin-top:0;width:49pt;height:30.8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n97tXDQIAABwEAAAO&#10;AAAAAAAAAAAAAAAAAC4CAABkcnMvZTJvRG9jLnhtbFBLAQItABQABgAIAAAAIQBhokho2AAAAAMB&#10;AAAPAAAAAAAAAAAAAAAAAGcEAABkcnMvZG93bnJldi54bWxQSwUGAAAAAAQABADzAAAAbAUAAAAA&#10;" filled="f" stroked="f">
              <v:textbox style="mso-fit-shape-to-text:t" inset="0,15pt,0,0">
                <w:txbxContent>
                  <w:p w14:paraId="4AA06CAA" w14:textId="0775851C" w:rsidR="00AD0779" w:rsidRPr="00AD0779" w:rsidRDefault="00AD0779" w:rsidP="00AD0779">
                    <w:pPr>
                      <w:spacing w:after="0"/>
                      <w:rPr>
                        <w:rFonts w:ascii="Aptos" w:eastAsia="Aptos" w:hAnsi="Aptos" w:cs="Aptos"/>
                        <w:noProof/>
                        <w:color w:val="FF0000"/>
                        <w:sz w:val="24"/>
                        <w:szCs w:val="24"/>
                      </w:rPr>
                    </w:pPr>
                    <w:r w:rsidRPr="00AD0779">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4589"/>
    <w:multiLevelType w:val="hybridMultilevel"/>
    <w:tmpl w:val="F11ED084"/>
    <w:lvl w:ilvl="0" w:tplc="1ECAAC20">
      <w:start w:val="3"/>
      <w:numFmt w:val="bullet"/>
      <w:lvlText w:val=""/>
      <w:lvlJc w:val="left"/>
      <w:pPr>
        <w:ind w:left="530" w:hanging="360"/>
      </w:pPr>
      <w:rPr>
        <w:rFonts w:ascii="Symbol" w:eastAsia="Cambria" w:hAnsi="Symbol" w:cs="Times New Roman"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1" w15:restartNumberingAfterBreak="0">
    <w:nsid w:val="0B1D0985"/>
    <w:multiLevelType w:val="hybridMultilevel"/>
    <w:tmpl w:val="E326CEE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E9108CD"/>
    <w:multiLevelType w:val="hybridMultilevel"/>
    <w:tmpl w:val="F07C7BCA"/>
    <w:lvl w:ilvl="0" w:tplc="7E7496A6">
      <w:start w:val="1"/>
      <w:numFmt w:val="bullet"/>
      <w:pStyle w:val="Bulletlis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053F11"/>
    <w:multiLevelType w:val="multilevel"/>
    <w:tmpl w:val="9B4A173E"/>
    <w:styleLink w:val="NumberBullet"/>
    <w:lvl w:ilvl="0">
      <w:start w:val="1"/>
      <w:numFmt w:val="decimal"/>
      <w:pStyle w:val="Numberbullet0"/>
      <w:lvlText w:val="%1."/>
      <w:lvlJc w:val="left"/>
      <w:pPr>
        <w:ind w:left="360" w:hanging="360"/>
      </w:pPr>
      <w:rPr>
        <w:rFonts w:ascii="Arial" w:hAnsi="Arial"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11954162"/>
    <w:multiLevelType w:val="hybridMultilevel"/>
    <w:tmpl w:val="21E0E150"/>
    <w:lvl w:ilvl="0" w:tplc="66A8C192">
      <w:start w:val="1"/>
      <w:numFmt w:val="bullet"/>
      <w:lvlText w:val=""/>
      <w:lvlJc w:val="left"/>
      <w:pPr>
        <w:ind w:left="720" w:hanging="360"/>
      </w:pPr>
      <w:rPr>
        <w:rFonts w:ascii="Symbol" w:hAnsi="Symbol"/>
      </w:rPr>
    </w:lvl>
    <w:lvl w:ilvl="1" w:tplc="816C6ABA">
      <w:start w:val="1"/>
      <w:numFmt w:val="bullet"/>
      <w:lvlText w:val=""/>
      <w:lvlJc w:val="left"/>
      <w:pPr>
        <w:ind w:left="720" w:hanging="360"/>
      </w:pPr>
      <w:rPr>
        <w:rFonts w:ascii="Symbol" w:hAnsi="Symbol"/>
      </w:rPr>
    </w:lvl>
    <w:lvl w:ilvl="2" w:tplc="FA228082">
      <w:start w:val="1"/>
      <w:numFmt w:val="bullet"/>
      <w:lvlText w:val=""/>
      <w:lvlJc w:val="left"/>
      <w:pPr>
        <w:ind w:left="720" w:hanging="360"/>
      </w:pPr>
      <w:rPr>
        <w:rFonts w:ascii="Symbol" w:hAnsi="Symbol"/>
      </w:rPr>
    </w:lvl>
    <w:lvl w:ilvl="3" w:tplc="5FFA528C">
      <w:start w:val="1"/>
      <w:numFmt w:val="bullet"/>
      <w:lvlText w:val=""/>
      <w:lvlJc w:val="left"/>
      <w:pPr>
        <w:ind w:left="720" w:hanging="360"/>
      </w:pPr>
      <w:rPr>
        <w:rFonts w:ascii="Symbol" w:hAnsi="Symbol"/>
      </w:rPr>
    </w:lvl>
    <w:lvl w:ilvl="4" w:tplc="1ADE0C1E">
      <w:start w:val="1"/>
      <w:numFmt w:val="bullet"/>
      <w:lvlText w:val=""/>
      <w:lvlJc w:val="left"/>
      <w:pPr>
        <w:ind w:left="720" w:hanging="360"/>
      </w:pPr>
      <w:rPr>
        <w:rFonts w:ascii="Symbol" w:hAnsi="Symbol"/>
      </w:rPr>
    </w:lvl>
    <w:lvl w:ilvl="5" w:tplc="1FC2A16A">
      <w:start w:val="1"/>
      <w:numFmt w:val="bullet"/>
      <w:lvlText w:val=""/>
      <w:lvlJc w:val="left"/>
      <w:pPr>
        <w:ind w:left="720" w:hanging="360"/>
      </w:pPr>
      <w:rPr>
        <w:rFonts w:ascii="Symbol" w:hAnsi="Symbol"/>
      </w:rPr>
    </w:lvl>
    <w:lvl w:ilvl="6" w:tplc="CC9273EE">
      <w:start w:val="1"/>
      <w:numFmt w:val="bullet"/>
      <w:lvlText w:val=""/>
      <w:lvlJc w:val="left"/>
      <w:pPr>
        <w:ind w:left="720" w:hanging="360"/>
      </w:pPr>
      <w:rPr>
        <w:rFonts w:ascii="Symbol" w:hAnsi="Symbol"/>
      </w:rPr>
    </w:lvl>
    <w:lvl w:ilvl="7" w:tplc="D0167D44">
      <w:start w:val="1"/>
      <w:numFmt w:val="bullet"/>
      <w:lvlText w:val=""/>
      <w:lvlJc w:val="left"/>
      <w:pPr>
        <w:ind w:left="720" w:hanging="360"/>
      </w:pPr>
      <w:rPr>
        <w:rFonts w:ascii="Symbol" w:hAnsi="Symbol"/>
      </w:rPr>
    </w:lvl>
    <w:lvl w:ilvl="8" w:tplc="19C639C8">
      <w:start w:val="1"/>
      <w:numFmt w:val="bullet"/>
      <w:lvlText w:val=""/>
      <w:lvlJc w:val="left"/>
      <w:pPr>
        <w:ind w:left="720" w:hanging="360"/>
      </w:pPr>
      <w:rPr>
        <w:rFonts w:ascii="Symbol" w:hAnsi="Symbol"/>
      </w:rPr>
    </w:lvl>
  </w:abstractNum>
  <w:abstractNum w:abstractNumId="5" w15:restartNumberingAfterBreak="0">
    <w:nsid w:val="14913D98"/>
    <w:multiLevelType w:val="hybridMultilevel"/>
    <w:tmpl w:val="C4046396"/>
    <w:lvl w:ilvl="0" w:tplc="5C581B76">
      <w:start w:val="3"/>
      <w:numFmt w:val="bullet"/>
      <w:lvlText w:val=""/>
      <w:lvlJc w:val="left"/>
      <w:pPr>
        <w:ind w:left="530" w:hanging="360"/>
      </w:pPr>
      <w:rPr>
        <w:rFonts w:ascii="Symbol" w:eastAsia="Cambria" w:hAnsi="Symbol" w:cs="Times New Roman" w:hint="default"/>
      </w:rPr>
    </w:lvl>
    <w:lvl w:ilvl="1" w:tplc="0C090003" w:tentative="1">
      <w:start w:val="1"/>
      <w:numFmt w:val="bullet"/>
      <w:lvlText w:val="o"/>
      <w:lvlJc w:val="left"/>
      <w:pPr>
        <w:ind w:left="1250" w:hanging="360"/>
      </w:pPr>
      <w:rPr>
        <w:rFonts w:ascii="Courier New" w:hAnsi="Courier New" w:cs="Courier New" w:hint="default"/>
      </w:rPr>
    </w:lvl>
    <w:lvl w:ilvl="2" w:tplc="0C090005" w:tentative="1">
      <w:start w:val="1"/>
      <w:numFmt w:val="bullet"/>
      <w:lvlText w:val=""/>
      <w:lvlJc w:val="left"/>
      <w:pPr>
        <w:ind w:left="1970" w:hanging="360"/>
      </w:pPr>
      <w:rPr>
        <w:rFonts w:ascii="Wingdings" w:hAnsi="Wingdings" w:hint="default"/>
      </w:rPr>
    </w:lvl>
    <w:lvl w:ilvl="3" w:tplc="0C090001" w:tentative="1">
      <w:start w:val="1"/>
      <w:numFmt w:val="bullet"/>
      <w:lvlText w:val=""/>
      <w:lvlJc w:val="left"/>
      <w:pPr>
        <w:ind w:left="2690" w:hanging="360"/>
      </w:pPr>
      <w:rPr>
        <w:rFonts w:ascii="Symbol" w:hAnsi="Symbol" w:hint="default"/>
      </w:rPr>
    </w:lvl>
    <w:lvl w:ilvl="4" w:tplc="0C090003" w:tentative="1">
      <w:start w:val="1"/>
      <w:numFmt w:val="bullet"/>
      <w:lvlText w:val="o"/>
      <w:lvlJc w:val="left"/>
      <w:pPr>
        <w:ind w:left="3410" w:hanging="360"/>
      </w:pPr>
      <w:rPr>
        <w:rFonts w:ascii="Courier New" w:hAnsi="Courier New" w:cs="Courier New" w:hint="default"/>
      </w:rPr>
    </w:lvl>
    <w:lvl w:ilvl="5" w:tplc="0C090005" w:tentative="1">
      <w:start w:val="1"/>
      <w:numFmt w:val="bullet"/>
      <w:lvlText w:val=""/>
      <w:lvlJc w:val="left"/>
      <w:pPr>
        <w:ind w:left="4130" w:hanging="360"/>
      </w:pPr>
      <w:rPr>
        <w:rFonts w:ascii="Wingdings" w:hAnsi="Wingdings" w:hint="default"/>
      </w:rPr>
    </w:lvl>
    <w:lvl w:ilvl="6" w:tplc="0C090001" w:tentative="1">
      <w:start w:val="1"/>
      <w:numFmt w:val="bullet"/>
      <w:lvlText w:val=""/>
      <w:lvlJc w:val="left"/>
      <w:pPr>
        <w:ind w:left="4850" w:hanging="360"/>
      </w:pPr>
      <w:rPr>
        <w:rFonts w:ascii="Symbol" w:hAnsi="Symbol" w:hint="default"/>
      </w:rPr>
    </w:lvl>
    <w:lvl w:ilvl="7" w:tplc="0C090003" w:tentative="1">
      <w:start w:val="1"/>
      <w:numFmt w:val="bullet"/>
      <w:lvlText w:val="o"/>
      <w:lvlJc w:val="left"/>
      <w:pPr>
        <w:ind w:left="5570" w:hanging="360"/>
      </w:pPr>
      <w:rPr>
        <w:rFonts w:ascii="Courier New" w:hAnsi="Courier New" w:cs="Courier New" w:hint="default"/>
      </w:rPr>
    </w:lvl>
    <w:lvl w:ilvl="8" w:tplc="0C090005" w:tentative="1">
      <w:start w:val="1"/>
      <w:numFmt w:val="bullet"/>
      <w:lvlText w:val=""/>
      <w:lvlJc w:val="left"/>
      <w:pPr>
        <w:ind w:left="6290" w:hanging="360"/>
      </w:pPr>
      <w:rPr>
        <w:rFonts w:ascii="Wingdings" w:hAnsi="Wingdings" w:hint="default"/>
      </w:rPr>
    </w:lvl>
  </w:abstractNum>
  <w:abstractNum w:abstractNumId="6"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68F13E9"/>
    <w:multiLevelType w:val="multilevel"/>
    <w:tmpl w:val="520883D8"/>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15:restartNumberingAfterBreak="0">
    <w:nsid w:val="17A53F58"/>
    <w:multiLevelType w:val="hybridMultilevel"/>
    <w:tmpl w:val="9006CE9C"/>
    <w:lvl w:ilvl="0" w:tplc="CCE608D2">
      <w:start w:val="1"/>
      <w:numFmt w:val="bullet"/>
      <w:lvlText w:val=""/>
      <w:lvlJc w:val="left"/>
      <w:pPr>
        <w:ind w:left="720" w:hanging="360"/>
      </w:pPr>
      <w:rPr>
        <w:rFonts w:ascii="Symbol" w:hAnsi="Symbol"/>
      </w:rPr>
    </w:lvl>
    <w:lvl w:ilvl="1" w:tplc="DD000D32">
      <w:start w:val="1"/>
      <w:numFmt w:val="bullet"/>
      <w:lvlText w:val=""/>
      <w:lvlJc w:val="left"/>
      <w:pPr>
        <w:ind w:left="720" w:hanging="360"/>
      </w:pPr>
      <w:rPr>
        <w:rFonts w:ascii="Symbol" w:hAnsi="Symbol"/>
      </w:rPr>
    </w:lvl>
    <w:lvl w:ilvl="2" w:tplc="B9A68454">
      <w:start w:val="1"/>
      <w:numFmt w:val="bullet"/>
      <w:lvlText w:val=""/>
      <w:lvlJc w:val="left"/>
      <w:pPr>
        <w:ind w:left="720" w:hanging="360"/>
      </w:pPr>
      <w:rPr>
        <w:rFonts w:ascii="Symbol" w:hAnsi="Symbol"/>
      </w:rPr>
    </w:lvl>
    <w:lvl w:ilvl="3" w:tplc="0F56BB88">
      <w:start w:val="1"/>
      <w:numFmt w:val="bullet"/>
      <w:lvlText w:val=""/>
      <w:lvlJc w:val="left"/>
      <w:pPr>
        <w:ind w:left="720" w:hanging="360"/>
      </w:pPr>
      <w:rPr>
        <w:rFonts w:ascii="Symbol" w:hAnsi="Symbol"/>
      </w:rPr>
    </w:lvl>
    <w:lvl w:ilvl="4" w:tplc="CD46838A">
      <w:start w:val="1"/>
      <w:numFmt w:val="bullet"/>
      <w:lvlText w:val=""/>
      <w:lvlJc w:val="left"/>
      <w:pPr>
        <w:ind w:left="720" w:hanging="360"/>
      </w:pPr>
      <w:rPr>
        <w:rFonts w:ascii="Symbol" w:hAnsi="Symbol"/>
      </w:rPr>
    </w:lvl>
    <w:lvl w:ilvl="5" w:tplc="BBAA1BCC">
      <w:start w:val="1"/>
      <w:numFmt w:val="bullet"/>
      <w:lvlText w:val=""/>
      <w:lvlJc w:val="left"/>
      <w:pPr>
        <w:ind w:left="720" w:hanging="360"/>
      </w:pPr>
      <w:rPr>
        <w:rFonts w:ascii="Symbol" w:hAnsi="Symbol"/>
      </w:rPr>
    </w:lvl>
    <w:lvl w:ilvl="6" w:tplc="BF04908C">
      <w:start w:val="1"/>
      <w:numFmt w:val="bullet"/>
      <w:lvlText w:val=""/>
      <w:lvlJc w:val="left"/>
      <w:pPr>
        <w:ind w:left="720" w:hanging="360"/>
      </w:pPr>
      <w:rPr>
        <w:rFonts w:ascii="Symbol" w:hAnsi="Symbol"/>
      </w:rPr>
    </w:lvl>
    <w:lvl w:ilvl="7" w:tplc="E4DC650E">
      <w:start w:val="1"/>
      <w:numFmt w:val="bullet"/>
      <w:lvlText w:val=""/>
      <w:lvlJc w:val="left"/>
      <w:pPr>
        <w:ind w:left="720" w:hanging="360"/>
      </w:pPr>
      <w:rPr>
        <w:rFonts w:ascii="Symbol" w:hAnsi="Symbol"/>
      </w:rPr>
    </w:lvl>
    <w:lvl w:ilvl="8" w:tplc="2CE8444E">
      <w:start w:val="1"/>
      <w:numFmt w:val="bullet"/>
      <w:lvlText w:val=""/>
      <w:lvlJc w:val="left"/>
      <w:pPr>
        <w:ind w:left="720" w:hanging="360"/>
      </w:pPr>
      <w:rPr>
        <w:rFonts w:ascii="Symbol" w:hAnsi="Symbol"/>
      </w:rPr>
    </w:lvl>
  </w:abstractNum>
  <w:abstractNum w:abstractNumId="9"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0" w15:restartNumberingAfterBreak="0">
    <w:nsid w:val="2BEF2890"/>
    <w:multiLevelType w:val="hybridMultilevel"/>
    <w:tmpl w:val="BF5CCAD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46836578"/>
    <w:multiLevelType w:val="hybridMultilevel"/>
    <w:tmpl w:val="F350D9EC"/>
    <w:lvl w:ilvl="0" w:tplc="B8AAF4A2">
      <w:start w:val="1"/>
      <w:numFmt w:val="bullet"/>
      <w:lvlText w:val=""/>
      <w:lvlJc w:val="left"/>
      <w:pPr>
        <w:ind w:left="720" w:hanging="360"/>
      </w:pPr>
      <w:rPr>
        <w:rFonts w:ascii="Symbol" w:hAnsi="Symbol"/>
      </w:rPr>
    </w:lvl>
    <w:lvl w:ilvl="1" w:tplc="B63ED5FC">
      <w:start w:val="1"/>
      <w:numFmt w:val="bullet"/>
      <w:lvlText w:val=""/>
      <w:lvlJc w:val="left"/>
      <w:pPr>
        <w:ind w:left="720" w:hanging="360"/>
      </w:pPr>
      <w:rPr>
        <w:rFonts w:ascii="Symbol" w:hAnsi="Symbol"/>
      </w:rPr>
    </w:lvl>
    <w:lvl w:ilvl="2" w:tplc="C9C41D84">
      <w:start w:val="1"/>
      <w:numFmt w:val="bullet"/>
      <w:lvlText w:val=""/>
      <w:lvlJc w:val="left"/>
      <w:pPr>
        <w:ind w:left="720" w:hanging="360"/>
      </w:pPr>
      <w:rPr>
        <w:rFonts w:ascii="Symbol" w:hAnsi="Symbol"/>
      </w:rPr>
    </w:lvl>
    <w:lvl w:ilvl="3" w:tplc="A9FCBD70">
      <w:start w:val="1"/>
      <w:numFmt w:val="bullet"/>
      <w:lvlText w:val=""/>
      <w:lvlJc w:val="left"/>
      <w:pPr>
        <w:ind w:left="720" w:hanging="360"/>
      </w:pPr>
      <w:rPr>
        <w:rFonts w:ascii="Symbol" w:hAnsi="Symbol"/>
      </w:rPr>
    </w:lvl>
    <w:lvl w:ilvl="4" w:tplc="28B4DAE8">
      <w:start w:val="1"/>
      <w:numFmt w:val="bullet"/>
      <w:lvlText w:val=""/>
      <w:lvlJc w:val="left"/>
      <w:pPr>
        <w:ind w:left="720" w:hanging="360"/>
      </w:pPr>
      <w:rPr>
        <w:rFonts w:ascii="Symbol" w:hAnsi="Symbol"/>
      </w:rPr>
    </w:lvl>
    <w:lvl w:ilvl="5" w:tplc="7C5A0216">
      <w:start w:val="1"/>
      <w:numFmt w:val="bullet"/>
      <w:lvlText w:val=""/>
      <w:lvlJc w:val="left"/>
      <w:pPr>
        <w:ind w:left="720" w:hanging="360"/>
      </w:pPr>
      <w:rPr>
        <w:rFonts w:ascii="Symbol" w:hAnsi="Symbol"/>
      </w:rPr>
    </w:lvl>
    <w:lvl w:ilvl="6" w:tplc="5D96E20E">
      <w:start w:val="1"/>
      <w:numFmt w:val="bullet"/>
      <w:lvlText w:val=""/>
      <w:lvlJc w:val="left"/>
      <w:pPr>
        <w:ind w:left="720" w:hanging="360"/>
      </w:pPr>
      <w:rPr>
        <w:rFonts w:ascii="Symbol" w:hAnsi="Symbol"/>
      </w:rPr>
    </w:lvl>
    <w:lvl w:ilvl="7" w:tplc="B96E25EA">
      <w:start w:val="1"/>
      <w:numFmt w:val="bullet"/>
      <w:lvlText w:val=""/>
      <w:lvlJc w:val="left"/>
      <w:pPr>
        <w:ind w:left="720" w:hanging="360"/>
      </w:pPr>
      <w:rPr>
        <w:rFonts w:ascii="Symbol" w:hAnsi="Symbol"/>
      </w:rPr>
    </w:lvl>
    <w:lvl w:ilvl="8" w:tplc="ECF04C6A">
      <w:start w:val="1"/>
      <w:numFmt w:val="bullet"/>
      <w:lvlText w:val=""/>
      <w:lvlJc w:val="left"/>
      <w:pPr>
        <w:ind w:left="720" w:hanging="360"/>
      </w:pPr>
      <w:rPr>
        <w:rFonts w:ascii="Symbol" w:hAnsi="Symbol"/>
      </w:rPr>
    </w:lvl>
  </w:abstractNum>
  <w:abstractNum w:abstractNumId="12" w15:restartNumberingAfterBreak="0">
    <w:nsid w:val="489B15D7"/>
    <w:multiLevelType w:val="hybridMultilevel"/>
    <w:tmpl w:val="3D2E60CC"/>
    <w:lvl w:ilvl="0" w:tplc="04CEB5FC">
      <w:start w:val="1"/>
      <w:numFmt w:val="bullet"/>
      <w:pStyle w:val="Bulletpoint"/>
      <w:lvlText w:val=""/>
      <w:lvlJc w:val="left"/>
      <w:pPr>
        <w:tabs>
          <w:tab w:val="num" w:pos="369"/>
        </w:tabs>
        <w:ind w:left="369" w:hanging="227"/>
      </w:pPr>
      <w:rPr>
        <w:rFonts w:ascii="Symbol" w:hAnsi="Symbol" w:hint="default"/>
        <w:position w:val="0"/>
        <w:sz w:val="22"/>
        <w:szCs w:val="22"/>
      </w:rPr>
    </w:lvl>
    <w:lvl w:ilvl="1" w:tplc="0C090003" w:tentative="1">
      <w:start w:val="1"/>
      <w:numFmt w:val="bullet"/>
      <w:lvlText w:val="o"/>
      <w:lvlJc w:val="left"/>
      <w:pPr>
        <w:tabs>
          <w:tab w:val="num" w:pos="1440"/>
        </w:tabs>
        <w:ind w:left="1440" w:hanging="360"/>
      </w:pPr>
      <w:rPr>
        <w:rFonts w:ascii="Courier New" w:hAnsi="Courier New" w:cs="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Symbol"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Symbol"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4" w15:restartNumberingAfterBreak="0">
    <w:nsid w:val="4F8D23DB"/>
    <w:multiLevelType w:val="hybridMultilevel"/>
    <w:tmpl w:val="9A4A81D0"/>
    <w:lvl w:ilvl="0" w:tplc="898EA3AA">
      <w:start w:val="1"/>
      <w:numFmt w:val="bullet"/>
      <w:lvlText w:val=""/>
      <w:lvlJc w:val="left"/>
      <w:pPr>
        <w:ind w:left="720" w:hanging="360"/>
      </w:pPr>
      <w:rPr>
        <w:rFonts w:ascii="Symbol" w:hAnsi="Symbol"/>
      </w:rPr>
    </w:lvl>
    <w:lvl w:ilvl="1" w:tplc="403E12E2">
      <w:start w:val="1"/>
      <w:numFmt w:val="bullet"/>
      <w:lvlText w:val=""/>
      <w:lvlJc w:val="left"/>
      <w:pPr>
        <w:ind w:left="720" w:hanging="360"/>
      </w:pPr>
      <w:rPr>
        <w:rFonts w:ascii="Symbol" w:hAnsi="Symbol"/>
      </w:rPr>
    </w:lvl>
    <w:lvl w:ilvl="2" w:tplc="C678A248">
      <w:start w:val="1"/>
      <w:numFmt w:val="bullet"/>
      <w:lvlText w:val=""/>
      <w:lvlJc w:val="left"/>
      <w:pPr>
        <w:ind w:left="720" w:hanging="360"/>
      </w:pPr>
      <w:rPr>
        <w:rFonts w:ascii="Symbol" w:hAnsi="Symbol"/>
      </w:rPr>
    </w:lvl>
    <w:lvl w:ilvl="3" w:tplc="4EE4EEBA">
      <w:start w:val="1"/>
      <w:numFmt w:val="bullet"/>
      <w:lvlText w:val=""/>
      <w:lvlJc w:val="left"/>
      <w:pPr>
        <w:ind w:left="720" w:hanging="360"/>
      </w:pPr>
      <w:rPr>
        <w:rFonts w:ascii="Symbol" w:hAnsi="Symbol"/>
      </w:rPr>
    </w:lvl>
    <w:lvl w:ilvl="4" w:tplc="F31E8080">
      <w:start w:val="1"/>
      <w:numFmt w:val="bullet"/>
      <w:lvlText w:val=""/>
      <w:lvlJc w:val="left"/>
      <w:pPr>
        <w:ind w:left="720" w:hanging="360"/>
      </w:pPr>
      <w:rPr>
        <w:rFonts w:ascii="Symbol" w:hAnsi="Symbol"/>
      </w:rPr>
    </w:lvl>
    <w:lvl w:ilvl="5" w:tplc="261AFD6A">
      <w:start w:val="1"/>
      <w:numFmt w:val="bullet"/>
      <w:lvlText w:val=""/>
      <w:lvlJc w:val="left"/>
      <w:pPr>
        <w:ind w:left="720" w:hanging="360"/>
      </w:pPr>
      <w:rPr>
        <w:rFonts w:ascii="Symbol" w:hAnsi="Symbol"/>
      </w:rPr>
    </w:lvl>
    <w:lvl w:ilvl="6" w:tplc="94FC1AF8">
      <w:start w:val="1"/>
      <w:numFmt w:val="bullet"/>
      <w:lvlText w:val=""/>
      <w:lvlJc w:val="left"/>
      <w:pPr>
        <w:ind w:left="720" w:hanging="360"/>
      </w:pPr>
      <w:rPr>
        <w:rFonts w:ascii="Symbol" w:hAnsi="Symbol"/>
      </w:rPr>
    </w:lvl>
    <w:lvl w:ilvl="7" w:tplc="FF503C7C">
      <w:start w:val="1"/>
      <w:numFmt w:val="bullet"/>
      <w:lvlText w:val=""/>
      <w:lvlJc w:val="left"/>
      <w:pPr>
        <w:ind w:left="720" w:hanging="360"/>
      </w:pPr>
      <w:rPr>
        <w:rFonts w:ascii="Symbol" w:hAnsi="Symbol"/>
      </w:rPr>
    </w:lvl>
    <w:lvl w:ilvl="8" w:tplc="E8B4BDE6">
      <w:start w:val="1"/>
      <w:numFmt w:val="bullet"/>
      <w:lvlText w:val=""/>
      <w:lvlJc w:val="left"/>
      <w:pPr>
        <w:ind w:left="720" w:hanging="360"/>
      </w:pPr>
      <w:rPr>
        <w:rFonts w:ascii="Symbol" w:hAnsi="Symbol"/>
      </w:rPr>
    </w:lvl>
  </w:abstractNum>
  <w:abstractNum w:abstractNumId="15"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6F4082C"/>
    <w:multiLevelType w:val="hybridMultilevel"/>
    <w:tmpl w:val="7F405B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59D22096"/>
    <w:multiLevelType w:val="hybridMultilevel"/>
    <w:tmpl w:val="9DF2F518"/>
    <w:lvl w:ilvl="0" w:tplc="480AF4BC">
      <w:start w:val="1"/>
      <w:numFmt w:val="bullet"/>
      <w:lvlText w:val=""/>
      <w:lvlJc w:val="left"/>
      <w:pPr>
        <w:ind w:left="720" w:hanging="360"/>
      </w:pPr>
      <w:rPr>
        <w:rFonts w:ascii="Symbol" w:hAnsi="Symbol"/>
      </w:rPr>
    </w:lvl>
    <w:lvl w:ilvl="1" w:tplc="519064D0">
      <w:start w:val="1"/>
      <w:numFmt w:val="bullet"/>
      <w:lvlText w:val=""/>
      <w:lvlJc w:val="left"/>
      <w:pPr>
        <w:ind w:left="720" w:hanging="360"/>
      </w:pPr>
      <w:rPr>
        <w:rFonts w:ascii="Symbol" w:hAnsi="Symbol"/>
      </w:rPr>
    </w:lvl>
    <w:lvl w:ilvl="2" w:tplc="D5968F16">
      <w:start w:val="1"/>
      <w:numFmt w:val="bullet"/>
      <w:lvlText w:val=""/>
      <w:lvlJc w:val="left"/>
      <w:pPr>
        <w:ind w:left="720" w:hanging="360"/>
      </w:pPr>
      <w:rPr>
        <w:rFonts w:ascii="Symbol" w:hAnsi="Symbol"/>
      </w:rPr>
    </w:lvl>
    <w:lvl w:ilvl="3" w:tplc="E800FA06">
      <w:start w:val="1"/>
      <w:numFmt w:val="bullet"/>
      <w:lvlText w:val=""/>
      <w:lvlJc w:val="left"/>
      <w:pPr>
        <w:ind w:left="720" w:hanging="360"/>
      </w:pPr>
      <w:rPr>
        <w:rFonts w:ascii="Symbol" w:hAnsi="Symbol"/>
      </w:rPr>
    </w:lvl>
    <w:lvl w:ilvl="4" w:tplc="6BCA7B38">
      <w:start w:val="1"/>
      <w:numFmt w:val="bullet"/>
      <w:lvlText w:val=""/>
      <w:lvlJc w:val="left"/>
      <w:pPr>
        <w:ind w:left="720" w:hanging="360"/>
      </w:pPr>
      <w:rPr>
        <w:rFonts w:ascii="Symbol" w:hAnsi="Symbol"/>
      </w:rPr>
    </w:lvl>
    <w:lvl w:ilvl="5" w:tplc="AA40038E">
      <w:start w:val="1"/>
      <w:numFmt w:val="bullet"/>
      <w:lvlText w:val=""/>
      <w:lvlJc w:val="left"/>
      <w:pPr>
        <w:ind w:left="720" w:hanging="360"/>
      </w:pPr>
      <w:rPr>
        <w:rFonts w:ascii="Symbol" w:hAnsi="Symbol"/>
      </w:rPr>
    </w:lvl>
    <w:lvl w:ilvl="6" w:tplc="D34480EE">
      <w:start w:val="1"/>
      <w:numFmt w:val="bullet"/>
      <w:lvlText w:val=""/>
      <w:lvlJc w:val="left"/>
      <w:pPr>
        <w:ind w:left="720" w:hanging="360"/>
      </w:pPr>
      <w:rPr>
        <w:rFonts w:ascii="Symbol" w:hAnsi="Symbol"/>
      </w:rPr>
    </w:lvl>
    <w:lvl w:ilvl="7" w:tplc="BABE86B6">
      <w:start w:val="1"/>
      <w:numFmt w:val="bullet"/>
      <w:lvlText w:val=""/>
      <w:lvlJc w:val="left"/>
      <w:pPr>
        <w:ind w:left="720" w:hanging="360"/>
      </w:pPr>
      <w:rPr>
        <w:rFonts w:ascii="Symbol" w:hAnsi="Symbol"/>
      </w:rPr>
    </w:lvl>
    <w:lvl w:ilvl="8" w:tplc="5AD2833C">
      <w:start w:val="1"/>
      <w:numFmt w:val="bullet"/>
      <w:lvlText w:val=""/>
      <w:lvlJc w:val="left"/>
      <w:pPr>
        <w:ind w:left="720" w:hanging="360"/>
      </w:pPr>
      <w:rPr>
        <w:rFonts w:ascii="Symbol" w:hAnsi="Symbol"/>
      </w:rPr>
    </w:lvl>
  </w:abstractNum>
  <w:abstractNum w:abstractNumId="18" w15:restartNumberingAfterBreak="0">
    <w:nsid w:val="62E1248D"/>
    <w:multiLevelType w:val="hybridMultilevel"/>
    <w:tmpl w:val="29065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6977EEF"/>
    <w:multiLevelType w:val="hybridMultilevel"/>
    <w:tmpl w:val="C0E4814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7278473E"/>
    <w:multiLevelType w:val="hybridMultilevel"/>
    <w:tmpl w:val="2E1EB5D2"/>
    <w:lvl w:ilvl="0" w:tplc="FFFFFFFF">
      <w:start w:val="1"/>
      <w:numFmt w:val="bullet"/>
      <w:lvlText w:val=""/>
      <w:lvlJc w:val="left"/>
      <w:pPr>
        <w:ind w:left="720" w:hanging="360"/>
      </w:pPr>
      <w:rPr>
        <w:rFonts w:ascii="Symbol" w:hAnsi="Symbol" w:hint="default"/>
      </w:rPr>
    </w:lvl>
    <w:lvl w:ilvl="1" w:tplc="17A6BD46">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F93579"/>
    <w:multiLevelType w:val="hybridMultilevel"/>
    <w:tmpl w:val="29920FD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A6379A9"/>
    <w:multiLevelType w:val="hybridMultilevel"/>
    <w:tmpl w:val="4FE8D072"/>
    <w:lvl w:ilvl="0" w:tplc="40AA1BA0">
      <w:start w:val="1"/>
      <w:numFmt w:val="bullet"/>
      <w:lvlText w:val=""/>
      <w:lvlJc w:val="left"/>
      <w:pPr>
        <w:ind w:left="720" w:hanging="360"/>
      </w:pPr>
      <w:rPr>
        <w:rFonts w:ascii="Symbol" w:hAnsi="Symbol"/>
      </w:rPr>
    </w:lvl>
    <w:lvl w:ilvl="1" w:tplc="15A0EAC8">
      <w:start w:val="1"/>
      <w:numFmt w:val="bullet"/>
      <w:lvlText w:val=""/>
      <w:lvlJc w:val="left"/>
      <w:pPr>
        <w:ind w:left="720" w:hanging="360"/>
      </w:pPr>
      <w:rPr>
        <w:rFonts w:ascii="Symbol" w:hAnsi="Symbol"/>
      </w:rPr>
    </w:lvl>
    <w:lvl w:ilvl="2" w:tplc="A2A06F8A">
      <w:start w:val="1"/>
      <w:numFmt w:val="bullet"/>
      <w:lvlText w:val=""/>
      <w:lvlJc w:val="left"/>
      <w:pPr>
        <w:ind w:left="720" w:hanging="360"/>
      </w:pPr>
      <w:rPr>
        <w:rFonts w:ascii="Symbol" w:hAnsi="Symbol"/>
      </w:rPr>
    </w:lvl>
    <w:lvl w:ilvl="3" w:tplc="638C4750">
      <w:start w:val="1"/>
      <w:numFmt w:val="bullet"/>
      <w:lvlText w:val=""/>
      <w:lvlJc w:val="left"/>
      <w:pPr>
        <w:ind w:left="720" w:hanging="360"/>
      </w:pPr>
      <w:rPr>
        <w:rFonts w:ascii="Symbol" w:hAnsi="Symbol"/>
      </w:rPr>
    </w:lvl>
    <w:lvl w:ilvl="4" w:tplc="593CA732">
      <w:start w:val="1"/>
      <w:numFmt w:val="bullet"/>
      <w:lvlText w:val=""/>
      <w:lvlJc w:val="left"/>
      <w:pPr>
        <w:ind w:left="720" w:hanging="360"/>
      </w:pPr>
      <w:rPr>
        <w:rFonts w:ascii="Symbol" w:hAnsi="Symbol"/>
      </w:rPr>
    </w:lvl>
    <w:lvl w:ilvl="5" w:tplc="A2B0A4B0">
      <w:start w:val="1"/>
      <w:numFmt w:val="bullet"/>
      <w:lvlText w:val=""/>
      <w:lvlJc w:val="left"/>
      <w:pPr>
        <w:ind w:left="720" w:hanging="360"/>
      </w:pPr>
      <w:rPr>
        <w:rFonts w:ascii="Symbol" w:hAnsi="Symbol"/>
      </w:rPr>
    </w:lvl>
    <w:lvl w:ilvl="6" w:tplc="60CE26AE">
      <w:start w:val="1"/>
      <w:numFmt w:val="bullet"/>
      <w:lvlText w:val=""/>
      <w:lvlJc w:val="left"/>
      <w:pPr>
        <w:ind w:left="720" w:hanging="360"/>
      </w:pPr>
      <w:rPr>
        <w:rFonts w:ascii="Symbol" w:hAnsi="Symbol"/>
      </w:rPr>
    </w:lvl>
    <w:lvl w:ilvl="7" w:tplc="488A39BE">
      <w:start w:val="1"/>
      <w:numFmt w:val="bullet"/>
      <w:lvlText w:val=""/>
      <w:lvlJc w:val="left"/>
      <w:pPr>
        <w:ind w:left="720" w:hanging="360"/>
      </w:pPr>
      <w:rPr>
        <w:rFonts w:ascii="Symbol" w:hAnsi="Symbol"/>
      </w:rPr>
    </w:lvl>
    <w:lvl w:ilvl="8" w:tplc="C188F4DC">
      <w:start w:val="1"/>
      <w:numFmt w:val="bullet"/>
      <w:lvlText w:val=""/>
      <w:lvlJc w:val="left"/>
      <w:pPr>
        <w:ind w:left="720" w:hanging="360"/>
      </w:pPr>
      <w:rPr>
        <w:rFonts w:ascii="Symbol" w:hAnsi="Symbol"/>
      </w:rPr>
    </w:lvl>
  </w:abstractNum>
  <w:abstractNum w:abstractNumId="23" w15:restartNumberingAfterBreak="0">
    <w:nsid w:val="7AD46435"/>
    <w:multiLevelType w:val="hybridMultilevel"/>
    <w:tmpl w:val="79ECB764"/>
    <w:lvl w:ilvl="0" w:tplc="0C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C0D4236"/>
    <w:multiLevelType w:val="hybridMultilevel"/>
    <w:tmpl w:val="AB86DE42"/>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032997172">
    <w:abstractNumId w:val="7"/>
  </w:num>
  <w:num w:numId="2" w16cid:durableId="1856573705">
    <w:abstractNumId w:val="3"/>
  </w:num>
  <w:num w:numId="3" w16cid:durableId="357703499">
    <w:abstractNumId w:val="6"/>
  </w:num>
  <w:num w:numId="4" w16cid:durableId="1869176708">
    <w:abstractNumId w:val="15"/>
  </w:num>
  <w:num w:numId="5" w16cid:durableId="1652950129">
    <w:abstractNumId w:val="9"/>
  </w:num>
  <w:num w:numId="6" w16cid:durableId="1053193207">
    <w:abstractNumId w:val="13"/>
  </w:num>
  <w:num w:numId="7" w16cid:durableId="201135927">
    <w:abstractNumId w:val="3"/>
    <w:lvlOverride w:ilvl="0">
      <w:startOverride w:val="1"/>
      <w:lvl w:ilvl="0">
        <w:start w:val="1"/>
        <w:numFmt w:val="decimal"/>
        <w:pStyle w:val="Numberbullet0"/>
        <w:lvlText w:val="%1."/>
        <w:lvlJc w:val="left"/>
        <w:pPr>
          <w:ind w:left="425" w:hanging="425"/>
        </w:pPr>
        <w:rPr>
          <w:rFonts w:ascii="Cambria" w:hAnsi="Cambria" w:hint="default"/>
        </w:rPr>
      </w:lvl>
    </w:lvlOverride>
    <w:lvlOverride w:ilvl="1">
      <w:startOverride w:val="1"/>
      <w:lvl w:ilvl="1">
        <w:start w:val="1"/>
        <w:numFmt w:val="lowerLetter"/>
        <w:pStyle w:val="Numberbullet2"/>
        <w:lvlText w:val="%2."/>
        <w:lvlJc w:val="left"/>
        <w:pPr>
          <w:ind w:left="851" w:hanging="426"/>
        </w:pPr>
        <w:rPr>
          <w:rFonts w:hint="default"/>
        </w:rPr>
      </w:lvl>
    </w:lvlOverride>
    <w:lvlOverride w:ilvl="2">
      <w:startOverride w:val="1"/>
      <w:lvl w:ilvl="2">
        <w:start w:val="1"/>
        <w:numFmt w:val="lowerRoman"/>
        <w:lvlText w:val="%3."/>
        <w:lvlJc w:val="left"/>
        <w:pPr>
          <w:ind w:left="1276" w:hanging="425"/>
        </w:pPr>
        <w:rPr>
          <w:rFonts w:hint="default"/>
        </w:rPr>
      </w:lvl>
    </w:lvlOverride>
    <w:lvlOverride w:ilvl="3">
      <w:startOverride w:val="1"/>
      <w:lvl w:ilvl="3">
        <w:start w:val="1"/>
        <w:numFmt w:val="none"/>
        <w:lvlText w:val=""/>
        <w:lvlJc w:val="left"/>
        <w:pPr>
          <w:ind w:left="1276" w:hanging="425"/>
        </w:pPr>
        <w:rPr>
          <w:rFonts w:hint="default"/>
        </w:rPr>
      </w:lvl>
    </w:lvlOverride>
    <w:lvlOverride w:ilvl="4">
      <w:startOverride w:val="1"/>
      <w:lvl w:ilvl="4">
        <w:start w:val="1"/>
        <w:numFmt w:val="none"/>
        <w:lvlText w:val=""/>
        <w:lvlJc w:val="left"/>
        <w:pPr>
          <w:ind w:left="1276" w:hanging="425"/>
        </w:pPr>
        <w:rPr>
          <w:rFonts w:hint="default"/>
        </w:rPr>
      </w:lvl>
    </w:lvlOverride>
    <w:lvlOverride w:ilvl="5">
      <w:startOverride w:val="1"/>
      <w:lvl w:ilvl="5">
        <w:start w:val="1"/>
        <w:numFmt w:val="none"/>
        <w:lvlText w:val=""/>
        <w:lvlJc w:val="left"/>
        <w:pPr>
          <w:ind w:left="1276" w:hanging="425"/>
        </w:pPr>
        <w:rPr>
          <w:rFonts w:hint="default"/>
        </w:rPr>
      </w:lvl>
    </w:lvlOverride>
    <w:lvlOverride w:ilvl="6">
      <w:startOverride w:val="1"/>
      <w:lvl w:ilvl="6">
        <w:start w:val="1"/>
        <w:numFmt w:val="none"/>
        <w:lvlText w:val="%7"/>
        <w:lvlJc w:val="left"/>
        <w:pPr>
          <w:ind w:left="1276" w:hanging="425"/>
        </w:pPr>
        <w:rPr>
          <w:rFonts w:hint="default"/>
        </w:rPr>
      </w:lvl>
    </w:lvlOverride>
    <w:lvlOverride w:ilvl="7">
      <w:startOverride w:val="1"/>
      <w:lvl w:ilvl="7">
        <w:start w:val="1"/>
        <w:numFmt w:val="none"/>
        <w:lvlText w:val=""/>
        <w:lvlJc w:val="left"/>
        <w:pPr>
          <w:ind w:left="1276" w:hanging="425"/>
        </w:pPr>
        <w:rPr>
          <w:rFonts w:hint="default"/>
        </w:rPr>
      </w:lvl>
    </w:lvlOverride>
    <w:lvlOverride w:ilvl="8">
      <w:startOverride w:val="1"/>
      <w:lvl w:ilvl="8">
        <w:start w:val="1"/>
        <w:numFmt w:val="none"/>
        <w:lvlText w:val=""/>
        <w:lvlJc w:val="left"/>
        <w:pPr>
          <w:ind w:left="1276" w:hanging="425"/>
        </w:pPr>
        <w:rPr>
          <w:rFonts w:hint="default"/>
        </w:rPr>
      </w:lvl>
    </w:lvlOverride>
  </w:num>
  <w:num w:numId="8" w16cid:durableId="1604608059">
    <w:abstractNumId w:val="14"/>
  </w:num>
  <w:num w:numId="9" w16cid:durableId="173421270">
    <w:abstractNumId w:val="4"/>
  </w:num>
  <w:num w:numId="10" w16cid:durableId="2108043357">
    <w:abstractNumId w:val="8"/>
  </w:num>
  <w:num w:numId="11" w16cid:durableId="1725904230">
    <w:abstractNumId w:val="11"/>
  </w:num>
  <w:num w:numId="12" w16cid:durableId="141579354">
    <w:abstractNumId w:val="17"/>
  </w:num>
  <w:num w:numId="13" w16cid:durableId="283735081">
    <w:abstractNumId w:val="22"/>
  </w:num>
  <w:num w:numId="14" w16cid:durableId="1366365143">
    <w:abstractNumId w:val="16"/>
  </w:num>
  <w:num w:numId="15" w16cid:durableId="1376806493">
    <w:abstractNumId w:val="12"/>
  </w:num>
  <w:num w:numId="16" w16cid:durableId="658119043">
    <w:abstractNumId w:val="19"/>
  </w:num>
  <w:num w:numId="17" w16cid:durableId="855382443">
    <w:abstractNumId w:val="21"/>
  </w:num>
  <w:num w:numId="18" w16cid:durableId="1003170017">
    <w:abstractNumId w:val="1"/>
  </w:num>
  <w:num w:numId="19" w16cid:durableId="398987867">
    <w:abstractNumId w:val="18"/>
  </w:num>
  <w:num w:numId="20" w16cid:durableId="25953396">
    <w:abstractNumId w:val="24"/>
  </w:num>
  <w:num w:numId="21" w16cid:durableId="1455900513">
    <w:abstractNumId w:val="20"/>
  </w:num>
  <w:num w:numId="22" w16cid:durableId="466361153">
    <w:abstractNumId w:val="23"/>
  </w:num>
  <w:num w:numId="23" w16cid:durableId="1066487313">
    <w:abstractNumId w:val="10"/>
  </w:num>
  <w:num w:numId="24" w16cid:durableId="178393912">
    <w:abstractNumId w:val="2"/>
  </w:num>
  <w:num w:numId="25" w16cid:durableId="1560969142">
    <w:abstractNumId w:val="5"/>
  </w:num>
  <w:num w:numId="26" w16cid:durableId="997877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EC2"/>
    <w:rsid w:val="000002B4"/>
    <w:rsid w:val="00000E6E"/>
    <w:rsid w:val="00004431"/>
    <w:rsid w:val="00005062"/>
    <w:rsid w:val="00005DFC"/>
    <w:rsid w:val="00007916"/>
    <w:rsid w:val="0001064C"/>
    <w:rsid w:val="00010E1F"/>
    <w:rsid w:val="00012185"/>
    <w:rsid w:val="0001384A"/>
    <w:rsid w:val="00021C13"/>
    <w:rsid w:val="00022550"/>
    <w:rsid w:val="00027A6F"/>
    <w:rsid w:val="00031F4C"/>
    <w:rsid w:val="00032A0F"/>
    <w:rsid w:val="0003425A"/>
    <w:rsid w:val="00040D8D"/>
    <w:rsid w:val="00046423"/>
    <w:rsid w:val="00046A7F"/>
    <w:rsid w:val="000477F5"/>
    <w:rsid w:val="0005067C"/>
    <w:rsid w:val="000512B1"/>
    <w:rsid w:val="00057713"/>
    <w:rsid w:val="0006104E"/>
    <w:rsid w:val="00061AD8"/>
    <w:rsid w:val="000640BD"/>
    <w:rsid w:val="00065839"/>
    <w:rsid w:val="00065FDF"/>
    <w:rsid w:val="0006693A"/>
    <w:rsid w:val="00067FC9"/>
    <w:rsid w:val="00070907"/>
    <w:rsid w:val="000728C9"/>
    <w:rsid w:val="000731A4"/>
    <w:rsid w:val="00076939"/>
    <w:rsid w:val="00077844"/>
    <w:rsid w:val="00077B8E"/>
    <w:rsid w:val="00083763"/>
    <w:rsid w:val="00090510"/>
    <w:rsid w:val="000917AE"/>
    <w:rsid w:val="00094B81"/>
    <w:rsid w:val="00095254"/>
    <w:rsid w:val="00095C6A"/>
    <w:rsid w:val="000966C4"/>
    <w:rsid w:val="000975AA"/>
    <w:rsid w:val="000B5C61"/>
    <w:rsid w:val="000B6B15"/>
    <w:rsid w:val="000C1F6E"/>
    <w:rsid w:val="000C25A7"/>
    <w:rsid w:val="000C5267"/>
    <w:rsid w:val="000C5432"/>
    <w:rsid w:val="000D13BE"/>
    <w:rsid w:val="000D78EC"/>
    <w:rsid w:val="000D7934"/>
    <w:rsid w:val="000E0A8D"/>
    <w:rsid w:val="000E2434"/>
    <w:rsid w:val="000E2597"/>
    <w:rsid w:val="000E504E"/>
    <w:rsid w:val="000E6746"/>
    <w:rsid w:val="000E77FF"/>
    <w:rsid w:val="000E7BEE"/>
    <w:rsid w:val="000F050C"/>
    <w:rsid w:val="000F19A9"/>
    <w:rsid w:val="000F7B51"/>
    <w:rsid w:val="00101BEE"/>
    <w:rsid w:val="00101CE6"/>
    <w:rsid w:val="00101FB1"/>
    <w:rsid w:val="0010558A"/>
    <w:rsid w:val="00107657"/>
    <w:rsid w:val="001101FF"/>
    <w:rsid w:val="00111989"/>
    <w:rsid w:val="001136E7"/>
    <w:rsid w:val="00113F9F"/>
    <w:rsid w:val="00114025"/>
    <w:rsid w:val="001145DE"/>
    <w:rsid w:val="00120F3F"/>
    <w:rsid w:val="00121B10"/>
    <w:rsid w:val="0012473C"/>
    <w:rsid w:val="00127A74"/>
    <w:rsid w:val="0013132F"/>
    <w:rsid w:val="00131B1B"/>
    <w:rsid w:val="0013306D"/>
    <w:rsid w:val="0013528C"/>
    <w:rsid w:val="00135A43"/>
    <w:rsid w:val="00135FC2"/>
    <w:rsid w:val="001427D7"/>
    <w:rsid w:val="001442A2"/>
    <w:rsid w:val="001453EE"/>
    <w:rsid w:val="001468CA"/>
    <w:rsid w:val="00147B05"/>
    <w:rsid w:val="001500A8"/>
    <w:rsid w:val="00154206"/>
    <w:rsid w:val="00154EAA"/>
    <w:rsid w:val="0015534C"/>
    <w:rsid w:val="00155D85"/>
    <w:rsid w:val="001579E9"/>
    <w:rsid w:val="00161665"/>
    <w:rsid w:val="00165D28"/>
    <w:rsid w:val="001669D7"/>
    <w:rsid w:val="0017005C"/>
    <w:rsid w:val="0017366E"/>
    <w:rsid w:val="00175CD8"/>
    <w:rsid w:val="00175EB5"/>
    <w:rsid w:val="00182BD8"/>
    <w:rsid w:val="00186E60"/>
    <w:rsid w:val="00187CE0"/>
    <w:rsid w:val="00190143"/>
    <w:rsid w:val="00190853"/>
    <w:rsid w:val="0019142E"/>
    <w:rsid w:val="00196698"/>
    <w:rsid w:val="001A60FD"/>
    <w:rsid w:val="001A76F9"/>
    <w:rsid w:val="001B06FF"/>
    <w:rsid w:val="001B1703"/>
    <w:rsid w:val="001B4D4C"/>
    <w:rsid w:val="001B7107"/>
    <w:rsid w:val="001C1C2E"/>
    <w:rsid w:val="001C31A1"/>
    <w:rsid w:val="001C3FA2"/>
    <w:rsid w:val="001C5EE2"/>
    <w:rsid w:val="001D0077"/>
    <w:rsid w:val="001D4CF6"/>
    <w:rsid w:val="001D55FF"/>
    <w:rsid w:val="001E349B"/>
    <w:rsid w:val="001E407B"/>
    <w:rsid w:val="001E4A16"/>
    <w:rsid w:val="001E7FC6"/>
    <w:rsid w:val="001F2276"/>
    <w:rsid w:val="001F2502"/>
    <w:rsid w:val="001F29C2"/>
    <w:rsid w:val="001F3E81"/>
    <w:rsid w:val="001F44D7"/>
    <w:rsid w:val="001F4958"/>
    <w:rsid w:val="001F70A5"/>
    <w:rsid w:val="00202357"/>
    <w:rsid w:val="0020235D"/>
    <w:rsid w:val="002029B2"/>
    <w:rsid w:val="0020369B"/>
    <w:rsid w:val="0020444D"/>
    <w:rsid w:val="00207B4D"/>
    <w:rsid w:val="00210D7D"/>
    <w:rsid w:val="00210F9B"/>
    <w:rsid w:val="002117B1"/>
    <w:rsid w:val="00211F7B"/>
    <w:rsid w:val="002167E3"/>
    <w:rsid w:val="002170D9"/>
    <w:rsid w:val="00217CCE"/>
    <w:rsid w:val="002203B1"/>
    <w:rsid w:val="00225349"/>
    <w:rsid w:val="00226F39"/>
    <w:rsid w:val="00231D38"/>
    <w:rsid w:val="002334AD"/>
    <w:rsid w:val="0023436E"/>
    <w:rsid w:val="002375D5"/>
    <w:rsid w:val="00241B60"/>
    <w:rsid w:val="0024269C"/>
    <w:rsid w:val="002454E9"/>
    <w:rsid w:val="00245707"/>
    <w:rsid w:val="0024707F"/>
    <w:rsid w:val="00252B2C"/>
    <w:rsid w:val="00253B76"/>
    <w:rsid w:val="0025785B"/>
    <w:rsid w:val="00257969"/>
    <w:rsid w:val="00262C9D"/>
    <w:rsid w:val="00265CD1"/>
    <w:rsid w:val="00273FBC"/>
    <w:rsid w:val="00280048"/>
    <w:rsid w:val="00282097"/>
    <w:rsid w:val="00283935"/>
    <w:rsid w:val="0028489E"/>
    <w:rsid w:val="002848DE"/>
    <w:rsid w:val="0028794E"/>
    <w:rsid w:val="00287A03"/>
    <w:rsid w:val="0029733B"/>
    <w:rsid w:val="002A058D"/>
    <w:rsid w:val="002A19B6"/>
    <w:rsid w:val="002A1B3E"/>
    <w:rsid w:val="002A4172"/>
    <w:rsid w:val="002A543A"/>
    <w:rsid w:val="002A5841"/>
    <w:rsid w:val="002B1EDF"/>
    <w:rsid w:val="002B2061"/>
    <w:rsid w:val="002B2A60"/>
    <w:rsid w:val="002B33C3"/>
    <w:rsid w:val="002B3F0F"/>
    <w:rsid w:val="002B5834"/>
    <w:rsid w:val="002C1232"/>
    <w:rsid w:val="002C1E44"/>
    <w:rsid w:val="002C5C92"/>
    <w:rsid w:val="002C5E29"/>
    <w:rsid w:val="002C6A10"/>
    <w:rsid w:val="002C6A42"/>
    <w:rsid w:val="002D0478"/>
    <w:rsid w:val="002D3B5A"/>
    <w:rsid w:val="002D7127"/>
    <w:rsid w:val="002D7C1B"/>
    <w:rsid w:val="002E319F"/>
    <w:rsid w:val="002E5BDE"/>
    <w:rsid w:val="002E7DC1"/>
    <w:rsid w:val="002F012E"/>
    <w:rsid w:val="002F30B6"/>
    <w:rsid w:val="002F5530"/>
    <w:rsid w:val="002F599E"/>
    <w:rsid w:val="002F66EA"/>
    <w:rsid w:val="003008D8"/>
    <w:rsid w:val="003016C7"/>
    <w:rsid w:val="00301D9A"/>
    <w:rsid w:val="00303959"/>
    <w:rsid w:val="00306E72"/>
    <w:rsid w:val="00311470"/>
    <w:rsid w:val="00312416"/>
    <w:rsid w:val="00312AC3"/>
    <w:rsid w:val="00314430"/>
    <w:rsid w:val="003163BC"/>
    <w:rsid w:val="003212D9"/>
    <w:rsid w:val="00323272"/>
    <w:rsid w:val="0032351A"/>
    <w:rsid w:val="00324B33"/>
    <w:rsid w:val="00327488"/>
    <w:rsid w:val="00336FE1"/>
    <w:rsid w:val="00337BD8"/>
    <w:rsid w:val="0034197D"/>
    <w:rsid w:val="00342D56"/>
    <w:rsid w:val="003456E7"/>
    <w:rsid w:val="00346EC2"/>
    <w:rsid w:val="00347425"/>
    <w:rsid w:val="003477F9"/>
    <w:rsid w:val="0035352A"/>
    <w:rsid w:val="0035444D"/>
    <w:rsid w:val="00356D62"/>
    <w:rsid w:val="00361BF8"/>
    <w:rsid w:val="00363EE3"/>
    <w:rsid w:val="003735F3"/>
    <w:rsid w:val="00374729"/>
    <w:rsid w:val="003813A9"/>
    <w:rsid w:val="003848A0"/>
    <w:rsid w:val="003854BE"/>
    <w:rsid w:val="00387298"/>
    <w:rsid w:val="00387984"/>
    <w:rsid w:val="00391A74"/>
    <w:rsid w:val="00395140"/>
    <w:rsid w:val="003A2422"/>
    <w:rsid w:val="003A4A68"/>
    <w:rsid w:val="003B149C"/>
    <w:rsid w:val="003B249A"/>
    <w:rsid w:val="003C0FDB"/>
    <w:rsid w:val="003C1192"/>
    <w:rsid w:val="003C482B"/>
    <w:rsid w:val="003C55E2"/>
    <w:rsid w:val="003C63D5"/>
    <w:rsid w:val="003C7841"/>
    <w:rsid w:val="003C7AA8"/>
    <w:rsid w:val="003D71A1"/>
    <w:rsid w:val="003E141B"/>
    <w:rsid w:val="003E3E8F"/>
    <w:rsid w:val="003F1B93"/>
    <w:rsid w:val="003F6F66"/>
    <w:rsid w:val="004019F7"/>
    <w:rsid w:val="00401C02"/>
    <w:rsid w:val="00414665"/>
    <w:rsid w:val="0041688F"/>
    <w:rsid w:val="00420FCA"/>
    <w:rsid w:val="0042376F"/>
    <w:rsid w:val="004246B8"/>
    <w:rsid w:val="004248F1"/>
    <w:rsid w:val="00427208"/>
    <w:rsid w:val="0043001E"/>
    <w:rsid w:val="004329D1"/>
    <w:rsid w:val="00433318"/>
    <w:rsid w:val="004411D9"/>
    <w:rsid w:val="00442A56"/>
    <w:rsid w:val="004444B0"/>
    <w:rsid w:val="00444615"/>
    <w:rsid w:val="0045060B"/>
    <w:rsid w:val="0046045A"/>
    <w:rsid w:val="004626FF"/>
    <w:rsid w:val="0046285C"/>
    <w:rsid w:val="00464EAD"/>
    <w:rsid w:val="00470A52"/>
    <w:rsid w:val="00471BD5"/>
    <w:rsid w:val="0047379F"/>
    <w:rsid w:val="00477C4E"/>
    <w:rsid w:val="00477F07"/>
    <w:rsid w:val="00481503"/>
    <w:rsid w:val="00481D12"/>
    <w:rsid w:val="004854A6"/>
    <w:rsid w:val="0048611E"/>
    <w:rsid w:val="004878F6"/>
    <w:rsid w:val="00491A55"/>
    <w:rsid w:val="004921B8"/>
    <w:rsid w:val="00494C3E"/>
    <w:rsid w:val="004962F9"/>
    <w:rsid w:val="00497DF1"/>
    <w:rsid w:val="004A318E"/>
    <w:rsid w:val="004A338F"/>
    <w:rsid w:val="004A45D4"/>
    <w:rsid w:val="004A57E8"/>
    <w:rsid w:val="004B3081"/>
    <w:rsid w:val="004B4A09"/>
    <w:rsid w:val="004B6B75"/>
    <w:rsid w:val="004C1F33"/>
    <w:rsid w:val="004C35DB"/>
    <w:rsid w:val="004C3EEA"/>
    <w:rsid w:val="004C41CE"/>
    <w:rsid w:val="004C43C6"/>
    <w:rsid w:val="004C46FB"/>
    <w:rsid w:val="004C631B"/>
    <w:rsid w:val="004C7274"/>
    <w:rsid w:val="004C7570"/>
    <w:rsid w:val="004D0933"/>
    <w:rsid w:val="004D2CC3"/>
    <w:rsid w:val="004D2F00"/>
    <w:rsid w:val="004D31D8"/>
    <w:rsid w:val="004D35D1"/>
    <w:rsid w:val="004D43BC"/>
    <w:rsid w:val="004D4AD5"/>
    <w:rsid w:val="004D5388"/>
    <w:rsid w:val="004E0940"/>
    <w:rsid w:val="004E16C6"/>
    <w:rsid w:val="004E26BE"/>
    <w:rsid w:val="004E2BD1"/>
    <w:rsid w:val="004E7F16"/>
    <w:rsid w:val="004F18EC"/>
    <w:rsid w:val="004F6F09"/>
    <w:rsid w:val="004F77F3"/>
    <w:rsid w:val="00500D68"/>
    <w:rsid w:val="00501311"/>
    <w:rsid w:val="00503A38"/>
    <w:rsid w:val="0050605C"/>
    <w:rsid w:val="00506B2D"/>
    <w:rsid w:val="005071EA"/>
    <w:rsid w:val="005129EF"/>
    <w:rsid w:val="00513770"/>
    <w:rsid w:val="0052217D"/>
    <w:rsid w:val="0052339F"/>
    <w:rsid w:val="00523C03"/>
    <w:rsid w:val="00531D91"/>
    <w:rsid w:val="0053377D"/>
    <w:rsid w:val="00535DFE"/>
    <w:rsid w:val="005373B5"/>
    <w:rsid w:val="00537AB7"/>
    <w:rsid w:val="00544150"/>
    <w:rsid w:val="005444A2"/>
    <w:rsid w:val="0054669B"/>
    <w:rsid w:val="00547950"/>
    <w:rsid w:val="005512CD"/>
    <w:rsid w:val="00552EFA"/>
    <w:rsid w:val="00557684"/>
    <w:rsid w:val="00560EC1"/>
    <w:rsid w:val="005610D1"/>
    <w:rsid w:val="00562F42"/>
    <w:rsid w:val="00565739"/>
    <w:rsid w:val="0056766D"/>
    <w:rsid w:val="00573D99"/>
    <w:rsid w:val="00575215"/>
    <w:rsid w:val="005768B4"/>
    <w:rsid w:val="005775D0"/>
    <w:rsid w:val="00580B36"/>
    <w:rsid w:val="00581138"/>
    <w:rsid w:val="00582F53"/>
    <w:rsid w:val="0058575E"/>
    <w:rsid w:val="005867CF"/>
    <w:rsid w:val="0058783C"/>
    <w:rsid w:val="005911AE"/>
    <w:rsid w:val="005926E2"/>
    <w:rsid w:val="0059313A"/>
    <w:rsid w:val="00593626"/>
    <w:rsid w:val="005976B7"/>
    <w:rsid w:val="005A54EA"/>
    <w:rsid w:val="005A6FDC"/>
    <w:rsid w:val="005B023F"/>
    <w:rsid w:val="005B02A2"/>
    <w:rsid w:val="005B1417"/>
    <w:rsid w:val="005B69CF"/>
    <w:rsid w:val="005C2734"/>
    <w:rsid w:val="005C3F07"/>
    <w:rsid w:val="005C4B46"/>
    <w:rsid w:val="005C5DC5"/>
    <w:rsid w:val="005D02CD"/>
    <w:rsid w:val="005D0E1E"/>
    <w:rsid w:val="005D2089"/>
    <w:rsid w:val="005D7514"/>
    <w:rsid w:val="005E0FC6"/>
    <w:rsid w:val="005E1A7B"/>
    <w:rsid w:val="005E1DFE"/>
    <w:rsid w:val="005E231F"/>
    <w:rsid w:val="005E2389"/>
    <w:rsid w:val="005E71E6"/>
    <w:rsid w:val="005F042A"/>
    <w:rsid w:val="005F0721"/>
    <w:rsid w:val="006007F4"/>
    <w:rsid w:val="00602D6E"/>
    <w:rsid w:val="00605936"/>
    <w:rsid w:val="00605C05"/>
    <w:rsid w:val="00611351"/>
    <w:rsid w:val="0061217D"/>
    <w:rsid w:val="006129AE"/>
    <w:rsid w:val="006175FD"/>
    <w:rsid w:val="00625C0D"/>
    <w:rsid w:val="006277A1"/>
    <w:rsid w:val="00632E44"/>
    <w:rsid w:val="00633BD7"/>
    <w:rsid w:val="00634580"/>
    <w:rsid w:val="00634884"/>
    <w:rsid w:val="006351D9"/>
    <w:rsid w:val="00637130"/>
    <w:rsid w:val="00637F0E"/>
    <w:rsid w:val="006423F2"/>
    <w:rsid w:val="006428C5"/>
    <w:rsid w:val="00650234"/>
    <w:rsid w:val="00657016"/>
    <w:rsid w:val="0066044B"/>
    <w:rsid w:val="006630AA"/>
    <w:rsid w:val="00663544"/>
    <w:rsid w:val="00666539"/>
    <w:rsid w:val="00666911"/>
    <w:rsid w:val="00675869"/>
    <w:rsid w:val="00675F81"/>
    <w:rsid w:val="0068143E"/>
    <w:rsid w:val="006836FD"/>
    <w:rsid w:val="00683BD4"/>
    <w:rsid w:val="0068507D"/>
    <w:rsid w:val="00685084"/>
    <w:rsid w:val="00687852"/>
    <w:rsid w:val="00691AF2"/>
    <w:rsid w:val="00692B80"/>
    <w:rsid w:val="00692CCD"/>
    <w:rsid w:val="00692D51"/>
    <w:rsid w:val="00694490"/>
    <w:rsid w:val="00694DD7"/>
    <w:rsid w:val="0069636B"/>
    <w:rsid w:val="006A0B55"/>
    <w:rsid w:val="006A0B78"/>
    <w:rsid w:val="006A1762"/>
    <w:rsid w:val="006A19CE"/>
    <w:rsid w:val="006A1F0B"/>
    <w:rsid w:val="006A277A"/>
    <w:rsid w:val="006A5973"/>
    <w:rsid w:val="006A6E07"/>
    <w:rsid w:val="006B049E"/>
    <w:rsid w:val="006B04F3"/>
    <w:rsid w:val="006B57E6"/>
    <w:rsid w:val="006B5E64"/>
    <w:rsid w:val="006B7126"/>
    <w:rsid w:val="006C2F26"/>
    <w:rsid w:val="006C59A3"/>
    <w:rsid w:val="006C6B86"/>
    <w:rsid w:val="006C702A"/>
    <w:rsid w:val="006D210C"/>
    <w:rsid w:val="006D27FC"/>
    <w:rsid w:val="006D4553"/>
    <w:rsid w:val="006D4A35"/>
    <w:rsid w:val="006D4B89"/>
    <w:rsid w:val="006D5B45"/>
    <w:rsid w:val="006D6B44"/>
    <w:rsid w:val="006E0F71"/>
    <w:rsid w:val="006E27FE"/>
    <w:rsid w:val="006E365B"/>
    <w:rsid w:val="006F45FF"/>
    <w:rsid w:val="00701110"/>
    <w:rsid w:val="00702E91"/>
    <w:rsid w:val="0070330F"/>
    <w:rsid w:val="00703624"/>
    <w:rsid w:val="007046ED"/>
    <w:rsid w:val="0070541F"/>
    <w:rsid w:val="00705C45"/>
    <w:rsid w:val="007060AE"/>
    <w:rsid w:val="007072A1"/>
    <w:rsid w:val="007076A6"/>
    <w:rsid w:val="0071060C"/>
    <w:rsid w:val="00710BC5"/>
    <w:rsid w:val="007121CA"/>
    <w:rsid w:val="0072003B"/>
    <w:rsid w:val="00721059"/>
    <w:rsid w:val="007211E6"/>
    <w:rsid w:val="007220C4"/>
    <w:rsid w:val="0072541D"/>
    <w:rsid w:val="00730138"/>
    <w:rsid w:val="007305ED"/>
    <w:rsid w:val="007311B9"/>
    <w:rsid w:val="00732361"/>
    <w:rsid w:val="007357B9"/>
    <w:rsid w:val="00736D20"/>
    <w:rsid w:val="00741AB9"/>
    <w:rsid w:val="00742D03"/>
    <w:rsid w:val="00743199"/>
    <w:rsid w:val="00744216"/>
    <w:rsid w:val="007452E8"/>
    <w:rsid w:val="00746990"/>
    <w:rsid w:val="00747093"/>
    <w:rsid w:val="00750D70"/>
    <w:rsid w:val="007532D3"/>
    <w:rsid w:val="00754BDC"/>
    <w:rsid w:val="007575D0"/>
    <w:rsid w:val="007645C9"/>
    <w:rsid w:val="007662E0"/>
    <w:rsid w:val="00776E9C"/>
    <w:rsid w:val="007778E4"/>
    <w:rsid w:val="007816D8"/>
    <w:rsid w:val="00784150"/>
    <w:rsid w:val="00792368"/>
    <w:rsid w:val="00793272"/>
    <w:rsid w:val="0079499A"/>
    <w:rsid w:val="00794B64"/>
    <w:rsid w:val="00794EE0"/>
    <w:rsid w:val="00795BA4"/>
    <w:rsid w:val="007967C3"/>
    <w:rsid w:val="00797DC5"/>
    <w:rsid w:val="007A0A33"/>
    <w:rsid w:val="007A19A9"/>
    <w:rsid w:val="007B04DE"/>
    <w:rsid w:val="007B07D3"/>
    <w:rsid w:val="007B0AE6"/>
    <w:rsid w:val="007B2319"/>
    <w:rsid w:val="007B3911"/>
    <w:rsid w:val="007C0AB0"/>
    <w:rsid w:val="007C0C7E"/>
    <w:rsid w:val="007C0EFD"/>
    <w:rsid w:val="007C0F0B"/>
    <w:rsid w:val="007C364B"/>
    <w:rsid w:val="007C57BC"/>
    <w:rsid w:val="007C7B64"/>
    <w:rsid w:val="007D0197"/>
    <w:rsid w:val="007D04CA"/>
    <w:rsid w:val="007D0A2B"/>
    <w:rsid w:val="007D12A1"/>
    <w:rsid w:val="007D212A"/>
    <w:rsid w:val="007D40E5"/>
    <w:rsid w:val="007D4138"/>
    <w:rsid w:val="007E0878"/>
    <w:rsid w:val="007E4178"/>
    <w:rsid w:val="007E6443"/>
    <w:rsid w:val="007E77DB"/>
    <w:rsid w:val="007F0A77"/>
    <w:rsid w:val="007F1E37"/>
    <w:rsid w:val="007F3C84"/>
    <w:rsid w:val="007F50D3"/>
    <w:rsid w:val="007F6B1F"/>
    <w:rsid w:val="008013F0"/>
    <w:rsid w:val="0080362C"/>
    <w:rsid w:val="00803926"/>
    <w:rsid w:val="00804897"/>
    <w:rsid w:val="00814F46"/>
    <w:rsid w:val="008246C8"/>
    <w:rsid w:val="00826249"/>
    <w:rsid w:val="00827B7A"/>
    <w:rsid w:val="00830789"/>
    <w:rsid w:val="008329DB"/>
    <w:rsid w:val="008340DD"/>
    <w:rsid w:val="008361C5"/>
    <w:rsid w:val="0083628F"/>
    <w:rsid w:val="00837AB9"/>
    <w:rsid w:val="008435FE"/>
    <w:rsid w:val="008447B9"/>
    <w:rsid w:val="00846FB1"/>
    <w:rsid w:val="00850637"/>
    <w:rsid w:val="00852B4D"/>
    <w:rsid w:val="00853545"/>
    <w:rsid w:val="00854D98"/>
    <w:rsid w:val="0085751E"/>
    <w:rsid w:val="00860B29"/>
    <w:rsid w:val="008622E8"/>
    <w:rsid w:val="00862C07"/>
    <w:rsid w:val="00863A9E"/>
    <w:rsid w:val="008645EE"/>
    <w:rsid w:val="008656C1"/>
    <w:rsid w:val="00870144"/>
    <w:rsid w:val="0087072C"/>
    <w:rsid w:val="00871312"/>
    <w:rsid w:val="00873D7A"/>
    <w:rsid w:val="00877CB3"/>
    <w:rsid w:val="008804CF"/>
    <w:rsid w:val="00881AEF"/>
    <w:rsid w:val="00882D58"/>
    <w:rsid w:val="00882F19"/>
    <w:rsid w:val="00883D35"/>
    <w:rsid w:val="00884569"/>
    <w:rsid w:val="00884F48"/>
    <w:rsid w:val="00885FF7"/>
    <w:rsid w:val="00887A51"/>
    <w:rsid w:val="0089038A"/>
    <w:rsid w:val="00890D9B"/>
    <w:rsid w:val="00891C6C"/>
    <w:rsid w:val="00893CCD"/>
    <w:rsid w:val="00894857"/>
    <w:rsid w:val="00895963"/>
    <w:rsid w:val="008964B3"/>
    <w:rsid w:val="008A66B2"/>
    <w:rsid w:val="008B07F8"/>
    <w:rsid w:val="008B1A39"/>
    <w:rsid w:val="008B1CB5"/>
    <w:rsid w:val="008B3271"/>
    <w:rsid w:val="008B556C"/>
    <w:rsid w:val="008B7EE8"/>
    <w:rsid w:val="008C2599"/>
    <w:rsid w:val="008C2D69"/>
    <w:rsid w:val="008C2F8C"/>
    <w:rsid w:val="008C4579"/>
    <w:rsid w:val="008C49C6"/>
    <w:rsid w:val="008C671E"/>
    <w:rsid w:val="008C7085"/>
    <w:rsid w:val="008C754C"/>
    <w:rsid w:val="008D23C7"/>
    <w:rsid w:val="008D56C9"/>
    <w:rsid w:val="008D56CA"/>
    <w:rsid w:val="008D6A54"/>
    <w:rsid w:val="008E2585"/>
    <w:rsid w:val="008E2D7A"/>
    <w:rsid w:val="008E7CB5"/>
    <w:rsid w:val="008F16E4"/>
    <w:rsid w:val="008F2C3D"/>
    <w:rsid w:val="008F3215"/>
    <w:rsid w:val="008F4A62"/>
    <w:rsid w:val="008F4DFB"/>
    <w:rsid w:val="008F7256"/>
    <w:rsid w:val="00901F67"/>
    <w:rsid w:val="0090424C"/>
    <w:rsid w:val="0090605E"/>
    <w:rsid w:val="00906C74"/>
    <w:rsid w:val="00906EC2"/>
    <w:rsid w:val="00907B84"/>
    <w:rsid w:val="009108CE"/>
    <w:rsid w:val="00912416"/>
    <w:rsid w:val="00913CE6"/>
    <w:rsid w:val="00915A9F"/>
    <w:rsid w:val="00915BDA"/>
    <w:rsid w:val="009212D3"/>
    <w:rsid w:val="009213C1"/>
    <w:rsid w:val="00922CEB"/>
    <w:rsid w:val="009272E6"/>
    <w:rsid w:val="00930D58"/>
    <w:rsid w:val="00930F4C"/>
    <w:rsid w:val="0093134C"/>
    <w:rsid w:val="009316F2"/>
    <w:rsid w:val="0093294E"/>
    <w:rsid w:val="00933B23"/>
    <w:rsid w:val="00934650"/>
    <w:rsid w:val="00935AAA"/>
    <w:rsid w:val="00936370"/>
    <w:rsid w:val="009446DC"/>
    <w:rsid w:val="00945905"/>
    <w:rsid w:val="0094699C"/>
    <w:rsid w:val="0095031E"/>
    <w:rsid w:val="009505DE"/>
    <w:rsid w:val="00954297"/>
    <w:rsid w:val="00960A56"/>
    <w:rsid w:val="00961F35"/>
    <w:rsid w:val="0096236C"/>
    <w:rsid w:val="0096414A"/>
    <w:rsid w:val="00966EF1"/>
    <w:rsid w:val="00967223"/>
    <w:rsid w:val="00967B79"/>
    <w:rsid w:val="009751F7"/>
    <w:rsid w:val="0097633A"/>
    <w:rsid w:val="00977321"/>
    <w:rsid w:val="0098113B"/>
    <w:rsid w:val="009812CD"/>
    <w:rsid w:val="0098168B"/>
    <w:rsid w:val="0098252A"/>
    <w:rsid w:val="0098350E"/>
    <w:rsid w:val="00983628"/>
    <w:rsid w:val="00990C12"/>
    <w:rsid w:val="0099404F"/>
    <w:rsid w:val="009956BA"/>
    <w:rsid w:val="00996FA5"/>
    <w:rsid w:val="009A0FBB"/>
    <w:rsid w:val="009A31A9"/>
    <w:rsid w:val="009A5DB3"/>
    <w:rsid w:val="009B27E3"/>
    <w:rsid w:val="009B5662"/>
    <w:rsid w:val="009C2211"/>
    <w:rsid w:val="009C40E8"/>
    <w:rsid w:val="009C45C5"/>
    <w:rsid w:val="009C5D4C"/>
    <w:rsid w:val="009D016D"/>
    <w:rsid w:val="009D315C"/>
    <w:rsid w:val="009E4D12"/>
    <w:rsid w:val="009E6858"/>
    <w:rsid w:val="009E6F8C"/>
    <w:rsid w:val="009F04D6"/>
    <w:rsid w:val="009F0ADA"/>
    <w:rsid w:val="009F118E"/>
    <w:rsid w:val="009F3175"/>
    <w:rsid w:val="009F3ADE"/>
    <w:rsid w:val="009F405F"/>
    <w:rsid w:val="009F57E7"/>
    <w:rsid w:val="009F689D"/>
    <w:rsid w:val="00A001E0"/>
    <w:rsid w:val="00A01C56"/>
    <w:rsid w:val="00A138AE"/>
    <w:rsid w:val="00A14FDF"/>
    <w:rsid w:val="00A1709A"/>
    <w:rsid w:val="00A2361C"/>
    <w:rsid w:val="00A308E5"/>
    <w:rsid w:val="00A31705"/>
    <w:rsid w:val="00A32C50"/>
    <w:rsid w:val="00A3333E"/>
    <w:rsid w:val="00A358E7"/>
    <w:rsid w:val="00A4380B"/>
    <w:rsid w:val="00A5129A"/>
    <w:rsid w:val="00A516E6"/>
    <w:rsid w:val="00A51A2D"/>
    <w:rsid w:val="00A5596B"/>
    <w:rsid w:val="00A611BD"/>
    <w:rsid w:val="00A62260"/>
    <w:rsid w:val="00A63C07"/>
    <w:rsid w:val="00A63D9B"/>
    <w:rsid w:val="00A67187"/>
    <w:rsid w:val="00A67756"/>
    <w:rsid w:val="00A704DC"/>
    <w:rsid w:val="00A829AD"/>
    <w:rsid w:val="00A847D3"/>
    <w:rsid w:val="00A93051"/>
    <w:rsid w:val="00A93DC6"/>
    <w:rsid w:val="00A9411A"/>
    <w:rsid w:val="00AA3E27"/>
    <w:rsid w:val="00AA4A4B"/>
    <w:rsid w:val="00AA6682"/>
    <w:rsid w:val="00AA6898"/>
    <w:rsid w:val="00AB0613"/>
    <w:rsid w:val="00AB310B"/>
    <w:rsid w:val="00AB7C5C"/>
    <w:rsid w:val="00AB7CBF"/>
    <w:rsid w:val="00AC0319"/>
    <w:rsid w:val="00AC4F6B"/>
    <w:rsid w:val="00AC5AA3"/>
    <w:rsid w:val="00AD0111"/>
    <w:rsid w:val="00AD0779"/>
    <w:rsid w:val="00AD0B68"/>
    <w:rsid w:val="00AD40C3"/>
    <w:rsid w:val="00AD4C72"/>
    <w:rsid w:val="00AD4FF1"/>
    <w:rsid w:val="00AD5451"/>
    <w:rsid w:val="00AE1947"/>
    <w:rsid w:val="00AE782C"/>
    <w:rsid w:val="00AF1C8B"/>
    <w:rsid w:val="00AF299B"/>
    <w:rsid w:val="00AF61E5"/>
    <w:rsid w:val="00AF75CF"/>
    <w:rsid w:val="00AF7E43"/>
    <w:rsid w:val="00B0085B"/>
    <w:rsid w:val="00B02AE0"/>
    <w:rsid w:val="00B03F25"/>
    <w:rsid w:val="00B05326"/>
    <w:rsid w:val="00B11675"/>
    <w:rsid w:val="00B11C43"/>
    <w:rsid w:val="00B14545"/>
    <w:rsid w:val="00B14E60"/>
    <w:rsid w:val="00B17BA2"/>
    <w:rsid w:val="00B26DC3"/>
    <w:rsid w:val="00B30B9D"/>
    <w:rsid w:val="00B316F3"/>
    <w:rsid w:val="00B33480"/>
    <w:rsid w:val="00B36AAF"/>
    <w:rsid w:val="00B37E13"/>
    <w:rsid w:val="00B4574D"/>
    <w:rsid w:val="00B468E1"/>
    <w:rsid w:val="00B46BC0"/>
    <w:rsid w:val="00B46DFB"/>
    <w:rsid w:val="00B5141B"/>
    <w:rsid w:val="00B51A50"/>
    <w:rsid w:val="00B520D2"/>
    <w:rsid w:val="00B532D4"/>
    <w:rsid w:val="00B54BA4"/>
    <w:rsid w:val="00B55681"/>
    <w:rsid w:val="00B57AAD"/>
    <w:rsid w:val="00B60529"/>
    <w:rsid w:val="00B6374E"/>
    <w:rsid w:val="00B63867"/>
    <w:rsid w:val="00B67A40"/>
    <w:rsid w:val="00B71146"/>
    <w:rsid w:val="00B72B16"/>
    <w:rsid w:val="00B76986"/>
    <w:rsid w:val="00B80408"/>
    <w:rsid w:val="00B81397"/>
    <w:rsid w:val="00B8350B"/>
    <w:rsid w:val="00B925DB"/>
    <w:rsid w:val="00B943ED"/>
    <w:rsid w:val="00B95DE4"/>
    <w:rsid w:val="00B967FF"/>
    <w:rsid w:val="00B974B9"/>
    <w:rsid w:val="00BA19B5"/>
    <w:rsid w:val="00BA2B4F"/>
    <w:rsid w:val="00BA36C2"/>
    <w:rsid w:val="00BA3F6D"/>
    <w:rsid w:val="00BA4BE6"/>
    <w:rsid w:val="00BA4FC0"/>
    <w:rsid w:val="00BA61E0"/>
    <w:rsid w:val="00BA657C"/>
    <w:rsid w:val="00BA7F7D"/>
    <w:rsid w:val="00BB1C14"/>
    <w:rsid w:val="00BB6847"/>
    <w:rsid w:val="00BB7F8F"/>
    <w:rsid w:val="00BC03A7"/>
    <w:rsid w:val="00BC46A9"/>
    <w:rsid w:val="00BC4DD3"/>
    <w:rsid w:val="00BC58FC"/>
    <w:rsid w:val="00BC716A"/>
    <w:rsid w:val="00BD07DF"/>
    <w:rsid w:val="00BD26F4"/>
    <w:rsid w:val="00BD5DBD"/>
    <w:rsid w:val="00BD5DF6"/>
    <w:rsid w:val="00BE0041"/>
    <w:rsid w:val="00BE614F"/>
    <w:rsid w:val="00BE640F"/>
    <w:rsid w:val="00BE6D2A"/>
    <w:rsid w:val="00BF1B93"/>
    <w:rsid w:val="00BF4638"/>
    <w:rsid w:val="00BF5130"/>
    <w:rsid w:val="00C00844"/>
    <w:rsid w:val="00C058BB"/>
    <w:rsid w:val="00C059D0"/>
    <w:rsid w:val="00C05AFA"/>
    <w:rsid w:val="00C064D3"/>
    <w:rsid w:val="00C066DE"/>
    <w:rsid w:val="00C07551"/>
    <w:rsid w:val="00C07FE7"/>
    <w:rsid w:val="00C1109F"/>
    <w:rsid w:val="00C11700"/>
    <w:rsid w:val="00C11E09"/>
    <w:rsid w:val="00C12D65"/>
    <w:rsid w:val="00C133AB"/>
    <w:rsid w:val="00C20B56"/>
    <w:rsid w:val="00C22214"/>
    <w:rsid w:val="00C2451C"/>
    <w:rsid w:val="00C26F72"/>
    <w:rsid w:val="00C309A7"/>
    <w:rsid w:val="00C335AB"/>
    <w:rsid w:val="00C353EC"/>
    <w:rsid w:val="00C36877"/>
    <w:rsid w:val="00C407AB"/>
    <w:rsid w:val="00C43018"/>
    <w:rsid w:val="00C459DC"/>
    <w:rsid w:val="00C45D0A"/>
    <w:rsid w:val="00C52B7B"/>
    <w:rsid w:val="00C547CD"/>
    <w:rsid w:val="00C570FF"/>
    <w:rsid w:val="00C5717C"/>
    <w:rsid w:val="00C575F5"/>
    <w:rsid w:val="00C57CEA"/>
    <w:rsid w:val="00C60FEC"/>
    <w:rsid w:val="00C62B1C"/>
    <w:rsid w:val="00C64B59"/>
    <w:rsid w:val="00C6574E"/>
    <w:rsid w:val="00C663D1"/>
    <w:rsid w:val="00C707FD"/>
    <w:rsid w:val="00C76DEB"/>
    <w:rsid w:val="00C811D8"/>
    <w:rsid w:val="00C816C6"/>
    <w:rsid w:val="00C863A7"/>
    <w:rsid w:val="00C912F4"/>
    <w:rsid w:val="00C9156F"/>
    <w:rsid w:val="00C93A6B"/>
    <w:rsid w:val="00C9581A"/>
    <w:rsid w:val="00C95E4B"/>
    <w:rsid w:val="00C9653A"/>
    <w:rsid w:val="00C97D29"/>
    <w:rsid w:val="00CA6A98"/>
    <w:rsid w:val="00CB0550"/>
    <w:rsid w:val="00CB37AD"/>
    <w:rsid w:val="00CB5F5D"/>
    <w:rsid w:val="00CB6813"/>
    <w:rsid w:val="00CC4CE0"/>
    <w:rsid w:val="00CC5DB3"/>
    <w:rsid w:val="00CC67BF"/>
    <w:rsid w:val="00CC6B39"/>
    <w:rsid w:val="00CD0FAF"/>
    <w:rsid w:val="00CD125B"/>
    <w:rsid w:val="00CD13A2"/>
    <w:rsid w:val="00CD1697"/>
    <w:rsid w:val="00CD4E89"/>
    <w:rsid w:val="00CE1B87"/>
    <w:rsid w:val="00CE1E51"/>
    <w:rsid w:val="00CE58CC"/>
    <w:rsid w:val="00CF6A55"/>
    <w:rsid w:val="00CF6DC6"/>
    <w:rsid w:val="00CF6DCF"/>
    <w:rsid w:val="00D013BE"/>
    <w:rsid w:val="00D018B6"/>
    <w:rsid w:val="00D01DDB"/>
    <w:rsid w:val="00D03739"/>
    <w:rsid w:val="00D062CD"/>
    <w:rsid w:val="00D078BE"/>
    <w:rsid w:val="00D13F8A"/>
    <w:rsid w:val="00D142BB"/>
    <w:rsid w:val="00D16F60"/>
    <w:rsid w:val="00D17F5F"/>
    <w:rsid w:val="00D210AA"/>
    <w:rsid w:val="00D21E13"/>
    <w:rsid w:val="00D22981"/>
    <w:rsid w:val="00D26856"/>
    <w:rsid w:val="00D27259"/>
    <w:rsid w:val="00D3349B"/>
    <w:rsid w:val="00D414DB"/>
    <w:rsid w:val="00D424A8"/>
    <w:rsid w:val="00D4378B"/>
    <w:rsid w:val="00D5260D"/>
    <w:rsid w:val="00D6036F"/>
    <w:rsid w:val="00D6180D"/>
    <w:rsid w:val="00D62877"/>
    <w:rsid w:val="00D63760"/>
    <w:rsid w:val="00D64DEB"/>
    <w:rsid w:val="00D6703F"/>
    <w:rsid w:val="00D7016E"/>
    <w:rsid w:val="00D7149A"/>
    <w:rsid w:val="00D73189"/>
    <w:rsid w:val="00D734EB"/>
    <w:rsid w:val="00D82713"/>
    <w:rsid w:val="00D82B70"/>
    <w:rsid w:val="00D8502E"/>
    <w:rsid w:val="00D86F00"/>
    <w:rsid w:val="00D918D5"/>
    <w:rsid w:val="00D92BA4"/>
    <w:rsid w:val="00D94C8E"/>
    <w:rsid w:val="00DA684D"/>
    <w:rsid w:val="00DB1372"/>
    <w:rsid w:val="00DB192C"/>
    <w:rsid w:val="00DB1CF3"/>
    <w:rsid w:val="00DB5425"/>
    <w:rsid w:val="00DB72A6"/>
    <w:rsid w:val="00DC0140"/>
    <w:rsid w:val="00DC33AF"/>
    <w:rsid w:val="00DC62F2"/>
    <w:rsid w:val="00DC6611"/>
    <w:rsid w:val="00DD5AFB"/>
    <w:rsid w:val="00DE1344"/>
    <w:rsid w:val="00DE4D7C"/>
    <w:rsid w:val="00DF15F1"/>
    <w:rsid w:val="00DF1CFD"/>
    <w:rsid w:val="00DF2304"/>
    <w:rsid w:val="00DF25D6"/>
    <w:rsid w:val="00DF5BFE"/>
    <w:rsid w:val="00E04B8D"/>
    <w:rsid w:val="00E0523F"/>
    <w:rsid w:val="00E1294A"/>
    <w:rsid w:val="00E13873"/>
    <w:rsid w:val="00E16412"/>
    <w:rsid w:val="00E17F7A"/>
    <w:rsid w:val="00E21614"/>
    <w:rsid w:val="00E23E50"/>
    <w:rsid w:val="00E257BD"/>
    <w:rsid w:val="00E26213"/>
    <w:rsid w:val="00E274DF"/>
    <w:rsid w:val="00E33341"/>
    <w:rsid w:val="00E34D66"/>
    <w:rsid w:val="00E362C4"/>
    <w:rsid w:val="00E37EB5"/>
    <w:rsid w:val="00E46CC2"/>
    <w:rsid w:val="00E47A18"/>
    <w:rsid w:val="00E47E0C"/>
    <w:rsid w:val="00E51813"/>
    <w:rsid w:val="00E52C0B"/>
    <w:rsid w:val="00E53D3F"/>
    <w:rsid w:val="00E54DFC"/>
    <w:rsid w:val="00E5579B"/>
    <w:rsid w:val="00E57FF4"/>
    <w:rsid w:val="00E6635D"/>
    <w:rsid w:val="00E679D1"/>
    <w:rsid w:val="00E67C1C"/>
    <w:rsid w:val="00E75708"/>
    <w:rsid w:val="00E77996"/>
    <w:rsid w:val="00E8011D"/>
    <w:rsid w:val="00E908D0"/>
    <w:rsid w:val="00E917A4"/>
    <w:rsid w:val="00E91F11"/>
    <w:rsid w:val="00E94A62"/>
    <w:rsid w:val="00E9706D"/>
    <w:rsid w:val="00E97659"/>
    <w:rsid w:val="00EA09D9"/>
    <w:rsid w:val="00EA0D67"/>
    <w:rsid w:val="00EA2C37"/>
    <w:rsid w:val="00EA3AF4"/>
    <w:rsid w:val="00EB6FE7"/>
    <w:rsid w:val="00EC10D6"/>
    <w:rsid w:val="00EC6A53"/>
    <w:rsid w:val="00EC77DC"/>
    <w:rsid w:val="00ED6304"/>
    <w:rsid w:val="00EE4B01"/>
    <w:rsid w:val="00EE5BE0"/>
    <w:rsid w:val="00EF3D55"/>
    <w:rsid w:val="00EF3F0B"/>
    <w:rsid w:val="00EF5583"/>
    <w:rsid w:val="00EF6C87"/>
    <w:rsid w:val="00EF70F0"/>
    <w:rsid w:val="00EF7566"/>
    <w:rsid w:val="00F0289D"/>
    <w:rsid w:val="00F02AEC"/>
    <w:rsid w:val="00F0313A"/>
    <w:rsid w:val="00F066B7"/>
    <w:rsid w:val="00F07572"/>
    <w:rsid w:val="00F156C2"/>
    <w:rsid w:val="00F157FC"/>
    <w:rsid w:val="00F2776F"/>
    <w:rsid w:val="00F30AF3"/>
    <w:rsid w:val="00F31330"/>
    <w:rsid w:val="00F428EE"/>
    <w:rsid w:val="00F43CD1"/>
    <w:rsid w:val="00F446F1"/>
    <w:rsid w:val="00F45AE0"/>
    <w:rsid w:val="00F50720"/>
    <w:rsid w:val="00F54385"/>
    <w:rsid w:val="00F57F92"/>
    <w:rsid w:val="00F60CF2"/>
    <w:rsid w:val="00F62937"/>
    <w:rsid w:val="00F62B9A"/>
    <w:rsid w:val="00F657B4"/>
    <w:rsid w:val="00F70015"/>
    <w:rsid w:val="00F70587"/>
    <w:rsid w:val="00F72419"/>
    <w:rsid w:val="00F72725"/>
    <w:rsid w:val="00F731F6"/>
    <w:rsid w:val="00F7649F"/>
    <w:rsid w:val="00F77A72"/>
    <w:rsid w:val="00F8083B"/>
    <w:rsid w:val="00F82D1B"/>
    <w:rsid w:val="00F8568E"/>
    <w:rsid w:val="00F865A7"/>
    <w:rsid w:val="00F969B6"/>
    <w:rsid w:val="00F97488"/>
    <w:rsid w:val="00FA0754"/>
    <w:rsid w:val="00FA1BC9"/>
    <w:rsid w:val="00FA46EF"/>
    <w:rsid w:val="00FA49C3"/>
    <w:rsid w:val="00FB1879"/>
    <w:rsid w:val="00FB236E"/>
    <w:rsid w:val="00FB2CC5"/>
    <w:rsid w:val="00FB3F7B"/>
    <w:rsid w:val="00FB4C2A"/>
    <w:rsid w:val="00FB5093"/>
    <w:rsid w:val="00FB5887"/>
    <w:rsid w:val="00FC1710"/>
    <w:rsid w:val="00FC2107"/>
    <w:rsid w:val="00FC3B7F"/>
    <w:rsid w:val="00FC48FE"/>
    <w:rsid w:val="00FC6D29"/>
    <w:rsid w:val="00FC6F56"/>
    <w:rsid w:val="00FD27C8"/>
    <w:rsid w:val="00FD297D"/>
    <w:rsid w:val="00FD3549"/>
    <w:rsid w:val="00FD5A47"/>
    <w:rsid w:val="00FD798A"/>
    <w:rsid w:val="00FE087C"/>
    <w:rsid w:val="00FE223F"/>
    <w:rsid w:val="00FE79A0"/>
    <w:rsid w:val="00FE7BC4"/>
    <w:rsid w:val="00FF0939"/>
    <w:rsid w:val="00FF4DA7"/>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4C024"/>
  <w15:chartTrackingRefBased/>
  <w15:docId w15:val="{6AC0F3FB-11B0-4AD3-B1C2-EB4CEA8A1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qFormat="1"/>
    <w:lsdException w:name="List Bullet 3" w:semiHidden="1" w:uiPriority="2"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49C"/>
    <w:rPr>
      <w:rFonts w:ascii="Cambria" w:hAnsi="Cambria"/>
      <w:sz w:val="22"/>
    </w:rPr>
  </w:style>
  <w:style w:type="paragraph" w:styleId="Heading2">
    <w:name w:val="heading 2"/>
    <w:basedOn w:val="Normal"/>
    <w:next w:val="Normal"/>
    <w:link w:val="Heading2Char"/>
    <w:qFormat/>
    <w:rsid w:val="00F02AEC"/>
    <w:pPr>
      <w:keepNext/>
      <w:keepLines/>
      <w:spacing w:before="480" w:line="240" w:lineRule="atLeast"/>
      <w:outlineLvl w:val="1"/>
    </w:pPr>
    <w:rPr>
      <w:rFonts w:ascii="Arial" w:eastAsia="Times New Roman" w:hAnsi="Arial" w:cs="Times New Roman"/>
      <w:b/>
      <w:bCs/>
      <w:color w:val="001871"/>
      <w:sz w:val="38"/>
      <w:szCs w:val="38"/>
    </w:rPr>
  </w:style>
  <w:style w:type="paragraph" w:styleId="Heading3">
    <w:name w:val="heading 3"/>
    <w:basedOn w:val="Normal"/>
    <w:next w:val="Normal"/>
    <w:link w:val="Heading3Char"/>
    <w:qFormat/>
    <w:rsid w:val="00F02AEC"/>
    <w:pPr>
      <w:keepNext/>
      <w:keepLines/>
      <w:spacing w:before="480" w:line="240" w:lineRule="atLeast"/>
      <w:outlineLvl w:val="2"/>
    </w:pPr>
    <w:rPr>
      <w:rFonts w:ascii="Arial" w:eastAsia="Times New Roman" w:hAnsi="Arial" w:cs="Times New Roman"/>
      <w:b/>
      <w:bCs/>
      <w:color w:val="001871"/>
      <w:sz w:val="32"/>
      <w:szCs w:val="32"/>
    </w:rPr>
  </w:style>
  <w:style w:type="paragraph" w:styleId="Heading4">
    <w:name w:val="heading 4"/>
    <w:basedOn w:val="Normal"/>
    <w:next w:val="Normal"/>
    <w:link w:val="Heading4Char"/>
    <w:qFormat/>
    <w:rsid w:val="00F02AEC"/>
    <w:pPr>
      <w:keepNext/>
      <w:keepLines/>
      <w:spacing w:before="360" w:line="240" w:lineRule="atLeast"/>
      <w:outlineLvl w:val="3"/>
    </w:pPr>
    <w:rPr>
      <w:rFonts w:ascii="Arial" w:eastAsia="Cambria" w:hAnsi="Arial" w:cs="Times New Roman"/>
      <w:b/>
      <w:bCs/>
      <w:color w:val="001871"/>
      <w:sz w:val="28"/>
      <w:szCs w:val="26"/>
    </w:rPr>
  </w:style>
  <w:style w:type="paragraph" w:styleId="Heading5">
    <w:name w:val="heading 5"/>
    <w:basedOn w:val="Normal"/>
    <w:next w:val="Normal"/>
    <w:link w:val="Heading5Char"/>
    <w:uiPriority w:val="9"/>
    <w:rsid w:val="00F02AEC"/>
    <w:pPr>
      <w:keepNext/>
      <w:keepLines/>
      <w:spacing w:before="240" w:line="240" w:lineRule="atLeast"/>
      <w:outlineLvl w:val="4"/>
    </w:pPr>
    <w:rPr>
      <w:rFonts w:ascii="Arial" w:eastAsia="Times New Roman" w:hAnsi="Arial" w:cs="Times New Roman"/>
      <w:b/>
      <w:bCs/>
      <w:i/>
      <w:color w:val="001871"/>
      <w:sz w:val="26"/>
      <w:szCs w:val="26"/>
    </w:rPr>
  </w:style>
  <w:style w:type="paragraph" w:styleId="Heading6">
    <w:name w:val="heading 6"/>
    <w:basedOn w:val="Normal"/>
    <w:next w:val="Normal"/>
    <w:link w:val="Heading6Char"/>
    <w:uiPriority w:val="9"/>
    <w:rsid w:val="00F02AEC"/>
    <w:pPr>
      <w:keepNext/>
      <w:keepLines/>
      <w:spacing w:before="240" w:line="240" w:lineRule="atLeast"/>
      <w:outlineLvl w:val="5"/>
    </w:pPr>
    <w:rPr>
      <w:rFonts w:ascii="Arial" w:eastAsia="Times New Roman" w:hAnsi="Arial" w:cs="Times New Roman"/>
      <w:b/>
      <w:bCs/>
      <w:i/>
      <w:color w:val="001871"/>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TGAblue2023">
    <w:name w:val="Table TGA blue 2023"/>
    <w:basedOn w:val="TableNormal"/>
    <w:uiPriority w:val="99"/>
    <w:qFormat/>
    <w:rsid w:val="008329DB"/>
    <w:pPr>
      <w:spacing w:before="80" w:after="40" w:line="264" w:lineRule="auto"/>
      <w:ind w:left="113"/>
    </w:pPr>
    <w:rPr>
      <w:rFonts w:ascii="Arial" w:eastAsia="Cambria" w:hAnsi="Arial" w:cs="Times New Roman"/>
      <w:color w:val="000000"/>
      <w:sz w:val="18"/>
      <w:szCs w:val="21"/>
      <w:lang w:eastAsia="en-AU"/>
    </w:rPr>
    <w:tblPr>
      <w:tblBorders>
        <w:top w:val="single" w:sz="4" w:space="0" w:color="263287"/>
        <w:left w:val="single" w:sz="4" w:space="0" w:color="263287"/>
        <w:bottom w:val="single" w:sz="4" w:space="0" w:color="263287"/>
        <w:right w:val="single" w:sz="4" w:space="0" w:color="263287"/>
        <w:insideH w:val="single" w:sz="4" w:space="0" w:color="263287"/>
        <w:insideV w:val="single" w:sz="4" w:space="0" w:color="263287"/>
      </w:tblBorders>
    </w:tblPr>
    <w:trPr>
      <w:cantSplit/>
    </w:trPr>
    <w:tcPr>
      <w:shd w:val="clear" w:color="auto" w:fill="FFFFFF" w:themeFill="background1"/>
    </w:tcPr>
    <w:tblStylePr w:type="firstRow">
      <w:pPr>
        <w:keepNext/>
        <w:wordWrap/>
      </w:pPr>
      <w:rPr>
        <w:rFonts w:ascii="Arial" w:hAnsi="Arial"/>
        <w:b/>
        <w:color w:val="263287"/>
        <w:sz w:val="22"/>
      </w:rPr>
      <w:tblPr/>
      <w:trPr>
        <w:tblHeader/>
      </w:trPr>
      <w:tcPr>
        <w:shd w:val="clear" w:color="auto" w:fill="DEEAF6" w:themeFill="accent5" w:themeFillTint="33"/>
      </w:tcPr>
    </w:tblStylePr>
    <w:tblStylePr w:type="firstCol">
      <w:pPr>
        <w:keepNext w:val="0"/>
        <w:wordWrap/>
      </w:pPr>
    </w:tblStylePr>
  </w:style>
  <w:style w:type="character" w:customStyle="1" w:styleId="Heading2Char">
    <w:name w:val="Heading 2 Char"/>
    <w:basedOn w:val="DefaultParagraphFont"/>
    <w:link w:val="Heading2"/>
    <w:rsid w:val="00F02AEC"/>
    <w:rPr>
      <w:rFonts w:ascii="Arial" w:eastAsia="Times New Roman" w:hAnsi="Arial" w:cs="Times New Roman"/>
      <w:b/>
      <w:bCs/>
      <w:color w:val="001871"/>
      <w:sz w:val="38"/>
      <w:szCs w:val="38"/>
    </w:rPr>
  </w:style>
  <w:style w:type="character" w:customStyle="1" w:styleId="Heading3Char">
    <w:name w:val="Heading 3 Char"/>
    <w:basedOn w:val="DefaultParagraphFont"/>
    <w:link w:val="Heading3"/>
    <w:rsid w:val="00F02AEC"/>
    <w:rPr>
      <w:rFonts w:ascii="Arial" w:eastAsia="Times New Roman" w:hAnsi="Arial" w:cs="Times New Roman"/>
      <w:b/>
      <w:bCs/>
      <w:color w:val="001871"/>
      <w:sz w:val="32"/>
      <w:szCs w:val="32"/>
    </w:rPr>
  </w:style>
  <w:style w:type="character" w:customStyle="1" w:styleId="Heading4Char">
    <w:name w:val="Heading 4 Char"/>
    <w:basedOn w:val="DefaultParagraphFont"/>
    <w:link w:val="Heading4"/>
    <w:rsid w:val="00F02AEC"/>
    <w:rPr>
      <w:rFonts w:ascii="Arial" w:eastAsia="Cambria" w:hAnsi="Arial" w:cs="Times New Roman"/>
      <w:b/>
      <w:bCs/>
      <w:color w:val="001871"/>
      <w:sz w:val="28"/>
      <w:szCs w:val="26"/>
    </w:rPr>
  </w:style>
  <w:style w:type="character" w:customStyle="1" w:styleId="Heading5Char">
    <w:name w:val="Heading 5 Char"/>
    <w:basedOn w:val="DefaultParagraphFont"/>
    <w:link w:val="Heading5"/>
    <w:uiPriority w:val="9"/>
    <w:rsid w:val="00F02AEC"/>
    <w:rPr>
      <w:rFonts w:ascii="Arial" w:eastAsia="Times New Roman" w:hAnsi="Arial" w:cs="Times New Roman"/>
      <w:b/>
      <w:bCs/>
      <w:i/>
      <w:color w:val="001871"/>
      <w:sz w:val="26"/>
      <w:szCs w:val="26"/>
    </w:rPr>
  </w:style>
  <w:style w:type="character" w:customStyle="1" w:styleId="Heading6Char">
    <w:name w:val="Heading 6 Char"/>
    <w:basedOn w:val="DefaultParagraphFont"/>
    <w:link w:val="Heading6"/>
    <w:uiPriority w:val="9"/>
    <w:rsid w:val="00F02AEC"/>
    <w:rPr>
      <w:rFonts w:ascii="Arial" w:eastAsia="Times New Roman" w:hAnsi="Arial" w:cs="Times New Roman"/>
      <w:b/>
      <w:bCs/>
      <w:i/>
      <w:color w:val="001871"/>
      <w:sz w:val="24"/>
      <w:szCs w:val="21"/>
    </w:rPr>
  </w:style>
  <w:style w:type="paragraph" w:styleId="Date">
    <w:name w:val="Date"/>
    <w:basedOn w:val="Normal"/>
    <w:next w:val="Normal"/>
    <w:link w:val="DateChar"/>
    <w:uiPriority w:val="99"/>
    <w:rsid w:val="00F02AEC"/>
    <w:pPr>
      <w:spacing w:before="120" w:after="0" w:line="240" w:lineRule="atLeast"/>
    </w:pPr>
    <w:rPr>
      <w:rFonts w:ascii="Arial" w:eastAsia="Cambria" w:hAnsi="Arial" w:cs="Times New Roman"/>
      <w:color w:val="333F4A"/>
      <w:sz w:val="28"/>
    </w:rPr>
  </w:style>
  <w:style w:type="character" w:customStyle="1" w:styleId="DateChar">
    <w:name w:val="Date Char"/>
    <w:basedOn w:val="DefaultParagraphFont"/>
    <w:link w:val="Date"/>
    <w:uiPriority w:val="99"/>
    <w:rsid w:val="00F02AEC"/>
    <w:rPr>
      <w:rFonts w:ascii="Arial" w:eastAsia="Cambria" w:hAnsi="Arial" w:cs="Times New Roman"/>
      <w:color w:val="333F4A"/>
      <w:sz w:val="28"/>
      <w:szCs w:val="20"/>
    </w:rPr>
  </w:style>
  <w:style w:type="paragraph" w:styleId="Footer">
    <w:name w:val="footer"/>
    <w:basedOn w:val="Normal"/>
    <w:link w:val="FooterChar"/>
    <w:uiPriority w:val="99"/>
    <w:rsid w:val="0056766D"/>
    <w:pPr>
      <w:tabs>
        <w:tab w:val="center" w:pos="4513"/>
        <w:tab w:val="right" w:pos="9026"/>
      </w:tabs>
      <w:spacing w:after="0" w:line="240" w:lineRule="auto"/>
    </w:pPr>
    <w:rPr>
      <w:rFonts w:eastAsia="Cambria" w:cs="Times New Roman"/>
      <w:color w:val="333F4A"/>
      <w:sz w:val="17"/>
    </w:rPr>
  </w:style>
  <w:style w:type="character" w:customStyle="1" w:styleId="FooterChar">
    <w:name w:val="Footer Char"/>
    <w:basedOn w:val="DefaultParagraphFont"/>
    <w:link w:val="Footer"/>
    <w:uiPriority w:val="99"/>
    <w:rsid w:val="0056766D"/>
    <w:rPr>
      <w:rFonts w:ascii="Cambria" w:eastAsia="Cambria" w:hAnsi="Cambria" w:cs="Times New Roman"/>
      <w:color w:val="333F4A"/>
      <w:sz w:val="17"/>
    </w:rPr>
  </w:style>
  <w:style w:type="paragraph" w:styleId="Header">
    <w:name w:val="header"/>
    <w:basedOn w:val="Normal"/>
    <w:link w:val="HeaderChar"/>
    <w:uiPriority w:val="99"/>
    <w:rsid w:val="00F02AEC"/>
    <w:pPr>
      <w:pBdr>
        <w:bottom w:val="single" w:sz="4" w:space="3" w:color="auto"/>
      </w:pBdr>
      <w:tabs>
        <w:tab w:val="center" w:pos="4513"/>
        <w:tab w:val="right" w:pos="9026"/>
      </w:tabs>
      <w:spacing w:after="0" w:line="240" w:lineRule="auto"/>
      <w:jc w:val="right"/>
    </w:pPr>
    <w:rPr>
      <w:rFonts w:ascii="Arial" w:eastAsia="Cambria" w:hAnsi="Arial" w:cs="Times New Roman"/>
      <w:color w:val="333F4A"/>
      <w:sz w:val="17"/>
    </w:rPr>
  </w:style>
  <w:style w:type="character" w:customStyle="1" w:styleId="HeaderChar">
    <w:name w:val="Header Char"/>
    <w:basedOn w:val="DefaultParagraphFont"/>
    <w:link w:val="Header"/>
    <w:uiPriority w:val="99"/>
    <w:rsid w:val="00F02AEC"/>
    <w:rPr>
      <w:rFonts w:ascii="Arial" w:eastAsia="Cambria" w:hAnsi="Arial" w:cs="Times New Roman"/>
      <w:color w:val="333F4A"/>
      <w:sz w:val="17"/>
      <w:szCs w:val="20"/>
    </w:rPr>
  </w:style>
  <w:style w:type="character" w:styleId="Hyperlink">
    <w:name w:val="Hyperlink"/>
    <w:basedOn w:val="DefaultParagraphFont"/>
    <w:uiPriority w:val="99"/>
    <w:unhideWhenUsed/>
    <w:rsid w:val="0056766D"/>
    <w:rPr>
      <w:rFonts w:ascii="Cambria" w:hAnsi="Cambria"/>
      <w:color w:val="0000FF"/>
      <w:u w:val="single"/>
    </w:rPr>
  </w:style>
  <w:style w:type="paragraph" w:customStyle="1" w:styleId="LegalCopy">
    <w:name w:val="Legal Copy"/>
    <w:basedOn w:val="Footer"/>
    <w:rsid w:val="0056766D"/>
  </w:style>
  <w:style w:type="paragraph" w:customStyle="1" w:styleId="LegalSubheading">
    <w:name w:val="Legal Subheading"/>
    <w:basedOn w:val="Footer"/>
    <w:rsid w:val="0056766D"/>
    <w:pPr>
      <w:outlineLvl w:val="1"/>
    </w:pPr>
    <w:rPr>
      <w:b/>
    </w:rPr>
  </w:style>
  <w:style w:type="paragraph" w:styleId="ListBullet">
    <w:name w:val="List Bullet"/>
    <w:basedOn w:val="Normal"/>
    <w:uiPriority w:val="2"/>
    <w:qFormat/>
    <w:rsid w:val="00FC6F56"/>
    <w:pPr>
      <w:numPr>
        <w:numId w:val="1"/>
      </w:numPr>
      <w:spacing w:before="120" w:after="180" w:line="240" w:lineRule="atLeast"/>
    </w:pPr>
    <w:rPr>
      <w:rFonts w:eastAsia="Cambria" w:cs="Times New Roman"/>
      <w:color w:val="000000" w:themeColor="text1"/>
    </w:rPr>
  </w:style>
  <w:style w:type="paragraph" w:styleId="ListBullet2">
    <w:name w:val="List Bullet 2"/>
    <w:basedOn w:val="Normal"/>
    <w:uiPriority w:val="2"/>
    <w:qFormat/>
    <w:rsid w:val="00FC6F56"/>
    <w:pPr>
      <w:numPr>
        <w:ilvl w:val="1"/>
        <w:numId w:val="1"/>
      </w:numPr>
      <w:spacing w:before="120" w:after="180" w:line="240" w:lineRule="atLeast"/>
      <w:ind w:left="850" w:hanging="425"/>
    </w:pPr>
    <w:rPr>
      <w:rFonts w:eastAsia="Cambria" w:cs="Times New Roman"/>
      <w:color w:val="000000" w:themeColor="text1"/>
    </w:rPr>
  </w:style>
  <w:style w:type="paragraph" w:styleId="ListBullet3">
    <w:name w:val="List Bullet 3"/>
    <w:basedOn w:val="Normal"/>
    <w:uiPriority w:val="2"/>
    <w:qFormat/>
    <w:rsid w:val="00FC6F56"/>
    <w:pPr>
      <w:numPr>
        <w:numId w:val="3"/>
      </w:numPr>
      <w:spacing w:before="120" w:after="180" w:line="240" w:lineRule="atLeast"/>
      <w:ind w:left="1276" w:hanging="425"/>
    </w:pPr>
    <w:rPr>
      <w:rFonts w:eastAsia="Cambria" w:cs="Times New Roman"/>
    </w:rPr>
  </w:style>
  <w:style w:type="numbering" w:customStyle="1" w:styleId="ListBullets">
    <w:name w:val="ListBullets"/>
    <w:uiPriority w:val="99"/>
    <w:locked/>
    <w:rsid w:val="00F02AEC"/>
    <w:pPr>
      <w:numPr>
        <w:numId w:val="1"/>
      </w:numPr>
    </w:pPr>
  </w:style>
  <w:style w:type="paragraph" w:customStyle="1" w:styleId="Numberbullet0">
    <w:name w:val="Number bullet"/>
    <w:basedOn w:val="ListBullet"/>
    <w:uiPriority w:val="2"/>
    <w:qFormat/>
    <w:rsid w:val="00FC6F56"/>
    <w:pPr>
      <w:numPr>
        <w:numId w:val="2"/>
      </w:numPr>
    </w:pPr>
  </w:style>
  <w:style w:type="paragraph" w:customStyle="1" w:styleId="Numberbullet2">
    <w:name w:val="Number bullet 2"/>
    <w:basedOn w:val="ListBullet2"/>
    <w:uiPriority w:val="2"/>
    <w:qFormat/>
    <w:rsid w:val="00F02AEC"/>
    <w:pPr>
      <w:numPr>
        <w:numId w:val="2"/>
      </w:numPr>
      <w:ind w:left="850" w:hanging="425"/>
    </w:pPr>
  </w:style>
  <w:style w:type="paragraph" w:customStyle="1" w:styleId="Numberbullet3">
    <w:name w:val="Number bullet 3"/>
    <w:basedOn w:val="Normal"/>
    <w:uiPriority w:val="2"/>
    <w:qFormat/>
    <w:rsid w:val="00F02AEC"/>
    <w:pPr>
      <w:numPr>
        <w:numId w:val="4"/>
      </w:numPr>
      <w:spacing w:before="120" w:after="180" w:line="240" w:lineRule="atLeast"/>
      <w:ind w:left="1361" w:hanging="397"/>
    </w:pPr>
    <w:rPr>
      <w:rFonts w:ascii="Arial" w:eastAsia="Cambria" w:hAnsi="Arial" w:cs="Times New Roman"/>
      <w:color w:val="333F48"/>
    </w:rPr>
  </w:style>
  <w:style w:type="numbering" w:customStyle="1" w:styleId="NumberBullet">
    <w:name w:val="NumberBullet"/>
    <w:uiPriority w:val="99"/>
    <w:locked/>
    <w:rsid w:val="00F02AEC"/>
    <w:pPr>
      <w:numPr>
        <w:numId w:val="2"/>
      </w:numPr>
    </w:pPr>
  </w:style>
  <w:style w:type="paragraph" w:styleId="Subtitle">
    <w:name w:val="Subtitle"/>
    <w:basedOn w:val="Normal"/>
    <w:link w:val="SubtitleChar"/>
    <w:uiPriority w:val="11"/>
    <w:rsid w:val="00F02AEC"/>
    <w:pPr>
      <w:numPr>
        <w:ilvl w:val="1"/>
      </w:numPr>
      <w:spacing w:after="0" w:line="240" w:lineRule="atLeast"/>
      <w:ind w:left="170"/>
    </w:pPr>
    <w:rPr>
      <w:rFonts w:ascii="Arial" w:eastAsia="Times New Roman" w:hAnsi="Arial" w:cs="Times New Roman"/>
      <w:bCs/>
      <w:iCs/>
      <w:color w:val="006BA6"/>
      <w:sz w:val="40"/>
      <w:szCs w:val="24"/>
    </w:rPr>
  </w:style>
  <w:style w:type="character" w:customStyle="1" w:styleId="SubtitleChar">
    <w:name w:val="Subtitle Char"/>
    <w:basedOn w:val="DefaultParagraphFont"/>
    <w:link w:val="Subtitle"/>
    <w:uiPriority w:val="11"/>
    <w:rsid w:val="00F02AEC"/>
    <w:rPr>
      <w:rFonts w:ascii="Arial" w:eastAsia="Times New Roman" w:hAnsi="Arial" w:cs="Times New Roman"/>
      <w:bCs/>
      <w:iCs/>
      <w:color w:val="006BA6"/>
      <w:sz w:val="40"/>
      <w:szCs w:val="24"/>
    </w:rPr>
  </w:style>
  <w:style w:type="table" w:styleId="TableGrid">
    <w:name w:val="Table Grid"/>
    <w:basedOn w:val="TableNormal"/>
    <w:uiPriority w:val="59"/>
    <w:rsid w:val="00F02AEC"/>
    <w:pPr>
      <w:spacing w:after="0" w:line="240" w:lineRule="auto"/>
    </w:pPr>
    <w:rPr>
      <w:rFonts w:ascii="Cambria" w:eastAsia="Cambria" w:hAnsi="Cambria" w:cs="Times New Roman"/>
      <w:sz w:val="21"/>
      <w:szCs w:val="2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GASignoff">
    <w:name w:val="TGA Signoff"/>
    <w:basedOn w:val="Normal"/>
    <w:rsid w:val="00F02AEC"/>
    <w:pPr>
      <w:spacing w:before="120" w:after="360" w:line="240" w:lineRule="atLeast"/>
      <w:jc w:val="center"/>
    </w:pPr>
    <w:rPr>
      <w:rFonts w:ascii="Arial" w:eastAsia="Cambria" w:hAnsi="Arial" w:cs="Times New Roman"/>
      <w:b/>
      <w:color w:val="333F48"/>
      <w:sz w:val="28"/>
    </w:rPr>
  </w:style>
  <w:style w:type="paragraph" w:styleId="Title">
    <w:name w:val="Title"/>
    <w:link w:val="TitleChar"/>
    <w:uiPriority w:val="10"/>
    <w:rsid w:val="00F02AEC"/>
    <w:pPr>
      <w:spacing w:line="240" w:lineRule="auto"/>
      <w:contextualSpacing/>
      <w:outlineLvl w:val="0"/>
    </w:pPr>
    <w:rPr>
      <w:rFonts w:ascii="Arial" w:eastAsia="Times New Roman" w:hAnsi="Arial" w:cs="Times New Roman"/>
      <w:color w:val="001871"/>
      <w:spacing w:val="5"/>
      <w:kern w:val="28"/>
      <w:sz w:val="52"/>
      <w:szCs w:val="52"/>
    </w:rPr>
  </w:style>
  <w:style w:type="character" w:customStyle="1" w:styleId="TitleChar">
    <w:name w:val="Title Char"/>
    <w:basedOn w:val="DefaultParagraphFont"/>
    <w:link w:val="Title"/>
    <w:uiPriority w:val="10"/>
    <w:rsid w:val="00F02AEC"/>
    <w:rPr>
      <w:rFonts w:ascii="Arial" w:eastAsia="Times New Roman" w:hAnsi="Arial" w:cs="Times New Roman"/>
      <w:color w:val="001871"/>
      <w:spacing w:val="5"/>
      <w:kern w:val="28"/>
      <w:sz w:val="52"/>
      <w:szCs w:val="52"/>
    </w:rPr>
  </w:style>
  <w:style w:type="paragraph" w:styleId="TOC1">
    <w:name w:val="toc 1"/>
    <w:basedOn w:val="Normal"/>
    <w:next w:val="Normal"/>
    <w:uiPriority w:val="39"/>
    <w:unhideWhenUsed/>
    <w:rsid w:val="00F02AEC"/>
    <w:pPr>
      <w:keepNext/>
      <w:keepLines/>
      <w:tabs>
        <w:tab w:val="right" w:leader="underscore" w:pos="8505"/>
      </w:tabs>
      <w:spacing w:before="120" w:after="200" w:line="240" w:lineRule="atLeast"/>
    </w:pPr>
    <w:rPr>
      <w:rFonts w:ascii="Arial" w:eastAsia="Cambria" w:hAnsi="Arial" w:cs="Times New Roman"/>
      <w:b/>
      <w:color w:val="333F48"/>
      <w:sz w:val="32"/>
    </w:rPr>
  </w:style>
  <w:style w:type="paragraph" w:styleId="TOC2">
    <w:name w:val="toc 2"/>
    <w:basedOn w:val="Normal"/>
    <w:next w:val="Normal"/>
    <w:uiPriority w:val="39"/>
    <w:unhideWhenUsed/>
    <w:rsid w:val="00F02AEC"/>
    <w:pPr>
      <w:keepNext/>
      <w:keepLines/>
      <w:tabs>
        <w:tab w:val="right" w:leader="underscore" w:pos="8505"/>
      </w:tabs>
      <w:spacing w:before="120" w:after="100" w:line="240" w:lineRule="atLeast"/>
      <w:ind w:left="425"/>
    </w:pPr>
    <w:rPr>
      <w:rFonts w:ascii="Arial" w:eastAsia="Cambria" w:hAnsi="Arial" w:cs="Times New Roman"/>
      <w:b/>
      <w:color w:val="333F48"/>
      <w:sz w:val="25"/>
    </w:rPr>
  </w:style>
  <w:style w:type="paragraph" w:styleId="TOC3">
    <w:name w:val="toc 3"/>
    <w:basedOn w:val="Normal"/>
    <w:next w:val="Normal"/>
    <w:uiPriority w:val="39"/>
    <w:unhideWhenUsed/>
    <w:rsid w:val="00F02AEC"/>
    <w:pPr>
      <w:keepNext/>
      <w:keepLines/>
      <w:tabs>
        <w:tab w:val="right" w:leader="hyphen" w:pos="8505"/>
      </w:tabs>
      <w:spacing w:before="120" w:after="100" w:line="240" w:lineRule="atLeast"/>
      <w:ind w:left="851"/>
    </w:pPr>
    <w:rPr>
      <w:rFonts w:ascii="Arial" w:eastAsia="Cambria" w:hAnsi="Arial" w:cs="Times New Roman"/>
      <w:b/>
      <w:color w:val="333F48"/>
    </w:rPr>
  </w:style>
  <w:style w:type="paragraph" w:styleId="FootnoteText">
    <w:name w:val="footnote text"/>
    <w:basedOn w:val="Normal"/>
    <w:link w:val="FootnoteTextChar"/>
    <w:qFormat/>
    <w:rsid w:val="00FE087C"/>
    <w:pPr>
      <w:keepLines/>
      <w:spacing w:after="0" w:line="240" w:lineRule="atLeast"/>
    </w:pPr>
    <w:rPr>
      <w:rFonts w:eastAsia="Cambria" w:cs="Times New Roman"/>
      <w:color w:val="333F48"/>
      <w:sz w:val="17"/>
    </w:rPr>
  </w:style>
  <w:style w:type="character" w:customStyle="1" w:styleId="FootnoteTextChar">
    <w:name w:val="Footnote Text Char"/>
    <w:basedOn w:val="DefaultParagraphFont"/>
    <w:link w:val="FootnoteText"/>
    <w:rsid w:val="00FE087C"/>
    <w:rPr>
      <w:rFonts w:ascii="Cambria" w:eastAsia="Cambria" w:hAnsi="Cambria" w:cs="Times New Roman"/>
      <w:color w:val="333F48"/>
      <w:sz w:val="17"/>
    </w:rPr>
  </w:style>
  <w:style w:type="character" w:styleId="FootnoteReference">
    <w:name w:val="footnote reference"/>
    <w:basedOn w:val="DefaultParagraphFont"/>
    <w:uiPriority w:val="99"/>
    <w:semiHidden/>
    <w:unhideWhenUsed/>
    <w:rsid w:val="00F02AEC"/>
    <w:rPr>
      <w:vertAlign w:val="superscript"/>
    </w:rPr>
  </w:style>
  <w:style w:type="paragraph" w:customStyle="1" w:styleId="NonTOCheading2">
    <w:name w:val="Non TOC heading 2"/>
    <w:basedOn w:val="Normal"/>
    <w:next w:val="Normal"/>
    <w:rsid w:val="00F02AEC"/>
    <w:pPr>
      <w:keepNext/>
      <w:keepLines/>
      <w:pageBreakBefore/>
      <w:spacing w:after="180" w:line="240" w:lineRule="atLeast"/>
      <w:outlineLvl w:val="1"/>
    </w:pPr>
    <w:rPr>
      <w:rFonts w:ascii="Arial" w:eastAsia="Cambria" w:hAnsi="Arial" w:cs="Times New Roman"/>
      <w:b/>
      <w:color w:val="001871"/>
      <w:sz w:val="38"/>
    </w:rPr>
  </w:style>
  <w:style w:type="paragraph" w:customStyle="1" w:styleId="Headernoline">
    <w:name w:val="Header no line"/>
    <w:basedOn w:val="Header"/>
    <w:rsid w:val="00F02AEC"/>
    <w:pPr>
      <w:pBdr>
        <w:bottom w:val="none" w:sz="0" w:space="0" w:color="auto"/>
      </w:pBdr>
      <w:spacing w:line="240" w:lineRule="atLeast"/>
    </w:pPr>
  </w:style>
  <w:style w:type="paragraph" w:customStyle="1" w:styleId="Address">
    <w:name w:val="Address"/>
    <w:basedOn w:val="Normal"/>
    <w:rsid w:val="00F02AEC"/>
    <w:pPr>
      <w:spacing w:after="0" w:line="240" w:lineRule="auto"/>
    </w:pPr>
    <w:rPr>
      <w:rFonts w:ascii="Arial" w:eastAsia="Cambria" w:hAnsi="Arial" w:cs="Times New Roman"/>
      <w:color w:val="333F48"/>
      <w:sz w:val="21"/>
    </w:rPr>
  </w:style>
  <w:style w:type="paragraph" w:customStyle="1" w:styleId="ListBullet-dotick">
    <w:name w:val="List Bullet - do (tick)"/>
    <w:basedOn w:val="ListBullet"/>
    <w:autoRedefine/>
    <w:uiPriority w:val="1"/>
    <w:rsid w:val="00F02AEC"/>
    <w:pPr>
      <w:numPr>
        <w:numId w:val="5"/>
      </w:numPr>
      <w:tabs>
        <w:tab w:val="left" w:pos="425"/>
      </w:tabs>
    </w:pPr>
  </w:style>
  <w:style w:type="paragraph" w:customStyle="1" w:styleId="ListBullet-donotcross">
    <w:name w:val="List Bullet - do not (cross)"/>
    <w:basedOn w:val="ListBullet"/>
    <w:autoRedefine/>
    <w:uiPriority w:val="1"/>
    <w:rsid w:val="00F02AEC"/>
    <w:pPr>
      <w:numPr>
        <w:numId w:val="6"/>
      </w:numPr>
      <w:ind w:left="357" w:hanging="357"/>
    </w:pPr>
    <w:rPr>
      <w:rFonts w:eastAsiaTheme="minorHAnsi" w:cstheme="minorBidi"/>
      <w:szCs w:val="22"/>
    </w:rPr>
  </w:style>
  <w:style w:type="table" w:customStyle="1" w:styleId="TGABlack2023">
    <w:name w:val="TGA Black 2023"/>
    <w:basedOn w:val="TableTGAblue2023"/>
    <w:uiPriority w:val="99"/>
    <w:rsid w:val="00FA49C3"/>
    <w:pPr>
      <w:spacing w:line="240" w:lineRule="auto"/>
    </w:pPr>
    <w:tblPr>
      <w:tblBorders>
        <w:top w:val="single" w:sz="4" w:space="0" w:color="0D0D0D" w:themeColor="text1" w:themeTint="F2"/>
        <w:left w:val="single" w:sz="4" w:space="0" w:color="0D0D0D" w:themeColor="text1" w:themeTint="F2"/>
        <w:bottom w:val="single" w:sz="4" w:space="0" w:color="0D0D0D" w:themeColor="text1" w:themeTint="F2"/>
        <w:right w:val="single" w:sz="4" w:space="0" w:color="0D0D0D" w:themeColor="text1" w:themeTint="F2"/>
        <w:insideH w:val="single" w:sz="4" w:space="0" w:color="0D0D0D" w:themeColor="text1" w:themeTint="F2"/>
        <w:insideV w:val="single" w:sz="4" w:space="0" w:color="0D0D0D" w:themeColor="text1" w:themeTint="F2"/>
      </w:tblBorders>
    </w:tblPr>
    <w:tblStylePr w:type="firstRow">
      <w:pPr>
        <w:keepNext/>
        <w:wordWrap/>
      </w:pPr>
      <w:rPr>
        <w:rFonts w:ascii="Arial" w:hAnsi="Arial"/>
        <w:b/>
        <w:color w:val="FFFFFF" w:themeColor="background1"/>
        <w:sz w:val="22"/>
      </w:rPr>
      <w:tblPr/>
      <w:trPr>
        <w:tblHeader/>
      </w:trPr>
      <w:tcPr>
        <w:shd w:val="clear" w:color="auto" w:fill="171717" w:themeFill="background2" w:themeFillShade="1A"/>
      </w:tcPr>
    </w:tblStylePr>
    <w:tblStylePr w:type="firstCol">
      <w:pPr>
        <w:keepNext w:val="0"/>
        <w:wordWrap/>
      </w:pPr>
    </w:tblStylePr>
  </w:style>
  <w:style w:type="paragraph" w:customStyle="1" w:styleId="NonTOCHeading20">
    <w:name w:val="Non TOC Heading 2"/>
    <w:basedOn w:val="Normal"/>
    <w:rsid w:val="00346EC2"/>
    <w:pPr>
      <w:spacing w:before="240" w:line="240" w:lineRule="atLeast"/>
      <w:outlineLvl w:val="1"/>
    </w:pPr>
    <w:rPr>
      <w:rFonts w:ascii="Arial" w:eastAsia="Cambria" w:hAnsi="Arial" w:cs="Times New Roman"/>
      <w:b/>
      <w:sz w:val="32"/>
      <w:szCs w:val="22"/>
    </w:rPr>
  </w:style>
  <w:style w:type="table" w:customStyle="1" w:styleId="TableTGAblue">
    <w:name w:val="Table TGA blue"/>
    <w:basedOn w:val="TableNormal"/>
    <w:uiPriority w:val="99"/>
    <w:qFormat/>
    <w:rsid w:val="00324B33"/>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keepNext/>
        <w:wordWrap/>
      </w:pPr>
      <w:rPr>
        <w:rFonts w:ascii="Cambria" w:hAnsi="Cambria"/>
        <w:b/>
        <w:color w:val="FFFFFF" w:themeColor="background1"/>
        <w:sz w:val="22"/>
      </w:rPr>
      <w:tblPr/>
      <w:trPr>
        <w:tblHeader/>
      </w:tr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style>
  <w:style w:type="paragraph" w:customStyle="1" w:styleId="Instructions">
    <w:name w:val="Instructions"/>
    <w:basedOn w:val="Normal"/>
    <w:next w:val="Normal"/>
    <w:uiPriority w:val="1"/>
    <w:qFormat/>
    <w:rsid w:val="00324B33"/>
    <w:pPr>
      <w:spacing w:before="120" w:line="240" w:lineRule="atLeast"/>
    </w:pPr>
    <w:rPr>
      <w:rFonts w:eastAsia="Cambria" w:cs="Times New Roman"/>
      <w:i/>
      <w:color w:val="007099"/>
      <w:szCs w:val="22"/>
    </w:rPr>
  </w:style>
  <w:style w:type="paragraph" w:customStyle="1" w:styleId="TableTitle">
    <w:name w:val="Table Title"/>
    <w:basedOn w:val="Normal"/>
    <w:rsid w:val="00324B33"/>
    <w:pPr>
      <w:keepNext/>
      <w:spacing w:before="120" w:line="240" w:lineRule="atLeast"/>
    </w:pPr>
    <w:rPr>
      <w:rFonts w:eastAsia="Cambria" w:cs="Times New Roman"/>
      <w:b/>
      <w:szCs w:val="22"/>
    </w:rPr>
  </w:style>
  <w:style w:type="paragraph" w:customStyle="1" w:styleId="TableDescription">
    <w:name w:val="Table Description"/>
    <w:basedOn w:val="Normal"/>
    <w:qFormat/>
    <w:rsid w:val="00854D98"/>
    <w:pPr>
      <w:spacing w:before="120" w:line="240" w:lineRule="auto"/>
    </w:pPr>
    <w:rPr>
      <w:rFonts w:eastAsia="Cambria" w:cs="Times New Roman"/>
      <w:sz w:val="18"/>
      <w:szCs w:val="19"/>
    </w:rPr>
  </w:style>
  <w:style w:type="character" w:styleId="CommentReference">
    <w:name w:val="annotation reference"/>
    <w:basedOn w:val="DefaultParagraphFont"/>
    <w:uiPriority w:val="99"/>
    <w:semiHidden/>
    <w:unhideWhenUsed/>
    <w:rsid w:val="00E47E0C"/>
    <w:rPr>
      <w:sz w:val="16"/>
      <w:szCs w:val="16"/>
    </w:rPr>
  </w:style>
  <w:style w:type="paragraph" w:styleId="CommentText">
    <w:name w:val="annotation text"/>
    <w:basedOn w:val="Normal"/>
    <w:link w:val="CommentTextChar"/>
    <w:uiPriority w:val="99"/>
    <w:unhideWhenUsed/>
    <w:rsid w:val="00E47E0C"/>
    <w:pPr>
      <w:spacing w:line="240" w:lineRule="auto"/>
    </w:pPr>
  </w:style>
  <w:style w:type="character" w:customStyle="1" w:styleId="CommentTextChar">
    <w:name w:val="Comment Text Char"/>
    <w:basedOn w:val="DefaultParagraphFont"/>
    <w:link w:val="CommentText"/>
    <w:uiPriority w:val="99"/>
    <w:rsid w:val="00E47E0C"/>
    <w:rPr>
      <w:rFonts w:ascii="Cambria" w:hAnsi="Cambria"/>
    </w:rPr>
  </w:style>
  <w:style w:type="paragraph" w:styleId="CommentSubject">
    <w:name w:val="annotation subject"/>
    <w:basedOn w:val="CommentText"/>
    <w:next w:val="CommentText"/>
    <w:link w:val="CommentSubjectChar"/>
    <w:uiPriority w:val="99"/>
    <w:semiHidden/>
    <w:unhideWhenUsed/>
    <w:rsid w:val="00E47E0C"/>
    <w:rPr>
      <w:b/>
      <w:bCs/>
    </w:rPr>
  </w:style>
  <w:style w:type="character" w:customStyle="1" w:styleId="CommentSubjectChar">
    <w:name w:val="Comment Subject Char"/>
    <w:basedOn w:val="CommentTextChar"/>
    <w:link w:val="CommentSubject"/>
    <w:uiPriority w:val="99"/>
    <w:semiHidden/>
    <w:rsid w:val="00E47E0C"/>
    <w:rPr>
      <w:rFonts w:ascii="Cambria" w:hAnsi="Cambria"/>
      <w:b/>
      <w:bCs/>
    </w:rPr>
  </w:style>
  <w:style w:type="paragraph" w:styleId="BalloonText">
    <w:name w:val="Balloon Text"/>
    <w:basedOn w:val="Normal"/>
    <w:link w:val="BalloonTextChar"/>
    <w:uiPriority w:val="99"/>
    <w:semiHidden/>
    <w:unhideWhenUsed/>
    <w:rsid w:val="00D637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3760"/>
    <w:rPr>
      <w:rFonts w:ascii="Segoe UI" w:hAnsi="Segoe UI" w:cs="Segoe UI"/>
      <w:sz w:val="18"/>
      <w:szCs w:val="18"/>
    </w:rPr>
  </w:style>
  <w:style w:type="character" w:styleId="FollowedHyperlink">
    <w:name w:val="FollowedHyperlink"/>
    <w:basedOn w:val="DefaultParagraphFont"/>
    <w:uiPriority w:val="99"/>
    <w:semiHidden/>
    <w:unhideWhenUsed/>
    <w:rsid w:val="001C1C2E"/>
    <w:rPr>
      <w:color w:val="954F72" w:themeColor="followedHyperlink"/>
      <w:u w:val="single"/>
    </w:rPr>
  </w:style>
  <w:style w:type="paragraph" w:styleId="Revision">
    <w:name w:val="Revision"/>
    <w:hidden/>
    <w:uiPriority w:val="99"/>
    <w:semiHidden/>
    <w:rsid w:val="008964B3"/>
    <w:pPr>
      <w:spacing w:after="0" w:line="240" w:lineRule="auto"/>
    </w:pPr>
    <w:rPr>
      <w:rFonts w:ascii="Cambria" w:hAnsi="Cambria"/>
    </w:rPr>
  </w:style>
  <w:style w:type="character" w:styleId="UnresolvedMention">
    <w:name w:val="Unresolved Mention"/>
    <w:basedOn w:val="DefaultParagraphFont"/>
    <w:uiPriority w:val="99"/>
    <w:semiHidden/>
    <w:unhideWhenUsed/>
    <w:rsid w:val="00966EF1"/>
    <w:rPr>
      <w:color w:val="605E5C"/>
      <w:shd w:val="clear" w:color="auto" w:fill="E1DFDD"/>
    </w:rPr>
  </w:style>
  <w:style w:type="paragraph" w:customStyle="1" w:styleId="TableText">
    <w:name w:val="Table Text"/>
    <w:basedOn w:val="FootnoteText"/>
    <w:qFormat/>
    <w:rsid w:val="005B69CF"/>
    <w:rPr>
      <w:color w:val="000000" w:themeColor="text1"/>
      <w:sz w:val="22"/>
      <w:lang w:val="en-GB"/>
    </w:rPr>
  </w:style>
  <w:style w:type="paragraph" w:customStyle="1" w:styleId="FigureTitle">
    <w:name w:val="Figure Title"/>
    <w:basedOn w:val="Normal"/>
    <w:qFormat/>
    <w:rsid w:val="00AB0613"/>
    <w:pPr>
      <w:keepNext/>
    </w:pPr>
    <w:rPr>
      <w:b/>
    </w:rPr>
  </w:style>
  <w:style w:type="paragraph" w:styleId="Caption">
    <w:name w:val="caption"/>
    <w:basedOn w:val="Normal"/>
    <w:next w:val="Normal"/>
    <w:uiPriority w:val="35"/>
    <w:unhideWhenUsed/>
    <w:qFormat/>
    <w:rsid w:val="0098350E"/>
    <w:pPr>
      <w:spacing w:after="200" w:line="240" w:lineRule="auto"/>
    </w:pPr>
    <w:rPr>
      <w:i/>
      <w:iCs/>
      <w:color w:val="44546A" w:themeColor="text2"/>
      <w:sz w:val="18"/>
      <w:szCs w:val="18"/>
    </w:rPr>
  </w:style>
  <w:style w:type="paragraph" w:customStyle="1" w:styleId="FigureDescription">
    <w:name w:val="Figure Description"/>
    <w:basedOn w:val="FigureTitle"/>
    <w:qFormat/>
    <w:rsid w:val="0010558A"/>
    <w:pPr>
      <w:spacing w:before="120"/>
    </w:pPr>
    <w:rPr>
      <w:b w:val="0"/>
      <w:sz w:val="19"/>
    </w:rPr>
  </w:style>
  <w:style w:type="paragraph" w:styleId="ListParagraph">
    <w:name w:val="List Paragraph"/>
    <w:basedOn w:val="Normal"/>
    <w:link w:val="ListParagraphChar"/>
    <w:uiPriority w:val="34"/>
    <w:qFormat/>
    <w:rsid w:val="006B7126"/>
    <w:pPr>
      <w:spacing w:after="160"/>
      <w:ind w:left="720"/>
      <w:contextualSpacing/>
    </w:pPr>
    <w:rPr>
      <w:rFonts w:ascii="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B7126"/>
    <w:rPr>
      <w:rFonts w:ascii="Times New Roman" w:hAnsi="Times New Roman" w:cs="Times New Roman"/>
      <w:sz w:val="24"/>
      <w:szCs w:val="24"/>
    </w:rPr>
  </w:style>
  <w:style w:type="paragraph" w:customStyle="1" w:styleId="Indication">
    <w:name w:val="Indication"/>
    <w:basedOn w:val="Normal"/>
    <w:next w:val="Normal"/>
    <w:qFormat/>
    <w:rsid w:val="00BA3F6D"/>
    <w:pPr>
      <w:spacing w:before="120" w:line="240" w:lineRule="atLeast"/>
      <w:ind w:left="720"/>
      <w:contextualSpacing/>
    </w:pPr>
    <w:rPr>
      <w:i/>
      <w:color w:val="000000" w:themeColor="text1"/>
    </w:rPr>
  </w:style>
  <w:style w:type="paragraph" w:customStyle="1" w:styleId="DelegatesQuestions">
    <w:name w:val="Delegate's Questions"/>
    <w:basedOn w:val="Numberbullet0"/>
    <w:qFormat/>
    <w:rsid w:val="007575D0"/>
    <w:rPr>
      <w:b/>
      <w:bCs/>
      <w:i/>
      <w:iCs/>
    </w:rPr>
  </w:style>
  <w:style w:type="paragraph" w:customStyle="1" w:styleId="Standard">
    <w:name w:val="Standard"/>
    <w:basedOn w:val="Normal"/>
    <w:link w:val="StandardChar"/>
    <w:qFormat/>
    <w:rsid w:val="00057713"/>
    <w:pPr>
      <w:spacing w:after="180" w:line="252" w:lineRule="auto"/>
    </w:pPr>
    <w:rPr>
      <w:rFonts w:eastAsia="Times New Roman" w:cs="Times New Roman"/>
      <w:snapToGrid w:val="0"/>
      <w:kern w:val="16"/>
      <w:szCs w:val="24"/>
    </w:rPr>
  </w:style>
  <w:style w:type="character" w:customStyle="1" w:styleId="StandardChar">
    <w:name w:val="Standard Char"/>
    <w:basedOn w:val="DefaultParagraphFont"/>
    <w:link w:val="Standard"/>
    <w:rsid w:val="00057713"/>
    <w:rPr>
      <w:rFonts w:ascii="Cambria" w:eastAsia="Times New Roman" w:hAnsi="Cambria" w:cs="Times New Roman"/>
      <w:snapToGrid w:val="0"/>
      <w:kern w:val="16"/>
      <w:sz w:val="22"/>
      <w:szCs w:val="24"/>
    </w:rPr>
  </w:style>
  <w:style w:type="paragraph" w:customStyle="1" w:styleId="SectionHeading">
    <w:name w:val="Section Heading"/>
    <w:basedOn w:val="Standard"/>
    <w:next w:val="Standard"/>
    <w:link w:val="SectionHeadingCharChar"/>
    <w:rsid w:val="00CD125B"/>
    <w:pPr>
      <w:keepNext/>
      <w:spacing w:after="220"/>
      <w:outlineLvl w:val="0"/>
    </w:pPr>
    <w:rPr>
      <w:b/>
      <w:caps/>
      <w:sz w:val="24"/>
    </w:rPr>
  </w:style>
  <w:style w:type="character" w:customStyle="1" w:styleId="SectionHeadingCharChar">
    <w:name w:val="Section Heading Char Char"/>
    <w:basedOn w:val="DefaultParagraphFont"/>
    <w:link w:val="SectionHeading"/>
    <w:rsid w:val="00CD125B"/>
    <w:rPr>
      <w:rFonts w:ascii="Cambria" w:eastAsia="Times New Roman" w:hAnsi="Cambria" w:cs="Times New Roman"/>
      <w:b/>
      <w:caps/>
      <w:snapToGrid w:val="0"/>
      <w:kern w:val="16"/>
      <w:sz w:val="24"/>
      <w:szCs w:val="24"/>
    </w:rPr>
  </w:style>
  <w:style w:type="paragraph" w:customStyle="1" w:styleId="Bulletpoint">
    <w:name w:val="Bullet point"/>
    <w:basedOn w:val="Standard"/>
    <w:rsid w:val="00CD125B"/>
    <w:pPr>
      <w:numPr>
        <w:numId w:val="15"/>
      </w:numPr>
      <w:tabs>
        <w:tab w:val="clear" w:pos="369"/>
        <w:tab w:val="left" w:pos="397"/>
        <w:tab w:val="num" w:pos="511"/>
      </w:tabs>
    </w:pPr>
  </w:style>
  <w:style w:type="paragraph" w:customStyle="1" w:styleId="Bulletlist">
    <w:name w:val="Bullet list"/>
    <w:basedOn w:val="Standard"/>
    <w:link w:val="BulletlistChar"/>
    <w:qFormat/>
    <w:rsid w:val="00444615"/>
    <w:pPr>
      <w:numPr>
        <w:numId w:val="24"/>
      </w:numPr>
      <w:ind w:left="426" w:hanging="284"/>
    </w:pPr>
    <w:rPr>
      <w:kern w:val="2"/>
      <w:sz w:val="23"/>
    </w:rPr>
  </w:style>
  <w:style w:type="character" w:customStyle="1" w:styleId="BulletlistChar">
    <w:name w:val="Bullet list Char"/>
    <w:basedOn w:val="StandardChar"/>
    <w:link w:val="Bulletlist"/>
    <w:rsid w:val="00444615"/>
    <w:rPr>
      <w:rFonts w:ascii="Cambria" w:eastAsia="Times New Roman" w:hAnsi="Cambria" w:cs="Times New Roman"/>
      <w:snapToGrid w:val="0"/>
      <w:kern w:val="2"/>
      <w:sz w:val="23"/>
      <w:szCs w:val="24"/>
    </w:rPr>
  </w:style>
  <w:style w:type="paragraph" w:customStyle="1" w:styleId="Tabletext0">
    <w:name w:val="Table text"/>
    <w:basedOn w:val="Normal"/>
    <w:rsid w:val="00CE1E51"/>
    <w:pPr>
      <w:spacing w:before="120" w:line="240" w:lineRule="atLeast"/>
    </w:pPr>
    <w:rPr>
      <w:rFonts w:eastAsia="Cambria" w:cs="Times New Roman"/>
      <w:sz w:val="19"/>
      <w:szCs w:val="22"/>
    </w:rPr>
  </w:style>
  <w:style w:type="table" w:customStyle="1" w:styleId="TableTGAblue1">
    <w:name w:val="Table TGA blue1"/>
    <w:basedOn w:val="TableNormal"/>
    <w:uiPriority w:val="99"/>
    <w:qFormat/>
    <w:rsid w:val="00E17F7A"/>
    <w:pPr>
      <w:spacing w:after="0" w:line="240" w:lineRule="auto"/>
      <w:ind w:left="170" w:right="170"/>
    </w:pPr>
    <w:rPr>
      <w:rFonts w:ascii="Cambria" w:hAnsi="Cambria" w:cs="Times New Roman"/>
      <w:color w:val="000000" w:themeColor="text1"/>
      <w:sz w:val="22"/>
      <w:szCs w:val="21"/>
      <w:lang w:eastAsia="en-AU"/>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wordWrap/>
        <w:spacing w:beforeLines="0" w:beforeAutospacing="0" w:afterLines="0" w:afterAutospacing="0"/>
      </w:pPr>
      <w:rPr>
        <w:rFonts w:ascii="Cambria" w:hAnsi="Cambria"/>
        <w:b/>
        <w:color w:val="FFFFFF" w:themeColor="background1"/>
        <w:sz w:val="22"/>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l2br w:val="nil"/>
          <w:tr2bl w:val="nil"/>
        </w:tcBorders>
        <w:shd w:val="clear" w:color="auto" w:fill="006DA7"/>
      </w:tcPr>
    </w:tblStylePr>
    <w:tblStylePr w:type="firstCol">
      <w:pPr>
        <w:keepNext w:val="0"/>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115028">
      <w:bodyDiv w:val="1"/>
      <w:marLeft w:val="0"/>
      <w:marRight w:val="0"/>
      <w:marTop w:val="0"/>
      <w:marBottom w:val="0"/>
      <w:divBdr>
        <w:top w:val="none" w:sz="0" w:space="0" w:color="auto"/>
        <w:left w:val="none" w:sz="0" w:space="0" w:color="auto"/>
        <w:bottom w:val="none" w:sz="0" w:space="0" w:color="auto"/>
        <w:right w:val="none" w:sz="0" w:space="0" w:color="auto"/>
      </w:divBdr>
    </w:div>
    <w:div w:id="695735718">
      <w:bodyDiv w:val="1"/>
      <w:marLeft w:val="0"/>
      <w:marRight w:val="0"/>
      <w:marTop w:val="0"/>
      <w:marBottom w:val="0"/>
      <w:divBdr>
        <w:top w:val="none" w:sz="0" w:space="0" w:color="auto"/>
        <w:left w:val="none" w:sz="0" w:space="0" w:color="auto"/>
        <w:bottom w:val="none" w:sz="0" w:space="0" w:color="auto"/>
        <w:right w:val="none" w:sz="0" w:space="0" w:color="auto"/>
      </w:divBdr>
    </w:div>
    <w:div w:id="129370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tga.gov.au/products/medicines/find-information-about-medicine/prescribing-medicines-pregnancy-database" TargetMode="External"/><Relationship Id="rId26" Type="http://schemas.openxmlformats.org/officeDocument/2006/relationships/image" Target="media/image9.png"/><Relationship Id="rId39" Type="http://schemas.openxmlformats.org/officeDocument/2006/relationships/header" Target="header4.xml"/><Relationship Id="rId21" Type="http://schemas.openxmlformats.org/officeDocument/2006/relationships/image" Target="media/image4.png"/><Relationship Id="rId34" Type="http://schemas.openxmlformats.org/officeDocument/2006/relationships/hyperlink" Target="https://www.tga.gov.au/publication/risk-management-plans-medicines-and-biologicals" TargetMode="External"/><Relationship Id="rId42" Type="http://schemas.openxmlformats.org/officeDocument/2006/relationships/hyperlink" Target="https://www.tga.gov.a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ga.copyright@tga.gov.au" TargetMode="Externa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hyperlink" Target="https://www.tga.gov.au/resources/resource/guidance/risk-management-plans-medicines-and-biologicals/australia-specific-annex-eu-rmp" TargetMode="External"/><Relationship Id="rId40" Type="http://schemas.openxmlformats.org/officeDocument/2006/relationships/footer" Target="footer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tga.gov.au/australian-public-assessment-report-auspar-guidance"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s://www.tga.gov.au/resources/resource/guidance/risk-management-plans-medicines-and-biologicals/australia-specific-annex-eu-rmp" TargetMode="External"/><Relationship Id="rId10" Type="http://schemas.openxmlformats.org/officeDocument/2006/relationships/footer" Target="footer1.xml"/><Relationship Id="rId19" Type="http://schemas.openxmlformats.org/officeDocument/2006/relationships/hyperlink" Target="https://www.tga.gov.au/obstetric-drug-information-services" TargetMode="External"/><Relationship Id="rId31" Type="http://schemas.openxmlformats.org/officeDocument/2006/relationships/image" Target="media/image14.png"/><Relationship Id="rId44"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ga.gov.au/"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www.tga.gov.au/tgas-risk-management-approach" TargetMode="External"/><Relationship Id="rId43" Type="http://schemas.openxmlformats.org/officeDocument/2006/relationships/header" Target="head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tga.gov.au/black-triangle-scheme" TargetMode="External"/><Relationship Id="rId25" Type="http://schemas.openxmlformats.org/officeDocument/2006/relationships/image" Target="media/image8.png"/><Relationship Id="rId33" Type="http://schemas.microsoft.com/office/2007/relationships/hdphoto" Target="media/hdphoto1.wdp"/><Relationship Id="rId38" Type="http://schemas.openxmlformats.org/officeDocument/2006/relationships/hyperlink" Target="https://www.ebs.tga.gov.au/" TargetMode="External"/><Relationship Id="rId46" Type="http://schemas.openxmlformats.org/officeDocument/2006/relationships/theme" Target="theme/theme1.xml"/><Relationship Id="rId20" Type="http://schemas.openxmlformats.org/officeDocument/2006/relationships/hyperlink" Target="https://www.tga.gov.au/resources/resource/guidance/orphan-drug-designation" TargetMode="External"/><Relationship Id="rId41" Type="http://schemas.openxmlformats.org/officeDocument/2006/relationships/hyperlink" Target="mailto:info@tga.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i.org/10.1016/j.anai.2025.05.018" TargetMode="External"/><Relationship Id="rId2" Type="http://schemas.openxmlformats.org/officeDocument/2006/relationships/hyperlink" Target="https://doi.org/10.12968/hmed.2019.80.7.391" TargetMode="External"/><Relationship Id="rId1" Type="http://schemas.openxmlformats.org/officeDocument/2006/relationships/hyperlink" Target="https://doi.org/10.1007/s12325-022-02401-0" TargetMode="External"/><Relationship Id="rId5" Type="http://schemas.openxmlformats.org/officeDocument/2006/relationships/hyperlink" Target="https://www.allergy.org.au/images/docs/ASCIA_HP_Position_Paper_HAE_2022_Updated_Nov.pdf" TargetMode="External"/><Relationship Id="rId4" Type="http://schemas.openxmlformats.org/officeDocument/2006/relationships/hyperlink" Target="https://doi.org/10.1016/j.waojou.2024.100918"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1AE68-6449-47E6-9F10-0220946BA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26</Pages>
  <Words>6842</Words>
  <Characters>38937</Characters>
  <Application>Microsoft Office Word</Application>
  <DocSecurity>0</DocSecurity>
  <Lines>927</Lines>
  <Paragraphs>565</Paragraphs>
  <ScaleCrop>false</ScaleCrop>
  <HeadingPairs>
    <vt:vector size="2" baseType="variant">
      <vt:variant>
        <vt:lpstr>Title</vt:lpstr>
      </vt:variant>
      <vt:variant>
        <vt:i4>1</vt:i4>
      </vt:variant>
    </vt:vector>
  </HeadingPairs>
  <TitlesOfParts>
    <vt:vector size="1" baseType="lpstr">
      <vt:lpstr/>
    </vt:vector>
  </TitlesOfParts>
  <Company>Department of Health, Disability and Ageing</Company>
  <LinksUpToDate>false</LinksUpToDate>
  <CharactersWithSpaces>45214</CharactersWithSpaces>
  <SharedDoc>false</SharedDoc>
  <HLinks>
    <vt:vector size="270" baseType="variant">
      <vt:variant>
        <vt:i4>3473445</vt:i4>
      </vt:variant>
      <vt:variant>
        <vt:i4>213</vt:i4>
      </vt:variant>
      <vt:variant>
        <vt:i4>0</vt:i4>
      </vt:variant>
      <vt:variant>
        <vt:i4>5</vt:i4>
      </vt:variant>
      <vt:variant>
        <vt:lpwstr>https://www.tga.gov.au/</vt:lpwstr>
      </vt:variant>
      <vt:variant>
        <vt:lpwstr/>
      </vt:variant>
      <vt:variant>
        <vt:i4>5242926</vt:i4>
      </vt:variant>
      <vt:variant>
        <vt:i4>210</vt:i4>
      </vt:variant>
      <vt:variant>
        <vt:i4>0</vt:i4>
      </vt:variant>
      <vt:variant>
        <vt:i4>5</vt:i4>
      </vt:variant>
      <vt:variant>
        <vt:lpwstr>mailto:info@tga.gov.au</vt:lpwstr>
      </vt:variant>
      <vt:variant>
        <vt:lpwstr/>
      </vt:variant>
      <vt:variant>
        <vt:i4>7929907</vt:i4>
      </vt:variant>
      <vt:variant>
        <vt:i4>207</vt:i4>
      </vt:variant>
      <vt:variant>
        <vt:i4>0</vt:i4>
      </vt:variant>
      <vt:variant>
        <vt:i4>5</vt:i4>
      </vt:variant>
      <vt:variant>
        <vt:lpwstr>https://www.ebs.tga.gov.au/</vt:lpwstr>
      </vt:variant>
      <vt:variant>
        <vt:lpwstr/>
      </vt:variant>
      <vt:variant>
        <vt:i4>2424877</vt:i4>
      </vt:variant>
      <vt:variant>
        <vt:i4>204</vt:i4>
      </vt:variant>
      <vt:variant>
        <vt:i4>0</vt:i4>
      </vt:variant>
      <vt:variant>
        <vt:i4>5</vt:i4>
      </vt:variant>
      <vt:variant>
        <vt:lpwstr>https://www.tga.gov.au/resources/resource/guidance/risk-management-plans-medicines-and-biologicals/australia-specific-annex-eu-rmp</vt:lpwstr>
      </vt:variant>
      <vt:variant>
        <vt:lpwstr/>
      </vt:variant>
      <vt:variant>
        <vt:i4>2424877</vt:i4>
      </vt:variant>
      <vt:variant>
        <vt:i4>201</vt:i4>
      </vt:variant>
      <vt:variant>
        <vt:i4>0</vt:i4>
      </vt:variant>
      <vt:variant>
        <vt:i4>5</vt:i4>
      </vt:variant>
      <vt:variant>
        <vt:lpwstr>https://www.tga.gov.au/resources/resource/guidance/risk-management-plans-medicines-and-biologicals/australia-specific-annex-eu-rmp</vt:lpwstr>
      </vt:variant>
      <vt:variant>
        <vt:lpwstr/>
      </vt:variant>
      <vt:variant>
        <vt:i4>5111899</vt:i4>
      </vt:variant>
      <vt:variant>
        <vt:i4>198</vt:i4>
      </vt:variant>
      <vt:variant>
        <vt:i4>0</vt:i4>
      </vt:variant>
      <vt:variant>
        <vt:i4>5</vt:i4>
      </vt:variant>
      <vt:variant>
        <vt:lpwstr>https://www.tga.gov.au/tgas-risk-management-approach</vt:lpwstr>
      </vt:variant>
      <vt:variant>
        <vt:lpwstr/>
      </vt:variant>
      <vt:variant>
        <vt:i4>7929888</vt:i4>
      </vt:variant>
      <vt:variant>
        <vt:i4>195</vt:i4>
      </vt:variant>
      <vt:variant>
        <vt:i4>0</vt:i4>
      </vt:variant>
      <vt:variant>
        <vt:i4>5</vt:i4>
      </vt:variant>
      <vt:variant>
        <vt:lpwstr>https://www.tga.gov.au/publication/risk-management-plans-medicines-and-biologicals</vt:lpwstr>
      </vt:variant>
      <vt:variant>
        <vt:lpwstr/>
      </vt:variant>
      <vt:variant>
        <vt:i4>2293815</vt:i4>
      </vt:variant>
      <vt:variant>
        <vt:i4>189</vt:i4>
      </vt:variant>
      <vt:variant>
        <vt:i4>0</vt:i4>
      </vt:variant>
      <vt:variant>
        <vt:i4>5</vt:i4>
      </vt:variant>
      <vt:variant>
        <vt:lpwstr>https://www.tga.gov.au/resources/resource/guidance/orphan-drug-designation</vt:lpwstr>
      </vt:variant>
      <vt:variant>
        <vt:lpwstr/>
      </vt:variant>
      <vt:variant>
        <vt:i4>3670063</vt:i4>
      </vt:variant>
      <vt:variant>
        <vt:i4>174</vt:i4>
      </vt:variant>
      <vt:variant>
        <vt:i4>0</vt:i4>
      </vt:variant>
      <vt:variant>
        <vt:i4>5</vt:i4>
      </vt:variant>
      <vt:variant>
        <vt:lpwstr>https://www.tga.gov.au/obstetric-drug-information-services</vt:lpwstr>
      </vt:variant>
      <vt:variant>
        <vt:lpwstr/>
      </vt:variant>
      <vt:variant>
        <vt:i4>2949173</vt:i4>
      </vt:variant>
      <vt:variant>
        <vt:i4>171</vt:i4>
      </vt:variant>
      <vt:variant>
        <vt:i4>0</vt:i4>
      </vt:variant>
      <vt:variant>
        <vt:i4>5</vt:i4>
      </vt:variant>
      <vt:variant>
        <vt:lpwstr>https://www.tga.gov.au/products/medicines/find-information-about-medicine/prescribing-medicines-pregnancy-database</vt:lpwstr>
      </vt:variant>
      <vt:variant>
        <vt:lpwstr/>
      </vt:variant>
      <vt:variant>
        <vt:i4>786511</vt:i4>
      </vt:variant>
      <vt:variant>
        <vt:i4>168</vt:i4>
      </vt:variant>
      <vt:variant>
        <vt:i4>0</vt:i4>
      </vt:variant>
      <vt:variant>
        <vt:i4>5</vt:i4>
      </vt:variant>
      <vt:variant>
        <vt:lpwstr>https://www.tga.gov.au/black-triangle-scheme</vt:lpwstr>
      </vt:variant>
      <vt:variant>
        <vt:lpwstr/>
      </vt:variant>
      <vt:variant>
        <vt:i4>1835062</vt:i4>
      </vt:variant>
      <vt:variant>
        <vt:i4>161</vt:i4>
      </vt:variant>
      <vt:variant>
        <vt:i4>0</vt:i4>
      </vt:variant>
      <vt:variant>
        <vt:i4>5</vt:i4>
      </vt:variant>
      <vt:variant>
        <vt:lpwstr/>
      </vt:variant>
      <vt:variant>
        <vt:lpwstr>_Toc236318339</vt:lpwstr>
      </vt:variant>
      <vt:variant>
        <vt:i4>1835062</vt:i4>
      </vt:variant>
      <vt:variant>
        <vt:i4>155</vt:i4>
      </vt:variant>
      <vt:variant>
        <vt:i4>0</vt:i4>
      </vt:variant>
      <vt:variant>
        <vt:i4>5</vt:i4>
      </vt:variant>
      <vt:variant>
        <vt:lpwstr/>
      </vt:variant>
      <vt:variant>
        <vt:lpwstr>_Toc236318338</vt:lpwstr>
      </vt:variant>
      <vt:variant>
        <vt:i4>1835062</vt:i4>
      </vt:variant>
      <vt:variant>
        <vt:i4>149</vt:i4>
      </vt:variant>
      <vt:variant>
        <vt:i4>0</vt:i4>
      </vt:variant>
      <vt:variant>
        <vt:i4>5</vt:i4>
      </vt:variant>
      <vt:variant>
        <vt:lpwstr/>
      </vt:variant>
      <vt:variant>
        <vt:lpwstr>_Toc236318337</vt:lpwstr>
      </vt:variant>
      <vt:variant>
        <vt:i4>1835062</vt:i4>
      </vt:variant>
      <vt:variant>
        <vt:i4>143</vt:i4>
      </vt:variant>
      <vt:variant>
        <vt:i4>0</vt:i4>
      </vt:variant>
      <vt:variant>
        <vt:i4>5</vt:i4>
      </vt:variant>
      <vt:variant>
        <vt:lpwstr/>
      </vt:variant>
      <vt:variant>
        <vt:lpwstr>_Toc236318336</vt:lpwstr>
      </vt:variant>
      <vt:variant>
        <vt:i4>1835062</vt:i4>
      </vt:variant>
      <vt:variant>
        <vt:i4>137</vt:i4>
      </vt:variant>
      <vt:variant>
        <vt:i4>0</vt:i4>
      </vt:variant>
      <vt:variant>
        <vt:i4>5</vt:i4>
      </vt:variant>
      <vt:variant>
        <vt:lpwstr/>
      </vt:variant>
      <vt:variant>
        <vt:lpwstr>_Toc236318335</vt:lpwstr>
      </vt:variant>
      <vt:variant>
        <vt:i4>1835062</vt:i4>
      </vt:variant>
      <vt:variant>
        <vt:i4>131</vt:i4>
      </vt:variant>
      <vt:variant>
        <vt:i4>0</vt:i4>
      </vt:variant>
      <vt:variant>
        <vt:i4>5</vt:i4>
      </vt:variant>
      <vt:variant>
        <vt:lpwstr/>
      </vt:variant>
      <vt:variant>
        <vt:lpwstr>_Toc236318334</vt:lpwstr>
      </vt:variant>
      <vt:variant>
        <vt:i4>1835062</vt:i4>
      </vt:variant>
      <vt:variant>
        <vt:i4>125</vt:i4>
      </vt:variant>
      <vt:variant>
        <vt:i4>0</vt:i4>
      </vt:variant>
      <vt:variant>
        <vt:i4>5</vt:i4>
      </vt:variant>
      <vt:variant>
        <vt:lpwstr/>
      </vt:variant>
      <vt:variant>
        <vt:lpwstr>_Toc236318333</vt:lpwstr>
      </vt:variant>
      <vt:variant>
        <vt:i4>1835062</vt:i4>
      </vt:variant>
      <vt:variant>
        <vt:i4>119</vt:i4>
      </vt:variant>
      <vt:variant>
        <vt:i4>0</vt:i4>
      </vt:variant>
      <vt:variant>
        <vt:i4>5</vt:i4>
      </vt:variant>
      <vt:variant>
        <vt:lpwstr/>
      </vt:variant>
      <vt:variant>
        <vt:lpwstr>_Toc236318332</vt:lpwstr>
      </vt:variant>
      <vt:variant>
        <vt:i4>1835062</vt:i4>
      </vt:variant>
      <vt:variant>
        <vt:i4>113</vt:i4>
      </vt:variant>
      <vt:variant>
        <vt:i4>0</vt:i4>
      </vt:variant>
      <vt:variant>
        <vt:i4>5</vt:i4>
      </vt:variant>
      <vt:variant>
        <vt:lpwstr/>
      </vt:variant>
      <vt:variant>
        <vt:lpwstr>_Toc236318331</vt:lpwstr>
      </vt:variant>
      <vt:variant>
        <vt:i4>1835062</vt:i4>
      </vt:variant>
      <vt:variant>
        <vt:i4>107</vt:i4>
      </vt:variant>
      <vt:variant>
        <vt:i4>0</vt:i4>
      </vt:variant>
      <vt:variant>
        <vt:i4>5</vt:i4>
      </vt:variant>
      <vt:variant>
        <vt:lpwstr/>
      </vt:variant>
      <vt:variant>
        <vt:lpwstr>_Toc236318330</vt:lpwstr>
      </vt:variant>
      <vt:variant>
        <vt:i4>1900598</vt:i4>
      </vt:variant>
      <vt:variant>
        <vt:i4>101</vt:i4>
      </vt:variant>
      <vt:variant>
        <vt:i4>0</vt:i4>
      </vt:variant>
      <vt:variant>
        <vt:i4>5</vt:i4>
      </vt:variant>
      <vt:variant>
        <vt:lpwstr/>
      </vt:variant>
      <vt:variant>
        <vt:lpwstr>_Toc236318329</vt:lpwstr>
      </vt:variant>
      <vt:variant>
        <vt:i4>1900598</vt:i4>
      </vt:variant>
      <vt:variant>
        <vt:i4>95</vt:i4>
      </vt:variant>
      <vt:variant>
        <vt:i4>0</vt:i4>
      </vt:variant>
      <vt:variant>
        <vt:i4>5</vt:i4>
      </vt:variant>
      <vt:variant>
        <vt:lpwstr/>
      </vt:variant>
      <vt:variant>
        <vt:lpwstr>_Toc236318328</vt:lpwstr>
      </vt:variant>
      <vt:variant>
        <vt:i4>1900598</vt:i4>
      </vt:variant>
      <vt:variant>
        <vt:i4>89</vt:i4>
      </vt:variant>
      <vt:variant>
        <vt:i4>0</vt:i4>
      </vt:variant>
      <vt:variant>
        <vt:i4>5</vt:i4>
      </vt:variant>
      <vt:variant>
        <vt:lpwstr/>
      </vt:variant>
      <vt:variant>
        <vt:lpwstr>_Toc236318327</vt:lpwstr>
      </vt:variant>
      <vt:variant>
        <vt:i4>1900598</vt:i4>
      </vt:variant>
      <vt:variant>
        <vt:i4>83</vt:i4>
      </vt:variant>
      <vt:variant>
        <vt:i4>0</vt:i4>
      </vt:variant>
      <vt:variant>
        <vt:i4>5</vt:i4>
      </vt:variant>
      <vt:variant>
        <vt:lpwstr/>
      </vt:variant>
      <vt:variant>
        <vt:lpwstr>_Toc236318326</vt:lpwstr>
      </vt:variant>
      <vt:variant>
        <vt:i4>1900598</vt:i4>
      </vt:variant>
      <vt:variant>
        <vt:i4>77</vt:i4>
      </vt:variant>
      <vt:variant>
        <vt:i4>0</vt:i4>
      </vt:variant>
      <vt:variant>
        <vt:i4>5</vt:i4>
      </vt:variant>
      <vt:variant>
        <vt:lpwstr/>
      </vt:variant>
      <vt:variant>
        <vt:lpwstr>_Toc236318325</vt:lpwstr>
      </vt:variant>
      <vt:variant>
        <vt:i4>1900598</vt:i4>
      </vt:variant>
      <vt:variant>
        <vt:i4>71</vt:i4>
      </vt:variant>
      <vt:variant>
        <vt:i4>0</vt:i4>
      </vt:variant>
      <vt:variant>
        <vt:i4>5</vt:i4>
      </vt:variant>
      <vt:variant>
        <vt:lpwstr/>
      </vt:variant>
      <vt:variant>
        <vt:lpwstr>_Toc236318324</vt:lpwstr>
      </vt:variant>
      <vt:variant>
        <vt:i4>1900598</vt:i4>
      </vt:variant>
      <vt:variant>
        <vt:i4>65</vt:i4>
      </vt:variant>
      <vt:variant>
        <vt:i4>0</vt:i4>
      </vt:variant>
      <vt:variant>
        <vt:i4>5</vt:i4>
      </vt:variant>
      <vt:variant>
        <vt:lpwstr/>
      </vt:variant>
      <vt:variant>
        <vt:lpwstr>_Toc236318323</vt:lpwstr>
      </vt:variant>
      <vt:variant>
        <vt:i4>1900598</vt:i4>
      </vt:variant>
      <vt:variant>
        <vt:i4>59</vt:i4>
      </vt:variant>
      <vt:variant>
        <vt:i4>0</vt:i4>
      </vt:variant>
      <vt:variant>
        <vt:i4>5</vt:i4>
      </vt:variant>
      <vt:variant>
        <vt:lpwstr/>
      </vt:variant>
      <vt:variant>
        <vt:lpwstr>_Toc236318322</vt:lpwstr>
      </vt:variant>
      <vt:variant>
        <vt:i4>1900598</vt:i4>
      </vt:variant>
      <vt:variant>
        <vt:i4>53</vt:i4>
      </vt:variant>
      <vt:variant>
        <vt:i4>0</vt:i4>
      </vt:variant>
      <vt:variant>
        <vt:i4>5</vt:i4>
      </vt:variant>
      <vt:variant>
        <vt:lpwstr/>
      </vt:variant>
      <vt:variant>
        <vt:lpwstr>_Toc236318321</vt:lpwstr>
      </vt:variant>
      <vt:variant>
        <vt:i4>1900598</vt:i4>
      </vt:variant>
      <vt:variant>
        <vt:i4>47</vt:i4>
      </vt:variant>
      <vt:variant>
        <vt:i4>0</vt:i4>
      </vt:variant>
      <vt:variant>
        <vt:i4>5</vt:i4>
      </vt:variant>
      <vt:variant>
        <vt:lpwstr/>
      </vt:variant>
      <vt:variant>
        <vt:lpwstr>_Toc236318320</vt:lpwstr>
      </vt:variant>
      <vt:variant>
        <vt:i4>1966134</vt:i4>
      </vt:variant>
      <vt:variant>
        <vt:i4>41</vt:i4>
      </vt:variant>
      <vt:variant>
        <vt:i4>0</vt:i4>
      </vt:variant>
      <vt:variant>
        <vt:i4>5</vt:i4>
      </vt:variant>
      <vt:variant>
        <vt:lpwstr/>
      </vt:variant>
      <vt:variant>
        <vt:lpwstr>_Toc236318319</vt:lpwstr>
      </vt:variant>
      <vt:variant>
        <vt:i4>1966134</vt:i4>
      </vt:variant>
      <vt:variant>
        <vt:i4>35</vt:i4>
      </vt:variant>
      <vt:variant>
        <vt:i4>0</vt:i4>
      </vt:variant>
      <vt:variant>
        <vt:i4>5</vt:i4>
      </vt:variant>
      <vt:variant>
        <vt:lpwstr/>
      </vt:variant>
      <vt:variant>
        <vt:lpwstr>_Toc236318318</vt:lpwstr>
      </vt:variant>
      <vt:variant>
        <vt:i4>1966134</vt:i4>
      </vt:variant>
      <vt:variant>
        <vt:i4>29</vt:i4>
      </vt:variant>
      <vt:variant>
        <vt:i4>0</vt:i4>
      </vt:variant>
      <vt:variant>
        <vt:i4>5</vt:i4>
      </vt:variant>
      <vt:variant>
        <vt:lpwstr/>
      </vt:variant>
      <vt:variant>
        <vt:lpwstr>_Toc236318317</vt:lpwstr>
      </vt:variant>
      <vt:variant>
        <vt:i4>1966134</vt:i4>
      </vt:variant>
      <vt:variant>
        <vt:i4>23</vt:i4>
      </vt:variant>
      <vt:variant>
        <vt:i4>0</vt:i4>
      </vt:variant>
      <vt:variant>
        <vt:i4>5</vt:i4>
      </vt:variant>
      <vt:variant>
        <vt:lpwstr/>
      </vt:variant>
      <vt:variant>
        <vt:lpwstr>_Toc236318316</vt:lpwstr>
      </vt:variant>
      <vt:variant>
        <vt:i4>1966134</vt:i4>
      </vt:variant>
      <vt:variant>
        <vt:i4>17</vt:i4>
      </vt:variant>
      <vt:variant>
        <vt:i4>0</vt:i4>
      </vt:variant>
      <vt:variant>
        <vt:i4>5</vt:i4>
      </vt:variant>
      <vt:variant>
        <vt:lpwstr/>
      </vt:variant>
      <vt:variant>
        <vt:lpwstr>_Toc236318315</vt:lpwstr>
      </vt:variant>
      <vt:variant>
        <vt:i4>1966134</vt:i4>
      </vt:variant>
      <vt:variant>
        <vt:i4>11</vt:i4>
      </vt:variant>
      <vt:variant>
        <vt:i4>0</vt:i4>
      </vt:variant>
      <vt:variant>
        <vt:i4>5</vt:i4>
      </vt:variant>
      <vt:variant>
        <vt:lpwstr/>
      </vt:variant>
      <vt:variant>
        <vt:lpwstr>_Toc236318314</vt:lpwstr>
      </vt:variant>
      <vt:variant>
        <vt:i4>6291548</vt:i4>
      </vt:variant>
      <vt:variant>
        <vt:i4>6</vt:i4>
      </vt:variant>
      <vt:variant>
        <vt:i4>0</vt:i4>
      </vt:variant>
      <vt:variant>
        <vt:i4>5</vt:i4>
      </vt:variant>
      <vt:variant>
        <vt:lpwstr>mailto:tga.copyright@tga.gov.au</vt:lpwstr>
      </vt:variant>
      <vt:variant>
        <vt:lpwstr/>
      </vt:variant>
      <vt:variant>
        <vt:i4>7995497</vt:i4>
      </vt:variant>
      <vt:variant>
        <vt:i4>3</vt:i4>
      </vt:variant>
      <vt:variant>
        <vt:i4>0</vt:i4>
      </vt:variant>
      <vt:variant>
        <vt:i4>5</vt:i4>
      </vt:variant>
      <vt:variant>
        <vt:lpwstr>https://www.tga.gov.au/australian-public-assessment-report-auspar-guidance</vt:lpwstr>
      </vt:variant>
      <vt:variant>
        <vt:lpwstr/>
      </vt:variant>
      <vt:variant>
        <vt:i4>3473445</vt:i4>
      </vt:variant>
      <vt:variant>
        <vt:i4>0</vt:i4>
      </vt:variant>
      <vt:variant>
        <vt:i4>0</vt:i4>
      </vt:variant>
      <vt:variant>
        <vt:i4>5</vt:i4>
      </vt:variant>
      <vt:variant>
        <vt:lpwstr>https://www.tga.gov.au/</vt:lpwstr>
      </vt:variant>
      <vt:variant>
        <vt:lpwstr/>
      </vt:variant>
      <vt:variant>
        <vt:i4>262189</vt:i4>
      </vt:variant>
      <vt:variant>
        <vt:i4>12</vt:i4>
      </vt:variant>
      <vt:variant>
        <vt:i4>0</vt:i4>
      </vt:variant>
      <vt:variant>
        <vt:i4>5</vt:i4>
      </vt:variant>
      <vt:variant>
        <vt:lpwstr>https://www.allergy.org.au/images/docs/ASCIA_HP_Position_Paper_HAE_2022_Updated_Nov.pdf</vt:lpwstr>
      </vt:variant>
      <vt:variant>
        <vt:lpwstr/>
      </vt:variant>
      <vt:variant>
        <vt:i4>6094939</vt:i4>
      </vt:variant>
      <vt:variant>
        <vt:i4>9</vt:i4>
      </vt:variant>
      <vt:variant>
        <vt:i4>0</vt:i4>
      </vt:variant>
      <vt:variant>
        <vt:i4>5</vt:i4>
      </vt:variant>
      <vt:variant>
        <vt:lpwstr>https://doi.org/10.1016/j.waojou.2024.100918</vt:lpwstr>
      </vt:variant>
      <vt:variant>
        <vt:lpwstr/>
      </vt:variant>
      <vt:variant>
        <vt:i4>2621490</vt:i4>
      </vt:variant>
      <vt:variant>
        <vt:i4>6</vt:i4>
      </vt:variant>
      <vt:variant>
        <vt:i4>0</vt:i4>
      </vt:variant>
      <vt:variant>
        <vt:i4>5</vt:i4>
      </vt:variant>
      <vt:variant>
        <vt:lpwstr>https://doi.org/10.1016/j.anai.2025.05.018</vt:lpwstr>
      </vt:variant>
      <vt:variant>
        <vt:lpwstr/>
      </vt:variant>
      <vt:variant>
        <vt:i4>2490465</vt:i4>
      </vt:variant>
      <vt:variant>
        <vt:i4>3</vt:i4>
      </vt:variant>
      <vt:variant>
        <vt:i4>0</vt:i4>
      </vt:variant>
      <vt:variant>
        <vt:i4>5</vt:i4>
      </vt:variant>
      <vt:variant>
        <vt:lpwstr>https://doi.org/10.12968/hmed.2019.80.7.391</vt:lpwstr>
      </vt:variant>
      <vt:variant>
        <vt:lpwstr/>
      </vt:variant>
      <vt:variant>
        <vt:i4>2293811</vt:i4>
      </vt:variant>
      <vt:variant>
        <vt:i4>0</vt:i4>
      </vt:variant>
      <vt:variant>
        <vt:i4>0</vt:i4>
      </vt:variant>
      <vt:variant>
        <vt:i4>5</vt:i4>
      </vt:variant>
      <vt:variant>
        <vt:lpwstr>https://doi.org/10.1007/s12325-022-02401-0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AusPAR Zirdawny</dc:title>
  <dc:subject>prescription medicines</dc:subject>
  <dc:creator>TGA</dc:creator>
  <cp:keywords/>
  <dc:description/>
  <cp:lastModifiedBy>LACK, Janet</cp:lastModifiedBy>
  <cp:revision>2</cp:revision>
  <dcterms:created xsi:type="dcterms:W3CDTF">2026-08-19T02:15:00Z</dcterms:created>
  <dcterms:modified xsi:type="dcterms:W3CDTF">2026-08-19T02:15:00Z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5629fa4d,3b55722a,1cc42716,2df09efe,532c6ff0</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3bcc48da,53f8acc9,477f99cc,204f08c4,6c715f8f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2026-08-14T02:42:38Z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2965e09f-498f-4338-929a-3544e976ba11</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