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98182" w14:textId="77777777" w:rsidR="00375DF3" w:rsidRPr="003A2BCA" w:rsidRDefault="00375DF3" w:rsidP="003649E0">
      <w:pPr>
        <w:tabs>
          <w:tab w:val="left" w:pos="284"/>
        </w:tabs>
        <w:spacing w:after="480"/>
        <w:rPr>
          <w:rFonts w:asciiTheme="majorHAnsi" w:hAnsiTheme="majorHAnsi"/>
        </w:rPr>
      </w:pPr>
      <w:r w:rsidRPr="003649E0">
        <w:rPr>
          <w:rFonts w:asciiTheme="majorHAnsi" w:hAnsiTheme="majorHAnsi"/>
          <w:noProof/>
          <w:lang w:eastAsia="en-AU"/>
        </w:rPr>
        <mc:AlternateContent>
          <mc:Choice Requires="wps">
            <w:drawing>
              <wp:inline distT="0" distB="0" distL="0" distR="0" wp14:anchorId="5A3BEC80" wp14:editId="47ECCF34">
                <wp:extent cx="252095" cy="252095"/>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FBD84" w14:textId="77777777" w:rsidR="00375DF3" w:rsidRPr="00BE2A26" w:rsidRDefault="00BE2A26" w:rsidP="00375DF3">
                            <w:pPr>
                              <w:spacing w:after="0"/>
                              <w:rPr>
                                <w:rFonts w:ascii="Wingdings 3" w:hAnsi="Wingdings 3" w:hint="eastAsia"/>
                                <w:sz w:val="24"/>
                              </w:rPr>
                            </w:pPr>
                            <w:r w:rsidRPr="00BE2A26">
                              <w:rPr>
                                <w:rFonts w:ascii="SimSun" w:eastAsia="SimSun" w:hAnsi="SimSun" w:cs="Arial" w:hint="eastAsia"/>
                                <w:sz w:val="40"/>
                              </w:rPr>
                              <w:t>▼</w:t>
                            </w:r>
                          </w:p>
                        </w:txbxContent>
                      </wps:txbx>
                      <wps:bodyPr rot="0" vert="horz" wrap="square" lIns="0" tIns="0" rIns="0" bIns="0" anchor="t" anchorCtr="0" upright="1">
                        <a:noAutofit/>
                      </wps:bodyPr>
                    </wps:wsp>
                  </a:graphicData>
                </a:graphic>
              </wp:inline>
            </w:drawing>
          </mc:Choice>
          <mc:Fallback>
            <w:pict>
              <v:shapetype w14:anchorId="5A3BEC80" id="_x0000_t202" coordsize="21600,21600" o:spt="202" path="m,l,21600r21600,l21600,xe">
                <v:stroke joinstyle="miter"/>
                <v:path gradientshapeok="t" o:connecttype="rect"/>
              </v:shapetype>
              <v:shape id="Text Box 1" o:spid="_x0000_s1026" type="#_x0000_t202" style="width:19.85pt;height:1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" stroked="f">
                <v:textbox inset="0,0,0,0">
                  <w:txbxContent>
                    <w:p w14:paraId="5CBFBD84" w14:textId="77777777" w:rsidR="00375DF3" w:rsidRPr="00BE2A26" w:rsidRDefault="00BE2A26" w:rsidP="00375DF3">
                      <w:pPr>
                        <w:spacing w:after="0"/>
                        <w:rPr>
                          <w:rFonts w:ascii="Wingdings 3" w:hAnsi="Wingdings 3" w:hint="eastAsia"/>
                          <w:sz w:val="24"/>
                        </w:rPr>
                      </w:pPr>
                      <w:r w:rsidRPr="00BE2A26">
                        <w:rPr>
                          <w:rFonts w:ascii="SimSun" w:eastAsia="SimSun" w:hAnsi="SimSun" w:cs="Arial" w:hint="eastAsia"/>
                          <w:sz w:val="40"/>
                        </w:rPr>
                        <w:t>▼</w:t>
                      </w:r>
                    </w:p>
                  </w:txbxContent>
                </v:textbox>
                <w10:anchorlock/>
              </v:shape>
            </w:pict>
          </mc:Fallback>
        </mc:AlternateContent>
      </w:r>
      <w:r w:rsidR="001A3992" w:rsidRPr="003A2BCA">
        <w:rPr>
          <w:rFonts w:asciiTheme="majorHAnsi" w:hAnsiTheme="majorHAnsi"/>
        </w:rPr>
        <w:t xml:space="preserve">This medicinal product is subject to additional monitoring in Australia. This will allow quick identification of new safety information. Healthcare professionals are asked to report any suspected adverse events at </w:t>
      </w:r>
      <w:hyperlink r:id="rId11" w:history="1">
        <w:r w:rsidRPr="003A2BCA">
          <w:rPr>
            <w:rStyle w:val="Hyperlink"/>
            <w:rFonts w:asciiTheme="majorHAnsi" w:hAnsiTheme="majorHAnsi"/>
          </w:rPr>
          <w:t>www.tga.gov.au/reporting-problems</w:t>
        </w:r>
      </w:hyperlink>
      <w:r w:rsidRPr="003A2BCA">
        <w:rPr>
          <w:rFonts w:asciiTheme="majorHAnsi" w:hAnsiTheme="majorHAnsi"/>
        </w:rPr>
        <w:t>.</w:t>
      </w:r>
    </w:p>
    <w:p w14:paraId="384A3F2E" w14:textId="04E70534" w:rsidR="006018AE" w:rsidRPr="003A2BCA" w:rsidRDefault="006018AE" w:rsidP="003A2BCA">
      <w:pPr>
        <w:pStyle w:val="Heading1"/>
        <w:numPr>
          <w:ilvl w:val="0"/>
          <w:numId w:val="0"/>
        </w:numPr>
        <w:spacing w:after="240"/>
        <w:rPr>
          <w:rFonts w:eastAsia="SimSun"/>
        </w:rPr>
      </w:pPr>
      <w:r w:rsidRPr="619405FB">
        <w:rPr>
          <w:rFonts w:eastAsia="SimSun"/>
        </w:rPr>
        <w:t>Australian P</w:t>
      </w:r>
      <w:r w:rsidR="0021200F" w:rsidRPr="619405FB">
        <w:rPr>
          <w:rFonts w:eastAsia="SimSun"/>
        </w:rPr>
        <w:t xml:space="preserve">roduct </w:t>
      </w:r>
      <w:r w:rsidRPr="619405FB">
        <w:rPr>
          <w:rFonts w:eastAsia="SimSun"/>
        </w:rPr>
        <w:t>I</w:t>
      </w:r>
      <w:r w:rsidR="0021200F" w:rsidRPr="619405FB">
        <w:rPr>
          <w:rFonts w:eastAsia="SimSun"/>
        </w:rPr>
        <w:t>nformation</w:t>
      </w:r>
      <w:r w:rsidRPr="619405FB">
        <w:rPr>
          <w:rFonts w:eastAsia="SimSun"/>
        </w:rPr>
        <w:t xml:space="preserve"> – </w:t>
      </w:r>
      <w:r w:rsidR="00D677F1" w:rsidRPr="619405FB">
        <w:rPr>
          <w:rFonts w:eastAsia="SimSun"/>
        </w:rPr>
        <w:t>ZIRDAWNY</w:t>
      </w:r>
      <w:r w:rsidR="00257A84">
        <w:rPr>
          <w:rFonts w:eastAsia="SimSun"/>
          <w:vertAlign w:val="superscript"/>
        </w:rPr>
        <w:t>®</w:t>
      </w:r>
      <w:r w:rsidR="00AF238D" w:rsidRPr="619405FB">
        <w:rPr>
          <w:rFonts w:eastAsia="SimSun"/>
        </w:rPr>
        <w:t xml:space="preserve"> </w:t>
      </w:r>
      <w:r w:rsidRPr="619405FB">
        <w:rPr>
          <w:rFonts w:eastAsia="SimSun"/>
        </w:rPr>
        <w:t>(</w:t>
      </w:r>
      <w:r w:rsidR="00F66F0D" w:rsidRPr="619405FB">
        <w:rPr>
          <w:rFonts w:eastAsia="SimSun"/>
        </w:rPr>
        <w:t>DONIDALORSEN</w:t>
      </w:r>
      <w:r w:rsidRPr="619405FB">
        <w:rPr>
          <w:rFonts w:eastAsia="SimSun"/>
        </w:rPr>
        <w:t>)</w:t>
      </w:r>
      <w:r w:rsidR="00A64655" w:rsidRPr="619405FB">
        <w:rPr>
          <w:rFonts w:eastAsia="SimSun"/>
        </w:rPr>
        <w:t xml:space="preserve"> </w:t>
      </w:r>
      <w:r w:rsidR="00F66F0D" w:rsidRPr="619405FB">
        <w:rPr>
          <w:rFonts w:eastAsia="SimSun"/>
        </w:rPr>
        <w:t>SOLUTION FOR INJECTION IN PRE-FILLED PEN</w:t>
      </w:r>
    </w:p>
    <w:p w14:paraId="13669138" w14:textId="77777777" w:rsidR="001A3992" w:rsidRPr="003A2BCA" w:rsidRDefault="001A3992" w:rsidP="003A2BCA">
      <w:pPr>
        <w:pStyle w:val="Heading1"/>
        <w:spacing w:before="0" w:after="120"/>
      </w:pPr>
      <w:r w:rsidRPr="003A2BCA">
        <w:t>Name of the medicine</w:t>
      </w:r>
    </w:p>
    <w:p w14:paraId="48A7D283" w14:textId="07418864" w:rsidR="002734FE" w:rsidRPr="003A2BCA" w:rsidRDefault="002734FE" w:rsidP="003A2BCA">
      <w:pPr>
        <w:rPr>
          <w:rFonts w:asciiTheme="majorHAnsi" w:eastAsia="Times New Roman" w:hAnsiTheme="majorHAnsi" w:cs="Times New Roman"/>
          <w:lang w:val="en-GB"/>
        </w:rPr>
      </w:pPr>
      <w:r w:rsidRPr="619405FB">
        <w:rPr>
          <w:rFonts w:asciiTheme="majorHAnsi" w:eastAsia="Times New Roman" w:hAnsiTheme="majorHAnsi" w:cs="Times New Roman"/>
          <w:lang w:val="en-GB"/>
        </w:rPr>
        <w:t>Donidalorsen</w:t>
      </w:r>
      <w:r w:rsidR="00FB07CD" w:rsidRPr="619405FB">
        <w:rPr>
          <w:rFonts w:asciiTheme="majorHAnsi" w:eastAsia="Times New Roman" w:hAnsiTheme="majorHAnsi" w:cs="Times New Roman"/>
          <w:lang w:val="en-GB"/>
        </w:rPr>
        <w:t xml:space="preserve"> sodium</w:t>
      </w:r>
    </w:p>
    <w:p w14:paraId="60DDCC16" w14:textId="77777777" w:rsidR="001A3992" w:rsidRPr="003A2BCA" w:rsidRDefault="001A3992" w:rsidP="003A2BCA">
      <w:pPr>
        <w:pStyle w:val="Heading1"/>
        <w:spacing w:before="0" w:after="120"/>
      </w:pPr>
      <w:r w:rsidRPr="003A2BCA">
        <w:t>Qualitative and quantitative composition</w:t>
      </w:r>
    </w:p>
    <w:p w14:paraId="001C35EE" w14:textId="5856DA23" w:rsidR="0050019A" w:rsidRPr="003A2BCA" w:rsidRDefault="0050019A"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Each pre-filled pen contains 80 mg donidalorsen (equivalent to 84 mg donidalorsen sodium) in 0.8 mL of solution. Each mL contains 100 mg donidalorsen, equivalent to 105 mg donidalorsen sodium.</w:t>
      </w:r>
    </w:p>
    <w:p w14:paraId="37EB516B" w14:textId="57E60883" w:rsidR="005B2812" w:rsidRPr="003A2BCA" w:rsidRDefault="005B2812"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For the full list of excipients, see Section 6.1 List of excipients. </w:t>
      </w:r>
    </w:p>
    <w:p w14:paraId="599F3F26" w14:textId="77777777" w:rsidR="001A3992" w:rsidRPr="003A2BCA" w:rsidRDefault="001A3992" w:rsidP="003A2BCA">
      <w:pPr>
        <w:pStyle w:val="Heading1"/>
        <w:spacing w:before="0" w:after="120"/>
      </w:pPr>
      <w:r w:rsidRPr="003A2BCA">
        <w:t>Pharmaceutical form</w:t>
      </w:r>
    </w:p>
    <w:p w14:paraId="0805A126" w14:textId="349CDCF4" w:rsidR="002734FE" w:rsidRPr="003A2BCA" w:rsidRDefault="002734FE"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Solution for injection in pre-filled pen (injection)</w:t>
      </w:r>
    </w:p>
    <w:p w14:paraId="4D46875F" w14:textId="77777777" w:rsidR="001A3992" w:rsidRPr="003A2BCA" w:rsidRDefault="001A3992" w:rsidP="003A2BCA">
      <w:pPr>
        <w:pStyle w:val="Heading1"/>
        <w:spacing w:before="0" w:after="120"/>
      </w:pPr>
      <w:r w:rsidRPr="003A2BCA">
        <w:t>Clinical particulars</w:t>
      </w:r>
    </w:p>
    <w:p w14:paraId="25C416F0" w14:textId="77777777" w:rsidR="001A3992" w:rsidRPr="003A2BCA" w:rsidRDefault="001A3992" w:rsidP="003A2BCA">
      <w:pPr>
        <w:pStyle w:val="Heading2"/>
        <w:spacing w:before="0" w:after="120"/>
      </w:pPr>
      <w:r w:rsidRPr="003A2BCA">
        <w:t xml:space="preserve">Therapeutic indications </w:t>
      </w:r>
    </w:p>
    <w:p w14:paraId="7216E8BF" w14:textId="0E6F2A15" w:rsidR="002734FE" w:rsidRPr="003A2BCA" w:rsidRDefault="00D677F1"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ZIRDAWNY</w:t>
      </w:r>
      <w:r w:rsidR="0050019A" w:rsidRPr="003A2BCA">
        <w:rPr>
          <w:rFonts w:asciiTheme="majorHAnsi" w:eastAsia="Times New Roman" w:hAnsiTheme="majorHAnsi" w:cs="Times New Roman"/>
          <w:lang w:val="en-GB"/>
        </w:rPr>
        <w:t xml:space="preserve"> is indicated for routine prevention of recurrent attacks of hereditary angioedema (HAE) in adults and adolescents aged 12 years and older.</w:t>
      </w:r>
    </w:p>
    <w:p w14:paraId="6EB0BD57" w14:textId="77777777" w:rsidR="001A3992" w:rsidRPr="003A2BCA" w:rsidRDefault="001A3992" w:rsidP="003A2BCA">
      <w:pPr>
        <w:pStyle w:val="Heading2"/>
        <w:spacing w:before="0" w:after="120"/>
      </w:pPr>
      <w:r w:rsidRPr="003A2BCA">
        <w:t xml:space="preserve">Dose and method of administration </w:t>
      </w:r>
    </w:p>
    <w:p w14:paraId="5C28B581" w14:textId="51EB571F" w:rsidR="0050019A" w:rsidRPr="003A2BCA" w:rsidRDefault="0050019A" w:rsidP="003649E0">
      <w:pPr>
        <w:rPr>
          <w:rFonts w:asciiTheme="majorHAnsi" w:eastAsia="Times New Roman" w:hAnsiTheme="majorHAnsi" w:cs="Times New Roman"/>
          <w:lang w:val="en-GB"/>
        </w:rPr>
      </w:pPr>
      <w:r w:rsidRPr="619405FB">
        <w:rPr>
          <w:rFonts w:asciiTheme="majorHAnsi" w:eastAsia="Times New Roman" w:hAnsiTheme="majorHAnsi" w:cs="Times New Roman"/>
          <w:lang w:val="en-GB"/>
        </w:rPr>
        <w:t>Treatment is to be initiated under the supervision of a physician experienced in the management of patients with HAE.</w:t>
      </w:r>
      <w:r w:rsidR="00C45F20" w:rsidRPr="619405FB">
        <w:rPr>
          <w:rFonts w:asciiTheme="majorHAnsi" w:eastAsia="Times New Roman" w:hAnsiTheme="majorHAnsi" w:cs="Times New Roman"/>
          <w:lang w:val="en-GB"/>
        </w:rPr>
        <w:t xml:space="preserve"> </w:t>
      </w:r>
      <w:bookmarkStart w:id="0" w:name="_Hlk218593051"/>
      <w:r w:rsidR="00C45F20" w:rsidRPr="619405FB">
        <w:rPr>
          <w:rFonts w:asciiTheme="majorHAnsi" w:eastAsia="Times New Roman" w:hAnsiTheme="majorHAnsi" w:cs="Times New Roman"/>
          <w:lang w:val="en-GB"/>
        </w:rPr>
        <w:t>Product is for single use in one patient only. Discard any residue.</w:t>
      </w:r>
      <w:bookmarkEnd w:id="0"/>
    </w:p>
    <w:p w14:paraId="3570EDF4" w14:textId="101BE3AA" w:rsidR="0050019A" w:rsidRPr="003A2BCA" w:rsidRDefault="00D42064" w:rsidP="003649E0">
      <w:pPr>
        <w:rPr>
          <w:rFonts w:asciiTheme="majorHAnsi" w:eastAsia="Times New Roman" w:hAnsiTheme="majorHAnsi" w:cs="Times New Roman"/>
          <w:u w:val="single"/>
          <w:lang w:val="en-GB"/>
        </w:rPr>
      </w:pPr>
      <w:r w:rsidRPr="003A2BCA">
        <w:rPr>
          <w:rFonts w:asciiTheme="majorHAnsi" w:eastAsia="Times New Roman" w:hAnsiTheme="majorHAnsi" w:cs="Times New Roman"/>
          <w:u w:val="single"/>
          <w:lang w:val="en-GB"/>
        </w:rPr>
        <w:t>Dosage</w:t>
      </w:r>
    </w:p>
    <w:p w14:paraId="799A158B" w14:textId="588218AC" w:rsidR="0050019A" w:rsidRPr="003A2BCA" w:rsidRDefault="0050019A" w:rsidP="003649E0">
      <w:pPr>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The recommended starting dose in adult and adolescent patients is 80 mg </w:t>
      </w:r>
      <w:r w:rsidR="001E35E5" w:rsidRPr="003A2BCA">
        <w:rPr>
          <w:rFonts w:asciiTheme="majorHAnsi" w:eastAsia="Times New Roman" w:hAnsiTheme="majorHAnsi" w:cs="Times New Roman"/>
          <w:lang w:val="en-GB"/>
        </w:rPr>
        <w:t xml:space="preserve">donidalorsen </w:t>
      </w:r>
      <w:r w:rsidRPr="003A2BCA">
        <w:rPr>
          <w:rFonts w:asciiTheme="majorHAnsi" w:eastAsia="Times New Roman" w:hAnsiTheme="majorHAnsi" w:cs="Times New Roman"/>
          <w:lang w:val="en-GB"/>
        </w:rPr>
        <w:t xml:space="preserve">by subcutaneous injection. Doses should be administered once monthly. </w:t>
      </w:r>
    </w:p>
    <w:p w14:paraId="273961EB" w14:textId="59AE16FB" w:rsidR="0050019A" w:rsidRPr="003A2BCA" w:rsidRDefault="0050019A" w:rsidP="003649E0">
      <w:pPr>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A dosing interval of 80 mg once every 2 months may be considered if the patient is well controlled (e.g., attack free) for at least 3 months while receiving </w:t>
      </w:r>
      <w:r w:rsidR="00D677F1" w:rsidRPr="003A2BCA">
        <w:rPr>
          <w:rFonts w:asciiTheme="majorHAnsi" w:eastAsia="Times New Roman" w:hAnsiTheme="majorHAnsi" w:cs="Times New Roman"/>
          <w:lang w:val="en-GB"/>
        </w:rPr>
        <w:t>ZIRDAWNY</w:t>
      </w:r>
      <w:r w:rsidRPr="003A2BCA">
        <w:rPr>
          <w:rFonts w:asciiTheme="majorHAnsi" w:eastAsia="Times New Roman" w:hAnsiTheme="majorHAnsi" w:cs="Times New Roman"/>
          <w:lang w:val="en-GB"/>
        </w:rPr>
        <w:t>.</w:t>
      </w:r>
    </w:p>
    <w:p w14:paraId="24C9CA28" w14:textId="77777777" w:rsidR="0050019A" w:rsidRPr="003A2BCA" w:rsidRDefault="0050019A" w:rsidP="003649E0">
      <w:pPr>
        <w:rPr>
          <w:rFonts w:asciiTheme="majorHAnsi" w:eastAsia="Times New Roman" w:hAnsiTheme="majorHAnsi" w:cs="Times New Roman"/>
          <w:u w:val="single"/>
          <w:lang w:val="en-GB"/>
        </w:rPr>
      </w:pPr>
      <w:r w:rsidRPr="003A2BCA">
        <w:rPr>
          <w:rFonts w:asciiTheme="majorHAnsi" w:eastAsia="Times New Roman" w:hAnsiTheme="majorHAnsi" w:cs="Times New Roman"/>
          <w:u w:val="single"/>
          <w:lang w:val="en-GB"/>
        </w:rPr>
        <w:t>Missed dose</w:t>
      </w:r>
    </w:p>
    <w:p w14:paraId="49E6A19F" w14:textId="77777777" w:rsidR="0050019A" w:rsidRPr="003A2BCA" w:rsidRDefault="0050019A" w:rsidP="003649E0">
      <w:pPr>
        <w:rPr>
          <w:rFonts w:asciiTheme="majorHAnsi" w:eastAsia="Times New Roman" w:hAnsiTheme="majorHAnsi" w:cs="Times New Roman"/>
          <w:lang w:val="en-GB"/>
        </w:rPr>
      </w:pPr>
      <w:r w:rsidRPr="003A2BCA">
        <w:rPr>
          <w:rFonts w:asciiTheme="majorHAnsi" w:eastAsia="Times New Roman" w:hAnsiTheme="majorHAnsi" w:cs="Times New Roman"/>
          <w:lang w:val="en-GB"/>
        </w:rPr>
        <w:t>If a dose is missed, the patient or caregiver should be instructed to administer the dose as soon as possible. Thereafter, dosing should be resumed at the prescribed dosing frequency (once monthly or once every 2 months) from the date of the most recently administered dose.</w:t>
      </w:r>
    </w:p>
    <w:p w14:paraId="3CF35587" w14:textId="77777777" w:rsidR="00551C29" w:rsidRPr="003A2BCA" w:rsidRDefault="00551C29" w:rsidP="003649E0">
      <w:pPr>
        <w:tabs>
          <w:tab w:val="left" w:pos="567"/>
        </w:tabs>
        <w:spacing w:after="0"/>
        <w:rPr>
          <w:rFonts w:asciiTheme="majorHAnsi" w:eastAsia="Times New Roman" w:hAnsiTheme="majorHAnsi" w:cs="Times New Roman"/>
          <w:u w:val="single"/>
          <w:lang w:val="en-GB"/>
        </w:rPr>
      </w:pPr>
    </w:p>
    <w:p w14:paraId="36B4B250" w14:textId="1E9C6822" w:rsidR="00517C12" w:rsidRPr="003A2BCA" w:rsidRDefault="00517C12" w:rsidP="003649E0">
      <w:pPr>
        <w:tabs>
          <w:tab w:val="left" w:pos="567"/>
        </w:tabs>
        <w:spacing w:after="0"/>
        <w:rPr>
          <w:rFonts w:asciiTheme="majorHAnsi" w:eastAsia="Times New Roman" w:hAnsiTheme="majorHAnsi" w:cs="Times New Roman"/>
          <w:u w:val="single"/>
          <w:lang w:val="en-GB"/>
        </w:rPr>
      </w:pPr>
      <w:r w:rsidRPr="003A2BCA">
        <w:rPr>
          <w:rFonts w:asciiTheme="majorHAnsi" w:eastAsia="Times New Roman" w:hAnsiTheme="majorHAnsi" w:cs="Times New Roman"/>
          <w:u w:val="single"/>
          <w:lang w:val="en-GB"/>
        </w:rPr>
        <w:t>Changing from other HAE prophylactic medicinal products</w:t>
      </w:r>
    </w:p>
    <w:p w14:paraId="4D29828D" w14:textId="77777777" w:rsidR="00517C12" w:rsidRPr="003A2BCA" w:rsidRDefault="00517C12" w:rsidP="003649E0">
      <w:pPr>
        <w:tabs>
          <w:tab w:val="left" w:pos="567"/>
        </w:tabs>
        <w:spacing w:after="0"/>
        <w:rPr>
          <w:rFonts w:asciiTheme="majorHAnsi" w:eastAsia="Times New Roman" w:hAnsiTheme="majorHAnsi" w:cs="Times New Roman"/>
          <w:lang w:val="en-GB"/>
        </w:rPr>
      </w:pPr>
    </w:p>
    <w:p w14:paraId="4C822CBF" w14:textId="06B49399" w:rsidR="00517C12" w:rsidRPr="003A2BCA" w:rsidRDefault="00517C12" w:rsidP="003649E0">
      <w:pPr>
        <w:tabs>
          <w:tab w:val="left" w:pos="567"/>
        </w:tabs>
        <w:spacing w:after="0"/>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The following treatment schedules (Table 1) are recommended for patients that are changing their HAE prophylactic therapy from </w:t>
      </w:r>
      <w:proofErr w:type="spellStart"/>
      <w:r w:rsidRPr="003A2BCA">
        <w:rPr>
          <w:rFonts w:asciiTheme="majorHAnsi" w:eastAsia="Times New Roman" w:hAnsiTheme="majorHAnsi" w:cs="Times New Roman"/>
          <w:lang w:val="en-GB"/>
        </w:rPr>
        <w:t>berotralstat</w:t>
      </w:r>
      <w:proofErr w:type="spellEnd"/>
      <w:r w:rsidRPr="003A2BCA">
        <w:rPr>
          <w:rFonts w:asciiTheme="majorHAnsi" w:eastAsia="Times New Roman" w:hAnsiTheme="majorHAnsi" w:cs="Times New Roman"/>
          <w:lang w:val="en-GB"/>
        </w:rPr>
        <w:t xml:space="preserve">, a C1 esterase inhibitor, or </w:t>
      </w:r>
      <w:proofErr w:type="spellStart"/>
      <w:r w:rsidRPr="003A2BCA">
        <w:rPr>
          <w:rFonts w:asciiTheme="majorHAnsi" w:eastAsia="Times New Roman" w:hAnsiTheme="majorHAnsi" w:cs="Times New Roman"/>
          <w:lang w:val="en-GB"/>
        </w:rPr>
        <w:t>lanadelumab</w:t>
      </w:r>
      <w:proofErr w:type="spellEnd"/>
      <w:r w:rsidRPr="003A2BCA">
        <w:rPr>
          <w:rFonts w:asciiTheme="majorHAnsi" w:eastAsia="Times New Roman" w:hAnsiTheme="majorHAnsi" w:cs="Times New Roman"/>
          <w:lang w:val="en-GB"/>
        </w:rPr>
        <w:t xml:space="preserve"> to </w:t>
      </w:r>
      <w:r w:rsidR="00D677F1" w:rsidRPr="003A2BCA">
        <w:rPr>
          <w:rFonts w:asciiTheme="majorHAnsi" w:eastAsia="Times New Roman" w:hAnsiTheme="majorHAnsi" w:cs="Times New Roman"/>
          <w:lang w:val="en-GB"/>
        </w:rPr>
        <w:t>ZIRDAWNY</w:t>
      </w:r>
      <w:r w:rsidRPr="003A2BCA">
        <w:rPr>
          <w:rFonts w:asciiTheme="majorHAnsi" w:eastAsia="Times New Roman" w:hAnsiTheme="majorHAnsi" w:cs="Times New Roman"/>
          <w:lang w:val="en-GB"/>
        </w:rPr>
        <w:t xml:space="preserve"> (see </w:t>
      </w:r>
      <w:r w:rsidR="00801DC4" w:rsidRPr="003A2BCA">
        <w:rPr>
          <w:rFonts w:asciiTheme="majorHAnsi" w:eastAsia="Times New Roman" w:hAnsiTheme="majorHAnsi" w:cs="Times New Roman"/>
          <w:lang w:val="en-GB"/>
        </w:rPr>
        <w:t>S</w:t>
      </w:r>
      <w:r w:rsidRPr="003A2BCA">
        <w:rPr>
          <w:rFonts w:asciiTheme="majorHAnsi" w:eastAsia="Times New Roman" w:hAnsiTheme="majorHAnsi" w:cs="Times New Roman"/>
          <w:lang w:val="en-GB"/>
        </w:rPr>
        <w:t>ection 5.1</w:t>
      </w:r>
      <w:r w:rsidR="00801DC4" w:rsidRPr="003A2BCA">
        <w:rPr>
          <w:rFonts w:asciiTheme="majorHAnsi" w:eastAsia="Times New Roman" w:hAnsiTheme="majorHAnsi" w:cs="Times New Roman"/>
          <w:lang w:val="en-GB"/>
        </w:rPr>
        <w:t xml:space="preserve"> Pharmacodynamic properties</w:t>
      </w:r>
      <w:r w:rsidRPr="003A2BCA">
        <w:rPr>
          <w:rFonts w:asciiTheme="majorHAnsi" w:eastAsia="Times New Roman" w:hAnsiTheme="majorHAnsi" w:cs="Times New Roman"/>
          <w:lang w:val="en-GB"/>
        </w:rPr>
        <w:t>).</w:t>
      </w:r>
    </w:p>
    <w:p w14:paraId="38FB66D7" w14:textId="77777777" w:rsidR="00517C12" w:rsidRPr="003649E0" w:rsidRDefault="00517C12" w:rsidP="003649E0">
      <w:pPr>
        <w:tabs>
          <w:tab w:val="left" w:pos="567"/>
        </w:tabs>
        <w:spacing w:after="0"/>
        <w:rPr>
          <w:rFonts w:asciiTheme="majorHAnsi" w:eastAsia="Times New Roman" w:hAnsiTheme="majorHAnsi" w:cs="Times New Roman"/>
          <w:lang w:val="en-GB"/>
        </w:rPr>
      </w:pPr>
    </w:p>
    <w:p w14:paraId="1FA51C93" w14:textId="588F0416" w:rsidR="00517C12" w:rsidRPr="003A2BCA" w:rsidRDefault="00517C12" w:rsidP="003649E0">
      <w:pPr>
        <w:tabs>
          <w:tab w:val="left" w:pos="567"/>
        </w:tabs>
        <w:spacing w:after="0"/>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Table 1: Treatment schedule for patients changing from other prophylactic therapy to </w:t>
      </w:r>
      <w:r w:rsidR="00D677F1" w:rsidRPr="003A2BCA">
        <w:rPr>
          <w:rFonts w:asciiTheme="majorHAnsi" w:eastAsia="Times New Roman" w:hAnsiTheme="majorHAnsi" w:cs="Times New Roman"/>
          <w:lang w:val="en-GB"/>
        </w:rPr>
        <w:t>ZIRDAWNY</w:t>
      </w:r>
      <w:r w:rsidRPr="003A2BCA">
        <w:rPr>
          <w:rFonts w:asciiTheme="majorHAnsi" w:eastAsia="Times New Roman" w:hAnsiTheme="majorHAnsi" w:cs="Times New Roman"/>
          <w:lang w:val="en-GB"/>
        </w:rPr>
        <w:t>.</w:t>
      </w:r>
    </w:p>
    <w:p w14:paraId="1C45FE68" w14:textId="77777777" w:rsidR="00517C12" w:rsidRPr="003649E0" w:rsidRDefault="00517C12" w:rsidP="003649E0">
      <w:pPr>
        <w:tabs>
          <w:tab w:val="left" w:pos="567"/>
        </w:tabs>
        <w:spacing w:after="0"/>
        <w:rPr>
          <w:rFonts w:asciiTheme="majorHAnsi" w:eastAsia="Times New Roman" w:hAnsiTheme="majorHAnsi" w:cs="Times New Roman"/>
          <w:lang w:val="en-GB"/>
        </w:rPr>
      </w:pPr>
    </w:p>
    <w:tbl>
      <w:tblPr>
        <w:tblStyle w:val="TableGrid"/>
        <w:tblW w:w="0" w:type="auto"/>
        <w:tblLook w:val="04A0" w:firstRow="1" w:lastRow="0" w:firstColumn="1" w:lastColumn="0" w:noHBand="0" w:noVBand="1"/>
      </w:tblPr>
      <w:tblGrid>
        <w:gridCol w:w="3242"/>
        <w:gridCol w:w="5774"/>
      </w:tblGrid>
      <w:tr w:rsidR="00517C12" w:rsidRPr="003A2BCA" w14:paraId="5B327D41" w14:textId="77777777" w:rsidTr="00B65EFF">
        <w:tc>
          <w:tcPr>
            <w:tcW w:w="3256" w:type="dxa"/>
          </w:tcPr>
          <w:p w14:paraId="443DAECD" w14:textId="77777777" w:rsidR="00517C12" w:rsidRPr="003A2BCA" w:rsidRDefault="00517C12" w:rsidP="003649E0">
            <w:pPr>
              <w:tabs>
                <w:tab w:val="left" w:pos="567"/>
              </w:tabs>
              <w:spacing w:line="276" w:lineRule="auto"/>
              <w:rPr>
                <w:rFonts w:asciiTheme="majorHAnsi" w:eastAsia="Times New Roman" w:hAnsiTheme="majorHAnsi"/>
                <w:b/>
                <w:bCs/>
              </w:rPr>
            </w:pPr>
            <w:r w:rsidRPr="003A2BCA">
              <w:rPr>
                <w:rFonts w:asciiTheme="majorHAnsi" w:eastAsia="Times New Roman" w:hAnsiTheme="majorHAnsi"/>
                <w:b/>
                <w:bCs/>
              </w:rPr>
              <w:t>Other Prophylactic Therapy:</w:t>
            </w:r>
          </w:p>
        </w:tc>
        <w:tc>
          <w:tcPr>
            <w:tcW w:w="5805" w:type="dxa"/>
          </w:tcPr>
          <w:p w14:paraId="0D67D235" w14:textId="019C9FFB" w:rsidR="00517C12" w:rsidRPr="003A2BCA" w:rsidRDefault="00517C12" w:rsidP="003649E0">
            <w:pPr>
              <w:tabs>
                <w:tab w:val="left" w:pos="567"/>
              </w:tabs>
              <w:spacing w:line="276" w:lineRule="auto"/>
              <w:rPr>
                <w:rFonts w:asciiTheme="majorHAnsi" w:eastAsia="Times New Roman" w:hAnsiTheme="majorHAnsi"/>
                <w:b/>
                <w:bCs/>
              </w:rPr>
            </w:pPr>
            <w:r w:rsidRPr="003A2BCA">
              <w:rPr>
                <w:rFonts w:asciiTheme="majorHAnsi" w:eastAsia="Times New Roman" w:hAnsiTheme="majorHAnsi"/>
                <w:b/>
                <w:bCs/>
              </w:rPr>
              <w:t xml:space="preserve">Recommended treatment schedule when changing to </w:t>
            </w:r>
            <w:r w:rsidR="00D677F1" w:rsidRPr="003A2BCA">
              <w:rPr>
                <w:rFonts w:asciiTheme="majorHAnsi" w:eastAsia="Times New Roman" w:hAnsiTheme="majorHAnsi"/>
                <w:b/>
                <w:bCs/>
              </w:rPr>
              <w:t>ZIRDAWNY</w:t>
            </w:r>
            <w:r w:rsidRPr="003A2BCA">
              <w:rPr>
                <w:rFonts w:asciiTheme="majorHAnsi" w:eastAsia="Times New Roman" w:hAnsiTheme="majorHAnsi"/>
                <w:b/>
                <w:bCs/>
              </w:rPr>
              <w:t>:</w:t>
            </w:r>
          </w:p>
          <w:p w14:paraId="62F7E5A9" w14:textId="77777777" w:rsidR="00517C12" w:rsidRPr="003A2BCA" w:rsidRDefault="00517C12" w:rsidP="003649E0">
            <w:pPr>
              <w:tabs>
                <w:tab w:val="left" w:pos="567"/>
              </w:tabs>
              <w:spacing w:line="276" w:lineRule="auto"/>
              <w:rPr>
                <w:rFonts w:asciiTheme="majorHAnsi" w:eastAsia="Times New Roman" w:hAnsiTheme="majorHAnsi"/>
                <w:b/>
                <w:bCs/>
              </w:rPr>
            </w:pPr>
          </w:p>
        </w:tc>
      </w:tr>
      <w:tr w:rsidR="00517C12" w:rsidRPr="003A2BCA" w14:paraId="15F9AC99" w14:textId="77777777" w:rsidTr="00B65EFF">
        <w:tc>
          <w:tcPr>
            <w:tcW w:w="3256" w:type="dxa"/>
          </w:tcPr>
          <w:p w14:paraId="3AFBFFEE" w14:textId="77777777" w:rsidR="00517C12" w:rsidRPr="003A2BCA" w:rsidRDefault="00517C12" w:rsidP="003649E0">
            <w:pPr>
              <w:tabs>
                <w:tab w:val="left" w:pos="567"/>
              </w:tabs>
              <w:spacing w:line="276" w:lineRule="auto"/>
              <w:rPr>
                <w:rFonts w:asciiTheme="majorHAnsi" w:eastAsia="Times New Roman" w:hAnsiTheme="majorHAnsi"/>
              </w:rPr>
            </w:pPr>
            <w:proofErr w:type="spellStart"/>
            <w:r w:rsidRPr="003A2BCA">
              <w:rPr>
                <w:rFonts w:asciiTheme="majorHAnsi" w:eastAsia="Times New Roman" w:hAnsiTheme="majorHAnsi"/>
              </w:rPr>
              <w:t>Berotralstat</w:t>
            </w:r>
            <w:proofErr w:type="spellEnd"/>
          </w:p>
        </w:tc>
        <w:tc>
          <w:tcPr>
            <w:tcW w:w="5805" w:type="dxa"/>
          </w:tcPr>
          <w:p w14:paraId="709614B7" w14:textId="70B20772" w:rsidR="00517C12" w:rsidRPr="003A2BCA" w:rsidRDefault="00517C12" w:rsidP="003649E0">
            <w:pPr>
              <w:tabs>
                <w:tab w:val="left" w:pos="567"/>
              </w:tabs>
              <w:spacing w:line="276" w:lineRule="auto"/>
              <w:rPr>
                <w:rFonts w:asciiTheme="majorHAnsi" w:eastAsia="Times New Roman" w:hAnsiTheme="majorHAnsi"/>
              </w:rPr>
            </w:pPr>
            <w:r w:rsidRPr="003A2BCA">
              <w:rPr>
                <w:rFonts w:asciiTheme="majorHAnsi" w:eastAsia="Times New Roman" w:hAnsiTheme="majorHAnsi"/>
              </w:rPr>
              <w:t xml:space="preserve">Continue taking the current dose of </w:t>
            </w:r>
            <w:proofErr w:type="spellStart"/>
            <w:r w:rsidRPr="003A2BCA">
              <w:rPr>
                <w:rFonts w:asciiTheme="majorHAnsi" w:eastAsia="Times New Roman" w:hAnsiTheme="majorHAnsi"/>
              </w:rPr>
              <w:t>berotralstat</w:t>
            </w:r>
            <w:proofErr w:type="spellEnd"/>
            <w:r w:rsidRPr="003A2BCA">
              <w:rPr>
                <w:rFonts w:asciiTheme="majorHAnsi" w:eastAsia="Times New Roman" w:hAnsiTheme="majorHAnsi"/>
              </w:rPr>
              <w:t xml:space="preserve"> for 14 days after initiating treatment with </w:t>
            </w:r>
            <w:r w:rsidR="00D677F1" w:rsidRPr="003A2BCA">
              <w:rPr>
                <w:rFonts w:asciiTheme="majorHAnsi" w:eastAsia="Times New Roman" w:hAnsiTheme="majorHAnsi"/>
              </w:rPr>
              <w:t>ZIRDAWNY</w:t>
            </w:r>
            <w:r w:rsidRPr="003A2BCA">
              <w:rPr>
                <w:rFonts w:asciiTheme="majorHAnsi" w:eastAsia="Times New Roman" w:hAnsiTheme="majorHAnsi"/>
              </w:rPr>
              <w:t>.</w:t>
            </w:r>
          </w:p>
          <w:p w14:paraId="48A5A6B8" w14:textId="77777777" w:rsidR="00517C12" w:rsidRPr="003A2BCA" w:rsidRDefault="00517C12" w:rsidP="003649E0">
            <w:pPr>
              <w:tabs>
                <w:tab w:val="left" w:pos="567"/>
              </w:tabs>
              <w:spacing w:line="276" w:lineRule="auto"/>
              <w:rPr>
                <w:rFonts w:asciiTheme="majorHAnsi" w:eastAsia="Times New Roman" w:hAnsiTheme="majorHAnsi"/>
              </w:rPr>
            </w:pPr>
          </w:p>
        </w:tc>
      </w:tr>
      <w:tr w:rsidR="00517C12" w:rsidRPr="003A2BCA" w14:paraId="4293F733" w14:textId="77777777" w:rsidTr="00B65EFF">
        <w:tc>
          <w:tcPr>
            <w:tcW w:w="3256" w:type="dxa"/>
          </w:tcPr>
          <w:p w14:paraId="265F3590" w14:textId="77777777" w:rsidR="00517C12" w:rsidRPr="003A2BCA" w:rsidRDefault="00517C12" w:rsidP="003649E0">
            <w:pPr>
              <w:tabs>
                <w:tab w:val="left" w:pos="567"/>
              </w:tabs>
              <w:spacing w:line="276" w:lineRule="auto"/>
              <w:rPr>
                <w:rFonts w:asciiTheme="majorHAnsi" w:eastAsia="Times New Roman" w:hAnsiTheme="majorHAnsi"/>
              </w:rPr>
            </w:pPr>
            <w:r w:rsidRPr="003A2BCA">
              <w:rPr>
                <w:rFonts w:asciiTheme="majorHAnsi" w:eastAsia="Times New Roman" w:hAnsiTheme="majorHAnsi"/>
              </w:rPr>
              <w:t>C1 esterase inhibitor</w:t>
            </w:r>
          </w:p>
        </w:tc>
        <w:tc>
          <w:tcPr>
            <w:tcW w:w="5805" w:type="dxa"/>
          </w:tcPr>
          <w:p w14:paraId="2D968FD5" w14:textId="78D48125" w:rsidR="00517C12" w:rsidRPr="003A2BCA" w:rsidRDefault="00517C12" w:rsidP="003649E0">
            <w:pPr>
              <w:tabs>
                <w:tab w:val="left" w:pos="567"/>
              </w:tabs>
              <w:spacing w:line="276" w:lineRule="auto"/>
              <w:rPr>
                <w:rFonts w:asciiTheme="majorHAnsi" w:eastAsia="Times New Roman" w:hAnsiTheme="majorHAnsi"/>
              </w:rPr>
            </w:pPr>
            <w:r w:rsidRPr="003A2BCA">
              <w:rPr>
                <w:rFonts w:asciiTheme="majorHAnsi" w:eastAsia="Times New Roman" w:hAnsiTheme="majorHAnsi"/>
              </w:rPr>
              <w:t xml:space="preserve">Continue taking the current dose of C1 esterase inhibitor for 14 days after initiating treatment with </w:t>
            </w:r>
            <w:r w:rsidR="00D677F1" w:rsidRPr="003A2BCA">
              <w:rPr>
                <w:rFonts w:asciiTheme="majorHAnsi" w:eastAsia="Times New Roman" w:hAnsiTheme="majorHAnsi"/>
              </w:rPr>
              <w:t>ZIRDAWNY</w:t>
            </w:r>
            <w:r w:rsidRPr="003A2BCA">
              <w:rPr>
                <w:rFonts w:asciiTheme="majorHAnsi" w:eastAsia="Times New Roman" w:hAnsiTheme="majorHAnsi"/>
              </w:rPr>
              <w:t>.</w:t>
            </w:r>
          </w:p>
          <w:p w14:paraId="0418B2E7" w14:textId="77777777" w:rsidR="00517C12" w:rsidRPr="003A2BCA" w:rsidRDefault="00517C12" w:rsidP="003649E0">
            <w:pPr>
              <w:tabs>
                <w:tab w:val="left" w:pos="567"/>
              </w:tabs>
              <w:spacing w:line="276" w:lineRule="auto"/>
              <w:rPr>
                <w:rFonts w:asciiTheme="majorHAnsi" w:eastAsia="Times New Roman" w:hAnsiTheme="majorHAnsi"/>
              </w:rPr>
            </w:pPr>
          </w:p>
        </w:tc>
      </w:tr>
      <w:tr w:rsidR="00517C12" w:rsidRPr="003A2BCA" w14:paraId="293B127E" w14:textId="77777777" w:rsidTr="00B65EFF">
        <w:tc>
          <w:tcPr>
            <w:tcW w:w="3256" w:type="dxa"/>
          </w:tcPr>
          <w:p w14:paraId="417F2A9B" w14:textId="77777777" w:rsidR="00517C12" w:rsidRPr="003A2BCA" w:rsidRDefault="00517C12" w:rsidP="003649E0">
            <w:pPr>
              <w:tabs>
                <w:tab w:val="left" w:pos="567"/>
              </w:tabs>
              <w:spacing w:line="276" w:lineRule="auto"/>
              <w:rPr>
                <w:rFonts w:asciiTheme="majorHAnsi" w:eastAsia="Times New Roman" w:hAnsiTheme="majorHAnsi"/>
              </w:rPr>
            </w:pPr>
            <w:proofErr w:type="spellStart"/>
            <w:r w:rsidRPr="003A2BCA">
              <w:rPr>
                <w:rFonts w:asciiTheme="majorHAnsi" w:eastAsia="Times New Roman" w:hAnsiTheme="majorHAnsi"/>
              </w:rPr>
              <w:t>Lanadelumab</w:t>
            </w:r>
            <w:proofErr w:type="spellEnd"/>
          </w:p>
        </w:tc>
        <w:tc>
          <w:tcPr>
            <w:tcW w:w="5805" w:type="dxa"/>
          </w:tcPr>
          <w:p w14:paraId="4692564C" w14:textId="0B6B6101" w:rsidR="00517C12" w:rsidRPr="003A2BCA" w:rsidRDefault="00517C12" w:rsidP="003649E0">
            <w:pPr>
              <w:tabs>
                <w:tab w:val="left" w:pos="567"/>
              </w:tabs>
              <w:spacing w:line="276" w:lineRule="auto"/>
              <w:rPr>
                <w:rFonts w:asciiTheme="majorHAnsi" w:eastAsia="Times New Roman" w:hAnsiTheme="majorHAnsi"/>
              </w:rPr>
            </w:pPr>
            <w:r w:rsidRPr="003A2BCA">
              <w:rPr>
                <w:rFonts w:asciiTheme="majorHAnsi" w:eastAsia="Times New Roman" w:hAnsiTheme="majorHAnsi"/>
              </w:rPr>
              <w:t xml:space="preserve">Administer last dose of </w:t>
            </w:r>
            <w:proofErr w:type="spellStart"/>
            <w:r w:rsidRPr="003A2BCA">
              <w:rPr>
                <w:rFonts w:asciiTheme="majorHAnsi" w:eastAsia="Times New Roman" w:hAnsiTheme="majorHAnsi"/>
              </w:rPr>
              <w:t>lanadelumab</w:t>
            </w:r>
            <w:proofErr w:type="spellEnd"/>
            <w:r w:rsidRPr="003A2BCA">
              <w:rPr>
                <w:rFonts w:asciiTheme="majorHAnsi" w:eastAsia="Times New Roman" w:hAnsiTheme="majorHAnsi"/>
              </w:rPr>
              <w:t xml:space="preserve"> 14 days prior to initiating treatment with </w:t>
            </w:r>
            <w:r w:rsidR="00D677F1" w:rsidRPr="003A2BCA">
              <w:rPr>
                <w:rFonts w:asciiTheme="majorHAnsi" w:eastAsia="Times New Roman" w:hAnsiTheme="majorHAnsi"/>
              </w:rPr>
              <w:t>ZIRDAWNY</w:t>
            </w:r>
            <w:r w:rsidRPr="003A2BCA">
              <w:rPr>
                <w:rFonts w:asciiTheme="majorHAnsi" w:eastAsia="Times New Roman" w:hAnsiTheme="majorHAnsi"/>
              </w:rPr>
              <w:t>.</w:t>
            </w:r>
          </w:p>
          <w:p w14:paraId="77058137" w14:textId="77777777" w:rsidR="00517C12" w:rsidRPr="003A2BCA" w:rsidRDefault="00517C12" w:rsidP="003649E0">
            <w:pPr>
              <w:tabs>
                <w:tab w:val="left" w:pos="567"/>
              </w:tabs>
              <w:spacing w:line="276" w:lineRule="auto"/>
              <w:rPr>
                <w:rFonts w:asciiTheme="majorHAnsi" w:eastAsia="Times New Roman" w:hAnsiTheme="majorHAnsi"/>
              </w:rPr>
            </w:pPr>
          </w:p>
        </w:tc>
      </w:tr>
    </w:tbl>
    <w:p w14:paraId="5A413AD2" w14:textId="77777777" w:rsidR="00517C12" w:rsidRPr="003649E0" w:rsidRDefault="00517C12" w:rsidP="003649E0">
      <w:pPr>
        <w:tabs>
          <w:tab w:val="left" w:pos="567"/>
        </w:tabs>
        <w:spacing w:after="0"/>
        <w:rPr>
          <w:rFonts w:asciiTheme="majorHAnsi" w:eastAsia="Times New Roman" w:hAnsiTheme="majorHAnsi" w:cs="Times New Roman"/>
          <w:lang w:val="en-GB"/>
        </w:rPr>
      </w:pPr>
    </w:p>
    <w:p w14:paraId="137A7C55" w14:textId="77777777" w:rsidR="00517C12" w:rsidRPr="003A2BCA" w:rsidRDefault="00517C12" w:rsidP="003649E0">
      <w:pPr>
        <w:tabs>
          <w:tab w:val="left" w:pos="567"/>
        </w:tabs>
        <w:spacing w:after="0"/>
        <w:rPr>
          <w:rFonts w:asciiTheme="majorHAnsi" w:eastAsia="Times New Roman" w:hAnsiTheme="majorHAnsi" w:cs="Times New Roman"/>
          <w:u w:val="single"/>
          <w:lang w:val="en-GB"/>
        </w:rPr>
      </w:pPr>
      <w:r w:rsidRPr="003A2BCA">
        <w:rPr>
          <w:rFonts w:asciiTheme="majorHAnsi" w:eastAsia="Times New Roman" w:hAnsiTheme="majorHAnsi" w:cs="Times New Roman"/>
          <w:u w:val="single"/>
          <w:lang w:val="en-GB"/>
        </w:rPr>
        <w:t xml:space="preserve">Method of administration </w:t>
      </w:r>
    </w:p>
    <w:p w14:paraId="5D008DE3" w14:textId="77777777" w:rsidR="00517C12" w:rsidRPr="003A2BCA" w:rsidRDefault="00517C12" w:rsidP="003649E0">
      <w:pPr>
        <w:tabs>
          <w:tab w:val="left" w:pos="567"/>
        </w:tabs>
        <w:spacing w:after="0"/>
        <w:rPr>
          <w:rFonts w:asciiTheme="majorHAnsi" w:eastAsia="Times New Roman" w:hAnsiTheme="majorHAnsi" w:cs="Times New Roman"/>
          <w:lang w:val="en-GB"/>
        </w:rPr>
      </w:pPr>
    </w:p>
    <w:p w14:paraId="79502277" w14:textId="317520E1" w:rsidR="00517C12" w:rsidRPr="003A2BCA" w:rsidRDefault="00D677F1" w:rsidP="003649E0">
      <w:pPr>
        <w:tabs>
          <w:tab w:val="left" w:pos="567"/>
        </w:tabs>
        <w:spacing w:after="0"/>
        <w:rPr>
          <w:rFonts w:asciiTheme="majorHAnsi" w:eastAsia="Times New Roman" w:hAnsiTheme="majorHAnsi" w:cs="Times New Roman"/>
          <w:lang w:val="en-GB"/>
        </w:rPr>
      </w:pPr>
      <w:r w:rsidRPr="003A2BCA">
        <w:rPr>
          <w:rFonts w:asciiTheme="majorHAnsi" w:eastAsia="Times New Roman" w:hAnsiTheme="majorHAnsi" w:cs="Times New Roman"/>
          <w:lang w:val="en-GB"/>
        </w:rPr>
        <w:t>ZIRDAWNY</w:t>
      </w:r>
      <w:r w:rsidR="00517C12" w:rsidRPr="003A2BCA">
        <w:rPr>
          <w:rFonts w:asciiTheme="majorHAnsi" w:eastAsia="Times New Roman" w:hAnsiTheme="majorHAnsi" w:cs="Times New Roman"/>
          <w:lang w:val="en-GB"/>
        </w:rPr>
        <w:t xml:space="preserve"> is only intended for subcutaneous use.</w:t>
      </w:r>
    </w:p>
    <w:p w14:paraId="124729BE" w14:textId="77777777" w:rsidR="00517C12" w:rsidRPr="003A2BCA" w:rsidRDefault="00517C12" w:rsidP="003649E0">
      <w:pPr>
        <w:tabs>
          <w:tab w:val="left" w:pos="567"/>
        </w:tabs>
        <w:spacing w:after="0"/>
        <w:rPr>
          <w:rFonts w:asciiTheme="majorHAnsi" w:eastAsia="Times New Roman" w:hAnsiTheme="majorHAnsi" w:cs="Times New Roman"/>
          <w:lang w:val="en-GB"/>
        </w:rPr>
      </w:pPr>
    </w:p>
    <w:p w14:paraId="4F1910E6" w14:textId="757B3672" w:rsidR="00517C12" w:rsidRPr="003A2BCA" w:rsidRDefault="00517C12" w:rsidP="003649E0">
      <w:pPr>
        <w:tabs>
          <w:tab w:val="left" w:pos="567"/>
        </w:tabs>
        <w:spacing w:after="0"/>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After proper training on correct subcutaneous injection technique, a patient or caregiver may inject </w:t>
      </w:r>
      <w:r w:rsidR="00D677F1" w:rsidRPr="003A2BCA">
        <w:rPr>
          <w:rFonts w:asciiTheme="majorHAnsi" w:eastAsia="Times New Roman" w:hAnsiTheme="majorHAnsi" w:cs="Times New Roman"/>
          <w:lang w:val="en-GB"/>
        </w:rPr>
        <w:t>ZIRDAWNY</w:t>
      </w:r>
      <w:r w:rsidRPr="003A2BCA">
        <w:rPr>
          <w:rFonts w:asciiTheme="majorHAnsi" w:eastAsia="Times New Roman" w:hAnsiTheme="majorHAnsi" w:cs="Times New Roman"/>
          <w:lang w:val="en-GB"/>
        </w:rPr>
        <w:t xml:space="preserve"> if their physician determines it is appropriate. Comprehensive instructions for administration using the pre-filled pen are provided in the package</w:t>
      </w:r>
      <w:r w:rsidR="002115B8" w:rsidRPr="003A2BCA">
        <w:rPr>
          <w:rFonts w:asciiTheme="majorHAnsi" w:eastAsia="Times New Roman" w:hAnsiTheme="majorHAnsi" w:cs="Times New Roman"/>
          <w:lang w:val="en-GB"/>
        </w:rPr>
        <w:t xml:space="preserve"> insert</w:t>
      </w:r>
      <w:r w:rsidRPr="003A2BCA">
        <w:rPr>
          <w:rFonts w:asciiTheme="majorHAnsi" w:eastAsia="Times New Roman" w:hAnsiTheme="majorHAnsi" w:cs="Times New Roman"/>
          <w:lang w:val="en-GB"/>
        </w:rPr>
        <w:t>.</w:t>
      </w:r>
    </w:p>
    <w:p w14:paraId="69D43B08" w14:textId="77777777" w:rsidR="00981777" w:rsidRPr="003A2BCA" w:rsidRDefault="00981777" w:rsidP="003649E0">
      <w:pPr>
        <w:tabs>
          <w:tab w:val="left" w:pos="567"/>
        </w:tabs>
        <w:spacing w:after="0"/>
        <w:rPr>
          <w:rFonts w:asciiTheme="majorHAnsi" w:eastAsia="Times New Roman" w:hAnsiTheme="majorHAnsi" w:cs="Times New Roman"/>
          <w:lang w:val="en-GB"/>
        </w:rPr>
      </w:pPr>
    </w:p>
    <w:p w14:paraId="3EFFAC2E" w14:textId="12E4A409" w:rsidR="00981777" w:rsidRPr="003A2BCA" w:rsidRDefault="00981777" w:rsidP="003649E0">
      <w:pPr>
        <w:tabs>
          <w:tab w:val="left" w:pos="567"/>
        </w:tabs>
        <w:spacing w:after="0"/>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Prior to initiation, patients and/or caregivers </w:t>
      </w:r>
      <w:proofErr w:type="gramStart"/>
      <w:r w:rsidRPr="003A2BCA">
        <w:rPr>
          <w:rFonts w:asciiTheme="majorHAnsi" w:eastAsia="Times New Roman" w:hAnsiTheme="majorHAnsi" w:cs="Times New Roman"/>
          <w:lang w:val="en-GB"/>
        </w:rPr>
        <w:t>have to</w:t>
      </w:r>
      <w:proofErr w:type="gramEnd"/>
      <w:r w:rsidRPr="003A2BCA">
        <w:rPr>
          <w:rFonts w:asciiTheme="majorHAnsi" w:eastAsia="Times New Roman" w:hAnsiTheme="majorHAnsi" w:cs="Times New Roman"/>
          <w:lang w:val="en-GB"/>
        </w:rPr>
        <w:t xml:space="preserve"> be trained on proper preparation and administration of </w:t>
      </w:r>
      <w:r w:rsidR="00D677F1" w:rsidRPr="003A2BCA">
        <w:rPr>
          <w:rFonts w:asciiTheme="majorHAnsi" w:eastAsia="Times New Roman" w:hAnsiTheme="majorHAnsi" w:cs="Times New Roman"/>
          <w:lang w:val="en-GB"/>
        </w:rPr>
        <w:t>ZIRDAWNY</w:t>
      </w:r>
      <w:r w:rsidRPr="003A2BCA">
        <w:rPr>
          <w:rFonts w:asciiTheme="majorHAnsi" w:eastAsia="Times New Roman" w:hAnsiTheme="majorHAnsi" w:cs="Times New Roman"/>
          <w:lang w:val="en-GB"/>
        </w:rPr>
        <w:t xml:space="preserve"> (see Instructions for Use).</w:t>
      </w:r>
    </w:p>
    <w:p w14:paraId="717D4171" w14:textId="59135414" w:rsidR="00981777" w:rsidRPr="003A2BCA" w:rsidRDefault="00981777" w:rsidP="003649E0">
      <w:pPr>
        <w:pStyle w:val="ListParagraph"/>
        <w:numPr>
          <w:ilvl w:val="0"/>
          <w:numId w:val="50"/>
        </w:numPr>
        <w:tabs>
          <w:tab w:val="left" w:pos="567"/>
        </w:tabs>
        <w:spacing w:after="0"/>
        <w:rPr>
          <w:rFonts w:asciiTheme="majorHAnsi" w:eastAsia="Times New Roman" w:hAnsiTheme="majorHAnsi" w:cs="Times New Roman"/>
          <w:lang w:val="en-GB"/>
        </w:rPr>
      </w:pPr>
      <w:r w:rsidRPr="003A2BCA">
        <w:rPr>
          <w:rFonts w:asciiTheme="majorHAnsi" w:eastAsia="Times New Roman" w:hAnsiTheme="majorHAnsi" w:cs="Times New Roman"/>
          <w:lang w:val="en-GB"/>
        </w:rPr>
        <w:t>The single-dose pre-filled pen should be removed from the refrigerator 30 minutes prior to the injection to reach room temperature. Other warming methods must not be used.</w:t>
      </w:r>
    </w:p>
    <w:p w14:paraId="6D4478FE" w14:textId="2DA86D29" w:rsidR="00981777" w:rsidRPr="003A2BCA" w:rsidRDefault="00981777" w:rsidP="003649E0">
      <w:pPr>
        <w:pStyle w:val="ListParagraph"/>
        <w:numPr>
          <w:ilvl w:val="0"/>
          <w:numId w:val="50"/>
        </w:numPr>
        <w:tabs>
          <w:tab w:val="left" w:pos="567"/>
        </w:tabs>
        <w:spacing w:after="0"/>
        <w:rPr>
          <w:rFonts w:asciiTheme="majorHAnsi" w:eastAsia="Times New Roman" w:hAnsiTheme="majorHAnsi" w:cs="Times New Roman"/>
          <w:lang w:val="en-GB"/>
        </w:rPr>
      </w:pPr>
      <w:r w:rsidRPr="003A2BCA">
        <w:rPr>
          <w:rFonts w:asciiTheme="majorHAnsi" w:eastAsia="Times New Roman" w:hAnsiTheme="majorHAnsi" w:cs="Times New Roman"/>
          <w:lang w:val="en-GB"/>
        </w:rPr>
        <w:t>The pre-filled pen must be inspected visually before use. The solution should appear clear and colourless to yellow. The pre-filled pen must not be used if cloudiness, particulate matter, or discolouration is observed prior to administration.</w:t>
      </w:r>
    </w:p>
    <w:p w14:paraId="76E2ACAB" w14:textId="6875A10B" w:rsidR="00981777" w:rsidRPr="003A2BCA" w:rsidRDefault="00D677F1" w:rsidP="003649E0">
      <w:pPr>
        <w:pStyle w:val="ListParagraph"/>
        <w:numPr>
          <w:ilvl w:val="0"/>
          <w:numId w:val="50"/>
        </w:numPr>
        <w:tabs>
          <w:tab w:val="left" w:pos="567"/>
        </w:tabs>
        <w:spacing w:after="0"/>
        <w:rPr>
          <w:rFonts w:asciiTheme="majorHAnsi" w:eastAsia="Times New Roman" w:hAnsiTheme="majorHAnsi" w:cs="Times New Roman"/>
          <w:lang w:val="en-GB"/>
        </w:rPr>
      </w:pPr>
      <w:r w:rsidRPr="003A2BCA">
        <w:rPr>
          <w:rFonts w:asciiTheme="majorHAnsi" w:eastAsia="Times New Roman" w:hAnsiTheme="majorHAnsi" w:cs="Times New Roman"/>
          <w:lang w:val="en-GB"/>
        </w:rPr>
        <w:t>ZIRDAWNY</w:t>
      </w:r>
      <w:r w:rsidR="00981777" w:rsidRPr="003A2BCA">
        <w:rPr>
          <w:rFonts w:asciiTheme="majorHAnsi" w:eastAsia="Times New Roman" w:hAnsiTheme="majorHAnsi" w:cs="Times New Roman"/>
          <w:lang w:val="en-GB"/>
        </w:rPr>
        <w:t xml:space="preserve"> is to be administered as a subcutaneous injection in the abdomen, upper thigh region, or, for caregivers only, the back of the upper arm. </w:t>
      </w:r>
    </w:p>
    <w:p w14:paraId="27CC76AE" w14:textId="03B0108C" w:rsidR="00981777" w:rsidRPr="003A2BCA" w:rsidRDefault="00D677F1" w:rsidP="003649E0">
      <w:pPr>
        <w:pStyle w:val="ListParagraph"/>
        <w:numPr>
          <w:ilvl w:val="0"/>
          <w:numId w:val="50"/>
        </w:numPr>
        <w:tabs>
          <w:tab w:val="left" w:pos="567"/>
        </w:tabs>
        <w:spacing w:after="0"/>
        <w:rPr>
          <w:rFonts w:asciiTheme="majorHAnsi" w:eastAsia="Times New Roman" w:hAnsiTheme="majorHAnsi" w:cs="Times New Roman"/>
          <w:lang w:val="en-GB"/>
        </w:rPr>
      </w:pPr>
      <w:r w:rsidRPr="003A2BCA">
        <w:rPr>
          <w:rFonts w:asciiTheme="majorHAnsi" w:eastAsia="Times New Roman" w:hAnsiTheme="majorHAnsi" w:cs="Times New Roman"/>
          <w:lang w:val="en-GB"/>
        </w:rPr>
        <w:t>ZIRDAWNY</w:t>
      </w:r>
      <w:r w:rsidR="00981777" w:rsidRPr="003A2BCA">
        <w:rPr>
          <w:rFonts w:asciiTheme="majorHAnsi" w:eastAsia="Times New Roman" w:hAnsiTheme="majorHAnsi" w:cs="Times New Roman"/>
          <w:lang w:val="en-GB"/>
        </w:rPr>
        <w:t xml:space="preserve"> must not be injected into areas where the skin is tender, bruised, red, or hard.</w:t>
      </w:r>
    </w:p>
    <w:p w14:paraId="0FAA2E36" w14:textId="77777777" w:rsidR="00517C12" w:rsidRPr="003A2BCA" w:rsidRDefault="00517C12" w:rsidP="003649E0">
      <w:pPr>
        <w:tabs>
          <w:tab w:val="left" w:pos="567"/>
        </w:tabs>
        <w:spacing w:after="0"/>
        <w:rPr>
          <w:rFonts w:asciiTheme="majorHAnsi" w:eastAsia="Times New Roman" w:hAnsiTheme="majorHAnsi" w:cs="Times New Roman"/>
          <w:lang w:val="en-GB"/>
        </w:rPr>
      </w:pPr>
    </w:p>
    <w:p w14:paraId="0D5CAFBD" w14:textId="77777777" w:rsidR="001A3992" w:rsidRPr="003A2BCA" w:rsidRDefault="001A3992" w:rsidP="003A2BCA">
      <w:pPr>
        <w:pStyle w:val="Heading2"/>
        <w:spacing w:before="0" w:after="120"/>
      </w:pPr>
      <w:r w:rsidRPr="003A2BCA">
        <w:t>Contraindications</w:t>
      </w:r>
    </w:p>
    <w:p w14:paraId="575CE88C" w14:textId="0E5B0DA5" w:rsidR="00517C12" w:rsidRPr="003A2BCA" w:rsidRDefault="00517C12"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lastRenderedPageBreak/>
        <w:t xml:space="preserve">Hypersensitivity to the active substance or to any of the excipients listed in </w:t>
      </w:r>
      <w:r w:rsidR="00801DC4" w:rsidRPr="003A2BCA">
        <w:rPr>
          <w:rFonts w:asciiTheme="majorHAnsi" w:eastAsia="Times New Roman" w:hAnsiTheme="majorHAnsi" w:cs="Times New Roman"/>
          <w:lang w:val="en-GB"/>
        </w:rPr>
        <w:t>S</w:t>
      </w:r>
      <w:r w:rsidRPr="003A2BCA">
        <w:rPr>
          <w:rFonts w:asciiTheme="majorHAnsi" w:eastAsia="Times New Roman" w:hAnsiTheme="majorHAnsi" w:cs="Times New Roman"/>
          <w:lang w:val="en-GB"/>
        </w:rPr>
        <w:t>ection 6.1</w:t>
      </w:r>
      <w:r w:rsidR="00801DC4" w:rsidRPr="003A2BCA">
        <w:rPr>
          <w:rFonts w:asciiTheme="majorHAnsi" w:eastAsia="Times New Roman" w:hAnsiTheme="majorHAnsi" w:cs="Times New Roman"/>
          <w:lang w:val="en-GB"/>
        </w:rPr>
        <w:t xml:space="preserve"> List of excipients</w:t>
      </w:r>
      <w:r w:rsidRPr="003A2BCA">
        <w:rPr>
          <w:rFonts w:asciiTheme="majorHAnsi" w:eastAsia="Times New Roman" w:hAnsiTheme="majorHAnsi" w:cs="Times New Roman"/>
          <w:lang w:val="en-GB"/>
        </w:rPr>
        <w:t>.</w:t>
      </w:r>
    </w:p>
    <w:p w14:paraId="37CEA653" w14:textId="77777777" w:rsidR="001A3992" w:rsidRPr="003A2BCA" w:rsidRDefault="00E74A56" w:rsidP="003A2BCA">
      <w:pPr>
        <w:pStyle w:val="Heading2"/>
        <w:spacing w:before="0" w:after="120"/>
      </w:pPr>
      <w:r>
        <w:t>Special warnings and p</w:t>
      </w:r>
      <w:r w:rsidR="001A3992">
        <w:t xml:space="preserve">recautions </w:t>
      </w:r>
      <w:r>
        <w:t>for use</w:t>
      </w:r>
    </w:p>
    <w:p w14:paraId="50BAB463" w14:textId="559226DE" w:rsidR="0060718D" w:rsidRPr="003A2BCA" w:rsidRDefault="0060718D" w:rsidP="003A2BCA">
      <w:pPr>
        <w:rPr>
          <w:rFonts w:asciiTheme="majorHAnsi" w:eastAsia="Times New Roman" w:hAnsiTheme="majorHAnsi" w:cs="Times New Roman"/>
          <w:u w:val="single"/>
          <w:lang w:val="en-GB"/>
        </w:rPr>
      </w:pPr>
      <w:r w:rsidRPr="003A2BCA">
        <w:rPr>
          <w:rFonts w:asciiTheme="majorHAnsi" w:eastAsia="Times New Roman" w:hAnsiTheme="majorHAnsi" w:cs="Times New Roman"/>
          <w:u w:val="single"/>
          <w:lang w:val="en-GB"/>
        </w:rPr>
        <w:t>Hypersensitivity including anaphylaxis</w:t>
      </w:r>
    </w:p>
    <w:p w14:paraId="5B336543" w14:textId="28EC5676" w:rsidR="0060718D" w:rsidRPr="003649E0" w:rsidRDefault="0060718D" w:rsidP="003A2BCA">
      <w:pPr>
        <w:rPr>
          <w:rFonts w:asciiTheme="majorHAnsi" w:eastAsia="Times New Roman" w:hAnsiTheme="majorHAnsi" w:cs="Times New Roman"/>
          <w:lang w:val="en-GB"/>
        </w:rPr>
      </w:pPr>
      <w:r w:rsidRPr="003649E0">
        <w:rPr>
          <w:rFonts w:asciiTheme="majorHAnsi" w:eastAsia="Times New Roman" w:hAnsiTheme="majorHAnsi" w:cs="Times New Roman"/>
          <w:lang w:val="en-GB"/>
        </w:rPr>
        <w:t xml:space="preserve">Hypersensitivity reactions including anaphylaxis have been observed (see </w:t>
      </w:r>
      <w:r w:rsidRPr="003A2BCA">
        <w:rPr>
          <w:rFonts w:asciiTheme="majorHAnsi" w:eastAsia="Times New Roman" w:hAnsiTheme="majorHAnsi" w:cs="Times New Roman"/>
          <w:lang w:val="en-GB"/>
        </w:rPr>
        <w:t>S</w:t>
      </w:r>
      <w:r w:rsidRPr="003649E0">
        <w:rPr>
          <w:rFonts w:asciiTheme="majorHAnsi" w:eastAsia="Times New Roman" w:hAnsiTheme="majorHAnsi" w:cs="Times New Roman"/>
          <w:lang w:val="en-GB"/>
        </w:rPr>
        <w:t>ection 4.8</w:t>
      </w:r>
      <w:r w:rsidRPr="003A2BCA">
        <w:rPr>
          <w:rFonts w:asciiTheme="majorHAnsi" w:eastAsia="Times New Roman" w:hAnsiTheme="majorHAnsi" w:cs="Times New Roman"/>
          <w:lang w:val="en-GB"/>
        </w:rPr>
        <w:t xml:space="preserve"> Adverse effects (undesirable effects))</w:t>
      </w:r>
      <w:r w:rsidRPr="003649E0">
        <w:rPr>
          <w:rFonts w:asciiTheme="majorHAnsi" w:eastAsia="Times New Roman" w:hAnsiTheme="majorHAnsi" w:cs="Times New Roman"/>
          <w:lang w:val="en-GB"/>
        </w:rPr>
        <w:t>. In case of a severe hypersensitivity reaction, administration of donidalorsen must be stopped immediately and appropriate treatment must be initiated.</w:t>
      </w:r>
    </w:p>
    <w:p w14:paraId="7F18F8FE" w14:textId="5DC0AF07" w:rsidR="0060718D" w:rsidRPr="003649E0" w:rsidRDefault="0060718D" w:rsidP="003A2BCA">
      <w:pPr>
        <w:rPr>
          <w:rFonts w:asciiTheme="majorHAnsi" w:eastAsia="Times New Roman" w:hAnsiTheme="majorHAnsi" w:cs="Times New Roman"/>
          <w:lang w:val="en-GB"/>
        </w:rPr>
      </w:pPr>
      <w:r w:rsidRPr="003649E0">
        <w:rPr>
          <w:rFonts w:asciiTheme="majorHAnsi" w:eastAsia="Times New Roman" w:hAnsiTheme="majorHAnsi" w:cs="Times New Roman"/>
          <w:lang w:val="en-GB"/>
        </w:rPr>
        <w:t>Patients must be advised on the signs and symptoms of hypersensitivity reactions and instructed to promptly seek medical attention and to discontinue use of donidalorsen if serious hypersensitivity reactions occur.</w:t>
      </w:r>
    </w:p>
    <w:p w14:paraId="46F31D36" w14:textId="01B67BDE" w:rsidR="00517C12" w:rsidRPr="003A2BCA" w:rsidRDefault="00517C12" w:rsidP="003A2BCA">
      <w:pPr>
        <w:rPr>
          <w:rFonts w:asciiTheme="majorHAnsi" w:eastAsia="Times New Roman" w:hAnsiTheme="majorHAnsi" w:cs="Times New Roman"/>
          <w:u w:val="single"/>
          <w:lang w:val="en-GB"/>
        </w:rPr>
      </w:pPr>
      <w:r w:rsidRPr="619405FB">
        <w:rPr>
          <w:rFonts w:asciiTheme="majorHAnsi" w:eastAsia="Times New Roman" w:hAnsiTheme="majorHAnsi" w:cs="Times New Roman"/>
          <w:u w:val="single"/>
          <w:lang w:val="en-GB"/>
        </w:rPr>
        <w:t>Sodium</w:t>
      </w:r>
    </w:p>
    <w:p w14:paraId="0AA6E20C" w14:textId="7BC7396E" w:rsidR="00517C12" w:rsidRPr="003A2BCA" w:rsidRDefault="00517C12"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This medicinal product contains less than 1 mmol sodium (23 mg) per dose.</w:t>
      </w:r>
    </w:p>
    <w:p w14:paraId="4E33CDCC" w14:textId="53677B5C" w:rsidR="004D21DC" w:rsidRPr="003A2BCA" w:rsidRDefault="004D21DC" w:rsidP="003A2BCA">
      <w:pPr>
        <w:pStyle w:val="Heading3"/>
        <w:spacing w:before="0" w:after="120"/>
        <w:ind w:left="0"/>
      </w:pPr>
      <w:r w:rsidRPr="003A2BCA">
        <w:t xml:space="preserve">Use in hepatic impairment </w:t>
      </w:r>
    </w:p>
    <w:p w14:paraId="75FBE815" w14:textId="14776D68" w:rsidR="004D21DC" w:rsidRPr="003A2BCA" w:rsidRDefault="004D21DC"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No dose adjustment of </w:t>
      </w:r>
      <w:r w:rsidR="00D677F1" w:rsidRPr="003A2BCA">
        <w:rPr>
          <w:rFonts w:asciiTheme="majorHAnsi" w:eastAsia="Times New Roman" w:hAnsiTheme="majorHAnsi" w:cs="Times New Roman"/>
          <w:lang w:val="en-GB"/>
        </w:rPr>
        <w:t>ZIRDAWNY</w:t>
      </w:r>
      <w:r w:rsidRPr="003A2BCA">
        <w:rPr>
          <w:rFonts w:asciiTheme="majorHAnsi" w:eastAsia="Times New Roman" w:hAnsiTheme="majorHAnsi" w:cs="Times New Roman"/>
          <w:lang w:val="en-GB"/>
        </w:rPr>
        <w:t xml:space="preserve"> is required for patients with mild hepatic impairment (see </w:t>
      </w:r>
      <w:r w:rsidR="00801DC4" w:rsidRPr="003A2BCA">
        <w:rPr>
          <w:rFonts w:asciiTheme="majorHAnsi" w:eastAsia="Times New Roman" w:hAnsiTheme="majorHAnsi" w:cs="Times New Roman"/>
          <w:lang w:val="en-GB"/>
        </w:rPr>
        <w:t>S</w:t>
      </w:r>
      <w:r w:rsidRPr="003A2BCA">
        <w:rPr>
          <w:rFonts w:asciiTheme="majorHAnsi" w:eastAsia="Times New Roman" w:hAnsiTheme="majorHAnsi" w:cs="Times New Roman"/>
          <w:lang w:val="en-GB"/>
        </w:rPr>
        <w:t>ection 5.2</w:t>
      </w:r>
      <w:r w:rsidR="00801DC4" w:rsidRPr="003A2BCA">
        <w:rPr>
          <w:rFonts w:asciiTheme="majorHAnsi" w:eastAsia="Times New Roman" w:hAnsiTheme="majorHAnsi" w:cs="Times New Roman"/>
          <w:lang w:val="en-GB"/>
        </w:rPr>
        <w:t xml:space="preserve"> Pharmacokinetic properties</w:t>
      </w:r>
      <w:r w:rsidRPr="003A2BCA">
        <w:rPr>
          <w:rFonts w:asciiTheme="majorHAnsi" w:eastAsia="Times New Roman" w:hAnsiTheme="majorHAnsi" w:cs="Times New Roman"/>
          <w:lang w:val="en-GB"/>
        </w:rPr>
        <w:t>).</w:t>
      </w:r>
    </w:p>
    <w:p w14:paraId="5C035A0C" w14:textId="44ACD824" w:rsidR="004D21DC" w:rsidRPr="003A2BCA" w:rsidRDefault="00D677F1"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ZIRDAWNY</w:t>
      </w:r>
      <w:r w:rsidR="004D21DC" w:rsidRPr="003A2BCA">
        <w:rPr>
          <w:rFonts w:asciiTheme="majorHAnsi" w:eastAsia="Times New Roman" w:hAnsiTheme="majorHAnsi" w:cs="Times New Roman"/>
          <w:lang w:val="en-GB"/>
        </w:rPr>
        <w:t xml:space="preserve"> has not been studied in patients with moderate or severe hepatic impairment.</w:t>
      </w:r>
    </w:p>
    <w:p w14:paraId="209F08B2" w14:textId="77777777" w:rsidR="004D21DC" w:rsidRPr="003A2BCA" w:rsidRDefault="004D21DC" w:rsidP="003A2BCA">
      <w:pPr>
        <w:pStyle w:val="Heading3"/>
        <w:spacing w:before="0" w:after="120"/>
        <w:ind w:left="0"/>
      </w:pPr>
      <w:r w:rsidRPr="003A2BCA">
        <w:t xml:space="preserve">Use in renal impairment </w:t>
      </w:r>
    </w:p>
    <w:p w14:paraId="7EECB6D8" w14:textId="35ECC11C" w:rsidR="004D21DC" w:rsidRPr="003A2BCA" w:rsidRDefault="004D21DC"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No dose adjustment of </w:t>
      </w:r>
      <w:r w:rsidR="00D677F1" w:rsidRPr="003A2BCA">
        <w:rPr>
          <w:rFonts w:asciiTheme="majorHAnsi" w:eastAsia="Times New Roman" w:hAnsiTheme="majorHAnsi" w:cs="Times New Roman"/>
          <w:lang w:val="en-GB"/>
        </w:rPr>
        <w:t>ZIRDAWNY</w:t>
      </w:r>
      <w:r w:rsidRPr="003A2BCA">
        <w:rPr>
          <w:rFonts w:asciiTheme="majorHAnsi" w:eastAsia="Times New Roman" w:hAnsiTheme="majorHAnsi" w:cs="Times New Roman"/>
          <w:lang w:val="en-GB"/>
        </w:rPr>
        <w:t xml:space="preserve"> is required for patients with mild renal impairment</w:t>
      </w:r>
      <w:r w:rsidR="00F471FA" w:rsidRPr="003A2BCA">
        <w:rPr>
          <w:rFonts w:asciiTheme="majorHAnsi" w:eastAsia="Times New Roman" w:hAnsiTheme="majorHAnsi" w:cs="Times New Roman"/>
          <w:lang w:val="en-GB"/>
        </w:rPr>
        <w:t xml:space="preserve"> </w:t>
      </w:r>
      <w:r w:rsidR="007009C1" w:rsidRPr="003A2BCA">
        <w:rPr>
          <w:rFonts w:asciiTheme="majorHAnsi" w:hAnsiTheme="majorHAnsi"/>
          <w:lang w:val="en-US"/>
        </w:rPr>
        <w:t>(eGFR ≥60 to &lt;90 mL/min/1.73 m</w:t>
      </w:r>
      <w:r w:rsidR="007009C1" w:rsidRPr="003A2BCA">
        <w:rPr>
          <w:rFonts w:asciiTheme="majorHAnsi" w:hAnsiTheme="majorHAnsi"/>
          <w:vertAlign w:val="superscript"/>
          <w:lang w:val="en-US"/>
        </w:rPr>
        <w:t>2</w:t>
      </w:r>
      <w:r w:rsidR="007009C1" w:rsidRPr="003A2BCA">
        <w:rPr>
          <w:rFonts w:asciiTheme="majorHAnsi" w:hAnsiTheme="majorHAnsi"/>
          <w:lang w:val="en-US"/>
        </w:rPr>
        <w:t>)</w:t>
      </w:r>
      <w:r w:rsidR="007009C1" w:rsidRPr="003A2BCA">
        <w:rPr>
          <w:rFonts w:asciiTheme="majorHAnsi" w:eastAsia="Times New Roman" w:hAnsiTheme="majorHAnsi" w:cs="Times New Roman"/>
          <w:lang w:val="en-GB"/>
        </w:rPr>
        <w:t>.</w:t>
      </w:r>
    </w:p>
    <w:p w14:paraId="5A2F7D1F" w14:textId="56B91574" w:rsidR="004D21DC" w:rsidRPr="003A2BCA" w:rsidRDefault="00D677F1"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ZIRDAWNY</w:t>
      </w:r>
      <w:r w:rsidR="004D21DC" w:rsidRPr="003A2BCA">
        <w:rPr>
          <w:rFonts w:asciiTheme="majorHAnsi" w:eastAsia="Times New Roman" w:hAnsiTheme="majorHAnsi" w:cs="Times New Roman"/>
          <w:lang w:val="en-GB"/>
        </w:rPr>
        <w:t xml:space="preserve"> has not been studied in patients with moderate or severe renal impairment or end stage renal disease.</w:t>
      </w:r>
    </w:p>
    <w:p w14:paraId="29755584" w14:textId="77777777" w:rsidR="008A6AFF" w:rsidRPr="003A2BCA" w:rsidRDefault="008A6AFF" w:rsidP="003A2BCA">
      <w:pPr>
        <w:rPr>
          <w:rFonts w:asciiTheme="majorHAnsi" w:eastAsiaTheme="majorEastAsia" w:hAnsiTheme="majorHAnsi" w:cstheme="majorBidi"/>
          <w:b/>
          <w:bCs/>
        </w:rPr>
      </w:pPr>
      <w:r w:rsidRPr="003A2BCA">
        <w:rPr>
          <w:rFonts w:asciiTheme="majorHAnsi" w:eastAsiaTheme="majorEastAsia" w:hAnsiTheme="majorHAnsi" w:cstheme="majorBidi"/>
          <w:b/>
          <w:bCs/>
        </w:rPr>
        <w:t>Use in the elderly</w:t>
      </w:r>
    </w:p>
    <w:p w14:paraId="155E6247" w14:textId="38D9B2F2" w:rsidR="008A6AFF" w:rsidRPr="003A2BCA" w:rsidRDefault="008A6AFF"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No dose adjustment is required for patients above 65 years of age (see </w:t>
      </w:r>
      <w:r w:rsidR="00801DC4" w:rsidRPr="003A2BCA">
        <w:rPr>
          <w:rFonts w:asciiTheme="majorHAnsi" w:eastAsia="Times New Roman" w:hAnsiTheme="majorHAnsi" w:cs="Times New Roman"/>
          <w:lang w:val="en-GB"/>
        </w:rPr>
        <w:t>S</w:t>
      </w:r>
      <w:r w:rsidRPr="003A2BCA">
        <w:rPr>
          <w:rFonts w:asciiTheme="majorHAnsi" w:eastAsia="Times New Roman" w:hAnsiTheme="majorHAnsi" w:cs="Times New Roman"/>
          <w:lang w:val="en-GB"/>
        </w:rPr>
        <w:t>ection 5.2</w:t>
      </w:r>
      <w:r w:rsidR="00801DC4" w:rsidRPr="003A2BCA">
        <w:rPr>
          <w:rFonts w:asciiTheme="majorHAnsi" w:eastAsia="Times New Roman" w:hAnsiTheme="majorHAnsi" w:cs="Times New Roman"/>
          <w:lang w:val="en-GB"/>
        </w:rPr>
        <w:t xml:space="preserve"> Pharmacokinetic properties</w:t>
      </w:r>
      <w:r w:rsidRPr="003A2BCA">
        <w:rPr>
          <w:rFonts w:asciiTheme="majorHAnsi" w:eastAsia="Times New Roman" w:hAnsiTheme="majorHAnsi" w:cs="Times New Roman"/>
          <w:lang w:val="en-GB"/>
        </w:rPr>
        <w:t>).</w:t>
      </w:r>
    </w:p>
    <w:p w14:paraId="5BAD4B06" w14:textId="081ED9A9" w:rsidR="004D21DC" w:rsidRPr="003A2BCA" w:rsidRDefault="004D21DC" w:rsidP="003A2BCA">
      <w:pPr>
        <w:pStyle w:val="Heading3"/>
        <w:spacing w:before="0" w:after="120"/>
        <w:ind w:left="0"/>
      </w:pPr>
      <w:r w:rsidRPr="003A2BCA">
        <w:t>Paediatric use</w:t>
      </w:r>
    </w:p>
    <w:p w14:paraId="2A25C723" w14:textId="12B2C9A1" w:rsidR="004D21DC" w:rsidRPr="003A2BCA" w:rsidRDefault="004D21DC"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The </w:t>
      </w:r>
      <w:r w:rsidR="00D42064" w:rsidRPr="003A2BCA">
        <w:rPr>
          <w:rFonts w:asciiTheme="majorHAnsi" w:eastAsia="Times New Roman" w:hAnsiTheme="majorHAnsi" w:cs="Times New Roman"/>
          <w:lang w:val="en-GB"/>
        </w:rPr>
        <w:t>dosage</w:t>
      </w:r>
      <w:r w:rsidRPr="003A2BCA">
        <w:rPr>
          <w:rFonts w:asciiTheme="majorHAnsi" w:eastAsia="Times New Roman" w:hAnsiTheme="majorHAnsi" w:cs="Times New Roman"/>
          <w:lang w:val="en-GB"/>
        </w:rPr>
        <w:t xml:space="preserve"> is the same in adults and adolescents.</w:t>
      </w:r>
    </w:p>
    <w:p w14:paraId="077963AC" w14:textId="1578EB85" w:rsidR="004D21DC" w:rsidRPr="003A2BCA" w:rsidRDefault="004D21DC" w:rsidP="003A2BCA">
      <w:pPr>
        <w:rPr>
          <w:rFonts w:asciiTheme="majorHAnsi" w:eastAsia="Times New Roman" w:hAnsiTheme="majorHAnsi" w:cs="Times New Roman"/>
          <w:lang w:val="en-GB"/>
        </w:rPr>
      </w:pPr>
      <w:r w:rsidRPr="003A2BCA">
        <w:rPr>
          <w:rFonts w:asciiTheme="majorHAnsi" w:eastAsia="Times New Roman" w:hAnsiTheme="majorHAnsi" w:cs="Times New Roman"/>
          <w:lang w:val="en-GB"/>
        </w:rPr>
        <w:t xml:space="preserve">The safety and efficacy of </w:t>
      </w:r>
      <w:r w:rsidR="00D677F1" w:rsidRPr="003A2BCA">
        <w:rPr>
          <w:rFonts w:asciiTheme="majorHAnsi" w:eastAsia="Times New Roman" w:hAnsiTheme="majorHAnsi" w:cs="Times New Roman"/>
          <w:lang w:val="en-GB"/>
        </w:rPr>
        <w:t>ZIRDAWNY</w:t>
      </w:r>
      <w:r w:rsidRPr="003A2BCA">
        <w:rPr>
          <w:rFonts w:asciiTheme="majorHAnsi" w:eastAsia="Times New Roman" w:hAnsiTheme="majorHAnsi" w:cs="Times New Roman"/>
          <w:lang w:val="en-GB"/>
        </w:rPr>
        <w:t xml:space="preserve"> in children aged &lt; 12 years have not yet been established. No data are available.</w:t>
      </w:r>
    </w:p>
    <w:p w14:paraId="64B1D6C8" w14:textId="77777777" w:rsidR="001A3992" w:rsidRPr="003A2BCA" w:rsidRDefault="001A3992" w:rsidP="003A2BCA">
      <w:pPr>
        <w:pStyle w:val="Heading2"/>
        <w:keepNext/>
        <w:keepLines/>
        <w:spacing w:before="0" w:after="120"/>
      </w:pPr>
      <w:r w:rsidRPr="003A2BCA">
        <w:t>Interactions with other medicines and other forms of interactions</w:t>
      </w:r>
    </w:p>
    <w:p w14:paraId="6BCE2276" w14:textId="2DBF475A" w:rsidR="00517C12" w:rsidRPr="003A2BCA" w:rsidRDefault="00517C12"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No clinical drug-drug interaction studies have been performed with</w:t>
      </w:r>
      <w:r w:rsidR="0018425B" w:rsidRPr="003A2BCA">
        <w:rPr>
          <w:rFonts w:asciiTheme="majorHAnsi" w:eastAsia="Times New Roman" w:hAnsiTheme="majorHAnsi" w:cs="Times New Roman"/>
          <w:noProof/>
          <w:lang w:val="en-GB"/>
        </w:rPr>
        <w:t xml:space="preserve"> donid</w:t>
      </w:r>
      <w:r w:rsidR="00F31B8E" w:rsidRPr="003A2BCA">
        <w:rPr>
          <w:rFonts w:asciiTheme="majorHAnsi" w:eastAsia="Times New Roman" w:hAnsiTheme="majorHAnsi" w:cs="Times New Roman"/>
          <w:noProof/>
          <w:lang w:val="en-GB"/>
        </w:rPr>
        <w:t>a</w:t>
      </w:r>
      <w:r w:rsidR="0018425B" w:rsidRPr="003A2BCA">
        <w:rPr>
          <w:rFonts w:asciiTheme="majorHAnsi" w:eastAsia="Times New Roman" w:hAnsiTheme="majorHAnsi" w:cs="Times New Roman"/>
          <w:noProof/>
          <w:lang w:val="en-GB"/>
        </w:rPr>
        <w:t>l</w:t>
      </w:r>
      <w:r w:rsidR="00F31B8E" w:rsidRPr="003A2BCA">
        <w:rPr>
          <w:rFonts w:asciiTheme="majorHAnsi" w:eastAsia="Times New Roman" w:hAnsiTheme="majorHAnsi" w:cs="Times New Roman"/>
          <w:noProof/>
          <w:lang w:val="en-GB"/>
        </w:rPr>
        <w:t>o</w:t>
      </w:r>
      <w:r w:rsidR="0018425B" w:rsidRPr="003A2BCA">
        <w:rPr>
          <w:rFonts w:asciiTheme="majorHAnsi" w:eastAsia="Times New Roman" w:hAnsiTheme="majorHAnsi" w:cs="Times New Roman"/>
          <w:noProof/>
          <w:lang w:val="en-GB"/>
        </w:rPr>
        <w:t>rsen</w:t>
      </w:r>
      <w:r w:rsidRPr="003A2BCA">
        <w:rPr>
          <w:rFonts w:asciiTheme="majorHAnsi" w:eastAsia="Times New Roman" w:hAnsiTheme="majorHAnsi" w:cs="Times New Roman"/>
          <w:noProof/>
          <w:lang w:val="en-GB"/>
        </w:rPr>
        <w:t xml:space="preserve">. </w:t>
      </w:r>
      <w:r w:rsidRPr="003A2BCA">
        <w:rPr>
          <w:rFonts w:asciiTheme="majorHAnsi" w:eastAsia="Times New Roman" w:hAnsiTheme="majorHAnsi" w:cs="Times New Roman"/>
          <w:i/>
          <w:iCs/>
          <w:noProof/>
          <w:lang w:val="en-GB"/>
        </w:rPr>
        <w:t>In vitro</w:t>
      </w:r>
      <w:r w:rsidRPr="003A2BCA">
        <w:rPr>
          <w:rFonts w:asciiTheme="majorHAnsi" w:eastAsia="Times New Roman" w:hAnsiTheme="majorHAnsi" w:cs="Times New Roman"/>
          <w:noProof/>
          <w:lang w:val="en-GB"/>
        </w:rPr>
        <w:t xml:space="preserve"> studies show that </w:t>
      </w:r>
      <w:r w:rsidR="001E35E5" w:rsidRPr="003A2BCA">
        <w:rPr>
          <w:rFonts w:asciiTheme="majorHAnsi" w:eastAsia="Times New Roman" w:hAnsiTheme="majorHAnsi" w:cs="Times New Roman"/>
          <w:noProof/>
          <w:lang w:val="en-GB"/>
        </w:rPr>
        <w:t xml:space="preserve">donidalorsen </w:t>
      </w:r>
      <w:r w:rsidRPr="003A2BCA">
        <w:rPr>
          <w:rFonts w:asciiTheme="majorHAnsi" w:eastAsia="Times New Roman" w:hAnsiTheme="majorHAnsi" w:cs="Times New Roman"/>
          <w:noProof/>
          <w:lang w:val="en-GB"/>
        </w:rPr>
        <w:t xml:space="preserve">is not a substrate or inhibitor of </w:t>
      </w:r>
      <w:r w:rsidR="005160EA">
        <w:rPr>
          <w:rFonts w:asciiTheme="majorHAnsi" w:eastAsia="Times New Roman" w:hAnsiTheme="majorHAnsi" w:cs="Times New Roman"/>
          <w:noProof/>
          <w:lang w:val="en-GB"/>
        </w:rPr>
        <w:t xml:space="preserve">common drug </w:t>
      </w:r>
      <w:r w:rsidRPr="003A2BCA">
        <w:rPr>
          <w:rFonts w:asciiTheme="majorHAnsi" w:eastAsia="Times New Roman" w:hAnsiTheme="majorHAnsi" w:cs="Times New Roman"/>
          <w:noProof/>
          <w:lang w:val="en-GB"/>
        </w:rPr>
        <w:t>transporters</w:t>
      </w:r>
      <w:r w:rsidR="005160EA">
        <w:rPr>
          <w:rFonts w:asciiTheme="majorHAnsi" w:eastAsia="Times New Roman" w:hAnsiTheme="majorHAnsi" w:cs="Times New Roman"/>
          <w:noProof/>
          <w:lang w:val="en-GB"/>
        </w:rPr>
        <w:t xml:space="preserve"> </w:t>
      </w:r>
      <w:r w:rsidR="005160EA" w:rsidRPr="005160EA">
        <w:rPr>
          <w:rFonts w:asciiTheme="majorHAnsi" w:eastAsia="Times New Roman" w:hAnsiTheme="majorHAnsi" w:cs="Times New Roman"/>
          <w:noProof/>
          <w:lang w:val="en-GB"/>
        </w:rPr>
        <w:t>(OAT1, OAT3, OCT1, OCT2, OATP1B1, OATP1B3, MATE1, MATE2-K, BCRP, P-gp and BSEP), or</w:t>
      </w:r>
      <w:r w:rsidRPr="003A2BCA">
        <w:rPr>
          <w:rFonts w:asciiTheme="majorHAnsi" w:eastAsia="Times New Roman" w:hAnsiTheme="majorHAnsi" w:cs="Times New Roman"/>
          <w:noProof/>
          <w:lang w:val="en-GB"/>
        </w:rPr>
        <w:t>,  cytochrome P450 (CYP) enzymes</w:t>
      </w:r>
      <w:r w:rsidR="005160EA">
        <w:rPr>
          <w:rFonts w:asciiTheme="majorHAnsi" w:eastAsia="Times New Roman" w:hAnsiTheme="majorHAnsi" w:cs="Times New Roman"/>
          <w:noProof/>
          <w:lang w:val="en-GB"/>
        </w:rPr>
        <w:t xml:space="preserve"> </w:t>
      </w:r>
      <w:r w:rsidR="005160EA" w:rsidRPr="005160EA">
        <w:rPr>
          <w:rFonts w:asciiTheme="majorHAnsi" w:eastAsia="Times New Roman" w:hAnsiTheme="majorHAnsi" w:cs="Times New Roman"/>
          <w:noProof/>
          <w:lang w:val="en-GB"/>
        </w:rPr>
        <w:t>(CYP1A2, CYP2B6, CYP2C8, CYP2C9, CYP2C19, CYP2D6, CYP2E1 and CYP3A4)</w:t>
      </w:r>
      <w:r w:rsidRPr="003A2BCA">
        <w:rPr>
          <w:rFonts w:asciiTheme="majorHAnsi" w:eastAsia="Times New Roman" w:hAnsiTheme="majorHAnsi" w:cs="Times New Roman"/>
          <w:noProof/>
          <w:lang w:val="en-GB"/>
        </w:rPr>
        <w:t xml:space="preserve">. </w:t>
      </w:r>
      <w:r w:rsidR="005160EA" w:rsidRPr="005160EA">
        <w:rPr>
          <w:rFonts w:asciiTheme="majorHAnsi" w:eastAsia="Times New Roman" w:hAnsiTheme="majorHAnsi" w:cs="Times New Roman"/>
          <w:noProof/>
          <w:lang w:val="en-GB"/>
        </w:rPr>
        <w:t xml:space="preserve">It does not induce the expression of CYP1A2, CYP2B6 and CYP3A4 </w:t>
      </w:r>
      <w:r w:rsidR="005160EA" w:rsidRPr="00365053">
        <w:rPr>
          <w:rFonts w:asciiTheme="majorHAnsi" w:eastAsia="Times New Roman" w:hAnsiTheme="majorHAnsi" w:cs="Times New Roman"/>
          <w:i/>
          <w:iCs/>
          <w:noProof/>
          <w:lang w:val="en-GB"/>
        </w:rPr>
        <w:t xml:space="preserve">in </w:t>
      </w:r>
      <w:r w:rsidR="005160EA" w:rsidRPr="00365053">
        <w:rPr>
          <w:rFonts w:asciiTheme="majorHAnsi" w:eastAsia="Times New Roman" w:hAnsiTheme="majorHAnsi" w:cs="Times New Roman"/>
          <w:i/>
          <w:iCs/>
          <w:noProof/>
          <w:lang w:val="en-GB"/>
        </w:rPr>
        <w:lastRenderedPageBreak/>
        <w:t>vitro</w:t>
      </w:r>
      <w:r w:rsidR="005160EA" w:rsidRPr="005160EA">
        <w:rPr>
          <w:rFonts w:asciiTheme="majorHAnsi" w:eastAsia="Times New Roman" w:hAnsiTheme="majorHAnsi" w:cs="Times New Roman"/>
          <w:noProof/>
          <w:lang w:val="en-GB"/>
        </w:rPr>
        <w:t xml:space="preserve">. Donidalorsen exhibits high human plasma protein binding. An </w:t>
      </w:r>
      <w:r w:rsidR="005160EA" w:rsidRPr="00365053">
        <w:rPr>
          <w:rFonts w:asciiTheme="majorHAnsi" w:eastAsia="Times New Roman" w:hAnsiTheme="majorHAnsi" w:cs="Times New Roman"/>
          <w:i/>
          <w:iCs/>
          <w:noProof/>
          <w:lang w:val="en-GB"/>
        </w:rPr>
        <w:t>in vitro</w:t>
      </w:r>
      <w:r w:rsidR="005160EA" w:rsidRPr="005160EA">
        <w:rPr>
          <w:rFonts w:asciiTheme="majorHAnsi" w:eastAsia="Times New Roman" w:hAnsiTheme="majorHAnsi" w:cs="Times New Roman"/>
          <w:noProof/>
          <w:lang w:val="en-GB"/>
        </w:rPr>
        <w:t xml:space="preserve"> study showed that no interactions with respect to protein binding were seen with warfarin and ibuprofen, which both bind extensively to plasma proteins.</w:t>
      </w:r>
      <w:r w:rsidR="005160EA">
        <w:rPr>
          <w:rFonts w:asciiTheme="majorHAnsi" w:eastAsia="Times New Roman" w:hAnsiTheme="majorHAnsi" w:cs="Times New Roman"/>
          <w:noProof/>
          <w:lang w:val="en-GB"/>
        </w:rPr>
        <w:t xml:space="preserve"> </w:t>
      </w:r>
      <w:r w:rsidR="0018425B" w:rsidRPr="003A2BCA">
        <w:rPr>
          <w:rFonts w:asciiTheme="majorHAnsi" w:eastAsia="Times New Roman" w:hAnsiTheme="majorHAnsi" w:cs="Times New Roman"/>
          <w:noProof/>
          <w:lang w:val="en-GB"/>
        </w:rPr>
        <w:t>Donid</w:t>
      </w:r>
      <w:r w:rsidR="00F31B8E" w:rsidRPr="003A2BCA">
        <w:rPr>
          <w:rFonts w:asciiTheme="majorHAnsi" w:eastAsia="Times New Roman" w:hAnsiTheme="majorHAnsi" w:cs="Times New Roman"/>
          <w:noProof/>
          <w:lang w:val="en-GB"/>
        </w:rPr>
        <w:t>a</w:t>
      </w:r>
      <w:r w:rsidR="0018425B" w:rsidRPr="003A2BCA">
        <w:rPr>
          <w:rFonts w:asciiTheme="majorHAnsi" w:eastAsia="Times New Roman" w:hAnsiTheme="majorHAnsi" w:cs="Times New Roman"/>
          <w:noProof/>
          <w:lang w:val="en-GB"/>
        </w:rPr>
        <w:t>l</w:t>
      </w:r>
      <w:r w:rsidR="00F31B8E" w:rsidRPr="003A2BCA">
        <w:rPr>
          <w:rFonts w:asciiTheme="majorHAnsi" w:eastAsia="Times New Roman" w:hAnsiTheme="majorHAnsi" w:cs="Times New Roman"/>
          <w:noProof/>
          <w:lang w:val="en-GB"/>
        </w:rPr>
        <w:t>o</w:t>
      </w:r>
      <w:r w:rsidR="0018425B" w:rsidRPr="003A2BCA">
        <w:rPr>
          <w:rFonts w:asciiTheme="majorHAnsi" w:eastAsia="Times New Roman" w:hAnsiTheme="majorHAnsi" w:cs="Times New Roman"/>
          <w:noProof/>
          <w:lang w:val="en-GB"/>
        </w:rPr>
        <w:t xml:space="preserve">rsen </w:t>
      </w:r>
      <w:r w:rsidRPr="003A2BCA">
        <w:rPr>
          <w:rFonts w:asciiTheme="majorHAnsi" w:eastAsia="Times New Roman" w:hAnsiTheme="majorHAnsi" w:cs="Times New Roman"/>
          <w:noProof/>
          <w:lang w:val="en-GB"/>
        </w:rPr>
        <w:t>is not expected to cause or be affected by drug-drug interactions mediated through drug transporters, plasma protein binding, or CYP enzymes.</w:t>
      </w:r>
    </w:p>
    <w:p w14:paraId="1589A7CD" w14:textId="77777777" w:rsidR="001A3992" w:rsidRPr="003A2BCA" w:rsidRDefault="001A3992" w:rsidP="003A2BCA">
      <w:pPr>
        <w:pStyle w:val="Heading2"/>
        <w:spacing w:before="0" w:after="120"/>
      </w:pPr>
      <w:r w:rsidRPr="003A2BCA">
        <w:t xml:space="preserve">Fertility, pregnancy and lactation </w:t>
      </w:r>
    </w:p>
    <w:p w14:paraId="5D750AEF" w14:textId="77777777" w:rsidR="00517C12" w:rsidRPr="003A2BCA" w:rsidRDefault="00517C12" w:rsidP="003A2BCA">
      <w:pPr>
        <w:pStyle w:val="Heading3"/>
        <w:spacing w:before="0" w:after="120"/>
        <w:ind w:left="0"/>
      </w:pPr>
      <w:r w:rsidRPr="003A2BCA">
        <w:t>Effects on fertility</w:t>
      </w:r>
    </w:p>
    <w:p w14:paraId="062EA496" w14:textId="227FB2BE" w:rsidR="00517C12" w:rsidRPr="003A2BCA" w:rsidRDefault="00517C12"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 xml:space="preserve">No clinical data on the effect of this medicinal product on human fertility are available. </w:t>
      </w:r>
    </w:p>
    <w:p w14:paraId="6DD4814D" w14:textId="17EEA28B" w:rsidR="00416E9E" w:rsidRPr="003A2BCA" w:rsidRDefault="00416E9E" w:rsidP="003649E0">
      <w:pPr>
        <w:rPr>
          <w:rFonts w:asciiTheme="majorHAnsi" w:hAnsiTheme="majorHAnsi"/>
          <w:noProof/>
        </w:rPr>
      </w:pPr>
      <w:r w:rsidRPr="003A2BCA">
        <w:rPr>
          <w:rFonts w:asciiTheme="majorHAnsi" w:hAnsiTheme="majorHAnsi"/>
          <w:noProof/>
        </w:rPr>
        <w:t>Subcutaneous administration of donidalorsen (</w:t>
      </w:r>
      <w:r w:rsidR="00E72E8A">
        <w:rPr>
          <w:rFonts w:asciiTheme="majorHAnsi" w:hAnsiTheme="majorHAnsi"/>
          <w:noProof/>
        </w:rPr>
        <w:t>up to</w:t>
      </w:r>
      <w:r w:rsidRPr="003A2BCA">
        <w:rPr>
          <w:rFonts w:asciiTheme="majorHAnsi" w:hAnsiTheme="majorHAnsi"/>
          <w:noProof/>
        </w:rPr>
        <w:t xml:space="preserve"> 10 mg/kg/week</w:t>
      </w:r>
      <w:r w:rsidR="009E1378">
        <w:rPr>
          <w:rFonts w:asciiTheme="majorHAnsi" w:hAnsiTheme="majorHAnsi"/>
          <w:noProof/>
        </w:rPr>
        <w:t xml:space="preserve">; </w:t>
      </w:r>
      <w:r w:rsidR="009E1378" w:rsidRPr="009E1378">
        <w:rPr>
          <w:rFonts w:asciiTheme="majorHAnsi" w:hAnsiTheme="majorHAnsi"/>
          <w:noProof/>
        </w:rPr>
        <w:t>equivalent to up to 2.</w:t>
      </w:r>
      <w:r w:rsidR="00FB5225">
        <w:rPr>
          <w:rFonts w:asciiTheme="majorHAnsi" w:hAnsiTheme="majorHAnsi"/>
          <w:noProof/>
        </w:rPr>
        <w:t>3</w:t>
      </w:r>
      <w:r w:rsidR="009E1378" w:rsidRPr="009E1378">
        <w:rPr>
          <w:rFonts w:asciiTheme="majorHAnsi" w:hAnsiTheme="majorHAnsi"/>
          <w:noProof/>
        </w:rPr>
        <w:t xml:space="preserve"> times the clinical dose on a body surface area</w:t>
      </w:r>
      <w:r w:rsidRPr="003A2BCA">
        <w:rPr>
          <w:rFonts w:asciiTheme="majorHAnsi" w:hAnsiTheme="majorHAnsi"/>
          <w:noProof/>
        </w:rPr>
        <w:t xml:space="preserve">) or a </w:t>
      </w:r>
      <w:r w:rsidR="009E1378" w:rsidRPr="009E1378">
        <w:rPr>
          <w:rFonts w:asciiTheme="majorHAnsi" w:hAnsiTheme="majorHAnsi"/>
          <w:noProof/>
        </w:rPr>
        <w:t>pharmacologically</w:t>
      </w:r>
      <w:r w:rsidR="009E1378">
        <w:rPr>
          <w:rFonts w:asciiTheme="majorHAnsi" w:hAnsiTheme="majorHAnsi"/>
          <w:noProof/>
        </w:rPr>
        <w:t xml:space="preserve"> active </w:t>
      </w:r>
      <w:r w:rsidRPr="003A2BCA">
        <w:rPr>
          <w:rFonts w:asciiTheme="majorHAnsi" w:hAnsiTheme="majorHAnsi"/>
          <w:noProof/>
        </w:rPr>
        <w:t>rodent</w:t>
      </w:r>
      <w:r w:rsidR="009E1378">
        <w:rPr>
          <w:rFonts w:asciiTheme="majorHAnsi" w:hAnsiTheme="majorHAnsi"/>
          <w:noProof/>
        </w:rPr>
        <w:t>-s</w:t>
      </w:r>
      <w:r w:rsidR="009E1378" w:rsidRPr="009E1378">
        <w:rPr>
          <w:rFonts w:asciiTheme="majorHAnsi" w:hAnsiTheme="majorHAnsi"/>
          <w:noProof/>
        </w:rPr>
        <w:t>pecific oligonucleotide surrogate</w:t>
      </w:r>
      <w:r w:rsidRPr="003A2BCA">
        <w:rPr>
          <w:rFonts w:asciiTheme="majorHAnsi" w:hAnsiTheme="majorHAnsi"/>
          <w:noProof/>
        </w:rPr>
        <w:t xml:space="preserve"> to male and female mice weekly, prior to and during mating, and continuing every other day in females throughout the period of organogenesis, resulted in no adverse effects on </w:t>
      </w:r>
      <w:r w:rsidR="00FA37E2">
        <w:rPr>
          <w:rFonts w:asciiTheme="majorHAnsi" w:hAnsiTheme="majorHAnsi"/>
          <w:noProof/>
        </w:rPr>
        <w:t xml:space="preserve">functional </w:t>
      </w:r>
      <w:r w:rsidRPr="003A2BCA">
        <w:rPr>
          <w:rFonts w:asciiTheme="majorHAnsi" w:hAnsiTheme="majorHAnsi"/>
          <w:noProof/>
        </w:rPr>
        <w:t>fertility, pregnancy, or embryofetal development.</w:t>
      </w:r>
    </w:p>
    <w:p w14:paraId="59E57062" w14:textId="6BA29E7F" w:rsidR="00517C12" w:rsidRPr="003A2BCA" w:rsidRDefault="00517C12" w:rsidP="003A2BCA">
      <w:pPr>
        <w:pStyle w:val="Heading3"/>
        <w:spacing w:before="0" w:after="120"/>
        <w:ind w:left="0"/>
      </w:pPr>
      <w:r w:rsidRPr="003A2BCA">
        <w:t>Use in pregnancy – Pregnancy Category</w:t>
      </w:r>
      <w:r w:rsidR="00781385" w:rsidRPr="003A2BCA">
        <w:t xml:space="preserve"> </w:t>
      </w:r>
      <w:r w:rsidRPr="003A2BCA">
        <w:t>B1</w:t>
      </w:r>
    </w:p>
    <w:p w14:paraId="089CD049" w14:textId="44809BBD" w:rsidR="00517C12" w:rsidRPr="003A2BCA" w:rsidRDefault="00517C12"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 xml:space="preserve">There are no or limited amount of data (less than 300 pregnancy outcomes) from the use of </w:t>
      </w:r>
      <w:r w:rsidR="00D677F1" w:rsidRPr="003A2BCA">
        <w:rPr>
          <w:rFonts w:asciiTheme="majorHAnsi" w:eastAsia="Times New Roman" w:hAnsiTheme="majorHAnsi" w:cs="Times New Roman"/>
          <w:noProof/>
          <w:lang w:val="en-GB"/>
        </w:rPr>
        <w:t>ZIRDAWNY</w:t>
      </w:r>
      <w:r w:rsidRPr="003A2BCA">
        <w:rPr>
          <w:rFonts w:asciiTheme="majorHAnsi" w:eastAsia="Times New Roman" w:hAnsiTheme="majorHAnsi" w:cs="Times New Roman"/>
          <w:noProof/>
          <w:lang w:val="en-GB"/>
        </w:rPr>
        <w:t xml:space="preserve"> in pregnant women.</w:t>
      </w:r>
    </w:p>
    <w:p w14:paraId="3115AD9F" w14:textId="3AC48980" w:rsidR="00D80203" w:rsidRPr="003A2BCA" w:rsidRDefault="00D80203" w:rsidP="003649E0">
      <w:pPr>
        <w:rPr>
          <w:rFonts w:asciiTheme="majorHAnsi" w:hAnsiTheme="majorHAnsi"/>
          <w:noProof/>
        </w:rPr>
      </w:pPr>
      <w:r w:rsidRPr="003A2BCA">
        <w:rPr>
          <w:rFonts w:asciiTheme="majorHAnsi" w:hAnsiTheme="majorHAnsi"/>
          <w:noProof/>
        </w:rPr>
        <w:t>Subcutaneous administration of donidalorsen (</w:t>
      </w:r>
      <w:r w:rsidR="00EB1B6B">
        <w:rPr>
          <w:rFonts w:asciiTheme="majorHAnsi" w:hAnsiTheme="majorHAnsi"/>
          <w:noProof/>
        </w:rPr>
        <w:t>up to</w:t>
      </w:r>
      <w:r w:rsidRPr="003A2BCA">
        <w:rPr>
          <w:rFonts w:asciiTheme="majorHAnsi" w:hAnsiTheme="majorHAnsi"/>
          <w:noProof/>
        </w:rPr>
        <w:t xml:space="preserve"> 20 mg/kg/week</w:t>
      </w:r>
      <w:r w:rsidR="00EB1B6B">
        <w:rPr>
          <w:rFonts w:asciiTheme="majorHAnsi" w:hAnsiTheme="majorHAnsi"/>
          <w:noProof/>
        </w:rPr>
        <w:t xml:space="preserve">; </w:t>
      </w:r>
      <w:r w:rsidR="00EB1B6B" w:rsidRPr="00EB1B6B">
        <w:rPr>
          <w:rFonts w:asciiTheme="majorHAnsi" w:hAnsiTheme="majorHAnsi"/>
          <w:noProof/>
        </w:rPr>
        <w:t>equivalent to up to 4.</w:t>
      </w:r>
      <w:r w:rsidR="00FB5225">
        <w:rPr>
          <w:rFonts w:asciiTheme="majorHAnsi" w:hAnsiTheme="majorHAnsi"/>
          <w:noProof/>
        </w:rPr>
        <w:t>5</w:t>
      </w:r>
      <w:r w:rsidR="00EB1B6B" w:rsidRPr="00EB1B6B">
        <w:rPr>
          <w:rFonts w:asciiTheme="majorHAnsi" w:hAnsiTheme="majorHAnsi"/>
          <w:noProof/>
        </w:rPr>
        <w:t xml:space="preserve"> times the clinical dose on a body surface area basis</w:t>
      </w:r>
      <w:r w:rsidRPr="003A2BCA">
        <w:rPr>
          <w:rFonts w:asciiTheme="majorHAnsi" w:hAnsiTheme="majorHAnsi"/>
          <w:noProof/>
        </w:rPr>
        <w:t xml:space="preserve">) or a </w:t>
      </w:r>
      <w:r w:rsidR="00EB1B6B" w:rsidRPr="00EB1B6B">
        <w:rPr>
          <w:rFonts w:asciiTheme="majorHAnsi" w:hAnsiTheme="majorHAnsi"/>
          <w:noProof/>
        </w:rPr>
        <w:t>pharmacologically</w:t>
      </w:r>
      <w:r w:rsidR="00EB1B6B">
        <w:rPr>
          <w:rFonts w:asciiTheme="majorHAnsi" w:hAnsiTheme="majorHAnsi"/>
          <w:noProof/>
        </w:rPr>
        <w:t xml:space="preserve"> active </w:t>
      </w:r>
      <w:r w:rsidRPr="003A2BCA">
        <w:rPr>
          <w:rFonts w:asciiTheme="majorHAnsi" w:hAnsiTheme="majorHAnsi"/>
          <w:noProof/>
        </w:rPr>
        <w:t>rodent</w:t>
      </w:r>
      <w:r w:rsidR="00EB1B6B">
        <w:rPr>
          <w:rFonts w:asciiTheme="majorHAnsi" w:hAnsiTheme="majorHAnsi"/>
          <w:noProof/>
        </w:rPr>
        <w:t>-</w:t>
      </w:r>
      <w:r w:rsidR="00EB1B6B" w:rsidRPr="00EB1B6B">
        <w:rPr>
          <w:rFonts w:asciiTheme="majorHAnsi" w:hAnsiTheme="majorHAnsi"/>
          <w:noProof/>
        </w:rPr>
        <w:t>specific oligonucleotide surrogate</w:t>
      </w:r>
      <w:r w:rsidRPr="003A2BCA">
        <w:rPr>
          <w:rFonts w:asciiTheme="majorHAnsi" w:hAnsiTheme="majorHAnsi"/>
          <w:noProof/>
        </w:rPr>
        <w:t xml:space="preserve"> to mice every other day throughout pregnancy and weekly throughout lactation produced no adverse effects on pre- and postnatal development.</w:t>
      </w:r>
    </w:p>
    <w:p w14:paraId="2F14BF04" w14:textId="14E36BD8" w:rsidR="00517C12" w:rsidRPr="003A2BCA" w:rsidRDefault="00517C12"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 xml:space="preserve">As a precautionary measure, it is preferable to avoid the use of </w:t>
      </w:r>
      <w:r w:rsidR="00D677F1" w:rsidRPr="003A2BCA">
        <w:rPr>
          <w:rFonts w:asciiTheme="majorHAnsi" w:eastAsia="Times New Roman" w:hAnsiTheme="majorHAnsi" w:cs="Times New Roman"/>
          <w:noProof/>
          <w:lang w:val="en-GB"/>
        </w:rPr>
        <w:t>ZIRDAWNY</w:t>
      </w:r>
      <w:r w:rsidRPr="003A2BCA">
        <w:rPr>
          <w:rFonts w:asciiTheme="majorHAnsi" w:eastAsia="Times New Roman" w:hAnsiTheme="majorHAnsi" w:cs="Times New Roman"/>
          <w:noProof/>
          <w:lang w:val="en-GB"/>
        </w:rPr>
        <w:t xml:space="preserve"> during pregnancy.</w:t>
      </w:r>
    </w:p>
    <w:p w14:paraId="0BF4FAC4" w14:textId="77777777" w:rsidR="00517C12" w:rsidRPr="003A2BCA" w:rsidRDefault="00517C12" w:rsidP="003A2BCA">
      <w:pPr>
        <w:pStyle w:val="Heading3"/>
        <w:spacing w:before="0" w:after="120"/>
        <w:ind w:left="0"/>
      </w:pPr>
      <w:r w:rsidRPr="003A2BCA">
        <w:t xml:space="preserve">Use in lactation </w:t>
      </w:r>
    </w:p>
    <w:p w14:paraId="34350822" w14:textId="6821DC6E" w:rsidR="00517C12" w:rsidRPr="003A2BCA" w:rsidRDefault="00517C12"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 xml:space="preserve">Available data in animals have shown excretion of </w:t>
      </w:r>
      <w:r w:rsidR="001E35E5" w:rsidRPr="003A2BCA">
        <w:rPr>
          <w:rFonts w:asciiTheme="majorHAnsi" w:eastAsia="Times New Roman" w:hAnsiTheme="majorHAnsi" w:cs="Times New Roman"/>
          <w:noProof/>
          <w:lang w:val="en-GB"/>
        </w:rPr>
        <w:t>donidalorsen</w:t>
      </w:r>
      <w:r w:rsidRPr="003A2BCA">
        <w:rPr>
          <w:rFonts w:asciiTheme="majorHAnsi" w:eastAsia="Times New Roman" w:hAnsiTheme="majorHAnsi" w:cs="Times New Roman"/>
          <w:noProof/>
          <w:lang w:val="en-GB"/>
        </w:rPr>
        <w:t xml:space="preserve">/metabolites in milk. </w:t>
      </w:r>
      <w:r w:rsidR="00383FDB" w:rsidRPr="00383FDB">
        <w:rPr>
          <w:rFonts w:asciiTheme="majorHAnsi" w:eastAsia="Times New Roman" w:hAnsiTheme="majorHAnsi" w:cs="Times New Roman"/>
          <w:noProof/>
          <w:lang w:val="en-GB"/>
        </w:rPr>
        <w:t>Donidalorsen was quantifiable in the milk of lactating mice; however, levels were low relative to maternal liver levels and minimal systemic exposure in breast-fed pups was expected due to poor oral absorption of oligonucleotides.</w:t>
      </w:r>
    </w:p>
    <w:p w14:paraId="7185D3AB" w14:textId="77777777" w:rsidR="00517C12" w:rsidRPr="003A2BCA" w:rsidRDefault="00517C12"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 xml:space="preserve">A risk to the newborns/infants cannot be excluded. </w:t>
      </w:r>
    </w:p>
    <w:p w14:paraId="361646BA" w14:textId="73ACEA33" w:rsidR="00517C12" w:rsidRPr="003A2BCA" w:rsidRDefault="00517C12"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 xml:space="preserve">A decision must be made whether to discontinue breast-feeding or to discontinue/abstain from </w:t>
      </w:r>
      <w:r w:rsidR="00D677F1" w:rsidRPr="003A2BCA">
        <w:rPr>
          <w:rFonts w:asciiTheme="majorHAnsi" w:eastAsia="Times New Roman" w:hAnsiTheme="majorHAnsi" w:cs="Times New Roman"/>
          <w:noProof/>
          <w:lang w:val="en-GB"/>
        </w:rPr>
        <w:t>ZIRDAWNY</w:t>
      </w:r>
      <w:r w:rsidRPr="003A2BCA">
        <w:rPr>
          <w:rFonts w:asciiTheme="majorHAnsi" w:eastAsia="Times New Roman" w:hAnsiTheme="majorHAnsi" w:cs="Times New Roman"/>
          <w:noProof/>
          <w:lang w:val="en-GB"/>
        </w:rPr>
        <w:t xml:space="preserve"> therapy taking into account the benefit of breast-feeding for the child and the benefit of therapy for the woman.</w:t>
      </w:r>
    </w:p>
    <w:p w14:paraId="538C0323" w14:textId="3201420B" w:rsidR="001A3992" w:rsidRPr="003A2BCA" w:rsidRDefault="001A3992" w:rsidP="003A2BCA">
      <w:pPr>
        <w:pStyle w:val="Heading2"/>
        <w:spacing w:before="0" w:after="120"/>
      </w:pPr>
      <w:r w:rsidRPr="003A2BCA">
        <w:t xml:space="preserve">Effects on ability to drive and use machines </w:t>
      </w:r>
    </w:p>
    <w:p w14:paraId="00EA11DE" w14:textId="4BA1913A" w:rsidR="00517C12" w:rsidRPr="003A2BCA" w:rsidRDefault="00D677F1"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ZIRDAWNY</w:t>
      </w:r>
      <w:r w:rsidR="00517C12" w:rsidRPr="003A2BCA">
        <w:rPr>
          <w:rFonts w:asciiTheme="majorHAnsi" w:eastAsia="Times New Roman" w:hAnsiTheme="majorHAnsi" w:cs="Times New Roman"/>
          <w:noProof/>
          <w:lang w:val="en-GB"/>
        </w:rPr>
        <w:t xml:space="preserve"> has no or negligible influence on the ability to drive and use machines.</w:t>
      </w:r>
    </w:p>
    <w:p w14:paraId="57D9C4AF" w14:textId="77777777" w:rsidR="001A3992" w:rsidRPr="003A2BCA" w:rsidRDefault="001A3992" w:rsidP="003A2BCA">
      <w:pPr>
        <w:pStyle w:val="Heading2"/>
        <w:keepNext/>
        <w:keepLines/>
        <w:spacing w:before="0" w:after="120"/>
      </w:pPr>
      <w:r w:rsidRPr="003A2BCA">
        <w:t>Adverse effects (Undesirable effects)</w:t>
      </w:r>
    </w:p>
    <w:p w14:paraId="6EFE09F5" w14:textId="77777777" w:rsidR="00B84875" w:rsidRPr="003A2BCA" w:rsidRDefault="00B84875" w:rsidP="003A2BCA">
      <w:pPr>
        <w:rPr>
          <w:rFonts w:asciiTheme="majorHAnsi" w:eastAsia="Times New Roman" w:hAnsiTheme="majorHAnsi" w:cs="Times New Roman"/>
          <w:noProof/>
          <w:u w:val="single"/>
          <w:lang w:val="en-GB"/>
        </w:rPr>
      </w:pPr>
      <w:r w:rsidRPr="003A2BCA">
        <w:rPr>
          <w:rFonts w:asciiTheme="majorHAnsi" w:eastAsia="Times New Roman" w:hAnsiTheme="majorHAnsi" w:cs="Times New Roman"/>
          <w:noProof/>
          <w:u w:val="single"/>
          <w:lang w:val="en-GB"/>
        </w:rPr>
        <w:t>Summary of the safety profile</w:t>
      </w:r>
    </w:p>
    <w:p w14:paraId="44A50361" w14:textId="7B6CCE13" w:rsidR="00B84875" w:rsidRPr="003A2BCA" w:rsidRDefault="00B84875" w:rsidP="003A2BCA">
      <w:pPr>
        <w:rPr>
          <w:rFonts w:asciiTheme="majorHAnsi" w:eastAsia="Times New Roman" w:hAnsiTheme="majorHAnsi" w:cs="Times New Roman"/>
          <w:noProof/>
          <w:lang w:val="en-GB"/>
        </w:rPr>
      </w:pPr>
      <w:r w:rsidRPr="619405FB">
        <w:rPr>
          <w:rFonts w:asciiTheme="majorHAnsi" w:eastAsia="Times New Roman" w:hAnsiTheme="majorHAnsi" w:cs="Times New Roman"/>
          <w:noProof/>
          <w:lang w:val="en-GB"/>
        </w:rPr>
        <w:lastRenderedPageBreak/>
        <w:t xml:space="preserve">The most frequently observed adverse drug reactions (ADRs) in patients treated with </w:t>
      </w:r>
      <w:r w:rsidR="00D677F1" w:rsidRPr="619405FB">
        <w:rPr>
          <w:rFonts w:asciiTheme="majorHAnsi" w:eastAsia="Times New Roman" w:hAnsiTheme="majorHAnsi" w:cs="Times New Roman"/>
          <w:noProof/>
          <w:lang w:val="en-GB"/>
        </w:rPr>
        <w:t>ZIRDAWNY</w:t>
      </w:r>
      <w:r w:rsidRPr="619405FB">
        <w:rPr>
          <w:rFonts w:asciiTheme="majorHAnsi" w:eastAsia="Times New Roman" w:hAnsiTheme="majorHAnsi" w:cs="Times New Roman"/>
          <w:noProof/>
          <w:lang w:val="en-GB"/>
        </w:rPr>
        <w:t xml:space="preserve"> were injection site reactions (</w:t>
      </w:r>
      <w:r w:rsidR="00060198" w:rsidRPr="619405FB">
        <w:rPr>
          <w:rFonts w:asciiTheme="majorHAnsi" w:eastAsia="Times New Roman" w:hAnsiTheme="majorHAnsi" w:cs="Times New Roman"/>
          <w:noProof/>
          <w:lang w:val="en-GB"/>
        </w:rPr>
        <w:t>24.4</w:t>
      </w:r>
      <w:r w:rsidRPr="619405FB">
        <w:rPr>
          <w:rFonts w:asciiTheme="majorHAnsi" w:eastAsia="Times New Roman" w:hAnsiTheme="majorHAnsi" w:cs="Times New Roman"/>
          <w:noProof/>
          <w:lang w:val="en-GB"/>
        </w:rPr>
        <w:t>%).</w:t>
      </w:r>
    </w:p>
    <w:p w14:paraId="097F8266" w14:textId="77777777" w:rsidR="00B84875" w:rsidRPr="003A2BCA" w:rsidRDefault="00B84875"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No deaths or serious adverse drug reactions occurred during clinical trials.</w:t>
      </w:r>
    </w:p>
    <w:p w14:paraId="31801471" w14:textId="77777777" w:rsidR="00B84875" w:rsidRPr="003A2BCA" w:rsidRDefault="00B84875" w:rsidP="003A2BCA">
      <w:pPr>
        <w:rPr>
          <w:rFonts w:asciiTheme="majorHAnsi" w:eastAsia="Times New Roman" w:hAnsiTheme="majorHAnsi" w:cs="Times New Roman"/>
          <w:noProof/>
          <w:u w:val="single"/>
          <w:lang w:val="en-GB"/>
        </w:rPr>
      </w:pPr>
      <w:r w:rsidRPr="003A2BCA">
        <w:rPr>
          <w:rFonts w:asciiTheme="majorHAnsi" w:eastAsia="Times New Roman" w:hAnsiTheme="majorHAnsi" w:cs="Times New Roman"/>
          <w:noProof/>
          <w:u w:val="single"/>
          <w:lang w:val="en-GB"/>
        </w:rPr>
        <w:t>Tabulated list of adverse reactions</w:t>
      </w:r>
    </w:p>
    <w:p w14:paraId="37C266FC" w14:textId="182AAB10" w:rsidR="00B84875" w:rsidRPr="003A2BCA" w:rsidRDefault="00B84875"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 xml:space="preserve">Adverse reactions associated with </w:t>
      </w:r>
      <w:r w:rsidR="00D677F1" w:rsidRPr="003A2BCA">
        <w:rPr>
          <w:rFonts w:asciiTheme="majorHAnsi" w:eastAsia="Times New Roman" w:hAnsiTheme="majorHAnsi" w:cs="Times New Roman"/>
          <w:noProof/>
          <w:lang w:val="en-GB"/>
        </w:rPr>
        <w:t>ZIRDAWNY</w:t>
      </w:r>
      <w:r w:rsidRPr="003A2BCA">
        <w:rPr>
          <w:rFonts w:asciiTheme="majorHAnsi" w:eastAsia="Times New Roman" w:hAnsiTheme="majorHAnsi" w:cs="Times New Roman"/>
          <w:noProof/>
          <w:lang w:val="en-GB"/>
        </w:rPr>
        <w:t xml:space="preserve"> obtained from clinical studies are tabulated below.</w:t>
      </w:r>
    </w:p>
    <w:p w14:paraId="37F5AC23" w14:textId="77777777" w:rsidR="00B84875" w:rsidRPr="003A2BCA" w:rsidRDefault="00B84875" w:rsidP="003A2BCA">
      <w:pPr>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All ADRs are listed by system organ class and frequency; very common (≥ 1/10), common (≥ 1/100 to &lt; 1/10), uncommon (≥ 1/1 000 to &lt; 1/100), rare (≥ 1/10 000 to &lt; 1/1 000), very rare (&lt; 1/10 000) and not known (cannot be estimated from the available data). Within each frequency grouping, adverse reactions are presented in order of decreasing seriousness.</w:t>
      </w:r>
    </w:p>
    <w:p w14:paraId="20CFD8A4" w14:textId="37F1378A"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lang w:val="en-GB"/>
        </w:rPr>
      </w:pPr>
      <w:r w:rsidRPr="619405FB">
        <w:rPr>
          <w:rFonts w:asciiTheme="majorHAnsi" w:eastAsia="Times New Roman" w:hAnsiTheme="majorHAnsi" w:cs="Times New Roman"/>
          <w:noProof/>
          <w:lang w:val="en-GB"/>
        </w:rPr>
        <w:t xml:space="preserve">Table 2: Adverse drug reactions to </w:t>
      </w:r>
      <w:r w:rsidR="00D677F1" w:rsidRPr="619405FB">
        <w:rPr>
          <w:rFonts w:asciiTheme="majorHAnsi" w:eastAsia="Times New Roman" w:hAnsiTheme="majorHAnsi" w:cs="Times New Roman"/>
          <w:noProof/>
          <w:lang w:val="en-GB"/>
        </w:rPr>
        <w:t>ZIRDAWNY</w:t>
      </w:r>
    </w:p>
    <w:p w14:paraId="60B6E20B" w14:textId="77777777"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lang w:val="en-GB"/>
        </w:rPr>
      </w:pPr>
    </w:p>
    <w:tbl>
      <w:tblPr>
        <w:tblStyle w:val="TableGrid"/>
        <w:tblW w:w="0" w:type="auto"/>
        <w:tblLook w:val="04A0" w:firstRow="1" w:lastRow="0" w:firstColumn="1" w:lastColumn="0" w:noHBand="0" w:noVBand="1"/>
      </w:tblPr>
      <w:tblGrid>
        <w:gridCol w:w="2689"/>
        <w:gridCol w:w="2976"/>
        <w:gridCol w:w="2976"/>
      </w:tblGrid>
      <w:tr w:rsidR="00514A5F" w:rsidRPr="003A2BCA" w14:paraId="6C8DCC72" w14:textId="7810F250" w:rsidTr="00B65EFF">
        <w:tc>
          <w:tcPr>
            <w:tcW w:w="2689" w:type="dxa"/>
          </w:tcPr>
          <w:p w14:paraId="630AB15C" w14:textId="77777777"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b/>
                <w:bCs/>
                <w:noProof/>
              </w:rPr>
            </w:pPr>
            <w:r w:rsidRPr="003A2BCA">
              <w:rPr>
                <w:rFonts w:asciiTheme="majorHAnsi" w:eastAsia="Times New Roman" w:hAnsiTheme="majorHAnsi"/>
                <w:b/>
                <w:bCs/>
                <w:noProof/>
              </w:rPr>
              <w:t>System organ class</w:t>
            </w:r>
          </w:p>
          <w:p w14:paraId="2C430FCF" w14:textId="77777777"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noProof/>
              </w:rPr>
            </w:pPr>
          </w:p>
        </w:tc>
        <w:tc>
          <w:tcPr>
            <w:tcW w:w="2976" w:type="dxa"/>
          </w:tcPr>
          <w:p w14:paraId="23C23591" w14:textId="3BEC81D9"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b/>
                <w:bCs/>
                <w:noProof/>
              </w:rPr>
            </w:pPr>
            <w:r w:rsidRPr="003A2BCA">
              <w:rPr>
                <w:rFonts w:asciiTheme="majorHAnsi" w:eastAsia="Times New Roman" w:hAnsiTheme="majorHAnsi"/>
                <w:b/>
                <w:bCs/>
                <w:noProof/>
              </w:rPr>
              <w:t>Adverse drug reaction</w:t>
            </w:r>
          </w:p>
        </w:tc>
        <w:tc>
          <w:tcPr>
            <w:tcW w:w="2976" w:type="dxa"/>
          </w:tcPr>
          <w:p w14:paraId="3D2CF161" w14:textId="3A1B7E77"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b/>
                <w:bCs/>
                <w:noProof/>
              </w:rPr>
            </w:pPr>
            <w:r w:rsidRPr="003A2BCA">
              <w:rPr>
                <w:rFonts w:asciiTheme="majorHAnsi" w:eastAsia="Times New Roman" w:hAnsiTheme="majorHAnsi"/>
                <w:b/>
                <w:bCs/>
                <w:noProof/>
              </w:rPr>
              <w:t>Frequency</w:t>
            </w:r>
          </w:p>
        </w:tc>
      </w:tr>
      <w:tr w:rsidR="00514A5F" w:rsidRPr="003A2BCA" w14:paraId="5EB87A2B" w14:textId="0034FC12" w:rsidTr="00B65EFF">
        <w:tc>
          <w:tcPr>
            <w:tcW w:w="2689" w:type="dxa"/>
          </w:tcPr>
          <w:p w14:paraId="220B9495" w14:textId="410F3D50"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b/>
                <w:bCs/>
                <w:noProof/>
              </w:rPr>
            </w:pPr>
            <w:r w:rsidRPr="003A2BCA">
              <w:rPr>
                <w:rFonts w:asciiTheme="majorHAnsi" w:eastAsia="Times New Roman" w:hAnsiTheme="majorHAnsi"/>
                <w:b/>
                <w:bCs/>
                <w:noProof/>
              </w:rPr>
              <w:t>Immune system disorders</w:t>
            </w:r>
          </w:p>
        </w:tc>
        <w:tc>
          <w:tcPr>
            <w:tcW w:w="2976" w:type="dxa"/>
          </w:tcPr>
          <w:p w14:paraId="314FD559" w14:textId="66735BE0"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b/>
                <w:bCs/>
                <w:noProof/>
              </w:rPr>
            </w:pPr>
            <w:r w:rsidRPr="003A2BCA">
              <w:rPr>
                <w:rFonts w:asciiTheme="majorHAnsi" w:eastAsia="Times New Roman" w:hAnsiTheme="majorHAnsi"/>
                <w:b/>
                <w:bCs/>
                <w:noProof/>
              </w:rPr>
              <w:t>Hypersensitivity (including anaphylaxis)</w:t>
            </w:r>
          </w:p>
        </w:tc>
        <w:tc>
          <w:tcPr>
            <w:tcW w:w="2976" w:type="dxa"/>
          </w:tcPr>
          <w:p w14:paraId="0BB6EC40" w14:textId="4A13EAD6"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b/>
                <w:bCs/>
                <w:noProof/>
              </w:rPr>
            </w:pPr>
            <w:r w:rsidRPr="003A2BCA">
              <w:rPr>
                <w:rFonts w:asciiTheme="majorHAnsi" w:eastAsia="Times New Roman" w:hAnsiTheme="majorHAnsi"/>
                <w:b/>
                <w:bCs/>
                <w:noProof/>
              </w:rPr>
              <w:t>Common</w:t>
            </w:r>
          </w:p>
        </w:tc>
      </w:tr>
      <w:tr w:rsidR="00514A5F" w:rsidRPr="003A2BCA" w14:paraId="607E7E83" w14:textId="0391FF17" w:rsidTr="00B65EFF">
        <w:tc>
          <w:tcPr>
            <w:tcW w:w="2689" w:type="dxa"/>
          </w:tcPr>
          <w:p w14:paraId="16E92A47" w14:textId="77777777"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b/>
                <w:bCs/>
                <w:noProof/>
              </w:rPr>
            </w:pPr>
            <w:r w:rsidRPr="003A2BCA">
              <w:rPr>
                <w:rFonts w:asciiTheme="majorHAnsi" w:eastAsia="Times New Roman" w:hAnsiTheme="majorHAnsi"/>
                <w:b/>
                <w:bCs/>
                <w:noProof/>
              </w:rPr>
              <w:t>General disorders and administration site conditions</w:t>
            </w:r>
          </w:p>
        </w:tc>
        <w:tc>
          <w:tcPr>
            <w:tcW w:w="2976" w:type="dxa"/>
          </w:tcPr>
          <w:p w14:paraId="0A0798D3" w14:textId="77777777"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noProof/>
              </w:rPr>
            </w:pPr>
            <w:r w:rsidRPr="003A2BCA">
              <w:rPr>
                <w:rFonts w:asciiTheme="majorHAnsi" w:eastAsia="Times New Roman" w:hAnsiTheme="majorHAnsi"/>
                <w:noProof/>
              </w:rPr>
              <w:t>Injection site reactions*</w:t>
            </w:r>
          </w:p>
        </w:tc>
        <w:tc>
          <w:tcPr>
            <w:tcW w:w="2976" w:type="dxa"/>
          </w:tcPr>
          <w:p w14:paraId="12F3BAD0" w14:textId="60765CF9"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noProof/>
              </w:rPr>
            </w:pPr>
            <w:r w:rsidRPr="003A2BCA">
              <w:rPr>
                <w:rFonts w:asciiTheme="majorHAnsi" w:eastAsia="Times New Roman" w:hAnsiTheme="majorHAnsi"/>
                <w:noProof/>
              </w:rPr>
              <w:t>Very common</w:t>
            </w:r>
          </w:p>
        </w:tc>
      </w:tr>
      <w:tr w:rsidR="00514A5F" w:rsidRPr="003A2BCA" w14:paraId="720BA3F9" w14:textId="2B528141" w:rsidTr="00B65EFF">
        <w:tc>
          <w:tcPr>
            <w:tcW w:w="2689" w:type="dxa"/>
          </w:tcPr>
          <w:p w14:paraId="73416A63" w14:textId="257C6ED1"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b/>
                <w:bCs/>
                <w:noProof/>
              </w:rPr>
            </w:pPr>
            <w:r w:rsidRPr="003A2BCA">
              <w:rPr>
                <w:rFonts w:asciiTheme="majorHAnsi" w:eastAsia="Times New Roman" w:hAnsiTheme="majorHAnsi"/>
                <w:b/>
                <w:bCs/>
                <w:noProof/>
              </w:rPr>
              <w:t>Investigations</w:t>
            </w:r>
          </w:p>
        </w:tc>
        <w:tc>
          <w:tcPr>
            <w:tcW w:w="2976" w:type="dxa"/>
          </w:tcPr>
          <w:p w14:paraId="2F9B40A4" w14:textId="6F1687F3"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noProof/>
              </w:rPr>
            </w:pPr>
            <w:r w:rsidRPr="003A2BCA">
              <w:rPr>
                <w:rFonts w:asciiTheme="majorHAnsi" w:eastAsia="Times New Roman" w:hAnsiTheme="majorHAnsi"/>
                <w:noProof/>
              </w:rPr>
              <w:t xml:space="preserve">Hepatic enzyme increased </w:t>
            </w:r>
            <w:r w:rsidRPr="003A2BCA">
              <w:rPr>
                <w:rFonts w:asciiTheme="majorHAnsi" w:eastAsia="Times New Roman" w:hAnsiTheme="majorHAnsi"/>
                <w:noProof/>
                <w:vertAlign w:val="superscript"/>
              </w:rPr>
              <w:t>#</w:t>
            </w:r>
          </w:p>
        </w:tc>
        <w:tc>
          <w:tcPr>
            <w:tcW w:w="2976" w:type="dxa"/>
          </w:tcPr>
          <w:p w14:paraId="17355655" w14:textId="45E2D7D1" w:rsidR="00514A5F" w:rsidRPr="003A2BCA" w:rsidRDefault="00514A5F" w:rsidP="003649E0">
            <w:pPr>
              <w:tabs>
                <w:tab w:val="left" w:pos="567"/>
              </w:tabs>
              <w:autoSpaceDE w:val="0"/>
              <w:autoSpaceDN w:val="0"/>
              <w:adjustRightInd w:val="0"/>
              <w:spacing w:line="276" w:lineRule="auto"/>
              <w:rPr>
                <w:rFonts w:asciiTheme="majorHAnsi" w:eastAsia="Times New Roman" w:hAnsiTheme="majorHAnsi"/>
                <w:noProof/>
              </w:rPr>
            </w:pPr>
            <w:r w:rsidRPr="003A2BCA">
              <w:rPr>
                <w:rFonts w:asciiTheme="majorHAnsi" w:eastAsia="Times New Roman" w:hAnsiTheme="majorHAnsi"/>
                <w:noProof/>
              </w:rPr>
              <w:t>Very common</w:t>
            </w:r>
          </w:p>
        </w:tc>
      </w:tr>
    </w:tbl>
    <w:p w14:paraId="6FC859B4" w14:textId="7B3E3E11"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sz w:val="20"/>
          <w:szCs w:val="20"/>
          <w:lang w:val="en-GB"/>
        </w:rPr>
      </w:pPr>
      <w:r w:rsidRPr="003A2BCA">
        <w:rPr>
          <w:rFonts w:asciiTheme="majorHAnsi" w:eastAsia="Times New Roman" w:hAnsiTheme="majorHAnsi" w:cs="Times New Roman"/>
          <w:noProof/>
          <w:sz w:val="20"/>
          <w:szCs w:val="20"/>
          <w:lang w:val="en-GB"/>
        </w:rPr>
        <w:t>* Injection site reactions such as: discolouration, erythema, pain</w:t>
      </w:r>
      <w:r w:rsidR="00514A5F" w:rsidRPr="003A2BCA">
        <w:rPr>
          <w:rFonts w:asciiTheme="majorHAnsi" w:eastAsia="Times New Roman" w:hAnsiTheme="majorHAnsi" w:cs="Times New Roman"/>
          <w:noProof/>
          <w:sz w:val="20"/>
          <w:szCs w:val="20"/>
          <w:lang w:val="en-GB"/>
        </w:rPr>
        <w:t>,</w:t>
      </w:r>
      <w:r w:rsidRPr="003A2BCA">
        <w:rPr>
          <w:rFonts w:asciiTheme="majorHAnsi" w:eastAsia="Times New Roman" w:hAnsiTheme="majorHAnsi" w:cs="Times New Roman"/>
          <w:noProof/>
          <w:sz w:val="20"/>
          <w:szCs w:val="20"/>
          <w:lang w:val="en-GB"/>
        </w:rPr>
        <w:t xml:space="preserve"> pruritus</w:t>
      </w:r>
      <w:r w:rsidR="00514A5F" w:rsidRPr="003A2BCA">
        <w:rPr>
          <w:rFonts w:asciiTheme="majorHAnsi" w:eastAsia="Times New Roman" w:hAnsiTheme="majorHAnsi" w:cs="Times New Roman"/>
          <w:noProof/>
          <w:sz w:val="20"/>
          <w:szCs w:val="20"/>
          <w:lang w:val="en-GB"/>
        </w:rPr>
        <w:t>, induration, haematoma, bruising, exfoliation, hypersensitivity and swelling</w:t>
      </w:r>
    </w:p>
    <w:p w14:paraId="7B5BAFC0" w14:textId="3949F148" w:rsidR="00514A5F" w:rsidRPr="003A2BCA" w:rsidRDefault="00514A5F" w:rsidP="003649E0">
      <w:pPr>
        <w:tabs>
          <w:tab w:val="left" w:pos="567"/>
        </w:tabs>
        <w:autoSpaceDE w:val="0"/>
        <w:autoSpaceDN w:val="0"/>
        <w:adjustRightInd w:val="0"/>
        <w:spacing w:after="0"/>
        <w:rPr>
          <w:rFonts w:asciiTheme="majorHAnsi" w:eastAsia="Times New Roman" w:hAnsiTheme="majorHAnsi" w:cs="Times New Roman"/>
          <w:noProof/>
          <w:sz w:val="20"/>
          <w:szCs w:val="20"/>
          <w:lang w:val="en-GB"/>
        </w:rPr>
      </w:pPr>
      <w:r w:rsidRPr="003A2BCA">
        <w:rPr>
          <w:rFonts w:asciiTheme="majorHAnsi" w:eastAsia="Times New Roman" w:hAnsiTheme="majorHAnsi" w:cs="Times New Roman"/>
          <w:noProof/>
          <w:sz w:val="20"/>
          <w:szCs w:val="20"/>
          <w:vertAlign w:val="superscript"/>
          <w:lang w:val="en-GB"/>
        </w:rPr>
        <w:t>#</w:t>
      </w:r>
      <w:r w:rsidRPr="003A2BCA">
        <w:rPr>
          <w:rFonts w:asciiTheme="majorHAnsi" w:eastAsia="Times New Roman" w:hAnsiTheme="majorHAnsi" w:cs="Times New Roman"/>
          <w:noProof/>
          <w:sz w:val="20"/>
          <w:szCs w:val="20"/>
          <w:lang w:val="en-GB"/>
        </w:rPr>
        <w:t xml:space="preserve"> Mainly mild, and mostly in alanine aminotransferase (ALT) and aspartate aminotransferase (AST)</w:t>
      </w:r>
    </w:p>
    <w:p w14:paraId="742640BA" w14:textId="77777777"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lang w:val="en-GB"/>
        </w:rPr>
      </w:pPr>
    </w:p>
    <w:p w14:paraId="7A8E26F6" w14:textId="77777777"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u w:val="single"/>
          <w:lang w:val="en-GB"/>
        </w:rPr>
      </w:pPr>
      <w:r w:rsidRPr="619405FB">
        <w:rPr>
          <w:rFonts w:asciiTheme="majorHAnsi" w:eastAsia="Times New Roman" w:hAnsiTheme="majorHAnsi" w:cs="Times New Roman"/>
          <w:noProof/>
          <w:u w:val="single"/>
          <w:lang w:val="en-GB"/>
        </w:rPr>
        <w:t>Description of selected adverse reactions</w:t>
      </w:r>
    </w:p>
    <w:p w14:paraId="3A79B443" w14:textId="77777777"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lang w:val="en-GB"/>
        </w:rPr>
      </w:pPr>
    </w:p>
    <w:p w14:paraId="6BCC5D1A" w14:textId="5F07ECF9" w:rsidR="00543681" w:rsidRPr="003A2BCA" w:rsidRDefault="00543681" w:rsidP="003649E0">
      <w:pPr>
        <w:tabs>
          <w:tab w:val="left" w:pos="567"/>
        </w:tabs>
        <w:autoSpaceDE w:val="0"/>
        <w:autoSpaceDN w:val="0"/>
        <w:adjustRightInd w:val="0"/>
        <w:spacing w:after="0"/>
        <w:rPr>
          <w:rFonts w:asciiTheme="majorHAnsi" w:eastAsia="Times New Roman" w:hAnsiTheme="majorHAnsi" w:cs="Times New Roman"/>
          <w:i/>
          <w:iCs/>
          <w:noProof/>
          <w:lang w:val="en-GB"/>
        </w:rPr>
      </w:pPr>
      <w:r w:rsidRPr="003A2BCA">
        <w:rPr>
          <w:rFonts w:asciiTheme="majorHAnsi" w:eastAsia="Times New Roman" w:hAnsiTheme="majorHAnsi" w:cs="Times New Roman"/>
          <w:i/>
          <w:iCs/>
          <w:noProof/>
          <w:lang w:val="en-GB"/>
        </w:rPr>
        <w:t>Hypersensitivity including anaphylaxis</w:t>
      </w:r>
    </w:p>
    <w:p w14:paraId="5932BAA2" w14:textId="77777777" w:rsidR="00543681" w:rsidRPr="003A2BCA" w:rsidRDefault="00543681" w:rsidP="003649E0">
      <w:pPr>
        <w:tabs>
          <w:tab w:val="left" w:pos="567"/>
        </w:tabs>
        <w:autoSpaceDE w:val="0"/>
        <w:autoSpaceDN w:val="0"/>
        <w:adjustRightInd w:val="0"/>
        <w:spacing w:after="0"/>
        <w:rPr>
          <w:rFonts w:asciiTheme="majorHAnsi" w:eastAsia="Times New Roman" w:hAnsiTheme="majorHAnsi" w:cs="Times New Roman"/>
          <w:i/>
          <w:iCs/>
          <w:noProof/>
          <w:lang w:val="en-GB"/>
        </w:rPr>
      </w:pPr>
    </w:p>
    <w:p w14:paraId="5F42753C" w14:textId="53180857" w:rsidR="00543681" w:rsidRPr="003649E0" w:rsidRDefault="00543681" w:rsidP="003649E0">
      <w:pPr>
        <w:tabs>
          <w:tab w:val="left" w:pos="567"/>
        </w:tabs>
        <w:autoSpaceDE w:val="0"/>
        <w:autoSpaceDN w:val="0"/>
        <w:adjustRightInd w:val="0"/>
        <w:spacing w:after="0"/>
        <w:rPr>
          <w:rFonts w:asciiTheme="majorHAnsi" w:eastAsia="Times New Roman" w:hAnsiTheme="majorHAnsi" w:cs="Times New Roman"/>
          <w:noProof/>
          <w:lang w:val="en-GB"/>
        </w:rPr>
      </w:pPr>
      <w:r w:rsidRPr="003649E0">
        <w:rPr>
          <w:rFonts w:asciiTheme="majorHAnsi" w:eastAsia="Times New Roman" w:hAnsiTheme="majorHAnsi" w:cs="Times New Roman"/>
          <w:noProof/>
          <w:lang w:val="en-GB"/>
        </w:rPr>
        <w:t xml:space="preserve">In clinical trials, a serious hypersensitivity reaction of anaphylaxis was reported in one patient. Symptoms included generalised rash, dyspnoea, chest pain and peri-oral swelling (see </w:t>
      </w:r>
      <w:r w:rsidRPr="003A2BCA">
        <w:rPr>
          <w:rFonts w:asciiTheme="majorHAnsi" w:eastAsia="Times New Roman" w:hAnsiTheme="majorHAnsi" w:cs="Times New Roman"/>
          <w:noProof/>
          <w:lang w:val="en-GB"/>
        </w:rPr>
        <w:t>S</w:t>
      </w:r>
      <w:r w:rsidRPr="003649E0">
        <w:rPr>
          <w:rFonts w:asciiTheme="majorHAnsi" w:eastAsia="Times New Roman" w:hAnsiTheme="majorHAnsi" w:cs="Times New Roman"/>
          <w:noProof/>
          <w:lang w:val="en-GB"/>
        </w:rPr>
        <w:t xml:space="preserve">ections 4.3 </w:t>
      </w:r>
      <w:r w:rsidR="0043292B" w:rsidRPr="003A2BCA">
        <w:rPr>
          <w:rFonts w:asciiTheme="majorHAnsi" w:eastAsia="Times New Roman" w:hAnsiTheme="majorHAnsi" w:cs="Times New Roman"/>
          <w:noProof/>
          <w:lang w:val="en-GB"/>
        </w:rPr>
        <w:t xml:space="preserve">Contraindications </w:t>
      </w:r>
      <w:r w:rsidRPr="003649E0">
        <w:rPr>
          <w:rFonts w:asciiTheme="majorHAnsi" w:eastAsia="Times New Roman" w:hAnsiTheme="majorHAnsi" w:cs="Times New Roman"/>
          <w:noProof/>
          <w:lang w:val="en-GB"/>
        </w:rPr>
        <w:t>and 4.4</w:t>
      </w:r>
      <w:r w:rsidR="0043292B" w:rsidRPr="003A2BCA">
        <w:rPr>
          <w:rFonts w:asciiTheme="majorHAnsi" w:eastAsia="Times New Roman" w:hAnsiTheme="majorHAnsi" w:cs="Times New Roman"/>
          <w:noProof/>
          <w:lang w:val="en-GB"/>
        </w:rPr>
        <w:t xml:space="preserve"> Special warnings and precautions for use</w:t>
      </w:r>
      <w:r w:rsidRPr="003649E0">
        <w:rPr>
          <w:rFonts w:asciiTheme="majorHAnsi" w:eastAsia="Times New Roman" w:hAnsiTheme="majorHAnsi" w:cs="Times New Roman"/>
          <w:noProof/>
          <w:lang w:val="en-GB"/>
        </w:rPr>
        <w:t>).</w:t>
      </w:r>
    </w:p>
    <w:p w14:paraId="766DAC86" w14:textId="77777777" w:rsidR="00543681" w:rsidRPr="003A2BCA" w:rsidRDefault="00543681" w:rsidP="003649E0">
      <w:pPr>
        <w:tabs>
          <w:tab w:val="left" w:pos="567"/>
        </w:tabs>
        <w:autoSpaceDE w:val="0"/>
        <w:autoSpaceDN w:val="0"/>
        <w:adjustRightInd w:val="0"/>
        <w:spacing w:after="0"/>
        <w:rPr>
          <w:rFonts w:asciiTheme="majorHAnsi" w:eastAsia="Times New Roman" w:hAnsiTheme="majorHAnsi" w:cs="Times New Roman"/>
          <w:i/>
          <w:iCs/>
          <w:noProof/>
          <w:lang w:val="en-GB"/>
        </w:rPr>
      </w:pPr>
    </w:p>
    <w:p w14:paraId="6A0542C8" w14:textId="50F1EADF"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i/>
          <w:iCs/>
          <w:noProof/>
          <w:lang w:val="en-GB"/>
        </w:rPr>
      </w:pPr>
      <w:r w:rsidRPr="003A2BCA">
        <w:rPr>
          <w:rFonts w:asciiTheme="majorHAnsi" w:eastAsia="Times New Roman" w:hAnsiTheme="majorHAnsi" w:cs="Times New Roman"/>
          <w:i/>
          <w:iCs/>
          <w:noProof/>
          <w:lang w:val="en-GB"/>
        </w:rPr>
        <w:t>Injection site reactions</w:t>
      </w:r>
    </w:p>
    <w:p w14:paraId="66DFE7B1" w14:textId="77777777"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lang w:val="en-GB"/>
        </w:rPr>
      </w:pPr>
    </w:p>
    <w:p w14:paraId="36C866DD" w14:textId="1D0BB394"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lang w:val="en-GB"/>
        </w:rPr>
      </w:pPr>
      <w:r w:rsidRPr="619405FB">
        <w:rPr>
          <w:rFonts w:asciiTheme="majorHAnsi" w:eastAsia="Times New Roman" w:hAnsiTheme="majorHAnsi" w:cs="Times New Roman"/>
          <w:noProof/>
          <w:lang w:val="en-GB"/>
        </w:rPr>
        <w:t xml:space="preserve">During double-blind, placebo-controlled trials, injection site reactions were observed. All injection site reactions were non serious, mild to moderate in severity, and </w:t>
      </w:r>
      <w:r w:rsidR="00FD2F5C" w:rsidRPr="619405FB">
        <w:rPr>
          <w:rFonts w:asciiTheme="majorHAnsi" w:eastAsia="Times New Roman" w:hAnsiTheme="majorHAnsi" w:cs="Times New Roman"/>
          <w:noProof/>
          <w:lang w:val="en-GB"/>
        </w:rPr>
        <w:t xml:space="preserve">generally </w:t>
      </w:r>
      <w:r w:rsidRPr="619405FB">
        <w:rPr>
          <w:rFonts w:asciiTheme="majorHAnsi" w:eastAsia="Times New Roman" w:hAnsiTheme="majorHAnsi" w:cs="Times New Roman"/>
          <w:noProof/>
          <w:lang w:val="en-GB"/>
        </w:rPr>
        <w:t>resolved over time.</w:t>
      </w:r>
      <w:r w:rsidR="00FD2F5C" w:rsidRPr="619405FB">
        <w:rPr>
          <w:rFonts w:asciiTheme="majorHAnsi" w:eastAsia="Times New Roman" w:hAnsiTheme="majorHAnsi" w:cs="Times New Roman"/>
          <w:noProof/>
          <w:lang w:val="en-GB"/>
        </w:rPr>
        <w:t xml:space="preserve"> </w:t>
      </w:r>
      <w:r w:rsidR="00FD2F5C" w:rsidRPr="003649E0">
        <w:rPr>
          <w:rFonts w:asciiTheme="majorHAnsi" w:hAnsiTheme="majorHAnsi"/>
        </w:rPr>
        <w:t>In some patients, the injection site reactions such as injection site erythema, injection site pruritus, and injection site discolouration persisted for 2 or more days. In one patient who received higher than labelled doses in accordance with the protocol, injection site discolouration led to permanent discontinuation of treatment.</w:t>
      </w:r>
    </w:p>
    <w:p w14:paraId="411F05E6" w14:textId="77777777"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lang w:val="en-GB"/>
        </w:rPr>
      </w:pPr>
    </w:p>
    <w:p w14:paraId="2A35B98A" w14:textId="30779DBF" w:rsidR="00B64000" w:rsidRPr="003649E0" w:rsidRDefault="00B64000" w:rsidP="003649E0">
      <w:pPr>
        <w:tabs>
          <w:tab w:val="left" w:pos="567"/>
        </w:tabs>
        <w:autoSpaceDE w:val="0"/>
        <w:autoSpaceDN w:val="0"/>
        <w:adjustRightInd w:val="0"/>
        <w:spacing w:after="0"/>
        <w:rPr>
          <w:rFonts w:asciiTheme="majorHAnsi" w:eastAsia="Times New Roman" w:hAnsiTheme="majorHAnsi" w:cs="Times New Roman"/>
          <w:noProof/>
          <w:u w:val="single"/>
          <w:lang w:val="en-GB"/>
        </w:rPr>
      </w:pPr>
      <w:r w:rsidRPr="003649E0">
        <w:rPr>
          <w:rFonts w:asciiTheme="majorHAnsi" w:eastAsia="Times New Roman" w:hAnsiTheme="majorHAnsi" w:cs="Times New Roman"/>
          <w:noProof/>
          <w:u w:val="single"/>
          <w:lang w:val="en-GB"/>
        </w:rPr>
        <w:t>Treatment-emergent adverse events</w:t>
      </w:r>
    </w:p>
    <w:p w14:paraId="2485A677" w14:textId="77777777" w:rsidR="00B64000" w:rsidRPr="003A2BCA" w:rsidRDefault="00B64000" w:rsidP="003649E0">
      <w:pPr>
        <w:tabs>
          <w:tab w:val="left" w:pos="567"/>
        </w:tabs>
        <w:autoSpaceDE w:val="0"/>
        <w:autoSpaceDN w:val="0"/>
        <w:adjustRightInd w:val="0"/>
        <w:spacing w:after="0"/>
        <w:rPr>
          <w:rFonts w:asciiTheme="majorHAnsi" w:eastAsia="Times New Roman" w:hAnsiTheme="majorHAnsi" w:cs="Times New Roman"/>
          <w:noProof/>
          <w:lang w:val="en-GB"/>
        </w:rPr>
      </w:pPr>
    </w:p>
    <w:p w14:paraId="602FF11B" w14:textId="1DE00305" w:rsidR="00FD2F5C" w:rsidRPr="003649E0" w:rsidRDefault="005625E6" w:rsidP="003649E0">
      <w:pPr>
        <w:tabs>
          <w:tab w:val="left" w:pos="567"/>
        </w:tabs>
        <w:autoSpaceDE w:val="0"/>
        <w:autoSpaceDN w:val="0"/>
        <w:adjustRightInd w:val="0"/>
        <w:spacing w:after="0"/>
        <w:rPr>
          <w:rFonts w:asciiTheme="majorHAnsi" w:hAnsiTheme="majorHAnsi"/>
        </w:rPr>
      </w:pPr>
      <w:r w:rsidRPr="619405FB">
        <w:rPr>
          <w:rFonts w:asciiTheme="majorHAnsi" w:eastAsia="Times New Roman" w:hAnsiTheme="majorHAnsi" w:cs="Times New Roman"/>
          <w:noProof/>
          <w:lang w:val="en-GB"/>
        </w:rPr>
        <w:lastRenderedPageBreak/>
        <w:t xml:space="preserve">Table 3: </w:t>
      </w:r>
      <w:r w:rsidRPr="003649E0">
        <w:rPr>
          <w:rFonts w:asciiTheme="majorHAnsi" w:hAnsiTheme="majorHAnsi"/>
        </w:rPr>
        <w:t xml:space="preserve">Treatment-Emergent Adverse Events in &gt; 5% of Patients in Any Treatment Group in </w:t>
      </w:r>
      <w:r w:rsidR="00060198" w:rsidRPr="003649E0">
        <w:rPr>
          <w:rFonts w:asciiTheme="majorHAnsi" w:hAnsiTheme="majorHAnsi"/>
        </w:rPr>
        <w:t xml:space="preserve">Trial 1 - </w:t>
      </w:r>
      <w:r w:rsidR="00060198" w:rsidRPr="003649E0">
        <w:rPr>
          <w:rFonts w:asciiTheme="majorHAnsi" w:hAnsiTheme="majorHAnsi"/>
          <w:i/>
          <w:iCs/>
        </w:rPr>
        <w:t>“OASIS-HAE”</w:t>
      </w: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61"/>
        <w:gridCol w:w="1984"/>
        <w:gridCol w:w="1985"/>
        <w:gridCol w:w="1842"/>
      </w:tblGrid>
      <w:tr w:rsidR="00A47C35" w:rsidRPr="003A2BCA" w14:paraId="6A4368E8" w14:textId="77777777" w:rsidTr="619405FB">
        <w:trPr>
          <w:trHeight w:val="372"/>
        </w:trPr>
        <w:tc>
          <w:tcPr>
            <w:tcW w:w="3261" w:type="dxa"/>
            <w:vMerge w:val="restart"/>
          </w:tcPr>
          <w:p w14:paraId="3C11BFE6" w14:textId="77777777" w:rsidR="00A47C35" w:rsidRPr="003A2BCA" w:rsidRDefault="00A47C35" w:rsidP="003649E0">
            <w:pPr>
              <w:pStyle w:val="TableParagraph"/>
              <w:spacing w:line="276" w:lineRule="auto"/>
              <w:ind w:left="272"/>
              <w:rPr>
                <w:rFonts w:asciiTheme="majorHAnsi" w:hAnsiTheme="majorHAnsi"/>
                <w:b/>
                <w:sz w:val="20"/>
                <w:szCs w:val="20"/>
              </w:rPr>
            </w:pPr>
          </w:p>
          <w:p w14:paraId="30662A71" w14:textId="77777777" w:rsidR="00A47C35" w:rsidRPr="003A2BCA" w:rsidRDefault="00A47C35" w:rsidP="003649E0">
            <w:pPr>
              <w:pStyle w:val="TableParagraph"/>
              <w:spacing w:line="276" w:lineRule="auto"/>
              <w:ind w:left="272"/>
              <w:rPr>
                <w:rFonts w:asciiTheme="majorHAnsi" w:hAnsiTheme="majorHAnsi"/>
                <w:b/>
                <w:sz w:val="20"/>
                <w:szCs w:val="20"/>
              </w:rPr>
            </w:pPr>
          </w:p>
          <w:p w14:paraId="2D7D54E9" w14:textId="07D2C665" w:rsidR="00A47C35" w:rsidRPr="003A2BCA" w:rsidRDefault="1921CBEE" w:rsidP="003649E0">
            <w:pPr>
              <w:pStyle w:val="TableParagraph"/>
              <w:spacing w:line="276" w:lineRule="auto"/>
              <w:ind w:left="272"/>
              <w:rPr>
                <w:rFonts w:asciiTheme="majorHAnsi" w:hAnsiTheme="majorHAnsi"/>
                <w:b/>
                <w:sz w:val="20"/>
                <w:szCs w:val="20"/>
              </w:rPr>
            </w:pPr>
            <w:r w:rsidRPr="619405FB">
              <w:rPr>
                <w:rFonts w:asciiTheme="majorHAnsi" w:hAnsiTheme="majorHAnsi"/>
                <w:b/>
                <w:bCs/>
                <w:sz w:val="20"/>
                <w:szCs w:val="20"/>
              </w:rPr>
              <w:t>System Organ Class</w:t>
            </w:r>
          </w:p>
          <w:p w14:paraId="0ADC8DC2" w14:textId="621E49C8" w:rsidR="00A47C35" w:rsidRPr="003649E0" w:rsidRDefault="1921CBEE" w:rsidP="003649E0">
            <w:pPr>
              <w:pStyle w:val="TableParagraph"/>
              <w:spacing w:before="0" w:line="276" w:lineRule="auto"/>
              <w:ind w:left="272"/>
              <w:rPr>
                <w:rFonts w:asciiTheme="majorHAnsi" w:eastAsiaTheme="minorEastAsia" w:hAnsiTheme="majorHAnsi"/>
                <w:b/>
                <w:sz w:val="20"/>
                <w:szCs w:val="20"/>
                <w:lang w:eastAsia="ja-JP"/>
              </w:rPr>
            </w:pPr>
            <w:r w:rsidRPr="619405FB">
              <w:rPr>
                <w:rFonts w:asciiTheme="majorHAnsi" w:hAnsiTheme="majorHAnsi"/>
                <w:b/>
                <w:bCs/>
                <w:sz w:val="20"/>
                <w:szCs w:val="20"/>
              </w:rPr>
              <w:t xml:space="preserve">Adverse Event (MedDRA Preferred Term) </w:t>
            </w:r>
          </w:p>
        </w:tc>
        <w:tc>
          <w:tcPr>
            <w:tcW w:w="5811" w:type="dxa"/>
            <w:gridSpan w:val="3"/>
          </w:tcPr>
          <w:p w14:paraId="4A37041F" w14:textId="2C5F412F" w:rsidR="00A47C35" w:rsidRPr="003A2BCA" w:rsidRDefault="1921CBEE" w:rsidP="003649E0">
            <w:pPr>
              <w:pStyle w:val="TableParagraph"/>
              <w:spacing w:line="276" w:lineRule="auto"/>
              <w:ind w:left="1892" w:right="1878"/>
              <w:rPr>
                <w:rFonts w:asciiTheme="majorHAnsi" w:eastAsiaTheme="minorEastAsia" w:hAnsiTheme="majorHAnsi"/>
                <w:b/>
                <w:sz w:val="20"/>
                <w:szCs w:val="20"/>
                <w:lang w:eastAsia="ja-JP"/>
              </w:rPr>
            </w:pPr>
            <w:r w:rsidRPr="003649E0">
              <w:rPr>
                <w:rFonts w:asciiTheme="majorHAnsi" w:hAnsiTheme="majorHAnsi"/>
              </w:rPr>
              <w:t xml:space="preserve"> </w:t>
            </w:r>
            <w:r w:rsidRPr="619405FB">
              <w:rPr>
                <w:rFonts w:asciiTheme="majorHAnsi" w:hAnsiTheme="majorHAnsi"/>
                <w:b/>
                <w:bCs/>
                <w:sz w:val="20"/>
                <w:szCs w:val="20"/>
              </w:rPr>
              <w:t>Trial 1 - “OASIS-HAE”</w:t>
            </w:r>
          </w:p>
        </w:tc>
      </w:tr>
      <w:tr w:rsidR="00A47C35" w:rsidRPr="003A2BCA" w14:paraId="40BE71F5" w14:textId="77777777" w:rsidTr="619405FB">
        <w:trPr>
          <w:trHeight w:val="1384"/>
        </w:trPr>
        <w:tc>
          <w:tcPr>
            <w:tcW w:w="3261" w:type="dxa"/>
            <w:vMerge/>
          </w:tcPr>
          <w:p w14:paraId="371C745C" w14:textId="77777777" w:rsidR="00A47C35" w:rsidRPr="003649E0" w:rsidRDefault="00A47C35" w:rsidP="003A2BCA">
            <w:pPr>
              <w:rPr>
                <w:rFonts w:asciiTheme="majorHAnsi" w:hAnsiTheme="majorHAnsi"/>
                <w:sz w:val="20"/>
                <w:szCs w:val="20"/>
              </w:rPr>
            </w:pPr>
          </w:p>
        </w:tc>
        <w:tc>
          <w:tcPr>
            <w:tcW w:w="1984" w:type="dxa"/>
            <w:tcBorders>
              <w:bottom w:val="single" w:sz="4" w:space="0" w:color="auto"/>
            </w:tcBorders>
          </w:tcPr>
          <w:p w14:paraId="59A8AC5C" w14:textId="77777777" w:rsidR="00A47C35" w:rsidRPr="003649E0" w:rsidRDefault="00A47C35" w:rsidP="003649E0">
            <w:pPr>
              <w:pStyle w:val="TableParagraph"/>
              <w:spacing w:before="0" w:line="276" w:lineRule="auto"/>
              <w:ind w:left="0"/>
              <w:jc w:val="left"/>
              <w:rPr>
                <w:rFonts w:asciiTheme="majorHAnsi" w:hAnsiTheme="majorHAnsi"/>
                <w:b/>
                <w:sz w:val="20"/>
                <w:szCs w:val="20"/>
              </w:rPr>
            </w:pPr>
          </w:p>
          <w:p w14:paraId="36E93571" w14:textId="77777777" w:rsidR="00A47C35" w:rsidRPr="003649E0" w:rsidRDefault="00A47C35" w:rsidP="003649E0">
            <w:pPr>
              <w:pStyle w:val="TableParagraph"/>
              <w:spacing w:before="0" w:line="276" w:lineRule="auto"/>
              <w:ind w:left="0"/>
              <w:jc w:val="left"/>
              <w:rPr>
                <w:rFonts w:asciiTheme="majorHAnsi" w:hAnsiTheme="majorHAnsi"/>
                <w:b/>
                <w:sz w:val="20"/>
                <w:szCs w:val="20"/>
              </w:rPr>
            </w:pPr>
          </w:p>
          <w:p w14:paraId="3259FF1E" w14:textId="77777777" w:rsidR="00A47C35" w:rsidRPr="003649E0" w:rsidRDefault="00A47C35" w:rsidP="003649E0">
            <w:pPr>
              <w:pStyle w:val="TableParagraph"/>
              <w:spacing w:before="0" w:line="276" w:lineRule="auto"/>
              <w:ind w:left="172" w:right="138" w:firstLine="13"/>
              <w:jc w:val="left"/>
              <w:rPr>
                <w:rFonts w:asciiTheme="majorHAnsi" w:hAnsiTheme="majorHAnsi"/>
                <w:b/>
                <w:sz w:val="20"/>
                <w:szCs w:val="20"/>
              </w:rPr>
            </w:pPr>
            <w:r w:rsidRPr="003649E0">
              <w:rPr>
                <w:rFonts w:asciiTheme="majorHAnsi" w:hAnsiTheme="majorHAnsi"/>
                <w:b/>
                <w:sz w:val="20"/>
                <w:szCs w:val="20"/>
              </w:rPr>
              <w:t>Placebo (N = 22)</w:t>
            </w:r>
          </w:p>
        </w:tc>
        <w:tc>
          <w:tcPr>
            <w:tcW w:w="1985" w:type="dxa"/>
            <w:tcBorders>
              <w:bottom w:val="single" w:sz="4" w:space="0" w:color="auto"/>
            </w:tcBorders>
          </w:tcPr>
          <w:p w14:paraId="419CEBEE" w14:textId="77777777" w:rsidR="00A47C35" w:rsidRPr="003649E0" w:rsidRDefault="00A47C35" w:rsidP="003649E0">
            <w:pPr>
              <w:pStyle w:val="TableParagraph"/>
              <w:spacing w:line="276" w:lineRule="auto"/>
              <w:ind w:left="478" w:right="99" w:hanging="346"/>
              <w:jc w:val="left"/>
              <w:rPr>
                <w:rFonts w:asciiTheme="majorHAnsi" w:hAnsiTheme="majorHAnsi"/>
                <w:b/>
                <w:sz w:val="20"/>
                <w:szCs w:val="20"/>
              </w:rPr>
            </w:pPr>
            <w:r w:rsidRPr="003649E0">
              <w:rPr>
                <w:rFonts w:asciiTheme="majorHAnsi" w:hAnsiTheme="majorHAnsi"/>
                <w:b/>
                <w:sz w:val="20"/>
                <w:szCs w:val="20"/>
              </w:rPr>
              <w:t>Donidalorsen 80 mg Every</w:t>
            </w:r>
          </w:p>
          <w:p w14:paraId="3C13CE9F" w14:textId="77777777" w:rsidR="00A47C35" w:rsidRPr="003649E0" w:rsidRDefault="00A47C35" w:rsidP="003649E0">
            <w:pPr>
              <w:pStyle w:val="TableParagraph"/>
              <w:spacing w:before="0" w:line="276" w:lineRule="auto"/>
              <w:ind w:left="368"/>
              <w:jc w:val="left"/>
              <w:rPr>
                <w:rFonts w:asciiTheme="majorHAnsi" w:hAnsiTheme="majorHAnsi"/>
                <w:b/>
                <w:sz w:val="20"/>
                <w:szCs w:val="20"/>
              </w:rPr>
            </w:pPr>
            <w:r w:rsidRPr="003649E0">
              <w:rPr>
                <w:rFonts w:asciiTheme="majorHAnsi" w:hAnsiTheme="majorHAnsi"/>
                <w:b/>
                <w:sz w:val="20"/>
                <w:szCs w:val="20"/>
              </w:rPr>
              <w:t>4 Weeks</w:t>
            </w:r>
          </w:p>
          <w:p w14:paraId="5EEA7656" w14:textId="77777777" w:rsidR="00A47C35" w:rsidRPr="003649E0" w:rsidRDefault="00A47C35" w:rsidP="003649E0">
            <w:pPr>
              <w:pStyle w:val="TableParagraph"/>
              <w:spacing w:before="0" w:line="276" w:lineRule="auto"/>
              <w:ind w:left="382"/>
              <w:jc w:val="left"/>
              <w:rPr>
                <w:rFonts w:asciiTheme="majorHAnsi" w:hAnsiTheme="majorHAnsi"/>
                <w:b/>
                <w:sz w:val="20"/>
                <w:szCs w:val="20"/>
              </w:rPr>
            </w:pPr>
            <w:r w:rsidRPr="003649E0">
              <w:rPr>
                <w:rFonts w:asciiTheme="majorHAnsi" w:hAnsiTheme="majorHAnsi"/>
                <w:b/>
                <w:sz w:val="20"/>
                <w:szCs w:val="20"/>
              </w:rPr>
              <w:t>(N = 45)</w:t>
            </w:r>
          </w:p>
        </w:tc>
        <w:tc>
          <w:tcPr>
            <w:tcW w:w="1842" w:type="dxa"/>
            <w:tcBorders>
              <w:bottom w:val="single" w:sz="4" w:space="0" w:color="auto"/>
            </w:tcBorders>
          </w:tcPr>
          <w:p w14:paraId="63CAB382" w14:textId="77777777" w:rsidR="00A47C35" w:rsidRPr="003649E0" w:rsidRDefault="00A47C35" w:rsidP="003649E0">
            <w:pPr>
              <w:pStyle w:val="TableParagraph"/>
              <w:spacing w:line="276" w:lineRule="auto"/>
              <w:ind w:left="481" w:right="101" w:hanging="346"/>
              <w:jc w:val="left"/>
              <w:rPr>
                <w:rFonts w:asciiTheme="majorHAnsi" w:hAnsiTheme="majorHAnsi"/>
                <w:b/>
                <w:sz w:val="20"/>
                <w:szCs w:val="20"/>
              </w:rPr>
            </w:pPr>
            <w:r w:rsidRPr="003649E0">
              <w:rPr>
                <w:rFonts w:asciiTheme="majorHAnsi" w:hAnsiTheme="majorHAnsi"/>
                <w:b/>
                <w:sz w:val="20"/>
                <w:szCs w:val="20"/>
              </w:rPr>
              <w:t>Donidalorsen 80 mg Every</w:t>
            </w:r>
          </w:p>
          <w:p w14:paraId="72555C23" w14:textId="77777777" w:rsidR="00A47C35" w:rsidRPr="003649E0" w:rsidRDefault="00A47C35" w:rsidP="003649E0">
            <w:pPr>
              <w:pStyle w:val="TableParagraph"/>
              <w:spacing w:before="0" w:line="276" w:lineRule="auto"/>
              <w:ind w:left="371"/>
              <w:jc w:val="left"/>
              <w:rPr>
                <w:rFonts w:asciiTheme="majorHAnsi" w:hAnsiTheme="majorHAnsi"/>
                <w:b/>
                <w:sz w:val="20"/>
                <w:szCs w:val="20"/>
              </w:rPr>
            </w:pPr>
            <w:r w:rsidRPr="003649E0">
              <w:rPr>
                <w:rFonts w:asciiTheme="majorHAnsi" w:hAnsiTheme="majorHAnsi"/>
                <w:b/>
                <w:sz w:val="20"/>
                <w:szCs w:val="20"/>
              </w:rPr>
              <w:t>8 Weeks</w:t>
            </w:r>
          </w:p>
          <w:p w14:paraId="4FBCA9B8" w14:textId="77777777" w:rsidR="00A47C35" w:rsidRPr="003649E0" w:rsidRDefault="00A47C35" w:rsidP="003649E0">
            <w:pPr>
              <w:pStyle w:val="TableParagraph"/>
              <w:spacing w:before="0" w:line="276" w:lineRule="auto"/>
              <w:ind w:left="385"/>
              <w:jc w:val="left"/>
              <w:rPr>
                <w:rFonts w:asciiTheme="majorHAnsi" w:hAnsiTheme="majorHAnsi"/>
                <w:b/>
                <w:sz w:val="20"/>
                <w:szCs w:val="20"/>
              </w:rPr>
            </w:pPr>
            <w:r w:rsidRPr="003649E0">
              <w:rPr>
                <w:rFonts w:asciiTheme="majorHAnsi" w:hAnsiTheme="majorHAnsi"/>
                <w:b/>
                <w:sz w:val="20"/>
                <w:szCs w:val="20"/>
              </w:rPr>
              <w:t>(N = 23)</w:t>
            </w:r>
          </w:p>
        </w:tc>
      </w:tr>
      <w:tr w:rsidR="00A47C35" w:rsidRPr="003A2BCA" w14:paraId="4E8C4E41"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65269A78" w14:textId="77777777" w:rsidR="00A47C35" w:rsidRPr="003A2BCA" w:rsidRDefault="00A47C35" w:rsidP="003649E0">
            <w:pPr>
              <w:pStyle w:val="TableParagraph"/>
              <w:spacing w:line="276" w:lineRule="auto"/>
              <w:ind w:left="0" w:right="152"/>
              <w:jc w:val="right"/>
              <w:rPr>
                <w:rFonts w:asciiTheme="majorHAnsi" w:hAnsiTheme="majorHAnsi"/>
                <w:b/>
                <w:sz w:val="20"/>
                <w:szCs w:val="20"/>
              </w:rPr>
            </w:pPr>
            <w:r w:rsidRPr="003A2BCA">
              <w:rPr>
                <w:rFonts w:asciiTheme="majorHAnsi" w:hAnsiTheme="majorHAnsi"/>
                <w:b/>
                <w:sz w:val="20"/>
                <w:szCs w:val="20"/>
              </w:rPr>
              <w:t>Patients with any TEAEs, n (%)</w:t>
            </w:r>
          </w:p>
        </w:tc>
        <w:tc>
          <w:tcPr>
            <w:tcW w:w="1984" w:type="dxa"/>
            <w:tcBorders>
              <w:top w:val="single" w:sz="4" w:space="0" w:color="auto"/>
              <w:left w:val="single" w:sz="4" w:space="0" w:color="auto"/>
              <w:bottom w:val="single" w:sz="4" w:space="0" w:color="auto"/>
              <w:right w:val="single" w:sz="4" w:space="0" w:color="auto"/>
            </w:tcBorders>
          </w:tcPr>
          <w:p w14:paraId="1500DEF7" w14:textId="77777777" w:rsidR="00A47C35" w:rsidRPr="003A2BCA" w:rsidRDefault="00A47C35" w:rsidP="003649E0">
            <w:pPr>
              <w:pStyle w:val="TableParagraph"/>
              <w:spacing w:line="276" w:lineRule="auto"/>
              <w:ind w:left="129" w:right="115"/>
              <w:rPr>
                <w:rFonts w:asciiTheme="majorHAnsi" w:hAnsiTheme="majorHAnsi"/>
                <w:b/>
                <w:sz w:val="20"/>
                <w:szCs w:val="20"/>
              </w:rPr>
            </w:pPr>
            <w:r w:rsidRPr="003A2BCA">
              <w:rPr>
                <w:rFonts w:asciiTheme="majorHAnsi" w:hAnsiTheme="majorHAnsi"/>
                <w:b/>
                <w:sz w:val="20"/>
                <w:szCs w:val="20"/>
              </w:rPr>
              <w:t>18 (81.8)</w:t>
            </w:r>
          </w:p>
        </w:tc>
        <w:tc>
          <w:tcPr>
            <w:tcW w:w="1985" w:type="dxa"/>
            <w:tcBorders>
              <w:top w:val="single" w:sz="4" w:space="0" w:color="auto"/>
              <w:left w:val="single" w:sz="4" w:space="0" w:color="auto"/>
              <w:bottom w:val="single" w:sz="4" w:space="0" w:color="auto"/>
              <w:right w:val="single" w:sz="4" w:space="0" w:color="auto"/>
            </w:tcBorders>
          </w:tcPr>
          <w:p w14:paraId="5D765663" w14:textId="77777777" w:rsidR="00A47C35" w:rsidRPr="003A2BCA" w:rsidRDefault="00A47C35" w:rsidP="003649E0">
            <w:pPr>
              <w:pStyle w:val="TableParagraph"/>
              <w:spacing w:line="276" w:lineRule="auto"/>
              <w:ind w:left="339" w:right="325"/>
              <w:rPr>
                <w:rFonts w:asciiTheme="majorHAnsi" w:hAnsiTheme="majorHAnsi"/>
                <w:b/>
                <w:sz w:val="20"/>
                <w:szCs w:val="20"/>
              </w:rPr>
            </w:pPr>
            <w:r w:rsidRPr="003A2BCA">
              <w:rPr>
                <w:rFonts w:asciiTheme="majorHAnsi" w:hAnsiTheme="majorHAnsi"/>
                <w:b/>
                <w:sz w:val="20"/>
                <w:szCs w:val="20"/>
              </w:rPr>
              <w:t>33 (73.3)</w:t>
            </w:r>
          </w:p>
        </w:tc>
        <w:tc>
          <w:tcPr>
            <w:tcW w:w="1842" w:type="dxa"/>
            <w:tcBorders>
              <w:top w:val="single" w:sz="4" w:space="0" w:color="auto"/>
              <w:left w:val="single" w:sz="4" w:space="0" w:color="auto"/>
              <w:bottom w:val="single" w:sz="4" w:space="0" w:color="auto"/>
              <w:right w:val="single" w:sz="4" w:space="0" w:color="auto"/>
            </w:tcBorders>
          </w:tcPr>
          <w:p w14:paraId="1FDCF7B2" w14:textId="77777777" w:rsidR="00A47C35" w:rsidRPr="003A2BCA" w:rsidRDefault="00A47C35" w:rsidP="003649E0">
            <w:pPr>
              <w:pStyle w:val="TableParagraph"/>
              <w:spacing w:line="276" w:lineRule="auto"/>
              <w:ind w:left="362"/>
              <w:jc w:val="left"/>
              <w:rPr>
                <w:rFonts w:asciiTheme="majorHAnsi" w:hAnsiTheme="majorHAnsi"/>
                <w:b/>
                <w:sz w:val="20"/>
                <w:szCs w:val="20"/>
              </w:rPr>
            </w:pPr>
            <w:r w:rsidRPr="003A2BCA">
              <w:rPr>
                <w:rFonts w:asciiTheme="majorHAnsi" w:hAnsiTheme="majorHAnsi"/>
                <w:b/>
                <w:sz w:val="20"/>
                <w:szCs w:val="20"/>
              </w:rPr>
              <w:t>14 (60.9)</w:t>
            </w:r>
          </w:p>
        </w:tc>
      </w:tr>
      <w:tr w:rsidR="00E626D7" w:rsidRPr="003A2BCA" w14:paraId="01D448BD" w14:textId="77777777" w:rsidTr="619405FB">
        <w:trPr>
          <w:trHeight w:val="372"/>
        </w:trPr>
        <w:tc>
          <w:tcPr>
            <w:tcW w:w="9072" w:type="dxa"/>
            <w:gridSpan w:val="4"/>
            <w:tcBorders>
              <w:top w:val="single" w:sz="4" w:space="0" w:color="auto"/>
              <w:left w:val="single" w:sz="4" w:space="0" w:color="auto"/>
              <w:bottom w:val="single" w:sz="4" w:space="0" w:color="auto"/>
              <w:right w:val="single" w:sz="4" w:space="0" w:color="auto"/>
            </w:tcBorders>
          </w:tcPr>
          <w:p w14:paraId="7BB24A2B" w14:textId="08AB8B29" w:rsidR="00E626D7" w:rsidRPr="003A2BCA" w:rsidRDefault="00E626D7" w:rsidP="003649E0">
            <w:pPr>
              <w:pStyle w:val="TableParagraph"/>
              <w:spacing w:line="276" w:lineRule="auto"/>
              <w:ind w:leftChars="100" w:left="220"/>
              <w:jc w:val="left"/>
              <w:rPr>
                <w:rFonts w:asciiTheme="majorHAnsi" w:hAnsiTheme="majorHAnsi"/>
                <w:b/>
                <w:sz w:val="20"/>
                <w:szCs w:val="20"/>
              </w:rPr>
            </w:pPr>
            <w:r w:rsidRPr="003A2BCA">
              <w:rPr>
                <w:rFonts w:asciiTheme="majorHAnsi" w:hAnsiTheme="majorHAnsi"/>
                <w:b/>
                <w:sz w:val="20"/>
                <w:szCs w:val="20"/>
              </w:rPr>
              <w:t>INFECTIONS AND INFESTATIONS</w:t>
            </w:r>
          </w:p>
        </w:tc>
      </w:tr>
      <w:tr w:rsidR="00E626D7" w:rsidRPr="003A2BCA" w14:paraId="68DD1D6E"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40811533" w14:textId="54606F33" w:rsidR="00E626D7" w:rsidRPr="003A2BCA" w:rsidRDefault="00E626D7"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Nasopharyngitis</w:t>
            </w:r>
          </w:p>
        </w:tc>
        <w:tc>
          <w:tcPr>
            <w:tcW w:w="1984" w:type="dxa"/>
            <w:tcBorders>
              <w:top w:val="single" w:sz="4" w:space="0" w:color="auto"/>
              <w:left w:val="single" w:sz="4" w:space="0" w:color="auto"/>
              <w:bottom w:val="single" w:sz="4" w:space="0" w:color="auto"/>
              <w:right w:val="single" w:sz="4" w:space="0" w:color="auto"/>
            </w:tcBorders>
          </w:tcPr>
          <w:p w14:paraId="33170990" w14:textId="1296CF45" w:rsidR="00E626D7" w:rsidRPr="003A2BCA" w:rsidRDefault="00E626D7"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4 (18.2)</w:t>
            </w:r>
          </w:p>
        </w:tc>
        <w:tc>
          <w:tcPr>
            <w:tcW w:w="1985" w:type="dxa"/>
            <w:tcBorders>
              <w:top w:val="single" w:sz="4" w:space="0" w:color="auto"/>
              <w:left w:val="single" w:sz="4" w:space="0" w:color="auto"/>
              <w:bottom w:val="single" w:sz="4" w:space="0" w:color="auto"/>
              <w:right w:val="single" w:sz="4" w:space="0" w:color="auto"/>
            </w:tcBorders>
          </w:tcPr>
          <w:p w14:paraId="15D6B075" w14:textId="3E9A5871" w:rsidR="00E626D7" w:rsidRPr="003A2BCA" w:rsidRDefault="00E626D7"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5 (11.1)</w:t>
            </w:r>
          </w:p>
        </w:tc>
        <w:tc>
          <w:tcPr>
            <w:tcW w:w="1842" w:type="dxa"/>
            <w:tcBorders>
              <w:top w:val="single" w:sz="4" w:space="0" w:color="auto"/>
              <w:left w:val="single" w:sz="4" w:space="0" w:color="auto"/>
              <w:bottom w:val="single" w:sz="4" w:space="0" w:color="auto"/>
              <w:right w:val="single" w:sz="4" w:space="0" w:color="auto"/>
            </w:tcBorders>
          </w:tcPr>
          <w:p w14:paraId="683C357E" w14:textId="423FC0BD" w:rsidR="00E626D7" w:rsidRPr="003A2BCA" w:rsidRDefault="00E626D7"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3 (13.0)</w:t>
            </w:r>
          </w:p>
        </w:tc>
      </w:tr>
      <w:tr w:rsidR="00E626D7" w:rsidRPr="003A2BCA" w14:paraId="43049EFD"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64D65331" w14:textId="3DF9A7AF" w:rsidR="00E626D7" w:rsidRPr="003A2BCA" w:rsidRDefault="00E626D7"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Upper respiratory tract infection</w:t>
            </w:r>
          </w:p>
        </w:tc>
        <w:tc>
          <w:tcPr>
            <w:tcW w:w="1984" w:type="dxa"/>
            <w:tcBorders>
              <w:top w:val="single" w:sz="4" w:space="0" w:color="auto"/>
              <w:left w:val="single" w:sz="4" w:space="0" w:color="auto"/>
              <w:bottom w:val="single" w:sz="4" w:space="0" w:color="auto"/>
              <w:right w:val="single" w:sz="4" w:space="0" w:color="auto"/>
            </w:tcBorders>
          </w:tcPr>
          <w:p w14:paraId="0D427351" w14:textId="2DA2C60F" w:rsidR="00E626D7" w:rsidRPr="003A2BCA" w:rsidRDefault="00E626D7"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1 (4.5)</w:t>
            </w:r>
          </w:p>
        </w:tc>
        <w:tc>
          <w:tcPr>
            <w:tcW w:w="1985" w:type="dxa"/>
            <w:tcBorders>
              <w:top w:val="single" w:sz="4" w:space="0" w:color="auto"/>
              <w:left w:val="single" w:sz="4" w:space="0" w:color="auto"/>
              <w:bottom w:val="single" w:sz="4" w:space="0" w:color="auto"/>
              <w:right w:val="single" w:sz="4" w:space="0" w:color="auto"/>
            </w:tcBorders>
          </w:tcPr>
          <w:p w14:paraId="494EAF36" w14:textId="5894ECFD" w:rsidR="00E626D7" w:rsidRPr="003A2BCA" w:rsidRDefault="00E626D7"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4 (8.9)</w:t>
            </w:r>
          </w:p>
        </w:tc>
        <w:tc>
          <w:tcPr>
            <w:tcW w:w="1842" w:type="dxa"/>
            <w:tcBorders>
              <w:top w:val="single" w:sz="4" w:space="0" w:color="auto"/>
              <w:left w:val="single" w:sz="4" w:space="0" w:color="auto"/>
              <w:bottom w:val="single" w:sz="4" w:space="0" w:color="auto"/>
              <w:right w:val="single" w:sz="4" w:space="0" w:color="auto"/>
            </w:tcBorders>
          </w:tcPr>
          <w:p w14:paraId="6AA47AB7" w14:textId="645480F2" w:rsidR="00E626D7" w:rsidRPr="003A2BCA" w:rsidRDefault="00E626D7"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2 (8.7)</w:t>
            </w:r>
          </w:p>
        </w:tc>
      </w:tr>
      <w:tr w:rsidR="00E626D7" w:rsidRPr="003A2BCA" w14:paraId="58AF398F"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0F560389" w14:textId="035D9C7D" w:rsidR="00E626D7" w:rsidRPr="003A2BCA" w:rsidRDefault="00E626D7"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Urinary tract infection</w:t>
            </w:r>
          </w:p>
        </w:tc>
        <w:tc>
          <w:tcPr>
            <w:tcW w:w="1984" w:type="dxa"/>
            <w:tcBorders>
              <w:top w:val="single" w:sz="4" w:space="0" w:color="auto"/>
              <w:left w:val="single" w:sz="4" w:space="0" w:color="auto"/>
              <w:bottom w:val="single" w:sz="4" w:space="0" w:color="auto"/>
              <w:right w:val="single" w:sz="4" w:space="0" w:color="auto"/>
            </w:tcBorders>
          </w:tcPr>
          <w:p w14:paraId="71D26221" w14:textId="39491F9B" w:rsidR="00E626D7" w:rsidRPr="003A2BCA" w:rsidRDefault="00E626D7"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0</w:t>
            </w:r>
          </w:p>
        </w:tc>
        <w:tc>
          <w:tcPr>
            <w:tcW w:w="1985" w:type="dxa"/>
            <w:tcBorders>
              <w:top w:val="single" w:sz="4" w:space="0" w:color="auto"/>
              <w:left w:val="single" w:sz="4" w:space="0" w:color="auto"/>
              <w:bottom w:val="single" w:sz="4" w:space="0" w:color="auto"/>
              <w:right w:val="single" w:sz="4" w:space="0" w:color="auto"/>
            </w:tcBorders>
          </w:tcPr>
          <w:p w14:paraId="2F0B7125" w14:textId="454E5FFD" w:rsidR="00E626D7" w:rsidRPr="003A2BCA" w:rsidRDefault="00E626D7"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4 (8.9)</w:t>
            </w:r>
          </w:p>
        </w:tc>
        <w:tc>
          <w:tcPr>
            <w:tcW w:w="1842" w:type="dxa"/>
            <w:tcBorders>
              <w:top w:val="single" w:sz="4" w:space="0" w:color="auto"/>
              <w:left w:val="single" w:sz="4" w:space="0" w:color="auto"/>
              <w:bottom w:val="single" w:sz="4" w:space="0" w:color="auto"/>
              <w:right w:val="single" w:sz="4" w:space="0" w:color="auto"/>
            </w:tcBorders>
          </w:tcPr>
          <w:p w14:paraId="6500544F" w14:textId="6AC54F37" w:rsidR="00E626D7" w:rsidRPr="003A2BCA" w:rsidRDefault="00E626D7"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2 (8.7)</w:t>
            </w:r>
          </w:p>
        </w:tc>
      </w:tr>
      <w:tr w:rsidR="00E626D7" w:rsidRPr="003A2BCA" w14:paraId="401B9830"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65CDC95A" w14:textId="2F51E79E" w:rsidR="00E626D7" w:rsidRPr="003A2BCA" w:rsidRDefault="00E626D7"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Influenza</w:t>
            </w:r>
          </w:p>
        </w:tc>
        <w:tc>
          <w:tcPr>
            <w:tcW w:w="1984" w:type="dxa"/>
            <w:tcBorders>
              <w:top w:val="single" w:sz="4" w:space="0" w:color="auto"/>
              <w:left w:val="single" w:sz="4" w:space="0" w:color="auto"/>
              <w:bottom w:val="single" w:sz="4" w:space="0" w:color="auto"/>
              <w:right w:val="single" w:sz="4" w:space="0" w:color="auto"/>
            </w:tcBorders>
          </w:tcPr>
          <w:p w14:paraId="22B2620E" w14:textId="742F674C" w:rsidR="00E626D7" w:rsidRPr="003A2BCA" w:rsidRDefault="00E626D7"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2 (9.1)</w:t>
            </w:r>
          </w:p>
        </w:tc>
        <w:tc>
          <w:tcPr>
            <w:tcW w:w="1985" w:type="dxa"/>
            <w:tcBorders>
              <w:top w:val="single" w:sz="4" w:space="0" w:color="auto"/>
              <w:left w:val="single" w:sz="4" w:space="0" w:color="auto"/>
              <w:bottom w:val="single" w:sz="4" w:space="0" w:color="auto"/>
              <w:right w:val="single" w:sz="4" w:space="0" w:color="auto"/>
            </w:tcBorders>
          </w:tcPr>
          <w:p w14:paraId="306888A8" w14:textId="599AB2B6" w:rsidR="00E626D7" w:rsidRPr="003A2BCA" w:rsidRDefault="00E626D7"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2 (4.4)</w:t>
            </w:r>
          </w:p>
        </w:tc>
        <w:tc>
          <w:tcPr>
            <w:tcW w:w="1842" w:type="dxa"/>
            <w:tcBorders>
              <w:top w:val="single" w:sz="4" w:space="0" w:color="auto"/>
              <w:left w:val="single" w:sz="4" w:space="0" w:color="auto"/>
              <w:bottom w:val="single" w:sz="4" w:space="0" w:color="auto"/>
              <w:right w:val="single" w:sz="4" w:space="0" w:color="auto"/>
            </w:tcBorders>
          </w:tcPr>
          <w:p w14:paraId="354F5924" w14:textId="1EC6E3BC" w:rsidR="00E626D7" w:rsidRPr="003A2BCA" w:rsidRDefault="00E626D7"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4 (17.4)</w:t>
            </w:r>
          </w:p>
        </w:tc>
      </w:tr>
      <w:tr w:rsidR="00E626D7" w:rsidRPr="003A2BCA" w14:paraId="168E15D6"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00179FCD" w14:textId="66D9E1C7" w:rsidR="00E626D7" w:rsidRPr="003A2BCA" w:rsidRDefault="00E626D7"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COVID-19</w:t>
            </w:r>
          </w:p>
        </w:tc>
        <w:tc>
          <w:tcPr>
            <w:tcW w:w="1984" w:type="dxa"/>
            <w:tcBorders>
              <w:top w:val="single" w:sz="4" w:space="0" w:color="auto"/>
              <w:left w:val="single" w:sz="4" w:space="0" w:color="auto"/>
              <w:bottom w:val="single" w:sz="4" w:space="0" w:color="auto"/>
              <w:right w:val="single" w:sz="4" w:space="0" w:color="auto"/>
            </w:tcBorders>
          </w:tcPr>
          <w:p w14:paraId="255A3A6A" w14:textId="4FB78F32" w:rsidR="00E626D7" w:rsidRPr="003A2BCA" w:rsidRDefault="00E626D7"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2 (9.1)</w:t>
            </w:r>
          </w:p>
        </w:tc>
        <w:tc>
          <w:tcPr>
            <w:tcW w:w="1985" w:type="dxa"/>
            <w:tcBorders>
              <w:top w:val="single" w:sz="4" w:space="0" w:color="auto"/>
              <w:left w:val="single" w:sz="4" w:space="0" w:color="auto"/>
              <w:bottom w:val="single" w:sz="4" w:space="0" w:color="auto"/>
              <w:right w:val="single" w:sz="4" w:space="0" w:color="auto"/>
            </w:tcBorders>
          </w:tcPr>
          <w:p w14:paraId="117FBE2B" w14:textId="4FFD4D53" w:rsidR="00E626D7" w:rsidRPr="003A2BCA" w:rsidRDefault="00E626D7"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1 (2.2)</w:t>
            </w:r>
          </w:p>
        </w:tc>
        <w:tc>
          <w:tcPr>
            <w:tcW w:w="1842" w:type="dxa"/>
            <w:tcBorders>
              <w:top w:val="single" w:sz="4" w:space="0" w:color="auto"/>
              <w:left w:val="single" w:sz="4" w:space="0" w:color="auto"/>
              <w:bottom w:val="single" w:sz="4" w:space="0" w:color="auto"/>
              <w:right w:val="single" w:sz="4" w:space="0" w:color="auto"/>
            </w:tcBorders>
          </w:tcPr>
          <w:p w14:paraId="6CAF2793" w14:textId="438C5307" w:rsidR="00E626D7" w:rsidRPr="003A2BCA" w:rsidRDefault="00E626D7"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0</w:t>
            </w:r>
          </w:p>
        </w:tc>
      </w:tr>
      <w:tr w:rsidR="00E626D7" w:rsidRPr="003A2BCA" w14:paraId="73EC7949"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6CC1CA0D" w14:textId="447823C4" w:rsidR="00E626D7" w:rsidRPr="003A2BCA" w:rsidRDefault="00E626D7"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Gastroenteritis</w:t>
            </w:r>
          </w:p>
        </w:tc>
        <w:tc>
          <w:tcPr>
            <w:tcW w:w="1984" w:type="dxa"/>
            <w:tcBorders>
              <w:top w:val="single" w:sz="4" w:space="0" w:color="auto"/>
              <w:left w:val="single" w:sz="4" w:space="0" w:color="auto"/>
              <w:bottom w:val="single" w:sz="4" w:space="0" w:color="auto"/>
              <w:right w:val="single" w:sz="4" w:space="0" w:color="auto"/>
            </w:tcBorders>
          </w:tcPr>
          <w:p w14:paraId="61713E72" w14:textId="5000EB2C" w:rsidR="00E626D7" w:rsidRPr="003A2BCA" w:rsidRDefault="00E626D7"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2 (9.1)</w:t>
            </w:r>
          </w:p>
        </w:tc>
        <w:tc>
          <w:tcPr>
            <w:tcW w:w="1985" w:type="dxa"/>
            <w:tcBorders>
              <w:top w:val="single" w:sz="4" w:space="0" w:color="auto"/>
              <w:left w:val="single" w:sz="4" w:space="0" w:color="auto"/>
              <w:bottom w:val="single" w:sz="4" w:space="0" w:color="auto"/>
              <w:right w:val="single" w:sz="4" w:space="0" w:color="auto"/>
            </w:tcBorders>
          </w:tcPr>
          <w:p w14:paraId="507580A4" w14:textId="4E4AD013" w:rsidR="00E626D7" w:rsidRPr="003A2BCA" w:rsidRDefault="00E626D7"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1 (2.2)</w:t>
            </w:r>
          </w:p>
        </w:tc>
        <w:tc>
          <w:tcPr>
            <w:tcW w:w="1842" w:type="dxa"/>
            <w:tcBorders>
              <w:top w:val="single" w:sz="4" w:space="0" w:color="auto"/>
              <w:left w:val="single" w:sz="4" w:space="0" w:color="auto"/>
              <w:bottom w:val="single" w:sz="4" w:space="0" w:color="auto"/>
              <w:right w:val="single" w:sz="4" w:space="0" w:color="auto"/>
            </w:tcBorders>
          </w:tcPr>
          <w:p w14:paraId="46D4FCA1" w14:textId="271D419F" w:rsidR="00E626D7" w:rsidRPr="003A2BCA" w:rsidRDefault="00E626D7"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1 (4.3)</w:t>
            </w:r>
          </w:p>
        </w:tc>
      </w:tr>
      <w:tr w:rsidR="00E626D7" w:rsidRPr="003A2BCA" w14:paraId="5386FDCE"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4032B06F" w14:textId="1E0A162C" w:rsidR="00E626D7" w:rsidRPr="003A2BCA" w:rsidRDefault="00E626D7"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Oral herpes</w:t>
            </w:r>
          </w:p>
        </w:tc>
        <w:tc>
          <w:tcPr>
            <w:tcW w:w="1984" w:type="dxa"/>
            <w:tcBorders>
              <w:top w:val="single" w:sz="4" w:space="0" w:color="auto"/>
              <w:left w:val="single" w:sz="4" w:space="0" w:color="auto"/>
              <w:bottom w:val="single" w:sz="4" w:space="0" w:color="auto"/>
              <w:right w:val="single" w:sz="4" w:space="0" w:color="auto"/>
            </w:tcBorders>
          </w:tcPr>
          <w:p w14:paraId="73A76258" w14:textId="040158D3" w:rsidR="00E626D7" w:rsidRPr="003A2BCA" w:rsidRDefault="00E626D7"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0</w:t>
            </w:r>
          </w:p>
        </w:tc>
        <w:tc>
          <w:tcPr>
            <w:tcW w:w="1985" w:type="dxa"/>
            <w:tcBorders>
              <w:top w:val="single" w:sz="4" w:space="0" w:color="auto"/>
              <w:left w:val="single" w:sz="4" w:space="0" w:color="auto"/>
              <w:bottom w:val="single" w:sz="4" w:space="0" w:color="auto"/>
              <w:right w:val="single" w:sz="4" w:space="0" w:color="auto"/>
            </w:tcBorders>
          </w:tcPr>
          <w:p w14:paraId="7774C9DE" w14:textId="42B94B07" w:rsidR="00E626D7" w:rsidRPr="003A2BCA" w:rsidRDefault="00E626D7"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0</w:t>
            </w:r>
          </w:p>
        </w:tc>
        <w:tc>
          <w:tcPr>
            <w:tcW w:w="1842" w:type="dxa"/>
            <w:tcBorders>
              <w:top w:val="single" w:sz="4" w:space="0" w:color="auto"/>
              <w:left w:val="single" w:sz="4" w:space="0" w:color="auto"/>
              <w:bottom w:val="single" w:sz="4" w:space="0" w:color="auto"/>
              <w:right w:val="single" w:sz="4" w:space="0" w:color="auto"/>
            </w:tcBorders>
          </w:tcPr>
          <w:p w14:paraId="56714C3F" w14:textId="5980241B" w:rsidR="00E626D7" w:rsidRPr="003A2BCA" w:rsidRDefault="00E626D7"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2 (8.7)</w:t>
            </w:r>
          </w:p>
        </w:tc>
      </w:tr>
      <w:tr w:rsidR="00E626D7" w:rsidRPr="003A2BCA" w14:paraId="0483AEDA"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1C535915" w14:textId="6F37B09C" w:rsidR="00E626D7" w:rsidRPr="003A2BCA" w:rsidRDefault="00E626D7"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Sinusitis</w:t>
            </w:r>
          </w:p>
        </w:tc>
        <w:tc>
          <w:tcPr>
            <w:tcW w:w="1984" w:type="dxa"/>
            <w:tcBorders>
              <w:top w:val="single" w:sz="4" w:space="0" w:color="auto"/>
              <w:left w:val="single" w:sz="4" w:space="0" w:color="auto"/>
              <w:bottom w:val="single" w:sz="4" w:space="0" w:color="auto"/>
              <w:right w:val="single" w:sz="4" w:space="0" w:color="auto"/>
            </w:tcBorders>
          </w:tcPr>
          <w:p w14:paraId="448D29E9" w14:textId="467F3A8C" w:rsidR="00E626D7" w:rsidRPr="003A2BCA" w:rsidRDefault="00E626D7"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2 (9.1)</w:t>
            </w:r>
          </w:p>
        </w:tc>
        <w:tc>
          <w:tcPr>
            <w:tcW w:w="1985" w:type="dxa"/>
            <w:tcBorders>
              <w:top w:val="single" w:sz="4" w:space="0" w:color="auto"/>
              <w:left w:val="single" w:sz="4" w:space="0" w:color="auto"/>
              <w:bottom w:val="single" w:sz="4" w:space="0" w:color="auto"/>
              <w:right w:val="single" w:sz="4" w:space="0" w:color="auto"/>
            </w:tcBorders>
          </w:tcPr>
          <w:p w14:paraId="768D9AB8" w14:textId="19F5D9AA" w:rsidR="00E626D7" w:rsidRPr="003A2BCA" w:rsidRDefault="00E626D7"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0</w:t>
            </w:r>
          </w:p>
        </w:tc>
        <w:tc>
          <w:tcPr>
            <w:tcW w:w="1842" w:type="dxa"/>
            <w:tcBorders>
              <w:top w:val="single" w:sz="4" w:space="0" w:color="auto"/>
              <w:left w:val="single" w:sz="4" w:space="0" w:color="auto"/>
              <w:bottom w:val="single" w:sz="4" w:space="0" w:color="auto"/>
              <w:right w:val="single" w:sz="4" w:space="0" w:color="auto"/>
            </w:tcBorders>
          </w:tcPr>
          <w:p w14:paraId="31758532" w14:textId="07AC0935" w:rsidR="00E626D7" w:rsidRPr="003A2BCA" w:rsidRDefault="00E626D7"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0</w:t>
            </w:r>
          </w:p>
        </w:tc>
      </w:tr>
      <w:tr w:rsidR="00E626D7" w:rsidRPr="003A2BCA" w14:paraId="196FB068" w14:textId="77777777" w:rsidTr="619405FB">
        <w:trPr>
          <w:trHeight w:val="372"/>
        </w:trPr>
        <w:tc>
          <w:tcPr>
            <w:tcW w:w="9072" w:type="dxa"/>
            <w:gridSpan w:val="4"/>
            <w:tcBorders>
              <w:top w:val="single" w:sz="4" w:space="0" w:color="auto"/>
              <w:left w:val="single" w:sz="4" w:space="0" w:color="auto"/>
              <w:bottom w:val="single" w:sz="4" w:space="0" w:color="auto"/>
              <w:right w:val="single" w:sz="4" w:space="0" w:color="auto"/>
            </w:tcBorders>
          </w:tcPr>
          <w:p w14:paraId="02412D33" w14:textId="32163719" w:rsidR="00E626D7" w:rsidRPr="003649E0" w:rsidRDefault="00E626D7" w:rsidP="003649E0">
            <w:pPr>
              <w:pStyle w:val="TableParagraph"/>
              <w:spacing w:line="276" w:lineRule="auto"/>
              <w:ind w:leftChars="115" w:left="253"/>
              <w:jc w:val="left"/>
              <w:rPr>
                <w:rFonts w:asciiTheme="majorHAnsi" w:hAnsiTheme="majorHAnsi"/>
                <w:b/>
                <w:bCs/>
                <w:sz w:val="20"/>
                <w:szCs w:val="20"/>
              </w:rPr>
            </w:pPr>
            <w:r w:rsidRPr="003649E0">
              <w:rPr>
                <w:rFonts w:asciiTheme="majorHAnsi" w:hAnsiTheme="majorHAnsi"/>
                <w:b/>
                <w:bCs/>
                <w:sz w:val="20"/>
                <w:szCs w:val="20"/>
              </w:rPr>
              <w:t>GENERAL DISORDERS AND ADMINISTRATION SITE CONDITIONS</w:t>
            </w:r>
          </w:p>
        </w:tc>
      </w:tr>
      <w:tr w:rsidR="00E626D7" w:rsidRPr="003A2BCA" w14:paraId="77972DEF"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0F386A50" w14:textId="41E953F0" w:rsidR="00E626D7" w:rsidRPr="003A2BCA" w:rsidRDefault="00E626D7"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Injection site erythema</w:t>
            </w:r>
          </w:p>
        </w:tc>
        <w:tc>
          <w:tcPr>
            <w:tcW w:w="1984" w:type="dxa"/>
            <w:tcBorders>
              <w:top w:val="single" w:sz="4" w:space="0" w:color="auto"/>
              <w:left w:val="single" w:sz="4" w:space="0" w:color="auto"/>
              <w:bottom w:val="single" w:sz="4" w:space="0" w:color="auto"/>
              <w:right w:val="single" w:sz="4" w:space="0" w:color="auto"/>
            </w:tcBorders>
          </w:tcPr>
          <w:p w14:paraId="025343C7" w14:textId="2F45FDF2" w:rsidR="00E626D7" w:rsidRPr="003A2BCA" w:rsidRDefault="00E626D7"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0</w:t>
            </w:r>
          </w:p>
        </w:tc>
        <w:tc>
          <w:tcPr>
            <w:tcW w:w="1985" w:type="dxa"/>
            <w:tcBorders>
              <w:top w:val="single" w:sz="4" w:space="0" w:color="auto"/>
              <w:left w:val="single" w:sz="4" w:space="0" w:color="auto"/>
              <w:bottom w:val="single" w:sz="4" w:space="0" w:color="auto"/>
              <w:right w:val="single" w:sz="4" w:space="0" w:color="auto"/>
            </w:tcBorders>
          </w:tcPr>
          <w:p w14:paraId="4F5BCC0F" w14:textId="2B2C0C00" w:rsidR="00E626D7" w:rsidRPr="003A2BCA" w:rsidRDefault="00E626D7"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6 (13.3)</w:t>
            </w:r>
          </w:p>
        </w:tc>
        <w:tc>
          <w:tcPr>
            <w:tcW w:w="1842" w:type="dxa"/>
            <w:tcBorders>
              <w:top w:val="single" w:sz="4" w:space="0" w:color="auto"/>
              <w:left w:val="single" w:sz="4" w:space="0" w:color="auto"/>
              <w:bottom w:val="single" w:sz="4" w:space="0" w:color="auto"/>
              <w:right w:val="single" w:sz="4" w:space="0" w:color="auto"/>
            </w:tcBorders>
          </w:tcPr>
          <w:p w14:paraId="0FB04015" w14:textId="53D522BB" w:rsidR="00E626D7" w:rsidRPr="003A2BCA" w:rsidRDefault="00E626D7"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1 (4.3)</w:t>
            </w:r>
          </w:p>
        </w:tc>
      </w:tr>
      <w:tr w:rsidR="00DB588E" w:rsidRPr="003A2BCA" w14:paraId="23D4B9A0"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5581367E" w14:textId="5EF9B7CC" w:rsidR="00DB588E" w:rsidRPr="003A2BCA" w:rsidRDefault="00DB588E"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 xml:space="preserve">Injection site </w:t>
            </w:r>
            <w:proofErr w:type="spellStart"/>
            <w:r w:rsidRPr="003A2BCA">
              <w:rPr>
                <w:rFonts w:asciiTheme="majorHAnsi" w:hAnsiTheme="majorHAnsi"/>
                <w:sz w:val="20"/>
                <w:szCs w:val="20"/>
              </w:rPr>
              <w:t>discolouration</w:t>
            </w:r>
            <w:proofErr w:type="spellEnd"/>
          </w:p>
        </w:tc>
        <w:tc>
          <w:tcPr>
            <w:tcW w:w="1984" w:type="dxa"/>
            <w:tcBorders>
              <w:top w:val="single" w:sz="4" w:space="0" w:color="auto"/>
              <w:left w:val="single" w:sz="4" w:space="0" w:color="auto"/>
              <w:bottom w:val="single" w:sz="4" w:space="0" w:color="auto"/>
              <w:right w:val="single" w:sz="4" w:space="0" w:color="auto"/>
            </w:tcBorders>
          </w:tcPr>
          <w:p w14:paraId="59147376" w14:textId="2D0CFC28" w:rsidR="00DB588E" w:rsidRPr="003A2BCA" w:rsidRDefault="00DB588E"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0</w:t>
            </w:r>
          </w:p>
        </w:tc>
        <w:tc>
          <w:tcPr>
            <w:tcW w:w="1985" w:type="dxa"/>
            <w:tcBorders>
              <w:top w:val="single" w:sz="4" w:space="0" w:color="auto"/>
              <w:left w:val="single" w:sz="4" w:space="0" w:color="auto"/>
              <w:bottom w:val="single" w:sz="4" w:space="0" w:color="auto"/>
              <w:right w:val="single" w:sz="4" w:space="0" w:color="auto"/>
            </w:tcBorders>
          </w:tcPr>
          <w:p w14:paraId="009E6118" w14:textId="66324559" w:rsidR="00DB588E" w:rsidRPr="003A2BCA" w:rsidRDefault="00DB588E"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3 (6.7)</w:t>
            </w:r>
          </w:p>
        </w:tc>
        <w:tc>
          <w:tcPr>
            <w:tcW w:w="1842" w:type="dxa"/>
            <w:tcBorders>
              <w:top w:val="single" w:sz="4" w:space="0" w:color="auto"/>
              <w:left w:val="single" w:sz="4" w:space="0" w:color="auto"/>
              <w:bottom w:val="single" w:sz="4" w:space="0" w:color="auto"/>
              <w:right w:val="single" w:sz="4" w:space="0" w:color="auto"/>
            </w:tcBorders>
          </w:tcPr>
          <w:p w14:paraId="56FF866C" w14:textId="319B57BA" w:rsidR="00DB588E" w:rsidRPr="003A2BCA" w:rsidRDefault="00DB588E"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1 (4.3)</w:t>
            </w:r>
          </w:p>
        </w:tc>
      </w:tr>
      <w:tr w:rsidR="00DB588E" w:rsidRPr="003A2BCA" w14:paraId="7B23EF40"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48E9B3B6" w14:textId="2B014617" w:rsidR="00DB588E" w:rsidRPr="003A2BCA" w:rsidRDefault="00DB588E"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Injection site pruritus</w:t>
            </w:r>
          </w:p>
        </w:tc>
        <w:tc>
          <w:tcPr>
            <w:tcW w:w="1984" w:type="dxa"/>
            <w:tcBorders>
              <w:top w:val="single" w:sz="4" w:space="0" w:color="auto"/>
              <w:left w:val="single" w:sz="4" w:space="0" w:color="auto"/>
              <w:bottom w:val="single" w:sz="4" w:space="0" w:color="auto"/>
              <w:right w:val="single" w:sz="4" w:space="0" w:color="auto"/>
            </w:tcBorders>
          </w:tcPr>
          <w:p w14:paraId="48A0187F" w14:textId="6AEAB865" w:rsidR="00DB588E" w:rsidRPr="003A2BCA" w:rsidRDefault="00DB588E"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0</w:t>
            </w:r>
          </w:p>
        </w:tc>
        <w:tc>
          <w:tcPr>
            <w:tcW w:w="1985" w:type="dxa"/>
            <w:tcBorders>
              <w:top w:val="single" w:sz="4" w:space="0" w:color="auto"/>
              <w:left w:val="single" w:sz="4" w:space="0" w:color="auto"/>
              <w:bottom w:val="single" w:sz="4" w:space="0" w:color="auto"/>
              <w:right w:val="single" w:sz="4" w:space="0" w:color="auto"/>
            </w:tcBorders>
          </w:tcPr>
          <w:p w14:paraId="40D88FA3" w14:textId="49B0E4F1" w:rsidR="00DB588E" w:rsidRPr="003A2BCA" w:rsidRDefault="00DB588E"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3 (6.7)</w:t>
            </w:r>
          </w:p>
        </w:tc>
        <w:tc>
          <w:tcPr>
            <w:tcW w:w="1842" w:type="dxa"/>
            <w:tcBorders>
              <w:top w:val="single" w:sz="4" w:space="0" w:color="auto"/>
              <w:left w:val="single" w:sz="4" w:space="0" w:color="auto"/>
              <w:bottom w:val="single" w:sz="4" w:space="0" w:color="auto"/>
              <w:right w:val="single" w:sz="4" w:space="0" w:color="auto"/>
            </w:tcBorders>
          </w:tcPr>
          <w:p w14:paraId="4F0B2F57" w14:textId="224BBAE8" w:rsidR="00DB588E" w:rsidRPr="003A2BCA" w:rsidRDefault="00DB588E"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0</w:t>
            </w:r>
          </w:p>
        </w:tc>
      </w:tr>
      <w:tr w:rsidR="00DB588E" w:rsidRPr="003A2BCA" w14:paraId="0189D377"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6774D9FA" w14:textId="38274E7F" w:rsidR="00DB588E" w:rsidRPr="003A2BCA" w:rsidRDefault="00DB588E"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Injection site pain</w:t>
            </w:r>
          </w:p>
        </w:tc>
        <w:tc>
          <w:tcPr>
            <w:tcW w:w="1984" w:type="dxa"/>
            <w:tcBorders>
              <w:top w:val="single" w:sz="4" w:space="0" w:color="auto"/>
              <w:left w:val="single" w:sz="4" w:space="0" w:color="auto"/>
              <w:bottom w:val="single" w:sz="4" w:space="0" w:color="auto"/>
              <w:right w:val="single" w:sz="4" w:space="0" w:color="auto"/>
            </w:tcBorders>
          </w:tcPr>
          <w:p w14:paraId="08DB4A74" w14:textId="56FB3D4B" w:rsidR="00DB588E" w:rsidRPr="003A2BCA" w:rsidRDefault="00DB588E"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0</w:t>
            </w:r>
          </w:p>
        </w:tc>
        <w:tc>
          <w:tcPr>
            <w:tcW w:w="1985" w:type="dxa"/>
            <w:tcBorders>
              <w:top w:val="single" w:sz="4" w:space="0" w:color="auto"/>
              <w:left w:val="single" w:sz="4" w:space="0" w:color="auto"/>
              <w:bottom w:val="single" w:sz="4" w:space="0" w:color="auto"/>
              <w:right w:val="single" w:sz="4" w:space="0" w:color="auto"/>
            </w:tcBorders>
          </w:tcPr>
          <w:p w14:paraId="5FC3F691" w14:textId="7F6B5A4E" w:rsidR="00DB588E" w:rsidRPr="003A2BCA" w:rsidRDefault="00DB588E"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3 (6.7)</w:t>
            </w:r>
          </w:p>
        </w:tc>
        <w:tc>
          <w:tcPr>
            <w:tcW w:w="1842" w:type="dxa"/>
            <w:tcBorders>
              <w:top w:val="single" w:sz="4" w:space="0" w:color="auto"/>
              <w:left w:val="single" w:sz="4" w:space="0" w:color="auto"/>
              <w:bottom w:val="single" w:sz="4" w:space="0" w:color="auto"/>
              <w:right w:val="single" w:sz="4" w:space="0" w:color="auto"/>
            </w:tcBorders>
          </w:tcPr>
          <w:p w14:paraId="7BD6FBE1" w14:textId="54747066" w:rsidR="00DB588E" w:rsidRPr="003A2BCA" w:rsidRDefault="00DB588E"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0</w:t>
            </w:r>
          </w:p>
        </w:tc>
      </w:tr>
      <w:tr w:rsidR="00DB588E" w:rsidRPr="003A2BCA" w14:paraId="73BCCEA1" w14:textId="77777777" w:rsidTr="619405FB">
        <w:trPr>
          <w:trHeight w:val="372"/>
        </w:trPr>
        <w:tc>
          <w:tcPr>
            <w:tcW w:w="9072" w:type="dxa"/>
            <w:gridSpan w:val="4"/>
            <w:tcBorders>
              <w:top w:val="single" w:sz="4" w:space="0" w:color="auto"/>
              <w:left w:val="single" w:sz="4" w:space="0" w:color="auto"/>
              <w:bottom w:val="single" w:sz="4" w:space="0" w:color="auto"/>
              <w:right w:val="single" w:sz="4" w:space="0" w:color="auto"/>
            </w:tcBorders>
          </w:tcPr>
          <w:p w14:paraId="7674A3CC" w14:textId="1D050368" w:rsidR="00DB588E" w:rsidRPr="003A2BCA" w:rsidRDefault="00DB588E" w:rsidP="003649E0">
            <w:pPr>
              <w:pStyle w:val="TableParagraph"/>
              <w:spacing w:line="276" w:lineRule="auto"/>
              <w:ind w:leftChars="115" w:left="253"/>
              <w:jc w:val="left"/>
              <w:rPr>
                <w:rFonts w:asciiTheme="majorHAnsi" w:hAnsiTheme="majorHAnsi"/>
                <w:sz w:val="20"/>
                <w:szCs w:val="20"/>
              </w:rPr>
            </w:pPr>
            <w:r w:rsidRPr="003649E0">
              <w:rPr>
                <w:rFonts w:asciiTheme="majorHAnsi" w:eastAsiaTheme="minorEastAsia" w:hAnsiTheme="majorHAnsi"/>
                <w:b/>
                <w:bCs/>
                <w:sz w:val="20"/>
                <w:szCs w:val="20"/>
                <w:lang w:eastAsia="ja-JP"/>
              </w:rPr>
              <w:t>NERVOUS SYSTEM DISORDERS</w:t>
            </w:r>
          </w:p>
        </w:tc>
      </w:tr>
      <w:tr w:rsidR="00DB588E" w:rsidRPr="003A2BCA" w14:paraId="08BA2BA9"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5FE1A47B" w14:textId="4C6A1F67" w:rsidR="00DB588E" w:rsidRPr="003A2BCA" w:rsidRDefault="00DB588E"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Headache</w:t>
            </w:r>
          </w:p>
        </w:tc>
        <w:tc>
          <w:tcPr>
            <w:tcW w:w="1984" w:type="dxa"/>
            <w:tcBorders>
              <w:top w:val="single" w:sz="4" w:space="0" w:color="auto"/>
              <w:left w:val="single" w:sz="4" w:space="0" w:color="auto"/>
              <w:bottom w:val="single" w:sz="4" w:space="0" w:color="auto"/>
              <w:right w:val="single" w:sz="4" w:space="0" w:color="auto"/>
            </w:tcBorders>
          </w:tcPr>
          <w:p w14:paraId="6E6FE2F7" w14:textId="1E4395ED" w:rsidR="00DB588E" w:rsidRPr="003A2BCA" w:rsidRDefault="00DB588E"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4 (18.2)</w:t>
            </w:r>
          </w:p>
        </w:tc>
        <w:tc>
          <w:tcPr>
            <w:tcW w:w="1985" w:type="dxa"/>
            <w:tcBorders>
              <w:top w:val="single" w:sz="4" w:space="0" w:color="auto"/>
              <w:left w:val="single" w:sz="4" w:space="0" w:color="auto"/>
              <w:bottom w:val="single" w:sz="4" w:space="0" w:color="auto"/>
              <w:right w:val="single" w:sz="4" w:space="0" w:color="auto"/>
            </w:tcBorders>
          </w:tcPr>
          <w:p w14:paraId="5563073B" w14:textId="21DB60F8" w:rsidR="00DB588E" w:rsidRPr="003A2BCA" w:rsidRDefault="00DB588E"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6 (13.3)</w:t>
            </w:r>
          </w:p>
        </w:tc>
        <w:tc>
          <w:tcPr>
            <w:tcW w:w="1842" w:type="dxa"/>
            <w:tcBorders>
              <w:top w:val="single" w:sz="4" w:space="0" w:color="auto"/>
              <w:left w:val="single" w:sz="4" w:space="0" w:color="auto"/>
              <w:bottom w:val="single" w:sz="4" w:space="0" w:color="auto"/>
              <w:right w:val="single" w:sz="4" w:space="0" w:color="auto"/>
            </w:tcBorders>
          </w:tcPr>
          <w:p w14:paraId="531932AE" w14:textId="7823C296" w:rsidR="00DB588E" w:rsidRPr="003A2BCA" w:rsidRDefault="00DB588E"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2 (8.7)</w:t>
            </w:r>
          </w:p>
        </w:tc>
      </w:tr>
      <w:tr w:rsidR="00DB588E" w:rsidRPr="003A2BCA" w14:paraId="733B5D4A" w14:textId="77777777" w:rsidTr="003649E0">
        <w:trPr>
          <w:trHeight w:val="372"/>
        </w:trPr>
        <w:tc>
          <w:tcPr>
            <w:tcW w:w="9072" w:type="dxa"/>
            <w:gridSpan w:val="4"/>
            <w:tcBorders>
              <w:top w:val="single" w:sz="4" w:space="0" w:color="auto"/>
              <w:left w:val="single" w:sz="4" w:space="0" w:color="auto"/>
              <w:bottom w:val="single" w:sz="4" w:space="0" w:color="auto"/>
              <w:right w:val="single" w:sz="4" w:space="0" w:color="auto"/>
            </w:tcBorders>
          </w:tcPr>
          <w:p w14:paraId="610AB7D5" w14:textId="74D33B0D" w:rsidR="00DB588E" w:rsidRPr="003A2BCA" w:rsidRDefault="00DB588E" w:rsidP="003649E0">
            <w:pPr>
              <w:pStyle w:val="TableParagraph"/>
              <w:spacing w:line="276" w:lineRule="auto"/>
              <w:ind w:leftChars="115" w:left="253"/>
              <w:jc w:val="left"/>
              <w:rPr>
                <w:rFonts w:asciiTheme="majorHAnsi" w:hAnsiTheme="majorHAnsi"/>
                <w:sz w:val="20"/>
                <w:szCs w:val="20"/>
              </w:rPr>
            </w:pPr>
            <w:r w:rsidRPr="003649E0">
              <w:rPr>
                <w:rFonts w:asciiTheme="majorHAnsi" w:eastAsiaTheme="minorEastAsia" w:hAnsiTheme="majorHAnsi"/>
                <w:b/>
                <w:bCs/>
                <w:sz w:val="20"/>
                <w:szCs w:val="20"/>
                <w:lang w:eastAsia="ja-JP"/>
              </w:rPr>
              <w:t>GASTROINTESTINAL DISORDERS</w:t>
            </w:r>
          </w:p>
        </w:tc>
      </w:tr>
      <w:tr w:rsidR="00DB588E" w:rsidRPr="003A2BCA" w14:paraId="0FE7B03A"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5C79CFE2" w14:textId="5251D55D" w:rsidR="00DB588E" w:rsidRPr="003A2BCA" w:rsidRDefault="00DB588E"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Abdominal discomfort</w:t>
            </w:r>
          </w:p>
        </w:tc>
        <w:tc>
          <w:tcPr>
            <w:tcW w:w="1984" w:type="dxa"/>
            <w:tcBorders>
              <w:top w:val="single" w:sz="4" w:space="0" w:color="auto"/>
              <w:left w:val="single" w:sz="4" w:space="0" w:color="auto"/>
              <w:bottom w:val="single" w:sz="4" w:space="0" w:color="auto"/>
              <w:right w:val="single" w:sz="4" w:space="0" w:color="auto"/>
            </w:tcBorders>
          </w:tcPr>
          <w:p w14:paraId="4828F8F4" w14:textId="28733258" w:rsidR="00DB588E" w:rsidRPr="003A2BCA" w:rsidRDefault="00DB588E"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0</w:t>
            </w:r>
          </w:p>
        </w:tc>
        <w:tc>
          <w:tcPr>
            <w:tcW w:w="1985" w:type="dxa"/>
            <w:tcBorders>
              <w:top w:val="single" w:sz="4" w:space="0" w:color="auto"/>
              <w:left w:val="single" w:sz="4" w:space="0" w:color="auto"/>
              <w:bottom w:val="single" w:sz="4" w:space="0" w:color="auto"/>
              <w:right w:val="single" w:sz="4" w:space="0" w:color="auto"/>
            </w:tcBorders>
          </w:tcPr>
          <w:p w14:paraId="66E37909" w14:textId="665F2079" w:rsidR="00DB588E" w:rsidRPr="003A2BCA" w:rsidRDefault="00DB588E"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3 (6.7)</w:t>
            </w:r>
          </w:p>
        </w:tc>
        <w:tc>
          <w:tcPr>
            <w:tcW w:w="1842" w:type="dxa"/>
            <w:tcBorders>
              <w:top w:val="single" w:sz="4" w:space="0" w:color="auto"/>
              <w:left w:val="single" w:sz="4" w:space="0" w:color="auto"/>
              <w:bottom w:val="single" w:sz="4" w:space="0" w:color="auto"/>
              <w:right w:val="single" w:sz="4" w:space="0" w:color="auto"/>
            </w:tcBorders>
          </w:tcPr>
          <w:p w14:paraId="3FA74AA7" w14:textId="6A6DBF3C" w:rsidR="00DB588E" w:rsidRPr="003A2BCA" w:rsidRDefault="00DB588E"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0</w:t>
            </w:r>
          </w:p>
        </w:tc>
      </w:tr>
      <w:tr w:rsidR="00DB588E" w:rsidRPr="003A2BCA" w14:paraId="47EA3FAB"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442E5184" w14:textId="14A9C2D4" w:rsidR="00DB588E" w:rsidRPr="003A2BCA" w:rsidRDefault="00DB588E"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Abdominal pain</w:t>
            </w:r>
          </w:p>
        </w:tc>
        <w:tc>
          <w:tcPr>
            <w:tcW w:w="1984" w:type="dxa"/>
            <w:tcBorders>
              <w:top w:val="single" w:sz="4" w:space="0" w:color="auto"/>
              <w:left w:val="single" w:sz="4" w:space="0" w:color="auto"/>
              <w:bottom w:val="single" w:sz="4" w:space="0" w:color="auto"/>
              <w:right w:val="single" w:sz="4" w:space="0" w:color="auto"/>
            </w:tcBorders>
          </w:tcPr>
          <w:p w14:paraId="3FFA0F8B" w14:textId="4FA3F869" w:rsidR="00DB588E" w:rsidRPr="003A2BCA" w:rsidRDefault="00DB588E"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2 (9.1)</w:t>
            </w:r>
          </w:p>
        </w:tc>
        <w:tc>
          <w:tcPr>
            <w:tcW w:w="1985" w:type="dxa"/>
            <w:tcBorders>
              <w:top w:val="single" w:sz="4" w:space="0" w:color="auto"/>
              <w:left w:val="single" w:sz="4" w:space="0" w:color="auto"/>
              <w:bottom w:val="single" w:sz="4" w:space="0" w:color="auto"/>
              <w:right w:val="single" w:sz="4" w:space="0" w:color="auto"/>
            </w:tcBorders>
          </w:tcPr>
          <w:p w14:paraId="7733121F" w14:textId="607DB33A" w:rsidR="00DB588E" w:rsidRPr="003A2BCA" w:rsidRDefault="00DB588E"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1 (2.2)</w:t>
            </w:r>
          </w:p>
        </w:tc>
        <w:tc>
          <w:tcPr>
            <w:tcW w:w="1842" w:type="dxa"/>
            <w:tcBorders>
              <w:top w:val="single" w:sz="4" w:space="0" w:color="auto"/>
              <w:left w:val="single" w:sz="4" w:space="0" w:color="auto"/>
              <w:bottom w:val="single" w:sz="4" w:space="0" w:color="auto"/>
              <w:right w:val="single" w:sz="4" w:space="0" w:color="auto"/>
            </w:tcBorders>
          </w:tcPr>
          <w:p w14:paraId="7D4B2C2A" w14:textId="5151A52A" w:rsidR="00DB588E" w:rsidRPr="003A2BCA" w:rsidRDefault="00DB588E"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0</w:t>
            </w:r>
          </w:p>
        </w:tc>
      </w:tr>
      <w:tr w:rsidR="00DB588E" w:rsidRPr="003A2BCA" w14:paraId="4D28F5E7"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0A76EDFC" w14:textId="7EE388CB" w:rsidR="00DB588E" w:rsidRPr="003A2BCA" w:rsidRDefault="00DB588E"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Dyspepsia</w:t>
            </w:r>
          </w:p>
        </w:tc>
        <w:tc>
          <w:tcPr>
            <w:tcW w:w="1984" w:type="dxa"/>
            <w:tcBorders>
              <w:top w:val="single" w:sz="4" w:space="0" w:color="auto"/>
              <w:left w:val="single" w:sz="4" w:space="0" w:color="auto"/>
              <w:bottom w:val="single" w:sz="4" w:space="0" w:color="auto"/>
              <w:right w:val="single" w:sz="4" w:space="0" w:color="auto"/>
            </w:tcBorders>
          </w:tcPr>
          <w:p w14:paraId="0F9489BC" w14:textId="7A03D811" w:rsidR="00DB588E" w:rsidRPr="003A2BCA" w:rsidRDefault="00DB588E"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2 (9.1)</w:t>
            </w:r>
          </w:p>
        </w:tc>
        <w:tc>
          <w:tcPr>
            <w:tcW w:w="1985" w:type="dxa"/>
            <w:tcBorders>
              <w:top w:val="single" w:sz="4" w:space="0" w:color="auto"/>
              <w:left w:val="single" w:sz="4" w:space="0" w:color="auto"/>
              <w:bottom w:val="single" w:sz="4" w:space="0" w:color="auto"/>
              <w:right w:val="single" w:sz="4" w:space="0" w:color="auto"/>
            </w:tcBorders>
          </w:tcPr>
          <w:p w14:paraId="5074A9B5" w14:textId="0084FBFE" w:rsidR="00DB588E" w:rsidRPr="003A2BCA" w:rsidRDefault="00DB588E"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0</w:t>
            </w:r>
          </w:p>
        </w:tc>
        <w:tc>
          <w:tcPr>
            <w:tcW w:w="1842" w:type="dxa"/>
            <w:tcBorders>
              <w:top w:val="single" w:sz="4" w:space="0" w:color="auto"/>
              <w:left w:val="single" w:sz="4" w:space="0" w:color="auto"/>
              <w:bottom w:val="single" w:sz="4" w:space="0" w:color="auto"/>
              <w:right w:val="single" w:sz="4" w:space="0" w:color="auto"/>
            </w:tcBorders>
          </w:tcPr>
          <w:p w14:paraId="269F6D18" w14:textId="08C3DD79" w:rsidR="00DB588E" w:rsidRPr="003A2BCA" w:rsidRDefault="00DB588E"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0</w:t>
            </w:r>
          </w:p>
        </w:tc>
      </w:tr>
      <w:tr w:rsidR="00DB588E" w:rsidRPr="003A2BCA" w14:paraId="4FFEA445"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7F65C7F6" w14:textId="19E6A32E" w:rsidR="00DB588E" w:rsidRPr="003A2BCA" w:rsidRDefault="00DB588E"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Vomiting</w:t>
            </w:r>
          </w:p>
        </w:tc>
        <w:tc>
          <w:tcPr>
            <w:tcW w:w="1984" w:type="dxa"/>
            <w:tcBorders>
              <w:top w:val="single" w:sz="4" w:space="0" w:color="auto"/>
              <w:left w:val="single" w:sz="4" w:space="0" w:color="auto"/>
              <w:bottom w:val="single" w:sz="4" w:space="0" w:color="auto"/>
              <w:right w:val="single" w:sz="4" w:space="0" w:color="auto"/>
            </w:tcBorders>
          </w:tcPr>
          <w:p w14:paraId="7EB52A11" w14:textId="400EED02" w:rsidR="00DB588E" w:rsidRPr="003A2BCA" w:rsidRDefault="00DB588E"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1 (4.5)</w:t>
            </w:r>
          </w:p>
        </w:tc>
        <w:tc>
          <w:tcPr>
            <w:tcW w:w="1985" w:type="dxa"/>
            <w:tcBorders>
              <w:top w:val="single" w:sz="4" w:space="0" w:color="auto"/>
              <w:left w:val="single" w:sz="4" w:space="0" w:color="auto"/>
              <w:bottom w:val="single" w:sz="4" w:space="0" w:color="auto"/>
              <w:right w:val="single" w:sz="4" w:space="0" w:color="auto"/>
            </w:tcBorders>
          </w:tcPr>
          <w:p w14:paraId="071BB834" w14:textId="17A742A4" w:rsidR="00DB588E" w:rsidRPr="003A2BCA" w:rsidRDefault="00DB588E"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0</w:t>
            </w:r>
          </w:p>
        </w:tc>
        <w:tc>
          <w:tcPr>
            <w:tcW w:w="1842" w:type="dxa"/>
            <w:tcBorders>
              <w:top w:val="single" w:sz="4" w:space="0" w:color="auto"/>
              <w:left w:val="single" w:sz="4" w:space="0" w:color="auto"/>
              <w:bottom w:val="single" w:sz="4" w:space="0" w:color="auto"/>
              <w:right w:val="single" w:sz="4" w:space="0" w:color="auto"/>
            </w:tcBorders>
          </w:tcPr>
          <w:p w14:paraId="4D765744" w14:textId="06B44A0D" w:rsidR="00DB588E" w:rsidRPr="003A2BCA" w:rsidRDefault="00DB588E"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2 (8.7)</w:t>
            </w:r>
          </w:p>
        </w:tc>
      </w:tr>
      <w:tr w:rsidR="00DB588E" w:rsidRPr="003A2BCA" w14:paraId="5D2D059C" w14:textId="77777777" w:rsidTr="619405FB">
        <w:trPr>
          <w:trHeight w:val="372"/>
        </w:trPr>
        <w:tc>
          <w:tcPr>
            <w:tcW w:w="9072" w:type="dxa"/>
            <w:gridSpan w:val="4"/>
            <w:tcBorders>
              <w:top w:val="single" w:sz="4" w:space="0" w:color="auto"/>
              <w:left w:val="single" w:sz="4" w:space="0" w:color="auto"/>
              <w:bottom w:val="single" w:sz="4" w:space="0" w:color="auto"/>
              <w:right w:val="single" w:sz="4" w:space="0" w:color="auto"/>
            </w:tcBorders>
          </w:tcPr>
          <w:p w14:paraId="7A81B5EC" w14:textId="135BD9BF" w:rsidR="00DB588E" w:rsidRPr="003A2BCA" w:rsidRDefault="00DB588E" w:rsidP="003649E0">
            <w:pPr>
              <w:pStyle w:val="TableParagraph"/>
              <w:spacing w:line="276" w:lineRule="auto"/>
              <w:ind w:leftChars="115" w:left="253"/>
              <w:jc w:val="left"/>
              <w:rPr>
                <w:rFonts w:asciiTheme="majorHAnsi" w:hAnsiTheme="majorHAnsi"/>
                <w:sz w:val="20"/>
                <w:szCs w:val="20"/>
              </w:rPr>
            </w:pPr>
            <w:r w:rsidRPr="003A2BCA">
              <w:rPr>
                <w:rFonts w:asciiTheme="majorHAnsi" w:eastAsiaTheme="minorEastAsia" w:hAnsiTheme="majorHAnsi"/>
                <w:b/>
                <w:bCs/>
                <w:sz w:val="20"/>
                <w:szCs w:val="20"/>
                <w:lang w:eastAsia="ja-JP"/>
              </w:rPr>
              <w:t>INJURY, POISONING AND PROCEDURAL COMPLICATIONS</w:t>
            </w:r>
          </w:p>
        </w:tc>
      </w:tr>
      <w:tr w:rsidR="00DB588E" w:rsidRPr="003A2BCA" w14:paraId="52872FF1" w14:textId="77777777" w:rsidTr="619405FB">
        <w:trPr>
          <w:trHeight w:val="372"/>
        </w:trPr>
        <w:tc>
          <w:tcPr>
            <w:tcW w:w="3261" w:type="dxa"/>
            <w:tcBorders>
              <w:top w:val="single" w:sz="4" w:space="0" w:color="auto"/>
              <w:left w:val="single" w:sz="4" w:space="0" w:color="auto"/>
              <w:bottom w:val="single" w:sz="4" w:space="0" w:color="auto"/>
              <w:right w:val="single" w:sz="4" w:space="0" w:color="auto"/>
            </w:tcBorders>
          </w:tcPr>
          <w:p w14:paraId="1112AEF3" w14:textId="5F7242AF" w:rsidR="00DB588E" w:rsidRPr="003A2BCA" w:rsidRDefault="00DB588E" w:rsidP="003649E0">
            <w:pPr>
              <w:pStyle w:val="TableParagraph"/>
              <w:spacing w:line="276" w:lineRule="auto"/>
              <w:ind w:left="272"/>
              <w:jc w:val="left"/>
              <w:rPr>
                <w:rFonts w:asciiTheme="majorHAnsi" w:hAnsiTheme="majorHAnsi"/>
                <w:sz w:val="20"/>
                <w:szCs w:val="20"/>
              </w:rPr>
            </w:pPr>
            <w:r w:rsidRPr="003A2BCA">
              <w:rPr>
                <w:rFonts w:asciiTheme="majorHAnsi" w:hAnsiTheme="majorHAnsi"/>
                <w:sz w:val="20"/>
                <w:szCs w:val="20"/>
              </w:rPr>
              <w:t>Limb injury</w:t>
            </w:r>
          </w:p>
        </w:tc>
        <w:tc>
          <w:tcPr>
            <w:tcW w:w="1984" w:type="dxa"/>
            <w:tcBorders>
              <w:top w:val="single" w:sz="4" w:space="0" w:color="auto"/>
              <w:left w:val="single" w:sz="4" w:space="0" w:color="auto"/>
              <w:bottom w:val="single" w:sz="4" w:space="0" w:color="auto"/>
              <w:right w:val="single" w:sz="4" w:space="0" w:color="auto"/>
            </w:tcBorders>
          </w:tcPr>
          <w:p w14:paraId="14CE4C1D" w14:textId="3D752A56" w:rsidR="00DB588E" w:rsidRPr="003A2BCA" w:rsidRDefault="00DB588E" w:rsidP="003649E0">
            <w:pPr>
              <w:pStyle w:val="TableParagraph"/>
              <w:spacing w:line="276" w:lineRule="auto"/>
              <w:ind w:left="129" w:right="115"/>
              <w:rPr>
                <w:rFonts w:asciiTheme="majorHAnsi" w:hAnsiTheme="majorHAnsi"/>
                <w:sz w:val="20"/>
                <w:szCs w:val="20"/>
              </w:rPr>
            </w:pPr>
            <w:r w:rsidRPr="003A2BCA">
              <w:rPr>
                <w:rFonts w:asciiTheme="majorHAnsi" w:hAnsiTheme="majorHAnsi"/>
                <w:sz w:val="20"/>
                <w:szCs w:val="20"/>
              </w:rPr>
              <w:t>4 (18.2)</w:t>
            </w:r>
          </w:p>
        </w:tc>
        <w:tc>
          <w:tcPr>
            <w:tcW w:w="1985" w:type="dxa"/>
            <w:tcBorders>
              <w:top w:val="single" w:sz="4" w:space="0" w:color="auto"/>
              <w:left w:val="single" w:sz="4" w:space="0" w:color="auto"/>
              <w:bottom w:val="single" w:sz="4" w:space="0" w:color="auto"/>
              <w:right w:val="single" w:sz="4" w:space="0" w:color="auto"/>
            </w:tcBorders>
          </w:tcPr>
          <w:p w14:paraId="494ABD7A" w14:textId="52E5FB42" w:rsidR="00DB588E" w:rsidRPr="003A2BCA" w:rsidRDefault="00DB588E" w:rsidP="003649E0">
            <w:pPr>
              <w:pStyle w:val="TableParagraph"/>
              <w:spacing w:line="276" w:lineRule="auto"/>
              <w:ind w:left="339" w:right="325"/>
              <w:rPr>
                <w:rFonts w:asciiTheme="majorHAnsi" w:hAnsiTheme="majorHAnsi"/>
                <w:sz w:val="20"/>
                <w:szCs w:val="20"/>
              </w:rPr>
            </w:pPr>
            <w:r w:rsidRPr="003A2BCA">
              <w:rPr>
                <w:rFonts w:asciiTheme="majorHAnsi" w:hAnsiTheme="majorHAnsi"/>
                <w:sz w:val="20"/>
                <w:szCs w:val="20"/>
              </w:rPr>
              <w:t>0</w:t>
            </w:r>
          </w:p>
        </w:tc>
        <w:tc>
          <w:tcPr>
            <w:tcW w:w="1842" w:type="dxa"/>
            <w:tcBorders>
              <w:top w:val="single" w:sz="4" w:space="0" w:color="auto"/>
              <w:left w:val="single" w:sz="4" w:space="0" w:color="auto"/>
              <w:bottom w:val="single" w:sz="4" w:space="0" w:color="auto"/>
              <w:right w:val="single" w:sz="4" w:space="0" w:color="auto"/>
            </w:tcBorders>
          </w:tcPr>
          <w:p w14:paraId="5353D7B5" w14:textId="5BE500E5" w:rsidR="00DB588E" w:rsidRPr="003A2BCA" w:rsidRDefault="00DB588E" w:rsidP="003649E0">
            <w:pPr>
              <w:pStyle w:val="TableParagraph"/>
              <w:spacing w:line="276" w:lineRule="auto"/>
              <w:ind w:left="472"/>
              <w:jc w:val="left"/>
              <w:rPr>
                <w:rFonts w:asciiTheme="majorHAnsi" w:hAnsiTheme="majorHAnsi"/>
                <w:sz w:val="20"/>
                <w:szCs w:val="20"/>
              </w:rPr>
            </w:pPr>
            <w:r w:rsidRPr="003A2BCA">
              <w:rPr>
                <w:rFonts w:asciiTheme="majorHAnsi" w:hAnsiTheme="majorHAnsi"/>
                <w:sz w:val="20"/>
                <w:szCs w:val="20"/>
              </w:rPr>
              <w:t>1 (4.3)</w:t>
            </w:r>
          </w:p>
        </w:tc>
      </w:tr>
    </w:tbl>
    <w:p w14:paraId="6822C872" w14:textId="0CDA0C3D" w:rsidR="005625E6" w:rsidRPr="003A2BCA" w:rsidRDefault="005625E6" w:rsidP="003649E0">
      <w:pPr>
        <w:tabs>
          <w:tab w:val="left" w:pos="567"/>
        </w:tabs>
        <w:autoSpaceDE w:val="0"/>
        <w:autoSpaceDN w:val="0"/>
        <w:adjustRightInd w:val="0"/>
        <w:spacing w:after="0"/>
        <w:rPr>
          <w:rFonts w:asciiTheme="majorHAnsi" w:eastAsia="Times New Roman" w:hAnsiTheme="majorHAnsi" w:cs="Times New Roman"/>
          <w:i/>
          <w:iCs/>
          <w:noProof/>
          <w:sz w:val="20"/>
          <w:szCs w:val="20"/>
          <w:lang w:val="en-GB"/>
        </w:rPr>
      </w:pPr>
      <w:r w:rsidRPr="619405FB">
        <w:rPr>
          <w:rFonts w:asciiTheme="majorHAnsi" w:eastAsia="Times New Roman" w:hAnsiTheme="majorHAnsi" w:cs="Times New Roman"/>
          <w:i/>
          <w:iCs/>
          <w:noProof/>
          <w:sz w:val="20"/>
          <w:szCs w:val="20"/>
          <w:lang w:val="en-GB"/>
        </w:rPr>
        <w:t>Treatment-emergent adverse event (TEAE) is defined as any AE starting or worsening in severity on or after the first dose of the study drug.</w:t>
      </w:r>
      <w:r w:rsidR="00060198" w:rsidRPr="619405FB">
        <w:rPr>
          <w:rFonts w:asciiTheme="majorHAnsi" w:eastAsia="Times New Roman" w:hAnsiTheme="majorHAnsi" w:cs="Times New Roman"/>
          <w:i/>
          <w:iCs/>
          <w:noProof/>
          <w:sz w:val="20"/>
          <w:szCs w:val="20"/>
          <w:lang w:val="en-GB"/>
        </w:rPr>
        <w:t xml:space="preserve"> </w:t>
      </w:r>
    </w:p>
    <w:p w14:paraId="1970B441" w14:textId="77777777" w:rsidR="005625E6" w:rsidRPr="003A2BCA" w:rsidRDefault="005625E6" w:rsidP="003649E0">
      <w:pPr>
        <w:tabs>
          <w:tab w:val="left" w:pos="567"/>
        </w:tabs>
        <w:autoSpaceDE w:val="0"/>
        <w:autoSpaceDN w:val="0"/>
        <w:adjustRightInd w:val="0"/>
        <w:spacing w:after="0"/>
        <w:rPr>
          <w:rFonts w:asciiTheme="majorHAnsi" w:eastAsia="Times New Roman" w:hAnsiTheme="majorHAnsi" w:cs="Times New Roman"/>
          <w:i/>
          <w:iCs/>
          <w:noProof/>
          <w:sz w:val="20"/>
          <w:szCs w:val="20"/>
          <w:lang w:val="en-GB"/>
        </w:rPr>
      </w:pPr>
      <w:r w:rsidRPr="003A2BCA">
        <w:rPr>
          <w:rFonts w:asciiTheme="majorHAnsi" w:eastAsia="Times New Roman" w:hAnsiTheme="majorHAnsi" w:cs="Times New Roman"/>
          <w:i/>
          <w:iCs/>
          <w:noProof/>
          <w:sz w:val="20"/>
          <w:szCs w:val="20"/>
          <w:lang w:val="en-GB"/>
        </w:rPr>
        <w:t>At each level of summation (Overall, SOC, PT), patients reporting more than one TEAE are counted only once for the total incidence and for each treatment.</w:t>
      </w:r>
    </w:p>
    <w:p w14:paraId="7E1C7BDD" w14:textId="7E7B3656" w:rsidR="00296041" w:rsidRPr="003A2BCA" w:rsidRDefault="005625E6" w:rsidP="003649E0">
      <w:pPr>
        <w:tabs>
          <w:tab w:val="left" w:pos="567"/>
        </w:tabs>
        <w:autoSpaceDE w:val="0"/>
        <w:autoSpaceDN w:val="0"/>
        <w:adjustRightInd w:val="0"/>
        <w:spacing w:after="0"/>
        <w:rPr>
          <w:rFonts w:asciiTheme="majorHAnsi" w:eastAsia="Times New Roman" w:hAnsiTheme="majorHAnsi" w:cs="Times New Roman"/>
          <w:i/>
          <w:iCs/>
          <w:noProof/>
          <w:sz w:val="20"/>
          <w:szCs w:val="20"/>
          <w:lang w:val="en-GB"/>
        </w:rPr>
      </w:pPr>
      <w:r w:rsidRPr="619405FB">
        <w:rPr>
          <w:rFonts w:asciiTheme="majorHAnsi" w:eastAsia="Times New Roman" w:hAnsiTheme="majorHAnsi" w:cs="Times New Roman"/>
          <w:i/>
          <w:iCs/>
          <w:noProof/>
          <w:sz w:val="20"/>
          <w:szCs w:val="20"/>
          <w:lang w:val="en-GB"/>
        </w:rPr>
        <w:t>Abbreviations: AE = adverse event; PT = preferred term; SOC = System organ class.</w:t>
      </w:r>
    </w:p>
    <w:p w14:paraId="23E4A1B5" w14:textId="77777777" w:rsidR="00296041" w:rsidRPr="003A2BCA" w:rsidRDefault="00296041" w:rsidP="003649E0">
      <w:pPr>
        <w:tabs>
          <w:tab w:val="left" w:pos="567"/>
        </w:tabs>
        <w:autoSpaceDE w:val="0"/>
        <w:autoSpaceDN w:val="0"/>
        <w:adjustRightInd w:val="0"/>
        <w:spacing w:after="0"/>
        <w:rPr>
          <w:rFonts w:asciiTheme="majorHAnsi" w:eastAsia="Times New Roman" w:hAnsiTheme="majorHAnsi" w:cs="Times New Roman"/>
          <w:i/>
          <w:iCs/>
          <w:noProof/>
          <w:lang w:val="en-GB"/>
        </w:rPr>
      </w:pPr>
    </w:p>
    <w:p w14:paraId="5E322BAF" w14:textId="25C8D01D"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i/>
          <w:iCs/>
          <w:noProof/>
          <w:lang w:val="en-GB"/>
        </w:rPr>
      </w:pPr>
      <w:r w:rsidRPr="003A2BCA">
        <w:rPr>
          <w:rFonts w:asciiTheme="majorHAnsi" w:eastAsia="Times New Roman" w:hAnsiTheme="majorHAnsi" w:cs="Times New Roman"/>
          <w:i/>
          <w:iCs/>
          <w:noProof/>
          <w:lang w:val="en-GB"/>
        </w:rPr>
        <w:t>Paediatric population</w:t>
      </w:r>
    </w:p>
    <w:p w14:paraId="45C2BE54" w14:textId="77777777"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lang w:val="en-GB"/>
        </w:rPr>
      </w:pPr>
    </w:p>
    <w:p w14:paraId="5B0C699E" w14:textId="05568C31" w:rsidR="00B84875" w:rsidRPr="003A2BCA" w:rsidRDefault="00B84875" w:rsidP="003649E0">
      <w:pPr>
        <w:tabs>
          <w:tab w:val="left" w:pos="567"/>
        </w:tabs>
        <w:autoSpaceDE w:val="0"/>
        <w:autoSpaceDN w:val="0"/>
        <w:adjustRightInd w:val="0"/>
        <w:spacing w:after="0"/>
        <w:rPr>
          <w:rFonts w:asciiTheme="majorHAnsi" w:eastAsia="Times New Roman" w:hAnsiTheme="majorHAnsi" w:cs="Times New Roman"/>
          <w:noProof/>
          <w:lang w:val="en-GB"/>
        </w:rPr>
      </w:pPr>
      <w:r w:rsidRPr="003A2BCA">
        <w:rPr>
          <w:rFonts w:asciiTheme="majorHAnsi" w:eastAsia="Times New Roman" w:hAnsiTheme="majorHAnsi" w:cs="Times New Roman"/>
          <w:noProof/>
          <w:lang w:val="en-GB"/>
        </w:rPr>
        <w:t xml:space="preserve">The safety of </w:t>
      </w:r>
      <w:r w:rsidR="00D677F1" w:rsidRPr="003A2BCA">
        <w:rPr>
          <w:rFonts w:asciiTheme="majorHAnsi" w:eastAsia="Times New Roman" w:hAnsiTheme="majorHAnsi" w:cs="Times New Roman"/>
          <w:noProof/>
          <w:lang w:val="en-GB"/>
        </w:rPr>
        <w:t>ZIRDAWNY</w:t>
      </w:r>
      <w:r w:rsidRPr="003A2BCA">
        <w:rPr>
          <w:rFonts w:asciiTheme="majorHAnsi" w:eastAsia="Times New Roman" w:hAnsiTheme="majorHAnsi" w:cs="Times New Roman"/>
          <w:noProof/>
          <w:lang w:val="en-GB"/>
        </w:rPr>
        <w:t xml:space="preserve"> has been established in adolescent patients aged 12 to 17 years in a double-blind placebo-controlled clinical trial that included a total of 7 adolescent patients supplemented by 4 </w:t>
      </w:r>
      <w:r w:rsidR="00D677F1" w:rsidRPr="003A2BCA">
        <w:rPr>
          <w:rFonts w:asciiTheme="majorHAnsi" w:eastAsia="Times New Roman" w:hAnsiTheme="majorHAnsi" w:cs="Times New Roman"/>
          <w:noProof/>
          <w:lang w:val="en-GB"/>
        </w:rPr>
        <w:t>ZIRDAWNY</w:t>
      </w:r>
      <w:r w:rsidRPr="003A2BCA">
        <w:rPr>
          <w:rFonts w:asciiTheme="majorHAnsi" w:eastAsia="Times New Roman" w:hAnsiTheme="majorHAnsi" w:cs="Times New Roman"/>
          <w:noProof/>
          <w:lang w:val="en-GB"/>
        </w:rPr>
        <w:t xml:space="preserve"> naïve adolescent patients from an open label trial. The safety profile in these adolescents was similar to the profile observed in adults.</w:t>
      </w:r>
    </w:p>
    <w:p w14:paraId="585B4BE8" w14:textId="77777777" w:rsidR="0021200F" w:rsidRPr="003A2BCA" w:rsidRDefault="0021200F" w:rsidP="003A2BCA">
      <w:pPr>
        <w:pStyle w:val="Heading3"/>
        <w:ind w:left="0"/>
      </w:pPr>
      <w:r w:rsidRPr="003A2BCA">
        <w:t>Reporting suspected adverse effects</w:t>
      </w:r>
    </w:p>
    <w:p w14:paraId="417BF76C" w14:textId="77777777" w:rsidR="005B2812" w:rsidRPr="003649E0" w:rsidRDefault="005B2812" w:rsidP="003A2BCA">
      <w:pPr>
        <w:rPr>
          <w:rFonts w:asciiTheme="majorHAnsi" w:hAnsiTheme="majorHAnsi"/>
        </w:rPr>
      </w:pPr>
      <w:r w:rsidRPr="003A2BCA">
        <w:rPr>
          <w:rFonts w:asciiTheme="majorHAnsi" w:hAnsiTheme="majorHAnsi" w:cstheme="minorHAnsi"/>
          <w:lang w:val="en"/>
        </w:rPr>
        <w:t xml:space="preserve">Reporting suspected adverse reactions after registration of the medicinal product is important. It allows continued monitoring of the benefit-risk balance of the medicinal product. Healthcare professionals are asked to report any suspected adverse reactions at </w:t>
      </w:r>
      <w:hyperlink r:id="rId12" w:history="1">
        <w:r w:rsidRPr="003A2BCA">
          <w:rPr>
            <w:rStyle w:val="Hyperlink"/>
            <w:rFonts w:asciiTheme="majorHAnsi" w:hAnsiTheme="majorHAnsi" w:cstheme="minorHAnsi"/>
            <w:lang w:val="en"/>
          </w:rPr>
          <w:t>www.tga.gov.au/reporting-problems</w:t>
        </w:r>
      </w:hyperlink>
      <w:r w:rsidRPr="003A2BCA">
        <w:rPr>
          <w:rFonts w:asciiTheme="majorHAnsi" w:hAnsiTheme="majorHAnsi" w:cstheme="minorHAnsi"/>
          <w:lang w:val="en"/>
        </w:rPr>
        <w:t>.</w:t>
      </w:r>
    </w:p>
    <w:p w14:paraId="4BCFB28A" w14:textId="77777777" w:rsidR="001A3992" w:rsidRPr="003A2BCA" w:rsidRDefault="001A3992" w:rsidP="003A2BCA">
      <w:pPr>
        <w:pStyle w:val="Heading2"/>
        <w:keepNext/>
        <w:keepLines/>
        <w:spacing w:before="0" w:after="120"/>
      </w:pPr>
      <w:r w:rsidRPr="003A2BCA">
        <w:t>Overdose</w:t>
      </w:r>
    </w:p>
    <w:p w14:paraId="0D483DAA" w14:textId="2020E14D" w:rsidR="00F169F7" w:rsidRPr="003A2BCA" w:rsidRDefault="00F169F7" w:rsidP="57744741">
      <w:pPr>
        <w:rPr>
          <w:rFonts w:asciiTheme="majorHAnsi" w:hAnsiTheme="majorHAnsi"/>
          <w:lang w:val="en-US"/>
        </w:rPr>
      </w:pPr>
      <w:r w:rsidRPr="57744741">
        <w:rPr>
          <w:rFonts w:asciiTheme="majorHAnsi" w:hAnsiTheme="majorHAnsi"/>
          <w:lang w:val="en-US"/>
        </w:rPr>
        <w:t>There is no clinical experience with overdose of this medicinal product. In the case of overdose, patients should be carefully observed and supportive care administered, as appropriate. Symptoms of overdose are expected to be limited to constitutional symptoms and injection site reactions.</w:t>
      </w:r>
    </w:p>
    <w:p w14:paraId="7A013CD5" w14:textId="5F5CFC4F" w:rsidR="005B2812" w:rsidRPr="003649E0" w:rsidRDefault="005B2812" w:rsidP="003A2BCA">
      <w:pPr>
        <w:rPr>
          <w:rFonts w:asciiTheme="majorHAnsi" w:hAnsiTheme="majorHAnsi"/>
        </w:rPr>
      </w:pPr>
      <w:r w:rsidRPr="003A2BCA">
        <w:rPr>
          <w:rFonts w:asciiTheme="majorHAnsi" w:hAnsiTheme="majorHAnsi" w:cstheme="minorHAnsi"/>
          <w:lang w:val="en"/>
        </w:rPr>
        <w:t>For information on the management of overdose, contact the Poisons Information Centre on 13 11 26 (Australia).</w:t>
      </w:r>
    </w:p>
    <w:p w14:paraId="1C87BC61" w14:textId="77777777" w:rsidR="001A3992" w:rsidRPr="003A2BCA" w:rsidRDefault="001A3992" w:rsidP="003A2BCA">
      <w:pPr>
        <w:pStyle w:val="Heading1"/>
        <w:spacing w:before="0" w:after="120"/>
        <w:rPr>
          <w:lang w:val="en-US"/>
        </w:rPr>
      </w:pPr>
      <w:r w:rsidRPr="003A2BCA">
        <w:rPr>
          <w:lang w:val="en-US"/>
        </w:rPr>
        <w:t>Pharmacological properties</w:t>
      </w:r>
    </w:p>
    <w:p w14:paraId="2C9092AF" w14:textId="77777777" w:rsidR="008D23B3" w:rsidRPr="003A2BCA" w:rsidRDefault="008D23B3" w:rsidP="57744741">
      <w:pPr>
        <w:rPr>
          <w:rFonts w:asciiTheme="majorHAnsi" w:hAnsiTheme="majorHAnsi"/>
          <w:lang w:val="en-US"/>
        </w:rPr>
      </w:pPr>
      <w:r w:rsidRPr="57744741">
        <w:rPr>
          <w:rFonts w:asciiTheme="majorHAnsi" w:hAnsiTheme="majorHAnsi"/>
          <w:lang w:val="en-US"/>
        </w:rPr>
        <w:t xml:space="preserve">Pharmacotherapeutic group: Other </w:t>
      </w:r>
      <w:proofErr w:type="spellStart"/>
      <w:r w:rsidRPr="57744741">
        <w:rPr>
          <w:rFonts w:asciiTheme="majorHAnsi" w:hAnsiTheme="majorHAnsi"/>
          <w:lang w:val="en-US"/>
        </w:rPr>
        <w:t>haematological</w:t>
      </w:r>
      <w:proofErr w:type="spellEnd"/>
      <w:r w:rsidRPr="57744741">
        <w:rPr>
          <w:rFonts w:asciiTheme="majorHAnsi" w:hAnsiTheme="majorHAnsi"/>
          <w:lang w:val="en-US"/>
        </w:rPr>
        <w:t xml:space="preserve"> agents, drugs used in hereditary angioedema, ATC code: B06AC09.</w:t>
      </w:r>
    </w:p>
    <w:p w14:paraId="1E52989A" w14:textId="77777777" w:rsidR="001A3992" w:rsidRPr="003A2BCA" w:rsidRDefault="001A3992" w:rsidP="003A2BCA">
      <w:pPr>
        <w:pStyle w:val="Heading2"/>
        <w:spacing w:before="0" w:after="120"/>
        <w:rPr>
          <w:lang w:val="en-US"/>
        </w:rPr>
      </w:pPr>
      <w:r w:rsidRPr="003A2BCA">
        <w:rPr>
          <w:lang w:val="en-US"/>
        </w:rPr>
        <w:t xml:space="preserve">Pharmacodynamic properties </w:t>
      </w:r>
    </w:p>
    <w:p w14:paraId="2E90CFEE" w14:textId="77777777" w:rsidR="00A84364" w:rsidRPr="003A2BCA" w:rsidRDefault="00A84364" w:rsidP="003A2BCA">
      <w:pPr>
        <w:pStyle w:val="Heading3"/>
        <w:spacing w:before="0" w:after="120"/>
        <w:ind w:left="0"/>
      </w:pPr>
      <w:r w:rsidRPr="003A2BCA">
        <w:t>Mechanism of action</w:t>
      </w:r>
    </w:p>
    <w:p w14:paraId="0485A09A" w14:textId="164F83D4" w:rsidR="00A84364" w:rsidRPr="003A2BCA" w:rsidRDefault="00A84364" w:rsidP="003A2BCA">
      <w:pPr>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Donidalorsen is a 2’-O-methoxyethyl–modified antisense oligonucleotide (ASO) conjugated to a </w:t>
      </w:r>
      <w:proofErr w:type="spellStart"/>
      <w:r w:rsidRPr="003A2BCA">
        <w:rPr>
          <w:rFonts w:asciiTheme="majorHAnsi" w:eastAsia="Times New Roman" w:hAnsiTheme="majorHAnsi" w:cs="Times New Roman"/>
          <w:szCs w:val="20"/>
          <w:lang w:val="en-GB"/>
        </w:rPr>
        <w:t>triantennary</w:t>
      </w:r>
      <w:proofErr w:type="spellEnd"/>
      <w:r w:rsidRPr="003A2BCA">
        <w:rPr>
          <w:rFonts w:asciiTheme="majorHAnsi" w:eastAsia="Times New Roman" w:hAnsiTheme="majorHAnsi" w:cs="Times New Roman"/>
          <w:szCs w:val="20"/>
          <w:lang w:val="en-GB"/>
        </w:rPr>
        <w:t xml:space="preserve"> N-</w:t>
      </w:r>
      <w:proofErr w:type="spellStart"/>
      <w:r w:rsidRPr="003A2BCA">
        <w:rPr>
          <w:rFonts w:asciiTheme="majorHAnsi" w:eastAsia="Times New Roman" w:hAnsiTheme="majorHAnsi" w:cs="Times New Roman"/>
          <w:szCs w:val="20"/>
          <w:lang w:val="en-GB"/>
        </w:rPr>
        <w:t>acetylgalactosamine</w:t>
      </w:r>
      <w:proofErr w:type="spellEnd"/>
      <w:r w:rsidRPr="003A2BCA">
        <w:rPr>
          <w:rFonts w:asciiTheme="majorHAnsi" w:eastAsia="Times New Roman" w:hAnsiTheme="majorHAnsi" w:cs="Times New Roman"/>
          <w:szCs w:val="20"/>
          <w:lang w:val="en-GB"/>
        </w:rPr>
        <w:t xml:space="preserve"> (GalNAc</w:t>
      </w:r>
      <w:r w:rsidRPr="003A2BCA">
        <w:rPr>
          <w:rFonts w:asciiTheme="majorHAnsi" w:eastAsia="Times New Roman" w:hAnsiTheme="majorHAnsi" w:cs="Times New Roman"/>
          <w:szCs w:val="20"/>
          <w:vertAlign w:val="subscript"/>
          <w:lang w:val="en-GB"/>
        </w:rPr>
        <w:t>3</w:t>
      </w:r>
      <w:r w:rsidRPr="003A2BCA">
        <w:rPr>
          <w:rFonts w:asciiTheme="majorHAnsi" w:eastAsia="Times New Roman" w:hAnsiTheme="majorHAnsi" w:cs="Times New Roman"/>
          <w:szCs w:val="20"/>
          <w:lang w:val="en-GB"/>
        </w:rPr>
        <w:t xml:space="preserve">) moiety that causes ribonuclease H1 (RNase H1) mediated degradation of </w:t>
      </w:r>
      <w:proofErr w:type="spellStart"/>
      <w:r w:rsidRPr="003A2BCA">
        <w:rPr>
          <w:rFonts w:asciiTheme="majorHAnsi" w:eastAsia="Times New Roman" w:hAnsiTheme="majorHAnsi" w:cs="Times New Roman"/>
          <w:szCs w:val="20"/>
          <w:lang w:val="en-GB"/>
        </w:rPr>
        <w:t>prekallikrein</w:t>
      </w:r>
      <w:proofErr w:type="spellEnd"/>
      <w:r w:rsidRPr="003A2BCA">
        <w:rPr>
          <w:rFonts w:asciiTheme="majorHAnsi" w:eastAsia="Times New Roman" w:hAnsiTheme="majorHAnsi" w:cs="Times New Roman"/>
          <w:szCs w:val="20"/>
          <w:lang w:val="en-GB"/>
        </w:rPr>
        <w:t xml:space="preserve"> (PKK) mRNA through selective binding to PKK mRNA, which results in reduced production of PKK protein. PKK is a pro-enzyme for plasma kallikrein, which </w:t>
      </w:r>
      <w:r w:rsidR="00225C2C">
        <w:rPr>
          <w:rFonts w:asciiTheme="majorHAnsi" w:eastAsia="Times New Roman" w:hAnsiTheme="majorHAnsi" w:cs="Times New Roman"/>
          <w:szCs w:val="20"/>
          <w:lang w:val="en-GB"/>
        </w:rPr>
        <w:t>drives</w:t>
      </w:r>
      <w:r w:rsidRPr="003A2BCA">
        <w:rPr>
          <w:rFonts w:asciiTheme="majorHAnsi" w:eastAsia="Times New Roman" w:hAnsiTheme="majorHAnsi" w:cs="Times New Roman"/>
          <w:szCs w:val="20"/>
          <w:lang w:val="en-GB"/>
        </w:rPr>
        <w:t xml:space="preserve"> the release of bradykinin, a vasodilator </w:t>
      </w:r>
      <w:r w:rsidR="00225C2C">
        <w:rPr>
          <w:rFonts w:asciiTheme="majorHAnsi" w:eastAsia="Times New Roman" w:hAnsiTheme="majorHAnsi" w:cs="Times New Roman"/>
          <w:szCs w:val="20"/>
          <w:lang w:val="en-GB"/>
        </w:rPr>
        <w:t>responsible for the</w:t>
      </w:r>
      <w:r w:rsidRPr="003A2BCA">
        <w:rPr>
          <w:rFonts w:asciiTheme="majorHAnsi" w:eastAsia="Times New Roman" w:hAnsiTheme="majorHAnsi" w:cs="Times New Roman"/>
          <w:szCs w:val="20"/>
          <w:lang w:val="en-GB"/>
        </w:rPr>
        <w:t xml:space="preserve"> swelling and pain in HAE. In patients with HAE, C1 inhibitor (C1-INH) deficiency or dysfunction leads to excessive plasma kallikrein activity</w:t>
      </w:r>
      <w:r w:rsidR="00225C2C">
        <w:rPr>
          <w:rFonts w:asciiTheme="majorHAnsi" w:eastAsia="Times New Roman" w:hAnsiTheme="majorHAnsi" w:cs="Times New Roman"/>
          <w:szCs w:val="20"/>
          <w:lang w:val="en-GB"/>
        </w:rPr>
        <w:t xml:space="preserve"> and</w:t>
      </w:r>
      <w:r w:rsidRPr="003A2BCA">
        <w:rPr>
          <w:rFonts w:asciiTheme="majorHAnsi" w:eastAsia="Times New Roman" w:hAnsiTheme="majorHAnsi" w:cs="Times New Roman"/>
          <w:szCs w:val="20"/>
          <w:lang w:val="en-GB"/>
        </w:rPr>
        <w:t xml:space="preserve"> bradykinin generation, </w:t>
      </w:r>
      <w:r w:rsidR="00225C2C">
        <w:rPr>
          <w:rFonts w:asciiTheme="majorHAnsi" w:eastAsia="Times New Roman" w:hAnsiTheme="majorHAnsi" w:cs="Times New Roman"/>
          <w:szCs w:val="20"/>
          <w:lang w:val="en-GB"/>
        </w:rPr>
        <w:t>resulting in</w:t>
      </w:r>
      <w:r w:rsidRPr="003A2BCA">
        <w:rPr>
          <w:rFonts w:asciiTheme="majorHAnsi" w:eastAsia="Times New Roman" w:hAnsiTheme="majorHAnsi" w:cs="Times New Roman"/>
          <w:szCs w:val="20"/>
          <w:lang w:val="en-GB"/>
        </w:rPr>
        <w:t xml:space="preserve"> angioedema attacks. Donidalorsen lowers PKK </w:t>
      </w:r>
      <w:r w:rsidR="00225C2C" w:rsidRPr="00225C2C">
        <w:rPr>
          <w:rFonts w:asciiTheme="majorHAnsi" w:eastAsia="Times New Roman" w:hAnsiTheme="majorHAnsi" w:cs="Times New Roman"/>
          <w:szCs w:val="20"/>
          <w:lang w:val="en-GB"/>
        </w:rPr>
        <w:t>and plasma kallikrein</w:t>
      </w:r>
      <w:r w:rsidR="00225C2C">
        <w:rPr>
          <w:rFonts w:asciiTheme="majorHAnsi" w:eastAsia="Times New Roman" w:hAnsiTheme="majorHAnsi" w:cs="Times New Roman"/>
          <w:szCs w:val="20"/>
          <w:lang w:val="en-GB"/>
        </w:rPr>
        <w:t xml:space="preserve"> </w:t>
      </w:r>
      <w:r w:rsidRPr="003A2BCA">
        <w:rPr>
          <w:rFonts w:asciiTheme="majorHAnsi" w:eastAsia="Times New Roman" w:hAnsiTheme="majorHAnsi" w:cs="Times New Roman"/>
          <w:szCs w:val="20"/>
          <w:lang w:val="en-GB"/>
        </w:rPr>
        <w:t>concentration</w:t>
      </w:r>
      <w:r w:rsidR="00225C2C">
        <w:rPr>
          <w:rFonts w:asciiTheme="majorHAnsi" w:eastAsia="Times New Roman" w:hAnsiTheme="majorHAnsi" w:cs="Times New Roman"/>
          <w:szCs w:val="20"/>
          <w:lang w:val="en-GB"/>
        </w:rPr>
        <w:t>s</w:t>
      </w:r>
      <w:r w:rsidRPr="003A2BCA">
        <w:rPr>
          <w:rFonts w:asciiTheme="majorHAnsi" w:eastAsia="Times New Roman" w:hAnsiTheme="majorHAnsi" w:cs="Times New Roman"/>
          <w:szCs w:val="20"/>
          <w:lang w:val="en-GB"/>
        </w:rPr>
        <w:t>, preventing excessive bradykinin production in patients with HAE.</w:t>
      </w:r>
    </w:p>
    <w:p w14:paraId="661710EB" w14:textId="77777777" w:rsidR="008D23B3" w:rsidRPr="003A2BCA" w:rsidRDefault="008D23B3" w:rsidP="003A2BCA">
      <w:pPr>
        <w:pStyle w:val="Heading3"/>
        <w:spacing w:before="0" w:after="120"/>
        <w:ind w:left="0"/>
      </w:pPr>
      <w:r w:rsidRPr="003A2BCA">
        <w:t>Pharmacodynamic effects</w:t>
      </w:r>
    </w:p>
    <w:p w14:paraId="4A3E9844" w14:textId="781480A6" w:rsidR="008D23B3" w:rsidRPr="003A2BCA" w:rsidRDefault="008D23B3" w:rsidP="003A2BCA">
      <w:pPr>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In Trial 1 in adult and paediatric patients (≥12 years) with HAE 1 or HAE 2 (see clinical efficacy and safety below), a decrease in plasma PKK concentrations was observed at the first assessment (Week 4) following treatment with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80 mg. The mean percentage change from baseline to Week 24 in trough plasma PKK concentrations indicated reductions of 73% and 47% following treatment with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80 mg every 4 weeks and every 8 weeks, respectively, compared with a slight increase (2%) observed in the placebo group.</w:t>
      </w:r>
    </w:p>
    <w:p w14:paraId="7969B060" w14:textId="77777777" w:rsidR="001A3992" w:rsidRPr="003A2BCA" w:rsidRDefault="001A3992" w:rsidP="003A2BCA">
      <w:pPr>
        <w:pStyle w:val="Heading3"/>
        <w:spacing w:before="0" w:after="120"/>
        <w:ind w:left="0"/>
        <w:rPr>
          <w:lang w:val="en-US"/>
        </w:rPr>
      </w:pPr>
      <w:r w:rsidRPr="003A2BCA">
        <w:lastRenderedPageBreak/>
        <w:t>Clinical</w:t>
      </w:r>
      <w:r w:rsidRPr="003A2BCA">
        <w:rPr>
          <w:lang w:val="en-US"/>
        </w:rPr>
        <w:t xml:space="preserve"> trials</w:t>
      </w:r>
    </w:p>
    <w:p w14:paraId="137B1164" w14:textId="45984FB9"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The efficacy of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for the prevention of angioedema attacks in patients with HAE due to C1-INH deficiency type 1 (HAE 1) or HAE due to C1-INH deficiency type 2 (HAE 2) was demonstrated in a 24-week </w:t>
      </w:r>
      <w:proofErr w:type="spellStart"/>
      <w:r w:rsidRPr="003A2BCA">
        <w:rPr>
          <w:rFonts w:asciiTheme="majorHAnsi" w:eastAsia="Times New Roman" w:hAnsiTheme="majorHAnsi" w:cs="Times New Roman"/>
          <w:szCs w:val="20"/>
          <w:lang w:val="en-GB"/>
        </w:rPr>
        <w:t>multicenter</w:t>
      </w:r>
      <w:proofErr w:type="spellEnd"/>
      <w:r w:rsidRPr="003A2BCA">
        <w:rPr>
          <w:rFonts w:asciiTheme="majorHAnsi" w:eastAsia="Times New Roman" w:hAnsiTheme="majorHAnsi" w:cs="Times New Roman"/>
          <w:szCs w:val="20"/>
          <w:lang w:val="en-GB"/>
        </w:rPr>
        <w:t xml:space="preserve">, randomised, double blind, placebo-controlled trial (Trial 1) and a </w:t>
      </w:r>
      <w:proofErr w:type="gramStart"/>
      <w:r w:rsidRPr="003A2BCA">
        <w:rPr>
          <w:rFonts w:asciiTheme="majorHAnsi" w:eastAsia="Times New Roman" w:hAnsiTheme="majorHAnsi" w:cs="Times New Roman"/>
          <w:szCs w:val="20"/>
          <w:lang w:val="en-GB"/>
        </w:rPr>
        <w:t>16 week</w:t>
      </w:r>
      <w:proofErr w:type="gramEnd"/>
      <w:r w:rsidRPr="003A2BCA">
        <w:rPr>
          <w:rFonts w:asciiTheme="majorHAnsi" w:eastAsia="Times New Roman" w:hAnsiTheme="majorHAnsi" w:cs="Times New Roman"/>
          <w:szCs w:val="20"/>
          <w:lang w:val="en-GB"/>
        </w:rPr>
        <w:t xml:space="preserve"> </w:t>
      </w:r>
      <w:proofErr w:type="spellStart"/>
      <w:r w:rsidRPr="003A2BCA">
        <w:rPr>
          <w:rFonts w:asciiTheme="majorHAnsi" w:eastAsia="Times New Roman" w:hAnsiTheme="majorHAnsi" w:cs="Times New Roman"/>
          <w:szCs w:val="20"/>
          <w:lang w:val="en-GB"/>
        </w:rPr>
        <w:t>multicenter</w:t>
      </w:r>
      <w:proofErr w:type="spellEnd"/>
      <w:r w:rsidRPr="003A2BCA">
        <w:rPr>
          <w:rFonts w:asciiTheme="majorHAnsi" w:eastAsia="Times New Roman" w:hAnsiTheme="majorHAnsi" w:cs="Times New Roman"/>
          <w:szCs w:val="20"/>
          <w:lang w:val="en-GB"/>
        </w:rPr>
        <w:t xml:space="preserve">, randomised, double blind, placebo-controlled trial (Trial 3). </w:t>
      </w:r>
    </w:p>
    <w:p w14:paraId="7356DBD4" w14:textId="77777777" w:rsidR="008D23B3" w:rsidRPr="003649E0" w:rsidRDefault="008D23B3" w:rsidP="003649E0">
      <w:pPr>
        <w:tabs>
          <w:tab w:val="left" w:pos="567"/>
        </w:tabs>
        <w:spacing w:after="0"/>
        <w:rPr>
          <w:rFonts w:asciiTheme="majorHAnsi" w:eastAsia="Times New Roman" w:hAnsiTheme="majorHAnsi" w:cs="Times New Roman"/>
          <w:szCs w:val="20"/>
          <w:lang w:val="en-GB"/>
        </w:rPr>
      </w:pPr>
    </w:p>
    <w:p w14:paraId="663C3E30" w14:textId="77777777" w:rsidR="008D23B3" w:rsidRPr="003A2BCA" w:rsidRDefault="008D23B3" w:rsidP="003649E0">
      <w:pPr>
        <w:tabs>
          <w:tab w:val="left" w:pos="567"/>
        </w:tabs>
        <w:spacing w:after="0"/>
        <w:rPr>
          <w:rFonts w:asciiTheme="majorHAnsi" w:eastAsia="Times New Roman" w:hAnsiTheme="majorHAnsi" w:cs="Times New Roman"/>
          <w:i/>
          <w:iCs/>
          <w:szCs w:val="20"/>
          <w:lang w:val="en-GB"/>
        </w:rPr>
      </w:pPr>
      <w:r w:rsidRPr="003A2BCA">
        <w:rPr>
          <w:rFonts w:asciiTheme="majorHAnsi" w:eastAsia="Times New Roman" w:hAnsiTheme="majorHAnsi" w:cs="Times New Roman"/>
          <w:i/>
          <w:iCs/>
          <w:szCs w:val="20"/>
          <w:lang w:val="en-GB"/>
        </w:rPr>
        <w:t>Trial 1- “OASIS-HAE”</w:t>
      </w:r>
    </w:p>
    <w:p w14:paraId="302AA01D"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6E4D48DB" w14:textId="7F3749F0"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Trial 1 included 90 adult and paediatric patients (≥12 years) with at least 2 investigator-confirmed attacks during the 8-week run in period, who received at least 1 dose of study treatment. Patients were randomised in a 2:1 ratio to 1 of 2 groups to receive study treatment either once every 4 weeks (q4wks group) or once every 8 weeks (q8wks group). Within each group, patients were randomised in a 3:1 ratio to receive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80 mg or a matching volume of placebo. The 2 placebo treated groups were combined for analysis. Patients were required to discontinue other prophylactic HAE medications prior to entering the trial; however, all patients were allowed to use rescue medications </w:t>
      </w:r>
      <w:r w:rsidR="0054369E" w:rsidRPr="003A2BCA">
        <w:rPr>
          <w:rFonts w:asciiTheme="majorHAnsi" w:eastAsia="Times New Roman" w:hAnsiTheme="majorHAnsi" w:cs="Times New Roman"/>
          <w:szCs w:val="20"/>
          <w:lang w:val="en-GB"/>
        </w:rPr>
        <w:t xml:space="preserve">such as C1 esterase inhibitors or </w:t>
      </w:r>
      <w:proofErr w:type="spellStart"/>
      <w:r w:rsidR="0054369E" w:rsidRPr="003A2BCA">
        <w:rPr>
          <w:rFonts w:asciiTheme="majorHAnsi" w:eastAsia="Times New Roman" w:hAnsiTheme="majorHAnsi" w:cs="Times New Roman"/>
          <w:szCs w:val="20"/>
          <w:lang w:val="en-GB"/>
        </w:rPr>
        <w:t>icatibant</w:t>
      </w:r>
      <w:proofErr w:type="spellEnd"/>
      <w:r w:rsidR="0054369E" w:rsidRPr="003A2BCA">
        <w:rPr>
          <w:rFonts w:asciiTheme="majorHAnsi" w:eastAsia="Times New Roman" w:hAnsiTheme="majorHAnsi" w:cs="Times New Roman"/>
          <w:szCs w:val="20"/>
          <w:lang w:val="en-GB"/>
        </w:rPr>
        <w:t xml:space="preserve">, </w:t>
      </w:r>
      <w:r w:rsidRPr="003A2BCA">
        <w:rPr>
          <w:rFonts w:asciiTheme="majorHAnsi" w:eastAsia="Times New Roman" w:hAnsiTheme="majorHAnsi" w:cs="Times New Roman"/>
          <w:szCs w:val="20"/>
          <w:lang w:val="en-GB"/>
        </w:rPr>
        <w:t xml:space="preserve">for treatment of any breakthrough HAE attacks. </w:t>
      </w:r>
    </w:p>
    <w:p w14:paraId="25F0EEF9"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270C9236"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Overall, 93% of patients had HAE 1. A history of laryngeal angioedema attacks was reported in 52% of patients, and 18% of patients were on prior prophylactic therapy. The median HAE attack rate during the prospective run-in period (baseline attack rate) was 2.85 attacks/4 weeks and an attack rate of &gt;2 attacks/4 weeks was observed in 69% of patients overall.</w:t>
      </w:r>
    </w:p>
    <w:p w14:paraId="2851ED99"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6A14C119" w14:textId="7AC651A3" w:rsidR="008D23B3" w:rsidRPr="003A2BCA" w:rsidRDefault="00D677F1"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ZIRDAWNY</w:t>
      </w:r>
      <w:r w:rsidR="008D23B3" w:rsidRPr="003A2BCA">
        <w:rPr>
          <w:rFonts w:asciiTheme="majorHAnsi" w:eastAsia="Times New Roman" w:hAnsiTheme="majorHAnsi" w:cs="Times New Roman"/>
          <w:szCs w:val="20"/>
          <w:lang w:val="en-GB"/>
        </w:rPr>
        <w:t xml:space="preserve"> administered every 4 or 8 weeks produced statistically significant reductions in the HAE attack rate (number of investigator-confirmed HAE attacks per 4 weeks) compared to placebo, meeting the primary endpoint in this trial. A sustained response to </w:t>
      </w:r>
      <w:r w:rsidRPr="003A2BCA">
        <w:rPr>
          <w:rFonts w:asciiTheme="majorHAnsi" w:eastAsia="Times New Roman" w:hAnsiTheme="majorHAnsi" w:cs="Times New Roman"/>
          <w:szCs w:val="20"/>
          <w:lang w:val="en-GB"/>
        </w:rPr>
        <w:t>ZIRDAWNY</w:t>
      </w:r>
      <w:r w:rsidR="008D23B3" w:rsidRPr="003A2BCA">
        <w:rPr>
          <w:rFonts w:asciiTheme="majorHAnsi" w:eastAsia="Times New Roman" w:hAnsiTheme="majorHAnsi" w:cs="Times New Roman"/>
          <w:szCs w:val="20"/>
          <w:lang w:val="en-GB"/>
        </w:rPr>
        <w:t xml:space="preserve"> with mean decreases from baseline in the HAE attack rate was observed throughout the treatment period in the </w:t>
      </w:r>
      <w:r w:rsidRPr="003A2BCA">
        <w:rPr>
          <w:rFonts w:asciiTheme="majorHAnsi" w:eastAsia="Times New Roman" w:hAnsiTheme="majorHAnsi" w:cs="Times New Roman"/>
          <w:szCs w:val="20"/>
          <w:lang w:val="en-GB"/>
        </w:rPr>
        <w:t>ZIRDAWNY</w:t>
      </w:r>
      <w:r w:rsidR="008D23B3" w:rsidRPr="003A2BCA">
        <w:rPr>
          <w:rFonts w:asciiTheme="majorHAnsi" w:eastAsia="Times New Roman" w:hAnsiTheme="majorHAnsi" w:cs="Times New Roman"/>
          <w:szCs w:val="20"/>
          <w:lang w:val="en-GB"/>
        </w:rPr>
        <w:t xml:space="preserve"> treatment groups as shown in Figure 1. All secondary endpoint analyses for the q4wks group and all but 2 secondary endpoint analyses for the q8wks group were statistically or nominally significant compared with placebo as shown in Table </w:t>
      </w:r>
      <w:r w:rsidR="00B768EF">
        <w:rPr>
          <w:rFonts w:asciiTheme="majorHAnsi" w:eastAsia="Times New Roman" w:hAnsiTheme="majorHAnsi" w:cs="Times New Roman"/>
          <w:szCs w:val="20"/>
          <w:lang w:val="en-GB"/>
        </w:rPr>
        <w:t>4</w:t>
      </w:r>
      <w:r w:rsidR="008D23B3" w:rsidRPr="003A2BCA">
        <w:rPr>
          <w:rFonts w:asciiTheme="majorHAnsi" w:eastAsia="Times New Roman" w:hAnsiTheme="majorHAnsi" w:cs="Times New Roman"/>
          <w:szCs w:val="20"/>
          <w:lang w:val="en-GB"/>
        </w:rPr>
        <w:t xml:space="preserve"> and discussed further below.</w:t>
      </w:r>
    </w:p>
    <w:p w14:paraId="3940D6F7"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07839761" w14:textId="77777777" w:rsidR="008D23B3" w:rsidRPr="003A2BCA" w:rsidRDefault="008D23B3" w:rsidP="003649E0">
      <w:pPr>
        <w:keepNext/>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lastRenderedPageBreak/>
        <w:t>Figure 1: Percentage change (LSM ± SEM) from baseline in the rate of investigator-confirmed HAE attacks/4 weeks in trial 1</w:t>
      </w:r>
    </w:p>
    <w:p w14:paraId="5E5308F4" w14:textId="77777777" w:rsidR="008D23B3" w:rsidRDefault="008D23B3">
      <w:pPr>
        <w:keepNext/>
        <w:tabs>
          <w:tab w:val="left" w:pos="567"/>
        </w:tabs>
        <w:spacing w:after="0"/>
        <w:rPr>
          <w:rFonts w:asciiTheme="majorHAnsi" w:eastAsia="Times New Roman" w:hAnsiTheme="majorHAnsi" w:cs="Times New Roman"/>
          <w:szCs w:val="20"/>
          <w:lang w:val="en-GB"/>
        </w:rPr>
      </w:pPr>
    </w:p>
    <w:p w14:paraId="49042923" w14:textId="3DA96B1C" w:rsidR="00144968" w:rsidRPr="003649E0" w:rsidRDefault="00144968" w:rsidP="003649E0">
      <w:pPr>
        <w:keepNext/>
        <w:tabs>
          <w:tab w:val="left" w:pos="567"/>
        </w:tabs>
        <w:spacing w:after="0"/>
        <w:rPr>
          <w:rFonts w:asciiTheme="majorHAnsi" w:eastAsia="Times New Roman" w:hAnsiTheme="majorHAnsi" w:cs="Times New Roman"/>
          <w:szCs w:val="20"/>
          <w:lang w:val="en-GB"/>
        </w:rPr>
      </w:pPr>
      <w:r w:rsidRPr="00144968">
        <w:rPr>
          <w:rFonts w:asciiTheme="majorHAnsi" w:eastAsia="Times New Roman" w:hAnsiTheme="majorHAnsi" w:cs="Times New Roman"/>
          <w:noProof/>
          <w:szCs w:val="20"/>
          <w:lang w:val="en-GB"/>
        </w:rPr>
        <w:drawing>
          <wp:inline distT="0" distB="0" distL="0" distR="0" wp14:anchorId="277EECA9" wp14:editId="5A4B3A77">
            <wp:extent cx="5731510" cy="2675255"/>
            <wp:effectExtent l="0" t="0" r="2540" b="0"/>
            <wp:docPr id="1776441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41159" name=""/>
                    <pic:cNvPicPr/>
                  </pic:nvPicPr>
                  <pic:blipFill>
                    <a:blip r:embed="rId13"/>
                    <a:stretch>
                      <a:fillRect/>
                    </a:stretch>
                  </pic:blipFill>
                  <pic:spPr>
                    <a:xfrm>
                      <a:off x="0" y="0"/>
                      <a:ext cx="5731510" cy="2675255"/>
                    </a:xfrm>
                    <a:prstGeom prst="rect">
                      <a:avLst/>
                    </a:prstGeom>
                  </pic:spPr>
                </pic:pic>
              </a:graphicData>
            </a:graphic>
          </wp:inline>
        </w:drawing>
      </w:r>
    </w:p>
    <w:p w14:paraId="328B52A1" w14:textId="62CA9898" w:rsidR="008D23B3" w:rsidRPr="003649E0" w:rsidRDefault="008D23B3" w:rsidP="003649E0">
      <w:pPr>
        <w:tabs>
          <w:tab w:val="left" w:pos="567"/>
        </w:tabs>
        <w:spacing w:after="0"/>
        <w:rPr>
          <w:rFonts w:asciiTheme="majorHAnsi" w:eastAsia="Times New Roman" w:hAnsiTheme="majorHAnsi" w:cs="Times New Roman"/>
          <w:szCs w:val="20"/>
          <w:lang w:val="en-GB"/>
        </w:rPr>
      </w:pPr>
    </w:p>
    <w:p w14:paraId="25EDCA19" w14:textId="77777777" w:rsidR="008D23B3" w:rsidRPr="003A2BCA" w:rsidRDefault="008D23B3" w:rsidP="003649E0">
      <w:pPr>
        <w:tabs>
          <w:tab w:val="left" w:pos="567"/>
        </w:tabs>
        <w:spacing w:after="0"/>
        <w:rPr>
          <w:rFonts w:asciiTheme="majorHAnsi" w:eastAsia="Times New Roman" w:hAnsiTheme="majorHAnsi" w:cs="Times New Roman"/>
          <w:sz w:val="20"/>
          <w:szCs w:val="20"/>
          <w:lang w:val="en-GB"/>
        </w:rPr>
      </w:pPr>
      <w:r w:rsidRPr="003A2BCA">
        <w:rPr>
          <w:rFonts w:asciiTheme="majorHAnsi" w:eastAsia="Times New Roman" w:hAnsiTheme="majorHAnsi" w:cs="Times New Roman"/>
          <w:sz w:val="20"/>
          <w:szCs w:val="20"/>
          <w:lang w:val="en-GB"/>
        </w:rPr>
        <w:t>HAE = hereditary angioedema; LSM = least square mean; q4wks = every 4 weeks; q8wks = every 8 weeks; SC = subcutaneous; SEM = standard error of the mean.</w:t>
      </w:r>
    </w:p>
    <w:p w14:paraId="714F9068" w14:textId="2536CC19" w:rsidR="008D23B3" w:rsidRPr="003A2BCA" w:rsidRDefault="008D23B3" w:rsidP="003649E0">
      <w:pPr>
        <w:keepNext/>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Table </w:t>
      </w:r>
      <w:r w:rsidR="00B768EF">
        <w:rPr>
          <w:rFonts w:asciiTheme="majorHAnsi" w:eastAsia="Times New Roman" w:hAnsiTheme="majorHAnsi" w:cs="Times New Roman"/>
          <w:szCs w:val="20"/>
          <w:lang w:val="en-GB"/>
        </w:rPr>
        <w:t>4</w:t>
      </w:r>
      <w:r w:rsidRPr="003A2BCA">
        <w:rPr>
          <w:rFonts w:asciiTheme="majorHAnsi" w:eastAsia="Times New Roman" w:hAnsiTheme="majorHAnsi" w:cs="Times New Roman"/>
          <w:szCs w:val="20"/>
          <w:lang w:val="en-GB"/>
        </w:rPr>
        <w:t>: Results of primary and secondary efficacy endpoints (full analysis set)</w:t>
      </w:r>
    </w:p>
    <w:p w14:paraId="1463D0DB" w14:textId="77777777" w:rsidR="008D23B3" w:rsidRPr="003A2BCA" w:rsidRDefault="008D23B3" w:rsidP="003649E0">
      <w:pPr>
        <w:keepNext/>
        <w:tabs>
          <w:tab w:val="left" w:pos="567"/>
        </w:tabs>
        <w:spacing w:after="0"/>
        <w:rPr>
          <w:rFonts w:asciiTheme="majorHAnsi" w:eastAsia="Times New Roman" w:hAnsiTheme="majorHAnsi" w:cs="Times New Roman"/>
          <w:szCs w:val="20"/>
          <w:lang w:val="en-GB"/>
        </w:rPr>
      </w:pPr>
    </w:p>
    <w:tbl>
      <w:tblPr>
        <w:tblStyle w:val="TableGrid6"/>
        <w:tblW w:w="4944" w:type="pct"/>
        <w:tblLayout w:type="fixed"/>
        <w:tblLook w:val="04A0" w:firstRow="1" w:lastRow="0" w:firstColumn="1" w:lastColumn="0" w:noHBand="0" w:noVBand="1"/>
      </w:tblPr>
      <w:tblGrid>
        <w:gridCol w:w="2859"/>
        <w:gridCol w:w="1826"/>
        <w:gridCol w:w="2115"/>
        <w:gridCol w:w="2115"/>
      </w:tblGrid>
      <w:tr w:rsidR="008D23B3" w:rsidRPr="003A2BCA" w14:paraId="7EDA323F" w14:textId="77777777" w:rsidTr="00B65EFF">
        <w:trPr>
          <w:trHeight w:val="360"/>
          <w:tblHeader/>
        </w:trPr>
        <w:tc>
          <w:tcPr>
            <w:tcW w:w="1604" w:type="pct"/>
          </w:tcPr>
          <w:p w14:paraId="54502AC3" w14:textId="77777777" w:rsidR="008D23B3" w:rsidRPr="003A2BCA" w:rsidRDefault="008D23B3" w:rsidP="003649E0">
            <w:pPr>
              <w:widowControl w:val="0"/>
              <w:spacing w:line="276" w:lineRule="auto"/>
              <w:contextualSpacing/>
              <w:rPr>
                <w:rFonts w:asciiTheme="majorHAnsi" w:hAnsiTheme="majorHAnsi" w:cs="Times New Roman"/>
                <w:b/>
                <w:bCs/>
                <w:szCs w:val="20"/>
                <w:lang w:val="en-GB"/>
              </w:rPr>
            </w:pPr>
            <w:r w:rsidRPr="003A2BCA">
              <w:rPr>
                <w:rFonts w:asciiTheme="majorHAnsi" w:hAnsiTheme="majorHAnsi" w:cs="Times New Roman"/>
                <w:b/>
                <w:bCs/>
                <w:szCs w:val="20"/>
                <w:lang w:val="en-GB"/>
              </w:rPr>
              <w:t>Endpoint Statistics</w:t>
            </w:r>
          </w:p>
        </w:tc>
        <w:tc>
          <w:tcPr>
            <w:tcW w:w="1024" w:type="pct"/>
          </w:tcPr>
          <w:p w14:paraId="22856670" w14:textId="77777777" w:rsidR="008D23B3" w:rsidRPr="003A2BCA" w:rsidRDefault="008D23B3" w:rsidP="003649E0">
            <w:pPr>
              <w:widowControl w:val="0"/>
              <w:spacing w:line="276" w:lineRule="auto"/>
              <w:contextualSpacing/>
              <w:jc w:val="center"/>
              <w:rPr>
                <w:rFonts w:asciiTheme="majorHAnsi" w:hAnsiTheme="majorHAnsi" w:cs="Times New Roman"/>
                <w:b/>
                <w:bCs/>
                <w:szCs w:val="20"/>
                <w:lang w:val="en-GB"/>
              </w:rPr>
            </w:pPr>
            <w:r w:rsidRPr="003A2BCA">
              <w:rPr>
                <w:rFonts w:asciiTheme="majorHAnsi" w:hAnsiTheme="majorHAnsi" w:cs="Times New Roman"/>
                <w:b/>
                <w:bCs/>
                <w:szCs w:val="20"/>
                <w:lang w:val="en-GB"/>
              </w:rPr>
              <w:t>Placebo</w:t>
            </w:r>
          </w:p>
          <w:p w14:paraId="72B7AA3B" w14:textId="77777777" w:rsidR="008D23B3" w:rsidRPr="003A2BCA" w:rsidRDefault="008D23B3" w:rsidP="003649E0">
            <w:pPr>
              <w:widowControl w:val="0"/>
              <w:spacing w:line="276" w:lineRule="auto"/>
              <w:contextualSpacing/>
              <w:jc w:val="center"/>
              <w:rPr>
                <w:rFonts w:asciiTheme="majorHAnsi" w:hAnsiTheme="majorHAnsi" w:cs="Times New Roman"/>
                <w:b/>
                <w:bCs/>
                <w:szCs w:val="20"/>
                <w:lang w:val="en-GB"/>
              </w:rPr>
            </w:pPr>
            <w:r w:rsidRPr="003A2BCA">
              <w:rPr>
                <w:rFonts w:asciiTheme="majorHAnsi" w:hAnsiTheme="majorHAnsi" w:cs="Times New Roman"/>
                <w:b/>
                <w:bCs/>
                <w:szCs w:val="20"/>
                <w:lang w:val="en-GB"/>
              </w:rPr>
              <w:t>(N=22)</w:t>
            </w:r>
          </w:p>
        </w:tc>
        <w:tc>
          <w:tcPr>
            <w:tcW w:w="1186" w:type="pct"/>
          </w:tcPr>
          <w:p w14:paraId="0B0A8795" w14:textId="2B3BCE4C" w:rsidR="008D23B3" w:rsidRPr="003A2BCA" w:rsidRDefault="00D677F1" w:rsidP="003649E0">
            <w:pPr>
              <w:widowControl w:val="0"/>
              <w:spacing w:line="276" w:lineRule="auto"/>
              <w:contextualSpacing/>
              <w:jc w:val="center"/>
              <w:rPr>
                <w:rFonts w:asciiTheme="majorHAnsi" w:hAnsiTheme="majorHAnsi" w:cs="Times New Roman"/>
                <w:b/>
                <w:bCs/>
                <w:szCs w:val="20"/>
                <w:lang w:val="en-GB"/>
              </w:rPr>
            </w:pPr>
            <w:r w:rsidRPr="003A2BCA">
              <w:rPr>
                <w:rFonts w:asciiTheme="majorHAnsi" w:hAnsiTheme="majorHAnsi" w:cs="Times New Roman"/>
                <w:b/>
                <w:bCs/>
                <w:szCs w:val="20"/>
                <w:lang w:val="en-GB"/>
              </w:rPr>
              <w:t>ZIRDAWNY</w:t>
            </w:r>
            <w:r w:rsidR="008D23B3" w:rsidRPr="003A2BCA">
              <w:rPr>
                <w:rFonts w:asciiTheme="majorHAnsi" w:hAnsiTheme="majorHAnsi" w:cs="Times New Roman"/>
                <w:b/>
                <w:bCs/>
                <w:szCs w:val="20"/>
                <w:lang w:val="en-GB"/>
              </w:rPr>
              <w:t xml:space="preserve"> 80 mg q4wks</w:t>
            </w:r>
          </w:p>
          <w:p w14:paraId="2E001335" w14:textId="77777777" w:rsidR="008D23B3" w:rsidRPr="003A2BCA" w:rsidRDefault="008D23B3" w:rsidP="003649E0">
            <w:pPr>
              <w:widowControl w:val="0"/>
              <w:spacing w:line="276" w:lineRule="auto"/>
              <w:contextualSpacing/>
              <w:jc w:val="center"/>
              <w:rPr>
                <w:rFonts w:asciiTheme="majorHAnsi" w:hAnsiTheme="majorHAnsi" w:cs="Times New Roman"/>
                <w:b/>
                <w:bCs/>
                <w:szCs w:val="20"/>
                <w:lang w:val="en-GB"/>
              </w:rPr>
            </w:pPr>
            <w:r w:rsidRPr="003A2BCA">
              <w:rPr>
                <w:rFonts w:asciiTheme="majorHAnsi" w:hAnsiTheme="majorHAnsi" w:cs="Times New Roman"/>
                <w:b/>
                <w:bCs/>
                <w:szCs w:val="20"/>
                <w:lang w:val="en-GB"/>
              </w:rPr>
              <w:t>(N=45)</w:t>
            </w:r>
          </w:p>
        </w:tc>
        <w:tc>
          <w:tcPr>
            <w:tcW w:w="1186" w:type="pct"/>
          </w:tcPr>
          <w:p w14:paraId="53ED94F2" w14:textId="3066030A" w:rsidR="008D23B3" w:rsidRPr="003A2BCA" w:rsidRDefault="00D677F1" w:rsidP="003649E0">
            <w:pPr>
              <w:widowControl w:val="0"/>
              <w:spacing w:line="276" w:lineRule="auto"/>
              <w:contextualSpacing/>
              <w:jc w:val="center"/>
              <w:rPr>
                <w:rFonts w:asciiTheme="majorHAnsi" w:hAnsiTheme="majorHAnsi" w:cs="Times New Roman"/>
                <w:b/>
                <w:bCs/>
                <w:szCs w:val="20"/>
                <w:lang w:val="en-GB"/>
              </w:rPr>
            </w:pPr>
            <w:r w:rsidRPr="003A2BCA">
              <w:rPr>
                <w:rFonts w:asciiTheme="majorHAnsi" w:hAnsiTheme="majorHAnsi" w:cs="Times New Roman"/>
                <w:b/>
                <w:bCs/>
                <w:szCs w:val="20"/>
                <w:lang w:val="en-GB"/>
              </w:rPr>
              <w:t>ZIRDAWNY</w:t>
            </w:r>
            <w:r w:rsidR="008D23B3" w:rsidRPr="003A2BCA">
              <w:rPr>
                <w:rFonts w:asciiTheme="majorHAnsi" w:hAnsiTheme="majorHAnsi" w:cs="Times New Roman"/>
                <w:b/>
                <w:bCs/>
                <w:szCs w:val="20"/>
                <w:lang w:val="en-GB"/>
              </w:rPr>
              <w:t xml:space="preserve"> 80 mg q8wks</w:t>
            </w:r>
          </w:p>
          <w:p w14:paraId="5C77E6B2" w14:textId="77777777" w:rsidR="008D23B3" w:rsidRPr="003A2BCA" w:rsidRDefault="008D23B3" w:rsidP="003649E0">
            <w:pPr>
              <w:widowControl w:val="0"/>
              <w:spacing w:line="276" w:lineRule="auto"/>
              <w:contextualSpacing/>
              <w:jc w:val="center"/>
              <w:rPr>
                <w:rFonts w:asciiTheme="majorHAnsi" w:hAnsiTheme="majorHAnsi" w:cs="Times New Roman"/>
                <w:b/>
                <w:bCs/>
                <w:szCs w:val="20"/>
                <w:lang w:val="en-GB"/>
              </w:rPr>
            </w:pPr>
            <w:r w:rsidRPr="003A2BCA">
              <w:rPr>
                <w:rFonts w:asciiTheme="majorHAnsi" w:hAnsiTheme="majorHAnsi" w:cs="Times New Roman"/>
                <w:b/>
                <w:bCs/>
                <w:szCs w:val="20"/>
                <w:lang w:val="en-GB"/>
              </w:rPr>
              <w:t>(N=23)</w:t>
            </w:r>
          </w:p>
        </w:tc>
      </w:tr>
      <w:tr w:rsidR="008D23B3" w:rsidRPr="003A2BCA" w14:paraId="44A319D4" w14:textId="77777777" w:rsidTr="00B65EFF">
        <w:trPr>
          <w:trHeight w:val="351"/>
        </w:trPr>
        <w:tc>
          <w:tcPr>
            <w:tcW w:w="5000" w:type="pct"/>
            <w:gridSpan w:val="4"/>
            <w:vAlign w:val="bottom"/>
          </w:tcPr>
          <w:p w14:paraId="13C69732"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HAE attack rate per 4 weeks from baseline to Week 24*</w:t>
            </w:r>
          </w:p>
        </w:tc>
      </w:tr>
      <w:tr w:rsidR="008D23B3" w:rsidRPr="003A2BCA" w14:paraId="275D1871" w14:textId="77777777" w:rsidTr="00B65EFF">
        <w:trPr>
          <w:trHeight w:val="351"/>
        </w:trPr>
        <w:tc>
          <w:tcPr>
            <w:tcW w:w="1604" w:type="pct"/>
          </w:tcPr>
          <w:p w14:paraId="4022AA7D"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LS mean (95% CI) attack rate</w:t>
            </w:r>
          </w:p>
        </w:tc>
        <w:tc>
          <w:tcPr>
            <w:tcW w:w="1024" w:type="pct"/>
          </w:tcPr>
          <w:p w14:paraId="0CF35A66"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2.26</w:t>
            </w:r>
            <w:r w:rsidRPr="003A2BCA">
              <w:rPr>
                <w:rFonts w:asciiTheme="majorHAnsi" w:hAnsiTheme="majorHAnsi" w:cs="Times New Roman"/>
                <w:szCs w:val="20"/>
                <w:lang w:val="en-GB"/>
              </w:rPr>
              <w:br/>
              <w:t>(1.66, 3.09)</w:t>
            </w:r>
          </w:p>
        </w:tc>
        <w:tc>
          <w:tcPr>
            <w:tcW w:w="1186" w:type="pct"/>
          </w:tcPr>
          <w:p w14:paraId="6EDFBE7D"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0.44</w:t>
            </w:r>
            <w:r w:rsidRPr="003A2BCA">
              <w:rPr>
                <w:rFonts w:asciiTheme="majorHAnsi" w:hAnsiTheme="majorHAnsi" w:cs="Times New Roman"/>
                <w:szCs w:val="20"/>
                <w:lang w:val="en-GB"/>
              </w:rPr>
              <w:br/>
              <w:t>(0.27, 0.73)</w:t>
            </w:r>
          </w:p>
        </w:tc>
        <w:tc>
          <w:tcPr>
            <w:tcW w:w="1186" w:type="pct"/>
          </w:tcPr>
          <w:p w14:paraId="189BAD89"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1.02</w:t>
            </w:r>
            <w:r w:rsidRPr="003A2BCA">
              <w:rPr>
                <w:rFonts w:asciiTheme="majorHAnsi" w:hAnsiTheme="majorHAnsi" w:cs="Times New Roman"/>
                <w:szCs w:val="20"/>
                <w:lang w:val="en-GB"/>
              </w:rPr>
              <w:br/>
              <w:t>(0.65, 1.59)</w:t>
            </w:r>
          </w:p>
        </w:tc>
      </w:tr>
      <w:tr w:rsidR="008D23B3" w:rsidRPr="003A2BCA" w14:paraId="41969A17" w14:textId="77777777" w:rsidTr="00B65EFF">
        <w:trPr>
          <w:trHeight w:val="351"/>
        </w:trPr>
        <w:tc>
          <w:tcPr>
            <w:tcW w:w="1604" w:type="pct"/>
            <w:vAlign w:val="center"/>
          </w:tcPr>
          <w:p w14:paraId="397F7F51"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 Reduction (95% CI) relative to placebo</w:t>
            </w:r>
          </w:p>
        </w:tc>
        <w:tc>
          <w:tcPr>
            <w:tcW w:w="1024" w:type="pct"/>
            <w:vAlign w:val="center"/>
          </w:tcPr>
          <w:p w14:paraId="6B441F37"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p>
        </w:tc>
        <w:tc>
          <w:tcPr>
            <w:tcW w:w="1186" w:type="pct"/>
            <w:vAlign w:val="center"/>
          </w:tcPr>
          <w:p w14:paraId="2F6E6430"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−81</w:t>
            </w:r>
            <w:r w:rsidRPr="003A2BCA">
              <w:rPr>
                <w:rFonts w:asciiTheme="majorHAnsi" w:hAnsiTheme="majorHAnsi" w:cs="Times New Roman"/>
                <w:szCs w:val="20"/>
                <w:lang w:val="en-GB"/>
              </w:rPr>
              <w:br/>
              <w:t>(−89, −65)</w:t>
            </w:r>
          </w:p>
        </w:tc>
        <w:tc>
          <w:tcPr>
            <w:tcW w:w="1186" w:type="pct"/>
            <w:vAlign w:val="center"/>
          </w:tcPr>
          <w:p w14:paraId="39064BCC"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−55</w:t>
            </w:r>
            <w:r w:rsidRPr="003A2BCA">
              <w:rPr>
                <w:rFonts w:asciiTheme="majorHAnsi" w:hAnsiTheme="majorHAnsi" w:cs="Times New Roman"/>
                <w:szCs w:val="20"/>
                <w:lang w:val="en-GB"/>
              </w:rPr>
              <w:br/>
              <w:t>(−74, −22)</w:t>
            </w:r>
          </w:p>
        </w:tc>
      </w:tr>
      <w:tr w:rsidR="008D23B3" w:rsidRPr="003A2BCA" w14:paraId="7DAEBDE3" w14:textId="77777777" w:rsidTr="00B65EFF">
        <w:trPr>
          <w:trHeight w:val="351"/>
        </w:trPr>
        <w:tc>
          <w:tcPr>
            <w:tcW w:w="1604" w:type="pct"/>
            <w:vAlign w:val="center"/>
          </w:tcPr>
          <w:p w14:paraId="49A23B0C"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Wald chi</w:t>
            </w:r>
            <w:r w:rsidRPr="003A2BCA">
              <w:rPr>
                <w:rFonts w:asciiTheme="majorHAnsi" w:hAnsiTheme="majorHAnsi" w:cs="Times New Roman"/>
                <w:szCs w:val="20"/>
                <w:lang w:val="en-GB"/>
              </w:rPr>
              <w:noBreakHyphen/>
              <w:t>square p</w:t>
            </w:r>
            <w:r w:rsidRPr="003A2BCA">
              <w:rPr>
                <w:rFonts w:asciiTheme="majorHAnsi" w:hAnsiTheme="majorHAnsi" w:cs="Times New Roman"/>
                <w:szCs w:val="20"/>
                <w:lang w:val="en-GB"/>
              </w:rPr>
              <w:noBreakHyphen/>
              <w:t>value</w:t>
            </w:r>
          </w:p>
        </w:tc>
        <w:tc>
          <w:tcPr>
            <w:tcW w:w="1024" w:type="pct"/>
            <w:vAlign w:val="center"/>
          </w:tcPr>
          <w:p w14:paraId="6FC01B44"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p>
        </w:tc>
        <w:tc>
          <w:tcPr>
            <w:tcW w:w="1186" w:type="pct"/>
            <w:vAlign w:val="center"/>
          </w:tcPr>
          <w:p w14:paraId="37E2ECBA" w14:textId="77777777" w:rsidR="008D23B3" w:rsidRPr="003A2BCA" w:rsidRDefault="008D23B3" w:rsidP="003649E0">
            <w:pPr>
              <w:widowControl w:val="0"/>
              <w:spacing w:line="276" w:lineRule="auto"/>
              <w:contextualSpacing/>
              <w:jc w:val="center"/>
              <w:rPr>
                <w:rFonts w:asciiTheme="majorHAnsi" w:hAnsiTheme="majorHAnsi" w:cs="Times New Roman"/>
                <w:szCs w:val="20"/>
                <w:vertAlign w:val="superscript"/>
                <w:lang w:val="en-GB"/>
              </w:rPr>
            </w:pPr>
            <w:r w:rsidRPr="003A2BCA">
              <w:rPr>
                <w:rFonts w:asciiTheme="majorHAnsi" w:hAnsiTheme="majorHAnsi" w:cs="Times New Roman"/>
                <w:szCs w:val="20"/>
                <w:lang w:val="en-GB"/>
              </w:rPr>
              <w:t>&lt;0.001</w:t>
            </w:r>
            <w:r w:rsidRPr="003A2BCA">
              <w:rPr>
                <w:rFonts w:asciiTheme="majorHAnsi" w:hAnsiTheme="majorHAnsi" w:cs="Times New Roman"/>
                <w:szCs w:val="20"/>
                <w:vertAlign w:val="superscript"/>
                <w:lang w:val="en-GB"/>
              </w:rPr>
              <w:t>†</w:t>
            </w:r>
          </w:p>
        </w:tc>
        <w:tc>
          <w:tcPr>
            <w:tcW w:w="1186" w:type="pct"/>
            <w:vAlign w:val="center"/>
          </w:tcPr>
          <w:p w14:paraId="17A05A23" w14:textId="77777777" w:rsidR="008D23B3" w:rsidRPr="003A2BCA" w:rsidRDefault="008D23B3" w:rsidP="003649E0">
            <w:pPr>
              <w:widowControl w:val="0"/>
              <w:spacing w:line="276" w:lineRule="auto"/>
              <w:contextualSpacing/>
              <w:jc w:val="center"/>
              <w:rPr>
                <w:rFonts w:asciiTheme="majorHAnsi" w:hAnsiTheme="majorHAnsi" w:cs="Times New Roman"/>
                <w:szCs w:val="20"/>
                <w:vertAlign w:val="superscript"/>
                <w:lang w:val="en-GB"/>
              </w:rPr>
            </w:pPr>
            <w:r w:rsidRPr="003A2BCA">
              <w:rPr>
                <w:rFonts w:asciiTheme="majorHAnsi" w:hAnsiTheme="majorHAnsi" w:cs="Times New Roman"/>
                <w:szCs w:val="20"/>
                <w:lang w:val="en-GB"/>
              </w:rPr>
              <w:t>0.004</w:t>
            </w:r>
            <w:r w:rsidRPr="003A2BCA">
              <w:rPr>
                <w:rFonts w:asciiTheme="majorHAnsi" w:hAnsiTheme="majorHAnsi" w:cs="Times New Roman"/>
                <w:szCs w:val="20"/>
                <w:vertAlign w:val="superscript"/>
                <w:lang w:val="en-GB"/>
              </w:rPr>
              <w:t>†</w:t>
            </w:r>
          </w:p>
        </w:tc>
      </w:tr>
      <w:tr w:rsidR="008D23B3" w:rsidRPr="003A2BCA" w14:paraId="291284EC" w14:textId="77777777" w:rsidTr="00B65EFF">
        <w:trPr>
          <w:trHeight w:val="351"/>
        </w:trPr>
        <w:tc>
          <w:tcPr>
            <w:tcW w:w="5000" w:type="pct"/>
            <w:gridSpan w:val="4"/>
            <w:vAlign w:val="bottom"/>
          </w:tcPr>
          <w:p w14:paraId="33B7B11D"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HAE attack rate per 4 weeks from Week 4 to Week 24</w:t>
            </w:r>
          </w:p>
        </w:tc>
      </w:tr>
      <w:tr w:rsidR="008D23B3" w:rsidRPr="003A2BCA" w14:paraId="59D5B7F4" w14:textId="77777777" w:rsidTr="00B65EFF">
        <w:trPr>
          <w:trHeight w:val="461"/>
        </w:trPr>
        <w:tc>
          <w:tcPr>
            <w:tcW w:w="1604" w:type="pct"/>
            <w:vAlign w:val="center"/>
          </w:tcPr>
          <w:p w14:paraId="46820DFA"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LS mean (95% CI) attack rate starting from second dose (Week 4)</w:t>
            </w:r>
          </w:p>
        </w:tc>
        <w:tc>
          <w:tcPr>
            <w:tcW w:w="1024" w:type="pct"/>
            <w:vAlign w:val="center"/>
          </w:tcPr>
          <w:p w14:paraId="065F0B29"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2.25</w:t>
            </w:r>
            <w:r w:rsidRPr="003A2BCA">
              <w:rPr>
                <w:rFonts w:asciiTheme="majorHAnsi" w:hAnsiTheme="majorHAnsi" w:cs="Times New Roman"/>
                <w:szCs w:val="20"/>
                <w:lang w:val="en-GB"/>
              </w:rPr>
              <w:br/>
              <w:t>(1.59, 3.18)</w:t>
            </w:r>
          </w:p>
        </w:tc>
        <w:tc>
          <w:tcPr>
            <w:tcW w:w="1186" w:type="pct"/>
            <w:vAlign w:val="center"/>
          </w:tcPr>
          <w:p w14:paraId="073BE77C"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0.30</w:t>
            </w:r>
            <w:r w:rsidRPr="003A2BCA">
              <w:rPr>
                <w:rFonts w:asciiTheme="majorHAnsi" w:hAnsiTheme="majorHAnsi" w:cs="Times New Roman"/>
                <w:szCs w:val="20"/>
                <w:lang w:val="en-GB"/>
              </w:rPr>
              <w:br/>
              <w:t>(0.15, 0.58)</w:t>
            </w:r>
          </w:p>
        </w:tc>
        <w:tc>
          <w:tcPr>
            <w:tcW w:w="1186" w:type="pct"/>
            <w:vAlign w:val="center"/>
          </w:tcPr>
          <w:p w14:paraId="202C2D61"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0.90</w:t>
            </w:r>
            <w:r w:rsidRPr="003A2BCA">
              <w:rPr>
                <w:rFonts w:asciiTheme="majorHAnsi" w:hAnsiTheme="majorHAnsi" w:cs="Times New Roman"/>
                <w:szCs w:val="20"/>
                <w:lang w:val="en-GB"/>
              </w:rPr>
              <w:br/>
              <w:t>(0.53, 1.52)</w:t>
            </w:r>
          </w:p>
        </w:tc>
      </w:tr>
      <w:tr w:rsidR="008D23B3" w:rsidRPr="003A2BCA" w14:paraId="36863773" w14:textId="77777777" w:rsidTr="00B65EFF">
        <w:trPr>
          <w:trHeight w:val="461"/>
        </w:trPr>
        <w:tc>
          <w:tcPr>
            <w:tcW w:w="1604" w:type="pct"/>
            <w:vAlign w:val="center"/>
          </w:tcPr>
          <w:p w14:paraId="76FF040C"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 xml:space="preserve">% Reduction (95% CI) relative to placebo starting from second dose (Week 4) </w:t>
            </w:r>
          </w:p>
        </w:tc>
        <w:tc>
          <w:tcPr>
            <w:tcW w:w="1024" w:type="pct"/>
            <w:vAlign w:val="center"/>
          </w:tcPr>
          <w:p w14:paraId="304B3C97"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p>
        </w:tc>
        <w:tc>
          <w:tcPr>
            <w:tcW w:w="1186" w:type="pct"/>
            <w:vAlign w:val="center"/>
          </w:tcPr>
          <w:p w14:paraId="51604CFD"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−87</w:t>
            </w:r>
            <w:r w:rsidRPr="003A2BCA">
              <w:rPr>
                <w:rFonts w:asciiTheme="majorHAnsi" w:hAnsiTheme="majorHAnsi" w:cs="Times New Roman"/>
                <w:szCs w:val="20"/>
                <w:lang w:val="en-GB"/>
              </w:rPr>
              <w:br/>
              <w:t>(−94, −72)</w:t>
            </w:r>
          </w:p>
        </w:tc>
        <w:tc>
          <w:tcPr>
            <w:tcW w:w="1186" w:type="pct"/>
            <w:vAlign w:val="center"/>
          </w:tcPr>
          <w:p w14:paraId="76766178"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−60</w:t>
            </w:r>
            <w:r w:rsidRPr="003A2BCA">
              <w:rPr>
                <w:rFonts w:asciiTheme="majorHAnsi" w:hAnsiTheme="majorHAnsi" w:cs="Times New Roman"/>
                <w:szCs w:val="20"/>
                <w:lang w:val="en-GB"/>
              </w:rPr>
              <w:br/>
              <w:t>(−79, −25)</w:t>
            </w:r>
          </w:p>
        </w:tc>
      </w:tr>
      <w:tr w:rsidR="008D23B3" w:rsidRPr="003A2BCA" w14:paraId="3F6C7CEB" w14:textId="77777777" w:rsidTr="00B65EFF">
        <w:trPr>
          <w:trHeight w:val="346"/>
        </w:trPr>
        <w:tc>
          <w:tcPr>
            <w:tcW w:w="1604" w:type="pct"/>
            <w:tcBorders>
              <w:bottom w:val="single" w:sz="4" w:space="0" w:color="auto"/>
            </w:tcBorders>
            <w:vAlign w:val="center"/>
          </w:tcPr>
          <w:p w14:paraId="5609FE2F"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Wald chi</w:t>
            </w:r>
            <w:r w:rsidRPr="003A2BCA">
              <w:rPr>
                <w:rFonts w:asciiTheme="majorHAnsi" w:hAnsiTheme="majorHAnsi" w:cs="Times New Roman"/>
                <w:szCs w:val="20"/>
                <w:lang w:val="en-GB"/>
              </w:rPr>
              <w:noBreakHyphen/>
              <w:t>square p</w:t>
            </w:r>
            <w:r w:rsidRPr="003A2BCA">
              <w:rPr>
                <w:rFonts w:asciiTheme="majorHAnsi" w:hAnsiTheme="majorHAnsi" w:cs="Times New Roman"/>
                <w:szCs w:val="20"/>
                <w:lang w:val="en-GB"/>
              </w:rPr>
              <w:noBreakHyphen/>
              <w:t>value</w:t>
            </w:r>
          </w:p>
        </w:tc>
        <w:tc>
          <w:tcPr>
            <w:tcW w:w="1024" w:type="pct"/>
            <w:tcBorders>
              <w:bottom w:val="single" w:sz="4" w:space="0" w:color="auto"/>
            </w:tcBorders>
            <w:vAlign w:val="center"/>
          </w:tcPr>
          <w:p w14:paraId="58692EE2"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p>
        </w:tc>
        <w:tc>
          <w:tcPr>
            <w:tcW w:w="1186" w:type="pct"/>
            <w:tcBorders>
              <w:bottom w:val="single" w:sz="4" w:space="0" w:color="auto"/>
            </w:tcBorders>
            <w:vAlign w:val="center"/>
          </w:tcPr>
          <w:p w14:paraId="56387DD3" w14:textId="77777777" w:rsidR="008D23B3" w:rsidRPr="003A2BCA" w:rsidRDefault="008D23B3" w:rsidP="003649E0">
            <w:pPr>
              <w:widowControl w:val="0"/>
              <w:spacing w:line="276" w:lineRule="auto"/>
              <w:contextualSpacing/>
              <w:jc w:val="center"/>
              <w:rPr>
                <w:rFonts w:asciiTheme="majorHAnsi" w:hAnsiTheme="majorHAnsi" w:cs="Times New Roman"/>
                <w:szCs w:val="20"/>
                <w:vertAlign w:val="superscript"/>
                <w:lang w:val="en-GB"/>
              </w:rPr>
            </w:pPr>
            <w:r w:rsidRPr="003A2BCA">
              <w:rPr>
                <w:rFonts w:asciiTheme="majorHAnsi" w:hAnsiTheme="majorHAnsi" w:cs="Times New Roman"/>
                <w:szCs w:val="20"/>
                <w:lang w:val="en-GB"/>
              </w:rPr>
              <w:t>&lt;0.001</w:t>
            </w:r>
            <w:r w:rsidRPr="003A2BCA">
              <w:rPr>
                <w:rFonts w:asciiTheme="majorHAnsi" w:hAnsiTheme="majorHAnsi" w:cs="Times New Roman"/>
                <w:szCs w:val="20"/>
                <w:vertAlign w:val="superscript"/>
                <w:lang w:val="en-GB"/>
              </w:rPr>
              <w:t>†</w:t>
            </w:r>
          </w:p>
        </w:tc>
        <w:tc>
          <w:tcPr>
            <w:tcW w:w="1186" w:type="pct"/>
            <w:tcBorders>
              <w:bottom w:val="single" w:sz="4" w:space="0" w:color="auto"/>
            </w:tcBorders>
            <w:vAlign w:val="center"/>
          </w:tcPr>
          <w:p w14:paraId="503FECCE" w14:textId="77777777" w:rsidR="008D23B3" w:rsidRPr="003A2BCA" w:rsidRDefault="008D23B3" w:rsidP="003649E0">
            <w:pPr>
              <w:widowControl w:val="0"/>
              <w:spacing w:line="276" w:lineRule="auto"/>
              <w:contextualSpacing/>
              <w:jc w:val="center"/>
              <w:rPr>
                <w:rFonts w:asciiTheme="majorHAnsi" w:hAnsiTheme="majorHAnsi" w:cs="Times New Roman"/>
                <w:szCs w:val="20"/>
                <w:vertAlign w:val="superscript"/>
                <w:lang w:val="en-GB"/>
              </w:rPr>
            </w:pPr>
            <w:r w:rsidRPr="003A2BCA">
              <w:rPr>
                <w:rFonts w:asciiTheme="majorHAnsi" w:hAnsiTheme="majorHAnsi" w:cs="Times New Roman"/>
                <w:szCs w:val="20"/>
                <w:lang w:val="en-GB"/>
              </w:rPr>
              <w:t>0.004</w:t>
            </w:r>
            <w:r w:rsidRPr="003A2BCA">
              <w:rPr>
                <w:rFonts w:asciiTheme="majorHAnsi" w:hAnsiTheme="majorHAnsi" w:cs="Times New Roman"/>
                <w:szCs w:val="20"/>
                <w:vertAlign w:val="superscript"/>
                <w:lang w:val="en-GB"/>
              </w:rPr>
              <w:t>†</w:t>
            </w:r>
          </w:p>
        </w:tc>
      </w:tr>
      <w:tr w:rsidR="008D23B3" w:rsidRPr="003A2BCA" w14:paraId="047461AF" w14:textId="77777777" w:rsidTr="00B65EFF">
        <w:trPr>
          <w:trHeight w:val="346"/>
        </w:trPr>
        <w:tc>
          <w:tcPr>
            <w:tcW w:w="5000" w:type="pct"/>
            <w:gridSpan w:val="4"/>
            <w:tcBorders>
              <w:bottom w:val="single" w:sz="4" w:space="0" w:color="auto"/>
            </w:tcBorders>
            <w:vAlign w:val="center"/>
          </w:tcPr>
          <w:p w14:paraId="4001144B"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Moderate or severe HAE attack rate</w:t>
            </w:r>
            <w:r w:rsidRPr="003A2BCA">
              <w:rPr>
                <w:rFonts w:asciiTheme="majorHAnsi" w:hAnsiTheme="majorHAnsi" w:cs="Times New Roman"/>
                <w:szCs w:val="20"/>
                <w:vertAlign w:val="superscript"/>
                <w:lang w:val="en-GB"/>
              </w:rPr>
              <w:t xml:space="preserve"> </w:t>
            </w:r>
            <w:r w:rsidRPr="003A2BCA">
              <w:rPr>
                <w:rFonts w:asciiTheme="majorHAnsi" w:hAnsiTheme="majorHAnsi" w:cs="Times New Roman"/>
                <w:szCs w:val="20"/>
                <w:lang w:val="en-GB"/>
              </w:rPr>
              <w:t>per 4 weeks from Week 4 to Week 24</w:t>
            </w:r>
          </w:p>
        </w:tc>
      </w:tr>
      <w:tr w:rsidR="008D23B3" w:rsidRPr="003A2BCA" w14:paraId="4059DA08" w14:textId="77777777" w:rsidTr="00B65EFF">
        <w:trPr>
          <w:trHeight w:val="461"/>
        </w:trPr>
        <w:tc>
          <w:tcPr>
            <w:tcW w:w="1604" w:type="pct"/>
            <w:tcBorders>
              <w:bottom w:val="single" w:sz="4" w:space="0" w:color="auto"/>
            </w:tcBorders>
            <w:vAlign w:val="center"/>
          </w:tcPr>
          <w:p w14:paraId="7FD42148"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LS mean (95% CI) moderate or severe attack rate starting from second dose (Week 4)</w:t>
            </w:r>
          </w:p>
        </w:tc>
        <w:tc>
          <w:tcPr>
            <w:tcW w:w="1024" w:type="pct"/>
            <w:tcBorders>
              <w:bottom w:val="single" w:sz="4" w:space="0" w:color="auto"/>
            </w:tcBorders>
            <w:vAlign w:val="center"/>
          </w:tcPr>
          <w:p w14:paraId="080DB588"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1.15</w:t>
            </w:r>
            <w:r w:rsidRPr="003A2BCA">
              <w:rPr>
                <w:rFonts w:asciiTheme="majorHAnsi" w:hAnsiTheme="majorHAnsi" w:cs="Times New Roman"/>
                <w:szCs w:val="20"/>
                <w:lang w:val="en-GB"/>
              </w:rPr>
              <w:br/>
              <w:t>(0.72, 1.83)</w:t>
            </w:r>
          </w:p>
        </w:tc>
        <w:tc>
          <w:tcPr>
            <w:tcW w:w="1186" w:type="pct"/>
            <w:tcBorders>
              <w:bottom w:val="single" w:sz="4" w:space="0" w:color="auto"/>
            </w:tcBorders>
            <w:vAlign w:val="center"/>
          </w:tcPr>
          <w:p w14:paraId="10F9C4F4"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0.12</w:t>
            </w:r>
            <w:r w:rsidRPr="003A2BCA">
              <w:rPr>
                <w:rFonts w:asciiTheme="majorHAnsi" w:hAnsiTheme="majorHAnsi" w:cs="Times New Roman"/>
                <w:szCs w:val="20"/>
                <w:lang w:val="en-GB"/>
              </w:rPr>
              <w:br/>
              <w:t>(0.04, 0.35)</w:t>
            </w:r>
          </w:p>
        </w:tc>
        <w:tc>
          <w:tcPr>
            <w:tcW w:w="1186" w:type="pct"/>
            <w:tcBorders>
              <w:bottom w:val="single" w:sz="4" w:space="0" w:color="auto"/>
            </w:tcBorders>
            <w:vAlign w:val="center"/>
          </w:tcPr>
          <w:p w14:paraId="59056E00"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0.68</w:t>
            </w:r>
            <w:r w:rsidRPr="003A2BCA">
              <w:rPr>
                <w:rFonts w:asciiTheme="majorHAnsi" w:hAnsiTheme="majorHAnsi" w:cs="Times New Roman"/>
                <w:szCs w:val="20"/>
                <w:lang w:val="en-GB"/>
              </w:rPr>
              <w:br/>
              <w:t>(0.37, 1.23)</w:t>
            </w:r>
          </w:p>
        </w:tc>
      </w:tr>
      <w:tr w:rsidR="008D23B3" w:rsidRPr="003A2BCA" w14:paraId="3698CE53" w14:textId="77777777" w:rsidTr="00B65EFF">
        <w:trPr>
          <w:trHeight w:val="461"/>
        </w:trPr>
        <w:tc>
          <w:tcPr>
            <w:tcW w:w="1604" w:type="pct"/>
            <w:tcBorders>
              <w:bottom w:val="single" w:sz="4" w:space="0" w:color="auto"/>
            </w:tcBorders>
            <w:vAlign w:val="center"/>
          </w:tcPr>
          <w:p w14:paraId="520E2B30"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lastRenderedPageBreak/>
              <w:t xml:space="preserve">% Reduction (95% CI) relative to placebo starting from second dose (Week 4) </w:t>
            </w:r>
          </w:p>
        </w:tc>
        <w:tc>
          <w:tcPr>
            <w:tcW w:w="1024" w:type="pct"/>
            <w:tcBorders>
              <w:bottom w:val="single" w:sz="4" w:space="0" w:color="auto"/>
            </w:tcBorders>
            <w:vAlign w:val="center"/>
          </w:tcPr>
          <w:p w14:paraId="049BB8D1"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p>
        </w:tc>
        <w:tc>
          <w:tcPr>
            <w:tcW w:w="1186" w:type="pct"/>
            <w:tcBorders>
              <w:bottom w:val="single" w:sz="4" w:space="0" w:color="auto"/>
            </w:tcBorders>
            <w:vAlign w:val="center"/>
          </w:tcPr>
          <w:p w14:paraId="650DDE60"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−89</w:t>
            </w:r>
            <w:r w:rsidRPr="003A2BCA">
              <w:rPr>
                <w:rFonts w:asciiTheme="majorHAnsi" w:hAnsiTheme="majorHAnsi" w:cs="Times New Roman"/>
                <w:szCs w:val="20"/>
                <w:lang w:val="en-GB"/>
              </w:rPr>
              <w:br/>
              <w:t>(−97, −66)</w:t>
            </w:r>
          </w:p>
        </w:tc>
        <w:tc>
          <w:tcPr>
            <w:tcW w:w="1186" w:type="pct"/>
            <w:tcBorders>
              <w:bottom w:val="single" w:sz="4" w:space="0" w:color="auto"/>
            </w:tcBorders>
            <w:vAlign w:val="center"/>
          </w:tcPr>
          <w:p w14:paraId="6018E868"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−41</w:t>
            </w:r>
            <w:r w:rsidRPr="003A2BCA">
              <w:rPr>
                <w:rFonts w:asciiTheme="majorHAnsi" w:hAnsiTheme="majorHAnsi" w:cs="Times New Roman"/>
                <w:szCs w:val="20"/>
                <w:lang w:val="en-GB"/>
              </w:rPr>
              <w:br/>
              <w:t>(−72, 26)</w:t>
            </w:r>
          </w:p>
        </w:tc>
      </w:tr>
      <w:tr w:rsidR="008D23B3" w:rsidRPr="003A2BCA" w14:paraId="6DB1E7DA" w14:textId="77777777" w:rsidTr="00B65EFF">
        <w:trPr>
          <w:trHeight w:val="346"/>
        </w:trPr>
        <w:tc>
          <w:tcPr>
            <w:tcW w:w="1604" w:type="pct"/>
            <w:tcBorders>
              <w:bottom w:val="single" w:sz="4" w:space="0" w:color="auto"/>
            </w:tcBorders>
            <w:vAlign w:val="center"/>
          </w:tcPr>
          <w:p w14:paraId="1F301940"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Wald chi</w:t>
            </w:r>
            <w:r w:rsidRPr="003A2BCA">
              <w:rPr>
                <w:rFonts w:asciiTheme="majorHAnsi" w:hAnsiTheme="majorHAnsi" w:cs="Times New Roman"/>
                <w:szCs w:val="20"/>
                <w:lang w:val="en-GB"/>
              </w:rPr>
              <w:noBreakHyphen/>
              <w:t>square p</w:t>
            </w:r>
            <w:r w:rsidRPr="003A2BCA">
              <w:rPr>
                <w:rFonts w:asciiTheme="majorHAnsi" w:hAnsiTheme="majorHAnsi" w:cs="Times New Roman"/>
                <w:szCs w:val="20"/>
                <w:lang w:val="en-GB"/>
              </w:rPr>
              <w:noBreakHyphen/>
              <w:t>value</w:t>
            </w:r>
          </w:p>
        </w:tc>
        <w:tc>
          <w:tcPr>
            <w:tcW w:w="1024" w:type="pct"/>
            <w:tcBorders>
              <w:bottom w:val="single" w:sz="4" w:space="0" w:color="auto"/>
            </w:tcBorders>
            <w:vAlign w:val="center"/>
          </w:tcPr>
          <w:p w14:paraId="13457096"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p>
        </w:tc>
        <w:tc>
          <w:tcPr>
            <w:tcW w:w="1186" w:type="pct"/>
            <w:tcBorders>
              <w:bottom w:val="single" w:sz="4" w:space="0" w:color="auto"/>
            </w:tcBorders>
            <w:vAlign w:val="center"/>
          </w:tcPr>
          <w:p w14:paraId="69FCF724" w14:textId="77777777" w:rsidR="008D23B3" w:rsidRPr="003A2BCA" w:rsidRDefault="008D23B3" w:rsidP="003649E0">
            <w:pPr>
              <w:widowControl w:val="0"/>
              <w:spacing w:line="276" w:lineRule="auto"/>
              <w:contextualSpacing/>
              <w:jc w:val="center"/>
              <w:rPr>
                <w:rFonts w:asciiTheme="majorHAnsi" w:hAnsiTheme="majorHAnsi" w:cs="Times New Roman"/>
                <w:szCs w:val="20"/>
                <w:vertAlign w:val="superscript"/>
                <w:lang w:val="en-GB"/>
              </w:rPr>
            </w:pPr>
            <w:r w:rsidRPr="003A2BCA">
              <w:rPr>
                <w:rFonts w:asciiTheme="majorHAnsi" w:hAnsiTheme="majorHAnsi" w:cs="Times New Roman"/>
                <w:szCs w:val="20"/>
                <w:lang w:val="en-GB"/>
              </w:rPr>
              <w:t>&lt;0.001</w:t>
            </w:r>
            <w:r w:rsidRPr="003A2BCA">
              <w:rPr>
                <w:rFonts w:asciiTheme="majorHAnsi" w:hAnsiTheme="majorHAnsi" w:cs="Times New Roman"/>
                <w:szCs w:val="20"/>
                <w:vertAlign w:val="superscript"/>
                <w:lang w:val="en-GB"/>
              </w:rPr>
              <w:t>†</w:t>
            </w:r>
          </w:p>
        </w:tc>
        <w:tc>
          <w:tcPr>
            <w:tcW w:w="1186" w:type="pct"/>
            <w:tcBorders>
              <w:bottom w:val="single" w:sz="4" w:space="0" w:color="auto"/>
            </w:tcBorders>
            <w:vAlign w:val="center"/>
          </w:tcPr>
          <w:p w14:paraId="28A21950"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NS</w:t>
            </w:r>
          </w:p>
        </w:tc>
      </w:tr>
      <w:tr w:rsidR="008D23B3" w:rsidRPr="003A2BCA" w14:paraId="132EFA27" w14:textId="77777777" w:rsidTr="00B65EFF">
        <w:trPr>
          <w:trHeight w:val="346"/>
        </w:trPr>
        <w:tc>
          <w:tcPr>
            <w:tcW w:w="5000" w:type="pct"/>
            <w:gridSpan w:val="4"/>
            <w:tcBorders>
              <w:bottom w:val="single" w:sz="4" w:space="0" w:color="auto"/>
            </w:tcBorders>
            <w:vAlign w:val="center"/>
          </w:tcPr>
          <w:p w14:paraId="5D189592"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HAE attacks per 4 weeks requiring acute therapy from Week 4 to Week 24</w:t>
            </w:r>
          </w:p>
        </w:tc>
      </w:tr>
      <w:tr w:rsidR="008D23B3" w:rsidRPr="003A2BCA" w14:paraId="5E865682" w14:textId="77777777" w:rsidTr="00B65EFF">
        <w:trPr>
          <w:trHeight w:val="346"/>
        </w:trPr>
        <w:tc>
          <w:tcPr>
            <w:tcW w:w="1604" w:type="pct"/>
            <w:tcBorders>
              <w:bottom w:val="single" w:sz="4" w:space="0" w:color="auto"/>
            </w:tcBorders>
          </w:tcPr>
          <w:p w14:paraId="0C3F642A"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LS mean (95% CI) HAE attacks requiring acute therapy starting from second dose (Week 4)</w:t>
            </w:r>
          </w:p>
        </w:tc>
        <w:tc>
          <w:tcPr>
            <w:tcW w:w="1024" w:type="pct"/>
            <w:tcBorders>
              <w:bottom w:val="single" w:sz="4" w:space="0" w:color="auto"/>
            </w:tcBorders>
          </w:tcPr>
          <w:p w14:paraId="76F2695C"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1.80</w:t>
            </w:r>
            <w:r w:rsidRPr="003A2BCA">
              <w:rPr>
                <w:rFonts w:asciiTheme="majorHAnsi" w:hAnsiTheme="majorHAnsi" w:cs="Times New Roman"/>
                <w:szCs w:val="20"/>
                <w:lang w:val="en-GB"/>
              </w:rPr>
              <w:br/>
              <w:t>(1.23, 2.62)</w:t>
            </w:r>
          </w:p>
        </w:tc>
        <w:tc>
          <w:tcPr>
            <w:tcW w:w="1186" w:type="pct"/>
            <w:tcBorders>
              <w:bottom w:val="single" w:sz="4" w:space="0" w:color="auto"/>
            </w:tcBorders>
          </w:tcPr>
          <w:p w14:paraId="4CC0E0E9"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0.15</w:t>
            </w:r>
            <w:r w:rsidRPr="003A2BCA">
              <w:rPr>
                <w:rFonts w:asciiTheme="majorHAnsi" w:hAnsiTheme="majorHAnsi" w:cs="Times New Roman"/>
                <w:szCs w:val="20"/>
                <w:lang w:val="en-GB"/>
              </w:rPr>
              <w:br/>
              <w:t>(0.06, 0.39)</w:t>
            </w:r>
          </w:p>
        </w:tc>
        <w:tc>
          <w:tcPr>
            <w:tcW w:w="1186" w:type="pct"/>
            <w:tcBorders>
              <w:bottom w:val="single" w:sz="4" w:space="0" w:color="auto"/>
            </w:tcBorders>
          </w:tcPr>
          <w:p w14:paraId="1E813977"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0.59</w:t>
            </w:r>
            <w:r w:rsidRPr="003A2BCA">
              <w:rPr>
                <w:rFonts w:asciiTheme="majorHAnsi" w:hAnsiTheme="majorHAnsi" w:cs="Times New Roman"/>
                <w:szCs w:val="20"/>
                <w:lang w:val="en-GB"/>
              </w:rPr>
              <w:br/>
              <w:t>(0.31, 1.15)</w:t>
            </w:r>
          </w:p>
        </w:tc>
      </w:tr>
      <w:tr w:rsidR="008D23B3" w:rsidRPr="003A2BCA" w14:paraId="7732839A" w14:textId="77777777" w:rsidTr="00B65EFF">
        <w:trPr>
          <w:trHeight w:val="346"/>
        </w:trPr>
        <w:tc>
          <w:tcPr>
            <w:tcW w:w="1604" w:type="pct"/>
            <w:tcBorders>
              <w:bottom w:val="single" w:sz="4" w:space="0" w:color="auto"/>
            </w:tcBorders>
          </w:tcPr>
          <w:p w14:paraId="62B18F9E"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 Reduction (95% CI) relative to placebo starting from second dose (Week 4)</w:t>
            </w:r>
          </w:p>
        </w:tc>
        <w:tc>
          <w:tcPr>
            <w:tcW w:w="1024" w:type="pct"/>
            <w:tcBorders>
              <w:bottom w:val="single" w:sz="4" w:space="0" w:color="auto"/>
            </w:tcBorders>
          </w:tcPr>
          <w:p w14:paraId="50DF8ACC"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p>
        </w:tc>
        <w:tc>
          <w:tcPr>
            <w:tcW w:w="1186" w:type="pct"/>
            <w:tcBorders>
              <w:bottom w:val="single" w:sz="4" w:space="0" w:color="auto"/>
            </w:tcBorders>
          </w:tcPr>
          <w:p w14:paraId="2ADC8B41"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−92</w:t>
            </w:r>
            <w:r w:rsidRPr="003A2BCA">
              <w:rPr>
                <w:rFonts w:asciiTheme="majorHAnsi" w:hAnsiTheme="majorHAnsi" w:cs="Times New Roman"/>
                <w:szCs w:val="20"/>
                <w:lang w:val="en-GB"/>
              </w:rPr>
              <w:br/>
              <w:t>(−97, −77)</w:t>
            </w:r>
          </w:p>
        </w:tc>
        <w:tc>
          <w:tcPr>
            <w:tcW w:w="1186" w:type="pct"/>
            <w:tcBorders>
              <w:bottom w:val="single" w:sz="4" w:space="0" w:color="auto"/>
            </w:tcBorders>
          </w:tcPr>
          <w:p w14:paraId="69D6F99A"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−67</w:t>
            </w:r>
            <w:r w:rsidRPr="003A2BCA">
              <w:rPr>
                <w:rFonts w:asciiTheme="majorHAnsi" w:hAnsiTheme="majorHAnsi" w:cs="Times New Roman"/>
                <w:szCs w:val="20"/>
                <w:lang w:val="en-GB"/>
              </w:rPr>
              <w:br/>
              <w:t>(−85, −29)</w:t>
            </w:r>
          </w:p>
        </w:tc>
      </w:tr>
      <w:tr w:rsidR="008D23B3" w:rsidRPr="003A2BCA" w14:paraId="44273DD9" w14:textId="77777777" w:rsidTr="00B65EFF">
        <w:trPr>
          <w:trHeight w:val="346"/>
        </w:trPr>
        <w:tc>
          <w:tcPr>
            <w:tcW w:w="1604" w:type="pct"/>
            <w:tcBorders>
              <w:bottom w:val="single" w:sz="4" w:space="0" w:color="auto"/>
            </w:tcBorders>
          </w:tcPr>
          <w:p w14:paraId="67EF920B" w14:textId="77777777" w:rsidR="008D23B3" w:rsidRPr="003A2BCA" w:rsidRDefault="008D23B3" w:rsidP="003649E0">
            <w:pPr>
              <w:widowControl w:val="0"/>
              <w:spacing w:line="276" w:lineRule="auto"/>
              <w:contextualSpacing/>
              <w:rPr>
                <w:rFonts w:asciiTheme="majorHAnsi" w:hAnsiTheme="majorHAnsi" w:cs="Times New Roman"/>
                <w:szCs w:val="20"/>
                <w:lang w:val="en-GB"/>
              </w:rPr>
            </w:pPr>
            <w:r w:rsidRPr="003A2BCA">
              <w:rPr>
                <w:rFonts w:asciiTheme="majorHAnsi" w:hAnsiTheme="majorHAnsi" w:cs="Times New Roman"/>
                <w:szCs w:val="20"/>
                <w:lang w:val="en-GB"/>
              </w:rPr>
              <w:t>Wald chi</w:t>
            </w:r>
            <w:r w:rsidRPr="003A2BCA">
              <w:rPr>
                <w:rFonts w:asciiTheme="majorHAnsi" w:hAnsiTheme="majorHAnsi" w:cs="Times New Roman"/>
                <w:szCs w:val="20"/>
                <w:lang w:val="en-GB"/>
              </w:rPr>
              <w:noBreakHyphen/>
              <w:t>square p</w:t>
            </w:r>
            <w:r w:rsidRPr="003A2BCA">
              <w:rPr>
                <w:rFonts w:asciiTheme="majorHAnsi" w:hAnsiTheme="majorHAnsi" w:cs="Times New Roman"/>
                <w:szCs w:val="20"/>
                <w:lang w:val="en-GB"/>
              </w:rPr>
              <w:noBreakHyphen/>
              <w:t>value</w:t>
            </w:r>
          </w:p>
        </w:tc>
        <w:tc>
          <w:tcPr>
            <w:tcW w:w="1024" w:type="pct"/>
            <w:tcBorders>
              <w:bottom w:val="single" w:sz="4" w:space="0" w:color="auto"/>
            </w:tcBorders>
          </w:tcPr>
          <w:p w14:paraId="6CC2ADCC"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p>
        </w:tc>
        <w:tc>
          <w:tcPr>
            <w:tcW w:w="1186" w:type="pct"/>
            <w:tcBorders>
              <w:bottom w:val="single" w:sz="4" w:space="0" w:color="auto"/>
            </w:tcBorders>
          </w:tcPr>
          <w:p w14:paraId="03926A57"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&lt;0.001</w:t>
            </w:r>
            <w:r w:rsidRPr="003A2BCA">
              <w:rPr>
                <w:rFonts w:asciiTheme="majorHAnsi" w:hAnsiTheme="majorHAnsi" w:cs="Times New Roman"/>
                <w:szCs w:val="20"/>
                <w:vertAlign w:val="superscript"/>
                <w:lang w:val="en-GB"/>
              </w:rPr>
              <w:t>†</w:t>
            </w:r>
          </w:p>
        </w:tc>
        <w:tc>
          <w:tcPr>
            <w:tcW w:w="1186" w:type="pct"/>
            <w:tcBorders>
              <w:bottom w:val="single" w:sz="4" w:space="0" w:color="auto"/>
            </w:tcBorders>
          </w:tcPr>
          <w:p w14:paraId="23064F91" w14:textId="77777777" w:rsidR="008D23B3" w:rsidRPr="003A2BCA" w:rsidRDefault="008D23B3" w:rsidP="003649E0">
            <w:pPr>
              <w:widowControl w:val="0"/>
              <w:spacing w:line="276" w:lineRule="auto"/>
              <w:contextualSpacing/>
              <w:jc w:val="center"/>
              <w:rPr>
                <w:rFonts w:asciiTheme="majorHAnsi" w:hAnsiTheme="majorHAnsi" w:cs="Times New Roman"/>
                <w:szCs w:val="20"/>
                <w:lang w:val="en-GB"/>
              </w:rPr>
            </w:pPr>
            <w:r w:rsidRPr="003A2BCA">
              <w:rPr>
                <w:rFonts w:asciiTheme="majorHAnsi" w:hAnsiTheme="majorHAnsi" w:cs="Times New Roman"/>
                <w:szCs w:val="20"/>
                <w:lang w:val="en-GB"/>
              </w:rPr>
              <w:t>0.004</w:t>
            </w:r>
            <w:r w:rsidRPr="003A2BCA">
              <w:rPr>
                <w:rFonts w:asciiTheme="majorHAnsi" w:hAnsiTheme="majorHAnsi" w:cs="Times New Roman"/>
                <w:szCs w:val="20"/>
                <w:vertAlign w:val="superscript"/>
                <w:lang w:val="en-GB"/>
              </w:rPr>
              <w:t>‡</w:t>
            </w:r>
          </w:p>
        </w:tc>
      </w:tr>
    </w:tbl>
    <w:p w14:paraId="307C954F" w14:textId="77777777" w:rsidR="008D23B3" w:rsidRPr="003A2BCA" w:rsidRDefault="008D23B3" w:rsidP="003649E0">
      <w:pPr>
        <w:tabs>
          <w:tab w:val="left" w:pos="567"/>
        </w:tabs>
        <w:spacing w:after="0"/>
        <w:rPr>
          <w:rFonts w:asciiTheme="majorHAnsi" w:eastAsia="Times New Roman" w:hAnsiTheme="majorHAnsi" w:cs="Times New Roman"/>
          <w:sz w:val="20"/>
          <w:szCs w:val="20"/>
          <w:lang w:val="en-GB"/>
        </w:rPr>
      </w:pPr>
      <w:r w:rsidRPr="003A2BCA">
        <w:rPr>
          <w:rFonts w:asciiTheme="majorHAnsi" w:eastAsia="Times New Roman" w:hAnsiTheme="majorHAnsi" w:cs="Times New Roman"/>
          <w:sz w:val="20"/>
          <w:szCs w:val="20"/>
          <w:lang w:val="en-GB"/>
        </w:rPr>
        <w:t>CI</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confidence interval; HAE</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hereditary angioedema; LS</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least square; N</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number of patients in the specific treatment group; NS</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nonsignificant; q4wks</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every 4 weeks; q8wks</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every 8 weeks.</w:t>
      </w:r>
    </w:p>
    <w:p w14:paraId="3678CB9F" w14:textId="548F70C5" w:rsidR="008D23B3" w:rsidRPr="003A2BCA" w:rsidRDefault="008D23B3" w:rsidP="003649E0">
      <w:pPr>
        <w:tabs>
          <w:tab w:val="left" w:pos="567"/>
        </w:tabs>
        <w:spacing w:after="0"/>
        <w:rPr>
          <w:rFonts w:asciiTheme="majorHAnsi" w:eastAsia="Times New Roman" w:hAnsiTheme="majorHAnsi" w:cs="Times New Roman"/>
          <w:sz w:val="20"/>
          <w:szCs w:val="20"/>
          <w:lang w:val="en-GB"/>
        </w:rPr>
      </w:pPr>
      <w:r w:rsidRPr="003A2BCA">
        <w:rPr>
          <w:rFonts w:asciiTheme="majorHAnsi" w:eastAsia="Times New Roman" w:hAnsiTheme="majorHAnsi" w:cs="Times New Roman"/>
          <w:sz w:val="20"/>
          <w:szCs w:val="20"/>
          <w:lang w:val="en-GB"/>
        </w:rPr>
        <w:t>* Primary efficacy endpoint</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 w:val="20"/>
          <w:szCs w:val="20"/>
          <w:lang w:val="en-GB"/>
        </w:rPr>
        <w:t xml:space="preserve">comparison of the time normalised number of investigator-confirmed HAE attacks per 4 weeks from baseline to Week 24 between the </w:t>
      </w:r>
      <w:r w:rsidR="00D677F1" w:rsidRPr="003A2BCA">
        <w:rPr>
          <w:rFonts w:asciiTheme="majorHAnsi" w:eastAsia="Times New Roman" w:hAnsiTheme="majorHAnsi" w:cs="Times New Roman"/>
          <w:sz w:val="20"/>
          <w:szCs w:val="20"/>
          <w:lang w:val="en-GB"/>
        </w:rPr>
        <w:t>ZIRDAWNY</w:t>
      </w:r>
      <w:r w:rsidRPr="003A2BCA">
        <w:rPr>
          <w:rFonts w:asciiTheme="majorHAnsi" w:eastAsia="Times New Roman" w:hAnsiTheme="majorHAnsi" w:cs="Times New Roman"/>
          <w:sz w:val="20"/>
          <w:szCs w:val="20"/>
          <w:lang w:val="en-GB"/>
        </w:rPr>
        <w:t xml:space="preserve"> 80 mg q4wks group and the placebo group.</w:t>
      </w:r>
    </w:p>
    <w:p w14:paraId="53285705" w14:textId="77777777" w:rsidR="008D23B3" w:rsidRPr="003A2BCA" w:rsidRDefault="008D23B3" w:rsidP="003649E0">
      <w:pPr>
        <w:tabs>
          <w:tab w:val="left" w:pos="567"/>
        </w:tabs>
        <w:spacing w:after="0"/>
        <w:rPr>
          <w:rFonts w:asciiTheme="majorHAnsi" w:eastAsia="Times New Roman" w:hAnsiTheme="majorHAnsi" w:cs="Times New Roman"/>
          <w:sz w:val="20"/>
          <w:szCs w:val="20"/>
          <w:lang w:val="en-GB"/>
        </w:rPr>
      </w:pPr>
      <w:r w:rsidRPr="003A2BCA">
        <w:rPr>
          <w:rFonts w:asciiTheme="majorHAnsi" w:eastAsia="Times New Roman" w:hAnsiTheme="majorHAnsi" w:cs="Times New Roman"/>
          <w:sz w:val="20"/>
          <w:szCs w:val="20"/>
          <w:lang w:val="en-GB"/>
        </w:rPr>
        <w:t>† Reached statistical significance (p value &lt;0.05).</w:t>
      </w:r>
    </w:p>
    <w:p w14:paraId="4D9F46DD" w14:textId="77777777" w:rsidR="008D23B3" w:rsidRPr="003A2BCA" w:rsidRDefault="008D23B3" w:rsidP="003649E0">
      <w:pPr>
        <w:tabs>
          <w:tab w:val="left" w:pos="567"/>
        </w:tabs>
        <w:spacing w:after="0"/>
        <w:rPr>
          <w:rFonts w:asciiTheme="majorHAnsi" w:eastAsia="Times New Roman" w:hAnsiTheme="majorHAnsi" w:cs="Times New Roman"/>
          <w:sz w:val="20"/>
          <w:szCs w:val="20"/>
          <w:lang w:val="en-GB"/>
        </w:rPr>
      </w:pPr>
      <w:r w:rsidRPr="003A2BCA">
        <w:rPr>
          <w:rFonts w:asciiTheme="majorHAnsi" w:eastAsia="Times New Roman" w:hAnsiTheme="majorHAnsi" w:cs="Times New Roman"/>
          <w:sz w:val="20"/>
          <w:szCs w:val="20"/>
          <w:lang w:val="en-GB"/>
        </w:rPr>
        <w:t>‡ Reached nominal significance (p value &lt;0.05).</w:t>
      </w:r>
    </w:p>
    <w:p w14:paraId="1D233C5F" w14:textId="77777777" w:rsidR="008B5249" w:rsidRPr="003A2BCA" w:rsidRDefault="008B5249" w:rsidP="003649E0">
      <w:pPr>
        <w:tabs>
          <w:tab w:val="left" w:pos="567"/>
        </w:tabs>
        <w:spacing w:after="0"/>
        <w:rPr>
          <w:rFonts w:asciiTheme="majorHAnsi" w:eastAsia="Times New Roman" w:hAnsiTheme="majorHAnsi" w:cs="Times New Roman"/>
          <w:szCs w:val="20"/>
          <w:lang w:val="en-GB"/>
        </w:rPr>
      </w:pPr>
    </w:p>
    <w:p w14:paraId="0FE37037" w14:textId="66258114"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Additional pre-defined study secondary endpoints included the proportion of responders to study drug and percentage of patients who had well controlled angioedema activity. The proportion of patients with a ≥50%, ≥70%, ≥90%, and 100% (attack free) reduction from baseline in HAE attack rate from Week</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Cs w:val="20"/>
          <w:lang w:val="en-GB"/>
        </w:rPr>
        <w:t>4 to Week</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Cs w:val="20"/>
          <w:lang w:val="en-GB"/>
        </w:rPr>
        <w:t xml:space="preserve">24 was 93%, 82%, 62%, and 53%, respectively, in the </w:t>
      </w:r>
      <w:r w:rsidR="00D677F1" w:rsidRPr="003A2BCA">
        <w:rPr>
          <w:rFonts w:asciiTheme="majorHAnsi" w:eastAsia="Times New Roman" w:hAnsiTheme="majorHAnsi" w:cs="Times New Roman"/>
          <w:szCs w:val="20"/>
          <w:lang w:val="en-GB"/>
        </w:rPr>
        <w:t>ZIRDAWNY</w:t>
      </w:r>
      <w:r w:rsidR="00D06858" w:rsidRPr="003A2BCA">
        <w:rPr>
          <w:rFonts w:asciiTheme="majorHAnsi" w:eastAsia="Times New Roman" w:hAnsiTheme="majorHAnsi" w:cs="Times New Roman"/>
          <w:szCs w:val="20"/>
          <w:lang w:val="en-GB"/>
        </w:rPr>
        <w:t xml:space="preserve"> </w:t>
      </w:r>
      <w:r w:rsidRPr="003A2BCA">
        <w:rPr>
          <w:rFonts w:asciiTheme="majorHAnsi" w:eastAsia="Times New Roman" w:hAnsiTheme="majorHAnsi" w:cs="Times New Roman"/>
          <w:szCs w:val="20"/>
          <w:lang w:val="en-GB"/>
        </w:rPr>
        <w:t xml:space="preserve">80 mg q4wks </w:t>
      </w:r>
      <w:r w:rsidR="00D06858" w:rsidRPr="003A2BCA">
        <w:rPr>
          <w:rFonts w:asciiTheme="majorHAnsi" w:eastAsia="Times New Roman" w:hAnsiTheme="majorHAnsi" w:cs="Times New Roman"/>
          <w:szCs w:val="20"/>
          <w:lang w:val="en-GB"/>
        </w:rPr>
        <w:t xml:space="preserve">treatment </w:t>
      </w:r>
      <w:r w:rsidRPr="003A2BCA">
        <w:rPr>
          <w:rFonts w:asciiTheme="majorHAnsi" w:eastAsia="Times New Roman" w:hAnsiTheme="majorHAnsi" w:cs="Times New Roman"/>
          <w:szCs w:val="20"/>
          <w:lang w:val="en-GB"/>
        </w:rPr>
        <w:t xml:space="preserve">group, and 83%, 65%, 48%, and 35%, respectively, in the </w:t>
      </w:r>
      <w:r w:rsidR="00D677F1" w:rsidRPr="003A2BCA">
        <w:rPr>
          <w:rFonts w:asciiTheme="majorHAnsi" w:eastAsia="Times New Roman" w:hAnsiTheme="majorHAnsi" w:cs="Times New Roman"/>
          <w:szCs w:val="20"/>
          <w:lang w:val="en-GB"/>
        </w:rPr>
        <w:t>ZIRDAWNY</w:t>
      </w:r>
      <w:r w:rsidR="00D5148F" w:rsidRPr="003A2BCA">
        <w:rPr>
          <w:rFonts w:asciiTheme="majorHAnsi" w:eastAsia="Times New Roman" w:hAnsiTheme="majorHAnsi" w:cs="Times New Roman"/>
          <w:szCs w:val="20"/>
          <w:lang w:val="en-GB"/>
        </w:rPr>
        <w:t xml:space="preserve"> </w:t>
      </w:r>
      <w:r w:rsidRPr="003A2BCA">
        <w:rPr>
          <w:rFonts w:asciiTheme="majorHAnsi" w:eastAsia="Times New Roman" w:hAnsiTheme="majorHAnsi" w:cs="Times New Roman"/>
          <w:szCs w:val="20"/>
          <w:lang w:val="en-GB"/>
        </w:rPr>
        <w:t xml:space="preserve">80 mg q8wks </w:t>
      </w:r>
      <w:r w:rsidR="00D5148F" w:rsidRPr="003A2BCA">
        <w:rPr>
          <w:rFonts w:asciiTheme="majorHAnsi" w:eastAsia="Times New Roman" w:hAnsiTheme="majorHAnsi" w:cs="Times New Roman"/>
          <w:szCs w:val="20"/>
          <w:lang w:val="en-GB"/>
        </w:rPr>
        <w:t xml:space="preserve">treatment </w:t>
      </w:r>
      <w:r w:rsidRPr="003A2BCA">
        <w:rPr>
          <w:rFonts w:asciiTheme="majorHAnsi" w:eastAsia="Times New Roman" w:hAnsiTheme="majorHAnsi" w:cs="Times New Roman"/>
          <w:szCs w:val="20"/>
          <w:lang w:val="en-GB"/>
        </w:rPr>
        <w:t>group, compared to 27%, 18%, 9%, and 9%, respectively, in the placebo group. The number of patients who had well controlled disease at Week</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Cs w:val="20"/>
          <w:lang w:val="en-GB"/>
        </w:rPr>
        <w:t xml:space="preserve">24 in the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treatment group</w:t>
      </w:r>
      <w:r w:rsidR="00A84364" w:rsidRPr="003A2BCA">
        <w:rPr>
          <w:rFonts w:asciiTheme="majorHAnsi" w:eastAsia="Times New Roman" w:hAnsiTheme="majorHAnsi" w:cs="Times New Roman"/>
          <w:szCs w:val="20"/>
          <w:lang w:val="en-GB"/>
        </w:rPr>
        <w:t>s</w:t>
      </w:r>
      <w:r w:rsidRPr="003A2BCA">
        <w:rPr>
          <w:rFonts w:asciiTheme="majorHAnsi" w:eastAsia="Times New Roman" w:hAnsiTheme="majorHAnsi" w:cs="Times New Roman"/>
          <w:szCs w:val="20"/>
          <w:lang w:val="en-GB"/>
        </w:rPr>
        <w:t xml:space="preserve"> based on the Angioedema Control Test (AECT) score ≥10 at Week</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Cs w:val="20"/>
          <w:lang w:val="en-GB"/>
        </w:rPr>
        <w:t>24 was 41 (91%) in the 80 mg q4wks group and 17 (74%) in the 80 mg q8wks group, compared to 9 (41%) in the placebo group.</w:t>
      </w:r>
    </w:p>
    <w:p w14:paraId="2354A428"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012A5286" w14:textId="1D942B7B" w:rsidR="008D23B3" w:rsidRPr="003A2BCA" w:rsidRDefault="008D23B3" w:rsidP="003649E0">
      <w:pPr>
        <w:tabs>
          <w:tab w:val="left" w:pos="567"/>
        </w:tabs>
        <w:spacing w:after="0"/>
        <w:rPr>
          <w:rFonts w:asciiTheme="majorHAnsi" w:eastAsia="Times New Roman" w:hAnsiTheme="majorHAnsi" w:cs="Times New Roman"/>
          <w:i/>
          <w:iCs/>
          <w:szCs w:val="20"/>
          <w:u w:val="single"/>
          <w:lang w:val="en-GB"/>
        </w:rPr>
      </w:pPr>
      <w:r w:rsidRPr="003A2BCA">
        <w:rPr>
          <w:rFonts w:asciiTheme="majorHAnsi" w:eastAsia="Times New Roman" w:hAnsiTheme="majorHAnsi" w:cs="Times New Roman"/>
          <w:i/>
          <w:iCs/>
          <w:szCs w:val="20"/>
          <w:u w:val="single"/>
          <w:lang w:val="en-GB"/>
        </w:rPr>
        <w:t xml:space="preserve">Health-related Quality of Life  </w:t>
      </w:r>
    </w:p>
    <w:p w14:paraId="4FAC96CD"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2B221230" w14:textId="5162D6F6"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An improvement was observed for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treatment groups compared to placebo in the Angioedema Quality of Life Questionnaire (AE-QoL) total score. A reduction of 6 points is considered a clinically meaningful improvement. For the total AE-QoL score at Week 24, the least square mean change from baseline in the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treatment group</w:t>
      </w:r>
      <w:r w:rsidR="00A84364" w:rsidRPr="003A2BCA">
        <w:rPr>
          <w:rFonts w:asciiTheme="majorHAnsi" w:eastAsia="Times New Roman" w:hAnsiTheme="majorHAnsi" w:cs="Times New Roman"/>
          <w:szCs w:val="20"/>
          <w:lang w:val="en-GB"/>
        </w:rPr>
        <w:t>s</w:t>
      </w:r>
      <w:r w:rsidRPr="003A2BCA">
        <w:rPr>
          <w:rFonts w:asciiTheme="majorHAnsi" w:eastAsia="Times New Roman" w:hAnsiTheme="majorHAnsi" w:cs="Times New Roman"/>
          <w:szCs w:val="20"/>
          <w:lang w:val="en-GB"/>
        </w:rPr>
        <w:t xml:space="preserve"> was −24.8 and −19.9 for the 80 mg q4wks group and 80 mg q8wks group, respectively, compared to −6.2 in the placebo group</w:t>
      </w:r>
      <w:bookmarkStart w:id="1" w:name="_Hlk188522073"/>
      <w:r w:rsidRPr="003A2BCA">
        <w:rPr>
          <w:rFonts w:asciiTheme="majorHAnsi" w:eastAsia="Times New Roman" w:hAnsiTheme="majorHAnsi" w:cs="Times New Roman"/>
          <w:szCs w:val="20"/>
          <w:lang w:val="en-GB"/>
        </w:rPr>
        <w:t>.</w:t>
      </w:r>
      <w:bookmarkEnd w:id="1"/>
    </w:p>
    <w:p w14:paraId="552086F7" w14:textId="77777777" w:rsidR="008D23B3" w:rsidRDefault="008D23B3" w:rsidP="003649E0">
      <w:pPr>
        <w:tabs>
          <w:tab w:val="left" w:pos="567"/>
        </w:tabs>
        <w:spacing w:after="0"/>
        <w:rPr>
          <w:rFonts w:asciiTheme="majorHAnsi" w:eastAsia="Times New Roman" w:hAnsiTheme="majorHAnsi" w:cs="Times New Roman"/>
          <w:szCs w:val="20"/>
          <w:lang w:val="en-GB"/>
        </w:rPr>
      </w:pPr>
    </w:p>
    <w:p w14:paraId="56E5EDD8" w14:textId="77777777" w:rsidR="003649E0" w:rsidRDefault="003649E0" w:rsidP="003649E0">
      <w:pPr>
        <w:tabs>
          <w:tab w:val="left" w:pos="567"/>
        </w:tabs>
        <w:spacing w:after="0"/>
        <w:rPr>
          <w:rFonts w:asciiTheme="majorHAnsi" w:eastAsia="Times New Roman" w:hAnsiTheme="majorHAnsi" w:cs="Times New Roman"/>
          <w:szCs w:val="20"/>
          <w:lang w:val="en-GB"/>
        </w:rPr>
      </w:pPr>
    </w:p>
    <w:p w14:paraId="0E1B9CEF" w14:textId="77777777" w:rsidR="003649E0" w:rsidRPr="003A2BCA" w:rsidRDefault="003649E0" w:rsidP="003649E0">
      <w:pPr>
        <w:tabs>
          <w:tab w:val="left" w:pos="567"/>
        </w:tabs>
        <w:spacing w:after="0"/>
        <w:rPr>
          <w:rFonts w:asciiTheme="majorHAnsi" w:eastAsia="Times New Roman" w:hAnsiTheme="majorHAnsi" w:cs="Times New Roman"/>
          <w:szCs w:val="20"/>
          <w:lang w:val="en-GB"/>
        </w:rPr>
      </w:pPr>
    </w:p>
    <w:p w14:paraId="5BE68F2A" w14:textId="77777777" w:rsidR="008D23B3" w:rsidRPr="003A2BCA" w:rsidRDefault="008D23B3" w:rsidP="003649E0">
      <w:pPr>
        <w:tabs>
          <w:tab w:val="left" w:pos="567"/>
        </w:tabs>
        <w:spacing w:after="0"/>
        <w:rPr>
          <w:rFonts w:asciiTheme="majorHAnsi" w:eastAsia="Times New Roman" w:hAnsiTheme="majorHAnsi" w:cs="Times New Roman"/>
          <w:i/>
          <w:iCs/>
          <w:szCs w:val="20"/>
          <w:lang w:val="en-GB"/>
        </w:rPr>
      </w:pPr>
      <w:r w:rsidRPr="003A2BCA">
        <w:rPr>
          <w:rFonts w:asciiTheme="majorHAnsi" w:eastAsia="Times New Roman" w:hAnsiTheme="majorHAnsi" w:cs="Times New Roman"/>
          <w:i/>
          <w:iCs/>
          <w:szCs w:val="20"/>
          <w:lang w:val="en-GB"/>
        </w:rPr>
        <w:t>Trial 2 – “</w:t>
      </w:r>
      <w:proofErr w:type="spellStart"/>
      <w:r w:rsidRPr="003A2BCA">
        <w:rPr>
          <w:rFonts w:asciiTheme="majorHAnsi" w:eastAsia="Times New Roman" w:hAnsiTheme="majorHAnsi" w:cs="Times New Roman"/>
          <w:i/>
          <w:iCs/>
          <w:szCs w:val="20"/>
          <w:lang w:val="en-GB"/>
        </w:rPr>
        <w:t>OASISplus</w:t>
      </w:r>
      <w:proofErr w:type="spellEnd"/>
      <w:r w:rsidRPr="003A2BCA">
        <w:rPr>
          <w:rFonts w:asciiTheme="majorHAnsi" w:eastAsia="Times New Roman" w:hAnsiTheme="majorHAnsi" w:cs="Times New Roman"/>
          <w:i/>
          <w:iCs/>
          <w:szCs w:val="20"/>
          <w:lang w:val="en-GB"/>
        </w:rPr>
        <w:t>”</w:t>
      </w:r>
    </w:p>
    <w:p w14:paraId="370F2B81" w14:textId="77777777" w:rsidR="008D23B3" w:rsidRDefault="008D23B3" w:rsidP="003649E0">
      <w:pPr>
        <w:tabs>
          <w:tab w:val="left" w:pos="567"/>
        </w:tabs>
        <w:spacing w:after="0"/>
        <w:rPr>
          <w:rFonts w:asciiTheme="majorHAnsi" w:eastAsia="Times New Roman" w:hAnsiTheme="majorHAnsi" w:cs="Times New Roman"/>
          <w:szCs w:val="20"/>
          <w:lang w:val="en-GB"/>
        </w:rPr>
      </w:pPr>
    </w:p>
    <w:p w14:paraId="4F276555" w14:textId="3DFF362B" w:rsidR="00AB5FE9" w:rsidRDefault="00AB5FE9" w:rsidP="00E35DE6">
      <w:pPr>
        <w:tabs>
          <w:tab w:val="left" w:pos="567"/>
        </w:tabs>
        <w:spacing w:after="0"/>
        <w:rPr>
          <w:rFonts w:asciiTheme="majorHAnsi" w:eastAsia="Times New Roman" w:hAnsiTheme="majorHAnsi" w:cs="Times New Roman"/>
          <w:szCs w:val="20"/>
          <w:lang w:val="en-GB"/>
        </w:rPr>
      </w:pPr>
      <w:r w:rsidRPr="00AB5FE9">
        <w:rPr>
          <w:rFonts w:asciiTheme="majorHAnsi" w:eastAsia="Times New Roman" w:hAnsiTheme="majorHAnsi" w:cs="Times New Roman"/>
          <w:szCs w:val="20"/>
          <w:lang w:val="en-GB"/>
        </w:rPr>
        <w:t>A total of 147 adult and paediatric patients (≥12 years) with HAE 1 or HAE 2 received at least 1 dose</w:t>
      </w:r>
      <w:r>
        <w:rPr>
          <w:rFonts w:asciiTheme="majorHAnsi" w:eastAsia="Times New Roman" w:hAnsiTheme="majorHAnsi" w:cs="Times New Roman"/>
          <w:szCs w:val="20"/>
          <w:lang w:val="en-GB"/>
        </w:rPr>
        <w:t xml:space="preserve"> </w:t>
      </w:r>
      <w:r w:rsidRPr="00AB5FE9">
        <w:rPr>
          <w:rFonts w:asciiTheme="majorHAnsi" w:eastAsia="Times New Roman" w:hAnsiTheme="majorHAnsi" w:cs="Times New Roman"/>
          <w:szCs w:val="20"/>
          <w:lang w:val="en-GB"/>
        </w:rPr>
        <w:t xml:space="preserve">of </w:t>
      </w:r>
      <w:r w:rsidR="001A5D46">
        <w:rPr>
          <w:rFonts w:asciiTheme="majorHAnsi" w:eastAsia="Times New Roman" w:hAnsiTheme="majorHAnsi" w:cs="Times New Roman"/>
          <w:szCs w:val="20"/>
          <w:lang w:val="en-GB"/>
        </w:rPr>
        <w:t>ZIRDAWNY</w:t>
      </w:r>
      <w:r w:rsidRPr="00AB5FE9">
        <w:rPr>
          <w:rFonts w:asciiTheme="majorHAnsi" w:eastAsia="Times New Roman" w:hAnsiTheme="majorHAnsi" w:cs="Times New Roman"/>
          <w:szCs w:val="20"/>
          <w:lang w:val="en-GB"/>
        </w:rPr>
        <w:t xml:space="preserve"> in an open-label extension trial (Trial 2) of up to 3 years. Of these, 83 patients were</w:t>
      </w:r>
      <w:r w:rsidR="00E35DE6">
        <w:rPr>
          <w:rFonts w:asciiTheme="majorHAnsi" w:eastAsia="Times New Roman" w:hAnsiTheme="majorHAnsi" w:cs="Times New Roman"/>
          <w:szCs w:val="20"/>
          <w:lang w:val="en-GB"/>
        </w:rPr>
        <w:t xml:space="preserve"> </w:t>
      </w:r>
      <w:r w:rsidRPr="00AB5FE9">
        <w:rPr>
          <w:rFonts w:asciiTheme="majorHAnsi" w:eastAsia="Times New Roman" w:hAnsiTheme="majorHAnsi" w:cs="Times New Roman"/>
          <w:szCs w:val="20"/>
          <w:lang w:val="en-GB"/>
        </w:rPr>
        <w:t xml:space="preserve">previously treated with </w:t>
      </w:r>
      <w:r w:rsidR="001A5D46">
        <w:rPr>
          <w:rFonts w:asciiTheme="majorHAnsi" w:eastAsia="Times New Roman" w:hAnsiTheme="majorHAnsi" w:cs="Times New Roman"/>
          <w:szCs w:val="20"/>
          <w:lang w:val="en-GB"/>
        </w:rPr>
        <w:t>ZIRDAWNY</w:t>
      </w:r>
      <w:r w:rsidRPr="00AB5FE9">
        <w:rPr>
          <w:rFonts w:asciiTheme="majorHAnsi" w:eastAsia="Times New Roman" w:hAnsiTheme="majorHAnsi" w:cs="Times New Roman"/>
          <w:szCs w:val="20"/>
          <w:lang w:val="en-GB"/>
        </w:rPr>
        <w:t xml:space="preserve"> or placebo in Trial 1 and were included in the rollover group. Non</w:t>
      </w:r>
      <w:r w:rsidR="00E35DE6">
        <w:rPr>
          <w:rFonts w:asciiTheme="majorHAnsi" w:eastAsia="Times New Roman" w:hAnsiTheme="majorHAnsi" w:cs="Times New Roman"/>
          <w:szCs w:val="20"/>
          <w:lang w:val="en-GB"/>
        </w:rPr>
        <w:t>-</w:t>
      </w:r>
      <w:r w:rsidRPr="00AB5FE9">
        <w:rPr>
          <w:rFonts w:asciiTheme="majorHAnsi" w:eastAsia="Times New Roman" w:hAnsiTheme="majorHAnsi" w:cs="Times New Roman"/>
          <w:szCs w:val="20"/>
          <w:lang w:val="en-GB"/>
        </w:rPr>
        <w:t>rollover</w:t>
      </w:r>
      <w:r w:rsidR="00E35DE6">
        <w:rPr>
          <w:rFonts w:asciiTheme="majorHAnsi" w:eastAsia="Times New Roman" w:hAnsiTheme="majorHAnsi" w:cs="Times New Roman"/>
          <w:szCs w:val="20"/>
          <w:lang w:val="en-GB"/>
        </w:rPr>
        <w:t xml:space="preserve"> </w:t>
      </w:r>
      <w:r w:rsidRPr="00AB5FE9">
        <w:rPr>
          <w:rFonts w:asciiTheme="majorHAnsi" w:eastAsia="Times New Roman" w:hAnsiTheme="majorHAnsi" w:cs="Times New Roman"/>
          <w:szCs w:val="20"/>
          <w:lang w:val="en-GB"/>
        </w:rPr>
        <w:t>patients (n=64) were to continue to take their prior HAE prophylactic treatment (</w:t>
      </w:r>
      <w:proofErr w:type="spellStart"/>
      <w:r w:rsidRPr="00AB5FE9">
        <w:rPr>
          <w:rFonts w:asciiTheme="majorHAnsi" w:eastAsia="Times New Roman" w:hAnsiTheme="majorHAnsi" w:cs="Times New Roman"/>
          <w:szCs w:val="20"/>
          <w:lang w:val="en-GB"/>
        </w:rPr>
        <w:t>berotralstat</w:t>
      </w:r>
      <w:proofErr w:type="spellEnd"/>
      <w:r w:rsidRPr="00AB5FE9">
        <w:rPr>
          <w:rFonts w:asciiTheme="majorHAnsi" w:eastAsia="Times New Roman" w:hAnsiTheme="majorHAnsi" w:cs="Times New Roman"/>
          <w:szCs w:val="20"/>
          <w:lang w:val="en-GB"/>
        </w:rPr>
        <w:t>,</w:t>
      </w:r>
      <w:r w:rsidR="00E35DE6">
        <w:rPr>
          <w:rFonts w:asciiTheme="majorHAnsi" w:eastAsia="Times New Roman" w:hAnsiTheme="majorHAnsi" w:cs="Times New Roman"/>
          <w:szCs w:val="20"/>
          <w:lang w:val="en-GB"/>
        </w:rPr>
        <w:t xml:space="preserve"> </w:t>
      </w:r>
      <w:r w:rsidR="00E35DE6" w:rsidRPr="00E35DE6">
        <w:rPr>
          <w:rFonts w:asciiTheme="majorHAnsi" w:eastAsia="Times New Roman" w:hAnsiTheme="majorHAnsi" w:cs="Times New Roman"/>
          <w:szCs w:val="20"/>
          <w:lang w:val="en-GB"/>
        </w:rPr>
        <w:t xml:space="preserve">C1 esterase inhibitors, or </w:t>
      </w:r>
      <w:proofErr w:type="spellStart"/>
      <w:r w:rsidR="00E35DE6" w:rsidRPr="00E35DE6">
        <w:rPr>
          <w:rFonts w:asciiTheme="majorHAnsi" w:eastAsia="Times New Roman" w:hAnsiTheme="majorHAnsi" w:cs="Times New Roman"/>
          <w:szCs w:val="20"/>
          <w:lang w:val="en-GB"/>
        </w:rPr>
        <w:t>lanadelumab</w:t>
      </w:r>
      <w:proofErr w:type="spellEnd"/>
      <w:r w:rsidR="00E35DE6" w:rsidRPr="00E35DE6">
        <w:rPr>
          <w:rFonts w:asciiTheme="majorHAnsi" w:eastAsia="Times New Roman" w:hAnsiTheme="majorHAnsi" w:cs="Times New Roman"/>
          <w:szCs w:val="20"/>
          <w:lang w:val="en-GB"/>
        </w:rPr>
        <w:t>) during the run-in period as per the respective recommended</w:t>
      </w:r>
      <w:r w:rsidR="00E35DE6">
        <w:rPr>
          <w:rFonts w:asciiTheme="majorHAnsi" w:eastAsia="Times New Roman" w:hAnsiTheme="majorHAnsi" w:cs="Times New Roman"/>
          <w:szCs w:val="20"/>
          <w:lang w:val="en-GB"/>
        </w:rPr>
        <w:t xml:space="preserve"> </w:t>
      </w:r>
      <w:r w:rsidR="00E35DE6" w:rsidRPr="00E35DE6">
        <w:rPr>
          <w:rFonts w:asciiTheme="majorHAnsi" w:eastAsia="Times New Roman" w:hAnsiTheme="majorHAnsi" w:cs="Times New Roman"/>
          <w:szCs w:val="20"/>
          <w:lang w:val="en-GB"/>
        </w:rPr>
        <w:t xml:space="preserve">treatment schedules based on the half-life of the individual medicinal products (see </w:t>
      </w:r>
      <w:r w:rsidR="00E35DE6">
        <w:rPr>
          <w:rFonts w:asciiTheme="majorHAnsi" w:eastAsia="Times New Roman" w:hAnsiTheme="majorHAnsi" w:cs="Times New Roman"/>
          <w:szCs w:val="20"/>
          <w:lang w:val="en-GB"/>
        </w:rPr>
        <w:t>S</w:t>
      </w:r>
      <w:r w:rsidR="00E35DE6" w:rsidRPr="00E35DE6">
        <w:rPr>
          <w:rFonts w:asciiTheme="majorHAnsi" w:eastAsia="Times New Roman" w:hAnsiTheme="majorHAnsi" w:cs="Times New Roman"/>
          <w:szCs w:val="20"/>
          <w:lang w:val="en-GB"/>
        </w:rPr>
        <w:t>ection 4.2</w:t>
      </w:r>
      <w:r w:rsidR="00E35DE6">
        <w:rPr>
          <w:rFonts w:asciiTheme="majorHAnsi" w:eastAsia="Times New Roman" w:hAnsiTheme="majorHAnsi" w:cs="Times New Roman"/>
          <w:szCs w:val="20"/>
          <w:lang w:val="en-GB"/>
        </w:rPr>
        <w:t xml:space="preserve"> Dose and method </w:t>
      </w:r>
      <w:r w:rsidR="00C42E4C">
        <w:rPr>
          <w:rFonts w:asciiTheme="majorHAnsi" w:eastAsia="Times New Roman" w:hAnsiTheme="majorHAnsi" w:cs="Times New Roman"/>
          <w:szCs w:val="20"/>
          <w:lang w:val="en-GB"/>
        </w:rPr>
        <w:t xml:space="preserve">of </w:t>
      </w:r>
      <w:r w:rsidR="00E35DE6">
        <w:rPr>
          <w:rFonts w:asciiTheme="majorHAnsi" w:eastAsia="Times New Roman" w:hAnsiTheme="majorHAnsi" w:cs="Times New Roman"/>
          <w:szCs w:val="20"/>
          <w:lang w:val="en-GB"/>
        </w:rPr>
        <w:t>administration</w:t>
      </w:r>
      <w:r w:rsidR="00E35DE6" w:rsidRPr="00E35DE6">
        <w:rPr>
          <w:rFonts w:asciiTheme="majorHAnsi" w:eastAsia="Times New Roman" w:hAnsiTheme="majorHAnsi" w:cs="Times New Roman"/>
          <w:szCs w:val="20"/>
          <w:lang w:val="en-GB"/>
        </w:rPr>
        <w:t>).</w:t>
      </w:r>
      <w:r w:rsidR="008137B5">
        <w:rPr>
          <w:rFonts w:asciiTheme="majorHAnsi" w:eastAsia="Times New Roman" w:hAnsiTheme="majorHAnsi" w:cs="Times New Roman"/>
          <w:szCs w:val="20"/>
          <w:lang w:val="en-GB"/>
        </w:rPr>
        <w:t xml:space="preserve"> </w:t>
      </w:r>
    </w:p>
    <w:p w14:paraId="07328E52" w14:textId="77777777" w:rsidR="008137B5" w:rsidRDefault="008137B5" w:rsidP="00E35DE6">
      <w:pPr>
        <w:tabs>
          <w:tab w:val="left" w:pos="567"/>
        </w:tabs>
        <w:spacing w:after="0"/>
        <w:rPr>
          <w:rFonts w:asciiTheme="majorHAnsi" w:eastAsia="Times New Roman" w:hAnsiTheme="majorHAnsi" w:cs="Times New Roman"/>
          <w:szCs w:val="20"/>
          <w:lang w:val="en-GB"/>
        </w:rPr>
      </w:pPr>
    </w:p>
    <w:p w14:paraId="6858DE36" w14:textId="77777777" w:rsidR="008137B5" w:rsidRPr="00365053" w:rsidRDefault="008137B5" w:rsidP="008137B5">
      <w:pPr>
        <w:tabs>
          <w:tab w:val="left" w:pos="567"/>
        </w:tabs>
        <w:spacing w:after="0"/>
        <w:rPr>
          <w:rFonts w:asciiTheme="majorHAnsi" w:eastAsia="Times New Roman" w:hAnsiTheme="majorHAnsi" w:cs="Times New Roman"/>
          <w:i/>
          <w:iCs/>
          <w:szCs w:val="20"/>
          <w:lang w:val="en-GB"/>
        </w:rPr>
      </w:pPr>
      <w:r w:rsidRPr="00365053">
        <w:rPr>
          <w:rFonts w:asciiTheme="majorHAnsi" w:eastAsia="Times New Roman" w:hAnsiTheme="majorHAnsi" w:cs="Times New Roman"/>
          <w:i/>
          <w:iCs/>
          <w:szCs w:val="20"/>
          <w:lang w:val="en-GB"/>
        </w:rPr>
        <w:t>Open label extension rollover group (Trial 1 rollover patients, n = 83)</w:t>
      </w:r>
    </w:p>
    <w:p w14:paraId="415198FE" w14:textId="77777777" w:rsidR="008137B5" w:rsidRPr="008137B5" w:rsidRDefault="008137B5" w:rsidP="008137B5">
      <w:pPr>
        <w:tabs>
          <w:tab w:val="left" w:pos="567"/>
        </w:tabs>
        <w:spacing w:after="0"/>
        <w:rPr>
          <w:rFonts w:asciiTheme="majorHAnsi" w:eastAsia="Times New Roman" w:hAnsiTheme="majorHAnsi" w:cs="Times New Roman"/>
          <w:szCs w:val="20"/>
          <w:lang w:val="en-GB"/>
        </w:rPr>
      </w:pPr>
    </w:p>
    <w:p w14:paraId="520F15C0" w14:textId="5AA3B17B" w:rsidR="008137B5" w:rsidRDefault="008137B5" w:rsidP="008137B5">
      <w:pPr>
        <w:tabs>
          <w:tab w:val="left" w:pos="567"/>
        </w:tabs>
        <w:spacing w:after="0"/>
        <w:rPr>
          <w:rFonts w:asciiTheme="majorHAnsi" w:eastAsia="Times New Roman" w:hAnsiTheme="majorHAnsi" w:cs="Times New Roman"/>
          <w:szCs w:val="20"/>
          <w:lang w:val="en-GB"/>
        </w:rPr>
      </w:pPr>
      <w:r w:rsidRPr="008137B5">
        <w:rPr>
          <w:rFonts w:asciiTheme="majorHAnsi" w:eastAsia="Times New Roman" w:hAnsiTheme="majorHAnsi" w:cs="Times New Roman"/>
          <w:szCs w:val="20"/>
          <w:lang w:val="en-GB"/>
        </w:rPr>
        <w:t xml:space="preserve">After 52 weeks of </w:t>
      </w:r>
      <w:r w:rsidR="001A5D46">
        <w:rPr>
          <w:rFonts w:asciiTheme="majorHAnsi" w:eastAsia="Times New Roman" w:hAnsiTheme="majorHAnsi" w:cs="Times New Roman"/>
          <w:szCs w:val="20"/>
          <w:lang w:val="en-GB"/>
        </w:rPr>
        <w:t>ZIRDAWNY</w:t>
      </w:r>
      <w:r w:rsidRPr="008137B5">
        <w:rPr>
          <w:rFonts w:asciiTheme="majorHAnsi" w:eastAsia="Times New Roman" w:hAnsiTheme="majorHAnsi" w:cs="Times New Roman"/>
          <w:szCs w:val="20"/>
          <w:lang w:val="en-GB"/>
        </w:rPr>
        <w:t xml:space="preserve"> treatment, patients showed a sustained 93% mean reduction in HAE</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attack rate compared to the baseline (0.22 vs. 3.42 attacks/4 weeks), with well-controlled disease by</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AECT increasing from 20.3% to 91.3% in the Q4W group and from 41.7% to 100.0% in the Q8W</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group, alongside improvements in AE-QoL scores at Week 24.</w:t>
      </w:r>
    </w:p>
    <w:p w14:paraId="7885C83B" w14:textId="77777777" w:rsidR="008137B5" w:rsidRPr="008137B5" w:rsidRDefault="008137B5" w:rsidP="008137B5">
      <w:pPr>
        <w:tabs>
          <w:tab w:val="left" w:pos="567"/>
        </w:tabs>
        <w:spacing w:after="0"/>
        <w:rPr>
          <w:rFonts w:asciiTheme="majorHAnsi" w:eastAsia="Times New Roman" w:hAnsiTheme="majorHAnsi" w:cs="Times New Roman"/>
          <w:szCs w:val="20"/>
          <w:lang w:val="en-GB"/>
        </w:rPr>
      </w:pPr>
    </w:p>
    <w:p w14:paraId="6598CB78" w14:textId="02F8A9BB" w:rsidR="008137B5" w:rsidRPr="00365053" w:rsidRDefault="008137B5" w:rsidP="008137B5">
      <w:pPr>
        <w:tabs>
          <w:tab w:val="left" w:pos="567"/>
        </w:tabs>
        <w:spacing w:after="0"/>
        <w:rPr>
          <w:rFonts w:asciiTheme="majorHAnsi" w:eastAsia="Times New Roman" w:hAnsiTheme="majorHAnsi" w:cs="Times New Roman"/>
          <w:i/>
          <w:iCs/>
          <w:szCs w:val="20"/>
          <w:lang w:val="en-GB"/>
        </w:rPr>
      </w:pPr>
      <w:r w:rsidRPr="00365053">
        <w:rPr>
          <w:rFonts w:asciiTheme="majorHAnsi" w:eastAsia="Times New Roman" w:hAnsiTheme="majorHAnsi" w:cs="Times New Roman"/>
          <w:i/>
          <w:iCs/>
          <w:szCs w:val="20"/>
          <w:lang w:val="en-GB"/>
        </w:rPr>
        <w:t>Non-rollover group (patients previously treated with other HAE long-term prophylactic medicinal products, n = 64)</w:t>
      </w:r>
    </w:p>
    <w:p w14:paraId="524731C6" w14:textId="77777777" w:rsidR="008137B5" w:rsidRPr="008137B5" w:rsidRDefault="008137B5" w:rsidP="008137B5">
      <w:pPr>
        <w:tabs>
          <w:tab w:val="left" w:pos="567"/>
        </w:tabs>
        <w:spacing w:after="0"/>
        <w:rPr>
          <w:rFonts w:asciiTheme="majorHAnsi" w:eastAsia="Times New Roman" w:hAnsiTheme="majorHAnsi" w:cs="Times New Roman"/>
          <w:szCs w:val="20"/>
          <w:lang w:val="en-GB"/>
        </w:rPr>
      </w:pPr>
    </w:p>
    <w:p w14:paraId="0E628C7F" w14:textId="326A2A57" w:rsidR="008137B5" w:rsidRPr="003A2BCA" w:rsidRDefault="008137B5" w:rsidP="008137B5">
      <w:pPr>
        <w:tabs>
          <w:tab w:val="left" w:pos="567"/>
        </w:tabs>
        <w:spacing w:after="0"/>
        <w:rPr>
          <w:rFonts w:asciiTheme="majorHAnsi" w:eastAsia="Times New Roman" w:hAnsiTheme="majorHAnsi" w:cs="Times New Roman"/>
          <w:szCs w:val="20"/>
          <w:lang w:val="en-GB"/>
        </w:rPr>
      </w:pPr>
      <w:r w:rsidRPr="008137B5">
        <w:rPr>
          <w:rFonts w:asciiTheme="majorHAnsi" w:eastAsia="Times New Roman" w:hAnsiTheme="majorHAnsi" w:cs="Times New Roman"/>
          <w:szCs w:val="20"/>
          <w:lang w:val="en-GB"/>
        </w:rPr>
        <w:t xml:space="preserve">During the switch from </w:t>
      </w:r>
      <w:proofErr w:type="spellStart"/>
      <w:r w:rsidRPr="008137B5">
        <w:rPr>
          <w:rFonts w:asciiTheme="majorHAnsi" w:eastAsia="Times New Roman" w:hAnsiTheme="majorHAnsi" w:cs="Times New Roman"/>
          <w:szCs w:val="20"/>
          <w:lang w:val="en-GB"/>
        </w:rPr>
        <w:t>lanadelumab</w:t>
      </w:r>
      <w:proofErr w:type="spellEnd"/>
      <w:r w:rsidRPr="008137B5">
        <w:rPr>
          <w:rFonts w:asciiTheme="majorHAnsi" w:eastAsia="Times New Roman" w:hAnsiTheme="majorHAnsi" w:cs="Times New Roman"/>
          <w:szCs w:val="20"/>
          <w:lang w:val="en-GB"/>
        </w:rPr>
        <w:t xml:space="preserve">, </w:t>
      </w:r>
      <w:proofErr w:type="spellStart"/>
      <w:r w:rsidRPr="008137B5">
        <w:rPr>
          <w:rFonts w:asciiTheme="majorHAnsi" w:eastAsia="Times New Roman" w:hAnsiTheme="majorHAnsi" w:cs="Times New Roman"/>
          <w:szCs w:val="20"/>
          <w:lang w:val="en-GB"/>
        </w:rPr>
        <w:t>berotralstat</w:t>
      </w:r>
      <w:proofErr w:type="spellEnd"/>
      <w:r w:rsidRPr="008137B5">
        <w:rPr>
          <w:rFonts w:asciiTheme="majorHAnsi" w:eastAsia="Times New Roman" w:hAnsiTheme="majorHAnsi" w:cs="Times New Roman"/>
          <w:szCs w:val="20"/>
          <w:lang w:val="en-GB"/>
        </w:rPr>
        <w:t xml:space="preserve">, or C1-esterase inhibitor to </w:t>
      </w:r>
      <w:r w:rsidR="001A5D46">
        <w:rPr>
          <w:rFonts w:asciiTheme="majorHAnsi" w:eastAsia="Times New Roman" w:hAnsiTheme="majorHAnsi" w:cs="Times New Roman"/>
          <w:szCs w:val="20"/>
          <w:lang w:val="en-GB"/>
        </w:rPr>
        <w:t>ZIRDAWNY</w:t>
      </w:r>
      <w:r w:rsidRPr="008137B5">
        <w:rPr>
          <w:rFonts w:asciiTheme="majorHAnsi" w:eastAsia="Times New Roman" w:hAnsiTheme="majorHAnsi" w:cs="Times New Roman"/>
          <w:szCs w:val="20"/>
          <w:lang w:val="en-GB"/>
        </w:rPr>
        <w:t>, no increase in</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HAE attack rate was observed, with mean rates reduced by 66.1% (95% CI -79.69, -52.55) at</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Week 52, with overall disease control by AECT improving from 66.7% to 93.0% by Week 16, and</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AE-QoL scores showing meaningful reductions across all groups.</w:t>
      </w:r>
    </w:p>
    <w:p w14:paraId="71C35545" w14:textId="77777777" w:rsidR="008D23B3" w:rsidRPr="003649E0" w:rsidRDefault="008D23B3" w:rsidP="003649E0">
      <w:pPr>
        <w:tabs>
          <w:tab w:val="left" w:pos="567"/>
        </w:tabs>
        <w:spacing w:after="0"/>
        <w:rPr>
          <w:rFonts w:asciiTheme="majorHAnsi" w:eastAsia="Times New Roman" w:hAnsiTheme="majorHAnsi" w:cs="Times New Roman"/>
          <w:szCs w:val="20"/>
          <w:lang w:val="en-GB"/>
        </w:rPr>
      </w:pPr>
    </w:p>
    <w:p w14:paraId="1CFA3513" w14:textId="1E97C273" w:rsidR="008137B5" w:rsidRDefault="008137B5" w:rsidP="003649E0">
      <w:pPr>
        <w:tabs>
          <w:tab w:val="left" w:pos="567"/>
        </w:tabs>
        <w:spacing w:after="0"/>
        <w:rPr>
          <w:rFonts w:asciiTheme="majorHAnsi" w:eastAsia="Times New Roman" w:hAnsiTheme="majorHAnsi" w:cs="Times New Roman"/>
          <w:i/>
          <w:iCs/>
          <w:szCs w:val="20"/>
          <w:lang w:val="en-GB"/>
        </w:rPr>
      </w:pPr>
      <w:r w:rsidRPr="008137B5">
        <w:rPr>
          <w:rFonts w:asciiTheme="majorHAnsi" w:eastAsia="Times New Roman" w:hAnsiTheme="majorHAnsi" w:cs="Times New Roman"/>
          <w:i/>
          <w:iCs/>
          <w:szCs w:val="20"/>
          <w:lang w:val="en-GB"/>
        </w:rPr>
        <w:t>Trial 3 – Phase 2 trial including patients with HAE-nC1INH</w:t>
      </w:r>
    </w:p>
    <w:p w14:paraId="48EA485A" w14:textId="77777777" w:rsidR="008137B5" w:rsidRDefault="008137B5" w:rsidP="003649E0">
      <w:pPr>
        <w:tabs>
          <w:tab w:val="left" w:pos="567"/>
        </w:tabs>
        <w:spacing w:after="0"/>
        <w:rPr>
          <w:rFonts w:asciiTheme="majorHAnsi" w:eastAsia="Times New Roman" w:hAnsiTheme="majorHAnsi" w:cs="Times New Roman"/>
          <w:i/>
          <w:iCs/>
          <w:szCs w:val="20"/>
          <w:lang w:val="en-GB"/>
        </w:rPr>
      </w:pPr>
    </w:p>
    <w:p w14:paraId="07D99789" w14:textId="2C7B7E5D" w:rsidR="008137B5" w:rsidRDefault="008137B5" w:rsidP="008137B5">
      <w:pPr>
        <w:tabs>
          <w:tab w:val="left" w:pos="567"/>
        </w:tabs>
        <w:spacing w:after="0"/>
        <w:rPr>
          <w:rFonts w:asciiTheme="majorHAnsi" w:eastAsia="Times New Roman" w:hAnsiTheme="majorHAnsi" w:cs="Times New Roman"/>
          <w:szCs w:val="20"/>
          <w:lang w:val="en-GB"/>
        </w:rPr>
      </w:pPr>
      <w:r w:rsidRPr="008137B5">
        <w:rPr>
          <w:rFonts w:asciiTheme="majorHAnsi" w:eastAsia="Times New Roman" w:hAnsiTheme="majorHAnsi" w:cs="Times New Roman"/>
          <w:szCs w:val="20"/>
          <w:lang w:val="en-GB"/>
        </w:rPr>
        <w:t>The phase 2 Trial 3 had an open-label arm for patients with HAE-nC1INH. It included 3 adult patients</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who received donidalorsen 80 mg every 4 weeks for up to 16 weeks. None of these patients had an</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established mutation in factor XII, plasminogen or angiopoietin-1 gene and only one had a positive</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family history.</w:t>
      </w:r>
    </w:p>
    <w:p w14:paraId="6B8D8684" w14:textId="77777777" w:rsidR="008137B5" w:rsidRPr="008137B5" w:rsidRDefault="008137B5" w:rsidP="008137B5">
      <w:pPr>
        <w:tabs>
          <w:tab w:val="left" w:pos="567"/>
        </w:tabs>
        <w:spacing w:after="0"/>
        <w:rPr>
          <w:rFonts w:asciiTheme="majorHAnsi" w:eastAsia="Times New Roman" w:hAnsiTheme="majorHAnsi" w:cs="Times New Roman"/>
          <w:szCs w:val="20"/>
          <w:lang w:val="en-GB"/>
        </w:rPr>
      </w:pPr>
    </w:p>
    <w:p w14:paraId="6AD6426C" w14:textId="44131327" w:rsidR="008137B5" w:rsidRDefault="008137B5" w:rsidP="008137B5">
      <w:pPr>
        <w:tabs>
          <w:tab w:val="left" w:pos="567"/>
        </w:tabs>
        <w:spacing w:after="0"/>
        <w:rPr>
          <w:rFonts w:asciiTheme="majorHAnsi" w:eastAsia="Times New Roman" w:hAnsiTheme="majorHAnsi" w:cs="Times New Roman"/>
          <w:szCs w:val="20"/>
          <w:lang w:val="en-GB"/>
        </w:rPr>
      </w:pPr>
      <w:r w:rsidRPr="008137B5">
        <w:rPr>
          <w:rFonts w:asciiTheme="majorHAnsi" w:eastAsia="Times New Roman" w:hAnsiTheme="majorHAnsi" w:cs="Times New Roman"/>
          <w:szCs w:val="20"/>
          <w:lang w:val="en-GB"/>
        </w:rPr>
        <w:t>For the 3 HAE-nC1-INH patients, there was an overall 76% reduction in HAE attack rate during the</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treatment period. The reduction in mean HAE attack rate was from 4.23 attacks/4 weeks during the</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run-in period to 1.52 attacks/4 weeks from baseline to Week 16. One patient was attack free from</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Week 1 to end of treatment. Quality of life improved concurrently.</w:t>
      </w:r>
    </w:p>
    <w:p w14:paraId="78BA7DF8" w14:textId="77777777" w:rsidR="008137B5" w:rsidRPr="008137B5" w:rsidRDefault="008137B5" w:rsidP="008137B5">
      <w:pPr>
        <w:tabs>
          <w:tab w:val="left" w:pos="567"/>
        </w:tabs>
        <w:spacing w:after="0"/>
        <w:rPr>
          <w:rFonts w:asciiTheme="majorHAnsi" w:eastAsia="Times New Roman" w:hAnsiTheme="majorHAnsi" w:cs="Times New Roman"/>
          <w:szCs w:val="20"/>
          <w:lang w:val="en-GB"/>
        </w:rPr>
      </w:pPr>
    </w:p>
    <w:p w14:paraId="38F86081" w14:textId="44609783" w:rsidR="008D23B3" w:rsidRPr="003A2BCA" w:rsidRDefault="008137B5" w:rsidP="003649E0">
      <w:pPr>
        <w:tabs>
          <w:tab w:val="left" w:pos="567"/>
        </w:tabs>
        <w:spacing w:after="0"/>
        <w:rPr>
          <w:rFonts w:asciiTheme="majorHAnsi" w:eastAsia="Times New Roman" w:hAnsiTheme="majorHAnsi" w:cs="Times New Roman"/>
          <w:szCs w:val="20"/>
          <w:lang w:val="en-GB"/>
        </w:rPr>
      </w:pPr>
      <w:r w:rsidRPr="008137B5">
        <w:rPr>
          <w:rFonts w:asciiTheme="majorHAnsi" w:eastAsia="Times New Roman" w:hAnsiTheme="majorHAnsi" w:cs="Times New Roman"/>
          <w:szCs w:val="20"/>
          <w:lang w:val="en-GB"/>
        </w:rPr>
        <w:t>A reduction in investigator-confirmed monthly angioedema attack rate was observed in all three</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enrolled patients with HAE with normal functional and antigenic C1-inhibitor levels following</w:t>
      </w:r>
      <w:r>
        <w:rPr>
          <w:rFonts w:asciiTheme="majorHAnsi" w:eastAsia="Times New Roman" w:hAnsiTheme="majorHAnsi" w:cs="Times New Roman"/>
          <w:szCs w:val="20"/>
          <w:lang w:val="en-GB"/>
        </w:rPr>
        <w:t xml:space="preserve"> </w:t>
      </w:r>
      <w:r w:rsidRPr="008137B5">
        <w:rPr>
          <w:rFonts w:asciiTheme="majorHAnsi" w:eastAsia="Times New Roman" w:hAnsiTheme="majorHAnsi" w:cs="Times New Roman"/>
          <w:szCs w:val="20"/>
          <w:lang w:val="en-GB"/>
        </w:rPr>
        <w:t>monthly administration of 80 mg donidalorsen.</w:t>
      </w:r>
    </w:p>
    <w:p w14:paraId="5F64B61F" w14:textId="77777777" w:rsidR="003356DE" w:rsidRDefault="003356DE" w:rsidP="003649E0">
      <w:pPr>
        <w:tabs>
          <w:tab w:val="left" w:pos="567"/>
          <w:tab w:val="left" w:pos="3119"/>
        </w:tabs>
        <w:spacing w:after="0"/>
        <w:rPr>
          <w:rFonts w:asciiTheme="majorHAnsi" w:eastAsia="Times New Roman" w:hAnsiTheme="majorHAnsi" w:cs="Times New Roman"/>
          <w:szCs w:val="20"/>
          <w:u w:val="single"/>
          <w:lang w:val="en-GB"/>
        </w:rPr>
      </w:pPr>
    </w:p>
    <w:p w14:paraId="2B9B0650" w14:textId="5CD7D71F" w:rsidR="008D23B3" w:rsidRPr="003A2BCA" w:rsidRDefault="008D23B3" w:rsidP="003649E0">
      <w:pPr>
        <w:tabs>
          <w:tab w:val="left" w:pos="567"/>
          <w:tab w:val="left" w:pos="3119"/>
        </w:tabs>
        <w:spacing w:after="0"/>
        <w:rPr>
          <w:rFonts w:asciiTheme="majorHAnsi" w:eastAsia="Times New Roman" w:hAnsiTheme="majorHAnsi" w:cs="Times New Roman"/>
          <w:szCs w:val="20"/>
          <w:u w:val="single"/>
          <w:lang w:val="en-GB"/>
        </w:rPr>
      </w:pPr>
      <w:r w:rsidRPr="003A2BCA">
        <w:rPr>
          <w:rFonts w:asciiTheme="majorHAnsi" w:eastAsia="Times New Roman" w:hAnsiTheme="majorHAnsi" w:cs="Times New Roman"/>
          <w:szCs w:val="20"/>
          <w:u w:val="single"/>
          <w:lang w:val="en-GB"/>
        </w:rPr>
        <w:t>Cardiac electrophysiology</w:t>
      </w:r>
    </w:p>
    <w:p w14:paraId="754DEF8B"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49EBA873" w14:textId="5E891E78"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lastRenderedPageBreak/>
        <w:t xml:space="preserve">No clinically significant prolongation of QTc interval was observed at the recommended dosage of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80</w:t>
      </w:r>
      <w:r w:rsidRPr="003A2BCA">
        <w:rPr>
          <w:rFonts w:asciiTheme="majorHAnsi" w:eastAsia="Times New Roman" w:hAnsiTheme="majorHAnsi" w:cs="Times New Roman"/>
          <w:noProof/>
          <w:lang w:val="en-GB"/>
        </w:rPr>
        <w:t> </w:t>
      </w:r>
      <w:r w:rsidRPr="003A2BCA">
        <w:rPr>
          <w:rFonts w:asciiTheme="majorHAnsi" w:eastAsia="Times New Roman" w:hAnsiTheme="majorHAnsi" w:cs="Times New Roman"/>
          <w:szCs w:val="20"/>
          <w:lang w:val="en-GB"/>
        </w:rPr>
        <w:t>mg every 4 weeks or every 8 weeks.</w:t>
      </w:r>
    </w:p>
    <w:p w14:paraId="70AA0E7A"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46FA6232" w14:textId="77777777" w:rsidR="008D23B3" w:rsidRPr="003A2BCA" w:rsidRDefault="008D23B3" w:rsidP="003649E0">
      <w:pPr>
        <w:tabs>
          <w:tab w:val="left" w:pos="567"/>
        </w:tabs>
        <w:spacing w:after="0"/>
        <w:rPr>
          <w:rFonts w:asciiTheme="majorHAnsi" w:eastAsia="Times New Roman" w:hAnsiTheme="majorHAnsi" w:cs="Times New Roman"/>
          <w:szCs w:val="20"/>
          <w:u w:val="single"/>
          <w:lang w:val="en-GB"/>
        </w:rPr>
      </w:pPr>
      <w:r w:rsidRPr="003A2BCA">
        <w:rPr>
          <w:rFonts w:asciiTheme="majorHAnsi" w:eastAsia="Times New Roman" w:hAnsiTheme="majorHAnsi" w:cs="Times New Roman"/>
          <w:szCs w:val="20"/>
          <w:u w:val="single"/>
          <w:lang w:val="en-GB"/>
        </w:rPr>
        <w:t>Immunogenicity</w:t>
      </w:r>
    </w:p>
    <w:p w14:paraId="0E95E605" w14:textId="77777777" w:rsidR="008D23B3" w:rsidRPr="003649E0" w:rsidRDefault="008D23B3" w:rsidP="003649E0">
      <w:pPr>
        <w:tabs>
          <w:tab w:val="left" w:pos="567"/>
        </w:tabs>
        <w:spacing w:after="0"/>
        <w:rPr>
          <w:rFonts w:asciiTheme="majorHAnsi" w:eastAsia="Times New Roman" w:hAnsiTheme="majorHAnsi" w:cs="Times New Roman"/>
          <w:szCs w:val="20"/>
          <w:lang w:val="en-GB"/>
        </w:rPr>
      </w:pPr>
    </w:p>
    <w:p w14:paraId="27A5F6BB" w14:textId="4D62BC08"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The observed incidence of anti-drug antibodies (ADAs) is highly dependent on the sensitivity and specificity of the assay. Differences in assay methods preclude meaningful comparisons of the incidence of ADAs in the studies described below with the incidence of ADAs in other studies, including those of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or of other ASO products.</w:t>
      </w:r>
    </w:p>
    <w:p w14:paraId="24F71E28"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374C9D2E" w14:textId="01DE35E6"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In Trial 1, with a treatment duration up to 24 weeks, the incidence rate of treatment emergent ADAs in adult and paediatric patients (≥12 years) with HAE was 20% (9 of 45 patients) in the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80 mg q4wks group and 22% (5 of 23 patients) in the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80 mg q8wks group. In Trial 2, an open label extension trial, patients that rolled over from Trial 1 continued treatment with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in the 80 mg q4wks or q8wks groups for up to 3 years (current median exposure duration of 227 days) and showed an incidence rate of treatment emergent ADAs of 36% (25 of 69 patients) in the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80 mg q4wks group and 21% (3 of 14 patients) in the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80 mg q8wks group. The incidence rate of treatment emergent ADAs was 42% (27 of 64 patients) for the non-rollover,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naïve patients who were previously treated with </w:t>
      </w:r>
      <w:proofErr w:type="spellStart"/>
      <w:r w:rsidRPr="003A2BCA">
        <w:rPr>
          <w:rFonts w:asciiTheme="majorHAnsi" w:eastAsia="Times New Roman" w:hAnsiTheme="majorHAnsi" w:cs="Times New Roman"/>
          <w:szCs w:val="20"/>
          <w:lang w:val="en-GB"/>
        </w:rPr>
        <w:t>berotralstat</w:t>
      </w:r>
      <w:proofErr w:type="spellEnd"/>
      <w:r w:rsidRPr="003A2BCA">
        <w:rPr>
          <w:rFonts w:asciiTheme="majorHAnsi" w:eastAsia="Times New Roman" w:hAnsiTheme="majorHAnsi" w:cs="Times New Roman"/>
          <w:szCs w:val="20"/>
          <w:lang w:val="en-GB"/>
        </w:rPr>
        <w:t xml:space="preserve">, C1 esterase inhibitors, or </w:t>
      </w:r>
      <w:proofErr w:type="spellStart"/>
      <w:r w:rsidRPr="003A2BCA">
        <w:rPr>
          <w:rFonts w:asciiTheme="majorHAnsi" w:eastAsia="Times New Roman" w:hAnsiTheme="majorHAnsi" w:cs="Times New Roman"/>
          <w:szCs w:val="20"/>
          <w:lang w:val="en-GB"/>
        </w:rPr>
        <w:t>lanadelumab</w:t>
      </w:r>
      <w:proofErr w:type="spellEnd"/>
      <w:r w:rsidRPr="003A2BCA">
        <w:rPr>
          <w:rFonts w:asciiTheme="majorHAnsi" w:eastAsia="Times New Roman" w:hAnsiTheme="majorHAnsi" w:cs="Times New Roman"/>
          <w:szCs w:val="20"/>
          <w:lang w:val="en-GB"/>
        </w:rPr>
        <w:t xml:space="preserve"> before receiving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80 mg every 4 weeks for a current median exposure duration of 253 days in Trial 2.</w:t>
      </w:r>
    </w:p>
    <w:p w14:paraId="1136AD7A" w14:textId="77777777" w:rsidR="008D23B3" w:rsidRPr="003649E0" w:rsidRDefault="008D23B3" w:rsidP="003649E0">
      <w:pPr>
        <w:tabs>
          <w:tab w:val="left" w:pos="567"/>
        </w:tabs>
        <w:spacing w:after="0"/>
        <w:rPr>
          <w:rFonts w:asciiTheme="majorHAnsi" w:eastAsia="Times New Roman" w:hAnsiTheme="majorHAnsi" w:cs="Times New Roman"/>
          <w:szCs w:val="20"/>
          <w:lang w:val="en-GB"/>
        </w:rPr>
      </w:pPr>
    </w:p>
    <w:p w14:paraId="79A9EAE6" w14:textId="44C67B9E"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The presence of ADAs did not affect </w:t>
      </w:r>
      <w:r w:rsidR="001E35E5" w:rsidRPr="003A2BCA">
        <w:rPr>
          <w:rFonts w:asciiTheme="majorHAnsi" w:eastAsia="Times New Roman" w:hAnsiTheme="majorHAnsi" w:cs="Times New Roman"/>
          <w:szCs w:val="20"/>
          <w:lang w:val="en-GB"/>
        </w:rPr>
        <w:t xml:space="preserve">donidalorsen </w:t>
      </w:r>
      <w:r w:rsidRPr="003A2BCA">
        <w:rPr>
          <w:rFonts w:asciiTheme="majorHAnsi" w:eastAsia="Times New Roman" w:hAnsiTheme="majorHAnsi" w:cs="Times New Roman"/>
          <w:szCs w:val="20"/>
          <w:lang w:val="en-GB"/>
        </w:rPr>
        <w:t xml:space="preserve">plasma </w:t>
      </w:r>
      <w:proofErr w:type="spellStart"/>
      <w:r w:rsidRPr="003A2BCA">
        <w:rPr>
          <w:rFonts w:asciiTheme="majorHAnsi" w:eastAsia="Times New Roman" w:hAnsiTheme="majorHAnsi" w:cs="Times New Roman"/>
          <w:szCs w:val="20"/>
          <w:lang w:val="en-GB"/>
        </w:rPr>
        <w:t>C</w:t>
      </w:r>
      <w:r w:rsidRPr="003A2BCA">
        <w:rPr>
          <w:rFonts w:asciiTheme="majorHAnsi" w:eastAsia="Times New Roman" w:hAnsiTheme="majorHAnsi" w:cs="Times New Roman"/>
          <w:szCs w:val="20"/>
          <w:vertAlign w:val="subscript"/>
          <w:lang w:val="en-GB"/>
        </w:rPr>
        <w:t>max</w:t>
      </w:r>
      <w:proofErr w:type="spellEnd"/>
      <w:r w:rsidRPr="003A2BCA">
        <w:rPr>
          <w:rFonts w:asciiTheme="majorHAnsi" w:eastAsia="Times New Roman" w:hAnsiTheme="majorHAnsi" w:cs="Times New Roman"/>
          <w:szCs w:val="20"/>
          <w:lang w:val="en-GB"/>
        </w:rPr>
        <w:t xml:space="preserve">, but increased </w:t>
      </w:r>
      <w:proofErr w:type="spellStart"/>
      <w:r w:rsidRPr="003A2BCA">
        <w:rPr>
          <w:rFonts w:asciiTheme="majorHAnsi" w:eastAsia="Times New Roman" w:hAnsiTheme="majorHAnsi" w:cs="Times New Roman"/>
          <w:szCs w:val="20"/>
          <w:lang w:val="en-GB"/>
        </w:rPr>
        <w:t>C</w:t>
      </w:r>
      <w:r w:rsidRPr="003A2BCA">
        <w:rPr>
          <w:rFonts w:asciiTheme="majorHAnsi" w:eastAsia="Times New Roman" w:hAnsiTheme="majorHAnsi" w:cs="Times New Roman"/>
          <w:szCs w:val="20"/>
          <w:vertAlign w:val="subscript"/>
          <w:lang w:val="en-GB"/>
        </w:rPr>
        <w:t>trough</w:t>
      </w:r>
      <w:proofErr w:type="spellEnd"/>
      <w:r w:rsidRPr="003A2BCA">
        <w:rPr>
          <w:rFonts w:asciiTheme="majorHAnsi" w:eastAsia="Times New Roman" w:hAnsiTheme="majorHAnsi" w:cs="Times New Roman"/>
          <w:szCs w:val="20"/>
          <w:lang w:val="en-GB"/>
        </w:rPr>
        <w:t xml:space="preserve"> was observed. The development of ADAs was not found to affect the pharmacodynamics, safety, or efficacy of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in these patients.</w:t>
      </w:r>
    </w:p>
    <w:p w14:paraId="06A561A2"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119F42DF" w14:textId="77777777" w:rsidR="008D23B3" w:rsidRPr="003A2BCA" w:rsidRDefault="008D23B3" w:rsidP="003649E0">
      <w:pPr>
        <w:tabs>
          <w:tab w:val="left" w:pos="567"/>
        </w:tabs>
        <w:spacing w:after="0"/>
        <w:rPr>
          <w:rFonts w:asciiTheme="majorHAnsi" w:eastAsia="Times New Roman" w:hAnsiTheme="majorHAnsi" w:cs="Times New Roman"/>
          <w:szCs w:val="20"/>
          <w:u w:val="single"/>
          <w:lang w:val="en-GB"/>
        </w:rPr>
      </w:pPr>
      <w:r w:rsidRPr="003A2BCA">
        <w:rPr>
          <w:rFonts w:asciiTheme="majorHAnsi" w:eastAsia="Times New Roman" w:hAnsiTheme="majorHAnsi" w:cs="Times New Roman"/>
          <w:szCs w:val="20"/>
          <w:u w:val="single"/>
          <w:lang w:val="en-GB"/>
        </w:rPr>
        <w:t>Elderly patients</w:t>
      </w:r>
    </w:p>
    <w:p w14:paraId="25D50F46"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79B7B4FC" w14:textId="4E7F3A3A"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The safety and effectiveness of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for prophylaxis to prevent attacks of HAE were evaluated in a subgroup of patients 65 years and older. Use of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in this population is supported by evidence from Trials 1 and 3 that included 3 geriatric patients (≥65 years) supplemented by 2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naïve geriatric patients from an open label trial (Trial 2) that were previously maintained on other HAE prophylactic therapies and not previously enrolled in Trial 1. The safety profile and reduction in HAE attack rate in these geriatric patients were </w:t>
      </w:r>
      <w:proofErr w:type="gramStart"/>
      <w:r w:rsidRPr="003A2BCA">
        <w:rPr>
          <w:rFonts w:asciiTheme="majorHAnsi" w:eastAsia="Times New Roman" w:hAnsiTheme="majorHAnsi" w:cs="Times New Roman"/>
          <w:szCs w:val="20"/>
          <w:lang w:val="en-GB"/>
        </w:rPr>
        <w:t>similar to</w:t>
      </w:r>
      <w:proofErr w:type="gramEnd"/>
      <w:r w:rsidRPr="003A2BCA">
        <w:rPr>
          <w:rFonts w:asciiTheme="majorHAnsi" w:eastAsia="Times New Roman" w:hAnsiTheme="majorHAnsi" w:cs="Times New Roman"/>
          <w:szCs w:val="20"/>
          <w:lang w:val="en-GB"/>
        </w:rPr>
        <w:t xml:space="preserve"> those observed in younger adult patients.</w:t>
      </w:r>
    </w:p>
    <w:p w14:paraId="17A72F78"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03D4D541" w14:textId="77777777" w:rsidR="008D23B3" w:rsidRPr="003A2BCA" w:rsidRDefault="008D23B3" w:rsidP="003649E0">
      <w:pPr>
        <w:tabs>
          <w:tab w:val="left" w:pos="567"/>
        </w:tabs>
        <w:spacing w:after="0"/>
        <w:rPr>
          <w:rFonts w:asciiTheme="majorHAnsi" w:eastAsia="Times New Roman" w:hAnsiTheme="majorHAnsi" w:cs="Times New Roman"/>
          <w:szCs w:val="20"/>
          <w:u w:val="single"/>
          <w:lang w:val="en-GB"/>
        </w:rPr>
      </w:pPr>
      <w:r w:rsidRPr="003A2BCA">
        <w:rPr>
          <w:rFonts w:asciiTheme="majorHAnsi" w:eastAsia="Times New Roman" w:hAnsiTheme="majorHAnsi" w:cs="Times New Roman"/>
          <w:szCs w:val="20"/>
          <w:u w:val="single"/>
          <w:lang w:val="en-GB"/>
        </w:rPr>
        <w:t>Paediatric population</w:t>
      </w:r>
    </w:p>
    <w:p w14:paraId="1705DD1B"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57001B04" w14:textId="0EE07B71"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The safety and effectiveness of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for prevention of attacks of HAE have been studied in paediatric patients 12 years and older. Use of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in this population is supported by evidence from Trial 1 that included adults and a total of 7 adolescent patients (12 to 17 years) supplemented by 4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naïve adolescent patients from an open label trial (Trial 2) that were previously maintained on other HAE prophylactic therapies and not previously enrolled in Trial 1. The safety profile and reduction in HAE attack rate in these adolescents were </w:t>
      </w:r>
      <w:proofErr w:type="gramStart"/>
      <w:r w:rsidRPr="003A2BCA">
        <w:rPr>
          <w:rFonts w:asciiTheme="majorHAnsi" w:eastAsia="Times New Roman" w:hAnsiTheme="majorHAnsi" w:cs="Times New Roman"/>
          <w:szCs w:val="20"/>
          <w:lang w:val="en-GB"/>
        </w:rPr>
        <w:t>similar to</w:t>
      </w:r>
      <w:proofErr w:type="gramEnd"/>
      <w:r w:rsidRPr="003A2BCA">
        <w:rPr>
          <w:rFonts w:asciiTheme="majorHAnsi" w:eastAsia="Times New Roman" w:hAnsiTheme="majorHAnsi" w:cs="Times New Roman"/>
          <w:szCs w:val="20"/>
          <w:lang w:val="en-GB"/>
        </w:rPr>
        <w:t xml:space="preserve"> those observed in adults (see </w:t>
      </w:r>
      <w:r w:rsidR="00801DC4" w:rsidRPr="003A2BCA">
        <w:rPr>
          <w:rFonts w:asciiTheme="majorHAnsi" w:eastAsia="Times New Roman" w:hAnsiTheme="majorHAnsi" w:cs="Times New Roman"/>
          <w:szCs w:val="20"/>
          <w:lang w:val="en-GB"/>
        </w:rPr>
        <w:t>S</w:t>
      </w:r>
      <w:r w:rsidRPr="003A2BCA">
        <w:rPr>
          <w:rFonts w:asciiTheme="majorHAnsi" w:eastAsia="Times New Roman" w:hAnsiTheme="majorHAnsi" w:cs="Times New Roman"/>
          <w:szCs w:val="20"/>
          <w:lang w:val="en-GB"/>
        </w:rPr>
        <w:t>ection 4.8</w:t>
      </w:r>
      <w:r w:rsidR="00801DC4" w:rsidRPr="003A2BCA">
        <w:rPr>
          <w:rFonts w:asciiTheme="majorHAnsi" w:eastAsia="Times New Roman" w:hAnsiTheme="majorHAnsi" w:cs="Times New Roman"/>
          <w:szCs w:val="20"/>
          <w:lang w:val="en-GB"/>
        </w:rPr>
        <w:t xml:space="preserve"> Adverse effects (undesirable effects</w:t>
      </w:r>
      <w:r w:rsidRPr="003A2BCA">
        <w:rPr>
          <w:rFonts w:asciiTheme="majorHAnsi" w:eastAsia="Times New Roman" w:hAnsiTheme="majorHAnsi" w:cs="Times New Roman"/>
          <w:szCs w:val="20"/>
          <w:lang w:val="en-GB"/>
        </w:rPr>
        <w:t>).</w:t>
      </w:r>
    </w:p>
    <w:p w14:paraId="3A1949DC" w14:textId="77777777" w:rsidR="008D23B3" w:rsidRPr="003A2BCA" w:rsidRDefault="008D23B3" w:rsidP="003649E0">
      <w:pPr>
        <w:tabs>
          <w:tab w:val="left" w:pos="567"/>
        </w:tabs>
        <w:spacing w:after="0"/>
        <w:rPr>
          <w:rFonts w:asciiTheme="majorHAnsi" w:eastAsia="Times New Roman" w:hAnsiTheme="majorHAnsi" w:cs="Times New Roman"/>
          <w:szCs w:val="20"/>
          <w:lang w:val="en-GB"/>
        </w:rPr>
      </w:pPr>
    </w:p>
    <w:p w14:paraId="2962C3B2" w14:textId="54EC556C" w:rsidR="008D23B3" w:rsidRPr="003A2BCA" w:rsidRDefault="008D23B3" w:rsidP="003649E0">
      <w:pPr>
        <w:tabs>
          <w:tab w:val="left" w:pos="567"/>
        </w:tabs>
        <w:spacing w:after="0"/>
        <w:rPr>
          <w:rFonts w:asciiTheme="majorHAnsi" w:eastAsia="Times New Roman" w:hAnsiTheme="majorHAnsi" w:cs="Times New Roman"/>
          <w:szCs w:val="20"/>
          <w:lang w:val="en-GB"/>
        </w:rPr>
      </w:pPr>
      <w:r w:rsidRPr="003A2BCA">
        <w:rPr>
          <w:rFonts w:asciiTheme="majorHAnsi" w:eastAsia="Times New Roman" w:hAnsiTheme="majorHAnsi" w:cs="Times New Roman"/>
          <w:szCs w:val="20"/>
          <w:lang w:val="en-GB"/>
        </w:rPr>
        <w:t xml:space="preserve">The safety and effectiveness of </w:t>
      </w:r>
      <w:r w:rsidR="00D677F1" w:rsidRPr="003A2BCA">
        <w:rPr>
          <w:rFonts w:asciiTheme="majorHAnsi" w:eastAsia="Times New Roman" w:hAnsiTheme="majorHAnsi" w:cs="Times New Roman"/>
          <w:szCs w:val="20"/>
          <w:lang w:val="en-GB"/>
        </w:rPr>
        <w:t>ZIRDAWNY</w:t>
      </w:r>
      <w:r w:rsidRPr="003A2BCA">
        <w:rPr>
          <w:rFonts w:asciiTheme="majorHAnsi" w:eastAsia="Times New Roman" w:hAnsiTheme="majorHAnsi" w:cs="Times New Roman"/>
          <w:szCs w:val="20"/>
          <w:lang w:val="en-GB"/>
        </w:rPr>
        <w:t xml:space="preserve"> in paediatric patients less than 12 years of age have not been established.</w:t>
      </w:r>
    </w:p>
    <w:p w14:paraId="1AE3166B" w14:textId="77777777" w:rsidR="008D23B3" w:rsidRPr="003649E0" w:rsidRDefault="008D23B3" w:rsidP="003A2BCA">
      <w:pPr>
        <w:rPr>
          <w:rFonts w:asciiTheme="majorHAnsi" w:hAnsiTheme="majorHAnsi"/>
          <w:lang w:val="en-US"/>
        </w:rPr>
      </w:pPr>
    </w:p>
    <w:p w14:paraId="66A04A29" w14:textId="77777777" w:rsidR="001A3992" w:rsidRPr="003A2BCA" w:rsidRDefault="001A3992" w:rsidP="003A2BCA">
      <w:pPr>
        <w:pStyle w:val="Heading2"/>
        <w:keepNext/>
        <w:spacing w:before="0" w:after="120"/>
        <w:rPr>
          <w:lang w:val="en-US"/>
        </w:rPr>
      </w:pPr>
      <w:r w:rsidRPr="003A2BCA">
        <w:rPr>
          <w:lang w:val="en-US"/>
        </w:rPr>
        <w:t xml:space="preserve">Pharmacokinetic properties </w:t>
      </w:r>
    </w:p>
    <w:p w14:paraId="5D68F63F" w14:textId="7F529314" w:rsidR="008D23B3" w:rsidRPr="003A2BCA" w:rsidRDefault="008D23B3" w:rsidP="003A2BCA">
      <w:pPr>
        <w:rPr>
          <w:rFonts w:asciiTheme="majorHAnsi" w:hAnsiTheme="majorHAnsi"/>
          <w:lang w:val="en-US"/>
        </w:rPr>
      </w:pPr>
      <w:r w:rsidRPr="003A2BCA">
        <w:rPr>
          <w:rFonts w:asciiTheme="majorHAnsi" w:hAnsiTheme="majorHAnsi"/>
          <w:lang w:val="en-US"/>
        </w:rPr>
        <w:t xml:space="preserve">The pharmacokinetic properties of </w:t>
      </w:r>
      <w:r w:rsidR="001E35E5" w:rsidRPr="003A2BCA">
        <w:rPr>
          <w:rFonts w:asciiTheme="majorHAnsi" w:hAnsiTheme="majorHAnsi"/>
          <w:lang w:val="en-US"/>
        </w:rPr>
        <w:t xml:space="preserve">donidalorsen </w:t>
      </w:r>
      <w:r w:rsidRPr="003A2BCA">
        <w:rPr>
          <w:rFonts w:asciiTheme="majorHAnsi" w:hAnsiTheme="majorHAnsi"/>
          <w:lang w:val="en-US"/>
        </w:rPr>
        <w:t>were evaluated following subcutaneous administration of multiple doses every 4 weeks in healthy subjects and every 4 weeks or every 8 weeks in patients with HAE.</w:t>
      </w:r>
    </w:p>
    <w:p w14:paraId="1EBBB218" w14:textId="63EA4D23" w:rsidR="008D23B3" w:rsidRPr="003A2BCA" w:rsidRDefault="001E35E5" w:rsidP="003A2BCA">
      <w:pPr>
        <w:rPr>
          <w:rFonts w:asciiTheme="majorHAnsi" w:hAnsiTheme="majorHAnsi"/>
          <w:lang w:val="en-US"/>
        </w:rPr>
      </w:pPr>
      <w:r w:rsidRPr="003A2BCA">
        <w:rPr>
          <w:rFonts w:asciiTheme="majorHAnsi" w:hAnsiTheme="majorHAnsi"/>
          <w:lang w:val="en-US"/>
        </w:rPr>
        <w:t>Donidalorsen</w:t>
      </w:r>
      <w:r w:rsidR="008D23B3" w:rsidRPr="003A2BCA">
        <w:rPr>
          <w:rFonts w:asciiTheme="majorHAnsi" w:hAnsiTheme="majorHAnsi"/>
          <w:lang w:val="en-US"/>
        </w:rPr>
        <w:t xml:space="preserve"> exposure (maximum plasma concentration [</w:t>
      </w:r>
      <w:proofErr w:type="spellStart"/>
      <w:r w:rsidR="008D23B3" w:rsidRPr="003A2BCA">
        <w:rPr>
          <w:rFonts w:asciiTheme="majorHAnsi" w:hAnsiTheme="majorHAnsi"/>
          <w:lang w:val="en-US"/>
        </w:rPr>
        <w:t>C</w:t>
      </w:r>
      <w:r w:rsidR="008D23B3" w:rsidRPr="003A2BCA">
        <w:rPr>
          <w:rFonts w:asciiTheme="majorHAnsi" w:hAnsiTheme="majorHAnsi"/>
          <w:vertAlign w:val="subscript"/>
          <w:lang w:val="en-US"/>
        </w:rPr>
        <w:t>max</w:t>
      </w:r>
      <w:proofErr w:type="spellEnd"/>
      <w:r w:rsidR="008D23B3" w:rsidRPr="003A2BCA">
        <w:rPr>
          <w:rFonts w:asciiTheme="majorHAnsi" w:hAnsiTheme="majorHAnsi"/>
          <w:lang w:val="en-US"/>
        </w:rPr>
        <w:t>] and area under the plasma concentration time curve [AUC]) increased in a dose dependent manner following single subcutaneous doses ranging from 20 to 80 mg in healthy volunteers but was greater than dose proportional over the entire dose range.</w:t>
      </w:r>
    </w:p>
    <w:p w14:paraId="21AC0914" w14:textId="48A15A1A" w:rsidR="008D23B3" w:rsidRPr="003A2BCA" w:rsidRDefault="008D23B3" w:rsidP="003A2BCA">
      <w:pPr>
        <w:rPr>
          <w:rFonts w:asciiTheme="majorHAnsi" w:hAnsiTheme="majorHAnsi"/>
          <w:lang w:val="en-US"/>
        </w:rPr>
      </w:pPr>
      <w:r w:rsidRPr="003A2BCA">
        <w:rPr>
          <w:rFonts w:asciiTheme="majorHAnsi" w:hAnsiTheme="majorHAnsi"/>
          <w:lang w:val="en-US"/>
        </w:rPr>
        <w:t>Population estimates (Geometric Mean) of steady state maximum plasma concentration (</w:t>
      </w:r>
      <w:proofErr w:type="spellStart"/>
      <w:proofErr w:type="gramStart"/>
      <w:r w:rsidRPr="003A2BCA">
        <w:rPr>
          <w:rFonts w:asciiTheme="majorHAnsi" w:hAnsiTheme="majorHAnsi"/>
          <w:lang w:val="en-US"/>
        </w:rPr>
        <w:t>C</w:t>
      </w:r>
      <w:r w:rsidRPr="003A2BCA">
        <w:rPr>
          <w:rFonts w:asciiTheme="majorHAnsi" w:hAnsiTheme="majorHAnsi"/>
          <w:vertAlign w:val="subscript"/>
          <w:lang w:val="en-US"/>
        </w:rPr>
        <w:t>max,ss</w:t>
      </w:r>
      <w:proofErr w:type="spellEnd"/>
      <w:proofErr w:type="gramEnd"/>
      <w:r w:rsidRPr="003A2BCA">
        <w:rPr>
          <w:rFonts w:asciiTheme="majorHAnsi" w:hAnsiTheme="majorHAnsi"/>
          <w:lang w:val="en-US"/>
        </w:rPr>
        <w:t>), trough plasma concentration (</w:t>
      </w:r>
      <w:proofErr w:type="spellStart"/>
      <w:proofErr w:type="gramStart"/>
      <w:r w:rsidRPr="003A2BCA">
        <w:rPr>
          <w:rFonts w:asciiTheme="majorHAnsi" w:hAnsiTheme="majorHAnsi"/>
          <w:lang w:val="en-US"/>
        </w:rPr>
        <w:t>C</w:t>
      </w:r>
      <w:r w:rsidRPr="003A2BCA">
        <w:rPr>
          <w:rFonts w:asciiTheme="majorHAnsi" w:hAnsiTheme="majorHAnsi"/>
          <w:vertAlign w:val="subscript"/>
          <w:lang w:val="en-US"/>
        </w:rPr>
        <w:t>trough,ss</w:t>
      </w:r>
      <w:proofErr w:type="spellEnd"/>
      <w:proofErr w:type="gramEnd"/>
      <w:r w:rsidRPr="003A2BCA">
        <w:rPr>
          <w:rFonts w:asciiTheme="majorHAnsi" w:hAnsiTheme="majorHAnsi"/>
          <w:lang w:val="en-US"/>
        </w:rPr>
        <w:t>), and area under the plasma concentration time curve over the dosing interval (</w:t>
      </w:r>
      <w:proofErr w:type="spellStart"/>
      <w:r w:rsidRPr="003A2BCA">
        <w:rPr>
          <w:rFonts w:asciiTheme="majorHAnsi" w:hAnsiTheme="majorHAnsi"/>
          <w:lang w:val="en-US"/>
        </w:rPr>
        <w:t>AUC</w:t>
      </w:r>
      <w:proofErr w:type="gramStart"/>
      <w:r w:rsidRPr="003A2BCA">
        <w:rPr>
          <w:rFonts w:asciiTheme="majorHAnsi" w:hAnsiTheme="majorHAnsi"/>
          <w:vertAlign w:val="subscript"/>
          <w:lang w:val="en-US"/>
        </w:rPr>
        <w:t>τ,ss</w:t>
      </w:r>
      <w:proofErr w:type="spellEnd"/>
      <w:proofErr w:type="gramEnd"/>
      <w:r w:rsidRPr="003A2BCA">
        <w:rPr>
          <w:rFonts w:asciiTheme="majorHAnsi" w:hAnsiTheme="majorHAnsi"/>
          <w:lang w:val="en-US"/>
        </w:rPr>
        <w:t xml:space="preserve">) are presented in Table </w:t>
      </w:r>
      <w:r w:rsidR="00B65E69">
        <w:rPr>
          <w:rFonts w:asciiTheme="majorHAnsi" w:hAnsiTheme="majorHAnsi"/>
          <w:lang w:val="en-US"/>
        </w:rPr>
        <w:t>5</w:t>
      </w:r>
      <w:r w:rsidRPr="003A2BCA">
        <w:rPr>
          <w:rFonts w:asciiTheme="majorHAnsi" w:hAnsiTheme="majorHAnsi"/>
          <w:lang w:val="en-US"/>
        </w:rPr>
        <w:t xml:space="preserve">. No accumulation of </w:t>
      </w:r>
      <w:r w:rsidR="001E35E5" w:rsidRPr="003A2BCA">
        <w:rPr>
          <w:rFonts w:asciiTheme="majorHAnsi" w:hAnsiTheme="majorHAnsi"/>
          <w:lang w:val="en-US"/>
        </w:rPr>
        <w:t xml:space="preserve">donidalorsen </w:t>
      </w:r>
      <w:proofErr w:type="spellStart"/>
      <w:r w:rsidRPr="003A2BCA">
        <w:rPr>
          <w:rFonts w:asciiTheme="majorHAnsi" w:hAnsiTheme="majorHAnsi"/>
          <w:lang w:val="en-US"/>
        </w:rPr>
        <w:t>C</w:t>
      </w:r>
      <w:r w:rsidRPr="003A2BCA">
        <w:rPr>
          <w:rFonts w:asciiTheme="majorHAnsi" w:hAnsiTheme="majorHAnsi"/>
          <w:vertAlign w:val="subscript"/>
          <w:lang w:val="en-US"/>
        </w:rPr>
        <w:t>max</w:t>
      </w:r>
      <w:proofErr w:type="spellEnd"/>
      <w:r w:rsidRPr="003A2BCA">
        <w:rPr>
          <w:rFonts w:asciiTheme="majorHAnsi" w:hAnsiTheme="majorHAnsi"/>
          <w:lang w:val="en-US"/>
        </w:rPr>
        <w:t xml:space="preserve"> and AUC was observed in plasma after repeated dosing every 4 weeks.</w:t>
      </w:r>
    </w:p>
    <w:p w14:paraId="66E3C88D" w14:textId="36DCE3E2" w:rsidR="007064F6" w:rsidRPr="003649E0" w:rsidRDefault="007064F6" w:rsidP="003649E0">
      <w:pPr>
        <w:rPr>
          <w:rFonts w:asciiTheme="majorHAnsi" w:hAnsiTheme="majorHAnsi"/>
          <w:noProof/>
        </w:rPr>
      </w:pPr>
      <w:r w:rsidRPr="003A2BCA">
        <w:rPr>
          <w:rFonts w:asciiTheme="majorHAnsi" w:hAnsiTheme="majorHAnsi"/>
          <w:noProof/>
        </w:rPr>
        <w:t>Table </w:t>
      </w:r>
      <w:r w:rsidR="00B65E69">
        <w:rPr>
          <w:rFonts w:asciiTheme="majorHAnsi" w:hAnsiTheme="majorHAnsi"/>
          <w:noProof/>
        </w:rPr>
        <w:t>5</w:t>
      </w:r>
      <w:r w:rsidRPr="003A2BCA">
        <w:rPr>
          <w:rFonts w:asciiTheme="majorHAnsi" w:hAnsiTheme="majorHAnsi"/>
          <w:noProof/>
        </w:rPr>
        <w:t xml:space="preserve">: Summary of Simulated Pharmacokinetic Parameters from Population Pharmacokinetic Analysis Following Dosing of </w:t>
      </w:r>
      <w:r w:rsidR="00D677F1" w:rsidRPr="003A2BCA">
        <w:rPr>
          <w:rFonts w:asciiTheme="majorHAnsi" w:hAnsiTheme="majorHAnsi"/>
          <w:noProof/>
        </w:rPr>
        <w:t>ZIRDAWNY</w:t>
      </w:r>
      <w:r w:rsidRPr="003A2BCA">
        <w:rPr>
          <w:rFonts w:asciiTheme="majorHAnsi" w:hAnsiTheme="majorHAnsi"/>
          <w:noProof/>
        </w:rPr>
        <w:t xml:space="preserve"> 80 mg q4wks or 80 mg q8wks in Patients with HAE at Steady State</w:t>
      </w:r>
    </w:p>
    <w:tbl>
      <w:tblPr>
        <w:tblStyle w:val="TableGrid2"/>
        <w:tblW w:w="5000" w:type="pct"/>
        <w:jc w:val="center"/>
        <w:tblLayout w:type="fixed"/>
        <w:tblLook w:val="04A0" w:firstRow="1" w:lastRow="0" w:firstColumn="1" w:lastColumn="0" w:noHBand="0" w:noVBand="1"/>
      </w:tblPr>
      <w:tblGrid>
        <w:gridCol w:w="3241"/>
        <w:gridCol w:w="2663"/>
        <w:gridCol w:w="3112"/>
      </w:tblGrid>
      <w:tr w:rsidR="007064F6" w:rsidRPr="003A2BCA" w14:paraId="3595A207" w14:textId="77777777" w:rsidTr="00B65EFF">
        <w:trPr>
          <w:trHeight w:val="458"/>
          <w:tblHeader/>
          <w:jc w:val="center"/>
        </w:trPr>
        <w:tc>
          <w:tcPr>
            <w:tcW w:w="1797" w:type="pct"/>
            <w:vMerge w:val="restart"/>
            <w:vAlign w:val="center"/>
          </w:tcPr>
          <w:p w14:paraId="4B91AB9A" w14:textId="77777777" w:rsidR="007064F6" w:rsidRPr="003A2BCA" w:rsidRDefault="007064F6" w:rsidP="003649E0">
            <w:pPr>
              <w:spacing w:line="276" w:lineRule="auto"/>
              <w:rPr>
                <w:rFonts w:asciiTheme="majorHAnsi" w:eastAsiaTheme="minorEastAsia" w:hAnsiTheme="majorHAnsi" w:cs="Times New Roman"/>
              </w:rPr>
            </w:pPr>
            <w:r w:rsidRPr="003A2BCA">
              <w:rPr>
                <w:rFonts w:asciiTheme="majorHAnsi" w:eastAsiaTheme="minorEastAsia" w:hAnsiTheme="majorHAnsi" w:cs="Times New Roman"/>
              </w:rPr>
              <w:t xml:space="preserve">Pharmacokinetic Parameters </w:t>
            </w:r>
          </w:p>
          <w:p w14:paraId="2E711FBE" w14:textId="77777777" w:rsidR="007064F6" w:rsidRPr="003A2BCA" w:rsidRDefault="007064F6" w:rsidP="003649E0">
            <w:pPr>
              <w:spacing w:line="276" w:lineRule="auto"/>
              <w:rPr>
                <w:rFonts w:asciiTheme="majorHAnsi" w:eastAsiaTheme="minorEastAsia" w:hAnsiTheme="majorHAnsi" w:cs="Times New Roman"/>
              </w:rPr>
            </w:pPr>
            <w:r w:rsidRPr="003A2BCA">
              <w:rPr>
                <w:rFonts w:asciiTheme="majorHAnsi" w:eastAsiaTheme="minorEastAsia" w:hAnsiTheme="majorHAnsi" w:cs="Times New Roman"/>
              </w:rPr>
              <w:t>(Geometric Mean)</w:t>
            </w:r>
          </w:p>
        </w:tc>
        <w:tc>
          <w:tcPr>
            <w:tcW w:w="3203" w:type="pct"/>
            <w:gridSpan w:val="2"/>
            <w:vAlign w:val="center"/>
          </w:tcPr>
          <w:p w14:paraId="44DB8BF9" w14:textId="5897BD2F" w:rsidR="007064F6" w:rsidRPr="003A2BCA" w:rsidRDefault="00D677F1" w:rsidP="003649E0">
            <w:pPr>
              <w:spacing w:line="276" w:lineRule="auto"/>
              <w:jc w:val="center"/>
              <w:rPr>
                <w:rFonts w:asciiTheme="majorHAnsi" w:eastAsiaTheme="minorEastAsia" w:hAnsiTheme="majorHAnsi" w:cs="Times New Roman"/>
                <w:u w:val="single"/>
              </w:rPr>
            </w:pPr>
            <w:r w:rsidRPr="003A2BCA">
              <w:rPr>
                <w:rFonts w:asciiTheme="majorHAnsi" w:eastAsiaTheme="minorEastAsia" w:hAnsiTheme="majorHAnsi" w:cs="Times New Roman"/>
              </w:rPr>
              <w:t>ZIRDAWNY</w:t>
            </w:r>
          </w:p>
        </w:tc>
      </w:tr>
      <w:tr w:rsidR="007064F6" w:rsidRPr="003A2BCA" w14:paraId="032F7EF5" w14:textId="77777777" w:rsidTr="00B65EFF">
        <w:trPr>
          <w:tblHeader/>
          <w:jc w:val="center"/>
        </w:trPr>
        <w:tc>
          <w:tcPr>
            <w:tcW w:w="1797" w:type="pct"/>
            <w:vMerge/>
            <w:vAlign w:val="center"/>
          </w:tcPr>
          <w:p w14:paraId="4875C6D3" w14:textId="77777777" w:rsidR="007064F6" w:rsidRPr="003A2BCA" w:rsidRDefault="007064F6" w:rsidP="003649E0">
            <w:pPr>
              <w:spacing w:line="276" w:lineRule="auto"/>
              <w:rPr>
                <w:rFonts w:asciiTheme="majorHAnsi" w:eastAsiaTheme="minorEastAsia" w:hAnsiTheme="majorHAnsi" w:cs="Times New Roman"/>
                <w:u w:val="single"/>
              </w:rPr>
            </w:pPr>
          </w:p>
        </w:tc>
        <w:tc>
          <w:tcPr>
            <w:tcW w:w="1477" w:type="pct"/>
            <w:vAlign w:val="center"/>
          </w:tcPr>
          <w:p w14:paraId="69597626" w14:textId="77777777" w:rsidR="007064F6" w:rsidRPr="003A2BCA" w:rsidRDefault="007064F6" w:rsidP="003649E0">
            <w:pPr>
              <w:spacing w:line="276" w:lineRule="auto"/>
              <w:jc w:val="center"/>
              <w:rPr>
                <w:rFonts w:asciiTheme="majorHAnsi" w:eastAsiaTheme="minorEastAsia" w:hAnsiTheme="majorHAnsi" w:cs="Times New Roman"/>
              </w:rPr>
            </w:pPr>
            <w:r w:rsidRPr="003A2BCA">
              <w:rPr>
                <w:rFonts w:asciiTheme="majorHAnsi" w:eastAsiaTheme="minorEastAsia" w:hAnsiTheme="majorHAnsi" w:cs="Times New Roman"/>
              </w:rPr>
              <w:t>80 mg q4wks</w:t>
            </w:r>
          </w:p>
        </w:tc>
        <w:tc>
          <w:tcPr>
            <w:tcW w:w="1725" w:type="pct"/>
            <w:vAlign w:val="center"/>
          </w:tcPr>
          <w:p w14:paraId="2816866B" w14:textId="77777777" w:rsidR="007064F6" w:rsidRPr="003A2BCA" w:rsidRDefault="007064F6" w:rsidP="003649E0">
            <w:pPr>
              <w:spacing w:line="276" w:lineRule="auto"/>
              <w:jc w:val="center"/>
              <w:rPr>
                <w:rFonts w:asciiTheme="majorHAnsi" w:eastAsiaTheme="minorEastAsia" w:hAnsiTheme="majorHAnsi" w:cs="Times New Roman"/>
              </w:rPr>
            </w:pPr>
            <w:r w:rsidRPr="003A2BCA">
              <w:rPr>
                <w:rFonts w:asciiTheme="majorHAnsi" w:eastAsiaTheme="minorEastAsia" w:hAnsiTheme="majorHAnsi" w:cs="Times New Roman"/>
              </w:rPr>
              <w:t>80 mg q8wks</w:t>
            </w:r>
          </w:p>
        </w:tc>
      </w:tr>
      <w:tr w:rsidR="007064F6" w:rsidRPr="003A2BCA" w14:paraId="3FADC321" w14:textId="77777777" w:rsidTr="00B65EFF">
        <w:trPr>
          <w:jc w:val="center"/>
        </w:trPr>
        <w:tc>
          <w:tcPr>
            <w:tcW w:w="1797" w:type="pct"/>
            <w:vAlign w:val="center"/>
          </w:tcPr>
          <w:p w14:paraId="50262670" w14:textId="77777777" w:rsidR="007064F6" w:rsidRPr="003A2BCA" w:rsidRDefault="007064F6" w:rsidP="003649E0">
            <w:pPr>
              <w:spacing w:line="276" w:lineRule="auto"/>
              <w:rPr>
                <w:rFonts w:asciiTheme="majorHAnsi" w:eastAsiaTheme="minorEastAsia" w:hAnsiTheme="majorHAnsi" w:cs="Times New Roman"/>
              </w:rPr>
            </w:pPr>
            <w:proofErr w:type="spellStart"/>
            <w:proofErr w:type="gramStart"/>
            <w:r w:rsidRPr="003A2BCA">
              <w:rPr>
                <w:rFonts w:asciiTheme="majorHAnsi" w:eastAsiaTheme="minorEastAsia" w:hAnsiTheme="majorHAnsi" w:cs="Times New Roman"/>
              </w:rPr>
              <w:t>C</w:t>
            </w:r>
            <w:r w:rsidRPr="003A2BCA">
              <w:rPr>
                <w:rFonts w:asciiTheme="majorHAnsi" w:eastAsiaTheme="minorEastAsia" w:hAnsiTheme="majorHAnsi" w:cs="Times New Roman"/>
                <w:vertAlign w:val="subscript"/>
              </w:rPr>
              <w:t>max,ss</w:t>
            </w:r>
            <w:proofErr w:type="spellEnd"/>
            <w:proofErr w:type="gramEnd"/>
            <w:r w:rsidRPr="003A2BCA">
              <w:rPr>
                <w:rFonts w:asciiTheme="majorHAnsi" w:eastAsiaTheme="minorEastAsia" w:hAnsiTheme="majorHAnsi" w:cs="Times New Roman"/>
                <w:vertAlign w:val="subscript"/>
              </w:rPr>
              <w:t xml:space="preserve"> </w:t>
            </w:r>
            <w:r w:rsidRPr="003A2BCA">
              <w:rPr>
                <w:rFonts w:asciiTheme="majorHAnsi" w:eastAsiaTheme="minorEastAsia" w:hAnsiTheme="majorHAnsi" w:cs="Times New Roman"/>
              </w:rPr>
              <w:t>(ng/mL)</w:t>
            </w:r>
          </w:p>
        </w:tc>
        <w:tc>
          <w:tcPr>
            <w:tcW w:w="1477" w:type="pct"/>
            <w:vAlign w:val="center"/>
          </w:tcPr>
          <w:p w14:paraId="629D81B0" w14:textId="77777777" w:rsidR="007064F6" w:rsidRPr="003A2BCA" w:rsidRDefault="007064F6" w:rsidP="003649E0">
            <w:pPr>
              <w:spacing w:line="276" w:lineRule="auto"/>
              <w:jc w:val="center"/>
              <w:rPr>
                <w:rFonts w:asciiTheme="majorHAnsi" w:eastAsiaTheme="minorEastAsia" w:hAnsiTheme="majorHAnsi" w:cs="Times New Roman"/>
              </w:rPr>
            </w:pPr>
            <w:r w:rsidRPr="003A2BCA">
              <w:rPr>
                <w:rFonts w:asciiTheme="majorHAnsi" w:eastAsiaTheme="minorEastAsia" w:hAnsiTheme="majorHAnsi" w:cs="Times New Roman"/>
              </w:rPr>
              <w:t>417</w:t>
            </w:r>
          </w:p>
        </w:tc>
        <w:tc>
          <w:tcPr>
            <w:tcW w:w="1725" w:type="pct"/>
            <w:vAlign w:val="center"/>
          </w:tcPr>
          <w:p w14:paraId="4F85161A" w14:textId="77777777" w:rsidR="007064F6" w:rsidRPr="003A2BCA" w:rsidRDefault="007064F6" w:rsidP="003649E0">
            <w:pPr>
              <w:spacing w:line="276" w:lineRule="auto"/>
              <w:jc w:val="center"/>
              <w:rPr>
                <w:rFonts w:asciiTheme="majorHAnsi" w:eastAsiaTheme="minorEastAsia" w:hAnsiTheme="majorHAnsi" w:cs="Times New Roman"/>
              </w:rPr>
            </w:pPr>
            <w:r w:rsidRPr="003A2BCA">
              <w:rPr>
                <w:rFonts w:asciiTheme="majorHAnsi" w:eastAsiaTheme="minorEastAsia" w:hAnsiTheme="majorHAnsi" w:cs="Times New Roman"/>
              </w:rPr>
              <w:t>416</w:t>
            </w:r>
          </w:p>
        </w:tc>
      </w:tr>
      <w:tr w:rsidR="007064F6" w:rsidRPr="003A2BCA" w14:paraId="2EF5D514" w14:textId="77777777" w:rsidTr="00B65EFF">
        <w:trPr>
          <w:jc w:val="center"/>
        </w:trPr>
        <w:tc>
          <w:tcPr>
            <w:tcW w:w="1797" w:type="pct"/>
            <w:vAlign w:val="center"/>
          </w:tcPr>
          <w:p w14:paraId="0823A11C" w14:textId="77777777" w:rsidR="007064F6" w:rsidRPr="003A2BCA" w:rsidRDefault="007064F6" w:rsidP="003649E0">
            <w:pPr>
              <w:spacing w:line="276" w:lineRule="auto"/>
              <w:rPr>
                <w:rFonts w:asciiTheme="majorHAnsi" w:eastAsiaTheme="minorEastAsia" w:hAnsiTheme="majorHAnsi" w:cs="Times New Roman"/>
              </w:rPr>
            </w:pPr>
            <w:proofErr w:type="spellStart"/>
            <w:proofErr w:type="gramStart"/>
            <w:r w:rsidRPr="003A2BCA">
              <w:rPr>
                <w:rFonts w:asciiTheme="majorHAnsi" w:eastAsiaTheme="minorEastAsia" w:hAnsiTheme="majorHAnsi" w:cs="Times New Roman"/>
              </w:rPr>
              <w:t>C</w:t>
            </w:r>
            <w:r w:rsidRPr="003A2BCA">
              <w:rPr>
                <w:rFonts w:asciiTheme="majorHAnsi" w:eastAsiaTheme="minorEastAsia" w:hAnsiTheme="majorHAnsi" w:cs="Times New Roman"/>
                <w:vertAlign w:val="subscript"/>
              </w:rPr>
              <w:t>trough,ss</w:t>
            </w:r>
            <w:proofErr w:type="spellEnd"/>
            <w:proofErr w:type="gramEnd"/>
            <w:r w:rsidRPr="003A2BCA">
              <w:rPr>
                <w:rFonts w:asciiTheme="majorHAnsi" w:eastAsiaTheme="minorEastAsia" w:hAnsiTheme="majorHAnsi" w:cs="Times New Roman"/>
                <w:vertAlign w:val="subscript"/>
              </w:rPr>
              <w:t xml:space="preserve"> </w:t>
            </w:r>
            <w:r w:rsidRPr="003A2BCA">
              <w:rPr>
                <w:rFonts w:asciiTheme="majorHAnsi" w:eastAsiaTheme="minorEastAsia" w:hAnsiTheme="majorHAnsi" w:cs="Times New Roman"/>
              </w:rPr>
              <w:t>(ng/mL)</w:t>
            </w:r>
          </w:p>
        </w:tc>
        <w:tc>
          <w:tcPr>
            <w:tcW w:w="1477" w:type="pct"/>
            <w:vAlign w:val="center"/>
          </w:tcPr>
          <w:p w14:paraId="59E853A9" w14:textId="77777777" w:rsidR="007064F6" w:rsidRPr="003A2BCA" w:rsidRDefault="007064F6" w:rsidP="003649E0">
            <w:pPr>
              <w:spacing w:line="276" w:lineRule="auto"/>
              <w:jc w:val="center"/>
              <w:rPr>
                <w:rFonts w:asciiTheme="majorHAnsi" w:eastAsiaTheme="minorEastAsia" w:hAnsiTheme="majorHAnsi" w:cs="Times New Roman"/>
              </w:rPr>
            </w:pPr>
            <w:r w:rsidRPr="003A2BCA">
              <w:rPr>
                <w:rFonts w:asciiTheme="majorHAnsi" w:eastAsiaTheme="minorEastAsia" w:hAnsiTheme="majorHAnsi" w:cs="Times New Roman"/>
              </w:rPr>
              <w:t>0.755</w:t>
            </w:r>
          </w:p>
        </w:tc>
        <w:tc>
          <w:tcPr>
            <w:tcW w:w="1725" w:type="pct"/>
            <w:vAlign w:val="center"/>
          </w:tcPr>
          <w:p w14:paraId="40DE65D8" w14:textId="77777777" w:rsidR="007064F6" w:rsidRPr="003A2BCA" w:rsidRDefault="007064F6" w:rsidP="003649E0">
            <w:pPr>
              <w:spacing w:line="276" w:lineRule="auto"/>
              <w:jc w:val="center"/>
              <w:rPr>
                <w:rFonts w:asciiTheme="majorHAnsi" w:eastAsiaTheme="minorEastAsia" w:hAnsiTheme="majorHAnsi" w:cs="Times New Roman"/>
              </w:rPr>
            </w:pPr>
            <w:r w:rsidRPr="003A2BCA">
              <w:rPr>
                <w:rFonts w:asciiTheme="majorHAnsi" w:eastAsiaTheme="minorEastAsia" w:hAnsiTheme="majorHAnsi" w:cs="Times New Roman"/>
              </w:rPr>
              <w:t>0.255</w:t>
            </w:r>
          </w:p>
        </w:tc>
      </w:tr>
      <w:tr w:rsidR="007064F6" w:rsidRPr="003A2BCA" w14:paraId="23B36B91" w14:textId="77777777" w:rsidTr="00B65EFF">
        <w:trPr>
          <w:jc w:val="center"/>
        </w:trPr>
        <w:tc>
          <w:tcPr>
            <w:tcW w:w="1797" w:type="pct"/>
            <w:tcBorders>
              <w:bottom w:val="single" w:sz="4" w:space="0" w:color="auto"/>
            </w:tcBorders>
            <w:vAlign w:val="center"/>
          </w:tcPr>
          <w:p w14:paraId="27FC304A" w14:textId="77777777" w:rsidR="007064F6" w:rsidRPr="003A2BCA" w:rsidRDefault="007064F6" w:rsidP="003649E0">
            <w:pPr>
              <w:spacing w:line="276" w:lineRule="auto"/>
              <w:rPr>
                <w:rFonts w:asciiTheme="majorHAnsi" w:eastAsiaTheme="minorEastAsia" w:hAnsiTheme="majorHAnsi" w:cs="Times New Roman"/>
                <w:lang w:val="de-DE"/>
              </w:rPr>
            </w:pPr>
            <w:r w:rsidRPr="003A2BCA">
              <w:rPr>
                <w:rFonts w:asciiTheme="majorHAnsi" w:eastAsiaTheme="minorEastAsia" w:hAnsiTheme="majorHAnsi" w:cs="Times New Roman"/>
                <w:lang w:val="de-DE"/>
              </w:rPr>
              <w:t>AUC</w:t>
            </w:r>
            <w:r w:rsidRPr="003A2BCA">
              <w:rPr>
                <w:rFonts w:asciiTheme="majorHAnsi" w:hAnsiTheme="majorHAnsi" w:cs="Times New Roman"/>
                <w:spacing w:val="-2"/>
                <w:w w:val="110"/>
                <w:vertAlign w:val="subscript"/>
                <w:lang w:eastAsia="zh-TW"/>
              </w:rPr>
              <w:t>τ</w:t>
            </w:r>
            <w:r w:rsidRPr="003A2BCA">
              <w:rPr>
                <w:rFonts w:asciiTheme="majorHAnsi" w:hAnsiTheme="majorHAnsi" w:cs="Times New Roman"/>
                <w:spacing w:val="-2"/>
                <w:w w:val="110"/>
                <w:vertAlign w:val="subscript"/>
                <w:lang w:val="de-DE" w:eastAsia="zh-TW"/>
              </w:rPr>
              <w:t>,ss</w:t>
            </w:r>
            <w:r w:rsidRPr="003A2BCA">
              <w:rPr>
                <w:rFonts w:asciiTheme="majorHAnsi" w:eastAsiaTheme="minorEastAsia" w:hAnsiTheme="majorHAnsi" w:cs="Times New Roman"/>
                <w:vertAlign w:val="subscript"/>
                <w:lang w:val="de-DE"/>
              </w:rPr>
              <w:t xml:space="preserve"> </w:t>
            </w:r>
            <w:r w:rsidRPr="003A2BCA">
              <w:rPr>
                <w:rFonts w:asciiTheme="majorHAnsi" w:eastAsiaTheme="minorEastAsia" w:hAnsiTheme="majorHAnsi" w:cs="Times New Roman"/>
                <w:lang w:val="de-DE"/>
              </w:rPr>
              <w:t>(ng·h/mL)</w:t>
            </w:r>
          </w:p>
        </w:tc>
        <w:tc>
          <w:tcPr>
            <w:tcW w:w="1477" w:type="pct"/>
            <w:tcBorders>
              <w:bottom w:val="single" w:sz="4" w:space="0" w:color="auto"/>
            </w:tcBorders>
            <w:vAlign w:val="center"/>
          </w:tcPr>
          <w:p w14:paraId="10D5606D" w14:textId="77777777" w:rsidR="007064F6" w:rsidRPr="003A2BCA" w:rsidRDefault="007064F6" w:rsidP="003649E0">
            <w:pPr>
              <w:spacing w:line="276" w:lineRule="auto"/>
              <w:jc w:val="center"/>
              <w:rPr>
                <w:rFonts w:asciiTheme="majorHAnsi" w:eastAsiaTheme="minorEastAsia" w:hAnsiTheme="majorHAnsi" w:cs="Times New Roman"/>
              </w:rPr>
            </w:pPr>
            <w:r w:rsidRPr="003A2BCA">
              <w:rPr>
                <w:rFonts w:asciiTheme="majorHAnsi" w:eastAsiaTheme="minorEastAsia" w:hAnsiTheme="majorHAnsi" w:cs="Times New Roman"/>
              </w:rPr>
              <w:t>5240</w:t>
            </w:r>
          </w:p>
        </w:tc>
        <w:tc>
          <w:tcPr>
            <w:tcW w:w="1725" w:type="pct"/>
            <w:tcBorders>
              <w:bottom w:val="single" w:sz="4" w:space="0" w:color="auto"/>
            </w:tcBorders>
            <w:vAlign w:val="center"/>
          </w:tcPr>
          <w:p w14:paraId="64E0EB65" w14:textId="77777777" w:rsidR="007064F6" w:rsidRPr="003A2BCA" w:rsidRDefault="007064F6" w:rsidP="003649E0">
            <w:pPr>
              <w:spacing w:line="276" w:lineRule="auto"/>
              <w:jc w:val="center"/>
              <w:rPr>
                <w:rFonts w:asciiTheme="majorHAnsi" w:eastAsiaTheme="minorEastAsia" w:hAnsiTheme="majorHAnsi" w:cs="Times New Roman"/>
              </w:rPr>
            </w:pPr>
            <w:r w:rsidRPr="003A2BCA">
              <w:rPr>
                <w:rFonts w:asciiTheme="majorHAnsi" w:eastAsiaTheme="minorEastAsia" w:hAnsiTheme="majorHAnsi" w:cs="Times New Roman"/>
              </w:rPr>
              <w:t>5210</w:t>
            </w:r>
          </w:p>
        </w:tc>
      </w:tr>
    </w:tbl>
    <w:p w14:paraId="35326667" w14:textId="77777777" w:rsidR="007064F6" w:rsidRPr="003649E0" w:rsidRDefault="007064F6" w:rsidP="003649E0">
      <w:pPr>
        <w:rPr>
          <w:rFonts w:asciiTheme="majorHAnsi" w:hAnsiTheme="majorHAnsi"/>
          <w:noProof/>
          <w:sz w:val="20"/>
        </w:rPr>
      </w:pPr>
    </w:p>
    <w:p w14:paraId="698F5741" w14:textId="77777777" w:rsidR="007064F6" w:rsidRPr="003A2BCA" w:rsidRDefault="007064F6" w:rsidP="003649E0">
      <w:pPr>
        <w:rPr>
          <w:rFonts w:asciiTheme="majorHAnsi" w:hAnsiTheme="majorHAnsi"/>
          <w:noProof/>
          <w:sz w:val="20"/>
        </w:rPr>
      </w:pPr>
      <w:r w:rsidRPr="003A2BCA">
        <w:rPr>
          <w:rFonts w:asciiTheme="majorHAnsi" w:hAnsiTheme="majorHAnsi"/>
          <w:noProof/>
          <w:sz w:val="20"/>
        </w:rPr>
        <w:t>AUC</w:t>
      </w:r>
      <w:r w:rsidRPr="003A2BCA">
        <w:rPr>
          <w:rFonts w:asciiTheme="majorHAnsi" w:hAnsiTheme="majorHAnsi"/>
          <w:noProof/>
          <w:sz w:val="20"/>
          <w:vertAlign w:val="subscript"/>
        </w:rPr>
        <w:t>τ,ss</w:t>
      </w:r>
      <w:r w:rsidRPr="003A2BCA">
        <w:rPr>
          <w:rFonts w:asciiTheme="majorHAnsi" w:hAnsiTheme="majorHAnsi"/>
          <w:noProof/>
          <w:sz w:val="20"/>
        </w:rPr>
        <w:t> = area under the plasma concentration time curve over the dosing interval at steady state; C</w:t>
      </w:r>
      <w:r w:rsidRPr="003A2BCA">
        <w:rPr>
          <w:rFonts w:asciiTheme="majorHAnsi" w:hAnsiTheme="majorHAnsi"/>
          <w:noProof/>
          <w:sz w:val="20"/>
          <w:vertAlign w:val="subscript"/>
        </w:rPr>
        <w:t>max,ss</w:t>
      </w:r>
      <w:r w:rsidRPr="003A2BCA">
        <w:rPr>
          <w:rFonts w:asciiTheme="majorHAnsi" w:hAnsiTheme="majorHAnsi"/>
          <w:noProof/>
          <w:sz w:val="20"/>
        </w:rPr>
        <w:t> = maximum plasma concentration at steady state; C</w:t>
      </w:r>
      <w:r w:rsidRPr="003A2BCA">
        <w:rPr>
          <w:rFonts w:asciiTheme="majorHAnsi" w:hAnsiTheme="majorHAnsi"/>
          <w:noProof/>
          <w:sz w:val="20"/>
          <w:vertAlign w:val="subscript"/>
        </w:rPr>
        <w:t>trough,ss</w:t>
      </w:r>
      <w:r w:rsidRPr="003A2BCA">
        <w:rPr>
          <w:rFonts w:asciiTheme="majorHAnsi" w:hAnsiTheme="majorHAnsi"/>
          <w:noProof/>
          <w:sz w:val="20"/>
        </w:rPr>
        <w:t> = trough plasma concentration at steady state; q4wks = every 4 weeks; q8wks = every 8 weeks.</w:t>
      </w:r>
    </w:p>
    <w:p w14:paraId="711CB873" w14:textId="7BC5E1B6" w:rsidR="008D23B3" w:rsidRPr="003A2BCA" w:rsidRDefault="008D23B3" w:rsidP="003A2BCA">
      <w:pPr>
        <w:rPr>
          <w:rFonts w:asciiTheme="majorHAnsi" w:eastAsiaTheme="majorEastAsia" w:hAnsiTheme="majorHAnsi" w:cstheme="minorHAnsi"/>
          <w:b/>
          <w:bCs/>
        </w:rPr>
      </w:pPr>
      <w:r w:rsidRPr="003A2BCA">
        <w:rPr>
          <w:rFonts w:asciiTheme="majorHAnsi" w:eastAsiaTheme="majorEastAsia" w:hAnsiTheme="majorHAnsi" w:cstheme="minorHAnsi"/>
          <w:b/>
          <w:bCs/>
        </w:rPr>
        <w:t>Absorption</w:t>
      </w:r>
    </w:p>
    <w:p w14:paraId="75DD0691" w14:textId="11B8C104" w:rsidR="008D23B3" w:rsidRPr="003A2BCA" w:rsidRDefault="008D23B3" w:rsidP="003A2BCA">
      <w:pPr>
        <w:rPr>
          <w:rFonts w:asciiTheme="majorHAnsi" w:hAnsiTheme="majorHAnsi"/>
          <w:lang w:val="en-US"/>
        </w:rPr>
      </w:pPr>
      <w:r w:rsidRPr="003A2BCA">
        <w:rPr>
          <w:rFonts w:asciiTheme="majorHAnsi" w:hAnsiTheme="majorHAnsi"/>
          <w:lang w:val="en-US"/>
        </w:rPr>
        <w:t xml:space="preserve">Following subcutaneous administration, </w:t>
      </w:r>
      <w:r w:rsidR="001E35E5" w:rsidRPr="003A2BCA">
        <w:rPr>
          <w:rFonts w:asciiTheme="majorHAnsi" w:hAnsiTheme="majorHAnsi"/>
          <w:lang w:val="en-US"/>
        </w:rPr>
        <w:t xml:space="preserve">donidalorsen </w:t>
      </w:r>
      <w:r w:rsidRPr="003A2BCA">
        <w:rPr>
          <w:rFonts w:asciiTheme="majorHAnsi" w:hAnsiTheme="majorHAnsi"/>
          <w:lang w:val="en-US"/>
        </w:rPr>
        <w:t>is absorbed with the time to maximum plasma concentration of approximately 2.5 hours post dose, based on population estimates.</w:t>
      </w:r>
    </w:p>
    <w:p w14:paraId="4FA7D9C3" w14:textId="77777777" w:rsidR="008D23B3" w:rsidRPr="003A2BCA" w:rsidRDefault="008D23B3" w:rsidP="003A2BCA">
      <w:pPr>
        <w:rPr>
          <w:rFonts w:asciiTheme="majorHAnsi" w:eastAsiaTheme="majorEastAsia" w:hAnsiTheme="majorHAnsi" w:cstheme="minorHAnsi"/>
          <w:b/>
          <w:bCs/>
        </w:rPr>
      </w:pPr>
      <w:r w:rsidRPr="003A2BCA">
        <w:rPr>
          <w:rFonts w:asciiTheme="majorHAnsi" w:eastAsiaTheme="majorEastAsia" w:hAnsiTheme="majorHAnsi" w:cstheme="minorHAnsi"/>
          <w:b/>
          <w:bCs/>
        </w:rPr>
        <w:t>Distribution</w:t>
      </w:r>
    </w:p>
    <w:p w14:paraId="155BECE9" w14:textId="4ACD49C6" w:rsidR="008D23B3" w:rsidRPr="003A2BCA" w:rsidRDefault="001E35E5" w:rsidP="003A2BCA">
      <w:pPr>
        <w:rPr>
          <w:rFonts w:asciiTheme="majorHAnsi" w:hAnsiTheme="majorHAnsi"/>
          <w:lang w:val="en-US"/>
        </w:rPr>
      </w:pPr>
      <w:r w:rsidRPr="003A2BCA">
        <w:rPr>
          <w:rFonts w:asciiTheme="majorHAnsi" w:hAnsiTheme="majorHAnsi"/>
          <w:lang w:val="en-US"/>
        </w:rPr>
        <w:t xml:space="preserve">Donidalorsen </w:t>
      </w:r>
      <w:r w:rsidR="008D23B3" w:rsidRPr="003A2BCA">
        <w:rPr>
          <w:rFonts w:asciiTheme="majorHAnsi" w:hAnsiTheme="majorHAnsi"/>
          <w:lang w:val="en-US"/>
        </w:rPr>
        <w:t>is expected to distribute primarily to the liver and kidney cortex after subcutaneous dosing. The population estimate of apparent volume of distribution for the central (</w:t>
      </w:r>
      <w:proofErr w:type="spellStart"/>
      <w:r w:rsidR="008D23B3" w:rsidRPr="003A2BCA">
        <w:rPr>
          <w:rFonts w:asciiTheme="majorHAnsi" w:hAnsiTheme="majorHAnsi"/>
          <w:lang w:val="en-US"/>
        </w:rPr>
        <w:t>Vc</w:t>
      </w:r>
      <w:proofErr w:type="spellEnd"/>
      <w:r w:rsidR="008D23B3" w:rsidRPr="003A2BCA">
        <w:rPr>
          <w:rFonts w:asciiTheme="majorHAnsi" w:hAnsiTheme="majorHAnsi"/>
          <w:lang w:val="en-US"/>
        </w:rPr>
        <w:t>/F) and peripheral (</w:t>
      </w:r>
      <w:proofErr w:type="spellStart"/>
      <w:r w:rsidR="008D23B3" w:rsidRPr="003A2BCA">
        <w:rPr>
          <w:rFonts w:asciiTheme="majorHAnsi" w:hAnsiTheme="majorHAnsi"/>
          <w:lang w:val="en-US"/>
        </w:rPr>
        <w:t>Vp</w:t>
      </w:r>
      <w:proofErr w:type="spellEnd"/>
      <w:r w:rsidR="008D23B3" w:rsidRPr="003A2BCA">
        <w:rPr>
          <w:rFonts w:asciiTheme="majorHAnsi" w:hAnsiTheme="majorHAnsi"/>
          <w:lang w:val="en-US"/>
        </w:rPr>
        <w:t xml:space="preserve">/F) compartment were 69.8 L and 1840 L, respectively. </w:t>
      </w:r>
      <w:r w:rsidRPr="003A2BCA">
        <w:rPr>
          <w:rFonts w:asciiTheme="majorHAnsi" w:hAnsiTheme="majorHAnsi"/>
          <w:lang w:val="en-US"/>
        </w:rPr>
        <w:t xml:space="preserve">Donidalorsen </w:t>
      </w:r>
      <w:r w:rsidR="008D23B3" w:rsidRPr="003A2BCA">
        <w:rPr>
          <w:rFonts w:asciiTheme="majorHAnsi" w:hAnsiTheme="majorHAnsi"/>
          <w:lang w:val="en-US"/>
        </w:rPr>
        <w:t xml:space="preserve">is highly bound to human plasma proteins (&gt;98% bound) </w:t>
      </w:r>
      <w:r w:rsidR="008D23B3" w:rsidRPr="003A2BCA">
        <w:rPr>
          <w:rFonts w:asciiTheme="majorHAnsi" w:hAnsiTheme="majorHAnsi"/>
          <w:i/>
          <w:iCs/>
          <w:lang w:val="en-US"/>
        </w:rPr>
        <w:t>in vitro</w:t>
      </w:r>
      <w:r w:rsidR="008D23B3" w:rsidRPr="003A2BCA">
        <w:rPr>
          <w:rFonts w:asciiTheme="majorHAnsi" w:hAnsiTheme="majorHAnsi"/>
          <w:lang w:val="en-US"/>
        </w:rPr>
        <w:t>.</w:t>
      </w:r>
    </w:p>
    <w:p w14:paraId="330EA940" w14:textId="77777777" w:rsidR="008D23B3" w:rsidRPr="003A2BCA" w:rsidRDefault="008D23B3" w:rsidP="003A2BCA">
      <w:pPr>
        <w:rPr>
          <w:rFonts w:asciiTheme="majorHAnsi" w:eastAsiaTheme="majorEastAsia" w:hAnsiTheme="majorHAnsi" w:cstheme="minorHAnsi"/>
          <w:b/>
          <w:bCs/>
        </w:rPr>
      </w:pPr>
      <w:r w:rsidRPr="003A2BCA">
        <w:rPr>
          <w:rFonts w:asciiTheme="majorHAnsi" w:eastAsiaTheme="majorEastAsia" w:hAnsiTheme="majorHAnsi" w:cstheme="minorHAnsi"/>
          <w:b/>
          <w:bCs/>
        </w:rPr>
        <w:t>Metabolism</w:t>
      </w:r>
    </w:p>
    <w:p w14:paraId="483F16C7" w14:textId="7B156309" w:rsidR="008D23B3" w:rsidRPr="003A2BCA" w:rsidRDefault="00687A1A" w:rsidP="003A2BCA">
      <w:pPr>
        <w:rPr>
          <w:rFonts w:asciiTheme="majorHAnsi" w:hAnsiTheme="majorHAnsi"/>
          <w:lang w:val="en-US"/>
        </w:rPr>
      </w:pPr>
      <w:r w:rsidRPr="00687A1A">
        <w:rPr>
          <w:rFonts w:asciiTheme="majorHAnsi" w:hAnsiTheme="majorHAnsi"/>
          <w:lang w:val="en-US"/>
        </w:rPr>
        <w:lastRenderedPageBreak/>
        <w:t xml:space="preserve">The oligonucleotide component of donidalorsen is expected to be </w:t>
      </w:r>
      <w:proofErr w:type="spellStart"/>
      <w:r w:rsidRPr="00687A1A">
        <w:rPr>
          <w:rFonts w:asciiTheme="majorHAnsi" w:hAnsiTheme="majorHAnsi"/>
          <w:lang w:val="en-US"/>
        </w:rPr>
        <w:t>metabolised</w:t>
      </w:r>
      <w:proofErr w:type="spellEnd"/>
      <w:r w:rsidRPr="00687A1A">
        <w:rPr>
          <w:rFonts w:asciiTheme="majorHAnsi" w:hAnsiTheme="majorHAnsi"/>
          <w:lang w:val="en-US"/>
        </w:rPr>
        <w:t xml:space="preserve"> primarily in the liver by endo- and exonuclease-mediated degradation to short oligonucleotide fragments of varying sizes. The linker that covalently connects the oligonucleotide to the</w:t>
      </w:r>
      <w:r>
        <w:rPr>
          <w:rFonts w:asciiTheme="majorHAnsi" w:hAnsiTheme="majorHAnsi"/>
          <w:lang w:val="en-US"/>
        </w:rPr>
        <w:t xml:space="preserve"> </w:t>
      </w:r>
      <w:r w:rsidRPr="00687A1A">
        <w:rPr>
          <w:rFonts w:asciiTheme="majorHAnsi" w:hAnsiTheme="majorHAnsi"/>
          <w:lang w:val="en-US"/>
        </w:rPr>
        <w:t>GalNAc residues is cleaved by hydrolysis. Both the linker and the GalNAc components undergo further metabolism.</w:t>
      </w:r>
    </w:p>
    <w:p w14:paraId="059D376F" w14:textId="77777777" w:rsidR="00741192" w:rsidRDefault="00741192" w:rsidP="003A2BCA">
      <w:pPr>
        <w:rPr>
          <w:rFonts w:asciiTheme="majorHAnsi" w:eastAsiaTheme="majorEastAsia" w:hAnsiTheme="majorHAnsi" w:cstheme="minorHAnsi"/>
          <w:b/>
          <w:bCs/>
        </w:rPr>
      </w:pPr>
    </w:p>
    <w:p w14:paraId="03D2A3B2" w14:textId="320BB14A" w:rsidR="008D23B3" w:rsidRPr="003A2BCA" w:rsidRDefault="008D23B3" w:rsidP="003A2BCA">
      <w:pPr>
        <w:rPr>
          <w:rFonts w:asciiTheme="majorHAnsi" w:eastAsiaTheme="majorEastAsia" w:hAnsiTheme="majorHAnsi" w:cstheme="minorHAnsi"/>
          <w:b/>
          <w:bCs/>
        </w:rPr>
      </w:pPr>
      <w:r w:rsidRPr="003A2BCA">
        <w:rPr>
          <w:rFonts w:asciiTheme="majorHAnsi" w:eastAsiaTheme="majorEastAsia" w:hAnsiTheme="majorHAnsi" w:cstheme="minorHAnsi"/>
          <w:b/>
          <w:bCs/>
        </w:rPr>
        <w:t>Excretion</w:t>
      </w:r>
    </w:p>
    <w:p w14:paraId="73C81E2F" w14:textId="1E317E70" w:rsidR="00FB5225" w:rsidRDefault="00FB5225" w:rsidP="003A2BCA">
      <w:pPr>
        <w:rPr>
          <w:rFonts w:asciiTheme="majorHAnsi" w:hAnsiTheme="majorHAnsi"/>
          <w:lang w:val="en-US"/>
        </w:rPr>
      </w:pPr>
      <w:r w:rsidRPr="00FB5225">
        <w:rPr>
          <w:rFonts w:asciiTheme="majorHAnsi" w:hAnsiTheme="majorHAnsi"/>
          <w:lang w:val="en-US"/>
        </w:rPr>
        <w:t>The population estimate of the terminal elimination half-life of donidalorsen in a typical patient with HAE is approximately 1 month.</w:t>
      </w:r>
    </w:p>
    <w:p w14:paraId="6E50C928" w14:textId="5F30F231" w:rsidR="008D23B3" w:rsidRPr="003A2BCA" w:rsidRDefault="008D23B3" w:rsidP="003A2BCA">
      <w:pPr>
        <w:rPr>
          <w:rFonts w:asciiTheme="majorHAnsi" w:hAnsiTheme="majorHAnsi"/>
          <w:lang w:val="en-US"/>
        </w:rPr>
      </w:pPr>
      <w:r w:rsidRPr="003A2BCA">
        <w:rPr>
          <w:rFonts w:asciiTheme="majorHAnsi" w:hAnsiTheme="majorHAnsi"/>
          <w:lang w:val="en-US"/>
        </w:rPr>
        <w:t xml:space="preserve">The mean fraction of unchanged ASO eliminated in urine was less than 1% of the administered dose in healthy subjects within 24 hours. Linker related metabolites are minimally released to circulation and subsequently rapidly excreted to urine or </w:t>
      </w:r>
      <w:proofErr w:type="spellStart"/>
      <w:r w:rsidRPr="003A2BCA">
        <w:rPr>
          <w:rFonts w:asciiTheme="majorHAnsi" w:hAnsiTheme="majorHAnsi"/>
          <w:lang w:val="en-US"/>
        </w:rPr>
        <w:t>faeces</w:t>
      </w:r>
      <w:proofErr w:type="spellEnd"/>
      <w:r w:rsidRPr="003A2BCA">
        <w:rPr>
          <w:rFonts w:asciiTheme="majorHAnsi" w:hAnsiTheme="majorHAnsi"/>
          <w:lang w:val="en-US"/>
        </w:rPr>
        <w:t>.</w:t>
      </w:r>
    </w:p>
    <w:p w14:paraId="78519A99" w14:textId="77777777" w:rsidR="008D23B3" w:rsidRPr="003A2BCA" w:rsidRDefault="008D23B3" w:rsidP="003A2BCA">
      <w:pPr>
        <w:rPr>
          <w:rFonts w:asciiTheme="majorHAnsi" w:eastAsiaTheme="majorEastAsia" w:hAnsiTheme="majorHAnsi" w:cstheme="minorHAnsi"/>
          <w:b/>
          <w:bCs/>
        </w:rPr>
      </w:pPr>
      <w:r w:rsidRPr="003A2BCA">
        <w:rPr>
          <w:rFonts w:asciiTheme="majorHAnsi" w:eastAsiaTheme="majorEastAsia" w:hAnsiTheme="majorHAnsi" w:cstheme="minorHAnsi"/>
          <w:b/>
          <w:bCs/>
        </w:rPr>
        <w:t>Special populations</w:t>
      </w:r>
    </w:p>
    <w:p w14:paraId="4EFD7DD4" w14:textId="7E854108" w:rsidR="00630369" w:rsidRPr="003A2BCA" w:rsidRDefault="008D23B3" w:rsidP="003A2BCA">
      <w:pPr>
        <w:rPr>
          <w:rFonts w:asciiTheme="majorHAnsi" w:hAnsiTheme="majorHAnsi"/>
          <w:lang w:val="en-US"/>
        </w:rPr>
      </w:pPr>
      <w:r w:rsidRPr="003A2BCA">
        <w:rPr>
          <w:rFonts w:asciiTheme="majorHAnsi" w:hAnsiTheme="majorHAnsi"/>
          <w:lang w:val="en-US"/>
        </w:rPr>
        <w:t xml:space="preserve">Population pharmacokinetics and pharmacodynamics analyses showed no clinically meaningful differences in the pharmacokinetics or pharmacodynamics of </w:t>
      </w:r>
      <w:r w:rsidR="001E35E5" w:rsidRPr="003A2BCA">
        <w:rPr>
          <w:rFonts w:asciiTheme="majorHAnsi" w:hAnsiTheme="majorHAnsi"/>
          <w:lang w:val="en-US"/>
        </w:rPr>
        <w:t xml:space="preserve">donidalorsen </w:t>
      </w:r>
      <w:r w:rsidRPr="003A2BCA">
        <w:rPr>
          <w:rFonts w:asciiTheme="majorHAnsi" w:hAnsiTheme="majorHAnsi"/>
          <w:lang w:val="en-US"/>
        </w:rPr>
        <w:t xml:space="preserve">based on age, body weight, sex, race, ethnicity, geographical region, disease status, mild renal impairment </w:t>
      </w:r>
      <w:bookmarkStart w:id="2" w:name="_Hlk189646422"/>
      <w:r w:rsidRPr="003A2BCA">
        <w:rPr>
          <w:rFonts w:asciiTheme="majorHAnsi" w:hAnsiTheme="majorHAnsi"/>
          <w:lang w:val="en-US"/>
        </w:rPr>
        <w:t>(eGFR ≥60 to &lt;90 mL/min/1.73 m</w:t>
      </w:r>
      <w:r w:rsidRPr="003A2BCA">
        <w:rPr>
          <w:rFonts w:asciiTheme="majorHAnsi" w:hAnsiTheme="majorHAnsi"/>
          <w:vertAlign w:val="superscript"/>
          <w:lang w:val="en-US"/>
        </w:rPr>
        <w:t>2</w:t>
      </w:r>
      <w:r w:rsidRPr="003A2BCA">
        <w:rPr>
          <w:rFonts w:asciiTheme="majorHAnsi" w:hAnsiTheme="majorHAnsi"/>
          <w:lang w:val="en-US"/>
        </w:rPr>
        <w:t>)</w:t>
      </w:r>
      <w:bookmarkEnd w:id="2"/>
      <w:r w:rsidRPr="003A2BCA">
        <w:rPr>
          <w:rFonts w:asciiTheme="majorHAnsi" w:hAnsiTheme="majorHAnsi"/>
          <w:lang w:val="en-US"/>
        </w:rPr>
        <w:t xml:space="preserve">, or mild hepatic impairment (total bilirubin ≤1 × ULN and AST &gt;1 × ULN, or total bilirubin &gt;1 to 1.5 × ULN and any AST). </w:t>
      </w:r>
      <w:r w:rsidR="00D677F1" w:rsidRPr="003A2BCA">
        <w:rPr>
          <w:rFonts w:asciiTheme="majorHAnsi" w:hAnsiTheme="majorHAnsi"/>
          <w:lang w:val="en-US"/>
        </w:rPr>
        <w:t>ZIRDAWNY</w:t>
      </w:r>
      <w:r w:rsidRPr="003A2BCA">
        <w:rPr>
          <w:rFonts w:asciiTheme="majorHAnsi" w:hAnsiTheme="majorHAnsi"/>
          <w:lang w:val="en-US"/>
        </w:rPr>
        <w:t xml:space="preserve"> has not been studied in patients with moderate or severe renal impairment, end stage renal disease, or moderate or severe hepatic impairment.</w:t>
      </w:r>
    </w:p>
    <w:p w14:paraId="00DA74A8" w14:textId="77777777" w:rsidR="001A3992" w:rsidRPr="003A2BCA" w:rsidRDefault="001A3992" w:rsidP="003A2BCA">
      <w:pPr>
        <w:pStyle w:val="Heading2"/>
        <w:spacing w:before="0" w:after="120"/>
        <w:rPr>
          <w:lang w:val="en-US"/>
        </w:rPr>
      </w:pPr>
      <w:r w:rsidRPr="003A2BCA">
        <w:rPr>
          <w:lang w:val="en-US"/>
        </w:rPr>
        <w:t>Preclinical safety data</w:t>
      </w:r>
    </w:p>
    <w:p w14:paraId="17164490" w14:textId="77777777" w:rsidR="00AB7F74" w:rsidRPr="003A2BCA" w:rsidRDefault="00AB7F74" w:rsidP="003A2BCA">
      <w:pPr>
        <w:pStyle w:val="Heading3"/>
        <w:spacing w:before="0" w:after="120"/>
        <w:ind w:left="0"/>
      </w:pPr>
      <w:r w:rsidRPr="003A2BCA">
        <w:t>Genotoxicity</w:t>
      </w:r>
    </w:p>
    <w:p w14:paraId="4C50F738" w14:textId="77777777" w:rsidR="00AB7F74" w:rsidRPr="003A2BCA" w:rsidRDefault="00AB7F74" w:rsidP="003649E0">
      <w:pPr>
        <w:rPr>
          <w:rFonts w:asciiTheme="majorHAnsi" w:hAnsiTheme="majorHAnsi"/>
          <w:noProof/>
        </w:rPr>
      </w:pPr>
      <w:r w:rsidRPr="003A2BCA">
        <w:rPr>
          <w:rFonts w:asciiTheme="majorHAnsi" w:hAnsiTheme="majorHAnsi"/>
          <w:noProof/>
        </w:rPr>
        <w:t xml:space="preserve">Donidalorsen was negative for genotoxicity in </w:t>
      </w:r>
      <w:r w:rsidRPr="003A2BCA">
        <w:rPr>
          <w:rFonts w:asciiTheme="majorHAnsi" w:hAnsiTheme="majorHAnsi"/>
          <w:i/>
          <w:iCs/>
          <w:noProof/>
        </w:rPr>
        <w:t>in vitro</w:t>
      </w:r>
      <w:r w:rsidRPr="003A2BCA">
        <w:rPr>
          <w:rFonts w:asciiTheme="majorHAnsi" w:hAnsiTheme="majorHAnsi"/>
          <w:noProof/>
        </w:rPr>
        <w:t xml:space="preserve"> (bacterial reverse mutation, chromosomal aberration in Chinese hamster lung cells) and </w:t>
      </w:r>
      <w:r w:rsidRPr="003A2BCA">
        <w:rPr>
          <w:rFonts w:asciiTheme="majorHAnsi" w:hAnsiTheme="majorHAnsi"/>
          <w:i/>
          <w:iCs/>
          <w:noProof/>
        </w:rPr>
        <w:t>in vivo</w:t>
      </w:r>
      <w:r w:rsidRPr="003A2BCA">
        <w:rPr>
          <w:rFonts w:asciiTheme="majorHAnsi" w:hAnsiTheme="majorHAnsi"/>
          <w:noProof/>
        </w:rPr>
        <w:t xml:space="preserve"> (mouse bone marrow micronucleus) assays.</w:t>
      </w:r>
    </w:p>
    <w:p w14:paraId="39D4B8DD" w14:textId="77777777" w:rsidR="00AB7F74" w:rsidRPr="003A2BCA" w:rsidRDefault="00AB7F74" w:rsidP="003649E0">
      <w:pPr>
        <w:rPr>
          <w:rFonts w:asciiTheme="majorHAnsi" w:eastAsiaTheme="majorEastAsia" w:hAnsiTheme="majorHAnsi" w:cstheme="majorBidi"/>
          <w:b/>
          <w:bCs/>
        </w:rPr>
      </w:pPr>
      <w:r w:rsidRPr="003A2BCA">
        <w:rPr>
          <w:rFonts w:asciiTheme="majorHAnsi" w:eastAsiaTheme="majorEastAsia" w:hAnsiTheme="majorHAnsi" w:cstheme="majorBidi"/>
          <w:b/>
          <w:bCs/>
        </w:rPr>
        <w:t>Carcinogenicity</w:t>
      </w:r>
    </w:p>
    <w:p w14:paraId="4DACF331" w14:textId="410F4EA1" w:rsidR="007064F6" w:rsidRDefault="00AC0A51" w:rsidP="003649E0">
      <w:pPr>
        <w:rPr>
          <w:rFonts w:asciiTheme="majorHAnsi" w:hAnsiTheme="majorHAnsi"/>
          <w:noProof/>
        </w:rPr>
      </w:pPr>
      <w:r w:rsidRPr="00AC0A51">
        <w:rPr>
          <w:rFonts w:asciiTheme="majorHAnsi" w:hAnsiTheme="majorHAnsi"/>
          <w:noProof/>
        </w:rPr>
        <w:t xml:space="preserve">In a 6-month carcinogenicity study, subcutaneous administration of donidalorsen in male (up to 20 mg/kg) or female (up to 60 mg/kg) transgenic (Tg.rasH2) mice once every 2 weeks did not result in an increase in malignant tumours. </w:t>
      </w:r>
      <w:r w:rsidR="007E38E3">
        <w:rPr>
          <w:rFonts w:asciiTheme="majorHAnsi" w:hAnsiTheme="majorHAnsi"/>
          <w:noProof/>
        </w:rPr>
        <w:t>Based on plasma AUC exposure, t</w:t>
      </w:r>
      <w:r w:rsidRPr="00AC0A51">
        <w:rPr>
          <w:rFonts w:asciiTheme="majorHAnsi" w:hAnsiTheme="majorHAnsi"/>
          <w:noProof/>
        </w:rPr>
        <w:t xml:space="preserve">he highest tested doses were </w:t>
      </w:r>
      <w:r w:rsidR="007E38E3">
        <w:rPr>
          <w:rFonts w:asciiTheme="majorHAnsi" w:hAnsiTheme="majorHAnsi"/>
          <w:noProof/>
        </w:rPr>
        <w:t>approximately</w:t>
      </w:r>
      <w:r w:rsidR="002F1A57">
        <w:rPr>
          <w:rFonts w:asciiTheme="majorHAnsi" w:hAnsiTheme="majorHAnsi"/>
          <w:noProof/>
        </w:rPr>
        <w:t xml:space="preserve"> </w:t>
      </w:r>
      <w:r w:rsidR="00FB5225">
        <w:rPr>
          <w:rFonts w:asciiTheme="majorHAnsi" w:hAnsiTheme="majorHAnsi"/>
          <w:noProof/>
        </w:rPr>
        <w:t>7</w:t>
      </w:r>
      <w:r w:rsidR="002F1A57">
        <w:rPr>
          <w:rFonts w:asciiTheme="majorHAnsi" w:hAnsiTheme="majorHAnsi"/>
          <w:noProof/>
        </w:rPr>
        <w:t xml:space="preserve">- and </w:t>
      </w:r>
      <w:r w:rsidR="00FB5225">
        <w:rPr>
          <w:rFonts w:asciiTheme="majorHAnsi" w:hAnsiTheme="majorHAnsi"/>
          <w:noProof/>
        </w:rPr>
        <w:t>20</w:t>
      </w:r>
      <w:r w:rsidR="002F1A57">
        <w:rPr>
          <w:rFonts w:asciiTheme="majorHAnsi" w:hAnsiTheme="majorHAnsi"/>
          <w:noProof/>
        </w:rPr>
        <w:t>-fold exposure margins</w:t>
      </w:r>
      <w:r w:rsidRPr="00AC0A51">
        <w:rPr>
          <w:rFonts w:asciiTheme="majorHAnsi" w:hAnsiTheme="majorHAnsi"/>
          <w:noProof/>
        </w:rPr>
        <w:t xml:space="preserve"> in male and female mice, respectively, </w:t>
      </w:r>
      <w:r w:rsidR="002F1A57">
        <w:rPr>
          <w:rFonts w:asciiTheme="majorHAnsi" w:hAnsiTheme="majorHAnsi"/>
          <w:noProof/>
        </w:rPr>
        <w:t xml:space="preserve">over </w:t>
      </w:r>
      <w:r w:rsidRPr="00AC0A51">
        <w:rPr>
          <w:rFonts w:asciiTheme="majorHAnsi" w:hAnsiTheme="majorHAnsi"/>
          <w:noProof/>
        </w:rPr>
        <w:t>the maximum recommended human dose (MRHD)</w:t>
      </w:r>
      <w:r w:rsidR="002F1A57">
        <w:rPr>
          <w:rFonts w:asciiTheme="majorHAnsi" w:hAnsiTheme="majorHAnsi"/>
          <w:noProof/>
        </w:rPr>
        <w:t xml:space="preserve">. </w:t>
      </w:r>
      <w:r w:rsidRPr="00AC0A51">
        <w:rPr>
          <w:rFonts w:asciiTheme="majorHAnsi" w:hAnsiTheme="majorHAnsi"/>
          <w:noProof/>
        </w:rPr>
        <w:t>Further, no evidence of carcinogenicity was observed when both sexes of transgenic mice received a rodent-specific oligonucleotide once every 2 weeks subcutaneously for 6 months.</w:t>
      </w:r>
      <w:r w:rsidR="007064F6" w:rsidRPr="003A2BCA">
        <w:rPr>
          <w:rFonts w:asciiTheme="majorHAnsi" w:hAnsiTheme="majorHAnsi"/>
          <w:noProof/>
        </w:rPr>
        <w:t xml:space="preserve"> </w:t>
      </w:r>
    </w:p>
    <w:p w14:paraId="3FA0C007" w14:textId="77777777" w:rsidR="00B65E69" w:rsidRPr="003A2BCA" w:rsidRDefault="00B65E69" w:rsidP="003649E0">
      <w:pPr>
        <w:rPr>
          <w:rFonts w:asciiTheme="majorHAnsi" w:hAnsiTheme="majorHAnsi"/>
          <w:noProof/>
        </w:rPr>
      </w:pPr>
    </w:p>
    <w:p w14:paraId="39BD1D87" w14:textId="77777777" w:rsidR="001A3992" w:rsidRPr="003A2BCA" w:rsidRDefault="001A3992" w:rsidP="003A2BCA">
      <w:pPr>
        <w:pStyle w:val="Heading1"/>
        <w:spacing w:before="0" w:after="120"/>
        <w:rPr>
          <w:lang w:val="en-US"/>
        </w:rPr>
      </w:pPr>
      <w:r w:rsidRPr="003A2BCA">
        <w:rPr>
          <w:lang w:val="en-US"/>
        </w:rPr>
        <w:t>Pharmaceutical particulars</w:t>
      </w:r>
    </w:p>
    <w:p w14:paraId="27228515" w14:textId="77777777" w:rsidR="005B2812" w:rsidRPr="003A2BCA" w:rsidRDefault="005B2812" w:rsidP="003A2BCA">
      <w:pPr>
        <w:pStyle w:val="Heading2"/>
        <w:spacing w:before="0" w:after="120"/>
        <w:rPr>
          <w:rFonts w:cstheme="minorHAnsi"/>
          <w:lang w:val="en-US"/>
        </w:rPr>
      </w:pPr>
      <w:r w:rsidRPr="003A2BCA">
        <w:rPr>
          <w:rFonts w:cstheme="minorHAnsi"/>
          <w:lang w:val="en-US"/>
        </w:rPr>
        <w:t xml:space="preserve">List of excipients </w:t>
      </w:r>
    </w:p>
    <w:p w14:paraId="1B1CCF2E" w14:textId="16EC7E3D" w:rsidR="00962C46" w:rsidRPr="003A2BCA" w:rsidRDefault="00D1493D" w:rsidP="003A2BCA">
      <w:pPr>
        <w:rPr>
          <w:rFonts w:asciiTheme="majorHAnsi" w:hAnsiTheme="majorHAnsi" w:cstheme="minorHAnsi"/>
          <w:lang w:val="en"/>
        </w:rPr>
      </w:pPr>
      <w:r w:rsidRPr="003A2BCA">
        <w:rPr>
          <w:rFonts w:asciiTheme="majorHAnsi" w:hAnsiTheme="majorHAnsi" w:cstheme="minorHAnsi"/>
          <w:lang w:val="en"/>
        </w:rPr>
        <w:t>Monobasic sodium phosphate dihydrate</w:t>
      </w:r>
    </w:p>
    <w:p w14:paraId="3B44DB39" w14:textId="28D2F7E4" w:rsidR="00962C46" w:rsidRPr="003A2BCA" w:rsidRDefault="00D1493D" w:rsidP="003A2BCA">
      <w:pPr>
        <w:rPr>
          <w:rFonts w:asciiTheme="majorHAnsi" w:hAnsiTheme="majorHAnsi" w:cstheme="minorHAnsi"/>
          <w:lang w:val="en"/>
        </w:rPr>
      </w:pPr>
      <w:r w:rsidRPr="003A2BCA">
        <w:rPr>
          <w:rFonts w:asciiTheme="majorHAnsi" w:hAnsiTheme="majorHAnsi" w:cstheme="minorHAnsi"/>
          <w:lang w:val="en"/>
        </w:rPr>
        <w:lastRenderedPageBreak/>
        <w:t>Dibasic sodium phosphate</w:t>
      </w:r>
    </w:p>
    <w:p w14:paraId="5B9AE66F" w14:textId="77777777" w:rsidR="00962C46" w:rsidRPr="003A2BCA" w:rsidRDefault="00962C46" w:rsidP="003A2BCA">
      <w:pPr>
        <w:rPr>
          <w:rFonts w:asciiTheme="majorHAnsi" w:hAnsiTheme="majorHAnsi" w:cstheme="minorHAnsi"/>
          <w:lang w:val="en"/>
        </w:rPr>
      </w:pPr>
      <w:r w:rsidRPr="003A2BCA">
        <w:rPr>
          <w:rFonts w:asciiTheme="majorHAnsi" w:hAnsiTheme="majorHAnsi" w:cstheme="minorHAnsi"/>
          <w:lang w:val="en"/>
        </w:rPr>
        <w:t>Sodium chloride</w:t>
      </w:r>
    </w:p>
    <w:p w14:paraId="60870A29" w14:textId="77777777" w:rsidR="00962C46" w:rsidRPr="003A2BCA" w:rsidRDefault="00962C46" w:rsidP="003A2BCA">
      <w:pPr>
        <w:rPr>
          <w:rFonts w:asciiTheme="majorHAnsi" w:hAnsiTheme="majorHAnsi" w:cstheme="minorHAnsi"/>
          <w:lang w:val="en"/>
        </w:rPr>
      </w:pPr>
      <w:r w:rsidRPr="003A2BCA">
        <w:rPr>
          <w:rFonts w:asciiTheme="majorHAnsi" w:hAnsiTheme="majorHAnsi" w:cstheme="minorHAnsi"/>
          <w:lang w:val="en"/>
        </w:rPr>
        <w:t>Water for injections</w:t>
      </w:r>
    </w:p>
    <w:p w14:paraId="379DBEEE" w14:textId="407CA584" w:rsidR="00962C46" w:rsidRPr="003A2BCA" w:rsidRDefault="00962C46" w:rsidP="003A2BCA">
      <w:pPr>
        <w:rPr>
          <w:rFonts w:asciiTheme="majorHAnsi" w:hAnsiTheme="majorHAnsi" w:cstheme="minorHAnsi"/>
          <w:lang w:val="en"/>
        </w:rPr>
      </w:pPr>
      <w:r w:rsidRPr="003A2BCA">
        <w:rPr>
          <w:rFonts w:asciiTheme="majorHAnsi" w:hAnsiTheme="majorHAnsi" w:cstheme="minorHAnsi"/>
          <w:lang w:val="en"/>
        </w:rPr>
        <w:t>Hydrochloric acid (for pH adjustment)</w:t>
      </w:r>
    </w:p>
    <w:p w14:paraId="3751888F" w14:textId="08E6A1EE" w:rsidR="00962C46" w:rsidRPr="003A2BCA" w:rsidRDefault="00962C46" w:rsidP="003A2BCA">
      <w:pPr>
        <w:rPr>
          <w:rFonts w:asciiTheme="majorHAnsi" w:hAnsiTheme="majorHAnsi" w:cstheme="minorHAnsi"/>
          <w:lang w:val="en"/>
        </w:rPr>
      </w:pPr>
      <w:r w:rsidRPr="003A2BCA">
        <w:rPr>
          <w:rFonts w:asciiTheme="majorHAnsi" w:hAnsiTheme="majorHAnsi" w:cstheme="minorHAnsi"/>
          <w:lang w:val="en"/>
        </w:rPr>
        <w:t>Sodium hydroxide (for pH adjustment)</w:t>
      </w:r>
    </w:p>
    <w:p w14:paraId="3F257383" w14:textId="77777777" w:rsidR="005B2812" w:rsidRPr="003A2BCA" w:rsidRDefault="005B2812" w:rsidP="003A2BCA">
      <w:pPr>
        <w:pStyle w:val="Heading2"/>
        <w:keepNext/>
        <w:keepLines/>
        <w:spacing w:before="0" w:after="120"/>
        <w:rPr>
          <w:rFonts w:cstheme="minorHAnsi"/>
          <w:lang w:val="en-US"/>
        </w:rPr>
      </w:pPr>
      <w:r w:rsidRPr="003A2BCA">
        <w:rPr>
          <w:rFonts w:cstheme="minorHAnsi"/>
          <w:lang w:val="en-US"/>
        </w:rPr>
        <w:t xml:space="preserve">Incompatibilities </w:t>
      </w:r>
    </w:p>
    <w:p w14:paraId="1ACD2E0D" w14:textId="2846895D" w:rsidR="005B2812" w:rsidRPr="003A2BCA" w:rsidRDefault="00A23D15" w:rsidP="003A2BCA">
      <w:pPr>
        <w:rPr>
          <w:rFonts w:asciiTheme="majorHAnsi" w:hAnsiTheme="majorHAnsi" w:cstheme="minorHAnsi"/>
          <w:lang w:val="en-US"/>
        </w:rPr>
      </w:pPr>
      <w:r w:rsidRPr="003A2BCA">
        <w:rPr>
          <w:rFonts w:asciiTheme="majorHAnsi" w:hAnsiTheme="majorHAnsi" w:cstheme="minorHAnsi"/>
          <w:lang w:val="en"/>
        </w:rPr>
        <w:t>In the absence of compatibility studies, this medicinal product must not be mixed with other medicinal products.</w:t>
      </w:r>
    </w:p>
    <w:p w14:paraId="4C6C6ACF" w14:textId="77777777" w:rsidR="005B2812" w:rsidRPr="003A2BCA" w:rsidRDefault="005B2812" w:rsidP="003A2BCA">
      <w:pPr>
        <w:pStyle w:val="Heading2"/>
        <w:spacing w:before="0" w:after="120"/>
        <w:rPr>
          <w:rFonts w:cstheme="minorHAnsi"/>
          <w:lang w:val="en-US"/>
        </w:rPr>
      </w:pPr>
      <w:r w:rsidRPr="003A2BCA">
        <w:rPr>
          <w:rFonts w:cstheme="minorHAnsi"/>
          <w:lang w:val="en-US"/>
        </w:rPr>
        <w:t xml:space="preserve">Shelf life </w:t>
      </w:r>
    </w:p>
    <w:p w14:paraId="764A68FA" w14:textId="0E5B3B32" w:rsidR="005B2812" w:rsidRPr="003A2BCA" w:rsidRDefault="005B2812" w:rsidP="003A2BCA">
      <w:pPr>
        <w:rPr>
          <w:rFonts w:asciiTheme="majorHAnsi" w:hAnsiTheme="majorHAnsi" w:cstheme="minorHAnsi"/>
          <w:lang w:val="en-US"/>
        </w:rPr>
      </w:pPr>
      <w:r w:rsidRPr="003A2BCA">
        <w:rPr>
          <w:rFonts w:asciiTheme="majorHAnsi" w:hAnsiTheme="majorHAnsi" w:cstheme="minorHAnsi"/>
          <w:lang w:val="en"/>
        </w:rPr>
        <w:t xml:space="preserve">In Australia, information on the shelf life can be found on the public summary of the Australian Register of Therapeutic Goods (ARTG). The expiry date can be found on the packaging. </w:t>
      </w:r>
    </w:p>
    <w:p w14:paraId="1FAA4099" w14:textId="77777777" w:rsidR="005B2812" w:rsidRPr="003A2BCA" w:rsidRDefault="005B2812" w:rsidP="003A2BCA">
      <w:pPr>
        <w:pStyle w:val="Heading2"/>
        <w:keepNext/>
        <w:keepLines/>
        <w:spacing w:before="0" w:after="120"/>
        <w:rPr>
          <w:rFonts w:cstheme="minorHAnsi"/>
          <w:lang w:val="en-US"/>
        </w:rPr>
      </w:pPr>
      <w:bookmarkStart w:id="3" w:name="_Hlk192494701"/>
      <w:r w:rsidRPr="003A2BCA">
        <w:rPr>
          <w:rFonts w:cstheme="minorHAnsi"/>
          <w:lang w:val="en-US"/>
        </w:rPr>
        <w:t xml:space="preserve">Special precautions for storage </w:t>
      </w:r>
    </w:p>
    <w:bookmarkEnd w:id="3"/>
    <w:p w14:paraId="660DD70E" w14:textId="374E76FF" w:rsidR="008D23B3" w:rsidRPr="003A2BCA" w:rsidRDefault="008D23B3" w:rsidP="57744741">
      <w:pPr>
        <w:rPr>
          <w:rFonts w:asciiTheme="majorHAnsi" w:hAnsiTheme="majorHAnsi"/>
          <w:lang w:val="en-US"/>
        </w:rPr>
      </w:pPr>
      <w:r w:rsidRPr="57744741">
        <w:rPr>
          <w:rFonts w:asciiTheme="majorHAnsi" w:hAnsiTheme="majorHAnsi"/>
          <w:lang w:val="en-US"/>
        </w:rPr>
        <w:t xml:space="preserve">Store </w:t>
      </w:r>
      <w:r w:rsidR="00B76D5C" w:rsidRPr="57744741">
        <w:rPr>
          <w:rFonts w:asciiTheme="majorHAnsi" w:hAnsiTheme="majorHAnsi"/>
          <w:lang w:val="en-US"/>
        </w:rPr>
        <w:t>at 2°C to 8°C (Refrigerate.  Do not freeze)</w:t>
      </w:r>
      <w:r w:rsidRPr="57744741">
        <w:rPr>
          <w:rFonts w:asciiTheme="majorHAnsi" w:hAnsiTheme="majorHAnsi"/>
          <w:lang w:val="en-US"/>
        </w:rPr>
        <w:t>.</w:t>
      </w:r>
    </w:p>
    <w:p w14:paraId="3C003483" w14:textId="77777777" w:rsidR="008D23B3" w:rsidRPr="003A2BCA" w:rsidRDefault="008D23B3" w:rsidP="57744741">
      <w:pPr>
        <w:rPr>
          <w:rFonts w:asciiTheme="majorHAnsi" w:hAnsiTheme="majorHAnsi"/>
          <w:lang w:val="en-US"/>
        </w:rPr>
      </w:pPr>
      <w:r w:rsidRPr="57744741">
        <w:rPr>
          <w:rFonts w:asciiTheme="majorHAnsi" w:hAnsiTheme="majorHAnsi"/>
          <w:lang w:val="en-US"/>
        </w:rPr>
        <w:t xml:space="preserve">Keep the pre-filled pen in the outer carton </w:t>
      </w:r>
      <w:proofErr w:type="gramStart"/>
      <w:r w:rsidRPr="57744741">
        <w:rPr>
          <w:rFonts w:asciiTheme="majorHAnsi" w:hAnsiTheme="majorHAnsi"/>
          <w:lang w:val="en-US"/>
        </w:rPr>
        <w:t>in order to</w:t>
      </w:r>
      <w:proofErr w:type="gramEnd"/>
      <w:r w:rsidRPr="57744741">
        <w:rPr>
          <w:rFonts w:asciiTheme="majorHAnsi" w:hAnsiTheme="majorHAnsi"/>
          <w:lang w:val="en-US"/>
        </w:rPr>
        <w:t xml:space="preserve"> protect from light. </w:t>
      </w:r>
    </w:p>
    <w:p w14:paraId="69A35ABB" w14:textId="5837F1C5" w:rsidR="008D23B3" w:rsidRPr="003A2BCA" w:rsidRDefault="008D23B3" w:rsidP="57744741">
      <w:pPr>
        <w:rPr>
          <w:rFonts w:asciiTheme="majorHAnsi" w:hAnsiTheme="majorHAnsi"/>
          <w:lang w:val="en-US"/>
        </w:rPr>
      </w:pPr>
      <w:r w:rsidRPr="57744741">
        <w:rPr>
          <w:rFonts w:asciiTheme="majorHAnsi" w:hAnsiTheme="majorHAnsi"/>
          <w:lang w:val="en-US"/>
        </w:rPr>
        <w:t xml:space="preserve">Do not </w:t>
      </w:r>
      <w:proofErr w:type="gramStart"/>
      <w:r w:rsidRPr="57744741">
        <w:rPr>
          <w:rFonts w:asciiTheme="majorHAnsi" w:hAnsiTheme="majorHAnsi"/>
          <w:lang w:val="en-US"/>
        </w:rPr>
        <w:t>expose</w:t>
      </w:r>
      <w:proofErr w:type="gramEnd"/>
      <w:r w:rsidRPr="57744741">
        <w:rPr>
          <w:rFonts w:asciiTheme="majorHAnsi" w:hAnsiTheme="majorHAnsi"/>
          <w:lang w:val="en-US"/>
        </w:rPr>
        <w:t xml:space="preserve"> to heat.</w:t>
      </w:r>
    </w:p>
    <w:p w14:paraId="4484FDA8" w14:textId="7F1BEE19" w:rsidR="00D449EB" w:rsidRPr="003A2BCA" w:rsidRDefault="00D677F1" w:rsidP="003A2BCA">
      <w:pPr>
        <w:rPr>
          <w:rFonts w:asciiTheme="majorHAnsi" w:hAnsiTheme="majorHAnsi" w:cstheme="minorHAnsi"/>
          <w:lang w:val="en"/>
        </w:rPr>
      </w:pPr>
      <w:r w:rsidRPr="003A2BCA">
        <w:rPr>
          <w:rFonts w:asciiTheme="majorHAnsi" w:hAnsiTheme="majorHAnsi" w:cstheme="minorHAnsi"/>
          <w:lang w:val="en"/>
        </w:rPr>
        <w:t>ZIRDAWNY</w:t>
      </w:r>
      <w:r w:rsidR="00D449EB" w:rsidRPr="003A2BCA">
        <w:rPr>
          <w:rFonts w:asciiTheme="majorHAnsi" w:hAnsiTheme="majorHAnsi" w:cstheme="minorHAnsi"/>
          <w:lang w:val="en"/>
        </w:rPr>
        <w:t xml:space="preserve"> may be stored in the original carton unrefrigerated for up</w:t>
      </w:r>
      <w:r w:rsidR="00540C4D" w:rsidRPr="003A2BCA">
        <w:rPr>
          <w:rFonts w:asciiTheme="majorHAnsi" w:hAnsiTheme="majorHAnsi" w:cstheme="minorHAnsi"/>
          <w:lang w:val="en"/>
        </w:rPr>
        <w:t xml:space="preserve"> to</w:t>
      </w:r>
      <w:r w:rsidR="00D449EB" w:rsidRPr="003A2BCA">
        <w:rPr>
          <w:rFonts w:asciiTheme="majorHAnsi" w:hAnsiTheme="majorHAnsi" w:cstheme="minorHAnsi"/>
          <w:lang w:val="en"/>
        </w:rPr>
        <w:t xml:space="preserve"> 6 weeks below 30°C. If not used within 6 weeks, it should be discarded.</w:t>
      </w:r>
    </w:p>
    <w:p w14:paraId="617CF822" w14:textId="77777777" w:rsidR="005B2812" w:rsidRPr="003A2BCA" w:rsidRDefault="005B2812" w:rsidP="003A2BCA">
      <w:pPr>
        <w:pStyle w:val="Heading2"/>
        <w:spacing w:before="0" w:after="120"/>
        <w:rPr>
          <w:rFonts w:cstheme="minorHAnsi"/>
          <w:lang w:val="en-US"/>
        </w:rPr>
      </w:pPr>
      <w:r w:rsidRPr="003A2BCA">
        <w:rPr>
          <w:rFonts w:cstheme="minorHAnsi"/>
          <w:lang w:val="en-US"/>
        </w:rPr>
        <w:t xml:space="preserve">Nature and contents of container </w:t>
      </w:r>
    </w:p>
    <w:p w14:paraId="64ED416F" w14:textId="77777777" w:rsidR="008D23B3" w:rsidRPr="003A2BCA" w:rsidRDefault="008D23B3" w:rsidP="57744741">
      <w:pPr>
        <w:rPr>
          <w:rFonts w:asciiTheme="majorHAnsi" w:hAnsiTheme="majorHAnsi"/>
          <w:lang w:val="en-US"/>
        </w:rPr>
      </w:pPr>
      <w:r w:rsidRPr="57744741">
        <w:rPr>
          <w:rFonts w:asciiTheme="majorHAnsi" w:hAnsiTheme="majorHAnsi"/>
          <w:lang w:val="en-US"/>
        </w:rPr>
        <w:t xml:space="preserve">0.8 mL sterile solution in a </w:t>
      </w:r>
      <w:proofErr w:type="gramStart"/>
      <w:r w:rsidRPr="57744741">
        <w:rPr>
          <w:rFonts w:asciiTheme="majorHAnsi" w:hAnsiTheme="majorHAnsi"/>
          <w:lang w:val="en-US"/>
        </w:rPr>
        <w:t>single-use</w:t>
      </w:r>
      <w:proofErr w:type="gramEnd"/>
      <w:r w:rsidRPr="57744741">
        <w:rPr>
          <w:rFonts w:asciiTheme="majorHAnsi" w:hAnsiTheme="majorHAnsi"/>
          <w:lang w:val="en-US"/>
        </w:rPr>
        <w:t xml:space="preserve"> Type I glass syringe with a </w:t>
      </w:r>
      <w:proofErr w:type="gramStart"/>
      <w:r w:rsidRPr="57744741">
        <w:rPr>
          <w:rFonts w:asciiTheme="majorHAnsi" w:hAnsiTheme="majorHAnsi"/>
          <w:lang w:val="en-US"/>
        </w:rPr>
        <w:t>stainless steel</w:t>
      </w:r>
      <w:proofErr w:type="gramEnd"/>
      <w:r w:rsidRPr="57744741">
        <w:rPr>
          <w:rFonts w:asciiTheme="majorHAnsi" w:hAnsiTheme="majorHAnsi"/>
          <w:lang w:val="en-US"/>
        </w:rPr>
        <w:t xml:space="preserve"> staked needle, rigid needle shield, and </w:t>
      </w:r>
      <w:proofErr w:type="spellStart"/>
      <w:r w:rsidRPr="57744741">
        <w:rPr>
          <w:rFonts w:asciiTheme="majorHAnsi" w:hAnsiTheme="majorHAnsi"/>
          <w:lang w:val="en-US"/>
        </w:rPr>
        <w:t>siliconised</w:t>
      </w:r>
      <w:proofErr w:type="spellEnd"/>
      <w:r w:rsidRPr="57744741">
        <w:rPr>
          <w:rFonts w:asciiTheme="majorHAnsi" w:hAnsiTheme="majorHAnsi"/>
          <w:lang w:val="en-US"/>
        </w:rPr>
        <w:t xml:space="preserve"> </w:t>
      </w:r>
      <w:proofErr w:type="spellStart"/>
      <w:r w:rsidRPr="57744741">
        <w:rPr>
          <w:rFonts w:asciiTheme="majorHAnsi" w:hAnsiTheme="majorHAnsi"/>
          <w:lang w:val="en-US"/>
        </w:rPr>
        <w:t>chlorobutyl</w:t>
      </w:r>
      <w:proofErr w:type="spellEnd"/>
      <w:r w:rsidRPr="57744741">
        <w:rPr>
          <w:rFonts w:asciiTheme="majorHAnsi" w:hAnsiTheme="majorHAnsi"/>
          <w:lang w:val="en-US"/>
        </w:rPr>
        <w:t xml:space="preserve"> elastomer plunger stopper. The filled primary container and a pen are assembled to a pre-filled pen, which is labelled and packaged in an opaque carton with a partition to secure the pre-filled pen and protect from light.</w:t>
      </w:r>
    </w:p>
    <w:p w14:paraId="177F82A8" w14:textId="77777777" w:rsidR="00B76D5C" w:rsidRPr="003A2BCA" w:rsidRDefault="008D23B3" w:rsidP="003A2BCA">
      <w:pPr>
        <w:rPr>
          <w:rFonts w:asciiTheme="majorHAnsi" w:hAnsiTheme="majorHAnsi" w:cstheme="minorHAnsi"/>
          <w:lang w:val="en"/>
        </w:rPr>
      </w:pPr>
      <w:r w:rsidRPr="003A2BCA">
        <w:rPr>
          <w:rFonts w:asciiTheme="majorHAnsi" w:hAnsiTheme="majorHAnsi" w:cstheme="minorHAnsi"/>
          <w:lang w:val="en"/>
        </w:rPr>
        <w:t>Pack size</w:t>
      </w:r>
      <w:r w:rsidR="00B76D5C" w:rsidRPr="003A2BCA">
        <w:rPr>
          <w:rFonts w:asciiTheme="majorHAnsi" w:hAnsiTheme="majorHAnsi" w:cstheme="minorHAnsi"/>
          <w:lang w:val="en"/>
        </w:rPr>
        <w:t>s:</w:t>
      </w:r>
    </w:p>
    <w:p w14:paraId="403EBAD6" w14:textId="7C94C281" w:rsidR="008D23B3" w:rsidRPr="003A2BCA" w:rsidRDefault="00B76D5C" w:rsidP="003A2BCA">
      <w:pPr>
        <w:pStyle w:val="ListParagraph"/>
        <w:numPr>
          <w:ilvl w:val="0"/>
          <w:numId w:val="47"/>
        </w:numPr>
        <w:rPr>
          <w:rFonts w:asciiTheme="majorHAnsi" w:hAnsiTheme="majorHAnsi" w:cstheme="minorHAnsi"/>
          <w:lang w:val="en"/>
        </w:rPr>
      </w:pPr>
      <w:r w:rsidRPr="003A2BCA">
        <w:rPr>
          <w:rFonts w:asciiTheme="majorHAnsi" w:hAnsiTheme="majorHAnsi" w:cstheme="minorHAnsi"/>
          <w:lang w:val="en"/>
        </w:rPr>
        <w:t>1</w:t>
      </w:r>
      <w:r w:rsidR="008D23B3" w:rsidRPr="003A2BCA">
        <w:rPr>
          <w:rFonts w:asciiTheme="majorHAnsi" w:hAnsiTheme="majorHAnsi" w:cstheme="minorHAnsi"/>
          <w:lang w:val="en"/>
        </w:rPr>
        <w:t xml:space="preserve"> single-use pre-filled pen.</w:t>
      </w:r>
    </w:p>
    <w:p w14:paraId="41928646" w14:textId="71F6C04D" w:rsidR="008D23B3" w:rsidRPr="003A2BCA" w:rsidRDefault="00B76D5C" w:rsidP="003A2BCA">
      <w:pPr>
        <w:pStyle w:val="ListParagraph"/>
        <w:numPr>
          <w:ilvl w:val="0"/>
          <w:numId w:val="47"/>
        </w:numPr>
        <w:rPr>
          <w:rFonts w:asciiTheme="majorHAnsi" w:hAnsiTheme="majorHAnsi" w:cstheme="minorHAnsi"/>
          <w:lang w:val="en"/>
        </w:rPr>
      </w:pPr>
      <w:r w:rsidRPr="003A2BCA">
        <w:rPr>
          <w:rFonts w:asciiTheme="majorHAnsi" w:hAnsiTheme="majorHAnsi" w:cstheme="minorHAnsi"/>
          <w:lang w:val="en"/>
        </w:rPr>
        <w:t>3</w:t>
      </w:r>
      <w:r w:rsidR="008D23B3" w:rsidRPr="003A2BCA">
        <w:rPr>
          <w:rFonts w:asciiTheme="majorHAnsi" w:hAnsiTheme="majorHAnsi" w:cstheme="minorHAnsi"/>
          <w:lang w:val="en"/>
        </w:rPr>
        <w:t xml:space="preserve"> single-use pre-filled pens.</w:t>
      </w:r>
    </w:p>
    <w:p w14:paraId="129F19A8" w14:textId="0BA3232F" w:rsidR="008D23B3" w:rsidRPr="003A2BCA" w:rsidRDefault="008D23B3" w:rsidP="003A2BCA">
      <w:pPr>
        <w:rPr>
          <w:rFonts w:asciiTheme="majorHAnsi" w:hAnsiTheme="majorHAnsi" w:cstheme="minorHAnsi"/>
          <w:lang w:val="en"/>
        </w:rPr>
      </w:pPr>
      <w:r w:rsidRPr="003A2BCA">
        <w:rPr>
          <w:rFonts w:asciiTheme="majorHAnsi" w:hAnsiTheme="majorHAnsi" w:cstheme="minorHAnsi"/>
          <w:lang w:val="en"/>
        </w:rPr>
        <w:t>Not all pack sizes may be marketed.</w:t>
      </w:r>
    </w:p>
    <w:p w14:paraId="1248264B" w14:textId="77777777" w:rsidR="005B2812" w:rsidRPr="003A2BCA" w:rsidRDefault="005B2812" w:rsidP="003A2BCA">
      <w:pPr>
        <w:pStyle w:val="Heading2"/>
        <w:spacing w:before="0" w:after="120"/>
        <w:rPr>
          <w:rFonts w:cstheme="minorHAnsi"/>
          <w:lang w:val="en-US"/>
        </w:rPr>
      </w:pPr>
      <w:r w:rsidRPr="003A2BCA">
        <w:rPr>
          <w:rFonts w:cstheme="minorHAnsi"/>
          <w:lang w:val="en-US"/>
        </w:rPr>
        <w:t xml:space="preserve">Special precautions for disposal </w:t>
      </w:r>
    </w:p>
    <w:p w14:paraId="74F1BAF9" w14:textId="2DFA10A6" w:rsidR="00F312DB" w:rsidRPr="003A2BCA" w:rsidRDefault="0021200F" w:rsidP="003A2BCA">
      <w:pPr>
        <w:rPr>
          <w:rFonts w:asciiTheme="majorHAnsi" w:hAnsiTheme="majorHAnsi" w:cstheme="minorHAnsi"/>
          <w:lang w:val="en"/>
        </w:rPr>
      </w:pPr>
      <w:r w:rsidRPr="003A2BCA">
        <w:rPr>
          <w:rFonts w:asciiTheme="majorHAnsi" w:hAnsiTheme="majorHAnsi" w:cstheme="minorHAnsi"/>
          <w:lang w:val="en"/>
        </w:rPr>
        <w:t xml:space="preserve">In Australia, any unused medicine or waste material should be disposed of by taking to your local pharmacy. </w:t>
      </w:r>
    </w:p>
    <w:p w14:paraId="386CFA46" w14:textId="77777777" w:rsidR="00296041" w:rsidRPr="003A2BCA" w:rsidRDefault="00296041" w:rsidP="003A2BCA">
      <w:pPr>
        <w:rPr>
          <w:rFonts w:asciiTheme="majorHAnsi" w:hAnsiTheme="majorHAnsi" w:cstheme="minorHAnsi"/>
          <w:lang w:val="en"/>
        </w:rPr>
      </w:pPr>
    </w:p>
    <w:p w14:paraId="61013FC7" w14:textId="77777777" w:rsidR="00296041" w:rsidRDefault="00296041" w:rsidP="003A2BCA">
      <w:pPr>
        <w:rPr>
          <w:rFonts w:asciiTheme="majorHAnsi" w:hAnsiTheme="majorHAnsi" w:cstheme="minorHAnsi"/>
          <w:lang w:val="en"/>
        </w:rPr>
      </w:pPr>
    </w:p>
    <w:p w14:paraId="5294477F" w14:textId="77777777" w:rsidR="00296041" w:rsidRPr="003A2BCA" w:rsidRDefault="00296041" w:rsidP="003A2BCA">
      <w:pPr>
        <w:rPr>
          <w:rFonts w:asciiTheme="majorHAnsi" w:hAnsiTheme="majorHAnsi" w:cstheme="minorHAnsi"/>
          <w:lang w:val="en"/>
        </w:rPr>
      </w:pPr>
    </w:p>
    <w:p w14:paraId="00B83299" w14:textId="77777777" w:rsidR="001A3992" w:rsidRPr="003A2BCA" w:rsidRDefault="001A3992" w:rsidP="003A2BCA">
      <w:pPr>
        <w:pStyle w:val="Heading2"/>
        <w:spacing w:before="0" w:after="120"/>
        <w:rPr>
          <w:lang w:val="en-US"/>
        </w:rPr>
      </w:pPr>
      <w:r w:rsidRPr="003A2BCA">
        <w:rPr>
          <w:lang w:val="en-US"/>
        </w:rPr>
        <w:t>Physicochemical properties</w:t>
      </w:r>
    </w:p>
    <w:p w14:paraId="3579D327" w14:textId="77777777" w:rsidR="001A3992" w:rsidRPr="003A2BCA" w:rsidRDefault="001A3992" w:rsidP="003A2BCA">
      <w:pPr>
        <w:pStyle w:val="Heading3"/>
        <w:spacing w:before="0" w:after="120"/>
        <w:ind w:left="0"/>
        <w:rPr>
          <w:lang w:val="en-US"/>
        </w:rPr>
      </w:pPr>
      <w:r w:rsidRPr="003A2BCA">
        <w:rPr>
          <w:lang w:val="en-US"/>
        </w:rPr>
        <w:t>Chemical structure</w:t>
      </w:r>
    </w:p>
    <w:p w14:paraId="0C7A739B" w14:textId="5FA203CE" w:rsidR="005404B3" w:rsidRPr="003649E0" w:rsidRDefault="005404B3" w:rsidP="003A2BCA">
      <w:pPr>
        <w:rPr>
          <w:rFonts w:asciiTheme="majorHAnsi" w:hAnsiTheme="majorHAnsi"/>
          <w:lang w:val="en-US"/>
        </w:rPr>
      </w:pPr>
      <w:r w:rsidRPr="003649E0">
        <w:rPr>
          <w:rFonts w:asciiTheme="majorHAnsi" w:hAnsiTheme="majorHAnsi"/>
          <w:noProof/>
          <w:lang w:val="en-US"/>
        </w:rPr>
        <w:drawing>
          <wp:inline distT="0" distB="0" distL="0" distR="0" wp14:anchorId="6578E5A1" wp14:editId="50B601BC">
            <wp:extent cx="5731510" cy="3576955"/>
            <wp:effectExtent l="0" t="0" r="2540" b="4445"/>
            <wp:docPr id="231107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07258" name=""/>
                    <pic:cNvPicPr/>
                  </pic:nvPicPr>
                  <pic:blipFill>
                    <a:blip r:embed="rId14"/>
                    <a:stretch>
                      <a:fillRect/>
                    </a:stretch>
                  </pic:blipFill>
                  <pic:spPr>
                    <a:xfrm>
                      <a:off x="0" y="0"/>
                      <a:ext cx="5731510" cy="3576955"/>
                    </a:xfrm>
                    <a:prstGeom prst="rect">
                      <a:avLst/>
                    </a:prstGeom>
                  </pic:spPr>
                </pic:pic>
              </a:graphicData>
            </a:graphic>
          </wp:inline>
        </w:drawing>
      </w:r>
    </w:p>
    <w:p w14:paraId="2145E006" w14:textId="669A6EC8" w:rsidR="00E32437" w:rsidRPr="003A2BCA" w:rsidRDefault="00E32437" w:rsidP="003A2BCA">
      <w:pPr>
        <w:pStyle w:val="Heading3"/>
        <w:spacing w:before="0" w:after="120"/>
        <w:ind w:left="0"/>
        <w:rPr>
          <w:lang w:val="en-US"/>
        </w:rPr>
      </w:pPr>
      <w:r w:rsidRPr="003A2BCA">
        <w:rPr>
          <w:lang w:val="en-US"/>
        </w:rPr>
        <w:t>Molecular formula</w:t>
      </w:r>
    </w:p>
    <w:p w14:paraId="0C9F9943" w14:textId="77777777" w:rsidR="00E32437" w:rsidRPr="003649E0" w:rsidRDefault="00E32437" w:rsidP="003A2BCA">
      <w:pPr>
        <w:rPr>
          <w:rFonts w:asciiTheme="majorHAnsi" w:hAnsiTheme="majorHAnsi"/>
          <w:lang w:val="en-US"/>
        </w:rPr>
      </w:pPr>
      <w:r w:rsidRPr="003649E0">
        <w:rPr>
          <w:rFonts w:asciiTheme="majorHAnsi" w:hAnsiTheme="majorHAnsi"/>
          <w:lang w:val="en-US"/>
        </w:rPr>
        <w:t>C</w:t>
      </w:r>
      <w:r w:rsidRPr="003649E0">
        <w:rPr>
          <w:rFonts w:asciiTheme="majorHAnsi" w:hAnsiTheme="majorHAnsi"/>
          <w:vertAlign w:val="subscript"/>
          <w:lang w:val="en-US"/>
        </w:rPr>
        <w:t>296</w:t>
      </w:r>
      <w:r w:rsidRPr="003649E0">
        <w:rPr>
          <w:rFonts w:asciiTheme="majorHAnsi" w:hAnsiTheme="majorHAnsi"/>
          <w:lang w:val="en-US"/>
        </w:rPr>
        <w:t>H</w:t>
      </w:r>
      <w:r w:rsidRPr="003649E0">
        <w:rPr>
          <w:rFonts w:asciiTheme="majorHAnsi" w:hAnsiTheme="majorHAnsi"/>
          <w:vertAlign w:val="subscript"/>
          <w:lang w:val="en-US"/>
        </w:rPr>
        <w:t>435</w:t>
      </w:r>
      <w:r w:rsidRPr="003649E0">
        <w:rPr>
          <w:rFonts w:asciiTheme="majorHAnsi" w:hAnsiTheme="majorHAnsi"/>
          <w:lang w:val="en-US"/>
        </w:rPr>
        <w:t>N</w:t>
      </w:r>
      <w:r w:rsidRPr="003649E0">
        <w:rPr>
          <w:rFonts w:asciiTheme="majorHAnsi" w:hAnsiTheme="majorHAnsi"/>
          <w:vertAlign w:val="subscript"/>
          <w:lang w:val="en-US"/>
        </w:rPr>
        <w:t>83</w:t>
      </w:r>
      <w:r w:rsidRPr="003649E0">
        <w:rPr>
          <w:rFonts w:asciiTheme="majorHAnsi" w:hAnsiTheme="majorHAnsi"/>
          <w:lang w:val="en-US"/>
        </w:rPr>
        <w:t>O</w:t>
      </w:r>
      <w:r w:rsidRPr="003649E0">
        <w:rPr>
          <w:rFonts w:asciiTheme="majorHAnsi" w:hAnsiTheme="majorHAnsi"/>
          <w:vertAlign w:val="subscript"/>
          <w:lang w:val="en-US"/>
        </w:rPr>
        <w:t>151</w:t>
      </w:r>
      <w:r w:rsidRPr="003649E0">
        <w:rPr>
          <w:rFonts w:asciiTheme="majorHAnsi" w:hAnsiTheme="majorHAnsi"/>
          <w:lang w:val="en-US"/>
        </w:rPr>
        <w:t>P</w:t>
      </w:r>
      <w:r w:rsidRPr="003649E0">
        <w:rPr>
          <w:rFonts w:asciiTheme="majorHAnsi" w:hAnsiTheme="majorHAnsi"/>
          <w:vertAlign w:val="subscript"/>
          <w:lang w:val="en-US"/>
        </w:rPr>
        <w:t>20</w:t>
      </w:r>
      <w:r w:rsidRPr="003649E0">
        <w:rPr>
          <w:rFonts w:asciiTheme="majorHAnsi" w:hAnsiTheme="majorHAnsi"/>
          <w:lang w:val="en-US"/>
        </w:rPr>
        <w:t>S</w:t>
      </w:r>
      <w:r w:rsidRPr="003649E0">
        <w:rPr>
          <w:rFonts w:asciiTheme="majorHAnsi" w:hAnsiTheme="majorHAnsi"/>
          <w:vertAlign w:val="subscript"/>
          <w:lang w:val="en-US"/>
        </w:rPr>
        <w:t>15</w:t>
      </w:r>
      <w:r w:rsidRPr="003649E0">
        <w:rPr>
          <w:rFonts w:asciiTheme="majorHAnsi" w:hAnsiTheme="majorHAnsi"/>
          <w:lang w:val="en-US"/>
        </w:rPr>
        <w:t xml:space="preserve"> (free acid)</w:t>
      </w:r>
    </w:p>
    <w:p w14:paraId="52FCBAE0" w14:textId="61C749BF" w:rsidR="00E32437" w:rsidRPr="003649E0" w:rsidRDefault="00E32437" w:rsidP="003A2BCA">
      <w:pPr>
        <w:rPr>
          <w:rFonts w:asciiTheme="majorHAnsi" w:hAnsiTheme="majorHAnsi"/>
          <w:lang w:val="en-US"/>
        </w:rPr>
      </w:pPr>
      <w:r w:rsidRPr="003649E0">
        <w:rPr>
          <w:rFonts w:asciiTheme="majorHAnsi" w:hAnsiTheme="majorHAnsi"/>
          <w:lang w:val="en-US"/>
        </w:rPr>
        <w:t>C</w:t>
      </w:r>
      <w:r w:rsidRPr="003649E0">
        <w:rPr>
          <w:rFonts w:asciiTheme="majorHAnsi" w:hAnsiTheme="majorHAnsi"/>
          <w:vertAlign w:val="subscript"/>
          <w:lang w:val="en-US"/>
        </w:rPr>
        <w:t>296</w:t>
      </w:r>
      <w:r w:rsidRPr="003649E0">
        <w:rPr>
          <w:rFonts w:asciiTheme="majorHAnsi" w:hAnsiTheme="majorHAnsi"/>
          <w:lang w:val="en-US"/>
        </w:rPr>
        <w:t>H</w:t>
      </w:r>
      <w:r w:rsidRPr="003649E0">
        <w:rPr>
          <w:rFonts w:asciiTheme="majorHAnsi" w:hAnsiTheme="majorHAnsi"/>
          <w:vertAlign w:val="subscript"/>
          <w:lang w:val="en-US"/>
        </w:rPr>
        <w:t>415</w:t>
      </w:r>
      <w:r w:rsidRPr="003649E0">
        <w:rPr>
          <w:rFonts w:asciiTheme="majorHAnsi" w:hAnsiTheme="majorHAnsi"/>
          <w:lang w:val="en-US"/>
        </w:rPr>
        <w:t>N</w:t>
      </w:r>
      <w:r w:rsidRPr="003649E0">
        <w:rPr>
          <w:rFonts w:asciiTheme="majorHAnsi" w:hAnsiTheme="majorHAnsi"/>
          <w:vertAlign w:val="subscript"/>
          <w:lang w:val="en-US"/>
        </w:rPr>
        <w:t>83</w:t>
      </w:r>
      <w:r w:rsidRPr="003649E0">
        <w:rPr>
          <w:rFonts w:asciiTheme="majorHAnsi" w:hAnsiTheme="majorHAnsi"/>
          <w:lang w:val="en-US"/>
        </w:rPr>
        <w:t>O</w:t>
      </w:r>
      <w:r w:rsidRPr="003649E0">
        <w:rPr>
          <w:rFonts w:asciiTheme="majorHAnsi" w:hAnsiTheme="majorHAnsi"/>
          <w:vertAlign w:val="subscript"/>
          <w:lang w:val="en-US"/>
        </w:rPr>
        <w:t>151</w:t>
      </w:r>
      <w:r w:rsidRPr="003649E0">
        <w:rPr>
          <w:rFonts w:asciiTheme="majorHAnsi" w:hAnsiTheme="majorHAnsi"/>
          <w:lang w:val="en-US"/>
        </w:rPr>
        <w:t>P</w:t>
      </w:r>
      <w:r w:rsidRPr="003649E0">
        <w:rPr>
          <w:rFonts w:asciiTheme="majorHAnsi" w:hAnsiTheme="majorHAnsi"/>
          <w:vertAlign w:val="subscript"/>
          <w:lang w:val="en-US"/>
        </w:rPr>
        <w:t>20</w:t>
      </w:r>
      <w:r w:rsidRPr="003649E0">
        <w:rPr>
          <w:rFonts w:asciiTheme="majorHAnsi" w:hAnsiTheme="majorHAnsi"/>
          <w:lang w:val="en-US"/>
        </w:rPr>
        <w:t>S</w:t>
      </w:r>
      <w:r w:rsidRPr="003649E0">
        <w:rPr>
          <w:rFonts w:asciiTheme="majorHAnsi" w:hAnsiTheme="majorHAnsi"/>
          <w:vertAlign w:val="subscript"/>
          <w:lang w:val="en-US"/>
        </w:rPr>
        <w:t>15</w:t>
      </w:r>
      <w:r w:rsidRPr="003649E0">
        <w:rPr>
          <w:rFonts w:asciiTheme="majorHAnsi" w:hAnsiTheme="majorHAnsi"/>
          <w:lang w:val="en-US"/>
        </w:rPr>
        <w:t>Na</w:t>
      </w:r>
      <w:r w:rsidRPr="003649E0">
        <w:rPr>
          <w:rFonts w:asciiTheme="majorHAnsi" w:hAnsiTheme="majorHAnsi"/>
          <w:vertAlign w:val="subscript"/>
          <w:lang w:val="en-US"/>
        </w:rPr>
        <w:t xml:space="preserve">20 </w:t>
      </w:r>
      <w:r w:rsidRPr="003649E0">
        <w:rPr>
          <w:rFonts w:asciiTheme="majorHAnsi" w:hAnsiTheme="majorHAnsi"/>
          <w:lang w:val="en-US"/>
        </w:rPr>
        <w:t>(sodium salt)</w:t>
      </w:r>
    </w:p>
    <w:p w14:paraId="082284F5" w14:textId="1D755FAE" w:rsidR="00E32437" w:rsidRPr="003A2BCA" w:rsidRDefault="00E32437" w:rsidP="003A2BCA">
      <w:pPr>
        <w:pStyle w:val="Heading3"/>
        <w:spacing w:before="0" w:after="120"/>
        <w:ind w:left="0"/>
        <w:rPr>
          <w:lang w:val="en-US"/>
        </w:rPr>
      </w:pPr>
      <w:r w:rsidRPr="003A2BCA">
        <w:rPr>
          <w:lang w:val="en-US"/>
        </w:rPr>
        <w:t>Molecular weight</w:t>
      </w:r>
    </w:p>
    <w:p w14:paraId="68F99744" w14:textId="77777777" w:rsidR="00E32437" w:rsidRPr="003649E0" w:rsidRDefault="00E32437" w:rsidP="003A2BCA">
      <w:pPr>
        <w:rPr>
          <w:rFonts w:asciiTheme="majorHAnsi" w:hAnsiTheme="majorHAnsi"/>
          <w:lang w:val="de-DE"/>
        </w:rPr>
      </w:pPr>
      <w:r w:rsidRPr="003649E0">
        <w:rPr>
          <w:rFonts w:asciiTheme="majorHAnsi" w:hAnsiTheme="majorHAnsi"/>
          <w:lang w:val="de-DE"/>
        </w:rPr>
        <w:t>8672.66 Da (free acid)</w:t>
      </w:r>
    </w:p>
    <w:p w14:paraId="76D7A906" w14:textId="438979DF" w:rsidR="00E32437" w:rsidRPr="003649E0" w:rsidRDefault="00E32437" w:rsidP="003A2BCA">
      <w:pPr>
        <w:rPr>
          <w:rFonts w:asciiTheme="majorHAnsi" w:hAnsiTheme="majorHAnsi"/>
          <w:lang w:val="de-DE"/>
        </w:rPr>
      </w:pPr>
      <w:r w:rsidRPr="003649E0">
        <w:rPr>
          <w:rFonts w:asciiTheme="majorHAnsi" w:hAnsiTheme="majorHAnsi"/>
          <w:lang w:val="de-DE"/>
        </w:rPr>
        <w:t>9112.27 Da (sodium salt)</w:t>
      </w:r>
    </w:p>
    <w:p w14:paraId="1DA64228" w14:textId="77777777" w:rsidR="001A3992" w:rsidRPr="003A2BCA" w:rsidRDefault="001A3992" w:rsidP="003A2BCA">
      <w:pPr>
        <w:pStyle w:val="Heading3"/>
        <w:spacing w:before="0" w:after="120"/>
        <w:ind w:left="0"/>
        <w:rPr>
          <w:lang w:val="en-US"/>
        </w:rPr>
      </w:pPr>
      <w:r w:rsidRPr="003A2BCA">
        <w:rPr>
          <w:lang w:val="en-US"/>
        </w:rPr>
        <w:t>CAS number</w:t>
      </w:r>
    </w:p>
    <w:p w14:paraId="22B739A7" w14:textId="77777777" w:rsidR="00517023" w:rsidRPr="003649E0" w:rsidRDefault="00517023" w:rsidP="003A2BCA">
      <w:pPr>
        <w:rPr>
          <w:rFonts w:asciiTheme="majorHAnsi" w:hAnsiTheme="majorHAnsi"/>
          <w:lang w:val="en-US"/>
        </w:rPr>
      </w:pPr>
      <w:r w:rsidRPr="003649E0">
        <w:rPr>
          <w:rFonts w:asciiTheme="majorHAnsi" w:hAnsiTheme="majorHAnsi"/>
          <w:lang w:val="en-US"/>
        </w:rPr>
        <w:t>2304692-48-4 (free acid)</w:t>
      </w:r>
    </w:p>
    <w:p w14:paraId="2E85A500" w14:textId="6A2B9056" w:rsidR="00517023" w:rsidRPr="003649E0" w:rsidRDefault="00517023" w:rsidP="003A2BCA">
      <w:pPr>
        <w:rPr>
          <w:rFonts w:asciiTheme="majorHAnsi" w:hAnsiTheme="majorHAnsi"/>
          <w:lang w:val="en-US"/>
        </w:rPr>
      </w:pPr>
      <w:r w:rsidRPr="003649E0">
        <w:rPr>
          <w:rFonts w:asciiTheme="majorHAnsi" w:hAnsiTheme="majorHAnsi"/>
          <w:lang w:val="en-US"/>
        </w:rPr>
        <w:t>2304701-45-7 (sodium salt)</w:t>
      </w:r>
    </w:p>
    <w:p w14:paraId="0E44C64F" w14:textId="77777777" w:rsidR="001A3992" w:rsidRPr="003A2BCA" w:rsidRDefault="001A3992" w:rsidP="003A2BCA">
      <w:pPr>
        <w:pStyle w:val="Heading1"/>
        <w:spacing w:before="0" w:after="120"/>
        <w:rPr>
          <w:lang w:val="en-US"/>
        </w:rPr>
      </w:pPr>
      <w:r w:rsidRPr="003A2BCA">
        <w:rPr>
          <w:lang w:val="en-US"/>
        </w:rPr>
        <w:t>Medicine schedule (Poisons Standard)</w:t>
      </w:r>
    </w:p>
    <w:p w14:paraId="2CE08663" w14:textId="50B0375B" w:rsidR="00FD19D8" w:rsidRDefault="00FD19D8" w:rsidP="003A2BCA">
      <w:pPr>
        <w:rPr>
          <w:rFonts w:asciiTheme="majorHAnsi" w:hAnsiTheme="majorHAnsi"/>
          <w:lang w:val="en-US"/>
        </w:rPr>
      </w:pPr>
      <w:r w:rsidRPr="003A2BCA">
        <w:rPr>
          <w:rFonts w:asciiTheme="majorHAnsi" w:hAnsiTheme="majorHAnsi"/>
          <w:lang w:val="en-US"/>
        </w:rPr>
        <w:t>S4 – PRESCRIPTION ONLY MEDICINE</w:t>
      </w:r>
    </w:p>
    <w:p w14:paraId="6ADD92FB" w14:textId="77777777" w:rsidR="00F07C52" w:rsidRPr="003A2BCA" w:rsidRDefault="00F07C52" w:rsidP="003A2BCA">
      <w:pPr>
        <w:rPr>
          <w:rFonts w:asciiTheme="majorHAnsi" w:hAnsiTheme="majorHAnsi"/>
          <w:lang w:val="en-US"/>
        </w:rPr>
      </w:pPr>
    </w:p>
    <w:p w14:paraId="7F788D00" w14:textId="77777777" w:rsidR="00285173" w:rsidRPr="003A2BCA" w:rsidRDefault="001A3992" w:rsidP="003A2BCA">
      <w:pPr>
        <w:pStyle w:val="Heading1"/>
        <w:spacing w:before="0" w:after="120"/>
        <w:rPr>
          <w:lang w:val="en-US"/>
        </w:rPr>
      </w:pPr>
      <w:r w:rsidRPr="003A2BCA">
        <w:rPr>
          <w:lang w:val="en-US"/>
        </w:rPr>
        <w:lastRenderedPageBreak/>
        <w:t>Sponsor</w:t>
      </w:r>
      <w:r w:rsidR="00285173" w:rsidRPr="003A2BCA">
        <w:rPr>
          <w:lang w:val="en-US"/>
        </w:rPr>
        <w:t xml:space="preserve"> </w:t>
      </w:r>
    </w:p>
    <w:p w14:paraId="1D2B9E96" w14:textId="77777777" w:rsidR="00FD19D8" w:rsidRPr="003A2BCA" w:rsidRDefault="00FD19D8" w:rsidP="003A2BCA">
      <w:pPr>
        <w:rPr>
          <w:rFonts w:asciiTheme="majorHAnsi" w:hAnsiTheme="majorHAnsi" w:cstheme="minorHAnsi"/>
          <w:lang w:val="en"/>
        </w:rPr>
      </w:pPr>
      <w:r w:rsidRPr="003A2BCA">
        <w:rPr>
          <w:rFonts w:asciiTheme="majorHAnsi" w:hAnsiTheme="majorHAnsi" w:cstheme="minorHAnsi"/>
          <w:lang w:val="en"/>
        </w:rPr>
        <w:t>Otsuka Australia Pharmaceutical Pty Ltd</w:t>
      </w:r>
    </w:p>
    <w:p w14:paraId="2D6F995D" w14:textId="77777777" w:rsidR="00FD19D8" w:rsidRPr="003A2BCA" w:rsidRDefault="00FD19D8" w:rsidP="003A2BCA">
      <w:pPr>
        <w:rPr>
          <w:rFonts w:asciiTheme="majorHAnsi" w:hAnsiTheme="majorHAnsi" w:cstheme="minorHAnsi"/>
          <w:lang w:val="en"/>
        </w:rPr>
      </w:pPr>
      <w:r w:rsidRPr="003A2BCA">
        <w:rPr>
          <w:rFonts w:asciiTheme="majorHAnsi" w:hAnsiTheme="majorHAnsi" w:cstheme="minorHAnsi"/>
          <w:lang w:val="en"/>
        </w:rPr>
        <w:t>Suite 2.03, Level 2</w:t>
      </w:r>
    </w:p>
    <w:p w14:paraId="2D5B5975" w14:textId="77777777" w:rsidR="00FD19D8" w:rsidRPr="003A2BCA" w:rsidRDefault="00FD19D8" w:rsidP="003A2BCA">
      <w:pPr>
        <w:rPr>
          <w:rFonts w:asciiTheme="majorHAnsi" w:hAnsiTheme="majorHAnsi" w:cstheme="minorHAnsi"/>
          <w:lang w:val="en"/>
        </w:rPr>
      </w:pPr>
      <w:r w:rsidRPr="003A2BCA">
        <w:rPr>
          <w:rFonts w:asciiTheme="majorHAnsi" w:hAnsiTheme="majorHAnsi" w:cstheme="minorHAnsi"/>
          <w:lang w:val="en"/>
        </w:rPr>
        <w:t>9 Help Street</w:t>
      </w:r>
    </w:p>
    <w:p w14:paraId="24839AB9" w14:textId="77777777" w:rsidR="00FD19D8" w:rsidRPr="003A2BCA" w:rsidRDefault="00FD19D8" w:rsidP="003A2BCA">
      <w:pPr>
        <w:rPr>
          <w:rFonts w:asciiTheme="majorHAnsi" w:hAnsiTheme="majorHAnsi" w:cstheme="minorHAnsi"/>
          <w:lang w:val="en"/>
        </w:rPr>
      </w:pPr>
      <w:r w:rsidRPr="003A2BCA">
        <w:rPr>
          <w:rFonts w:asciiTheme="majorHAnsi" w:hAnsiTheme="majorHAnsi" w:cstheme="minorHAnsi"/>
          <w:lang w:val="en"/>
        </w:rPr>
        <w:t>Chatswood NSW 2067</w:t>
      </w:r>
    </w:p>
    <w:p w14:paraId="59E63EE8" w14:textId="5CC50F79" w:rsidR="00FD19D8" w:rsidRPr="003649E0" w:rsidRDefault="00FD19D8" w:rsidP="003A2BCA">
      <w:pPr>
        <w:rPr>
          <w:rFonts w:asciiTheme="majorHAnsi" w:hAnsiTheme="majorHAnsi"/>
          <w:lang w:val="en-US"/>
        </w:rPr>
      </w:pPr>
      <w:hyperlink r:id="rId15" w:history="1">
        <w:r w:rsidRPr="003649E0">
          <w:rPr>
            <w:rStyle w:val="Hyperlink"/>
            <w:rFonts w:asciiTheme="majorHAnsi" w:hAnsiTheme="majorHAnsi"/>
            <w:lang w:val="en-US"/>
          </w:rPr>
          <w:t>www.otsuka.com.au</w:t>
        </w:r>
      </w:hyperlink>
    </w:p>
    <w:p w14:paraId="4EC64411" w14:textId="77777777" w:rsidR="00285173" w:rsidRPr="003A2BCA" w:rsidRDefault="00285173" w:rsidP="003A2BCA">
      <w:pPr>
        <w:pStyle w:val="Heading1"/>
        <w:spacing w:before="0" w:after="120"/>
        <w:rPr>
          <w:lang w:val="en-US"/>
        </w:rPr>
      </w:pPr>
      <w:r w:rsidRPr="003A2BCA">
        <w:rPr>
          <w:lang w:val="en-US"/>
        </w:rPr>
        <w:t xml:space="preserve">Date of first approval  </w:t>
      </w:r>
    </w:p>
    <w:p w14:paraId="090E20F8" w14:textId="04B39264" w:rsidR="007D5881" w:rsidRPr="003649E0" w:rsidRDefault="00B5017F" w:rsidP="003A2BCA">
      <w:pPr>
        <w:rPr>
          <w:rFonts w:asciiTheme="majorHAnsi" w:hAnsiTheme="majorHAnsi"/>
          <w:lang w:val="en-US"/>
        </w:rPr>
      </w:pPr>
      <w:r>
        <w:rPr>
          <w:rFonts w:asciiTheme="majorHAnsi" w:hAnsiTheme="majorHAnsi"/>
          <w:lang w:val="en-US"/>
        </w:rPr>
        <w:t>11 June 2026</w:t>
      </w:r>
    </w:p>
    <w:p w14:paraId="272E1ED0" w14:textId="77777777" w:rsidR="00285173" w:rsidRPr="003A2BCA" w:rsidRDefault="00285173" w:rsidP="003A2BCA">
      <w:pPr>
        <w:pStyle w:val="Heading1"/>
        <w:spacing w:before="0" w:after="120"/>
        <w:rPr>
          <w:lang w:val="en-US"/>
        </w:rPr>
      </w:pPr>
      <w:r w:rsidRPr="003A2BCA">
        <w:rPr>
          <w:lang w:val="en-US"/>
        </w:rPr>
        <w:t xml:space="preserve">Date of revision </w:t>
      </w:r>
    </w:p>
    <w:p w14:paraId="3C277161" w14:textId="77777777" w:rsidR="007D5881" w:rsidRPr="003649E0" w:rsidRDefault="007D5881" w:rsidP="003A2BCA">
      <w:pPr>
        <w:rPr>
          <w:rFonts w:asciiTheme="majorHAnsi" w:hAnsiTheme="majorHAnsi"/>
          <w:lang w:val="en-US"/>
        </w:rPr>
      </w:pPr>
    </w:p>
    <w:p w14:paraId="2F60D4D9" w14:textId="77777777" w:rsidR="00285173" w:rsidRPr="003A2BCA" w:rsidRDefault="00285173" w:rsidP="003A2BCA">
      <w:pPr>
        <w:pStyle w:val="Heading2"/>
        <w:numPr>
          <w:ilvl w:val="0"/>
          <w:numId w:val="0"/>
        </w:numPr>
        <w:spacing w:before="0" w:after="120"/>
        <w:rPr>
          <w:lang w:val="en-US"/>
        </w:rPr>
      </w:pPr>
      <w:r w:rsidRPr="003A2BCA">
        <w:rPr>
          <w:lang w:val="en-US"/>
        </w:rPr>
        <w:t>Summary table of changes</w:t>
      </w:r>
    </w:p>
    <w:tbl>
      <w:tblPr>
        <w:tblStyle w:val="LightGrid"/>
        <w:tblW w:w="0" w:type="auto"/>
        <w:tblCellMar>
          <w:top w:w="57" w:type="dxa"/>
          <w:bottom w:w="57" w:type="dxa"/>
        </w:tblCellMar>
        <w:tblLook w:val="06A0" w:firstRow="1" w:lastRow="0" w:firstColumn="1" w:lastColumn="0" w:noHBand="1" w:noVBand="1"/>
      </w:tblPr>
      <w:tblGrid>
        <w:gridCol w:w="1371"/>
        <w:gridCol w:w="7635"/>
      </w:tblGrid>
      <w:tr w:rsidR="00285173" w:rsidRPr="003A2BCA" w14:paraId="7424FF94" w14:textId="77777777" w:rsidTr="00B65E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shd w:val="clear" w:color="auto" w:fill="F2F2F2" w:themeFill="background1" w:themeFillShade="F2"/>
            <w:vAlign w:val="center"/>
          </w:tcPr>
          <w:p w14:paraId="30D26705" w14:textId="77777777" w:rsidR="00285173" w:rsidRPr="003A2BCA" w:rsidRDefault="00285173" w:rsidP="003649E0">
            <w:pPr>
              <w:spacing w:line="276" w:lineRule="auto"/>
              <w:rPr>
                <w:sz w:val="20"/>
                <w:lang w:val="en-US"/>
              </w:rPr>
            </w:pPr>
            <w:r w:rsidRPr="003A2BCA">
              <w:rPr>
                <w:sz w:val="20"/>
                <w:lang w:val="en-US"/>
              </w:rPr>
              <w:t>Section Changed</w:t>
            </w:r>
          </w:p>
        </w:tc>
        <w:tc>
          <w:tcPr>
            <w:tcW w:w="7858" w:type="dxa"/>
            <w:shd w:val="clear" w:color="auto" w:fill="F2F2F2" w:themeFill="background1" w:themeFillShade="F2"/>
            <w:vAlign w:val="center"/>
          </w:tcPr>
          <w:p w14:paraId="12C6EAA9" w14:textId="77777777" w:rsidR="00285173" w:rsidRPr="003A2BCA" w:rsidRDefault="00285173" w:rsidP="003649E0">
            <w:pPr>
              <w:spacing w:line="276" w:lineRule="auto"/>
              <w:cnfStyle w:val="100000000000" w:firstRow="1" w:lastRow="0" w:firstColumn="0" w:lastColumn="0" w:oddVBand="0" w:evenVBand="0" w:oddHBand="0" w:evenHBand="0" w:firstRowFirstColumn="0" w:firstRowLastColumn="0" w:lastRowFirstColumn="0" w:lastRowLastColumn="0"/>
              <w:rPr>
                <w:sz w:val="20"/>
                <w:lang w:val="en-US"/>
              </w:rPr>
            </w:pPr>
            <w:r w:rsidRPr="003A2BCA">
              <w:rPr>
                <w:sz w:val="20"/>
                <w:lang w:val="en-US"/>
              </w:rPr>
              <w:t>Summary of new information</w:t>
            </w:r>
          </w:p>
        </w:tc>
      </w:tr>
      <w:tr w:rsidR="00285173" w:rsidRPr="003A2BCA" w14:paraId="34B0868E" w14:textId="77777777" w:rsidTr="00B65EFF">
        <w:tc>
          <w:tcPr>
            <w:cnfStyle w:val="001000000000" w:firstRow="0" w:lastRow="0" w:firstColumn="1" w:lastColumn="0" w:oddVBand="0" w:evenVBand="0" w:oddHBand="0" w:evenHBand="0" w:firstRowFirstColumn="0" w:firstRowLastColumn="0" w:lastRowFirstColumn="0" w:lastRowLastColumn="0"/>
            <w:tcW w:w="1384" w:type="dxa"/>
            <w:vAlign w:val="center"/>
          </w:tcPr>
          <w:p w14:paraId="4A6DB4B8" w14:textId="77777777" w:rsidR="00285173" w:rsidRPr="003A2BCA" w:rsidRDefault="00285173" w:rsidP="003649E0">
            <w:pPr>
              <w:spacing w:line="276" w:lineRule="auto"/>
              <w:rPr>
                <w:lang w:val="en-US"/>
              </w:rPr>
            </w:pPr>
          </w:p>
        </w:tc>
        <w:tc>
          <w:tcPr>
            <w:tcW w:w="7858" w:type="dxa"/>
            <w:vAlign w:val="center"/>
          </w:tcPr>
          <w:p w14:paraId="6DBADCAB" w14:textId="77777777" w:rsidR="00285173" w:rsidRPr="003649E0" w:rsidRDefault="00285173" w:rsidP="003649E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r>
      <w:tr w:rsidR="00285173" w:rsidRPr="003A2BCA" w14:paraId="3642858A" w14:textId="77777777" w:rsidTr="00B65EFF">
        <w:tc>
          <w:tcPr>
            <w:cnfStyle w:val="001000000000" w:firstRow="0" w:lastRow="0" w:firstColumn="1" w:lastColumn="0" w:oddVBand="0" w:evenVBand="0" w:oddHBand="0" w:evenHBand="0" w:firstRowFirstColumn="0" w:firstRowLastColumn="0" w:lastRowFirstColumn="0" w:lastRowLastColumn="0"/>
            <w:tcW w:w="1384" w:type="dxa"/>
            <w:vAlign w:val="center"/>
          </w:tcPr>
          <w:p w14:paraId="7326C7EE" w14:textId="77777777" w:rsidR="00285173" w:rsidRPr="003A2BCA" w:rsidRDefault="00285173" w:rsidP="003649E0">
            <w:pPr>
              <w:spacing w:line="276" w:lineRule="auto"/>
              <w:rPr>
                <w:lang w:val="en-US"/>
              </w:rPr>
            </w:pPr>
          </w:p>
        </w:tc>
        <w:tc>
          <w:tcPr>
            <w:tcW w:w="7858" w:type="dxa"/>
            <w:vAlign w:val="center"/>
          </w:tcPr>
          <w:p w14:paraId="31D0E734" w14:textId="77777777" w:rsidR="00285173" w:rsidRPr="003649E0" w:rsidRDefault="00285173" w:rsidP="003649E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r>
      <w:tr w:rsidR="00285173" w:rsidRPr="003A2BCA" w14:paraId="605A86AD" w14:textId="77777777" w:rsidTr="00B65EFF">
        <w:tc>
          <w:tcPr>
            <w:cnfStyle w:val="001000000000" w:firstRow="0" w:lastRow="0" w:firstColumn="1" w:lastColumn="0" w:oddVBand="0" w:evenVBand="0" w:oddHBand="0" w:evenHBand="0" w:firstRowFirstColumn="0" w:firstRowLastColumn="0" w:lastRowFirstColumn="0" w:lastRowLastColumn="0"/>
            <w:tcW w:w="1384" w:type="dxa"/>
            <w:vAlign w:val="center"/>
          </w:tcPr>
          <w:p w14:paraId="3109DC32" w14:textId="77777777" w:rsidR="00285173" w:rsidRPr="003A2BCA" w:rsidRDefault="00285173" w:rsidP="003649E0">
            <w:pPr>
              <w:spacing w:line="276" w:lineRule="auto"/>
              <w:rPr>
                <w:lang w:val="en-US"/>
              </w:rPr>
            </w:pPr>
          </w:p>
        </w:tc>
        <w:tc>
          <w:tcPr>
            <w:tcW w:w="7858" w:type="dxa"/>
            <w:vAlign w:val="center"/>
          </w:tcPr>
          <w:p w14:paraId="62513491" w14:textId="77777777" w:rsidR="00285173" w:rsidRPr="003649E0" w:rsidRDefault="00285173" w:rsidP="003649E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lang w:val="en-US"/>
              </w:rPr>
            </w:pPr>
          </w:p>
        </w:tc>
      </w:tr>
    </w:tbl>
    <w:p w14:paraId="0BED7930" w14:textId="77777777" w:rsidR="00285173" w:rsidRPr="003649E0" w:rsidRDefault="00285173" w:rsidP="003A2BCA">
      <w:pPr>
        <w:spacing w:after="120"/>
        <w:rPr>
          <w:rFonts w:asciiTheme="majorHAnsi" w:hAnsiTheme="majorHAnsi"/>
          <w:lang w:val="en-US"/>
        </w:rPr>
      </w:pPr>
    </w:p>
    <w:p w14:paraId="304ECDDA" w14:textId="77777777" w:rsidR="00960CD5" w:rsidRPr="003A2BCA" w:rsidRDefault="00960CD5" w:rsidP="003A2BCA">
      <w:pPr>
        <w:pStyle w:val="Heading1"/>
        <w:numPr>
          <w:ilvl w:val="0"/>
          <w:numId w:val="0"/>
        </w:numPr>
        <w:spacing w:before="0" w:after="120"/>
      </w:pPr>
    </w:p>
    <w:sectPr w:rsidR="00960CD5" w:rsidRPr="003A2BC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0B20A" w14:textId="77777777" w:rsidR="00295425" w:rsidRDefault="00295425" w:rsidP="001A3992">
      <w:pPr>
        <w:spacing w:after="0" w:line="240" w:lineRule="auto"/>
      </w:pPr>
      <w:r>
        <w:separator/>
      </w:r>
    </w:p>
  </w:endnote>
  <w:endnote w:type="continuationSeparator" w:id="0">
    <w:p w14:paraId="2A8AD4A9" w14:textId="77777777" w:rsidR="00295425" w:rsidRDefault="00295425" w:rsidP="001A3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B2AC" w14:textId="082DB578" w:rsidR="00A508FE" w:rsidRDefault="00A508FE">
    <w:pPr>
      <w:pStyle w:val="Footer"/>
    </w:pPr>
    <w:r>
      <w:rPr>
        <w:noProof/>
      </w:rPr>
      <mc:AlternateContent>
        <mc:Choice Requires="wps">
          <w:drawing>
            <wp:anchor distT="0" distB="0" distL="0" distR="0" simplePos="0" relativeHeight="251662336" behindDoc="0" locked="0" layoutInCell="1" allowOverlap="1" wp14:anchorId="5C9775EA" wp14:editId="70795691">
              <wp:simplePos x="635" y="635"/>
              <wp:positionH relativeFrom="page">
                <wp:align>center</wp:align>
              </wp:positionH>
              <wp:positionV relativeFrom="page">
                <wp:align>bottom</wp:align>
              </wp:positionV>
              <wp:extent cx="622300" cy="404495"/>
              <wp:effectExtent l="0" t="0" r="6350" b="0"/>
              <wp:wrapNone/>
              <wp:docPr id="165688951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CC6EBC5" w14:textId="664FAA2C"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9775EA" id="_x0000_t202" coordsize="21600,21600" o:spt="202" path="m,l,21600r21600,l21600,xe">
              <v:stroke joinstyle="miter"/>
              <v:path gradientshapeok="t" o:connecttype="rect"/>
            </v:shapetype>
            <v:shape id="Text Box 6" o:spid="_x0000_s1029" type="#_x0000_t202" alt="OFFICIAL" style="position:absolute;margin-left:0;margin-top:0;width:49pt;height:31.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" filled="f" stroked="f">
              <v:textbox style="mso-fit-shape-to-text:t" inset="0,0,0,15pt">
                <w:txbxContent>
                  <w:p w14:paraId="2CC6EBC5" w14:textId="664FAA2C"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D16A" w14:textId="2C7B1DDE" w:rsidR="00E3118A" w:rsidRPr="00B8074A" w:rsidRDefault="00A508FE" w:rsidP="00B65EFF">
    <w:pPr>
      <w:pStyle w:val="Footer"/>
      <w:jc w:val="right"/>
      <w:rPr>
        <w:sz w:val="20"/>
      </w:rPr>
    </w:pPr>
    <w:r>
      <w:rPr>
        <w:noProof/>
      </w:rPr>
      <mc:AlternateContent>
        <mc:Choice Requires="wps">
          <w:drawing>
            <wp:anchor distT="0" distB="0" distL="0" distR="0" simplePos="0" relativeHeight="251663360" behindDoc="0" locked="0" layoutInCell="1" allowOverlap="1" wp14:anchorId="0A35876C" wp14:editId="0AB20385">
              <wp:simplePos x="914400" y="10096500"/>
              <wp:positionH relativeFrom="page">
                <wp:align>center</wp:align>
              </wp:positionH>
              <wp:positionV relativeFrom="page">
                <wp:align>bottom</wp:align>
              </wp:positionV>
              <wp:extent cx="622300" cy="404495"/>
              <wp:effectExtent l="0" t="0" r="6350" b="0"/>
              <wp:wrapNone/>
              <wp:docPr id="8987284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58841242" w14:textId="5DBD44D2"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35876C"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31.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58841242" w14:textId="5DBD44D2"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v:textbox>
              <w10:wrap anchorx="page" anchory="page"/>
            </v:shape>
          </w:pict>
        </mc:Fallback>
      </mc:AlternateContent>
    </w:r>
    <w:sdt>
      <w:sdtPr>
        <w:id w:val="-593163430"/>
        <w:docPartObj>
          <w:docPartGallery w:val="Page Numbers (Bottom of Page)"/>
          <w:docPartUnique/>
        </w:docPartObj>
      </w:sdtPr>
      <w:sdtEndPr>
        <w:rPr>
          <w:noProof/>
          <w:sz w:val="20"/>
          <w:szCs w:val="20"/>
        </w:rPr>
      </w:sdtEndPr>
      <w:sdtContent>
        <w:r w:rsidR="00431ACD" w:rsidRPr="00B8074A">
          <w:rPr>
            <w:sz w:val="20"/>
          </w:rPr>
          <w:fldChar w:fldCharType="begin"/>
        </w:r>
        <w:r w:rsidR="00431ACD" w:rsidRPr="00B8074A">
          <w:rPr>
            <w:sz w:val="20"/>
          </w:rPr>
          <w:instrText xml:space="preserve"> PAGE   \* MERGEFORMAT </w:instrText>
        </w:r>
        <w:r w:rsidR="00431ACD" w:rsidRPr="00B8074A">
          <w:rPr>
            <w:sz w:val="20"/>
          </w:rPr>
          <w:fldChar w:fldCharType="separate"/>
        </w:r>
        <w:r w:rsidR="0021200F">
          <w:rPr>
            <w:noProof/>
            <w:sz w:val="20"/>
          </w:rPr>
          <w:t>1</w:t>
        </w:r>
        <w:r w:rsidR="00431ACD" w:rsidRPr="00B8074A">
          <w:rPr>
            <w:noProof/>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651D" w14:textId="0CD05D08" w:rsidR="00A508FE" w:rsidRDefault="00A508FE">
    <w:pPr>
      <w:pStyle w:val="Footer"/>
    </w:pPr>
    <w:r>
      <w:rPr>
        <w:noProof/>
      </w:rPr>
      <mc:AlternateContent>
        <mc:Choice Requires="wps">
          <w:drawing>
            <wp:anchor distT="0" distB="0" distL="0" distR="0" simplePos="0" relativeHeight="251661312" behindDoc="0" locked="0" layoutInCell="1" allowOverlap="1" wp14:anchorId="308DBAFF" wp14:editId="308123FC">
              <wp:simplePos x="635" y="635"/>
              <wp:positionH relativeFrom="page">
                <wp:align>center</wp:align>
              </wp:positionH>
              <wp:positionV relativeFrom="page">
                <wp:align>bottom</wp:align>
              </wp:positionV>
              <wp:extent cx="622300" cy="404495"/>
              <wp:effectExtent l="0" t="0" r="6350" b="0"/>
              <wp:wrapNone/>
              <wp:docPr id="187692240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EF0C7F2" w14:textId="163351E7"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8DBAFF" id="_x0000_t202" coordsize="21600,21600" o:spt="202" path="m,l,21600r21600,l21600,xe">
              <v:stroke joinstyle="miter"/>
              <v:path gradientshapeok="t" o:connecttype="rect"/>
            </v:shapetype>
            <v:shape id="Text Box 5" o:spid="_x0000_s1032" type="#_x0000_t202" alt="OFFICIAL" style="position:absolute;margin-left:0;margin-top:0;width:49pt;height:31.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CzLvpgwCAAAcBAAA&#10;DgAAAAAAAAAAAAAAAAAuAgAAZHJzL2Uyb0RvYy54bWxQSwECLQAUAAYACAAAACEAVqe4ytoAAAAD&#10;AQAADwAAAAAAAAAAAAAAAABmBAAAZHJzL2Rvd25yZXYueG1sUEsFBgAAAAAEAAQA8wAAAG0FAAAA&#10;AA==&#10;" filled="f" stroked="f">
              <v:textbox style="mso-fit-shape-to-text:t" inset="0,0,0,15pt">
                <w:txbxContent>
                  <w:p w14:paraId="1EF0C7F2" w14:textId="163351E7"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BA273" w14:textId="77777777" w:rsidR="00295425" w:rsidRDefault="00295425" w:rsidP="001A3992">
      <w:pPr>
        <w:spacing w:after="0" w:line="240" w:lineRule="auto"/>
      </w:pPr>
      <w:r>
        <w:separator/>
      </w:r>
    </w:p>
  </w:footnote>
  <w:footnote w:type="continuationSeparator" w:id="0">
    <w:p w14:paraId="07F85857" w14:textId="77777777" w:rsidR="00295425" w:rsidRDefault="00295425" w:rsidP="001A3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BB3B" w14:textId="39981B6E" w:rsidR="00A508FE" w:rsidRDefault="00A508FE">
    <w:pPr>
      <w:pStyle w:val="Header"/>
    </w:pPr>
    <w:r>
      <w:rPr>
        <w:noProof/>
      </w:rPr>
      <mc:AlternateContent>
        <mc:Choice Requires="wps">
          <w:drawing>
            <wp:anchor distT="0" distB="0" distL="0" distR="0" simplePos="0" relativeHeight="251659264" behindDoc="0" locked="0" layoutInCell="1" allowOverlap="1" wp14:anchorId="1B6119B7" wp14:editId="5A25E92C">
              <wp:simplePos x="635" y="635"/>
              <wp:positionH relativeFrom="page">
                <wp:align>center</wp:align>
              </wp:positionH>
              <wp:positionV relativeFrom="page">
                <wp:align>top</wp:align>
              </wp:positionV>
              <wp:extent cx="622300" cy="404495"/>
              <wp:effectExtent l="0" t="0" r="6350" b="14605"/>
              <wp:wrapNone/>
              <wp:docPr id="18804688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4CABBDAB" w14:textId="73983251"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6119B7" id="_x0000_t202" coordsize="21600,21600" o:spt="202" path="m,l,21600r21600,l21600,xe">
              <v:stroke joinstyle="miter"/>
              <v:path gradientshapeok="t" o:connecttype="rect"/>
            </v:shapetype>
            <v:shape id="Text Box 3" o:spid="_x0000_s1027" type="#_x0000_t202" alt="OFFICIAL" style="position:absolute;margin-left:0;margin-top:0;width:49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4CABBDAB" w14:textId="73983251"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shd w:val="clear" w:color="auto" w:fill="E4F2E0"/>
      <w:tblLook w:val="04A0" w:firstRow="1" w:lastRow="0" w:firstColumn="1" w:lastColumn="0" w:noHBand="0" w:noVBand="1"/>
    </w:tblPr>
    <w:tblGrid>
      <w:gridCol w:w="9016"/>
    </w:tblGrid>
    <w:tr w:rsidR="00F07C52" w:rsidRPr="00F07C52" w14:paraId="6757D6F6" w14:textId="77777777" w:rsidTr="00F07C52">
      <w:trPr>
        <w:trHeight w:val="841"/>
      </w:trPr>
      <w:tc>
        <w:tcPr>
          <w:tcW w:w="9322" w:type="dxa"/>
          <w:shd w:val="clear" w:color="auto" w:fill="E4F2E0"/>
        </w:tcPr>
        <w:p w14:paraId="7AC4B4C5" w14:textId="77777777" w:rsidR="00F07C52" w:rsidRPr="00F07C52" w:rsidRDefault="00F07C52" w:rsidP="00F07C52">
          <w:pPr>
            <w:pStyle w:val="Footer"/>
            <w:rPr>
              <w:b/>
              <w:sz w:val="16"/>
              <w:szCs w:val="16"/>
            </w:rPr>
          </w:pPr>
          <w:bookmarkStart w:id="4" w:name="_Hlk109054010"/>
          <w:r w:rsidRPr="00F07C52">
            <w:rPr>
              <w:b/>
              <w:bCs/>
              <w:sz w:val="16"/>
              <w:szCs w:val="16"/>
            </w:rPr>
            <w:t xml:space="preserve">AusPAR - Zirdawny - donidalorsen – Otsuka Australia Pharmaceutical - PM-2025-02384-1-2 Final 14 August 2026. </w:t>
          </w:r>
          <w:r w:rsidRPr="00F07C52">
            <w:rPr>
              <w:b/>
              <w:sz w:val="16"/>
              <w:szCs w:val="16"/>
            </w:rPr>
            <w:t>This is the Product Information that was approved with the submission described in this AusPAR. It may have been superseded. For the most recent PI, please refer to the TGA website at &lt;</w:t>
          </w:r>
          <w:r w:rsidRPr="00F07C52">
            <w:rPr>
              <w:sz w:val="16"/>
              <w:szCs w:val="16"/>
            </w:rPr>
            <w:t xml:space="preserve"> </w:t>
          </w:r>
          <w:hyperlink r:id="rId1" w:history="1">
            <w:r w:rsidRPr="00F07C52">
              <w:rPr>
                <w:rStyle w:val="Hyperlink"/>
                <w:sz w:val="16"/>
                <w:szCs w:val="16"/>
              </w:rPr>
              <w:t>https://www.tga.gov.au/products/australian-register-therapeutic-goods-artg/product-information-pi</w:t>
            </w:r>
          </w:hyperlink>
          <w:r w:rsidRPr="00F07C52">
            <w:rPr>
              <w:b/>
              <w:sz w:val="16"/>
              <w:szCs w:val="16"/>
              <w:u w:val="single"/>
            </w:rPr>
            <w:t>&gt;</w:t>
          </w:r>
        </w:p>
      </w:tc>
    </w:tr>
  </w:tbl>
  <w:bookmarkEnd w:id="4"/>
  <w:p w14:paraId="226AE767" w14:textId="3AC0352C" w:rsidR="00A508FE" w:rsidRDefault="00A508FE">
    <w:pPr>
      <w:pStyle w:val="Header"/>
    </w:pPr>
    <w:r>
      <w:rPr>
        <w:noProof/>
      </w:rPr>
      <mc:AlternateContent>
        <mc:Choice Requires="wps">
          <w:drawing>
            <wp:anchor distT="0" distB="0" distL="0" distR="0" simplePos="0" relativeHeight="251660288" behindDoc="0" locked="0" layoutInCell="1" allowOverlap="1" wp14:anchorId="7BEEB8B1" wp14:editId="26212B66">
              <wp:simplePos x="914400" y="447675"/>
              <wp:positionH relativeFrom="page">
                <wp:align>center</wp:align>
              </wp:positionH>
              <wp:positionV relativeFrom="page">
                <wp:align>top</wp:align>
              </wp:positionV>
              <wp:extent cx="622300" cy="404495"/>
              <wp:effectExtent l="0" t="0" r="6350" b="14605"/>
              <wp:wrapNone/>
              <wp:docPr id="59158781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5CD3AE86" w14:textId="3FDB2591"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EEB8B1" id="_x0000_t202" coordsize="21600,21600" o:spt="202" path="m,l,21600r21600,l21600,xe">
              <v:stroke joinstyle="miter"/>
              <v:path gradientshapeok="t" o:connecttype="rect"/>
            </v:shapetype>
            <v:shape id="Text Box 4" o:spid="_x0000_s1028" type="#_x0000_t202" alt="OFFICIAL" style="position:absolute;margin-left:0;margin-top:0;width:49pt;height:31.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TkCw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" filled="f" stroked="f">
              <v:textbox style="mso-fit-shape-to-text:t" inset="0,15pt,0,0">
                <w:txbxContent>
                  <w:p w14:paraId="5CD3AE86" w14:textId="3FDB2591"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2774" w14:textId="23789834" w:rsidR="00A508FE" w:rsidRDefault="00A508FE">
    <w:pPr>
      <w:pStyle w:val="Header"/>
    </w:pPr>
    <w:r>
      <w:rPr>
        <w:noProof/>
      </w:rPr>
      <mc:AlternateContent>
        <mc:Choice Requires="wps">
          <w:drawing>
            <wp:anchor distT="0" distB="0" distL="0" distR="0" simplePos="0" relativeHeight="251658240" behindDoc="0" locked="0" layoutInCell="1" allowOverlap="1" wp14:anchorId="6473DA08" wp14:editId="45370C6D">
              <wp:simplePos x="635" y="635"/>
              <wp:positionH relativeFrom="page">
                <wp:align>center</wp:align>
              </wp:positionH>
              <wp:positionV relativeFrom="page">
                <wp:align>top</wp:align>
              </wp:positionV>
              <wp:extent cx="622300" cy="404495"/>
              <wp:effectExtent l="0" t="0" r="6350" b="14605"/>
              <wp:wrapNone/>
              <wp:docPr id="19022182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C485BF5" w14:textId="4EFC7715"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73DA08" id="_x0000_t202" coordsize="21600,21600" o:spt="202" path="m,l,21600r21600,l21600,xe">
              <v:stroke joinstyle="miter"/>
              <v:path gradientshapeok="t" o:connecttype="rect"/>
            </v:shapetype>
            <v:shape id="Text Box 2" o:spid="_x0000_s1031" type="#_x0000_t202" alt="OFFICIAL" style="position:absolute;margin-left:0;margin-top:0;width:49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v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D4SgwvDAIAABwEAAAO&#10;AAAAAAAAAAAAAAAAAC4CAABkcnMvZTJvRG9jLnhtbFBLAQItABQABgAIAAAAIQC1VGR12QAAAAMB&#10;AAAPAAAAAAAAAAAAAAAAAGYEAABkcnMvZG93bnJldi54bWxQSwUGAAAAAAQABADzAAAAbAUAAAAA&#10;" filled="f" stroked="f">
              <v:textbox style="mso-fit-shape-to-text:t" inset="0,15pt,0,0">
                <w:txbxContent>
                  <w:p w14:paraId="0C485BF5" w14:textId="4EFC7715" w:rsidR="00A508FE" w:rsidRPr="00A508FE" w:rsidRDefault="00A508FE" w:rsidP="00A508FE">
                    <w:pPr>
                      <w:spacing w:after="0"/>
                      <w:rPr>
                        <w:rFonts w:ascii="Aptos" w:eastAsia="Aptos" w:hAnsi="Aptos" w:cs="Aptos"/>
                        <w:noProof/>
                        <w:color w:val="FF0000"/>
                        <w:sz w:val="24"/>
                        <w:szCs w:val="24"/>
                      </w:rPr>
                    </w:pPr>
                    <w:r w:rsidRPr="00A508FE">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FA84354A">
      <w:start w:val="1"/>
      <w:numFmt w:val="bullet"/>
      <w:lvlText w:val=""/>
      <w:lvlJc w:val="left"/>
      <w:pPr>
        <w:tabs>
          <w:tab w:val="num" w:pos="360"/>
        </w:tabs>
        <w:ind w:left="360" w:hanging="360"/>
      </w:pPr>
      <w:rPr>
        <w:rFonts w:ascii="Symbol" w:hAnsi="Symbol" w:hint="default"/>
      </w:rPr>
    </w:lvl>
    <w:lvl w:ilvl="1" w:tplc="A7D41FAA" w:tentative="1">
      <w:start w:val="1"/>
      <w:numFmt w:val="bullet"/>
      <w:lvlText w:val="o"/>
      <w:lvlJc w:val="left"/>
      <w:pPr>
        <w:tabs>
          <w:tab w:val="num" w:pos="1080"/>
        </w:tabs>
        <w:ind w:left="1080" w:hanging="360"/>
      </w:pPr>
      <w:rPr>
        <w:rFonts w:ascii="Courier New" w:hAnsi="Courier New" w:cs="Courier New" w:hint="default"/>
      </w:rPr>
    </w:lvl>
    <w:lvl w:ilvl="2" w:tplc="2F2AAEE8" w:tentative="1">
      <w:start w:val="1"/>
      <w:numFmt w:val="bullet"/>
      <w:lvlText w:val=""/>
      <w:lvlJc w:val="left"/>
      <w:pPr>
        <w:tabs>
          <w:tab w:val="num" w:pos="1800"/>
        </w:tabs>
        <w:ind w:left="1800" w:hanging="360"/>
      </w:pPr>
      <w:rPr>
        <w:rFonts w:ascii="Wingdings" w:hAnsi="Wingdings" w:hint="default"/>
      </w:rPr>
    </w:lvl>
    <w:lvl w:ilvl="3" w:tplc="94B45724" w:tentative="1">
      <w:start w:val="1"/>
      <w:numFmt w:val="bullet"/>
      <w:lvlText w:val=""/>
      <w:lvlJc w:val="left"/>
      <w:pPr>
        <w:tabs>
          <w:tab w:val="num" w:pos="2520"/>
        </w:tabs>
        <w:ind w:left="2520" w:hanging="360"/>
      </w:pPr>
      <w:rPr>
        <w:rFonts w:ascii="Symbol" w:hAnsi="Symbol" w:hint="default"/>
      </w:rPr>
    </w:lvl>
    <w:lvl w:ilvl="4" w:tplc="78909622" w:tentative="1">
      <w:start w:val="1"/>
      <w:numFmt w:val="bullet"/>
      <w:lvlText w:val="o"/>
      <w:lvlJc w:val="left"/>
      <w:pPr>
        <w:tabs>
          <w:tab w:val="num" w:pos="3240"/>
        </w:tabs>
        <w:ind w:left="3240" w:hanging="360"/>
      </w:pPr>
      <w:rPr>
        <w:rFonts w:ascii="Courier New" w:hAnsi="Courier New" w:cs="Courier New" w:hint="default"/>
      </w:rPr>
    </w:lvl>
    <w:lvl w:ilvl="5" w:tplc="392CA5D8" w:tentative="1">
      <w:start w:val="1"/>
      <w:numFmt w:val="bullet"/>
      <w:lvlText w:val=""/>
      <w:lvlJc w:val="left"/>
      <w:pPr>
        <w:tabs>
          <w:tab w:val="num" w:pos="3960"/>
        </w:tabs>
        <w:ind w:left="3960" w:hanging="360"/>
      </w:pPr>
      <w:rPr>
        <w:rFonts w:ascii="Wingdings" w:hAnsi="Wingdings" w:hint="default"/>
      </w:rPr>
    </w:lvl>
    <w:lvl w:ilvl="6" w:tplc="EF703D6E" w:tentative="1">
      <w:start w:val="1"/>
      <w:numFmt w:val="bullet"/>
      <w:lvlText w:val=""/>
      <w:lvlJc w:val="left"/>
      <w:pPr>
        <w:tabs>
          <w:tab w:val="num" w:pos="4680"/>
        </w:tabs>
        <w:ind w:left="4680" w:hanging="360"/>
      </w:pPr>
      <w:rPr>
        <w:rFonts w:ascii="Symbol" w:hAnsi="Symbol" w:hint="default"/>
      </w:rPr>
    </w:lvl>
    <w:lvl w:ilvl="7" w:tplc="FFCAB018" w:tentative="1">
      <w:start w:val="1"/>
      <w:numFmt w:val="bullet"/>
      <w:lvlText w:val="o"/>
      <w:lvlJc w:val="left"/>
      <w:pPr>
        <w:tabs>
          <w:tab w:val="num" w:pos="5400"/>
        </w:tabs>
        <w:ind w:left="5400" w:hanging="360"/>
      </w:pPr>
      <w:rPr>
        <w:rFonts w:ascii="Courier New" w:hAnsi="Courier New" w:cs="Courier New" w:hint="default"/>
      </w:rPr>
    </w:lvl>
    <w:lvl w:ilvl="8" w:tplc="2CC610F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733F3E"/>
    <w:multiLevelType w:val="hybridMultilevel"/>
    <w:tmpl w:val="5AB64A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60C305A"/>
    <w:multiLevelType w:val="hybridMultilevel"/>
    <w:tmpl w:val="45568750"/>
    <w:lvl w:ilvl="0" w:tplc="6D4215CA">
      <w:start w:val="1"/>
      <w:numFmt w:val="bullet"/>
      <w:lvlText w:val=""/>
      <w:lvlJc w:val="left"/>
      <w:pPr>
        <w:ind w:left="360" w:hanging="360"/>
      </w:pPr>
      <w:rPr>
        <w:rFonts w:ascii="Symbol" w:hAnsi="Symbol" w:hint="default"/>
      </w:rPr>
    </w:lvl>
    <w:lvl w:ilvl="1" w:tplc="546288BC" w:tentative="1">
      <w:start w:val="1"/>
      <w:numFmt w:val="bullet"/>
      <w:lvlText w:val="o"/>
      <w:lvlJc w:val="left"/>
      <w:pPr>
        <w:ind w:left="1080" w:hanging="360"/>
      </w:pPr>
      <w:rPr>
        <w:rFonts w:ascii="Courier New" w:hAnsi="Courier New" w:cs="Courier New" w:hint="default"/>
      </w:rPr>
    </w:lvl>
    <w:lvl w:ilvl="2" w:tplc="1A6E69CC" w:tentative="1">
      <w:start w:val="1"/>
      <w:numFmt w:val="bullet"/>
      <w:lvlText w:val=""/>
      <w:lvlJc w:val="left"/>
      <w:pPr>
        <w:ind w:left="1800" w:hanging="360"/>
      </w:pPr>
      <w:rPr>
        <w:rFonts w:ascii="Wingdings" w:hAnsi="Wingdings" w:hint="default"/>
      </w:rPr>
    </w:lvl>
    <w:lvl w:ilvl="3" w:tplc="52B673E4" w:tentative="1">
      <w:start w:val="1"/>
      <w:numFmt w:val="bullet"/>
      <w:lvlText w:val=""/>
      <w:lvlJc w:val="left"/>
      <w:pPr>
        <w:ind w:left="2520" w:hanging="360"/>
      </w:pPr>
      <w:rPr>
        <w:rFonts w:ascii="Symbol" w:hAnsi="Symbol" w:hint="default"/>
      </w:rPr>
    </w:lvl>
    <w:lvl w:ilvl="4" w:tplc="545E0588" w:tentative="1">
      <w:start w:val="1"/>
      <w:numFmt w:val="bullet"/>
      <w:lvlText w:val="o"/>
      <w:lvlJc w:val="left"/>
      <w:pPr>
        <w:ind w:left="3240" w:hanging="360"/>
      </w:pPr>
      <w:rPr>
        <w:rFonts w:ascii="Courier New" w:hAnsi="Courier New" w:cs="Courier New" w:hint="default"/>
      </w:rPr>
    </w:lvl>
    <w:lvl w:ilvl="5" w:tplc="A8041C4C" w:tentative="1">
      <w:start w:val="1"/>
      <w:numFmt w:val="bullet"/>
      <w:lvlText w:val=""/>
      <w:lvlJc w:val="left"/>
      <w:pPr>
        <w:ind w:left="3960" w:hanging="360"/>
      </w:pPr>
      <w:rPr>
        <w:rFonts w:ascii="Wingdings" w:hAnsi="Wingdings" w:hint="default"/>
      </w:rPr>
    </w:lvl>
    <w:lvl w:ilvl="6" w:tplc="18387DB2" w:tentative="1">
      <w:start w:val="1"/>
      <w:numFmt w:val="bullet"/>
      <w:lvlText w:val=""/>
      <w:lvlJc w:val="left"/>
      <w:pPr>
        <w:ind w:left="4680" w:hanging="360"/>
      </w:pPr>
      <w:rPr>
        <w:rFonts w:ascii="Symbol" w:hAnsi="Symbol" w:hint="default"/>
      </w:rPr>
    </w:lvl>
    <w:lvl w:ilvl="7" w:tplc="B76A167E" w:tentative="1">
      <w:start w:val="1"/>
      <w:numFmt w:val="bullet"/>
      <w:lvlText w:val="o"/>
      <w:lvlJc w:val="left"/>
      <w:pPr>
        <w:ind w:left="5400" w:hanging="360"/>
      </w:pPr>
      <w:rPr>
        <w:rFonts w:ascii="Courier New" w:hAnsi="Courier New" w:cs="Courier New" w:hint="default"/>
      </w:rPr>
    </w:lvl>
    <w:lvl w:ilvl="8" w:tplc="5D26ED1E" w:tentative="1">
      <w:start w:val="1"/>
      <w:numFmt w:val="bullet"/>
      <w:lvlText w:val=""/>
      <w:lvlJc w:val="left"/>
      <w:pPr>
        <w:ind w:left="6120" w:hanging="360"/>
      </w:pPr>
      <w:rPr>
        <w:rFonts w:ascii="Wingdings" w:hAnsi="Wingdings" w:hint="default"/>
      </w:rPr>
    </w:lvl>
  </w:abstractNum>
  <w:abstractNum w:abstractNumId="5" w15:restartNumberingAfterBreak="0">
    <w:nsid w:val="09C44CC1"/>
    <w:multiLevelType w:val="hybridMultilevel"/>
    <w:tmpl w:val="7FF2C56E"/>
    <w:lvl w:ilvl="0" w:tplc="D05E45C8">
      <w:start w:val="1"/>
      <w:numFmt w:val="bullet"/>
      <w:lvlText w:val=""/>
      <w:lvlJc w:val="left"/>
      <w:pPr>
        <w:tabs>
          <w:tab w:val="num" w:pos="720"/>
        </w:tabs>
        <w:ind w:left="720" w:hanging="360"/>
      </w:pPr>
      <w:rPr>
        <w:rFonts w:ascii="Symbol" w:hAnsi="Symbol" w:hint="default"/>
      </w:rPr>
    </w:lvl>
    <w:lvl w:ilvl="1" w:tplc="6B4016F6" w:tentative="1">
      <w:start w:val="1"/>
      <w:numFmt w:val="bullet"/>
      <w:lvlText w:val="o"/>
      <w:lvlJc w:val="left"/>
      <w:pPr>
        <w:tabs>
          <w:tab w:val="num" w:pos="1440"/>
        </w:tabs>
        <w:ind w:left="1440" w:hanging="360"/>
      </w:pPr>
      <w:rPr>
        <w:rFonts w:ascii="Courier New" w:hAnsi="Courier New" w:cs="Courier New" w:hint="default"/>
      </w:rPr>
    </w:lvl>
    <w:lvl w:ilvl="2" w:tplc="48FC55F6" w:tentative="1">
      <w:start w:val="1"/>
      <w:numFmt w:val="bullet"/>
      <w:lvlText w:val=""/>
      <w:lvlJc w:val="left"/>
      <w:pPr>
        <w:tabs>
          <w:tab w:val="num" w:pos="2160"/>
        </w:tabs>
        <w:ind w:left="2160" w:hanging="360"/>
      </w:pPr>
      <w:rPr>
        <w:rFonts w:ascii="Wingdings" w:hAnsi="Wingdings" w:hint="default"/>
      </w:rPr>
    </w:lvl>
    <w:lvl w:ilvl="3" w:tplc="1242D818" w:tentative="1">
      <w:start w:val="1"/>
      <w:numFmt w:val="bullet"/>
      <w:lvlText w:val=""/>
      <w:lvlJc w:val="left"/>
      <w:pPr>
        <w:tabs>
          <w:tab w:val="num" w:pos="2880"/>
        </w:tabs>
        <w:ind w:left="2880" w:hanging="360"/>
      </w:pPr>
      <w:rPr>
        <w:rFonts w:ascii="Symbol" w:hAnsi="Symbol" w:hint="default"/>
      </w:rPr>
    </w:lvl>
    <w:lvl w:ilvl="4" w:tplc="87D6B0B2" w:tentative="1">
      <w:start w:val="1"/>
      <w:numFmt w:val="bullet"/>
      <w:lvlText w:val="o"/>
      <w:lvlJc w:val="left"/>
      <w:pPr>
        <w:tabs>
          <w:tab w:val="num" w:pos="3600"/>
        </w:tabs>
        <w:ind w:left="3600" w:hanging="360"/>
      </w:pPr>
      <w:rPr>
        <w:rFonts w:ascii="Courier New" w:hAnsi="Courier New" w:cs="Courier New" w:hint="default"/>
      </w:rPr>
    </w:lvl>
    <w:lvl w:ilvl="5" w:tplc="2A7E93FE" w:tentative="1">
      <w:start w:val="1"/>
      <w:numFmt w:val="bullet"/>
      <w:lvlText w:val=""/>
      <w:lvlJc w:val="left"/>
      <w:pPr>
        <w:tabs>
          <w:tab w:val="num" w:pos="4320"/>
        </w:tabs>
        <w:ind w:left="4320" w:hanging="360"/>
      </w:pPr>
      <w:rPr>
        <w:rFonts w:ascii="Wingdings" w:hAnsi="Wingdings" w:hint="default"/>
      </w:rPr>
    </w:lvl>
    <w:lvl w:ilvl="6" w:tplc="0BAAB3A8" w:tentative="1">
      <w:start w:val="1"/>
      <w:numFmt w:val="bullet"/>
      <w:lvlText w:val=""/>
      <w:lvlJc w:val="left"/>
      <w:pPr>
        <w:tabs>
          <w:tab w:val="num" w:pos="5040"/>
        </w:tabs>
        <w:ind w:left="5040" w:hanging="360"/>
      </w:pPr>
      <w:rPr>
        <w:rFonts w:ascii="Symbol" w:hAnsi="Symbol" w:hint="default"/>
      </w:rPr>
    </w:lvl>
    <w:lvl w:ilvl="7" w:tplc="D11CCB0A" w:tentative="1">
      <w:start w:val="1"/>
      <w:numFmt w:val="bullet"/>
      <w:lvlText w:val="o"/>
      <w:lvlJc w:val="left"/>
      <w:pPr>
        <w:tabs>
          <w:tab w:val="num" w:pos="5760"/>
        </w:tabs>
        <w:ind w:left="5760" w:hanging="360"/>
      </w:pPr>
      <w:rPr>
        <w:rFonts w:ascii="Courier New" w:hAnsi="Courier New" w:cs="Courier New" w:hint="default"/>
      </w:rPr>
    </w:lvl>
    <w:lvl w:ilvl="8" w:tplc="D430E36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7660B4"/>
    <w:multiLevelType w:val="hybridMultilevel"/>
    <w:tmpl w:val="87043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C66B1D"/>
    <w:multiLevelType w:val="hybridMultilevel"/>
    <w:tmpl w:val="4B22D99A"/>
    <w:lvl w:ilvl="0" w:tplc="93E2E76A">
      <w:numFmt w:val="bullet"/>
      <w:lvlText w:val="•"/>
      <w:lvlJc w:val="left"/>
      <w:pPr>
        <w:ind w:left="930" w:hanging="57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E9025D"/>
    <w:multiLevelType w:val="hybridMultilevel"/>
    <w:tmpl w:val="B6B00176"/>
    <w:lvl w:ilvl="0" w:tplc="4CD4DE54">
      <w:numFmt w:val="bullet"/>
      <w:lvlText w:val="•"/>
      <w:lvlJc w:val="left"/>
      <w:pPr>
        <w:ind w:left="1080" w:hanging="720"/>
      </w:pPr>
      <w:rPr>
        <w:rFonts w:ascii="Cambria" w:eastAsiaTheme="minorHAnsi" w:hAnsi="Cambria"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E97CC9"/>
    <w:multiLevelType w:val="hybridMultilevel"/>
    <w:tmpl w:val="F048B562"/>
    <w:lvl w:ilvl="0" w:tplc="7E84162C">
      <w:start w:val="1"/>
      <w:numFmt w:val="bullet"/>
      <w:lvlText w:val=""/>
      <w:lvlJc w:val="left"/>
      <w:pPr>
        <w:ind w:left="720" w:hanging="360"/>
      </w:pPr>
      <w:rPr>
        <w:rFonts w:ascii="Symbol" w:hAnsi="Symbol" w:hint="default"/>
      </w:rPr>
    </w:lvl>
    <w:lvl w:ilvl="1" w:tplc="19B4657A" w:tentative="1">
      <w:start w:val="1"/>
      <w:numFmt w:val="bullet"/>
      <w:lvlText w:val="o"/>
      <w:lvlJc w:val="left"/>
      <w:pPr>
        <w:ind w:left="1440" w:hanging="360"/>
      </w:pPr>
      <w:rPr>
        <w:rFonts w:ascii="Courier New" w:hAnsi="Courier New" w:cs="Courier New" w:hint="default"/>
      </w:rPr>
    </w:lvl>
    <w:lvl w:ilvl="2" w:tplc="8DF67942" w:tentative="1">
      <w:start w:val="1"/>
      <w:numFmt w:val="bullet"/>
      <w:lvlText w:val=""/>
      <w:lvlJc w:val="left"/>
      <w:pPr>
        <w:ind w:left="2160" w:hanging="360"/>
      </w:pPr>
      <w:rPr>
        <w:rFonts w:ascii="Wingdings" w:hAnsi="Wingdings" w:hint="default"/>
      </w:rPr>
    </w:lvl>
    <w:lvl w:ilvl="3" w:tplc="6BF8A9FC" w:tentative="1">
      <w:start w:val="1"/>
      <w:numFmt w:val="bullet"/>
      <w:lvlText w:val=""/>
      <w:lvlJc w:val="left"/>
      <w:pPr>
        <w:ind w:left="2880" w:hanging="360"/>
      </w:pPr>
      <w:rPr>
        <w:rFonts w:ascii="Symbol" w:hAnsi="Symbol" w:hint="default"/>
      </w:rPr>
    </w:lvl>
    <w:lvl w:ilvl="4" w:tplc="984659BC" w:tentative="1">
      <w:start w:val="1"/>
      <w:numFmt w:val="bullet"/>
      <w:lvlText w:val="o"/>
      <w:lvlJc w:val="left"/>
      <w:pPr>
        <w:ind w:left="3600" w:hanging="360"/>
      </w:pPr>
      <w:rPr>
        <w:rFonts w:ascii="Courier New" w:hAnsi="Courier New" w:cs="Courier New" w:hint="default"/>
      </w:rPr>
    </w:lvl>
    <w:lvl w:ilvl="5" w:tplc="E2EAC08A" w:tentative="1">
      <w:start w:val="1"/>
      <w:numFmt w:val="bullet"/>
      <w:lvlText w:val=""/>
      <w:lvlJc w:val="left"/>
      <w:pPr>
        <w:ind w:left="4320" w:hanging="360"/>
      </w:pPr>
      <w:rPr>
        <w:rFonts w:ascii="Wingdings" w:hAnsi="Wingdings" w:hint="default"/>
      </w:rPr>
    </w:lvl>
    <w:lvl w:ilvl="6" w:tplc="E162124E" w:tentative="1">
      <w:start w:val="1"/>
      <w:numFmt w:val="bullet"/>
      <w:lvlText w:val=""/>
      <w:lvlJc w:val="left"/>
      <w:pPr>
        <w:ind w:left="5040" w:hanging="360"/>
      </w:pPr>
      <w:rPr>
        <w:rFonts w:ascii="Symbol" w:hAnsi="Symbol" w:hint="default"/>
      </w:rPr>
    </w:lvl>
    <w:lvl w:ilvl="7" w:tplc="95CA008E" w:tentative="1">
      <w:start w:val="1"/>
      <w:numFmt w:val="bullet"/>
      <w:lvlText w:val="o"/>
      <w:lvlJc w:val="left"/>
      <w:pPr>
        <w:ind w:left="5760" w:hanging="360"/>
      </w:pPr>
      <w:rPr>
        <w:rFonts w:ascii="Courier New" w:hAnsi="Courier New" w:cs="Courier New" w:hint="default"/>
      </w:rPr>
    </w:lvl>
    <w:lvl w:ilvl="8" w:tplc="C10C683A" w:tentative="1">
      <w:start w:val="1"/>
      <w:numFmt w:val="bullet"/>
      <w:lvlText w:val=""/>
      <w:lvlJc w:val="left"/>
      <w:pPr>
        <w:ind w:left="6480" w:hanging="360"/>
      </w:pPr>
      <w:rPr>
        <w:rFonts w:ascii="Wingdings" w:hAnsi="Wingdings"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12C3B68"/>
    <w:multiLevelType w:val="hybridMultilevel"/>
    <w:tmpl w:val="7D6ACC82"/>
    <w:lvl w:ilvl="0" w:tplc="DF984B62">
      <w:start w:val="1"/>
      <w:numFmt w:val="bullet"/>
      <w:lvlText w:val=""/>
      <w:lvlJc w:val="left"/>
      <w:pPr>
        <w:ind w:left="360" w:hanging="360"/>
      </w:pPr>
      <w:rPr>
        <w:rFonts w:ascii="Symbol" w:hAnsi="Symbol" w:hint="default"/>
      </w:rPr>
    </w:lvl>
    <w:lvl w:ilvl="1" w:tplc="649ABFA4" w:tentative="1">
      <w:start w:val="1"/>
      <w:numFmt w:val="bullet"/>
      <w:lvlText w:val="o"/>
      <w:lvlJc w:val="left"/>
      <w:pPr>
        <w:ind w:left="1080" w:hanging="360"/>
      </w:pPr>
      <w:rPr>
        <w:rFonts w:ascii="Courier New" w:hAnsi="Courier New" w:cs="Courier New" w:hint="default"/>
      </w:rPr>
    </w:lvl>
    <w:lvl w:ilvl="2" w:tplc="9B408D2A" w:tentative="1">
      <w:start w:val="1"/>
      <w:numFmt w:val="bullet"/>
      <w:lvlText w:val=""/>
      <w:lvlJc w:val="left"/>
      <w:pPr>
        <w:ind w:left="1800" w:hanging="360"/>
      </w:pPr>
      <w:rPr>
        <w:rFonts w:ascii="Wingdings" w:hAnsi="Wingdings" w:hint="default"/>
      </w:rPr>
    </w:lvl>
    <w:lvl w:ilvl="3" w:tplc="1F1CEC66" w:tentative="1">
      <w:start w:val="1"/>
      <w:numFmt w:val="bullet"/>
      <w:lvlText w:val=""/>
      <w:lvlJc w:val="left"/>
      <w:pPr>
        <w:ind w:left="2520" w:hanging="360"/>
      </w:pPr>
      <w:rPr>
        <w:rFonts w:ascii="Symbol" w:hAnsi="Symbol" w:hint="default"/>
      </w:rPr>
    </w:lvl>
    <w:lvl w:ilvl="4" w:tplc="BE80D4F0" w:tentative="1">
      <w:start w:val="1"/>
      <w:numFmt w:val="bullet"/>
      <w:lvlText w:val="o"/>
      <w:lvlJc w:val="left"/>
      <w:pPr>
        <w:ind w:left="3240" w:hanging="360"/>
      </w:pPr>
      <w:rPr>
        <w:rFonts w:ascii="Courier New" w:hAnsi="Courier New" w:cs="Courier New" w:hint="default"/>
      </w:rPr>
    </w:lvl>
    <w:lvl w:ilvl="5" w:tplc="A742F9C2" w:tentative="1">
      <w:start w:val="1"/>
      <w:numFmt w:val="bullet"/>
      <w:lvlText w:val=""/>
      <w:lvlJc w:val="left"/>
      <w:pPr>
        <w:ind w:left="3960" w:hanging="360"/>
      </w:pPr>
      <w:rPr>
        <w:rFonts w:ascii="Wingdings" w:hAnsi="Wingdings" w:hint="default"/>
      </w:rPr>
    </w:lvl>
    <w:lvl w:ilvl="6" w:tplc="45A09AAC" w:tentative="1">
      <w:start w:val="1"/>
      <w:numFmt w:val="bullet"/>
      <w:lvlText w:val=""/>
      <w:lvlJc w:val="left"/>
      <w:pPr>
        <w:ind w:left="4680" w:hanging="360"/>
      </w:pPr>
      <w:rPr>
        <w:rFonts w:ascii="Symbol" w:hAnsi="Symbol" w:hint="default"/>
      </w:rPr>
    </w:lvl>
    <w:lvl w:ilvl="7" w:tplc="27A6871E" w:tentative="1">
      <w:start w:val="1"/>
      <w:numFmt w:val="bullet"/>
      <w:lvlText w:val="o"/>
      <w:lvlJc w:val="left"/>
      <w:pPr>
        <w:ind w:left="5400" w:hanging="360"/>
      </w:pPr>
      <w:rPr>
        <w:rFonts w:ascii="Courier New" w:hAnsi="Courier New" w:cs="Courier New" w:hint="default"/>
      </w:rPr>
    </w:lvl>
    <w:lvl w:ilvl="8" w:tplc="331033A8" w:tentative="1">
      <w:start w:val="1"/>
      <w:numFmt w:val="bullet"/>
      <w:lvlText w:val=""/>
      <w:lvlJc w:val="left"/>
      <w:pPr>
        <w:ind w:left="6120" w:hanging="360"/>
      </w:pPr>
      <w:rPr>
        <w:rFonts w:ascii="Wingdings" w:hAnsi="Wingdings" w:hint="default"/>
      </w:rPr>
    </w:lvl>
  </w:abstractNum>
  <w:abstractNum w:abstractNumId="12" w15:restartNumberingAfterBreak="0">
    <w:nsid w:val="24435439"/>
    <w:multiLevelType w:val="hybridMultilevel"/>
    <w:tmpl w:val="D23AB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35BD9"/>
    <w:multiLevelType w:val="hybridMultilevel"/>
    <w:tmpl w:val="DAD6C0E0"/>
    <w:lvl w:ilvl="0" w:tplc="17243272">
      <w:start w:val="1"/>
      <w:numFmt w:val="bullet"/>
      <w:lvlText w:val=""/>
      <w:lvlJc w:val="left"/>
      <w:pPr>
        <w:tabs>
          <w:tab w:val="num" w:pos="397"/>
        </w:tabs>
        <w:ind w:left="397" w:hanging="397"/>
      </w:pPr>
      <w:rPr>
        <w:rFonts w:ascii="Symbol" w:hAnsi="Symbol" w:hint="default"/>
      </w:rPr>
    </w:lvl>
    <w:lvl w:ilvl="1" w:tplc="869C9D06" w:tentative="1">
      <w:start w:val="1"/>
      <w:numFmt w:val="bullet"/>
      <w:lvlText w:val="o"/>
      <w:lvlJc w:val="left"/>
      <w:pPr>
        <w:tabs>
          <w:tab w:val="num" w:pos="1440"/>
        </w:tabs>
        <w:ind w:left="1440" w:hanging="360"/>
      </w:pPr>
      <w:rPr>
        <w:rFonts w:ascii="Courier New" w:hAnsi="Courier New" w:cs="Courier New" w:hint="default"/>
      </w:rPr>
    </w:lvl>
    <w:lvl w:ilvl="2" w:tplc="73E6C176" w:tentative="1">
      <w:start w:val="1"/>
      <w:numFmt w:val="bullet"/>
      <w:lvlText w:val=""/>
      <w:lvlJc w:val="left"/>
      <w:pPr>
        <w:tabs>
          <w:tab w:val="num" w:pos="2160"/>
        </w:tabs>
        <w:ind w:left="2160" w:hanging="360"/>
      </w:pPr>
      <w:rPr>
        <w:rFonts w:ascii="Wingdings" w:hAnsi="Wingdings" w:hint="default"/>
      </w:rPr>
    </w:lvl>
    <w:lvl w:ilvl="3" w:tplc="40D0D688" w:tentative="1">
      <w:start w:val="1"/>
      <w:numFmt w:val="bullet"/>
      <w:lvlText w:val=""/>
      <w:lvlJc w:val="left"/>
      <w:pPr>
        <w:tabs>
          <w:tab w:val="num" w:pos="2880"/>
        </w:tabs>
        <w:ind w:left="2880" w:hanging="360"/>
      </w:pPr>
      <w:rPr>
        <w:rFonts w:ascii="Symbol" w:hAnsi="Symbol" w:hint="default"/>
      </w:rPr>
    </w:lvl>
    <w:lvl w:ilvl="4" w:tplc="99F49642" w:tentative="1">
      <w:start w:val="1"/>
      <w:numFmt w:val="bullet"/>
      <w:lvlText w:val="o"/>
      <w:lvlJc w:val="left"/>
      <w:pPr>
        <w:tabs>
          <w:tab w:val="num" w:pos="3600"/>
        </w:tabs>
        <w:ind w:left="3600" w:hanging="360"/>
      </w:pPr>
      <w:rPr>
        <w:rFonts w:ascii="Courier New" w:hAnsi="Courier New" w:cs="Courier New" w:hint="default"/>
      </w:rPr>
    </w:lvl>
    <w:lvl w:ilvl="5" w:tplc="E3083DBC" w:tentative="1">
      <w:start w:val="1"/>
      <w:numFmt w:val="bullet"/>
      <w:lvlText w:val=""/>
      <w:lvlJc w:val="left"/>
      <w:pPr>
        <w:tabs>
          <w:tab w:val="num" w:pos="4320"/>
        </w:tabs>
        <w:ind w:left="4320" w:hanging="360"/>
      </w:pPr>
      <w:rPr>
        <w:rFonts w:ascii="Wingdings" w:hAnsi="Wingdings" w:hint="default"/>
      </w:rPr>
    </w:lvl>
    <w:lvl w:ilvl="6" w:tplc="D2C42B66" w:tentative="1">
      <w:start w:val="1"/>
      <w:numFmt w:val="bullet"/>
      <w:lvlText w:val=""/>
      <w:lvlJc w:val="left"/>
      <w:pPr>
        <w:tabs>
          <w:tab w:val="num" w:pos="5040"/>
        </w:tabs>
        <w:ind w:left="5040" w:hanging="360"/>
      </w:pPr>
      <w:rPr>
        <w:rFonts w:ascii="Symbol" w:hAnsi="Symbol" w:hint="default"/>
      </w:rPr>
    </w:lvl>
    <w:lvl w:ilvl="7" w:tplc="2C4260F8" w:tentative="1">
      <w:start w:val="1"/>
      <w:numFmt w:val="bullet"/>
      <w:lvlText w:val="o"/>
      <w:lvlJc w:val="left"/>
      <w:pPr>
        <w:tabs>
          <w:tab w:val="num" w:pos="5760"/>
        </w:tabs>
        <w:ind w:left="5760" w:hanging="360"/>
      </w:pPr>
      <w:rPr>
        <w:rFonts w:ascii="Courier New" w:hAnsi="Courier New" w:cs="Courier New" w:hint="default"/>
      </w:rPr>
    </w:lvl>
    <w:lvl w:ilvl="8" w:tplc="670E04C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28602F8C">
      <w:start w:val="1"/>
      <w:numFmt w:val="decimal"/>
      <w:lvlText w:val="%1."/>
      <w:lvlJc w:val="left"/>
      <w:pPr>
        <w:tabs>
          <w:tab w:val="num" w:pos="570"/>
        </w:tabs>
        <w:ind w:left="570" w:hanging="570"/>
      </w:pPr>
      <w:rPr>
        <w:rFonts w:hint="default"/>
      </w:rPr>
    </w:lvl>
    <w:lvl w:ilvl="1" w:tplc="8104E6B4" w:tentative="1">
      <w:start w:val="1"/>
      <w:numFmt w:val="lowerLetter"/>
      <w:lvlText w:val="%2."/>
      <w:lvlJc w:val="left"/>
      <w:pPr>
        <w:tabs>
          <w:tab w:val="num" w:pos="1080"/>
        </w:tabs>
        <w:ind w:left="1080" w:hanging="360"/>
      </w:pPr>
    </w:lvl>
    <w:lvl w:ilvl="2" w:tplc="45C2B6BA" w:tentative="1">
      <w:start w:val="1"/>
      <w:numFmt w:val="lowerRoman"/>
      <w:lvlText w:val="%3."/>
      <w:lvlJc w:val="right"/>
      <w:pPr>
        <w:tabs>
          <w:tab w:val="num" w:pos="1800"/>
        </w:tabs>
        <w:ind w:left="1800" w:hanging="180"/>
      </w:pPr>
    </w:lvl>
    <w:lvl w:ilvl="3" w:tplc="AD0ACF34" w:tentative="1">
      <w:start w:val="1"/>
      <w:numFmt w:val="decimal"/>
      <w:lvlText w:val="%4."/>
      <w:lvlJc w:val="left"/>
      <w:pPr>
        <w:tabs>
          <w:tab w:val="num" w:pos="2520"/>
        </w:tabs>
        <w:ind w:left="2520" w:hanging="360"/>
      </w:pPr>
    </w:lvl>
    <w:lvl w:ilvl="4" w:tplc="A3404CFA" w:tentative="1">
      <w:start w:val="1"/>
      <w:numFmt w:val="lowerLetter"/>
      <w:lvlText w:val="%5."/>
      <w:lvlJc w:val="left"/>
      <w:pPr>
        <w:tabs>
          <w:tab w:val="num" w:pos="3240"/>
        </w:tabs>
        <w:ind w:left="3240" w:hanging="360"/>
      </w:pPr>
    </w:lvl>
    <w:lvl w:ilvl="5" w:tplc="6BD06524" w:tentative="1">
      <w:start w:val="1"/>
      <w:numFmt w:val="lowerRoman"/>
      <w:lvlText w:val="%6."/>
      <w:lvlJc w:val="right"/>
      <w:pPr>
        <w:tabs>
          <w:tab w:val="num" w:pos="3960"/>
        </w:tabs>
        <w:ind w:left="3960" w:hanging="180"/>
      </w:pPr>
    </w:lvl>
    <w:lvl w:ilvl="6" w:tplc="7BE8FF12" w:tentative="1">
      <w:start w:val="1"/>
      <w:numFmt w:val="decimal"/>
      <w:lvlText w:val="%7."/>
      <w:lvlJc w:val="left"/>
      <w:pPr>
        <w:tabs>
          <w:tab w:val="num" w:pos="4680"/>
        </w:tabs>
        <w:ind w:left="4680" w:hanging="360"/>
      </w:pPr>
    </w:lvl>
    <w:lvl w:ilvl="7" w:tplc="FB3E19EC" w:tentative="1">
      <w:start w:val="1"/>
      <w:numFmt w:val="lowerLetter"/>
      <w:lvlText w:val="%8."/>
      <w:lvlJc w:val="left"/>
      <w:pPr>
        <w:tabs>
          <w:tab w:val="num" w:pos="5400"/>
        </w:tabs>
        <w:ind w:left="5400" w:hanging="360"/>
      </w:pPr>
    </w:lvl>
    <w:lvl w:ilvl="8" w:tplc="F5DCA12E" w:tentative="1">
      <w:start w:val="1"/>
      <w:numFmt w:val="lowerRoman"/>
      <w:lvlText w:val="%9."/>
      <w:lvlJc w:val="right"/>
      <w:pPr>
        <w:tabs>
          <w:tab w:val="num" w:pos="6120"/>
        </w:tabs>
        <w:ind w:left="6120" w:hanging="18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CE2EE8"/>
    <w:multiLevelType w:val="hybridMultilevel"/>
    <w:tmpl w:val="E04EA1CA"/>
    <w:lvl w:ilvl="0" w:tplc="3A7ABE0C">
      <w:start w:val="3"/>
      <w:numFmt w:val="lowerLetter"/>
      <w:lvlText w:val="%1)"/>
      <w:lvlJc w:val="left"/>
      <w:pPr>
        <w:ind w:left="360" w:hanging="360"/>
      </w:pPr>
      <w:rPr>
        <w:rFonts w:hint="default"/>
        <w:b/>
        <w:bCs/>
      </w:rPr>
    </w:lvl>
    <w:lvl w:ilvl="1" w:tplc="861E90E8" w:tentative="1">
      <w:start w:val="1"/>
      <w:numFmt w:val="lowerLetter"/>
      <w:lvlText w:val="%2."/>
      <w:lvlJc w:val="left"/>
      <w:pPr>
        <w:ind w:left="1080" w:hanging="360"/>
      </w:pPr>
    </w:lvl>
    <w:lvl w:ilvl="2" w:tplc="B76C5A0A" w:tentative="1">
      <w:start w:val="1"/>
      <w:numFmt w:val="lowerRoman"/>
      <w:lvlText w:val="%3."/>
      <w:lvlJc w:val="right"/>
      <w:pPr>
        <w:ind w:left="1800" w:hanging="180"/>
      </w:pPr>
    </w:lvl>
    <w:lvl w:ilvl="3" w:tplc="9A3EC2E8" w:tentative="1">
      <w:start w:val="1"/>
      <w:numFmt w:val="decimal"/>
      <w:lvlText w:val="%4."/>
      <w:lvlJc w:val="left"/>
      <w:pPr>
        <w:ind w:left="2520" w:hanging="360"/>
      </w:pPr>
    </w:lvl>
    <w:lvl w:ilvl="4" w:tplc="E73A4B1C" w:tentative="1">
      <w:start w:val="1"/>
      <w:numFmt w:val="lowerLetter"/>
      <w:lvlText w:val="%5."/>
      <w:lvlJc w:val="left"/>
      <w:pPr>
        <w:ind w:left="3240" w:hanging="360"/>
      </w:pPr>
    </w:lvl>
    <w:lvl w:ilvl="5" w:tplc="E1A8948C" w:tentative="1">
      <w:start w:val="1"/>
      <w:numFmt w:val="lowerRoman"/>
      <w:lvlText w:val="%6."/>
      <w:lvlJc w:val="right"/>
      <w:pPr>
        <w:ind w:left="3960" w:hanging="180"/>
      </w:pPr>
    </w:lvl>
    <w:lvl w:ilvl="6" w:tplc="4BBA8CB2" w:tentative="1">
      <w:start w:val="1"/>
      <w:numFmt w:val="decimal"/>
      <w:lvlText w:val="%7."/>
      <w:lvlJc w:val="left"/>
      <w:pPr>
        <w:ind w:left="4680" w:hanging="360"/>
      </w:pPr>
    </w:lvl>
    <w:lvl w:ilvl="7" w:tplc="2DE4E9EA" w:tentative="1">
      <w:start w:val="1"/>
      <w:numFmt w:val="lowerLetter"/>
      <w:lvlText w:val="%8."/>
      <w:lvlJc w:val="left"/>
      <w:pPr>
        <w:ind w:left="5400" w:hanging="360"/>
      </w:pPr>
    </w:lvl>
    <w:lvl w:ilvl="8" w:tplc="7084F6A0" w:tentative="1">
      <w:start w:val="1"/>
      <w:numFmt w:val="lowerRoman"/>
      <w:lvlText w:val="%9."/>
      <w:lvlJc w:val="right"/>
      <w:pPr>
        <w:ind w:left="6120" w:hanging="180"/>
      </w:pPr>
    </w:lvl>
  </w:abstractNum>
  <w:abstractNum w:abstractNumId="17" w15:restartNumberingAfterBreak="0">
    <w:nsid w:val="38EF70C7"/>
    <w:multiLevelType w:val="hybridMultilevel"/>
    <w:tmpl w:val="927AEDD2"/>
    <w:lvl w:ilvl="0" w:tplc="93E2E76A">
      <w:numFmt w:val="bullet"/>
      <w:lvlText w:val="•"/>
      <w:lvlJc w:val="left"/>
      <w:pPr>
        <w:ind w:left="1290" w:hanging="570"/>
      </w:pPr>
      <w:rPr>
        <w:rFonts w:ascii="Cambria" w:eastAsia="Times New Roman" w:hAnsi="Cambria"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A6F6A71"/>
    <w:multiLevelType w:val="hybridMultilevel"/>
    <w:tmpl w:val="5FF6F82A"/>
    <w:lvl w:ilvl="0" w:tplc="F0FC77B6">
      <w:start w:val="1"/>
      <w:numFmt w:val="bullet"/>
      <w:lvlText w:val=""/>
      <w:lvlJc w:val="left"/>
      <w:pPr>
        <w:ind w:left="720" w:hanging="360"/>
      </w:pPr>
      <w:rPr>
        <w:rFonts w:ascii="Symbol" w:hAnsi="Symbol" w:hint="default"/>
      </w:rPr>
    </w:lvl>
    <w:lvl w:ilvl="1" w:tplc="F0CA0576" w:tentative="1">
      <w:start w:val="1"/>
      <w:numFmt w:val="bullet"/>
      <w:lvlText w:val="o"/>
      <w:lvlJc w:val="left"/>
      <w:pPr>
        <w:ind w:left="1440" w:hanging="360"/>
      </w:pPr>
      <w:rPr>
        <w:rFonts w:ascii="Courier New" w:hAnsi="Courier New" w:cs="Courier New" w:hint="default"/>
      </w:rPr>
    </w:lvl>
    <w:lvl w:ilvl="2" w:tplc="C78E199A" w:tentative="1">
      <w:start w:val="1"/>
      <w:numFmt w:val="bullet"/>
      <w:lvlText w:val=""/>
      <w:lvlJc w:val="left"/>
      <w:pPr>
        <w:ind w:left="2160" w:hanging="360"/>
      </w:pPr>
      <w:rPr>
        <w:rFonts w:ascii="Wingdings" w:hAnsi="Wingdings" w:hint="default"/>
      </w:rPr>
    </w:lvl>
    <w:lvl w:ilvl="3" w:tplc="8B525AD0" w:tentative="1">
      <w:start w:val="1"/>
      <w:numFmt w:val="bullet"/>
      <w:lvlText w:val=""/>
      <w:lvlJc w:val="left"/>
      <w:pPr>
        <w:ind w:left="2880" w:hanging="360"/>
      </w:pPr>
      <w:rPr>
        <w:rFonts w:ascii="Symbol" w:hAnsi="Symbol" w:hint="default"/>
      </w:rPr>
    </w:lvl>
    <w:lvl w:ilvl="4" w:tplc="49B6415C" w:tentative="1">
      <w:start w:val="1"/>
      <w:numFmt w:val="bullet"/>
      <w:lvlText w:val="o"/>
      <w:lvlJc w:val="left"/>
      <w:pPr>
        <w:ind w:left="3600" w:hanging="360"/>
      </w:pPr>
      <w:rPr>
        <w:rFonts w:ascii="Courier New" w:hAnsi="Courier New" w:cs="Courier New" w:hint="default"/>
      </w:rPr>
    </w:lvl>
    <w:lvl w:ilvl="5" w:tplc="DE723B08" w:tentative="1">
      <w:start w:val="1"/>
      <w:numFmt w:val="bullet"/>
      <w:lvlText w:val=""/>
      <w:lvlJc w:val="left"/>
      <w:pPr>
        <w:ind w:left="4320" w:hanging="360"/>
      </w:pPr>
      <w:rPr>
        <w:rFonts w:ascii="Wingdings" w:hAnsi="Wingdings" w:hint="default"/>
      </w:rPr>
    </w:lvl>
    <w:lvl w:ilvl="6" w:tplc="1BF26CFC" w:tentative="1">
      <w:start w:val="1"/>
      <w:numFmt w:val="bullet"/>
      <w:lvlText w:val=""/>
      <w:lvlJc w:val="left"/>
      <w:pPr>
        <w:ind w:left="5040" w:hanging="360"/>
      </w:pPr>
      <w:rPr>
        <w:rFonts w:ascii="Symbol" w:hAnsi="Symbol" w:hint="default"/>
      </w:rPr>
    </w:lvl>
    <w:lvl w:ilvl="7" w:tplc="86120596" w:tentative="1">
      <w:start w:val="1"/>
      <w:numFmt w:val="bullet"/>
      <w:lvlText w:val="o"/>
      <w:lvlJc w:val="left"/>
      <w:pPr>
        <w:ind w:left="5760" w:hanging="360"/>
      </w:pPr>
      <w:rPr>
        <w:rFonts w:ascii="Courier New" w:hAnsi="Courier New" w:cs="Courier New" w:hint="default"/>
      </w:rPr>
    </w:lvl>
    <w:lvl w:ilvl="8" w:tplc="CC1A8098" w:tentative="1">
      <w:start w:val="1"/>
      <w:numFmt w:val="bullet"/>
      <w:lvlText w:val=""/>
      <w:lvlJc w:val="left"/>
      <w:pPr>
        <w:ind w:left="6480" w:hanging="360"/>
      </w:pPr>
      <w:rPr>
        <w:rFonts w:ascii="Wingdings" w:hAnsi="Wingdings" w:hint="default"/>
      </w:rPr>
    </w:lvl>
  </w:abstractNum>
  <w:abstractNum w:abstractNumId="19" w15:restartNumberingAfterBreak="0">
    <w:nsid w:val="3C1E0CF0"/>
    <w:multiLevelType w:val="hybridMultilevel"/>
    <w:tmpl w:val="A7BEA3AA"/>
    <w:lvl w:ilvl="0" w:tplc="7FA2C762">
      <w:start w:val="1"/>
      <w:numFmt w:val="bullet"/>
      <w:lvlText w:val=""/>
      <w:lvlJc w:val="left"/>
      <w:pPr>
        <w:ind w:left="360" w:hanging="360"/>
      </w:pPr>
      <w:rPr>
        <w:rFonts w:ascii="Symbol" w:hAnsi="Symbol" w:hint="default"/>
        <w:sz w:val="19"/>
      </w:rPr>
    </w:lvl>
    <w:lvl w:ilvl="1" w:tplc="A80680BE" w:tentative="1">
      <w:start w:val="1"/>
      <w:numFmt w:val="bullet"/>
      <w:lvlText w:val="o"/>
      <w:lvlJc w:val="left"/>
      <w:pPr>
        <w:ind w:left="1080" w:hanging="360"/>
      </w:pPr>
      <w:rPr>
        <w:rFonts w:ascii="Courier New" w:hAnsi="Courier New" w:cs="Courier New" w:hint="default"/>
      </w:rPr>
    </w:lvl>
    <w:lvl w:ilvl="2" w:tplc="74A8D54E" w:tentative="1">
      <w:start w:val="1"/>
      <w:numFmt w:val="bullet"/>
      <w:lvlText w:val=""/>
      <w:lvlJc w:val="left"/>
      <w:pPr>
        <w:ind w:left="1800" w:hanging="360"/>
      </w:pPr>
      <w:rPr>
        <w:rFonts w:ascii="Wingdings" w:hAnsi="Wingdings" w:hint="default"/>
      </w:rPr>
    </w:lvl>
    <w:lvl w:ilvl="3" w:tplc="CD606B66" w:tentative="1">
      <w:start w:val="1"/>
      <w:numFmt w:val="bullet"/>
      <w:lvlText w:val=""/>
      <w:lvlJc w:val="left"/>
      <w:pPr>
        <w:ind w:left="2520" w:hanging="360"/>
      </w:pPr>
      <w:rPr>
        <w:rFonts w:ascii="Symbol" w:hAnsi="Symbol" w:hint="default"/>
      </w:rPr>
    </w:lvl>
    <w:lvl w:ilvl="4" w:tplc="B56A4F2C" w:tentative="1">
      <w:start w:val="1"/>
      <w:numFmt w:val="bullet"/>
      <w:lvlText w:val="o"/>
      <w:lvlJc w:val="left"/>
      <w:pPr>
        <w:ind w:left="3240" w:hanging="360"/>
      </w:pPr>
      <w:rPr>
        <w:rFonts w:ascii="Courier New" w:hAnsi="Courier New" w:cs="Courier New" w:hint="default"/>
      </w:rPr>
    </w:lvl>
    <w:lvl w:ilvl="5" w:tplc="D3AABEA0" w:tentative="1">
      <w:start w:val="1"/>
      <w:numFmt w:val="bullet"/>
      <w:lvlText w:val=""/>
      <w:lvlJc w:val="left"/>
      <w:pPr>
        <w:ind w:left="3960" w:hanging="360"/>
      </w:pPr>
      <w:rPr>
        <w:rFonts w:ascii="Wingdings" w:hAnsi="Wingdings" w:hint="default"/>
      </w:rPr>
    </w:lvl>
    <w:lvl w:ilvl="6" w:tplc="838E7A9A" w:tentative="1">
      <w:start w:val="1"/>
      <w:numFmt w:val="bullet"/>
      <w:lvlText w:val=""/>
      <w:lvlJc w:val="left"/>
      <w:pPr>
        <w:ind w:left="4680" w:hanging="360"/>
      </w:pPr>
      <w:rPr>
        <w:rFonts w:ascii="Symbol" w:hAnsi="Symbol" w:hint="default"/>
      </w:rPr>
    </w:lvl>
    <w:lvl w:ilvl="7" w:tplc="CF5483F8" w:tentative="1">
      <w:start w:val="1"/>
      <w:numFmt w:val="bullet"/>
      <w:lvlText w:val="o"/>
      <w:lvlJc w:val="left"/>
      <w:pPr>
        <w:ind w:left="5400" w:hanging="360"/>
      </w:pPr>
      <w:rPr>
        <w:rFonts w:ascii="Courier New" w:hAnsi="Courier New" w:cs="Courier New" w:hint="default"/>
      </w:rPr>
    </w:lvl>
    <w:lvl w:ilvl="8" w:tplc="536CDEEA" w:tentative="1">
      <w:start w:val="1"/>
      <w:numFmt w:val="bullet"/>
      <w:lvlText w:val=""/>
      <w:lvlJc w:val="left"/>
      <w:pPr>
        <w:ind w:left="6120" w:hanging="360"/>
      </w:pPr>
      <w:rPr>
        <w:rFonts w:ascii="Wingdings" w:hAnsi="Wingdings" w:hint="default"/>
      </w:rPr>
    </w:lvl>
  </w:abstractNum>
  <w:abstractNum w:abstractNumId="20" w15:restartNumberingAfterBreak="0">
    <w:nsid w:val="3D912D94"/>
    <w:multiLevelType w:val="hybridMultilevel"/>
    <w:tmpl w:val="90241F44"/>
    <w:lvl w:ilvl="0" w:tplc="A670A4E2">
      <w:start w:val="1"/>
      <w:numFmt w:val="bullet"/>
      <w:lvlText w:val=""/>
      <w:lvlJc w:val="left"/>
      <w:pPr>
        <w:ind w:left="426" w:hanging="360"/>
      </w:pPr>
      <w:rPr>
        <w:rFonts w:ascii="Symbol" w:hAnsi="Symbol" w:hint="default"/>
      </w:rPr>
    </w:lvl>
    <w:lvl w:ilvl="1" w:tplc="0504D662" w:tentative="1">
      <w:start w:val="1"/>
      <w:numFmt w:val="bullet"/>
      <w:lvlText w:val="o"/>
      <w:lvlJc w:val="left"/>
      <w:pPr>
        <w:ind w:left="1146" w:hanging="360"/>
      </w:pPr>
      <w:rPr>
        <w:rFonts w:ascii="Courier New" w:hAnsi="Courier New" w:cs="Courier New" w:hint="default"/>
      </w:rPr>
    </w:lvl>
    <w:lvl w:ilvl="2" w:tplc="26503FD6" w:tentative="1">
      <w:start w:val="1"/>
      <w:numFmt w:val="bullet"/>
      <w:lvlText w:val=""/>
      <w:lvlJc w:val="left"/>
      <w:pPr>
        <w:ind w:left="1866" w:hanging="360"/>
      </w:pPr>
      <w:rPr>
        <w:rFonts w:ascii="Wingdings" w:hAnsi="Wingdings" w:hint="default"/>
      </w:rPr>
    </w:lvl>
    <w:lvl w:ilvl="3" w:tplc="75E8A0F4" w:tentative="1">
      <w:start w:val="1"/>
      <w:numFmt w:val="bullet"/>
      <w:lvlText w:val=""/>
      <w:lvlJc w:val="left"/>
      <w:pPr>
        <w:ind w:left="2586" w:hanging="360"/>
      </w:pPr>
      <w:rPr>
        <w:rFonts w:ascii="Symbol" w:hAnsi="Symbol" w:hint="default"/>
      </w:rPr>
    </w:lvl>
    <w:lvl w:ilvl="4" w:tplc="5C163408" w:tentative="1">
      <w:start w:val="1"/>
      <w:numFmt w:val="bullet"/>
      <w:lvlText w:val="o"/>
      <w:lvlJc w:val="left"/>
      <w:pPr>
        <w:ind w:left="3306" w:hanging="360"/>
      </w:pPr>
      <w:rPr>
        <w:rFonts w:ascii="Courier New" w:hAnsi="Courier New" w:cs="Courier New" w:hint="default"/>
      </w:rPr>
    </w:lvl>
    <w:lvl w:ilvl="5" w:tplc="70ACE250" w:tentative="1">
      <w:start w:val="1"/>
      <w:numFmt w:val="bullet"/>
      <w:lvlText w:val=""/>
      <w:lvlJc w:val="left"/>
      <w:pPr>
        <w:ind w:left="4026" w:hanging="360"/>
      </w:pPr>
      <w:rPr>
        <w:rFonts w:ascii="Wingdings" w:hAnsi="Wingdings" w:hint="default"/>
      </w:rPr>
    </w:lvl>
    <w:lvl w:ilvl="6" w:tplc="DBE461A4" w:tentative="1">
      <w:start w:val="1"/>
      <w:numFmt w:val="bullet"/>
      <w:lvlText w:val=""/>
      <w:lvlJc w:val="left"/>
      <w:pPr>
        <w:ind w:left="4746" w:hanging="360"/>
      </w:pPr>
      <w:rPr>
        <w:rFonts w:ascii="Symbol" w:hAnsi="Symbol" w:hint="default"/>
      </w:rPr>
    </w:lvl>
    <w:lvl w:ilvl="7" w:tplc="646044B4" w:tentative="1">
      <w:start w:val="1"/>
      <w:numFmt w:val="bullet"/>
      <w:lvlText w:val="o"/>
      <w:lvlJc w:val="left"/>
      <w:pPr>
        <w:ind w:left="5466" w:hanging="360"/>
      </w:pPr>
      <w:rPr>
        <w:rFonts w:ascii="Courier New" w:hAnsi="Courier New" w:cs="Courier New" w:hint="default"/>
      </w:rPr>
    </w:lvl>
    <w:lvl w:ilvl="8" w:tplc="1F241378" w:tentative="1">
      <w:start w:val="1"/>
      <w:numFmt w:val="bullet"/>
      <w:lvlText w:val=""/>
      <w:lvlJc w:val="left"/>
      <w:pPr>
        <w:ind w:left="6186" w:hanging="360"/>
      </w:pPr>
      <w:rPr>
        <w:rFonts w:ascii="Wingdings" w:hAnsi="Wingdings" w:hint="default"/>
      </w:rPr>
    </w:lvl>
  </w:abstractNum>
  <w:abstractNum w:abstractNumId="2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42A74BB4"/>
    <w:multiLevelType w:val="hybridMultilevel"/>
    <w:tmpl w:val="E77C09FC"/>
    <w:lvl w:ilvl="0" w:tplc="B4E43794">
      <w:start w:val="1"/>
      <w:numFmt w:val="bullet"/>
      <w:lvlText w:val=""/>
      <w:lvlJc w:val="left"/>
      <w:pPr>
        <w:ind w:left="720" w:hanging="360"/>
      </w:pPr>
      <w:rPr>
        <w:rFonts w:ascii="Symbol" w:hAnsi="Symbol" w:hint="default"/>
      </w:rPr>
    </w:lvl>
    <w:lvl w:ilvl="1" w:tplc="AFE0A224" w:tentative="1">
      <w:start w:val="1"/>
      <w:numFmt w:val="bullet"/>
      <w:lvlText w:val="o"/>
      <w:lvlJc w:val="left"/>
      <w:pPr>
        <w:ind w:left="1440" w:hanging="360"/>
      </w:pPr>
      <w:rPr>
        <w:rFonts w:ascii="Courier New" w:hAnsi="Courier New" w:cs="Courier New" w:hint="default"/>
      </w:rPr>
    </w:lvl>
    <w:lvl w:ilvl="2" w:tplc="E0FA8098" w:tentative="1">
      <w:start w:val="1"/>
      <w:numFmt w:val="bullet"/>
      <w:lvlText w:val=""/>
      <w:lvlJc w:val="left"/>
      <w:pPr>
        <w:ind w:left="2160" w:hanging="360"/>
      </w:pPr>
      <w:rPr>
        <w:rFonts w:ascii="Wingdings" w:hAnsi="Wingdings" w:hint="default"/>
      </w:rPr>
    </w:lvl>
    <w:lvl w:ilvl="3" w:tplc="B51EBAC6" w:tentative="1">
      <w:start w:val="1"/>
      <w:numFmt w:val="bullet"/>
      <w:lvlText w:val=""/>
      <w:lvlJc w:val="left"/>
      <w:pPr>
        <w:ind w:left="2880" w:hanging="360"/>
      </w:pPr>
      <w:rPr>
        <w:rFonts w:ascii="Symbol" w:hAnsi="Symbol" w:hint="default"/>
      </w:rPr>
    </w:lvl>
    <w:lvl w:ilvl="4" w:tplc="E7A65D7A" w:tentative="1">
      <w:start w:val="1"/>
      <w:numFmt w:val="bullet"/>
      <w:lvlText w:val="o"/>
      <w:lvlJc w:val="left"/>
      <w:pPr>
        <w:ind w:left="3600" w:hanging="360"/>
      </w:pPr>
      <w:rPr>
        <w:rFonts w:ascii="Courier New" w:hAnsi="Courier New" w:cs="Courier New" w:hint="default"/>
      </w:rPr>
    </w:lvl>
    <w:lvl w:ilvl="5" w:tplc="83CA744C" w:tentative="1">
      <w:start w:val="1"/>
      <w:numFmt w:val="bullet"/>
      <w:lvlText w:val=""/>
      <w:lvlJc w:val="left"/>
      <w:pPr>
        <w:ind w:left="4320" w:hanging="360"/>
      </w:pPr>
      <w:rPr>
        <w:rFonts w:ascii="Wingdings" w:hAnsi="Wingdings" w:hint="default"/>
      </w:rPr>
    </w:lvl>
    <w:lvl w:ilvl="6" w:tplc="EF50858E" w:tentative="1">
      <w:start w:val="1"/>
      <w:numFmt w:val="bullet"/>
      <w:lvlText w:val=""/>
      <w:lvlJc w:val="left"/>
      <w:pPr>
        <w:ind w:left="5040" w:hanging="360"/>
      </w:pPr>
      <w:rPr>
        <w:rFonts w:ascii="Symbol" w:hAnsi="Symbol" w:hint="default"/>
      </w:rPr>
    </w:lvl>
    <w:lvl w:ilvl="7" w:tplc="27207334" w:tentative="1">
      <w:start w:val="1"/>
      <w:numFmt w:val="bullet"/>
      <w:lvlText w:val="o"/>
      <w:lvlJc w:val="left"/>
      <w:pPr>
        <w:ind w:left="5760" w:hanging="360"/>
      </w:pPr>
      <w:rPr>
        <w:rFonts w:ascii="Courier New" w:hAnsi="Courier New" w:cs="Courier New" w:hint="default"/>
      </w:rPr>
    </w:lvl>
    <w:lvl w:ilvl="8" w:tplc="28B03992" w:tentative="1">
      <w:start w:val="1"/>
      <w:numFmt w:val="bullet"/>
      <w:lvlText w:val=""/>
      <w:lvlJc w:val="left"/>
      <w:pPr>
        <w:ind w:left="6480" w:hanging="360"/>
      </w:pPr>
      <w:rPr>
        <w:rFonts w:ascii="Wingdings" w:hAnsi="Wingdings" w:hint="default"/>
      </w:rPr>
    </w:lvl>
  </w:abstractNum>
  <w:abstractNum w:abstractNumId="23" w15:restartNumberingAfterBreak="0">
    <w:nsid w:val="44A64C3D"/>
    <w:multiLevelType w:val="hybridMultilevel"/>
    <w:tmpl w:val="1A580688"/>
    <w:lvl w:ilvl="0" w:tplc="9A460994">
      <w:start w:val="1"/>
      <w:numFmt w:val="bullet"/>
      <w:lvlText w:val=""/>
      <w:lvlJc w:val="left"/>
      <w:pPr>
        <w:ind w:left="720" w:hanging="360"/>
      </w:pPr>
      <w:rPr>
        <w:rFonts w:ascii="Symbol" w:hAnsi="Symbol" w:hint="default"/>
      </w:rPr>
    </w:lvl>
    <w:lvl w:ilvl="1" w:tplc="F808E968" w:tentative="1">
      <w:start w:val="1"/>
      <w:numFmt w:val="bullet"/>
      <w:lvlText w:val="o"/>
      <w:lvlJc w:val="left"/>
      <w:pPr>
        <w:ind w:left="1440" w:hanging="360"/>
      </w:pPr>
      <w:rPr>
        <w:rFonts w:ascii="Courier New" w:hAnsi="Courier New" w:cs="Courier New" w:hint="default"/>
      </w:rPr>
    </w:lvl>
    <w:lvl w:ilvl="2" w:tplc="E43E9AFE" w:tentative="1">
      <w:start w:val="1"/>
      <w:numFmt w:val="bullet"/>
      <w:lvlText w:val=""/>
      <w:lvlJc w:val="left"/>
      <w:pPr>
        <w:ind w:left="2160" w:hanging="360"/>
      </w:pPr>
      <w:rPr>
        <w:rFonts w:ascii="Wingdings" w:hAnsi="Wingdings" w:hint="default"/>
      </w:rPr>
    </w:lvl>
    <w:lvl w:ilvl="3" w:tplc="AA2A911C" w:tentative="1">
      <w:start w:val="1"/>
      <w:numFmt w:val="bullet"/>
      <w:lvlText w:val=""/>
      <w:lvlJc w:val="left"/>
      <w:pPr>
        <w:ind w:left="2880" w:hanging="360"/>
      </w:pPr>
      <w:rPr>
        <w:rFonts w:ascii="Symbol" w:hAnsi="Symbol" w:hint="default"/>
      </w:rPr>
    </w:lvl>
    <w:lvl w:ilvl="4" w:tplc="748EC734" w:tentative="1">
      <w:start w:val="1"/>
      <w:numFmt w:val="bullet"/>
      <w:lvlText w:val="o"/>
      <w:lvlJc w:val="left"/>
      <w:pPr>
        <w:ind w:left="3600" w:hanging="360"/>
      </w:pPr>
      <w:rPr>
        <w:rFonts w:ascii="Courier New" w:hAnsi="Courier New" w:cs="Courier New" w:hint="default"/>
      </w:rPr>
    </w:lvl>
    <w:lvl w:ilvl="5" w:tplc="87D44C1A" w:tentative="1">
      <w:start w:val="1"/>
      <w:numFmt w:val="bullet"/>
      <w:lvlText w:val=""/>
      <w:lvlJc w:val="left"/>
      <w:pPr>
        <w:ind w:left="4320" w:hanging="360"/>
      </w:pPr>
      <w:rPr>
        <w:rFonts w:ascii="Wingdings" w:hAnsi="Wingdings" w:hint="default"/>
      </w:rPr>
    </w:lvl>
    <w:lvl w:ilvl="6" w:tplc="E8AA77BA" w:tentative="1">
      <w:start w:val="1"/>
      <w:numFmt w:val="bullet"/>
      <w:lvlText w:val=""/>
      <w:lvlJc w:val="left"/>
      <w:pPr>
        <w:ind w:left="5040" w:hanging="360"/>
      </w:pPr>
      <w:rPr>
        <w:rFonts w:ascii="Symbol" w:hAnsi="Symbol" w:hint="default"/>
      </w:rPr>
    </w:lvl>
    <w:lvl w:ilvl="7" w:tplc="A92EFCF6" w:tentative="1">
      <w:start w:val="1"/>
      <w:numFmt w:val="bullet"/>
      <w:lvlText w:val="o"/>
      <w:lvlJc w:val="left"/>
      <w:pPr>
        <w:ind w:left="5760" w:hanging="360"/>
      </w:pPr>
      <w:rPr>
        <w:rFonts w:ascii="Courier New" w:hAnsi="Courier New" w:cs="Courier New" w:hint="default"/>
      </w:rPr>
    </w:lvl>
    <w:lvl w:ilvl="8" w:tplc="1248ABB6" w:tentative="1">
      <w:start w:val="1"/>
      <w:numFmt w:val="bullet"/>
      <w:lvlText w:val=""/>
      <w:lvlJc w:val="left"/>
      <w:pPr>
        <w:ind w:left="6480" w:hanging="360"/>
      </w:pPr>
      <w:rPr>
        <w:rFonts w:ascii="Wingdings" w:hAnsi="Wingdings"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29F6E55"/>
    <w:multiLevelType w:val="hybridMultilevel"/>
    <w:tmpl w:val="24B20406"/>
    <w:lvl w:ilvl="0" w:tplc="C0C615B6">
      <w:start w:val="1"/>
      <w:numFmt w:val="decimal"/>
      <w:lvlText w:val="%1)"/>
      <w:lvlJc w:val="left"/>
      <w:pPr>
        <w:ind w:left="720" w:hanging="360"/>
      </w:pPr>
    </w:lvl>
    <w:lvl w:ilvl="1" w:tplc="3A92744C">
      <w:start w:val="1"/>
      <w:numFmt w:val="decimal"/>
      <w:lvlText w:val="%2)"/>
      <w:lvlJc w:val="left"/>
      <w:pPr>
        <w:ind w:left="720" w:hanging="360"/>
      </w:pPr>
    </w:lvl>
    <w:lvl w:ilvl="2" w:tplc="25DE2AA4">
      <w:start w:val="1"/>
      <w:numFmt w:val="decimal"/>
      <w:lvlText w:val="%3)"/>
      <w:lvlJc w:val="left"/>
      <w:pPr>
        <w:ind w:left="720" w:hanging="360"/>
      </w:pPr>
    </w:lvl>
    <w:lvl w:ilvl="3" w:tplc="56BE3CAC">
      <w:start w:val="1"/>
      <w:numFmt w:val="decimal"/>
      <w:lvlText w:val="%4)"/>
      <w:lvlJc w:val="left"/>
      <w:pPr>
        <w:ind w:left="720" w:hanging="360"/>
      </w:pPr>
    </w:lvl>
    <w:lvl w:ilvl="4" w:tplc="1242F080">
      <w:start w:val="1"/>
      <w:numFmt w:val="decimal"/>
      <w:lvlText w:val="%5)"/>
      <w:lvlJc w:val="left"/>
      <w:pPr>
        <w:ind w:left="720" w:hanging="360"/>
      </w:pPr>
    </w:lvl>
    <w:lvl w:ilvl="5" w:tplc="E1EA559C">
      <w:start w:val="1"/>
      <w:numFmt w:val="decimal"/>
      <w:lvlText w:val="%6)"/>
      <w:lvlJc w:val="left"/>
      <w:pPr>
        <w:ind w:left="720" w:hanging="360"/>
      </w:pPr>
    </w:lvl>
    <w:lvl w:ilvl="6" w:tplc="DDCEBCA8">
      <w:start w:val="1"/>
      <w:numFmt w:val="decimal"/>
      <w:lvlText w:val="%7)"/>
      <w:lvlJc w:val="left"/>
      <w:pPr>
        <w:ind w:left="720" w:hanging="360"/>
      </w:pPr>
    </w:lvl>
    <w:lvl w:ilvl="7" w:tplc="FA8EC878">
      <w:start w:val="1"/>
      <w:numFmt w:val="decimal"/>
      <w:lvlText w:val="%8)"/>
      <w:lvlJc w:val="left"/>
      <w:pPr>
        <w:ind w:left="720" w:hanging="360"/>
      </w:pPr>
    </w:lvl>
    <w:lvl w:ilvl="8" w:tplc="57469D3A">
      <w:start w:val="1"/>
      <w:numFmt w:val="decimal"/>
      <w:lvlText w:val="%9)"/>
      <w:lvlJc w:val="left"/>
      <w:pPr>
        <w:ind w:left="720" w:hanging="360"/>
      </w:pPr>
    </w:lvl>
  </w:abstractNum>
  <w:abstractNum w:abstractNumId="26" w15:restartNumberingAfterBreak="0">
    <w:nsid w:val="53DF5C59"/>
    <w:multiLevelType w:val="hybridMultilevel"/>
    <w:tmpl w:val="FE06CFB6"/>
    <w:lvl w:ilvl="0" w:tplc="09EE6368">
      <w:start w:val="1"/>
      <w:numFmt w:val="decimal"/>
      <w:lvlText w:val="%1."/>
      <w:lvlJc w:val="left"/>
      <w:pPr>
        <w:ind w:left="1440" w:hanging="360"/>
      </w:pPr>
    </w:lvl>
    <w:lvl w:ilvl="1" w:tplc="E4A2B0D0">
      <w:start w:val="1"/>
      <w:numFmt w:val="decimal"/>
      <w:lvlText w:val="%2."/>
      <w:lvlJc w:val="left"/>
      <w:pPr>
        <w:ind w:left="1440" w:hanging="360"/>
      </w:pPr>
    </w:lvl>
    <w:lvl w:ilvl="2" w:tplc="D0C0D232">
      <w:start w:val="1"/>
      <w:numFmt w:val="decimal"/>
      <w:lvlText w:val="%3."/>
      <w:lvlJc w:val="left"/>
      <w:pPr>
        <w:ind w:left="1440" w:hanging="360"/>
      </w:pPr>
    </w:lvl>
    <w:lvl w:ilvl="3" w:tplc="5F46921C">
      <w:start w:val="1"/>
      <w:numFmt w:val="decimal"/>
      <w:lvlText w:val="%4."/>
      <w:lvlJc w:val="left"/>
      <w:pPr>
        <w:ind w:left="1440" w:hanging="360"/>
      </w:pPr>
    </w:lvl>
    <w:lvl w:ilvl="4" w:tplc="A1C0B66E">
      <w:start w:val="1"/>
      <w:numFmt w:val="decimal"/>
      <w:lvlText w:val="%5."/>
      <w:lvlJc w:val="left"/>
      <w:pPr>
        <w:ind w:left="1440" w:hanging="360"/>
      </w:pPr>
    </w:lvl>
    <w:lvl w:ilvl="5" w:tplc="1194DB32">
      <w:start w:val="1"/>
      <w:numFmt w:val="decimal"/>
      <w:lvlText w:val="%6."/>
      <w:lvlJc w:val="left"/>
      <w:pPr>
        <w:ind w:left="1440" w:hanging="360"/>
      </w:pPr>
    </w:lvl>
    <w:lvl w:ilvl="6" w:tplc="8F866FDE">
      <w:start w:val="1"/>
      <w:numFmt w:val="decimal"/>
      <w:lvlText w:val="%7."/>
      <w:lvlJc w:val="left"/>
      <w:pPr>
        <w:ind w:left="1440" w:hanging="360"/>
      </w:pPr>
    </w:lvl>
    <w:lvl w:ilvl="7" w:tplc="1E00651A">
      <w:start w:val="1"/>
      <w:numFmt w:val="decimal"/>
      <w:lvlText w:val="%8."/>
      <w:lvlJc w:val="left"/>
      <w:pPr>
        <w:ind w:left="1440" w:hanging="360"/>
      </w:pPr>
    </w:lvl>
    <w:lvl w:ilvl="8" w:tplc="00168256">
      <w:start w:val="1"/>
      <w:numFmt w:val="decimal"/>
      <w:lvlText w:val="%9."/>
      <w:lvlJc w:val="left"/>
      <w:pPr>
        <w:ind w:left="1440" w:hanging="360"/>
      </w:pPr>
    </w:lvl>
  </w:abstractNum>
  <w:abstractNum w:abstractNumId="27" w15:restartNumberingAfterBreak="0">
    <w:nsid w:val="5479797F"/>
    <w:multiLevelType w:val="hybridMultilevel"/>
    <w:tmpl w:val="5EF2DF0A"/>
    <w:lvl w:ilvl="0" w:tplc="4CD4DE54">
      <w:numFmt w:val="bullet"/>
      <w:lvlText w:val="•"/>
      <w:lvlJc w:val="left"/>
      <w:pPr>
        <w:ind w:left="1128" w:hanging="720"/>
      </w:pPr>
      <w:rPr>
        <w:rFonts w:ascii="Cambria" w:eastAsiaTheme="minorHAnsi" w:hAnsi="Cambria" w:cstheme="minorHAnsi"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57507084"/>
    <w:multiLevelType w:val="hybridMultilevel"/>
    <w:tmpl w:val="B91605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B56C73"/>
    <w:multiLevelType w:val="hybridMultilevel"/>
    <w:tmpl w:val="5BA42128"/>
    <w:lvl w:ilvl="0" w:tplc="501C96DC">
      <w:start w:val="2"/>
      <w:numFmt w:val="decimal"/>
      <w:lvlText w:val="%1."/>
      <w:lvlJc w:val="left"/>
      <w:pPr>
        <w:tabs>
          <w:tab w:val="num" w:pos="570"/>
        </w:tabs>
        <w:ind w:left="570" w:hanging="570"/>
      </w:pPr>
      <w:rPr>
        <w:rFonts w:hint="default"/>
      </w:rPr>
    </w:lvl>
    <w:lvl w:ilvl="1" w:tplc="008E9F68" w:tentative="1">
      <w:start w:val="1"/>
      <w:numFmt w:val="lowerLetter"/>
      <w:lvlText w:val="%2."/>
      <w:lvlJc w:val="left"/>
      <w:pPr>
        <w:tabs>
          <w:tab w:val="num" w:pos="1080"/>
        </w:tabs>
        <w:ind w:left="1080" w:hanging="360"/>
      </w:pPr>
    </w:lvl>
    <w:lvl w:ilvl="2" w:tplc="EBB2D1EC" w:tentative="1">
      <w:start w:val="1"/>
      <w:numFmt w:val="lowerRoman"/>
      <w:lvlText w:val="%3."/>
      <w:lvlJc w:val="right"/>
      <w:pPr>
        <w:tabs>
          <w:tab w:val="num" w:pos="1800"/>
        </w:tabs>
        <w:ind w:left="1800" w:hanging="180"/>
      </w:pPr>
    </w:lvl>
    <w:lvl w:ilvl="3" w:tplc="CBC4BCC8" w:tentative="1">
      <w:start w:val="1"/>
      <w:numFmt w:val="decimal"/>
      <w:lvlText w:val="%4."/>
      <w:lvlJc w:val="left"/>
      <w:pPr>
        <w:tabs>
          <w:tab w:val="num" w:pos="2520"/>
        </w:tabs>
        <w:ind w:left="2520" w:hanging="360"/>
      </w:pPr>
    </w:lvl>
    <w:lvl w:ilvl="4" w:tplc="D9FE83B6" w:tentative="1">
      <w:start w:val="1"/>
      <w:numFmt w:val="lowerLetter"/>
      <w:lvlText w:val="%5."/>
      <w:lvlJc w:val="left"/>
      <w:pPr>
        <w:tabs>
          <w:tab w:val="num" w:pos="3240"/>
        </w:tabs>
        <w:ind w:left="3240" w:hanging="360"/>
      </w:pPr>
    </w:lvl>
    <w:lvl w:ilvl="5" w:tplc="6A1E9FC0" w:tentative="1">
      <w:start w:val="1"/>
      <w:numFmt w:val="lowerRoman"/>
      <w:lvlText w:val="%6."/>
      <w:lvlJc w:val="right"/>
      <w:pPr>
        <w:tabs>
          <w:tab w:val="num" w:pos="3960"/>
        </w:tabs>
        <w:ind w:left="3960" w:hanging="180"/>
      </w:pPr>
    </w:lvl>
    <w:lvl w:ilvl="6" w:tplc="32BA8B4E" w:tentative="1">
      <w:start w:val="1"/>
      <w:numFmt w:val="decimal"/>
      <w:lvlText w:val="%7."/>
      <w:lvlJc w:val="left"/>
      <w:pPr>
        <w:tabs>
          <w:tab w:val="num" w:pos="4680"/>
        </w:tabs>
        <w:ind w:left="4680" w:hanging="360"/>
      </w:pPr>
    </w:lvl>
    <w:lvl w:ilvl="7" w:tplc="C1683A12" w:tentative="1">
      <w:start w:val="1"/>
      <w:numFmt w:val="lowerLetter"/>
      <w:lvlText w:val="%8."/>
      <w:lvlJc w:val="left"/>
      <w:pPr>
        <w:tabs>
          <w:tab w:val="num" w:pos="5400"/>
        </w:tabs>
        <w:ind w:left="5400" w:hanging="360"/>
      </w:pPr>
    </w:lvl>
    <w:lvl w:ilvl="8" w:tplc="16FE9570" w:tentative="1">
      <w:start w:val="1"/>
      <w:numFmt w:val="lowerRoman"/>
      <w:lvlText w:val="%9."/>
      <w:lvlJc w:val="right"/>
      <w:pPr>
        <w:tabs>
          <w:tab w:val="num" w:pos="6120"/>
        </w:tabs>
        <w:ind w:left="6120" w:hanging="180"/>
      </w:pPr>
    </w:lvl>
  </w:abstractNum>
  <w:abstractNum w:abstractNumId="31" w15:restartNumberingAfterBreak="0">
    <w:nsid w:val="5AF239F9"/>
    <w:multiLevelType w:val="hybridMultilevel"/>
    <w:tmpl w:val="A92A5B0C"/>
    <w:lvl w:ilvl="0" w:tplc="67E655B2">
      <w:start w:val="1"/>
      <w:numFmt w:val="bullet"/>
      <w:lvlText w:val=""/>
      <w:lvlJc w:val="left"/>
      <w:pPr>
        <w:ind w:left="720" w:hanging="360"/>
      </w:pPr>
      <w:rPr>
        <w:rFonts w:ascii="Symbol" w:hAnsi="Symbol" w:hint="default"/>
      </w:rPr>
    </w:lvl>
    <w:lvl w:ilvl="1" w:tplc="0F78BE46" w:tentative="1">
      <w:start w:val="1"/>
      <w:numFmt w:val="bullet"/>
      <w:lvlText w:val="o"/>
      <w:lvlJc w:val="left"/>
      <w:pPr>
        <w:ind w:left="1440" w:hanging="360"/>
      </w:pPr>
      <w:rPr>
        <w:rFonts w:ascii="Courier New" w:hAnsi="Courier New" w:cs="Courier New" w:hint="default"/>
      </w:rPr>
    </w:lvl>
    <w:lvl w:ilvl="2" w:tplc="FE048B94" w:tentative="1">
      <w:start w:val="1"/>
      <w:numFmt w:val="bullet"/>
      <w:lvlText w:val=""/>
      <w:lvlJc w:val="left"/>
      <w:pPr>
        <w:ind w:left="2160" w:hanging="360"/>
      </w:pPr>
      <w:rPr>
        <w:rFonts w:ascii="Wingdings" w:hAnsi="Wingdings" w:hint="default"/>
      </w:rPr>
    </w:lvl>
    <w:lvl w:ilvl="3" w:tplc="4CF49B90" w:tentative="1">
      <w:start w:val="1"/>
      <w:numFmt w:val="bullet"/>
      <w:lvlText w:val=""/>
      <w:lvlJc w:val="left"/>
      <w:pPr>
        <w:ind w:left="2880" w:hanging="360"/>
      </w:pPr>
      <w:rPr>
        <w:rFonts w:ascii="Symbol" w:hAnsi="Symbol" w:hint="default"/>
      </w:rPr>
    </w:lvl>
    <w:lvl w:ilvl="4" w:tplc="698484A2" w:tentative="1">
      <w:start w:val="1"/>
      <w:numFmt w:val="bullet"/>
      <w:lvlText w:val="o"/>
      <w:lvlJc w:val="left"/>
      <w:pPr>
        <w:ind w:left="3600" w:hanging="360"/>
      </w:pPr>
      <w:rPr>
        <w:rFonts w:ascii="Courier New" w:hAnsi="Courier New" w:cs="Courier New" w:hint="default"/>
      </w:rPr>
    </w:lvl>
    <w:lvl w:ilvl="5" w:tplc="9A345CBC" w:tentative="1">
      <w:start w:val="1"/>
      <w:numFmt w:val="bullet"/>
      <w:lvlText w:val=""/>
      <w:lvlJc w:val="left"/>
      <w:pPr>
        <w:ind w:left="4320" w:hanging="360"/>
      </w:pPr>
      <w:rPr>
        <w:rFonts w:ascii="Wingdings" w:hAnsi="Wingdings" w:hint="default"/>
      </w:rPr>
    </w:lvl>
    <w:lvl w:ilvl="6" w:tplc="F320C0C8" w:tentative="1">
      <w:start w:val="1"/>
      <w:numFmt w:val="bullet"/>
      <w:lvlText w:val=""/>
      <w:lvlJc w:val="left"/>
      <w:pPr>
        <w:ind w:left="5040" w:hanging="360"/>
      </w:pPr>
      <w:rPr>
        <w:rFonts w:ascii="Symbol" w:hAnsi="Symbol" w:hint="default"/>
      </w:rPr>
    </w:lvl>
    <w:lvl w:ilvl="7" w:tplc="4F46AF26" w:tentative="1">
      <w:start w:val="1"/>
      <w:numFmt w:val="bullet"/>
      <w:lvlText w:val="o"/>
      <w:lvlJc w:val="left"/>
      <w:pPr>
        <w:ind w:left="5760" w:hanging="360"/>
      </w:pPr>
      <w:rPr>
        <w:rFonts w:ascii="Courier New" w:hAnsi="Courier New" w:cs="Courier New" w:hint="default"/>
      </w:rPr>
    </w:lvl>
    <w:lvl w:ilvl="8" w:tplc="CA28FC8C" w:tentative="1">
      <w:start w:val="1"/>
      <w:numFmt w:val="bullet"/>
      <w:lvlText w:val=""/>
      <w:lvlJc w:val="left"/>
      <w:pPr>
        <w:ind w:left="6480" w:hanging="360"/>
      </w:pPr>
      <w:rPr>
        <w:rFonts w:ascii="Wingdings" w:hAnsi="Wingdings" w:hint="default"/>
      </w:rPr>
    </w:lvl>
  </w:abstractNum>
  <w:abstractNum w:abstractNumId="32" w15:restartNumberingAfterBreak="0">
    <w:nsid w:val="5C597AD9"/>
    <w:multiLevelType w:val="hybridMultilevel"/>
    <w:tmpl w:val="3F9EE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756912"/>
    <w:multiLevelType w:val="hybridMultilevel"/>
    <w:tmpl w:val="33C0B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6" w15:restartNumberingAfterBreak="0">
    <w:nsid w:val="66D42C05"/>
    <w:multiLevelType w:val="multilevel"/>
    <w:tmpl w:val="88CA3A76"/>
    <w:lvl w:ilvl="0">
      <w:start w:val="1"/>
      <w:numFmt w:val="decimal"/>
      <w:lvlText w:val="Note %1:"/>
      <w:lvlJc w:val="left"/>
      <w:pPr>
        <w:ind w:left="1021" w:hanging="1021"/>
      </w:pPr>
      <w:rPr>
        <w:rFonts w:ascii="Cambria" w:hAnsi="Cambria"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76F49FC"/>
    <w:multiLevelType w:val="hybridMultilevel"/>
    <w:tmpl w:val="76C6F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9" w15:restartNumberingAfterBreak="0">
    <w:nsid w:val="69E95A54"/>
    <w:multiLevelType w:val="hybridMultilevel"/>
    <w:tmpl w:val="3C18EFB0"/>
    <w:lvl w:ilvl="0" w:tplc="ED82180E">
      <w:start w:val="1"/>
      <w:numFmt w:val="bullet"/>
      <w:lvlText w:val=""/>
      <w:lvlJc w:val="left"/>
      <w:pPr>
        <w:tabs>
          <w:tab w:val="num" w:pos="397"/>
        </w:tabs>
        <w:ind w:left="397" w:hanging="397"/>
      </w:pPr>
      <w:rPr>
        <w:rFonts w:ascii="Symbol" w:hAnsi="Symbol" w:hint="default"/>
      </w:rPr>
    </w:lvl>
    <w:lvl w:ilvl="1" w:tplc="1CEABBC0" w:tentative="1">
      <w:start w:val="1"/>
      <w:numFmt w:val="bullet"/>
      <w:lvlText w:val="o"/>
      <w:lvlJc w:val="left"/>
      <w:pPr>
        <w:tabs>
          <w:tab w:val="num" w:pos="1440"/>
        </w:tabs>
        <w:ind w:left="1440" w:hanging="360"/>
      </w:pPr>
      <w:rPr>
        <w:rFonts w:ascii="Courier New" w:hAnsi="Courier New" w:cs="Courier New" w:hint="default"/>
      </w:rPr>
    </w:lvl>
    <w:lvl w:ilvl="2" w:tplc="49A6EC04" w:tentative="1">
      <w:start w:val="1"/>
      <w:numFmt w:val="bullet"/>
      <w:lvlText w:val=""/>
      <w:lvlJc w:val="left"/>
      <w:pPr>
        <w:tabs>
          <w:tab w:val="num" w:pos="2160"/>
        </w:tabs>
        <w:ind w:left="2160" w:hanging="360"/>
      </w:pPr>
      <w:rPr>
        <w:rFonts w:ascii="Wingdings" w:hAnsi="Wingdings" w:hint="default"/>
      </w:rPr>
    </w:lvl>
    <w:lvl w:ilvl="3" w:tplc="042C7828" w:tentative="1">
      <w:start w:val="1"/>
      <w:numFmt w:val="bullet"/>
      <w:lvlText w:val=""/>
      <w:lvlJc w:val="left"/>
      <w:pPr>
        <w:tabs>
          <w:tab w:val="num" w:pos="2880"/>
        </w:tabs>
        <w:ind w:left="2880" w:hanging="360"/>
      </w:pPr>
      <w:rPr>
        <w:rFonts w:ascii="Symbol" w:hAnsi="Symbol" w:hint="default"/>
      </w:rPr>
    </w:lvl>
    <w:lvl w:ilvl="4" w:tplc="F36049AA" w:tentative="1">
      <w:start w:val="1"/>
      <w:numFmt w:val="bullet"/>
      <w:lvlText w:val="o"/>
      <w:lvlJc w:val="left"/>
      <w:pPr>
        <w:tabs>
          <w:tab w:val="num" w:pos="3600"/>
        </w:tabs>
        <w:ind w:left="3600" w:hanging="360"/>
      </w:pPr>
      <w:rPr>
        <w:rFonts w:ascii="Courier New" w:hAnsi="Courier New" w:cs="Courier New" w:hint="default"/>
      </w:rPr>
    </w:lvl>
    <w:lvl w:ilvl="5" w:tplc="80C229BA" w:tentative="1">
      <w:start w:val="1"/>
      <w:numFmt w:val="bullet"/>
      <w:lvlText w:val=""/>
      <w:lvlJc w:val="left"/>
      <w:pPr>
        <w:tabs>
          <w:tab w:val="num" w:pos="4320"/>
        </w:tabs>
        <w:ind w:left="4320" w:hanging="360"/>
      </w:pPr>
      <w:rPr>
        <w:rFonts w:ascii="Wingdings" w:hAnsi="Wingdings" w:hint="default"/>
      </w:rPr>
    </w:lvl>
    <w:lvl w:ilvl="6" w:tplc="3E68755A" w:tentative="1">
      <w:start w:val="1"/>
      <w:numFmt w:val="bullet"/>
      <w:lvlText w:val=""/>
      <w:lvlJc w:val="left"/>
      <w:pPr>
        <w:tabs>
          <w:tab w:val="num" w:pos="5040"/>
        </w:tabs>
        <w:ind w:left="5040" w:hanging="360"/>
      </w:pPr>
      <w:rPr>
        <w:rFonts w:ascii="Symbol" w:hAnsi="Symbol" w:hint="default"/>
      </w:rPr>
    </w:lvl>
    <w:lvl w:ilvl="7" w:tplc="6862105E" w:tentative="1">
      <w:start w:val="1"/>
      <w:numFmt w:val="bullet"/>
      <w:lvlText w:val="o"/>
      <w:lvlJc w:val="left"/>
      <w:pPr>
        <w:tabs>
          <w:tab w:val="num" w:pos="5760"/>
        </w:tabs>
        <w:ind w:left="5760" w:hanging="360"/>
      </w:pPr>
      <w:rPr>
        <w:rFonts w:ascii="Courier New" w:hAnsi="Courier New" w:cs="Courier New" w:hint="default"/>
      </w:rPr>
    </w:lvl>
    <w:lvl w:ilvl="8" w:tplc="5366C50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2" w15:restartNumberingAfterBreak="0">
    <w:nsid w:val="6F9337D0"/>
    <w:multiLevelType w:val="hybridMultilevel"/>
    <w:tmpl w:val="B6C885E6"/>
    <w:lvl w:ilvl="0" w:tplc="51941EBC">
      <w:start w:val="1"/>
      <w:numFmt w:val="bullet"/>
      <w:lvlText w:val=""/>
      <w:lvlJc w:val="left"/>
      <w:pPr>
        <w:tabs>
          <w:tab w:val="num" w:pos="720"/>
        </w:tabs>
        <w:ind w:left="720" w:hanging="360"/>
      </w:pPr>
      <w:rPr>
        <w:rFonts w:ascii="Symbol" w:hAnsi="Symbol" w:hint="default"/>
      </w:rPr>
    </w:lvl>
    <w:lvl w:ilvl="1" w:tplc="883CF688" w:tentative="1">
      <w:start w:val="1"/>
      <w:numFmt w:val="bullet"/>
      <w:lvlText w:val="o"/>
      <w:lvlJc w:val="left"/>
      <w:pPr>
        <w:tabs>
          <w:tab w:val="num" w:pos="1440"/>
        </w:tabs>
        <w:ind w:left="1440" w:hanging="360"/>
      </w:pPr>
      <w:rPr>
        <w:rFonts w:ascii="Courier New" w:hAnsi="Courier New" w:cs="Courier New" w:hint="default"/>
      </w:rPr>
    </w:lvl>
    <w:lvl w:ilvl="2" w:tplc="49387C1E" w:tentative="1">
      <w:start w:val="1"/>
      <w:numFmt w:val="bullet"/>
      <w:lvlText w:val=""/>
      <w:lvlJc w:val="left"/>
      <w:pPr>
        <w:tabs>
          <w:tab w:val="num" w:pos="2160"/>
        </w:tabs>
        <w:ind w:left="2160" w:hanging="360"/>
      </w:pPr>
      <w:rPr>
        <w:rFonts w:ascii="Wingdings" w:hAnsi="Wingdings" w:hint="default"/>
      </w:rPr>
    </w:lvl>
    <w:lvl w:ilvl="3" w:tplc="033A40A6" w:tentative="1">
      <w:start w:val="1"/>
      <w:numFmt w:val="bullet"/>
      <w:lvlText w:val=""/>
      <w:lvlJc w:val="left"/>
      <w:pPr>
        <w:tabs>
          <w:tab w:val="num" w:pos="2880"/>
        </w:tabs>
        <w:ind w:left="2880" w:hanging="360"/>
      </w:pPr>
      <w:rPr>
        <w:rFonts w:ascii="Symbol" w:hAnsi="Symbol" w:hint="default"/>
      </w:rPr>
    </w:lvl>
    <w:lvl w:ilvl="4" w:tplc="A198AE46" w:tentative="1">
      <w:start w:val="1"/>
      <w:numFmt w:val="bullet"/>
      <w:lvlText w:val="o"/>
      <w:lvlJc w:val="left"/>
      <w:pPr>
        <w:tabs>
          <w:tab w:val="num" w:pos="3600"/>
        </w:tabs>
        <w:ind w:left="3600" w:hanging="360"/>
      </w:pPr>
      <w:rPr>
        <w:rFonts w:ascii="Courier New" w:hAnsi="Courier New" w:cs="Courier New" w:hint="default"/>
      </w:rPr>
    </w:lvl>
    <w:lvl w:ilvl="5" w:tplc="53CAD598" w:tentative="1">
      <w:start w:val="1"/>
      <w:numFmt w:val="bullet"/>
      <w:lvlText w:val=""/>
      <w:lvlJc w:val="left"/>
      <w:pPr>
        <w:tabs>
          <w:tab w:val="num" w:pos="4320"/>
        </w:tabs>
        <w:ind w:left="4320" w:hanging="360"/>
      </w:pPr>
      <w:rPr>
        <w:rFonts w:ascii="Wingdings" w:hAnsi="Wingdings" w:hint="default"/>
      </w:rPr>
    </w:lvl>
    <w:lvl w:ilvl="6" w:tplc="C406A5B4" w:tentative="1">
      <w:start w:val="1"/>
      <w:numFmt w:val="bullet"/>
      <w:lvlText w:val=""/>
      <w:lvlJc w:val="left"/>
      <w:pPr>
        <w:tabs>
          <w:tab w:val="num" w:pos="5040"/>
        </w:tabs>
        <w:ind w:left="5040" w:hanging="360"/>
      </w:pPr>
      <w:rPr>
        <w:rFonts w:ascii="Symbol" w:hAnsi="Symbol" w:hint="default"/>
      </w:rPr>
    </w:lvl>
    <w:lvl w:ilvl="7" w:tplc="981A97C6" w:tentative="1">
      <w:start w:val="1"/>
      <w:numFmt w:val="bullet"/>
      <w:lvlText w:val="o"/>
      <w:lvlJc w:val="left"/>
      <w:pPr>
        <w:tabs>
          <w:tab w:val="num" w:pos="5760"/>
        </w:tabs>
        <w:ind w:left="5760" w:hanging="360"/>
      </w:pPr>
      <w:rPr>
        <w:rFonts w:ascii="Courier New" w:hAnsi="Courier New" w:cs="Courier New" w:hint="default"/>
      </w:rPr>
    </w:lvl>
    <w:lvl w:ilvl="8" w:tplc="F3DCC2A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332797"/>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72613446"/>
    <w:multiLevelType w:val="hybridMultilevel"/>
    <w:tmpl w:val="D384F4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2AB50F1"/>
    <w:multiLevelType w:val="hybridMultilevel"/>
    <w:tmpl w:val="64CEA6CC"/>
    <w:lvl w:ilvl="0" w:tplc="C2783210">
      <w:start w:val="1"/>
      <w:numFmt w:val="decimal"/>
      <w:lvlText w:val="%1)"/>
      <w:lvlJc w:val="left"/>
      <w:pPr>
        <w:ind w:left="720" w:hanging="360"/>
      </w:pPr>
      <w:rPr>
        <w:rFonts w:hint="default"/>
      </w:rPr>
    </w:lvl>
    <w:lvl w:ilvl="1" w:tplc="00C626B6" w:tentative="1">
      <w:start w:val="1"/>
      <w:numFmt w:val="lowerLetter"/>
      <w:lvlText w:val="%2."/>
      <w:lvlJc w:val="left"/>
      <w:pPr>
        <w:ind w:left="1440" w:hanging="360"/>
      </w:pPr>
    </w:lvl>
    <w:lvl w:ilvl="2" w:tplc="9A508BAC" w:tentative="1">
      <w:start w:val="1"/>
      <w:numFmt w:val="lowerRoman"/>
      <w:lvlText w:val="%3."/>
      <w:lvlJc w:val="right"/>
      <w:pPr>
        <w:ind w:left="2160" w:hanging="180"/>
      </w:pPr>
    </w:lvl>
    <w:lvl w:ilvl="3" w:tplc="BB901334" w:tentative="1">
      <w:start w:val="1"/>
      <w:numFmt w:val="decimal"/>
      <w:lvlText w:val="%4."/>
      <w:lvlJc w:val="left"/>
      <w:pPr>
        <w:ind w:left="2880" w:hanging="360"/>
      </w:pPr>
    </w:lvl>
    <w:lvl w:ilvl="4" w:tplc="08029CF4" w:tentative="1">
      <w:start w:val="1"/>
      <w:numFmt w:val="lowerLetter"/>
      <w:lvlText w:val="%5."/>
      <w:lvlJc w:val="left"/>
      <w:pPr>
        <w:ind w:left="3600" w:hanging="360"/>
      </w:pPr>
    </w:lvl>
    <w:lvl w:ilvl="5" w:tplc="C79E8250" w:tentative="1">
      <w:start w:val="1"/>
      <w:numFmt w:val="lowerRoman"/>
      <w:lvlText w:val="%6."/>
      <w:lvlJc w:val="right"/>
      <w:pPr>
        <w:ind w:left="4320" w:hanging="180"/>
      </w:pPr>
    </w:lvl>
    <w:lvl w:ilvl="6" w:tplc="BAF86604" w:tentative="1">
      <w:start w:val="1"/>
      <w:numFmt w:val="decimal"/>
      <w:lvlText w:val="%7."/>
      <w:lvlJc w:val="left"/>
      <w:pPr>
        <w:ind w:left="5040" w:hanging="360"/>
      </w:pPr>
    </w:lvl>
    <w:lvl w:ilvl="7" w:tplc="2FA4170A" w:tentative="1">
      <w:start w:val="1"/>
      <w:numFmt w:val="lowerLetter"/>
      <w:lvlText w:val="%8."/>
      <w:lvlJc w:val="left"/>
      <w:pPr>
        <w:ind w:left="5760" w:hanging="360"/>
      </w:pPr>
    </w:lvl>
    <w:lvl w:ilvl="8" w:tplc="253CD248" w:tentative="1">
      <w:start w:val="1"/>
      <w:numFmt w:val="lowerRoman"/>
      <w:lvlText w:val="%9."/>
      <w:lvlJc w:val="right"/>
      <w:pPr>
        <w:ind w:left="6480" w:hanging="180"/>
      </w:pPr>
    </w:lvl>
  </w:abstractNum>
  <w:abstractNum w:abstractNumId="46" w15:restartNumberingAfterBreak="0">
    <w:nsid w:val="7311220D"/>
    <w:multiLevelType w:val="hybridMultilevel"/>
    <w:tmpl w:val="E814E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DAE5C8D"/>
    <w:multiLevelType w:val="hybridMultilevel"/>
    <w:tmpl w:val="A5EA83E2"/>
    <w:lvl w:ilvl="0" w:tplc="BAF6F37C">
      <w:start w:val="1"/>
      <w:numFmt w:val="bullet"/>
      <w:lvlText w:val=""/>
      <w:lvlJc w:val="left"/>
      <w:pPr>
        <w:ind w:left="720" w:hanging="360"/>
      </w:pPr>
      <w:rPr>
        <w:rFonts w:ascii="Symbol" w:hAnsi="Symbol" w:hint="default"/>
      </w:rPr>
    </w:lvl>
    <w:lvl w:ilvl="1" w:tplc="83CA43C0" w:tentative="1">
      <w:start w:val="1"/>
      <w:numFmt w:val="bullet"/>
      <w:lvlText w:val="o"/>
      <w:lvlJc w:val="left"/>
      <w:pPr>
        <w:ind w:left="1440" w:hanging="360"/>
      </w:pPr>
      <w:rPr>
        <w:rFonts w:ascii="Courier New" w:hAnsi="Courier New" w:cs="Courier New" w:hint="default"/>
      </w:rPr>
    </w:lvl>
    <w:lvl w:ilvl="2" w:tplc="86C841E2" w:tentative="1">
      <w:start w:val="1"/>
      <w:numFmt w:val="bullet"/>
      <w:lvlText w:val=""/>
      <w:lvlJc w:val="left"/>
      <w:pPr>
        <w:ind w:left="2160" w:hanging="360"/>
      </w:pPr>
      <w:rPr>
        <w:rFonts w:ascii="Wingdings" w:hAnsi="Wingdings" w:hint="default"/>
      </w:rPr>
    </w:lvl>
    <w:lvl w:ilvl="3" w:tplc="C6125226" w:tentative="1">
      <w:start w:val="1"/>
      <w:numFmt w:val="bullet"/>
      <w:lvlText w:val=""/>
      <w:lvlJc w:val="left"/>
      <w:pPr>
        <w:ind w:left="2880" w:hanging="360"/>
      </w:pPr>
      <w:rPr>
        <w:rFonts w:ascii="Symbol" w:hAnsi="Symbol" w:hint="default"/>
      </w:rPr>
    </w:lvl>
    <w:lvl w:ilvl="4" w:tplc="04720BEE" w:tentative="1">
      <w:start w:val="1"/>
      <w:numFmt w:val="bullet"/>
      <w:lvlText w:val="o"/>
      <w:lvlJc w:val="left"/>
      <w:pPr>
        <w:ind w:left="3600" w:hanging="360"/>
      </w:pPr>
      <w:rPr>
        <w:rFonts w:ascii="Courier New" w:hAnsi="Courier New" w:cs="Courier New" w:hint="default"/>
      </w:rPr>
    </w:lvl>
    <w:lvl w:ilvl="5" w:tplc="22F2F1B0" w:tentative="1">
      <w:start w:val="1"/>
      <w:numFmt w:val="bullet"/>
      <w:lvlText w:val=""/>
      <w:lvlJc w:val="left"/>
      <w:pPr>
        <w:ind w:left="4320" w:hanging="360"/>
      </w:pPr>
      <w:rPr>
        <w:rFonts w:ascii="Wingdings" w:hAnsi="Wingdings" w:hint="default"/>
      </w:rPr>
    </w:lvl>
    <w:lvl w:ilvl="6" w:tplc="7F22E2B8" w:tentative="1">
      <w:start w:val="1"/>
      <w:numFmt w:val="bullet"/>
      <w:lvlText w:val=""/>
      <w:lvlJc w:val="left"/>
      <w:pPr>
        <w:ind w:left="5040" w:hanging="360"/>
      </w:pPr>
      <w:rPr>
        <w:rFonts w:ascii="Symbol" w:hAnsi="Symbol" w:hint="default"/>
      </w:rPr>
    </w:lvl>
    <w:lvl w:ilvl="7" w:tplc="66DEE220" w:tentative="1">
      <w:start w:val="1"/>
      <w:numFmt w:val="bullet"/>
      <w:lvlText w:val="o"/>
      <w:lvlJc w:val="left"/>
      <w:pPr>
        <w:ind w:left="5760" w:hanging="360"/>
      </w:pPr>
      <w:rPr>
        <w:rFonts w:ascii="Courier New" w:hAnsi="Courier New" w:cs="Courier New" w:hint="default"/>
      </w:rPr>
    </w:lvl>
    <w:lvl w:ilvl="8" w:tplc="6DE2F092" w:tentative="1">
      <w:start w:val="1"/>
      <w:numFmt w:val="bullet"/>
      <w:lvlText w:val=""/>
      <w:lvlJc w:val="left"/>
      <w:pPr>
        <w:ind w:left="6480" w:hanging="360"/>
      </w:pPr>
      <w:rPr>
        <w:rFonts w:ascii="Wingdings" w:hAnsi="Wingdings" w:hint="default"/>
      </w:rPr>
    </w:lvl>
  </w:abstractNum>
  <w:abstractNum w:abstractNumId="49" w15:restartNumberingAfterBreak="0">
    <w:nsid w:val="7FB401D6"/>
    <w:multiLevelType w:val="hybridMultilevel"/>
    <w:tmpl w:val="270C46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528861">
    <w:abstractNumId w:val="43"/>
  </w:num>
  <w:num w:numId="2" w16cid:durableId="524755293">
    <w:abstractNumId w:val="6"/>
  </w:num>
  <w:num w:numId="3" w16cid:durableId="379398923">
    <w:abstractNumId w:val="2"/>
  </w:num>
  <w:num w:numId="4" w16cid:durableId="523251307">
    <w:abstractNumId w:val="29"/>
  </w:num>
  <w:num w:numId="5" w16cid:durableId="84152271">
    <w:abstractNumId w:val="49"/>
  </w:num>
  <w:num w:numId="6" w16cid:durableId="441653974">
    <w:abstractNumId w:val="44"/>
  </w:num>
  <w:num w:numId="7" w16cid:durableId="529608351">
    <w:abstractNumId w:val="37"/>
  </w:num>
  <w:num w:numId="8" w16cid:durableId="80181128">
    <w:abstractNumId w:val="46"/>
  </w:num>
  <w:num w:numId="9" w16cid:durableId="1232883853">
    <w:abstractNumId w:val="12"/>
  </w:num>
  <w:num w:numId="10" w16cid:durableId="583146420">
    <w:abstractNumId w:val="36"/>
  </w:num>
  <w:num w:numId="11" w16cid:durableId="662316725">
    <w:abstractNumId w:val="3"/>
  </w:num>
  <w:num w:numId="12" w16cid:durableId="1325468824">
    <w:abstractNumId w:val="35"/>
  </w:num>
  <w:num w:numId="13" w16cid:durableId="894438681">
    <w:abstractNumId w:val="0"/>
    <w:lvlOverride w:ilvl="0">
      <w:lvl w:ilvl="0">
        <w:start w:val="1"/>
        <w:numFmt w:val="bullet"/>
        <w:lvlText w:val="-"/>
        <w:legacy w:legacy="1" w:legacySpace="0" w:legacyIndent="360"/>
        <w:lvlJc w:val="left"/>
        <w:pPr>
          <w:ind w:left="360" w:hanging="360"/>
        </w:pPr>
      </w:lvl>
    </w:lvlOverride>
  </w:num>
  <w:num w:numId="14" w16cid:durableId="15091787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2122335742">
    <w:abstractNumId w:val="38"/>
  </w:num>
  <w:num w:numId="16" w16cid:durableId="2069526855">
    <w:abstractNumId w:val="30"/>
  </w:num>
  <w:num w:numId="17" w16cid:durableId="1743021305">
    <w:abstractNumId w:val="14"/>
  </w:num>
  <w:num w:numId="18" w16cid:durableId="156728802">
    <w:abstractNumId w:val="21"/>
  </w:num>
  <w:num w:numId="19" w16cid:durableId="397824459">
    <w:abstractNumId w:val="45"/>
  </w:num>
  <w:num w:numId="20" w16cid:durableId="384573167">
    <w:abstractNumId w:val="1"/>
  </w:num>
  <w:num w:numId="21" w16cid:durableId="989292388">
    <w:abstractNumId w:val="40"/>
  </w:num>
  <w:num w:numId="22" w16cid:durableId="1502038390">
    <w:abstractNumId w:val="15"/>
  </w:num>
  <w:num w:numId="23" w16cid:durableId="2103841098">
    <w:abstractNumId w:val="10"/>
  </w:num>
  <w:num w:numId="24" w16cid:durableId="1874001946">
    <w:abstractNumId w:val="5"/>
  </w:num>
  <w:num w:numId="25" w16cid:durableId="715814313">
    <w:abstractNumId w:val="0"/>
    <w:lvlOverride w:ilvl="0">
      <w:lvl w:ilvl="0">
        <w:start w:val="1"/>
        <w:numFmt w:val="bullet"/>
        <w:lvlText w:val="-"/>
        <w:legacy w:legacy="1" w:legacySpace="0" w:legacyIndent="360"/>
        <w:lvlJc w:val="left"/>
        <w:pPr>
          <w:ind w:left="360" w:hanging="360"/>
        </w:pPr>
      </w:lvl>
    </w:lvlOverride>
  </w:num>
  <w:num w:numId="26" w16cid:durableId="1726948217">
    <w:abstractNumId w:val="41"/>
  </w:num>
  <w:num w:numId="27" w16cid:durableId="1808860033">
    <w:abstractNumId w:val="24"/>
  </w:num>
  <w:num w:numId="28" w16cid:durableId="607547430">
    <w:abstractNumId w:val="28"/>
  </w:num>
  <w:num w:numId="29" w16cid:durableId="467161640">
    <w:abstractNumId w:val="47"/>
  </w:num>
  <w:num w:numId="30" w16cid:durableId="1275939462">
    <w:abstractNumId w:val="34"/>
  </w:num>
  <w:num w:numId="31" w16cid:durableId="1603683535">
    <w:abstractNumId w:val="42"/>
  </w:num>
  <w:num w:numId="32" w16cid:durableId="1727296119">
    <w:abstractNumId w:val="39"/>
  </w:num>
  <w:num w:numId="33" w16cid:durableId="476650005">
    <w:abstractNumId w:val="13"/>
  </w:num>
  <w:num w:numId="34" w16cid:durableId="1242133279">
    <w:abstractNumId w:val="23"/>
  </w:num>
  <w:num w:numId="35" w16cid:durableId="947393820">
    <w:abstractNumId w:val="9"/>
  </w:num>
  <w:num w:numId="36" w16cid:durableId="2088262305">
    <w:abstractNumId w:val="22"/>
  </w:num>
  <w:num w:numId="37" w16cid:durableId="460923764">
    <w:abstractNumId w:val="31"/>
  </w:num>
  <w:num w:numId="38" w16cid:durableId="2057004682">
    <w:abstractNumId w:val="20"/>
  </w:num>
  <w:num w:numId="39" w16cid:durableId="1065295943">
    <w:abstractNumId w:val="19"/>
  </w:num>
  <w:num w:numId="40" w16cid:durableId="1048263212">
    <w:abstractNumId w:val="4"/>
  </w:num>
  <w:num w:numId="41" w16cid:durableId="935552538">
    <w:abstractNumId w:val="18"/>
  </w:num>
  <w:num w:numId="42" w16cid:durableId="669142421">
    <w:abstractNumId w:val="16"/>
  </w:num>
  <w:num w:numId="43" w16cid:durableId="334497216">
    <w:abstractNumId w:val="48"/>
  </w:num>
  <w:num w:numId="44" w16cid:durableId="1146044294">
    <w:abstractNumId w:val="11"/>
  </w:num>
  <w:num w:numId="45" w16cid:durableId="2036804666">
    <w:abstractNumId w:val="33"/>
  </w:num>
  <w:num w:numId="46" w16cid:durableId="353968427">
    <w:abstractNumId w:val="8"/>
  </w:num>
  <w:num w:numId="47" w16cid:durableId="2056393010">
    <w:abstractNumId w:val="27"/>
  </w:num>
  <w:num w:numId="48" w16cid:durableId="117996891">
    <w:abstractNumId w:val="32"/>
  </w:num>
  <w:num w:numId="49" w16cid:durableId="1452238609">
    <w:abstractNumId w:val="7"/>
  </w:num>
  <w:num w:numId="50" w16cid:durableId="1049457302">
    <w:abstractNumId w:val="17"/>
  </w:num>
  <w:num w:numId="51" w16cid:durableId="635456636">
    <w:abstractNumId w:val="25"/>
  </w:num>
  <w:num w:numId="52" w16cid:durableId="1401367561">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4F"/>
    <w:rsid w:val="000032FD"/>
    <w:rsid w:val="00011555"/>
    <w:rsid w:val="0001719A"/>
    <w:rsid w:val="00023F4A"/>
    <w:rsid w:val="00025783"/>
    <w:rsid w:val="00032888"/>
    <w:rsid w:val="00034633"/>
    <w:rsid w:val="0004026A"/>
    <w:rsid w:val="00042302"/>
    <w:rsid w:val="00043336"/>
    <w:rsid w:val="0005136B"/>
    <w:rsid w:val="0005457B"/>
    <w:rsid w:val="0005544B"/>
    <w:rsid w:val="00056095"/>
    <w:rsid w:val="00060198"/>
    <w:rsid w:val="0006786D"/>
    <w:rsid w:val="00070F96"/>
    <w:rsid w:val="00073866"/>
    <w:rsid w:val="0007396D"/>
    <w:rsid w:val="0007776C"/>
    <w:rsid w:val="000777F5"/>
    <w:rsid w:val="00080857"/>
    <w:rsid w:val="0008139D"/>
    <w:rsid w:val="000837B9"/>
    <w:rsid w:val="000848A0"/>
    <w:rsid w:val="00091EE5"/>
    <w:rsid w:val="0009399C"/>
    <w:rsid w:val="0009780C"/>
    <w:rsid w:val="000A159D"/>
    <w:rsid w:val="000B1D92"/>
    <w:rsid w:val="000B203D"/>
    <w:rsid w:val="000B6C65"/>
    <w:rsid w:val="000C4D85"/>
    <w:rsid w:val="000C6C63"/>
    <w:rsid w:val="000D09AB"/>
    <w:rsid w:val="000F73F2"/>
    <w:rsid w:val="001073E9"/>
    <w:rsid w:val="001129BB"/>
    <w:rsid w:val="00115DA3"/>
    <w:rsid w:val="0012084A"/>
    <w:rsid w:val="001235A5"/>
    <w:rsid w:val="00133537"/>
    <w:rsid w:val="00136654"/>
    <w:rsid w:val="00137B2E"/>
    <w:rsid w:val="00144968"/>
    <w:rsid w:val="0015391E"/>
    <w:rsid w:val="0015668A"/>
    <w:rsid w:val="00156F75"/>
    <w:rsid w:val="001579D8"/>
    <w:rsid w:val="00160D4D"/>
    <w:rsid w:val="0016299D"/>
    <w:rsid w:val="0016778E"/>
    <w:rsid w:val="00170447"/>
    <w:rsid w:val="001803C9"/>
    <w:rsid w:val="00184039"/>
    <w:rsid w:val="0018425B"/>
    <w:rsid w:val="00184AAB"/>
    <w:rsid w:val="00184CF2"/>
    <w:rsid w:val="0019103C"/>
    <w:rsid w:val="001A3992"/>
    <w:rsid w:val="001A5D46"/>
    <w:rsid w:val="001A6330"/>
    <w:rsid w:val="001B37CF"/>
    <w:rsid w:val="001C03C1"/>
    <w:rsid w:val="001C753A"/>
    <w:rsid w:val="001D0674"/>
    <w:rsid w:val="001D52DE"/>
    <w:rsid w:val="001E2F67"/>
    <w:rsid w:val="001E35E5"/>
    <w:rsid w:val="001F46CC"/>
    <w:rsid w:val="001F53A6"/>
    <w:rsid w:val="001F6CF8"/>
    <w:rsid w:val="002077B4"/>
    <w:rsid w:val="002115B8"/>
    <w:rsid w:val="0021200F"/>
    <w:rsid w:val="00213026"/>
    <w:rsid w:val="00213FB2"/>
    <w:rsid w:val="0021481F"/>
    <w:rsid w:val="00217780"/>
    <w:rsid w:val="00220CF0"/>
    <w:rsid w:val="002218F1"/>
    <w:rsid w:val="002253FF"/>
    <w:rsid w:val="00225C2C"/>
    <w:rsid w:val="002268A8"/>
    <w:rsid w:val="00234765"/>
    <w:rsid w:val="00236160"/>
    <w:rsid w:val="00243C6C"/>
    <w:rsid w:val="00256F4D"/>
    <w:rsid w:val="00257A84"/>
    <w:rsid w:val="002662B4"/>
    <w:rsid w:val="002700CE"/>
    <w:rsid w:val="002734FE"/>
    <w:rsid w:val="00273A50"/>
    <w:rsid w:val="00273CFA"/>
    <w:rsid w:val="00274900"/>
    <w:rsid w:val="0028140C"/>
    <w:rsid w:val="00285173"/>
    <w:rsid w:val="00295425"/>
    <w:rsid w:val="00296041"/>
    <w:rsid w:val="002A23B6"/>
    <w:rsid w:val="002A29AF"/>
    <w:rsid w:val="002B1E8C"/>
    <w:rsid w:val="002C7FE3"/>
    <w:rsid w:val="002D3935"/>
    <w:rsid w:val="002D3E7F"/>
    <w:rsid w:val="002D660A"/>
    <w:rsid w:val="002E01A5"/>
    <w:rsid w:val="002E277D"/>
    <w:rsid w:val="002E7609"/>
    <w:rsid w:val="002F1A57"/>
    <w:rsid w:val="002F4F5C"/>
    <w:rsid w:val="002F4FB5"/>
    <w:rsid w:val="00311C93"/>
    <w:rsid w:val="00311D24"/>
    <w:rsid w:val="003137CD"/>
    <w:rsid w:val="00314717"/>
    <w:rsid w:val="00316F71"/>
    <w:rsid w:val="003179F3"/>
    <w:rsid w:val="0032193E"/>
    <w:rsid w:val="00323C63"/>
    <w:rsid w:val="00326A65"/>
    <w:rsid w:val="00330E4F"/>
    <w:rsid w:val="0033166C"/>
    <w:rsid w:val="00331BF8"/>
    <w:rsid w:val="003356DE"/>
    <w:rsid w:val="0033732F"/>
    <w:rsid w:val="00337695"/>
    <w:rsid w:val="00343357"/>
    <w:rsid w:val="00346083"/>
    <w:rsid w:val="0034696F"/>
    <w:rsid w:val="00346A8B"/>
    <w:rsid w:val="00346BCC"/>
    <w:rsid w:val="00353C32"/>
    <w:rsid w:val="003617CC"/>
    <w:rsid w:val="00361AF6"/>
    <w:rsid w:val="003649E0"/>
    <w:rsid w:val="00365053"/>
    <w:rsid w:val="00365C4E"/>
    <w:rsid w:val="00365E8B"/>
    <w:rsid w:val="00367C94"/>
    <w:rsid w:val="0037163A"/>
    <w:rsid w:val="00375DF3"/>
    <w:rsid w:val="00383FDB"/>
    <w:rsid w:val="003929D5"/>
    <w:rsid w:val="0039613B"/>
    <w:rsid w:val="003A018B"/>
    <w:rsid w:val="003A2BCA"/>
    <w:rsid w:val="003B4875"/>
    <w:rsid w:val="003B6826"/>
    <w:rsid w:val="003C066D"/>
    <w:rsid w:val="003D3BCC"/>
    <w:rsid w:val="003D3F12"/>
    <w:rsid w:val="003E1223"/>
    <w:rsid w:val="003E1798"/>
    <w:rsid w:val="003E1863"/>
    <w:rsid w:val="003E1D44"/>
    <w:rsid w:val="003E71CD"/>
    <w:rsid w:val="003E7C05"/>
    <w:rsid w:val="003F5E2B"/>
    <w:rsid w:val="00416E9E"/>
    <w:rsid w:val="00422163"/>
    <w:rsid w:val="0042246A"/>
    <w:rsid w:val="00427270"/>
    <w:rsid w:val="00431ACD"/>
    <w:rsid w:val="00432192"/>
    <w:rsid w:val="00432429"/>
    <w:rsid w:val="0043292B"/>
    <w:rsid w:val="0043656F"/>
    <w:rsid w:val="00446E37"/>
    <w:rsid w:val="004476A7"/>
    <w:rsid w:val="0046674C"/>
    <w:rsid w:val="00473026"/>
    <w:rsid w:val="004746C3"/>
    <w:rsid w:val="0047661E"/>
    <w:rsid w:val="00484C2D"/>
    <w:rsid w:val="00484CA1"/>
    <w:rsid w:val="00487E4D"/>
    <w:rsid w:val="004A4D58"/>
    <w:rsid w:val="004B6B19"/>
    <w:rsid w:val="004C0016"/>
    <w:rsid w:val="004C0D60"/>
    <w:rsid w:val="004C4320"/>
    <w:rsid w:val="004C49B5"/>
    <w:rsid w:val="004D21DC"/>
    <w:rsid w:val="004D3797"/>
    <w:rsid w:val="004E0CDD"/>
    <w:rsid w:val="004F6575"/>
    <w:rsid w:val="004F66A8"/>
    <w:rsid w:val="004F71A6"/>
    <w:rsid w:val="004F76C9"/>
    <w:rsid w:val="0050019A"/>
    <w:rsid w:val="005018FB"/>
    <w:rsid w:val="005138D3"/>
    <w:rsid w:val="00514A5F"/>
    <w:rsid w:val="00515C47"/>
    <w:rsid w:val="005160EA"/>
    <w:rsid w:val="00517023"/>
    <w:rsid w:val="00517C12"/>
    <w:rsid w:val="00524437"/>
    <w:rsid w:val="0052459E"/>
    <w:rsid w:val="00524BB6"/>
    <w:rsid w:val="005404B3"/>
    <w:rsid w:val="00540C4D"/>
    <w:rsid w:val="00542FE8"/>
    <w:rsid w:val="00543243"/>
    <w:rsid w:val="00543681"/>
    <w:rsid w:val="0054369E"/>
    <w:rsid w:val="00551504"/>
    <w:rsid w:val="00551C29"/>
    <w:rsid w:val="00562330"/>
    <w:rsid w:val="005625E6"/>
    <w:rsid w:val="00562990"/>
    <w:rsid w:val="00571CC9"/>
    <w:rsid w:val="00571FAF"/>
    <w:rsid w:val="00575277"/>
    <w:rsid w:val="00575CC5"/>
    <w:rsid w:val="00581A80"/>
    <w:rsid w:val="00583B27"/>
    <w:rsid w:val="00584713"/>
    <w:rsid w:val="00584EB3"/>
    <w:rsid w:val="005901F8"/>
    <w:rsid w:val="00591AD7"/>
    <w:rsid w:val="0059307D"/>
    <w:rsid w:val="005A1435"/>
    <w:rsid w:val="005A4BDB"/>
    <w:rsid w:val="005A5DC2"/>
    <w:rsid w:val="005A78CE"/>
    <w:rsid w:val="005B2812"/>
    <w:rsid w:val="005C02D7"/>
    <w:rsid w:val="005C7DC6"/>
    <w:rsid w:val="005D4725"/>
    <w:rsid w:val="005D7F1F"/>
    <w:rsid w:val="005E0672"/>
    <w:rsid w:val="005E4A3E"/>
    <w:rsid w:val="005F4D5A"/>
    <w:rsid w:val="006018AE"/>
    <w:rsid w:val="00602EFD"/>
    <w:rsid w:val="0060718D"/>
    <w:rsid w:val="00611725"/>
    <w:rsid w:val="006175F1"/>
    <w:rsid w:val="00624634"/>
    <w:rsid w:val="006254F8"/>
    <w:rsid w:val="0062695E"/>
    <w:rsid w:val="00630369"/>
    <w:rsid w:val="00636310"/>
    <w:rsid w:val="00637348"/>
    <w:rsid w:val="00646CA1"/>
    <w:rsid w:val="00653312"/>
    <w:rsid w:val="006550E2"/>
    <w:rsid w:val="00655848"/>
    <w:rsid w:val="00687A1A"/>
    <w:rsid w:val="0069438F"/>
    <w:rsid w:val="006B26C0"/>
    <w:rsid w:val="006B392E"/>
    <w:rsid w:val="006B4C3F"/>
    <w:rsid w:val="006B6D3A"/>
    <w:rsid w:val="006C52A0"/>
    <w:rsid w:val="006D01FF"/>
    <w:rsid w:val="006D7506"/>
    <w:rsid w:val="006E0F36"/>
    <w:rsid w:val="006E5F81"/>
    <w:rsid w:val="006F1750"/>
    <w:rsid w:val="006F1992"/>
    <w:rsid w:val="006F1F8A"/>
    <w:rsid w:val="007009C1"/>
    <w:rsid w:val="007060A3"/>
    <w:rsid w:val="007064F6"/>
    <w:rsid w:val="007130E0"/>
    <w:rsid w:val="0073338E"/>
    <w:rsid w:val="00733B73"/>
    <w:rsid w:val="00741192"/>
    <w:rsid w:val="0074187D"/>
    <w:rsid w:val="007474F5"/>
    <w:rsid w:val="00762F06"/>
    <w:rsid w:val="00763A30"/>
    <w:rsid w:val="00763A98"/>
    <w:rsid w:val="0076645D"/>
    <w:rsid w:val="00775144"/>
    <w:rsid w:val="00781385"/>
    <w:rsid w:val="0078178C"/>
    <w:rsid w:val="007823D3"/>
    <w:rsid w:val="007905EB"/>
    <w:rsid w:val="00791117"/>
    <w:rsid w:val="007A0681"/>
    <w:rsid w:val="007A4E1E"/>
    <w:rsid w:val="007A776B"/>
    <w:rsid w:val="007A7CE3"/>
    <w:rsid w:val="007B20E1"/>
    <w:rsid w:val="007B6521"/>
    <w:rsid w:val="007C2E71"/>
    <w:rsid w:val="007C66C8"/>
    <w:rsid w:val="007D053F"/>
    <w:rsid w:val="007D425F"/>
    <w:rsid w:val="007D4FB4"/>
    <w:rsid w:val="007D5881"/>
    <w:rsid w:val="007E0B64"/>
    <w:rsid w:val="007E0D0A"/>
    <w:rsid w:val="007E358C"/>
    <w:rsid w:val="007E38E3"/>
    <w:rsid w:val="007F6DF6"/>
    <w:rsid w:val="00801DC4"/>
    <w:rsid w:val="00803BBE"/>
    <w:rsid w:val="0080605E"/>
    <w:rsid w:val="008137B5"/>
    <w:rsid w:val="00813C83"/>
    <w:rsid w:val="008157D8"/>
    <w:rsid w:val="00821711"/>
    <w:rsid w:val="00823557"/>
    <w:rsid w:val="008305F6"/>
    <w:rsid w:val="00833512"/>
    <w:rsid w:val="00837DF6"/>
    <w:rsid w:val="0084050E"/>
    <w:rsid w:val="008406EB"/>
    <w:rsid w:val="00840E88"/>
    <w:rsid w:val="008535DA"/>
    <w:rsid w:val="0086168C"/>
    <w:rsid w:val="00864FF7"/>
    <w:rsid w:val="00877802"/>
    <w:rsid w:val="008A1F56"/>
    <w:rsid w:val="008A6AFF"/>
    <w:rsid w:val="008A6CF4"/>
    <w:rsid w:val="008B0E86"/>
    <w:rsid w:val="008B2B81"/>
    <w:rsid w:val="008B5249"/>
    <w:rsid w:val="008B5528"/>
    <w:rsid w:val="008B7E19"/>
    <w:rsid w:val="008C1E35"/>
    <w:rsid w:val="008C3368"/>
    <w:rsid w:val="008C6458"/>
    <w:rsid w:val="008C7831"/>
    <w:rsid w:val="008C7BB4"/>
    <w:rsid w:val="008D23B3"/>
    <w:rsid w:val="008D3D31"/>
    <w:rsid w:val="008E1DF7"/>
    <w:rsid w:val="008E247F"/>
    <w:rsid w:val="008E27F9"/>
    <w:rsid w:val="008E2A70"/>
    <w:rsid w:val="008E5CC2"/>
    <w:rsid w:val="008E6D89"/>
    <w:rsid w:val="008E7832"/>
    <w:rsid w:val="008F3247"/>
    <w:rsid w:val="008F577F"/>
    <w:rsid w:val="008F7612"/>
    <w:rsid w:val="0090204B"/>
    <w:rsid w:val="009033E1"/>
    <w:rsid w:val="00905FE6"/>
    <w:rsid w:val="00915D39"/>
    <w:rsid w:val="009162B3"/>
    <w:rsid w:val="00924DA9"/>
    <w:rsid w:val="00924F8D"/>
    <w:rsid w:val="00927C6B"/>
    <w:rsid w:val="00927DD3"/>
    <w:rsid w:val="0093246C"/>
    <w:rsid w:val="009333CC"/>
    <w:rsid w:val="0094669C"/>
    <w:rsid w:val="0095312F"/>
    <w:rsid w:val="00960CD5"/>
    <w:rsid w:val="009619DE"/>
    <w:rsid w:val="00962C46"/>
    <w:rsid w:val="009639DC"/>
    <w:rsid w:val="00964552"/>
    <w:rsid w:val="00965BFE"/>
    <w:rsid w:val="00970412"/>
    <w:rsid w:val="009706CF"/>
    <w:rsid w:val="00977860"/>
    <w:rsid w:val="00981777"/>
    <w:rsid w:val="00985A67"/>
    <w:rsid w:val="00987EBC"/>
    <w:rsid w:val="00990F0F"/>
    <w:rsid w:val="00994F71"/>
    <w:rsid w:val="00995BB7"/>
    <w:rsid w:val="009A44FE"/>
    <w:rsid w:val="009A58E7"/>
    <w:rsid w:val="009B062F"/>
    <w:rsid w:val="009B4391"/>
    <w:rsid w:val="009B6211"/>
    <w:rsid w:val="009D3F83"/>
    <w:rsid w:val="009E1378"/>
    <w:rsid w:val="009E3EE8"/>
    <w:rsid w:val="009F11A9"/>
    <w:rsid w:val="009F2AD4"/>
    <w:rsid w:val="00A00934"/>
    <w:rsid w:val="00A00E7C"/>
    <w:rsid w:val="00A02FB5"/>
    <w:rsid w:val="00A061F1"/>
    <w:rsid w:val="00A06734"/>
    <w:rsid w:val="00A11F82"/>
    <w:rsid w:val="00A13AA1"/>
    <w:rsid w:val="00A14C01"/>
    <w:rsid w:val="00A23D15"/>
    <w:rsid w:val="00A32397"/>
    <w:rsid w:val="00A32891"/>
    <w:rsid w:val="00A36F02"/>
    <w:rsid w:val="00A440C6"/>
    <w:rsid w:val="00A44F86"/>
    <w:rsid w:val="00A45827"/>
    <w:rsid w:val="00A47C35"/>
    <w:rsid w:val="00A508FE"/>
    <w:rsid w:val="00A516B1"/>
    <w:rsid w:val="00A54824"/>
    <w:rsid w:val="00A54E89"/>
    <w:rsid w:val="00A62B0B"/>
    <w:rsid w:val="00A64655"/>
    <w:rsid w:val="00A66A53"/>
    <w:rsid w:val="00A72BD5"/>
    <w:rsid w:val="00A80E9F"/>
    <w:rsid w:val="00A84364"/>
    <w:rsid w:val="00A8660C"/>
    <w:rsid w:val="00A87419"/>
    <w:rsid w:val="00A9288F"/>
    <w:rsid w:val="00A97FA0"/>
    <w:rsid w:val="00AB5691"/>
    <w:rsid w:val="00AB5FE9"/>
    <w:rsid w:val="00AB7F74"/>
    <w:rsid w:val="00AC0A51"/>
    <w:rsid w:val="00AE047E"/>
    <w:rsid w:val="00AE2EA6"/>
    <w:rsid w:val="00AE4757"/>
    <w:rsid w:val="00AE4C7E"/>
    <w:rsid w:val="00AE7E41"/>
    <w:rsid w:val="00AF238D"/>
    <w:rsid w:val="00AF39FB"/>
    <w:rsid w:val="00AF5627"/>
    <w:rsid w:val="00AF6C98"/>
    <w:rsid w:val="00B0130F"/>
    <w:rsid w:val="00B15555"/>
    <w:rsid w:val="00B211B7"/>
    <w:rsid w:val="00B2136B"/>
    <w:rsid w:val="00B214FD"/>
    <w:rsid w:val="00B2725B"/>
    <w:rsid w:val="00B315E0"/>
    <w:rsid w:val="00B333AD"/>
    <w:rsid w:val="00B472D1"/>
    <w:rsid w:val="00B5017F"/>
    <w:rsid w:val="00B508DF"/>
    <w:rsid w:val="00B55C35"/>
    <w:rsid w:val="00B61778"/>
    <w:rsid w:val="00B61AA6"/>
    <w:rsid w:val="00B63DCB"/>
    <w:rsid w:val="00B64000"/>
    <w:rsid w:val="00B643E1"/>
    <w:rsid w:val="00B65DE6"/>
    <w:rsid w:val="00B65E69"/>
    <w:rsid w:val="00B65EFF"/>
    <w:rsid w:val="00B66A5D"/>
    <w:rsid w:val="00B72CA0"/>
    <w:rsid w:val="00B73C7F"/>
    <w:rsid w:val="00B759F0"/>
    <w:rsid w:val="00B768EF"/>
    <w:rsid w:val="00B76D5C"/>
    <w:rsid w:val="00B84875"/>
    <w:rsid w:val="00B9344E"/>
    <w:rsid w:val="00B96DF2"/>
    <w:rsid w:val="00B97763"/>
    <w:rsid w:val="00BA41FE"/>
    <w:rsid w:val="00BB0BE5"/>
    <w:rsid w:val="00BB76AA"/>
    <w:rsid w:val="00BE1FE2"/>
    <w:rsid w:val="00BE2951"/>
    <w:rsid w:val="00BE2A26"/>
    <w:rsid w:val="00BF0B8F"/>
    <w:rsid w:val="00C00636"/>
    <w:rsid w:val="00C00D41"/>
    <w:rsid w:val="00C02D13"/>
    <w:rsid w:val="00C05AFA"/>
    <w:rsid w:val="00C0703E"/>
    <w:rsid w:val="00C07715"/>
    <w:rsid w:val="00C07E69"/>
    <w:rsid w:val="00C20AAD"/>
    <w:rsid w:val="00C22E98"/>
    <w:rsid w:val="00C30A04"/>
    <w:rsid w:val="00C42E4C"/>
    <w:rsid w:val="00C45F20"/>
    <w:rsid w:val="00C47CA9"/>
    <w:rsid w:val="00C50CE2"/>
    <w:rsid w:val="00C52BB3"/>
    <w:rsid w:val="00C535EF"/>
    <w:rsid w:val="00C53636"/>
    <w:rsid w:val="00C617AC"/>
    <w:rsid w:val="00C64384"/>
    <w:rsid w:val="00C66FFE"/>
    <w:rsid w:val="00C710A6"/>
    <w:rsid w:val="00C746D6"/>
    <w:rsid w:val="00C75584"/>
    <w:rsid w:val="00C81672"/>
    <w:rsid w:val="00C83FA3"/>
    <w:rsid w:val="00C912B0"/>
    <w:rsid w:val="00C97FAA"/>
    <w:rsid w:val="00CA1685"/>
    <w:rsid w:val="00CA53E9"/>
    <w:rsid w:val="00CA7D2D"/>
    <w:rsid w:val="00CB3328"/>
    <w:rsid w:val="00CB6597"/>
    <w:rsid w:val="00CC2880"/>
    <w:rsid w:val="00CD50D0"/>
    <w:rsid w:val="00CD59EB"/>
    <w:rsid w:val="00CF15F7"/>
    <w:rsid w:val="00CF2219"/>
    <w:rsid w:val="00D06858"/>
    <w:rsid w:val="00D06BC7"/>
    <w:rsid w:val="00D12FB2"/>
    <w:rsid w:val="00D1389C"/>
    <w:rsid w:val="00D138C6"/>
    <w:rsid w:val="00D1493D"/>
    <w:rsid w:val="00D14E4E"/>
    <w:rsid w:val="00D22417"/>
    <w:rsid w:val="00D25C39"/>
    <w:rsid w:val="00D36BBE"/>
    <w:rsid w:val="00D42064"/>
    <w:rsid w:val="00D449EB"/>
    <w:rsid w:val="00D46EC3"/>
    <w:rsid w:val="00D5148F"/>
    <w:rsid w:val="00D60D0C"/>
    <w:rsid w:val="00D63664"/>
    <w:rsid w:val="00D64FF4"/>
    <w:rsid w:val="00D6587D"/>
    <w:rsid w:val="00D674DF"/>
    <w:rsid w:val="00D677F1"/>
    <w:rsid w:val="00D67A89"/>
    <w:rsid w:val="00D763B5"/>
    <w:rsid w:val="00D80203"/>
    <w:rsid w:val="00D81088"/>
    <w:rsid w:val="00D83413"/>
    <w:rsid w:val="00D841DA"/>
    <w:rsid w:val="00D91E03"/>
    <w:rsid w:val="00DA07FE"/>
    <w:rsid w:val="00DA589E"/>
    <w:rsid w:val="00DB0C4A"/>
    <w:rsid w:val="00DB2D3F"/>
    <w:rsid w:val="00DB588E"/>
    <w:rsid w:val="00DC14C2"/>
    <w:rsid w:val="00DD2AFF"/>
    <w:rsid w:val="00DE4DC9"/>
    <w:rsid w:val="00E17FD9"/>
    <w:rsid w:val="00E20371"/>
    <w:rsid w:val="00E22DC5"/>
    <w:rsid w:val="00E3118A"/>
    <w:rsid w:val="00E32437"/>
    <w:rsid w:val="00E35A5C"/>
    <w:rsid w:val="00E35DE6"/>
    <w:rsid w:val="00E37AFB"/>
    <w:rsid w:val="00E44C0B"/>
    <w:rsid w:val="00E45AE2"/>
    <w:rsid w:val="00E50751"/>
    <w:rsid w:val="00E50BB5"/>
    <w:rsid w:val="00E60A5F"/>
    <w:rsid w:val="00E626D7"/>
    <w:rsid w:val="00E656FF"/>
    <w:rsid w:val="00E72E8A"/>
    <w:rsid w:val="00E74A56"/>
    <w:rsid w:val="00E77B11"/>
    <w:rsid w:val="00E77EEE"/>
    <w:rsid w:val="00E81CB9"/>
    <w:rsid w:val="00E82490"/>
    <w:rsid w:val="00E926FD"/>
    <w:rsid w:val="00E94D2D"/>
    <w:rsid w:val="00EA14C4"/>
    <w:rsid w:val="00EA1677"/>
    <w:rsid w:val="00EA4F04"/>
    <w:rsid w:val="00EB15E4"/>
    <w:rsid w:val="00EB1B6B"/>
    <w:rsid w:val="00EB6FE7"/>
    <w:rsid w:val="00EC415C"/>
    <w:rsid w:val="00ED1F0A"/>
    <w:rsid w:val="00ED26A7"/>
    <w:rsid w:val="00ED3852"/>
    <w:rsid w:val="00EE02FB"/>
    <w:rsid w:val="00EE2709"/>
    <w:rsid w:val="00EE2A9E"/>
    <w:rsid w:val="00EF0C15"/>
    <w:rsid w:val="00EF1129"/>
    <w:rsid w:val="00EF23D2"/>
    <w:rsid w:val="00EF2E3C"/>
    <w:rsid w:val="00EF512D"/>
    <w:rsid w:val="00EF5F0A"/>
    <w:rsid w:val="00F00EB3"/>
    <w:rsid w:val="00F02694"/>
    <w:rsid w:val="00F07C52"/>
    <w:rsid w:val="00F104B4"/>
    <w:rsid w:val="00F169F7"/>
    <w:rsid w:val="00F1763A"/>
    <w:rsid w:val="00F30E74"/>
    <w:rsid w:val="00F312DB"/>
    <w:rsid w:val="00F31B8E"/>
    <w:rsid w:val="00F32553"/>
    <w:rsid w:val="00F40B69"/>
    <w:rsid w:val="00F40FB9"/>
    <w:rsid w:val="00F436DF"/>
    <w:rsid w:val="00F43742"/>
    <w:rsid w:val="00F4700B"/>
    <w:rsid w:val="00F471FA"/>
    <w:rsid w:val="00F5021D"/>
    <w:rsid w:val="00F52887"/>
    <w:rsid w:val="00F62720"/>
    <w:rsid w:val="00F6324F"/>
    <w:rsid w:val="00F63871"/>
    <w:rsid w:val="00F655A0"/>
    <w:rsid w:val="00F65F01"/>
    <w:rsid w:val="00F66F0D"/>
    <w:rsid w:val="00F67CA3"/>
    <w:rsid w:val="00F67E8D"/>
    <w:rsid w:val="00F95734"/>
    <w:rsid w:val="00F95F7C"/>
    <w:rsid w:val="00FA08E1"/>
    <w:rsid w:val="00FA37E2"/>
    <w:rsid w:val="00FA3ABA"/>
    <w:rsid w:val="00FB038B"/>
    <w:rsid w:val="00FB07CD"/>
    <w:rsid w:val="00FB0FDE"/>
    <w:rsid w:val="00FB5225"/>
    <w:rsid w:val="00FB6991"/>
    <w:rsid w:val="00FC15A8"/>
    <w:rsid w:val="00FC1F06"/>
    <w:rsid w:val="00FC31FB"/>
    <w:rsid w:val="00FC507D"/>
    <w:rsid w:val="00FC5EB8"/>
    <w:rsid w:val="00FC6507"/>
    <w:rsid w:val="00FC7FA5"/>
    <w:rsid w:val="00FD0759"/>
    <w:rsid w:val="00FD19D8"/>
    <w:rsid w:val="00FD2F5C"/>
    <w:rsid w:val="00FD3BD1"/>
    <w:rsid w:val="00FD7173"/>
    <w:rsid w:val="00FE78B3"/>
    <w:rsid w:val="00FF09C3"/>
    <w:rsid w:val="0CDC7523"/>
    <w:rsid w:val="1921CBEE"/>
    <w:rsid w:val="2FF58F01"/>
    <w:rsid w:val="57744741"/>
    <w:rsid w:val="619405FB"/>
    <w:rsid w:val="68FD357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B8197C"/>
  <w15:docId w15:val="{70B96D93-AEF9-423F-90B8-D7A9280B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992"/>
    <w:pPr>
      <w:keepNext/>
      <w:keepLines/>
      <w:numPr>
        <w:numId w:val="1"/>
      </w:numPr>
      <w:spacing w:before="480" w:after="0"/>
      <w:outlineLvl w:val="0"/>
    </w:pPr>
    <w:rPr>
      <w:rFonts w:asciiTheme="majorHAnsi" w:eastAsiaTheme="majorEastAsia" w:hAnsiTheme="majorHAnsi" w:cstheme="majorBidi"/>
      <w:b/>
      <w:bCs/>
      <w:caps/>
      <w:sz w:val="28"/>
      <w:szCs w:val="28"/>
    </w:rPr>
  </w:style>
  <w:style w:type="paragraph" w:styleId="Heading2">
    <w:name w:val="heading 2"/>
    <w:basedOn w:val="Normal"/>
    <w:next w:val="Normal"/>
    <w:link w:val="Heading2Char"/>
    <w:uiPriority w:val="9"/>
    <w:unhideWhenUsed/>
    <w:qFormat/>
    <w:rsid w:val="001A3992"/>
    <w:pPr>
      <w:numPr>
        <w:ilvl w:val="1"/>
        <w:numId w:val="1"/>
      </w:numPr>
      <w:spacing w:before="240"/>
      <w:ind w:left="578" w:hanging="578"/>
      <w:outlineLvl w:val="1"/>
    </w:pPr>
    <w:rPr>
      <w:rFonts w:asciiTheme="majorHAnsi" w:hAnsiTheme="majorHAnsi"/>
      <w:b/>
      <w:smallCaps/>
      <w:sz w:val="24"/>
    </w:rPr>
  </w:style>
  <w:style w:type="paragraph" w:styleId="Heading3">
    <w:name w:val="heading 3"/>
    <w:basedOn w:val="Normal"/>
    <w:next w:val="Normal"/>
    <w:link w:val="Heading3Char"/>
    <w:uiPriority w:val="9"/>
    <w:unhideWhenUsed/>
    <w:qFormat/>
    <w:rsid w:val="001A3992"/>
    <w:pPr>
      <w:keepNext/>
      <w:keepLines/>
      <w:spacing w:before="200" w:after="0"/>
      <w:ind w:left="227"/>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1A399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A399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A399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A399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A399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A399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992"/>
    <w:rPr>
      <w:rFonts w:asciiTheme="majorHAnsi" w:eastAsiaTheme="majorEastAsia" w:hAnsiTheme="majorHAnsi" w:cstheme="majorBidi"/>
      <w:b/>
      <w:bCs/>
      <w:caps/>
      <w:sz w:val="28"/>
      <w:szCs w:val="28"/>
    </w:rPr>
  </w:style>
  <w:style w:type="character" w:customStyle="1" w:styleId="Heading2Char">
    <w:name w:val="Heading 2 Char"/>
    <w:basedOn w:val="DefaultParagraphFont"/>
    <w:link w:val="Heading2"/>
    <w:uiPriority w:val="9"/>
    <w:rsid w:val="001A3992"/>
    <w:rPr>
      <w:rFonts w:asciiTheme="majorHAnsi" w:hAnsiTheme="majorHAnsi"/>
      <w:b/>
      <w:smallCaps/>
      <w:sz w:val="24"/>
    </w:rPr>
  </w:style>
  <w:style w:type="character" w:customStyle="1" w:styleId="Heading3Char">
    <w:name w:val="Heading 3 Char"/>
    <w:basedOn w:val="DefaultParagraphFont"/>
    <w:link w:val="Heading3"/>
    <w:uiPriority w:val="9"/>
    <w:rsid w:val="001A39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1A399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A399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A399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A399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A399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A399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A3992"/>
    <w:pPr>
      <w:ind w:left="720"/>
      <w:contextualSpacing/>
    </w:pPr>
    <w:rPr>
      <w:rFonts w:ascii="Cambria" w:hAnsi="Cambria"/>
    </w:rPr>
  </w:style>
  <w:style w:type="character" w:styleId="CommentReference">
    <w:name w:val="annotation reference"/>
    <w:basedOn w:val="DefaultParagraphFont"/>
    <w:unhideWhenUsed/>
    <w:rsid w:val="001A3992"/>
    <w:rPr>
      <w:sz w:val="16"/>
      <w:szCs w:val="16"/>
    </w:rPr>
  </w:style>
  <w:style w:type="paragraph" w:styleId="CommentText">
    <w:name w:val="annotation text"/>
    <w:aliases w:val="Annotationtext"/>
    <w:basedOn w:val="Normal"/>
    <w:link w:val="CommentTextChar"/>
    <w:unhideWhenUsed/>
    <w:rsid w:val="001A3992"/>
    <w:pPr>
      <w:spacing w:line="240" w:lineRule="auto"/>
    </w:pPr>
    <w:rPr>
      <w:rFonts w:ascii="Cambria" w:hAnsi="Cambria"/>
      <w:sz w:val="20"/>
      <w:szCs w:val="20"/>
    </w:rPr>
  </w:style>
  <w:style w:type="character" w:customStyle="1" w:styleId="CommentTextChar">
    <w:name w:val="Comment Text Char"/>
    <w:aliases w:val="Annotationtext Char"/>
    <w:basedOn w:val="DefaultParagraphFont"/>
    <w:link w:val="CommentText"/>
    <w:rsid w:val="001A3992"/>
    <w:rPr>
      <w:rFonts w:ascii="Cambria" w:hAnsi="Cambria"/>
      <w:sz w:val="20"/>
      <w:szCs w:val="20"/>
    </w:rPr>
  </w:style>
  <w:style w:type="paragraph" w:styleId="FootnoteText">
    <w:name w:val="footnote text"/>
    <w:basedOn w:val="Normal"/>
    <w:link w:val="FootnoteTextChar"/>
    <w:uiPriority w:val="99"/>
    <w:rsid w:val="001A3992"/>
    <w:pPr>
      <w:keepLines/>
      <w:spacing w:before="180" w:after="180"/>
    </w:pPr>
    <w:rPr>
      <w:rFonts w:ascii="Calibri" w:eastAsia="Calibri" w:hAnsi="Calibri" w:cs="Times New Roman"/>
      <w:sz w:val="20"/>
    </w:rPr>
  </w:style>
  <w:style w:type="character" w:customStyle="1" w:styleId="FootnoteTextChar">
    <w:name w:val="Footnote Text Char"/>
    <w:basedOn w:val="DefaultParagraphFont"/>
    <w:link w:val="FootnoteText"/>
    <w:uiPriority w:val="99"/>
    <w:rsid w:val="001A3992"/>
    <w:rPr>
      <w:rFonts w:ascii="Calibri" w:eastAsia="Calibri" w:hAnsi="Calibri" w:cs="Times New Roman"/>
      <w:sz w:val="20"/>
    </w:rPr>
  </w:style>
  <w:style w:type="character" w:styleId="FootnoteReference">
    <w:name w:val="footnote reference"/>
    <w:basedOn w:val="DefaultParagraphFont"/>
    <w:uiPriority w:val="99"/>
    <w:unhideWhenUsed/>
    <w:rsid w:val="001A3992"/>
    <w:rPr>
      <w:vertAlign w:val="superscript"/>
    </w:rPr>
  </w:style>
  <w:style w:type="paragraph" w:styleId="ListBullet">
    <w:name w:val="List Bullet"/>
    <w:basedOn w:val="Normal"/>
    <w:uiPriority w:val="99"/>
    <w:unhideWhenUsed/>
    <w:rsid w:val="001A3992"/>
    <w:pPr>
      <w:ind w:left="425" w:hanging="425"/>
      <w:contextualSpacing/>
    </w:pPr>
    <w:rPr>
      <w:rFonts w:ascii="Cambria" w:hAnsi="Cambria"/>
    </w:rPr>
  </w:style>
  <w:style w:type="character" w:styleId="Hyperlink">
    <w:name w:val="Hyperlink"/>
    <w:basedOn w:val="DefaultParagraphFont"/>
    <w:uiPriority w:val="99"/>
    <w:unhideWhenUsed/>
    <w:rsid w:val="001A3992"/>
    <w:rPr>
      <w:color w:val="0000FF" w:themeColor="hyperlink"/>
      <w:u w:val="single"/>
    </w:rPr>
  </w:style>
  <w:style w:type="table" w:styleId="LightGrid">
    <w:name w:val="Light Grid"/>
    <w:basedOn w:val="TableNormal"/>
    <w:uiPriority w:val="62"/>
    <w:rsid w:val="001A399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er">
    <w:name w:val="footer"/>
    <w:basedOn w:val="Normal"/>
    <w:link w:val="FooterChar"/>
    <w:unhideWhenUsed/>
    <w:rsid w:val="001A3992"/>
    <w:pPr>
      <w:tabs>
        <w:tab w:val="center" w:pos="4513"/>
        <w:tab w:val="right" w:pos="9026"/>
      </w:tabs>
      <w:spacing w:after="0" w:line="240" w:lineRule="auto"/>
    </w:pPr>
    <w:rPr>
      <w:rFonts w:ascii="Cambria" w:hAnsi="Cambria"/>
    </w:rPr>
  </w:style>
  <w:style w:type="character" w:customStyle="1" w:styleId="FooterChar">
    <w:name w:val="Footer Char"/>
    <w:basedOn w:val="DefaultParagraphFont"/>
    <w:link w:val="Footer"/>
    <w:rsid w:val="001A3992"/>
    <w:rPr>
      <w:rFonts w:ascii="Cambria" w:hAnsi="Cambria"/>
    </w:rPr>
  </w:style>
  <w:style w:type="paragraph" w:styleId="BalloonText">
    <w:name w:val="Balloon Text"/>
    <w:basedOn w:val="Normal"/>
    <w:link w:val="BalloonTextChar"/>
    <w:semiHidden/>
    <w:unhideWhenUsed/>
    <w:rsid w:val="001A3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A3992"/>
    <w:rPr>
      <w:rFonts w:ascii="Tahoma" w:hAnsi="Tahoma" w:cs="Tahoma"/>
      <w:sz w:val="16"/>
      <w:szCs w:val="16"/>
    </w:rPr>
  </w:style>
  <w:style w:type="numbering" w:customStyle="1" w:styleId="NoList1">
    <w:name w:val="No List1"/>
    <w:next w:val="NoList"/>
    <w:uiPriority w:val="99"/>
    <w:semiHidden/>
    <w:unhideWhenUsed/>
    <w:rsid w:val="008D23B3"/>
  </w:style>
  <w:style w:type="paragraph" w:styleId="Header">
    <w:name w:val="header"/>
    <w:basedOn w:val="Normal"/>
    <w:link w:val="HeaderChar"/>
    <w:rsid w:val="008D23B3"/>
    <w:pPr>
      <w:tabs>
        <w:tab w:val="left" w:pos="567"/>
        <w:tab w:val="center" w:pos="4153"/>
        <w:tab w:val="right" w:pos="8306"/>
      </w:tabs>
      <w:spacing w:after="0" w:line="260" w:lineRule="exact"/>
    </w:pPr>
    <w:rPr>
      <w:rFonts w:ascii="Arial" w:eastAsia="Times New Roman" w:hAnsi="Arial" w:cs="Times New Roman"/>
      <w:sz w:val="20"/>
      <w:szCs w:val="20"/>
      <w:lang w:val="en-GB"/>
    </w:rPr>
  </w:style>
  <w:style w:type="character" w:customStyle="1" w:styleId="HeaderChar">
    <w:name w:val="Header Char"/>
    <w:basedOn w:val="DefaultParagraphFont"/>
    <w:link w:val="Header"/>
    <w:rsid w:val="008D23B3"/>
    <w:rPr>
      <w:rFonts w:ascii="Arial" w:eastAsia="Times New Roman" w:hAnsi="Arial" w:cs="Times New Roman"/>
      <w:sz w:val="20"/>
      <w:szCs w:val="20"/>
      <w:lang w:val="en-GB"/>
    </w:rPr>
  </w:style>
  <w:style w:type="paragraph" w:customStyle="1" w:styleId="MemoHeaderStyle">
    <w:name w:val="MemoHeaderStyle"/>
    <w:basedOn w:val="Normal"/>
    <w:next w:val="Normal"/>
    <w:rsid w:val="008D23B3"/>
    <w:pPr>
      <w:tabs>
        <w:tab w:val="left" w:pos="567"/>
      </w:tabs>
      <w:spacing w:after="0" w:line="120" w:lineRule="atLeast"/>
      <w:ind w:left="1418"/>
      <w:jc w:val="both"/>
    </w:pPr>
    <w:rPr>
      <w:rFonts w:ascii="Arial" w:eastAsia="Times New Roman" w:hAnsi="Arial" w:cs="Times New Roman"/>
      <w:b/>
      <w:smallCaps/>
      <w:szCs w:val="20"/>
      <w:lang w:val="en-GB"/>
    </w:rPr>
  </w:style>
  <w:style w:type="character" w:styleId="PageNumber">
    <w:name w:val="page number"/>
    <w:basedOn w:val="DefaultParagraphFont"/>
    <w:rsid w:val="008D23B3"/>
  </w:style>
  <w:style w:type="paragraph" w:styleId="BodyText">
    <w:name w:val="Body Text"/>
    <w:basedOn w:val="Normal"/>
    <w:link w:val="BodyTextChar"/>
    <w:rsid w:val="008D23B3"/>
    <w:pPr>
      <w:spacing w:after="0" w:line="240" w:lineRule="auto"/>
    </w:pPr>
    <w:rPr>
      <w:rFonts w:ascii="Times New Roman" w:eastAsia="Times New Roman" w:hAnsi="Times New Roman" w:cs="Times New Roman"/>
      <w:i/>
      <w:color w:val="008000"/>
      <w:szCs w:val="20"/>
      <w:lang w:val="en-GB"/>
    </w:rPr>
  </w:style>
  <w:style w:type="character" w:customStyle="1" w:styleId="BodyTextChar">
    <w:name w:val="Body Text Char"/>
    <w:basedOn w:val="DefaultParagraphFont"/>
    <w:link w:val="BodyText"/>
    <w:rsid w:val="008D23B3"/>
    <w:rPr>
      <w:rFonts w:ascii="Times New Roman" w:eastAsia="Times New Roman" w:hAnsi="Times New Roman" w:cs="Times New Roman"/>
      <w:i/>
      <w:color w:val="008000"/>
      <w:szCs w:val="20"/>
      <w:lang w:val="en-GB"/>
    </w:rPr>
  </w:style>
  <w:style w:type="paragraph" w:customStyle="1" w:styleId="EMEAEnBodyText">
    <w:name w:val="EMEA En Body Text"/>
    <w:basedOn w:val="Normal"/>
    <w:rsid w:val="008D23B3"/>
    <w:pPr>
      <w:spacing w:before="120" w:after="120" w:line="240" w:lineRule="auto"/>
      <w:jc w:val="both"/>
    </w:pPr>
    <w:rPr>
      <w:rFonts w:ascii="Times New Roman" w:eastAsia="Times New Roman" w:hAnsi="Times New Roman" w:cs="Times New Roman"/>
      <w:szCs w:val="20"/>
      <w:lang w:val="en-US"/>
    </w:rPr>
  </w:style>
  <w:style w:type="paragraph" w:customStyle="1" w:styleId="BodytextAgency">
    <w:name w:val="Body text (Agency)"/>
    <w:basedOn w:val="Normal"/>
    <w:link w:val="BodytextAgencyChar"/>
    <w:rsid w:val="008D23B3"/>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8D23B3"/>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rsid w:val="008D23B3"/>
    <w:pPr>
      <w:spacing w:after="140" w:line="280" w:lineRule="atLeast"/>
    </w:pPr>
    <w:rPr>
      <w:rFonts w:ascii="Courier New" w:eastAsia="Verdana" w:hAnsi="Courier New" w:cs="Times New Roman"/>
      <w:i/>
      <w:color w:val="339966"/>
      <w:szCs w:val="18"/>
      <w:lang w:val="en-GB" w:eastAsia="en-GB"/>
    </w:rPr>
  </w:style>
  <w:style w:type="character" w:customStyle="1" w:styleId="DraftingNotesAgencyChar">
    <w:name w:val="Drafting Notes (Agency) Char"/>
    <w:link w:val="DraftingNotesAgency"/>
    <w:rsid w:val="008D23B3"/>
    <w:rPr>
      <w:rFonts w:ascii="Courier New" w:eastAsia="Verdana" w:hAnsi="Courier New" w:cs="Times New Roman"/>
      <w:i/>
      <w:color w:val="339966"/>
      <w:szCs w:val="18"/>
      <w:lang w:val="en-GB" w:eastAsia="en-GB"/>
    </w:rPr>
  </w:style>
  <w:style w:type="paragraph" w:customStyle="1" w:styleId="NormalAgency">
    <w:name w:val="Normal (Agency)"/>
    <w:link w:val="NormalAgencyChar"/>
    <w:rsid w:val="008D23B3"/>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TableNormal"/>
    <w:semiHidden/>
    <w:rsid w:val="008D23B3"/>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8D23B3"/>
    <w:pPr>
      <w:keepNext/>
    </w:pPr>
    <w:rPr>
      <w:rFonts w:eastAsia="Times New Roman"/>
      <w:b/>
    </w:rPr>
  </w:style>
  <w:style w:type="paragraph" w:customStyle="1" w:styleId="TabletextrowsAgency">
    <w:name w:val="Table text rows (Agency)"/>
    <w:basedOn w:val="Normal"/>
    <w:rsid w:val="008D23B3"/>
    <w:pPr>
      <w:spacing w:after="0" w:line="280" w:lineRule="exact"/>
    </w:pPr>
    <w:rPr>
      <w:rFonts w:ascii="Verdana" w:eastAsia="Times New Roman" w:hAnsi="Verdana" w:cs="Verdana"/>
      <w:sz w:val="18"/>
      <w:szCs w:val="18"/>
      <w:lang w:val="en-GB" w:eastAsia="zh-CN"/>
    </w:rPr>
  </w:style>
  <w:style w:type="character" w:customStyle="1" w:styleId="NormalAgencyChar">
    <w:name w:val="Normal (Agency) Char"/>
    <w:link w:val="NormalAgency"/>
    <w:rsid w:val="008D23B3"/>
    <w:rPr>
      <w:rFonts w:ascii="Verdana" w:eastAsia="Verdana" w:hAnsi="Verdana" w:cs="Verdana"/>
      <w:sz w:val="18"/>
      <w:szCs w:val="18"/>
      <w:lang w:val="en-GB" w:eastAsia="en-GB"/>
    </w:rPr>
  </w:style>
  <w:style w:type="paragraph" w:styleId="CommentSubject">
    <w:name w:val="annotation subject"/>
    <w:basedOn w:val="CommentText"/>
    <w:next w:val="CommentText"/>
    <w:link w:val="CommentSubjectChar"/>
    <w:rsid w:val="008D23B3"/>
    <w:pPr>
      <w:tabs>
        <w:tab w:val="left" w:pos="567"/>
      </w:tabs>
      <w:spacing w:after="0" w:line="260" w:lineRule="exact"/>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rsid w:val="008D23B3"/>
    <w:rPr>
      <w:rFonts w:ascii="Times New Roman" w:eastAsia="Times New Roman" w:hAnsi="Times New Roman" w:cs="Times New Roman"/>
      <w:b/>
      <w:bCs/>
      <w:sz w:val="20"/>
      <w:szCs w:val="20"/>
      <w:lang w:val="en-GB"/>
    </w:rPr>
  </w:style>
  <w:style w:type="paragraph" w:styleId="Revision">
    <w:name w:val="Revision"/>
    <w:hidden/>
    <w:uiPriority w:val="99"/>
    <w:semiHidden/>
    <w:rsid w:val="008D23B3"/>
    <w:pPr>
      <w:spacing w:after="0" w:line="240" w:lineRule="auto"/>
    </w:pPr>
    <w:rPr>
      <w:rFonts w:ascii="Times New Roman" w:eastAsia="Times New Roman" w:hAnsi="Times New Roman" w:cs="Times New Roman"/>
      <w:szCs w:val="20"/>
      <w:lang w:val="en-GB"/>
    </w:rPr>
  </w:style>
  <w:style w:type="character" w:customStyle="1" w:styleId="UnresolvedMention1">
    <w:name w:val="Unresolved Mention1"/>
    <w:basedOn w:val="DefaultParagraphFont"/>
    <w:rsid w:val="008D23B3"/>
    <w:rPr>
      <w:color w:val="605E5C"/>
      <w:shd w:val="clear" w:color="auto" w:fill="E1DFDD"/>
    </w:rPr>
  </w:style>
  <w:style w:type="character" w:customStyle="1" w:styleId="FollowedHyperlink1">
    <w:name w:val="FollowedHyperlink1"/>
    <w:basedOn w:val="DefaultParagraphFont"/>
    <w:rsid w:val="008D23B3"/>
    <w:rPr>
      <w:color w:val="954F72"/>
      <w:u w:val="single"/>
    </w:rPr>
  </w:style>
  <w:style w:type="character" w:customStyle="1" w:styleId="UnresolvedMention2">
    <w:name w:val="Unresolved Mention2"/>
    <w:basedOn w:val="DefaultParagraphFont"/>
    <w:rsid w:val="008D23B3"/>
    <w:rPr>
      <w:color w:val="605E5C"/>
      <w:shd w:val="clear" w:color="auto" w:fill="E1DFDD"/>
    </w:rPr>
  </w:style>
  <w:style w:type="table" w:styleId="TableGrid">
    <w:name w:val="Table Grid"/>
    <w:basedOn w:val="TableNormal"/>
    <w:uiPriority w:val="59"/>
    <w:rsid w:val="008D23B3"/>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D23B3"/>
    <w:pPr>
      <w:spacing w:after="0" w:line="240" w:lineRule="auto"/>
    </w:pPr>
    <w:rPr>
      <w:rFonts w:ascii="Calibri" w:eastAsia="Batang"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D23B3"/>
    <w:pPr>
      <w:spacing w:after="0" w:line="240" w:lineRule="auto"/>
    </w:pPr>
    <w:rPr>
      <w:rFonts w:eastAsia="Yu Mincho"/>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D23B3"/>
    <w:pPr>
      <w:spacing w:after="0" w:line="240" w:lineRule="auto"/>
    </w:pPr>
    <w:rPr>
      <w:rFonts w:eastAsia="Yu Mincho"/>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23B3"/>
    <w:pPr>
      <w:autoSpaceDE w:val="0"/>
      <w:autoSpaceDN w:val="0"/>
      <w:adjustRightInd w:val="0"/>
      <w:spacing w:after="0" w:line="240" w:lineRule="auto"/>
    </w:pPr>
    <w:rPr>
      <w:rFonts w:ascii="Arial" w:eastAsia="Calibri" w:hAnsi="Arial" w:cs="Arial"/>
      <w:color w:val="000000"/>
      <w:sz w:val="24"/>
      <w:szCs w:val="24"/>
      <w:lang w:val="en-US" w:eastAsia="en-GB"/>
    </w:rPr>
  </w:style>
  <w:style w:type="paragraph" w:customStyle="1" w:styleId="TitleA">
    <w:name w:val="Title A"/>
    <w:basedOn w:val="Normal"/>
    <w:qFormat/>
    <w:rsid w:val="008D23B3"/>
    <w:pPr>
      <w:tabs>
        <w:tab w:val="left" w:pos="567"/>
      </w:tabs>
      <w:spacing w:after="0" w:line="240" w:lineRule="auto"/>
      <w:jc w:val="center"/>
      <w:outlineLvl w:val="0"/>
    </w:pPr>
    <w:rPr>
      <w:rFonts w:ascii="Times New Roman" w:eastAsia="Times New Roman" w:hAnsi="Times New Roman" w:cs="Times New Roman"/>
      <w:b/>
      <w:szCs w:val="20"/>
      <w:lang w:val="en-GB"/>
    </w:rPr>
  </w:style>
  <w:style w:type="paragraph" w:customStyle="1" w:styleId="TitleB">
    <w:name w:val="Title B"/>
    <w:basedOn w:val="Normal"/>
    <w:qFormat/>
    <w:rsid w:val="008D23B3"/>
    <w:pPr>
      <w:tabs>
        <w:tab w:val="left" w:pos="567"/>
      </w:tabs>
      <w:spacing w:after="0" w:line="240" w:lineRule="auto"/>
      <w:ind w:left="567" w:hanging="567"/>
    </w:pPr>
    <w:rPr>
      <w:rFonts w:ascii="Times New Roman" w:eastAsia="Times New Roman" w:hAnsi="Times New Roman" w:cs="Times New Roman"/>
      <w:b/>
      <w:szCs w:val="20"/>
      <w:lang w:val="en-GB"/>
    </w:rPr>
  </w:style>
  <w:style w:type="character" w:styleId="FollowedHyperlink">
    <w:name w:val="FollowedHyperlink"/>
    <w:basedOn w:val="DefaultParagraphFont"/>
    <w:uiPriority w:val="99"/>
    <w:semiHidden/>
    <w:unhideWhenUsed/>
    <w:rsid w:val="008D23B3"/>
    <w:rPr>
      <w:color w:val="800080" w:themeColor="followedHyperlink"/>
      <w:u w:val="single"/>
    </w:rPr>
  </w:style>
  <w:style w:type="character" w:styleId="UnresolvedMention">
    <w:name w:val="Unresolved Mention"/>
    <w:basedOn w:val="DefaultParagraphFont"/>
    <w:uiPriority w:val="99"/>
    <w:semiHidden/>
    <w:unhideWhenUsed/>
    <w:rsid w:val="00FD19D8"/>
    <w:rPr>
      <w:color w:val="605E5C"/>
      <w:shd w:val="clear" w:color="auto" w:fill="E1DFDD"/>
    </w:rPr>
  </w:style>
  <w:style w:type="paragraph" w:customStyle="1" w:styleId="TableParagraph">
    <w:name w:val="Table Paragraph"/>
    <w:basedOn w:val="Normal"/>
    <w:uiPriority w:val="1"/>
    <w:qFormat/>
    <w:rsid w:val="005625E6"/>
    <w:pPr>
      <w:widowControl w:val="0"/>
      <w:autoSpaceDE w:val="0"/>
      <w:autoSpaceDN w:val="0"/>
      <w:spacing w:before="60" w:after="0" w:line="240" w:lineRule="auto"/>
      <w:ind w:left="15"/>
      <w:jc w:val="center"/>
    </w:pPr>
    <w:rPr>
      <w:rFonts w:ascii="Times New Roman" w:eastAsia="Times New Roman" w:hAnsi="Times New Roman" w:cs="Times New Roman"/>
      <w:lang w:val="en-US"/>
    </w:rPr>
  </w:style>
  <w:style w:type="character" w:styleId="Mention">
    <w:name w:val="Mention"/>
    <w:basedOn w:val="DefaultParagraphFont"/>
    <w:uiPriority w:val="99"/>
    <w:unhideWhenUsed/>
    <w:rsid w:val="002A29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tga.gov.au/reporting-problem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ga.gov.au/reporting-problems" TargetMode="External"/><Relationship Id="rId5" Type="http://schemas.openxmlformats.org/officeDocument/2006/relationships/numbering" Target="numbering.xml"/><Relationship Id="rId15" Type="http://schemas.openxmlformats.org/officeDocument/2006/relationships/hyperlink" Target="http://www.otsuka.com.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www.tga.gov.au/products/australian-register-therapeutic-goods-artg/product-information-p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aila.Alina\Box\RA_QA\Donidalorsen\Module%201\PI-CMI\Ref\pi-template-new-format-with-black-triang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D838923ADE3D4D85F5CDABF2E3CDAE" ma:contentTypeVersion="16" ma:contentTypeDescription="Create a new document." ma:contentTypeScope="" ma:versionID="1663be474cd1712416e2651a127fd779">
  <xsd:schema xmlns:xsd="http://www.w3.org/2001/XMLSchema" xmlns:xs="http://www.w3.org/2001/XMLSchema" xmlns:p="http://schemas.microsoft.com/office/2006/metadata/properties" xmlns:ns2="4b1818a1-5fef-4dcf-b161-dd9a62f12e1c" xmlns:ns3="3ba0ce21-a919-4d95-9852-5846fc219506" xmlns:ns4="http://schemas.microsoft.com/sharepoint/v3/fields" targetNamespace="http://schemas.microsoft.com/office/2006/metadata/properties" ma:root="true" ma:fieldsID="17cc2c6a7665c26888f4d5c3bd57e319" ns2:_="" ns3:_="" ns4:_="">
    <xsd:import namespace="4b1818a1-5fef-4dcf-b161-dd9a62f12e1c"/>
    <xsd:import namespace="3ba0ce21-a919-4d95-9852-5846fc219506"/>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3:SharedWithUsers" minOccurs="0"/>
                <xsd:element ref="ns3:SharedWithDetails" minOccurs="0"/>
                <xsd:element ref="ns4:_Vers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818a1-5fef-4dcf-b161-dd9a62f12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a160abd-9ac8-433d-b5f4-56a17a63a3f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0ce21-a919-4d95-9852-5846fc2195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68e6c33-6f77-4e0d-b8c3-67f76ae6f5a2}" ma:internalName="TaxCatchAll" ma:showField="CatchAllData" ma:web="3ba0ce21-a919-4d95-9852-5846fc21950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2" nillable="true" ma:displayName="Version" ma:format="Dropdown" ma:internalName="_Version"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lcf76f155ced4ddcb4097134ff3c332f xmlns="4b1818a1-5fef-4dcf-b161-dd9a62f12e1c">
      <Terms xmlns="http://schemas.microsoft.com/office/infopath/2007/PartnerControls"/>
    </lcf76f155ced4ddcb4097134ff3c332f>
    <TaxCatchAll xmlns="3ba0ce21-a919-4d95-9852-5846fc2195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5D69F-E7DF-498D-A218-AF0F99F20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818a1-5fef-4dcf-b161-dd9a62f12e1c"/>
    <ds:schemaRef ds:uri="3ba0ce21-a919-4d95-9852-5846fc219506"/>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861D6-4499-4ADB-8A29-89B2F5F4E0FE}">
  <ds:schemaRefs>
    <ds:schemaRef ds:uri="http://schemas.microsoft.com/sharepoint/v3/contenttype/forms"/>
  </ds:schemaRefs>
</ds:datastoreItem>
</file>

<file path=customXml/itemProps3.xml><?xml version="1.0" encoding="utf-8"?>
<ds:datastoreItem xmlns:ds="http://schemas.openxmlformats.org/officeDocument/2006/customXml" ds:itemID="{16F25827-D58E-43BA-B599-D665D6D989C7}">
  <ds:schemaRefs>
    <ds:schemaRef ds:uri="http://schemas.microsoft.com/office/2006/metadata/properties"/>
    <ds:schemaRef ds:uri="http://schemas.microsoft.com/office/infopath/2007/PartnerControls"/>
    <ds:schemaRef ds:uri="http://schemas.microsoft.com/sharepoint/v3/fields"/>
    <ds:schemaRef ds:uri="4b1818a1-5fef-4dcf-b161-dd9a62f12e1c"/>
    <ds:schemaRef ds:uri="3ba0ce21-a919-4d95-9852-5846fc219506"/>
  </ds:schemaRefs>
</ds:datastoreItem>
</file>

<file path=customXml/itemProps4.xml><?xml version="1.0" encoding="utf-8"?>
<ds:datastoreItem xmlns:ds="http://schemas.openxmlformats.org/officeDocument/2006/customXml" ds:itemID="{56FD305D-7B53-4A79-A158-2631FB472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pi-template-new-format-with-black-triangle.dotx</Template>
  <TotalTime>14</TotalTime>
  <Pages>17</Pages>
  <Words>4885</Words>
  <Characters>27801</Characters>
  <Application>Microsoft Office Word</Application>
  <DocSecurity>0</DocSecurity>
  <Lines>661</Lines>
  <Paragraphs>403</Paragraphs>
  <ScaleCrop>false</ScaleCrop>
  <HeadingPairs>
    <vt:vector size="2" baseType="variant">
      <vt:variant>
        <vt:lpstr>Title</vt:lpstr>
      </vt:variant>
      <vt:variant>
        <vt:i4>1</vt:i4>
      </vt:variant>
    </vt:vector>
  </HeadingPairs>
  <TitlesOfParts>
    <vt:vector size="1" baseType="lpstr">
      <vt:lpstr>Attachment Product information Zirdawny</vt:lpstr>
    </vt:vector>
  </TitlesOfParts>
  <Company>Otsuka Australia Pharmaceutical</Company>
  <LinksUpToDate>false</LinksUpToDate>
  <CharactersWithSpaces>32283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Product information Zirdawny</dc:title>
  <dc:subject>prescription medicines</dc:subject>
  <dc:creator>Otsuka Australia Pharmaceutical</dc:creator>
  <cp:keywords/>
  <cp:lastModifiedBy>LACK, Janet</cp:lastModifiedBy>
  <cp:revision>3</cp:revision>
  <cp:lastPrinted>2017-11-13T10:13:00Z</cp:lastPrinted>
  <dcterms:created xsi:type="dcterms:W3CDTF">2026-08-19T02:14:00Z</dcterms:created>
  <dcterms:modified xsi:type="dcterms:W3CDTF">2026-08-19T02:29:00Z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0x01010012D838923ADE3D4D85F5CDABF2E3CDAE</vt:lpwstr>
  </property>
  <property fmtid="{D5CDD505-2E9C-101B-9397-08002B2CF9AE}" pid="3" name="MediaServiceImageTags">
    <vt:lpwstr/>
  </property>
  <property fmtid="{D5CDD505-2E9C-101B-9397-08002B2CF9AE}" pid="4" name="ClassificationContentMarkingHeaderShapeIds">
    <vt:lpwstr>71618bed,7015ad5a,2342e9e4</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6fdf9029,62c220aa,55b59cf</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2026-08-14T05:33:49Z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f937564c-e615-4158-aa67-86d59df1e7a5</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