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02AEC" w:rsidRPr="00215D48" w14:paraId="08AE1D54" w14:textId="77777777" w:rsidTr="00346EC2">
        <w:trPr>
          <w:trHeight w:val="1558"/>
        </w:trPr>
        <w:tc>
          <w:tcPr>
            <w:tcW w:w="8720" w:type="dxa"/>
          </w:tcPr>
          <w:p w14:paraId="2538A211" w14:textId="0B6CEE7A" w:rsidR="00F02AEC" w:rsidRPr="00215D48" w:rsidRDefault="00346EC2" w:rsidP="007452E8">
            <w:pPr>
              <w:pStyle w:val="Title"/>
            </w:pPr>
            <w:r w:rsidRPr="00346EC2">
              <w:t xml:space="preserve">Australian Public Assessment Report for </w:t>
            </w:r>
            <w:proofErr w:type="spellStart"/>
            <w:r w:rsidR="00F871DB">
              <w:t>Enflonsia</w:t>
            </w:r>
            <w:proofErr w:type="spellEnd"/>
          </w:p>
        </w:tc>
      </w:tr>
      <w:tr w:rsidR="00F02AEC" w:rsidRPr="00215D48" w14:paraId="318A40A3" w14:textId="77777777" w:rsidTr="00346EC2">
        <w:trPr>
          <w:trHeight w:val="995"/>
        </w:trPr>
        <w:tc>
          <w:tcPr>
            <w:tcW w:w="8720" w:type="dxa"/>
          </w:tcPr>
          <w:p w14:paraId="1AA7C701" w14:textId="70B455CA" w:rsidR="00F02AEC" w:rsidRPr="00215D48" w:rsidRDefault="00346EC2" w:rsidP="007452E8">
            <w:pPr>
              <w:pStyle w:val="Subtitle"/>
              <w:ind w:left="0"/>
            </w:pPr>
            <w:r w:rsidRPr="00346EC2">
              <w:t xml:space="preserve">Active ingredient: </w:t>
            </w:r>
            <w:proofErr w:type="spellStart"/>
            <w:r w:rsidR="00C02CBB">
              <w:t>Clesrovimab</w:t>
            </w:r>
            <w:proofErr w:type="spellEnd"/>
          </w:p>
        </w:tc>
      </w:tr>
      <w:tr w:rsidR="00346EC2" w:rsidRPr="00215D48" w14:paraId="362CCAE4" w14:textId="77777777" w:rsidTr="007452E8">
        <w:trPr>
          <w:trHeight w:val="1916"/>
        </w:trPr>
        <w:tc>
          <w:tcPr>
            <w:tcW w:w="8720" w:type="dxa"/>
          </w:tcPr>
          <w:p w14:paraId="709C45C0" w14:textId="3BAED45D" w:rsidR="00346EC2" w:rsidRPr="00215D48" w:rsidRDefault="00346EC2" w:rsidP="00986E25">
            <w:pPr>
              <w:pStyle w:val="Subtitle"/>
              <w:ind w:left="0"/>
            </w:pPr>
            <w:r w:rsidRPr="00346EC2">
              <w:t xml:space="preserve">Sponsor: </w:t>
            </w:r>
            <w:r w:rsidR="00F876F6" w:rsidRPr="00F876F6">
              <w:t xml:space="preserve">Merck Sharp &amp; Dohme (Australia) </w:t>
            </w:r>
            <w:r w:rsidR="00F876F6" w:rsidRPr="00F876F6">
              <w:rPr>
                <w:bCs w:val="0"/>
              </w:rPr>
              <w:t>Pty Ltd</w:t>
            </w:r>
          </w:p>
        </w:tc>
      </w:tr>
      <w:tr w:rsidR="00F02AEC" w:rsidRPr="00215D48" w14:paraId="37F2AA1F" w14:textId="77777777" w:rsidTr="007452E8">
        <w:tc>
          <w:tcPr>
            <w:tcW w:w="8720" w:type="dxa"/>
          </w:tcPr>
          <w:p w14:paraId="1FDE8DCD" w14:textId="204FF6CC" w:rsidR="00F02AEC" w:rsidRPr="00215D48" w:rsidRDefault="00755073" w:rsidP="007452E8">
            <w:pPr>
              <w:pStyle w:val="Date"/>
            </w:pPr>
            <w:r>
              <w:t xml:space="preserve">August </w:t>
            </w:r>
            <w:r w:rsidR="00F876F6">
              <w:t>2026</w:t>
            </w:r>
          </w:p>
        </w:tc>
      </w:tr>
    </w:tbl>
    <w:p w14:paraId="73752706" w14:textId="77777777" w:rsidR="00F02AEC" w:rsidRPr="00215D48" w:rsidRDefault="00F02AEC" w:rsidP="007452E8">
      <w:pPr>
        <w:pStyle w:val="ListBullet"/>
        <w:numPr>
          <w:ilvl w:val="0"/>
          <w:numId w:val="0"/>
        </w:numPr>
        <w:sectPr w:rsidR="00F02AEC" w:rsidRPr="00215D48" w:rsidSect="00CB055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2170A423" w14:textId="77777777" w:rsidR="00346EC2" w:rsidRPr="001F6CBA" w:rsidRDefault="00346EC2" w:rsidP="00346EC2">
      <w:pPr>
        <w:pStyle w:val="NonTOCHeading20"/>
      </w:pPr>
      <w:r w:rsidRPr="001F6CBA">
        <w:lastRenderedPageBreak/>
        <w:t>About the Therapeutic Goods Administration (TGA)</w:t>
      </w:r>
    </w:p>
    <w:p w14:paraId="79558AE9" w14:textId="038D0DA4" w:rsidR="00346EC2" w:rsidRPr="00391B0C" w:rsidRDefault="00346EC2" w:rsidP="0056766D">
      <w:pPr>
        <w:pStyle w:val="ListBullet"/>
      </w:pPr>
      <w:r w:rsidRPr="00391B0C">
        <w:t xml:space="preserve">The Therapeutic Goods Administration (TGA) is part of the Australian Government </w:t>
      </w:r>
      <w:r w:rsidRPr="00C22214">
        <w:t>Department of Health</w:t>
      </w:r>
      <w:r w:rsidR="0006693A">
        <w:t>, Disability</w:t>
      </w:r>
      <w:r w:rsidRPr="00C22214">
        <w:t xml:space="preserve"> and Ag</w:t>
      </w:r>
      <w:r w:rsidR="0006693A">
        <w:t>eing</w:t>
      </w:r>
      <w:r>
        <w:t xml:space="preserve"> </w:t>
      </w:r>
      <w:r w:rsidRPr="00391B0C">
        <w:t>and is responsible for regulating therapeutic goods, including medicines, medical devices, and biologicals.</w:t>
      </w:r>
    </w:p>
    <w:p w14:paraId="61BEFDB6" w14:textId="77777777" w:rsidR="00346EC2" w:rsidRPr="00391B0C" w:rsidRDefault="00346EC2" w:rsidP="00346EC2">
      <w:pPr>
        <w:pStyle w:val="ListBullet"/>
      </w:pPr>
      <w:r w:rsidRPr="00391B0C">
        <w:t xml:space="preserve">The TGA administers the </w:t>
      </w:r>
      <w:r w:rsidRPr="00822FCB">
        <w:rPr>
          <w:i/>
          <w:iCs/>
        </w:rPr>
        <w:t>Therapeutic Goods Act 1989</w:t>
      </w:r>
      <w:r w:rsidRPr="00391B0C">
        <w:t xml:space="preserve"> (the Act), applying a risk management approach designed to ensure therapeutic goods supplied in Australia meet acceptable standards of quality, safety, and efficacy.</w:t>
      </w:r>
    </w:p>
    <w:p w14:paraId="77180CB3" w14:textId="77777777" w:rsidR="00346EC2" w:rsidRPr="003C6D1F" w:rsidRDefault="00346EC2" w:rsidP="00346EC2">
      <w:pPr>
        <w:pStyle w:val="ListBullet"/>
      </w:pPr>
      <w:r w:rsidRPr="003C6D1F">
        <w:t xml:space="preserve">The work of the TGA is based on applying scientific and clinical expertise to decision-making, to ensure that the benefits to </w:t>
      </w:r>
      <w:r>
        <w:t>the Australian public</w:t>
      </w:r>
      <w:r w:rsidRPr="003C6D1F">
        <w:t xml:space="preserve"> outweigh any risks associated with the use of </w:t>
      </w:r>
      <w:r>
        <w:t>therapeutic goods</w:t>
      </w:r>
      <w:r w:rsidRPr="003C6D1F">
        <w:t>.</w:t>
      </w:r>
    </w:p>
    <w:p w14:paraId="70AC2A35" w14:textId="77777777" w:rsidR="00346EC2" w:rsidRPr="003C6D1F" w:rsidRDefault="00346EC2" w:rsidP="00346EC2">
      <w:pPr>
        <w:pStyle w:val="ListBullet"/>
      </w:pPr>
      <w:r w:rsidRPr="003C6D1F">
        <w:t xml:space="preserve">The TGA relies on the public, healthcare professionals and industry to report problems with </w:t>
      </w:r>
      <w:r>
        <w:t>therapeutic goods</w:t>
      </w:r>
      <w:r w:rsidRPr="003C6D1F">
        <w:t>.</w:t>
      </w:r>
      <w:r>
        <w:t xml:space="preserve"> The</w:t>
      </w:r>
      <w:r w:rsidRPr="003C6D1F">
        <w:t xml:space="preserve"> TGA investigates reports received to determine any necessary regulatory action.</w:t>
      </w:r>
    </w:p>
    <w:p w14:paraId="17DC24C6" w14:textId="1C976CB8" w:rsidR="00346EC2" w:rsidRDefault="00346EC2" w:rsidP="00346EC2">
      <w:pPr>
        <w:pStyle w:val="ListBullet"/>
      </w:pPr>
      <w:r w:rsidRPr="003C6D1F">
        <w:t xml:space="preserve">To report a problem with a </w:t>
      </w:r>
      <w:r>
        <w:t>therapeutic good</w:t>
      </w:r>
      <w:r w:rsidRPr="003C6D1F">
        <w:t xml:space="preserve">, please see the information on the </w:t>
      </w:r>
      <w:hyperlink r:id="rId17" w:history="1">
        <w:r w:rsidRPr="00A63C07">
          <w:rPr>
            <w:rStyle w:val="Hyperlink"/>
          </w:rPr>
          <w:t>TGA website</w:t>
        </w:r>
      </w:hyperlink>
      <w:r w:rsidRPr="003C6D1F">
        <w:t>.</w:t>
      </w:r>
    </w:p>
    <w:p w14:paraId="737B7A99" w14:textId="77777777" w:rsidR="00346EC2" w:rsidRDefault="00346EC2" w:rsidP="00346EC2">
      <w:pPr>
        <w:pStyle w:val="NonTOCHeading20"/>
      </w:pPr>
      <w:r>
        <w:t xml:space="preserve">About </w:t>
      </w:r>
      <w:proofErr w:type="spellStart"/>
      <w:r>
        <w:t>AusPARs</w:t>
      </w:r>
      <w:proofErr w:type="spellEnd"/>
    </w:p>
    <w:p w14:paraId="631B2209" w14:textId="010FE2EE" w:rsidR="00346EC2" w:rsidRPr="003C6D1F" w:rsidRDefault="00346EC2" w:rsidP="00346EC2">
      <w:pPr>
        <w:pStyle w:val="ListBullet"/>
      </w:pPr>
      <w:r>
        <w:t>The</w:t>
      </w:r>
      <w:r w:rsidRPr="003C6D1F">
        <w:t xml:space="preserve"> Australian Public Assessment Report (</w:t>
      </w:r>
      <w:proofErr w:type="spellStart"/>
      <w:r w:rsidRPr="003C6D1F">
        <w:t>AusPAR</w:t>
      </w:r>
      <w:proofErr w:type="spellEnd"/>
      <w:r w:rsidRPr="003C6D1F">
        <w:t>) provides information about the evaluation of a prescription medicine and the considerations that led the TGA to approve or not approve a prescription medicine submission.</w:t>
      </w:r>
      <w:r>
        <w:t xml:space="preserve"> Further information can be found in </w:t>
      </w:r>
      <w:hyperlink r:id="rId18" w:history="1">
        <w:r w:rsidRPr="005A2EB8">
          <w:rPr>
            <w:rStyle w:val="Hyperlink"/>
          </w:rPr>
          <w:t>Australian Public Assessment Report (</w:t>
        </w:r>
        <w:proofErr w:type="spellStart"/>
        <w:r w:rsidRPr="005A2EB8">
          <w:rPr>
            <w:rStyle w:val="Hyperlink"/>
          </w:rPr>
          <w:t>AusPAR</w:t>
        </w:r>
        <w:proofErr w:type="spellEnd"/>
        <w:r w:rsidRPr="005A2EB8">
          <w:rPr>
            <w:rStyle w:val="Hyperlink"/>
          </w:rPr>
          <w:t>) guidance</w:t>
        </w:r>
      </w:hyperlink>
      <w:r>
        <w:t>.</w:t>
      </w:r>
    </w:p>
    <w:p w14:paraId="22F5A730" w14:textId="77777777" w:rsidR="00346EC2" w:rsidRPr="003C6D1F" w:rsidRDefault="00346EC2" w:rsidP="00346EC2">
      <w:pPr>
        <w:pStyle w:val="ListBullet"/>
      </w:pPr>
      <w:proofErr w:type="spellStart"/>
      <w:r w:rsidRPr="003C6D1F">
        <w:t>AusPARs</w:t>
      </w:r>
      <w:proofErr w:type="spellEnd"/>
      <w:r w:rsidRPr="003C6D1F">
        <w:t xml:space="preserve"> are prepared and published by the TGA.</w:t>
      </w:r>
    </w:p>
    <w:p w14:paraId="451B8FD7" w14:textId="77777777" w:rsidR="00346EC2" w:rsidRPr="003C6D1F" w:rsidRDefault="00346EC2" w:rsidP="00346EC2">
      <w:pPr>
        <w:pStyle w:val="ListBullet"/>
      </w:pPr>
      <w:proofErr w:type="spellStart"/>
      <w:r w:rsidRPr="003C6D1F">
        <w:t>AusPAR</w:t>
      </w:r>
      <w:r>
        <w:t>s</w:t>
      </w:r>
      <w:proofErr w:type="spellEnd"/>
      <w:r>
        <w:t xml:space="preserve"> are </w:t>
      </w:r>
      <w:r w:rsidRPr="003C6D1F">
        <w:t>static document</w:t>
      </w:r>
      <w:r>
        <w:t xml:space="preserve">s that </w:t>
      </w:r>
      <w:r w:rsidRPr="003C6D1F">
        <w:t>provide information that relates to a submission at a particular point in time.</w:t>
      </w:r>
      <w:r>
        <w:t xml:space="preserve"> The publication of an </w:t>
      </w:r>
      <w:proofErr w:type="spellStart"/>
      <w:r>
        <w:t>AusPAR</w:t>
      </w:r>
      <w:proofErr w:type="spellEnd"/>
      <w:r>
        <w:t xml:space="preserve"> is an important part of the transparency of the TGA’s decision-making process.</w:t>
      </w:r>
    </w:p>
    <w:p w14:paraId="4D69F5CF" w14:textId="77777777" w:rsidR="00346EC2" w:rsidRPr="003C6D1F" w:rsidRDefault="00346EC2" w:rsidP="00346EC2">
      <w:pPr>
        <w:pStyle w:val="ListBullet"/>
      </w:pPr>
      <w:r w:rsidRPr="003C6D1F">
        <w:t xml:space="preserve">A new </w:t>
      </w:r>
      <w:proofErr w:type="spellStart"/>
      <w:r w:rsidRPr="003C6D1F">
        <w:t>AusPAR</w:t>
      </w:r>
      <w:proofErr w:type="spellEnd"/>
      <w:r w:rsidRPr="003C6D1F">
        <w:t xml:space="preserve"> </w:t>
      </w:r>
      <w:r>
        <w:t xml:space="preserve">may be provided </w:t>
      </w:r>
      <w:r w:rsidRPr="003C6D1F">
        <w:t>to reflect changes to indications or major variations to a prescription medicine subject to evaluation by the TGA.</w:t>
      </w:r>
    </w:p>
    <w:p w14:paraId="7067011F" w14:textId="510D5C5C" w:rsidR="00F02AEC" w:rsidRPr="00E1198B" w:rsidRDefault="00F02AEC" w:rsidP="00FE087C">
      <w:pPr>
        <w:pStyle w:val="LegalSubheading"/>
        <w:spacing w:before="3600"/>
      </w:pPr>
      <w:r w:rsidRPr="00BA0DFC">
        <w:t>Copyright</w:t>
      </w:r>
    </w:p>
    <w:p w14:paraId="170A8A5D" w14:textId="48688B49" w:rsidR="00175CD8" w:rsidRPr="00346EC2" w:rsidRDefault="00F02AEC" w:rsidP="00346EC2">
      <w:pPr>
        <w:pStyle w:val="LegalCopy"/>
        <w:rPr>
          <w:rFonts w:cs="Arial"/>
        </w:rPr>
      </w:pPr>
      <w:r w:rsidRPr="00215D48">
        <w:rPr>
          <w:rFonts w:cs="Arial"/>
        </w:rPr>
        <w:t>© Commonwealth of Australia 20</w:t>
      </w:r>
      <w:r>
        <w:rPr>
          <w:rFonts w:cs="Arial"/>
        </w:rPr>
        <w:t>2</w:t>
      </w:r>
      <w:r w:rsidR="00AA6080">
        <w:rPr>
          <w:rFonts w:cs="Arial"/>
        </w:rPr>
        <w:t>6</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9" w:history="1">
        <w:r w:rsidRPr="00215D48">
          <w:rPr>
            <w:rStyle w:val="Hyperlink"/>
            <w:rFonts w:cs="Arial"/>
          </w:rPr>
          <w:t>tga.copyright@tga.gov.au</w:t>
        </w:r>
      </w:hyperlink>
      <w:r w:rsidRPr="00215D48">
        <w:rPr>
          <w:rFonts w:cs="Arial"/>
        </w:rPr>
        <w:t>&gt;.</w:t>
      </w:r>
    </w:p>
    <w:sdt>
      <w:sdtPr>
        <w:rPr>
          <w:rFonts w:ascii="Cambria" w:eastAsiaTheme="minorHAnsi" w:hAnsi="Cambria" w:cstheme="minorBidi"/>
          <w:b w:val="0"/>
          <w:color w:val="auto"/>
          <w:sz w:val="22"/>
          <w:szCs w:val="22"/>
        </w:rPr>
        <w:id w:val="21514769"/>
        <w:docPartObj>
          <w:docPartGallery w:val="Table of Contents"/>
          <w:docPartUnique/>
        </w:docPartObj>
      </w:sdtPr>
      <w:sdtEndPr>
        <w:rPr>
          <w:szCs w:val="20"/>
        </w:rPr>
      </w:sdtEndPr>
      <w:sdtContent>
        <w:p w14:paraId="0A6ADA2B" w14:textId="77777777" w:rsidR="00F02AEC" w:rsidRPr="00215D48" w:rsidRDefault="00F02AEC" w:rsidP="007452E8">
          <w:pPr>
            <w:pStyle w:val="NonTOCheading2"/>
          </w:pPr>
          <w:r w:rsidRPr="00215D48">
            <w:t>Contents</w:t>
          </w:r>
        </w:p>
        <w:p w14:paraId="763BE728" w14:textId="601A870D" w:rsidR="00EF7C3B"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8033722" w:history="1">
            <w:r w:rsidR="00EF7C3B" w:rsidRPr="002E48DB">
              <w:rPr>
                <w:rStyle w:val="Hyperlink"/>
                <w:noProof/>
              </w:rPr>
              <w:t>List of abbreviations</w:t>
            </w:r>
            <w:r w:rsidR="00EF7C3B">
              <w:rPr>
                <w:noProof/>
                <w:webHidden/>
              </w:rPr>
              <w:tab/>
            </w:r>
            <w:r w:rsidR="00EF7C3B">
              <w:rPr>
                <w:noProof/>
                <w:webHidden/>
              </w:rPr>
              <w:fldChar w:fldCharType="begin"/>
            </w:r>
            <w:r w:rsidR="00EF7C3B">
              <w:rPr>
                <w:noProof/>
                <w:webHidden/>
              </w:rPr>
              <w:instrText xml:space="preserve"> PAGEREF _Toc238033722 \h </w:instrText>
            </w:r>
            <w:r w:rsidR="00EF7C3B">
              <w:rPr>
                <w:noProof/>
                <w:webHidden/>
              </w:rPr>
            </w:r>
            <w:r w:rsidR="00EF7C3B">
              <w:rPr>
                <w:noProof/>
                <w:webHidden/>
              </w:rPr>
              <w:fldChar w:fldCharType="separate"/>
            </w:r>
            <w:r w:rsidR="00EF7C3B">
              <w:rPr>
                <w:noProof/>
                <w:webHidden/>
              </w:rPr>
              <w:t>5</w:t>
            </w:r>
            <w:r w:rsidR="00EF7C3B">
              <w:rPr>
                <w:noProof/>
                <w:webHidden/>
              </w:rPr>
              <w:fldChar w:fldCharType="end"/>
            </w:r>
          </w:hyperlink>
        </w:p>
        <w:p w14:paraId="731FD02E" w14:textId="681DE064" w:rsidR="00EF7C3B" w:rsidRDefault="00EF7C3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3723" w:history="1">
            <w:r w:rsidRPr="002E48DB">
              <w:rPr>
                <w:rStyle w:val="Hyperlink"/>
                <w:noProof/>
              </w:rPr>
              <w:t>Product submission</w:t>
            </w:r>
            <w:r>
              <w:rPr>
                <w:noProof/>
                <w:webHidden/>
              </w:rPr>
              <w:tab/>
            </w:r>
            <w:r>
              <w:rPr>
                <w:noProof/>
                <w:webHidden/>
              </w:rPr>
              <w:fldChar w:fldCharType="begin"/>
            </w:r>
            <w:r>
              <w:rPr>
                <w:noProof/>
                <w:webHidden/>
              </w:rPr>
              <w:instrText xml:space="preserve"> PAGEREF _Toc238033723 \h </w:instrText>
            </w:r>
            <w:r>
              <w:rPr>
                <w:noProof/>
                <w:webHidden/>
              </w:rPr>
            </w:r>
            <w:r>
              <w:rPr>
                <w:noProof/>
                <w:webHidden/>
              </w:rPr>
              <w:fldChar w:fldCharType="separate"/>
            </w:r>
            <w:r>
              <w:rPr>
                <w:noProof/>
                <w:webHidden/>
              </w:rPr>
              <w:t>8</w:t>
            </w:r>
            <w:r>
              <w:rPr>
                <w:noProof/>
                <w:webHidden/>
              </w:rPr>
              <w:fldChar w:fldCharType="end"/>
            </w:r>
          </w:hyperlink>
        </w:p>
        <w:p w14:paraId="26826F38" w14:textId="0915A441"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24" w:history="1">
            <w:r w:rsidRPr="002E48DB">
              <w:rPr>
                <w:rStyle w:val="Hyperlink"/>
                <w:noProof/>
                <w:lang w:eastAsia="en-AU"/>
              </w:rPr>
              <w:t>Submission details</w:t>
            </w:r>
            <w:r>
              <w:rPr>
                <w:noProof/>
                <w:webHidden/>
              </w:rPr>
              <w:tab/>
            </w:r>
            <w:r>
              <w:rPr>
                <w:noProof/>
                <w:webHidden/>
              </w:rPr>
              <w:fldChar w:fldCharType="begin"/>
            </w:r>
            <w:r>
              <w:rPr>
                <w:noProof/>
                <w:webHidden/>
              </w:rPr>
              <w:instrText xml:space="preserve"> PAGEREF _Toc238033724 \h </w:instrText>
            </w:r>
            <w:r>
              <w:rPr>
                <w:noProof/>
                <w:webHidden/>
              </w:rPr>
            </w:r>
            <w:r>
              <w:rPr>
                <w:noProof/>
                <w:webHidden/>
              </w:rPr>
              <w:fldChar w:fldCharType="separate"/>
            </w:r>
            <w:r>
              <w:rPr>
                <w:noProof/>
                <w:webHidden/>
              </w:rPr>
              <w:t>8</w:t>
            </w:r>
            <w:r>
              <w:rPr>
                <w:noProof/>
                <w:webHidden/>
              </w:rPr>
              <w:fldChar w:fldCharType="end"/>
            </w:r>
          </w:hyperlink>
        </w:p>
        <w:p w14:paraId="74F19095" w14:textId="40B2C225"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25" w:history="1">
            <w:r w:rsidRPr="002E48DB">
              <w:rPr>
                <w:rStyle w:val="Hyperlink"/>
                <w:noProof/>
              </w:rPr>
              <w:t>Product background</w:t>
            </w:r>
            <w:r>
              <w:rPr>
                <w:noProof/>
                <w:webHidden/>
              </w:rPr>
              <w:tab/>
            </w:r>
            <w:r>
              <w:rPr>
                <w:noProof/>
                <w:webHidden/>
              </w:rPr>
              <w:fldChar w:fldCharType="begin"/>
            </w:r>
            <w:r>
              <w:rPr>
                <w:noProof/>
                <w:webHidden/>
              </w:rPr>
              <w:instrText xml:space="preserve"> PAGEREF _Toc238033725 \h </w:instrText>
            </w:r>
            <w:r>
              <w:rPr>
                <w:noProof/>
                <w:webHidden/>
              </w:rPr>
            </w:r>
            <w:r>
              <w:rPr>
                <w:noProof/>
                <w:webHidden/>
              </w:rPr>
              <w:fldChar w:fldCharType="separate"/>
            </w:r>
            <w:r>
              <w:rPr>
                <w:noProof/>
                <w:webHidden/>
              </w:rPr>
              <w:t>9</w:t>
            </w:r>
            <w:r>
              <w:rPr>
                <w:noProof/>
                <w:webHidden/>
              </w:rPr>
              <w:fldChar w:fldCharType="end"/>
            </w:r>
          </w:hyperlink>
        </w:p>
        <w:p w14:paraId="72448AC7" w14:textId="31190AA8"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26" w:history="1">
            <w:r w:rsidRPr="002E48DB">
              <w:rPr>
                <w:rStyle w:val="Hyperlink"/>
                <w:noProof/>
              </w:rPr>
              <w:t>Disease or condition – Respiratory Syncytial Virus (RSV)</w:t>
            </w:r>
            <w:r>
              <w:rPr>
                <w:noProof/>
                <w:webHidden/>
              </w:rPr>
              <w:tab/>
            </w:r>
            <w:r>
              <w:rPr>
                <w:noProof/>
                <w:webHidden/>
              </w:rPr>
              <w:fldChar w:fldCharType="begin"/>
            </w:r>
            <w:r>
              <w:rPr>
                <w:noProof/>
                <w:webHidden/>
              </w:rPr>
              <w:instrText xml:space="preserve"> PAGEREF _Toc238033726 \h </w:instrText>
            </w:r>
            <w:r>
              <w:rPr>
                <w:noProof/>
                <w:webHidden/>
              </w:rPr>
            </w:r>
            <w:r>
              <w:rPr>
                <w:noProof/>
                <w:webHidden/>
              </w:rPr>
              <w:fldChar w:fldCharType="separate"/>
            </w:r>
            <w:r>
              <w:rPr>
                <w:noProof/>
                <w:webHidden/>
              </w:rPr>
              <w:t>9</w:t>
            </w:r>
            <w:r>
              <w:rPr>
                <w:noProof/>
                <w:webHidden/>
              </w:rPr>
              <w:fldChar w:fldCharType="end"/>
            </w:r>
          </w:hyperlink>
        </w:p>
        <w:p w14:paraId="4A8CEECD" w14:textId="1780B7A4"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27" w:history="1">
            <w:r w:rsidRPr="002E48DB">
              <w:rPr>
                <w:rStyle w:val="Hyperlink"/>
                <w:noProof/>
              </w:rPr>
              <w:t>Current treatment options</w:t>
            </w:r>
            <w:r>
              <w:rPr>
                <w:noProof/>
                <w:webHidden/>
              </w:rPr>
              <w:tab/>
            </w:r>
            <w:r>
              <w:rPr>
                <w:noProof/>
                <w:webHidden/>
              </w:rPr>
              <w:fldChar w:fldCharType="begin"/>
            </w:r>
            <w:r>
              <w:rPr>
                <w:noProof/>
                <w:webHidden/>
              </w:rPr>
              <w:instrText xml:space="preserve"> PAGEREF _Toc238033727 \h </w:instrText>
            </w:r>
            <w:r>
              <w:rPr>
                <w:noProof/>
                <w:webHidden/>
              </w:rPr>
            </w:r>
            <w:r>
              <w:rPr>
                <w:noProof/>
                <w:webHidden/>
              </w:rPr>
              <w:fldChar w:fldCharType="separate"/>
            </w:r>
            <w:r>
              <w:rPr>
                <w:noProof/>
                <w:webHidden/>
              </w:rPr>
              <w:t>9</w:t>
            </w:r>
            <w:r>
              <w:rPr>
                <w:noProof/>
                <w:webHidden/>
              </w:rPr>
              <w:fldChar w:fldCharType="end"/>
            </w:r>
          </w:hyperlink>
        </w:p>
        <w:p w14:paraId="1BB207B7" w14:textId="061A5012"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28" w:history="1">
            <w:r w:rsidRPr="002E48DB">
              <w:rPr>
                <w:rStyle w:val="Hyperlink"/>
                <w:noProof/>
              </w:rPr>
              <w:t>Clinical rationale</w:t>
            </w:r>
            <w:r>
              <w:rPr>
                <w:noProof/>
                <w:webHidden/>
              </w:rPr>
              <w:tab/>
            </w:r>
            <w:r>
              <w:rPr>
                <w:noProof/>
                <w:webHidden/>
              </w:rPr>
              <w:fldChar w:fldCharType="begin"/>
            </w:r>
            <w:r>
              <w:rPr>
                <w:noProof/>
                <w:webHidden/>
              </w:rPr>
              <w:instrText xml:space="preserve"> PAGEREF _Toc238033728 \h </w:instrText>
            </w:r>
            <w:r>
              <w:rPr>
                <w:noProof/>
                <w:webHidden/>
              </w:rPr>
            </w:r>
            <w:r>
              <w:rPr>
                <w:noProof/>
                <w:webHidden/>
              </w:rPr>
              <w:fldChar w:fldCharType="separate"/>
            </w:r>
            <w:r>
              <w:rPr>
                <w:noProof/>
                <w:webHidden/>
              </w:rPr>
              <w:t>11</w:t>
            </w:r>
            <w:r>
              <w:rPr>
                <w:noProof/>
                <w:webHidden/>
              </w:rPr>
              <w:fldChar w:fldCharType="end"/>
            </w:r>
          </w:hyperlink>
        </w:p>
        <w:p w14:paraId="17DEB7C6" w14:textId="1F5D1652"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29" w:history="1">
            <w:r w:rsidRPr="002E48DB">
              <w:rPr>
                <w:rStyle w:val="Hyperlink"/>
                <w:noProof/>
              </w:rPr>
              <w:t>Regulatory status at the time of assessment</w:t>
            </w:r>
            <w:r>
              <w:rPr>
                <w:noProof/>
                <w:webHidden/>
              </w:rPr>
              <w:tab/>
            </w:r>
            <w:r>
              <w:rPr>
                <w:noProof/>
                <w:webHidden/>
              </w:rPr>
              <w:fldChar w:fldCharType="begin"/>
            </w:r>
            <w:r>
              <w:rPr>
                <w:noProof/>
                <w:webHidden/>
              </w:rPr>
              <w:instrText xml:space="preserve"> PAGEREF _Toc238033729 \h </w:instrText>
            </w:r>
            <w:r>
              <w:rPr>
                <w:noProof/>
                <w:webHidden/>
              </w:rPr>
            </w:r>
            <w:r>
              <w:rPr>
                <w:noProof/>
                <w:webHidden/>
              </w:rPr>
              <w:fldChar w:fldCharType="separate"/>
            </w:r>
            <w:r>
              <w:rPr>
                <w:noProof/>
                <w:webHidden/>
              </w:rPr>
              <w:t>11</w:t>
            </w:r>
            <w:r>
              <w:rPr>
                <w:noProof/>
                <w:webHidden/>
              </w:rPr>
              <w:fldChar w:fldCharType="end"/>
            </w:r>
          </w:hyperlink>
        </w:p>
        <w:p w14:paraId="563CD48F" w14:textId="6BBCB4FE"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30" w:history="1">
            <w:r w:rsidRPr="002E48DB">
              <w:rPr>
                <w:rStyle w:val="Hyperlink"/>
                <w:noProof/>
              </w:rPr>
              <w:t>Australian regulatory status</w:t>
            </w:r>
            <w:r>
              <w:rPr>
                <w:noProof/>
                <w:webHidden/>
              </w:rPr>
              <w:tab/>
            </w:r>
            <w:r>
              <w:rPr>
                <w:noProof/>
                <w:webHidden/>
              </w:rPr>
              <w:fldChar w:fldCharType="begin"/>
            </w:r>
            <w:r>
              <w:rPr>
                <w:noProof/>
                <w:webHidden/>
              </w:rPr>
              <w:instrText xml:space="preserve"> PAGEREF _Toc238033730 \h </w:instrText>
            </w:r>
            <w:r>
              <w:rPr>
                <w:noProof/>
                <w:webHidden/>
              </w:rPr>
            </w:r>
            <w:r>
              <w:rPr>
                <w:noProof/>
                <w:webHidden/>
              </w:rPr>
              <w:fldChar w:fldCharType="separate"/>
            </w:r>
            <w:r>
              <w:rPr>
                <w:noProof/>
                <w:webHidden/>
              </w:rPr>
              <w:t>11</w:t>
            </w:r>
            <w:r>
              <w:rPr>
                <w:noProof/>
                <w:webHidden/>
              </w:rPr>
              <w:fldChar w:fldCharType="end"/>
            </w:r>
          </w:hyperlink>
        </w:p>
        <w:p w14:paraId="76B3638A" w14:textId="45137E53"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31" w:history="1">
            <w:r w:rsidRPr="002E48DB">
              <w:rPr>
                <w:rStyle w:val="Hyperlink"/>
                <w:noProof/>
              </w:rPr>
              <w:t>International regulatory status</w:t>
            </w:r>
            <w:r>
              <w:rPr>
                <w:noProof/>
                <w:webHidden/>
              </w:rPr>
              <w:tab/>
            </w:r>
            <w:r>
              <w:rPr>
                <w:noProof/>
                <w:webHidden/>
              </w:rPr>
              <w:fldChar w:fldCharType="begin"/>
            </w:r>
            <w:r>
              <w:rPr>
                <w:noProof/>
                <w:webHidden/>
              </w:rPr>
              <w:instrText xml:space="preserve"> PAGEREF _Toc238033731 \h </w:instrText>
            </w:r>
            <w:r>
              <w:rPr>
                <w:noProof/>
                <w:webHidden/>
              </w:rPr>
            </w:r>
            <w:r>
              <w:rPr>
                <w:noProof/>
                <w:webHidden/>
              </w:rPr>
              <w:fldChar w:fldCharType="separate"/>
            </w:r>
            <w:r>
              <w:rPr>
                <w:noProof/>
                <w:webHidden/>
              </w:rPr>
              <w:t>11</w:t>
            </w:r>
            <w:r>
              <w:rPr>
                <w:noProof/>
                <w:webHidden/>
              </w:rPr>
              <w:fldChar w:fldCharType="end"/>
            </w:r>
          </w:hyperlink>
        </w:p>
        <w:p w14:paraId="5AFE8D0F" w14:textId="58C29B78" w:rsidR="00EF7C3B" w:rsidRDefault="00EF7C3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3732" w:history="1">
            <w:r w:rsidRPr="002E48DB">
              <w:rPr>
                <w:rStyle w:val="Hyperlink"/>
                <w:noProof/>
              </w:rPr>
              <w:t>Registration timeline</w:t>
            </w:r>
            <w:r>
              <w:rPr>
                <w:noProof/>
                <w:webHidden/>
              </w:rPr>
              <w:tab/>
            </w:r>
            <w:r>
              <w:rPr>
                <w:noProof/>
                <w:webHidden/>
              </w:rPr>
              <w:fldChar w:fldCharType="begin"/>
            </w:r>
            <w:r>
              <w:rPr>
                <w:noProof/>
                <w:webHidden/>
              </w:rPr>
              <w:instrText xml:space="preserve"> PAGEREF _Toc238033732 \h </w:instrText>
            </w:r>
            <w:r>
              <w:rPr>
                <w:noProof/>
                <w:webHidden/>
              </w:rPr>
            </w:r>
            <w:r>
              <w:rPr>
                <w:noProof/>
                <w:webHidden/>
              </w:rPr>
              <w:fldChar w:fldCharType="separate"/>
            </w:r>
            <w:r>
              <w:rPr>
                <w:noProof/>
                <w:webHidden/>
              </w:rPr>
              <w:t>12</w:t>
            </w:r>
            <w:r>
              <w:rPr>
                <w:noProof/>
                <w:webHidden/>
              </w:rPr>
              <w:fldChar w:fldCharType="end"/>
            </w:r>
          </w:hyperlink>
        </w:p>
        <w:p w14:paraId="72764FE3" w14:textId="0A29B382" w:rsidR="00EF7C3B" w:rsidRDefault="00EF7C3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3733" w:history="1">
            <w:r w:rsidRPr="002E48DB">
              <w:rPr>
                <w:rStyle w:val="Hyperlink"/>
                <w:noProof/>
              </w:rPr>
              <w:t>Assessment overview</w:t>
            </w:r>
            <w:r>
              <w:rPr>
                <w:noProof/>
                <w:webHidden/>
              </w:rPr>
              <w:tab/>
            </w:r>
            <w:r>
              <w:rPr>
                <w:noProof/>
                <w:webHidden/>
              </w:rPr>
              <w:fldChar w:fldCharType="begin"/>
            </w:r>
            <w:r>
              <w:rPr>
                <w:noProof/>
                <w:webHidden/>
              </w:rPr>
              <w:instrText xml:space="preserve"> PAGEREF _Toc238033733 \h </w:instrText>
            </w:r>
            <w:r>
              <w:rPr>
                <w:noProof/>
                <w:webHidden/>
              </w:rPr>
            </w:r>
            <w:r>
              <w:rPr>
                <w:noProof/>
                <w:webHidden/>
              </w:rPr>
              <w:fldChar w:fldCharType="separate"/>
            </w:r>
            <w:r>
              <w:rPr>
                <w:noProof/>
                <w:webHidden/>
              </w:rPr>
              <w:t>12</w:t>
            </w:r>
            <w:r>
              <w:rPr>
                <w:noProof/>
                <w:webHidden/>
              </w:rPr>
              <w:fldChar w:fldCharType="end"/>
            </w:r>
          </w:hyperlink>
        </w:p>
        <w:p w14:paraId="3FE3B6B2" w14:textId="10B8C7BA"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34" w:history="1">
            <w:r w:rsidRPr="002E48DB">
              <w:rPr>
                <w:rStyle w:val="Hyperlink"/>
                <w:noProof/>
              </w:rPr>
              <w:t>Quality and manufacturing summary</w:t>
            </w:r>
            <w:r>
              <w:rPr>
                <w:noProof/>
                <w:webHidden/>
              </w:rPr>
              <w:tab/>
            </w:r>
            <w:r>
              <w:rPr>
                <w:noProof/>
                <w:webHidden/>
              </w:rPr>
              <w:fldChar w:fldCharType="begin"/>
            </w:r>
            <w:r>
              <w:rPr>
                <w:noProof/>
                <w:webHidden/>
              </w:rPr>
              <w:instrText xml:space="preserve"> PAGEREF _Toc238033734 \h </w:instrText>
            </w:r>
            <w:r>
              <w:rPr>
                <w:noProof/>
                <w:webHidden/>
              </w:rPr>
            </w:r>
            <w:r>
              <w:rPr>
                <w:noProof/>
                <w:webHidden/>
              </w:rPr>
              <w:fldChar w:fldCharType="separate"/>
            </w:r>
            <w:r>
              <w:rPr>
                <w:noProof/>
                <w:webHidden/>
              </w:rPr>
              <w:t>12</w:t>
            </w:r>
            <w:r>
              <w:rPr>
                <w:noProof/>
                <w:webHidden/>
              </w:rPr>
              <w:fldChar w:fldCharType="end"/>
            </w:r>
          </w:hyperlink>
        </w:p>
        <w:p w14:paraId="1DE48EA0" w14:textId="027DD0F8"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35" w:history="1">
            <w:r w:rsidRPr="002E48DB">
              <w:rPr>
                <w:rStyle w:val="Hyperlink"/>
                <w:noProof/>
              </w:rPr>
              <w:t>General information</w:t>
            </w:r>
            <w:r>
              <w:rPr>
                <w:noProof/>
                <w:webHidden/>
              </w:rPr>
              <w:tab/>
            </w:r>
            <w:r>
              <w:rPr>
                <w:noProof/>
                <w:webHidden/>
              </w:rPr>
              <w:fldChar w:fldCharType="begin"/>
            </w:r>
            <w:r>
              <w:rPr>
                <w:noProof/>
                <w:webHidden/>
              </w:rPr>
              <w:instrText xml:space="preserve"> PAGEREF _Toc238033735 \h </w:instrText>
            </w:r>
            <w:r>
              <w:rPr>
                <w:noProof/>
                <w:webHidden/>
              </w:rPr>
            </w:r>
            <w:r>
              <w:rPr>
                <w:noProof/>
                <w:webHidden/>
              </w:rPr>
              <w:fldChar w:fldCharType="separate"/>
            </w:r>
            <w:r>
              <w:rPr>
                <w:noProof/>
                <w:webHidden/>
              </w:rPr>
              <w:t>13</w:t>
            </w:r>
            <w:r>
              <w:rPr>
                <w:noProof/>
                <w:webHidden/>
              </w:rPr>
              <w:fldChar w:fldCharType="end"/>
            </w:r>
          </w:hyperlink>
        </w:p>
        <w:p w14:paraId="6440604C" w14:textId="68D99D8F"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36" w:history="1">
            <w:r w:rsidRPr="002E48DB">
              <w:rPr>
                <w:rStyle w:val="Hyperlink"/>
                <w:noProof/>
              </w:rPr>
              <w:t>Active substance</w:t>
            </w:r>
            <w:r>
              <w:rPr>
                <w:noProof/>
                <w:webHidden/>
              </w:rPr>
              <w:tab/>
            </w:r>
            <w:r>
              <w:rPr>
                <w:noProof/>
                <w:webHidden/>
              </w:rPr>
              <w:fldChar w:fldCharType="begin"/>
            </w:r>
            <w:r>
              <w:rPr>
                <w:noProof/>
                <w:webHidden/>
              </w:rPr>
              <w:instrText xml:space="preserve"> PAGEREF _Toc238033736 \h </w:instrText>
            </w:r>
            <w:r>
              <w:rPr>
                <w:noProof/>
                <w:webHidden/>
              </w:rPr>
            </w:r>
            <w:r>
              <w:rPr>
                <w:noProof/>
                <w:webHidden/>
              </w:rPr>
              <w:fldChar w:fldCharType="separate"/>
            </w:r>
            <w:r>
              <w:rPr>
                <w:noProof/>
                <w:webHidden/>
              </w:rPr>
              <w:t>13</w:t>
            </w:r>
            <w:r>
              <w:rPr>
                <w:noProof/>
                <w:webHidden/>
              </w:rPr>
              <w:fldChar w:fldCharType="end"/>
            </w:r>
          </w:hyperlink>
        </w:p>
        <w:p w14:paraId="14BB2B17" w14:textId="2E4CABC5"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37" w:history="1">
            <w:r w:rsidRPr="002E48DB">
              <w:rPr>
                <w:rStyle w:val="Hyperlink"/>
                <w:noProof/>
              </w:rPr>
              <w:t>Specification and stability</w:t>
            </w:r>
            <w:r>
              <w:rPr>
                <w:noProof/>
                <w:webHidden/>
              </w:rPr>
              <w:tab/>
            </w:r>
            <w:r>
              <w:rPr>
                <w:noProof/>
                <w:webHidden/>
              </w:rPr>
              <w:fldChar w:fldCharType="begin"/>
            </w:r>
            <w:r>
              <w:rPr>
                <w:noProof/>
                <w:webHidden/>
              </w:rPr>
              <w:instrText xml:space="preserve"> PAGEREF _Toc238033737 \h </w:instrText>
            </w:r>
            <w:r>
              <w:rPr>
                <w:noProof/>
                <w:webHidden/>
              </w:rPr>
            </w:r>
            <w:r>
              <w:rPr>
                <w:noProof/>
                <w:webHidden/>
              </w:rPr>
              <w:fldChar w:fldCharType="separate"/>
            </w:r>
            <w:r>
              <w:rPr>
                <w:noProof/>
                <w:webHidden/>
              </w:rPr>
              <w:t>13</w:t>
            </w:r>
            <w:r>
              <w:rPr>
                <w:noProof/>
                <w:webHidden/>
              </w:rPr>
              <w:fldChar w:fldCharType="end"/>
            </w:r>
          </w:hyperlink>
        </w:p>
        <w:p w14:paraId="6B70BEE9" w14:textId="49299A33"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38" w:history="1">
            <w:r w:rsidRPr="002E48DB">
              <w:rPr>
                <w:rStyle w:val="Hyperlink"/>
                <w:noProof/>
              </w:rPr>
              <w:t>Finished product</w:t>
            </w:r>
            <w:r>
              <w:rPr>
                <w:noProof/>
                <w:webHidden/>
              </w:rPr>
              <w:tab/>
            </w:r>
            <w:r>
              <w:rPr>
                <w:noProof/>
                <w:webHidden/>
              </w:rPr>
              <w:fldChar w:fldCharType="begin"/>
            </w:r>
            <w:r>
              <w:rPr>
                <w:noProof/>
                <w:webHidden/>
              </w:rPr>
              <w:instrText xml:space="preserve"> PAGEREF _Toc238033738 \h </w:instrText>
            </w:r>
            <w:r>
              <w:rPr>
                <w:noProof/>
                <w:webHidden/>
              </w:rPr>
            </w:r>
            <w:r>
              <w:rPr>
                <w:noProof/>
                <w:webHidden/>
              </w:rPr>
              <w:fldChar w:fldCharType="separate"/>
            </w:r>
            <w:r>
              <w:rPr>
                <w:noProof/>
                <w:webHidden/>
              </w:rPr>
              <w:t>13</w:t>
            </w:r>
            <w:r>
              <w:rPr>
                <w:noProof/>
                <w:webHidden/>
              </w:rPr>
              <w:fldChar w:fldCharType="end"/>
            </w:r>
          </w:hyperlink>
        </w:p>
        <w:p w14:paraId="5F58DB44" w14:textId="0B828D7A"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39" w:history="1">
            <w:r w:rsidRPr="002E48DB">
              <w:rPr>
                <w:rStyle w:val="Hyperlink"/>
                <w:noProof/>
              </w:rPr>
              <w:t>Formulation and manufacture</w:t>
            </w:r>
            <w:r>
              <w:rPr>
                <w:noProof/>
                <w:webHidden/>
              </w:rPr>
              <w:tab/>
            </w:r>
            <w:r>
              <w:rPr>
                <w:noProof/>
                <w:webHidden/>
              </w:rPr>
              <w:fldChar w:fldCharType="begin"/>
            </w:r>
            <w:r>
              <w:rPr>
                <w:noProof/>
                <w:webHidden/>
              </w:rPr>
              <w:instrText xml:space="preserve"> PAGEREF _Toc238033739 \h </w:instrText>
            </w:r>
            <w:r>
              <w:rPr>
                <w:noProof/>
                <w:webHidden/>
              </w:rPr>
            </w:r>
            <w:r>
              <w:rPr>
                <w:noProof/>
                <w:webHidden/>
              </w:rPr>
              <w:fldChar w:fldCharType="separate"/>
            </w:r>
            <w:r>
              <w:rPr>
                <w:noProof/>
                <w:webHidden/>
              </w:rPr>
              <w:t>13</w:t>
            </w:r>
            <w:r>
              <w:rPr>
                <w:noProof/>
                <w:webHidden/>
              </w:rPr>
              <w:fldChar w:fldCharType="end"/>
            </w:r>
          </w:hyperlink>
        </w:p>
        <w:p w14:paraId="6EE0ABD2" w14:textId="2F8CEDA9"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40" w:history="1">
            <w:r w:rsidRPr="002E48DB">
              <w:rPr>
                <w:rStyle w:val="Hyperlink"/>
                <w:noProof/>
              </w:rPr>
              <w:t>Nonclinical evaluation summary</w:t>
            </w:r>
            <w:r>
              <w:rPr>
                <w:noProof/>
                <w:webHidden/>
              </w:rPr>
              <w:tab/>
            </w:r>
            <w:r>
              <w:rPr>
                <w:noProof/>
                <w:webHidden/>
              </w:rPr>
              <w:fldChar w:fldCharType="begin"/>
            </w:r>
            <w:r>
              <w:rPr>
                <w:noProof/>
                <w:webHidden/>
              </w:rPr>
              <w:instrText xml:space="preserve"> PAGEREF _Toc238033740 \h </w:instrText>
            </w:r>
            <w:r>
              <w:rPr>
                <w:noProof/>
                <w:webHidden/>
              </w:rPr>
            </w:r>
            <w:r>
              <w:rPr>
                <w:noProof/>
                <w:webHidden/>
              </w:rPr>
              <w:fldChar w:fldCharType="separate"/>
            </w:r>
            <w:r>
              <w:rPr>
                <w:noProof/>
                <w:webHidden/>
              </w:rPr>
              <w:t>15</w:t>
            </w:r>
            <w:r>
              <w:rPr>
                <w:noProof/>
                <w:webHidden/>
              </w:rPr>
              <w:fldChar w:fldCharType="end"/>
            </w:r>
          </w:hyperlink>
        </w:p>
        <w:p w14:paraId="3C2C9B9D" w14:textId="522AEC8B"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41" w:history="1">
            <w:r w:rsidRPr="002E48DB">
              <w:rPr>
                <w:rStyle w:val="Hyperlink"/>
                <w:noProof/>
              </w:rPr>
              <w:t>Clinical evaluation summary</w:t>
            </w:r>
            <w:r>
              <w:rPr>
                <w:noProof/>
                <w:webHidden/>
              </w:rPr>
              <w:tab/>
            </w:r>
            <w:r>
              <w:rPr>
                <w:noProof/>
                <w:webHidden/>
              </w:rPr>
              <w:fldChar w:fldCharType="begin"/>
            </w:r>
            <w:r>
              <w:rPr>
                <w:noProof/>
                <w:webHidden/>
              </w:rPr>
              <w:instrText xml:space="preserve"> PAGEREF _Toc238033741 \h </w:instrText>
            </w:r>
            <w:r>
              <w:rPr>
                <w:noProof/>
                <w:webHidden/>
              </w:rPr>
            </w:r>
            <w:r>
              <w:rPr>
                <w:noProof/>
                <w:webHidden/>
              </w:rPr>
              <w:fldChar w:fldCharType="separate"/>
            </w:r>
            <w:r>
              <w:rPr>
                <w:noProof/>
                <w:webHidden/>
              </w:rPr>
              <w:t>16</w:t>
            </w:r>
            <w:r>
              <w:rPr>
                <w:noProof/>
                <w:webHidden/>
              </w:rPr>
              <w:fldChar w:fldCharType="end"/>
            </w:r>
          </w:hyperlink>
        </w:p>
        <w:p w14:paraId="165AA77C" w14:textId="3E9D70F7"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42" w:history="1">
            <w:r w:rsidRPr="002E48DB">
              <w:rPr>
                <w:rStyle w:val="Hyperlink"/>
                <w:noProof/>
              </w:rPr>
              <w:t>Summary of clinical studies</w:t>
            </w:r>
            <w:r>
              <w:rPr>
                <w:noProof/>
                <w:webHidden/>
              </w:rPr>
              <w:tab/>
            </w:r>
            <w:r>
              <w:rPr>
                <w:noProof/>
                <w:webHidden/>
              </w:rPr>
              <w:fldChar w:fldCharType="begin"/>
            </w:r>
            <w:r>
              <w:rPr>
                <w:noProof/>
                <w:webHidden/>
              </w:rPr>
              <w:instrText xml:space="preserve"> PAGEREF _Toc238033742 \h </w:instrText>
            </w:r>
            <w:r>
              <w:rPr>
                <w:noProof/>
                <w:webHidden/>
              </w:rPr>
            </w:r>
            <w:r>
              <w:rPr>
                <w:noProof/>
                <w:webHidden/>
              </w:rPr>
              <w:fldChar w:fldCharType="separate"/>
            </w:r>
            <w:r>
              <w:rPr>
                <w:noProof/>
                <w:webHidden/>
              </w:rPr>
              <w:t>16</w:t>
            </w:r>
            <w:r>
              <w:rPr>
                <w:noProof/>
                <w:webHidden/>
              </w:rPr>
              <w:fldChar w:fldCharType="end"/>
            </w:r>
          </w:hyperlink>
        </w:p>
        <w:p w14:paraId="2ED80488" w14:textId="589FE89B"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43" w:history="1">
            <w:r w:rsidRPr="002E48DB">
              <w:rPr>
                <w:rStyle w:val="Hyperlink"/>
                <w:noProof/>
              </w:rPr>
              <w:t>Efficacy</w:t>
            </w:r>
            <w:r>
              <w:rPr>
                <w:noProof/>
                <w:webHidden/>
              </w:rPr>
              <w:tab/>
            </w:r>
            <w:r>
              <w:rPr>
                <w:noProof/>
                <w:webHidden/>
              </w:rPr>
              <w:fldChar w:fldCharType="begin"/>
            </w:r>
            <w:r>
              <w:rPr>
                <w:noProof/>
                <w:webHidden/>
              </w:rPr>
              <w:instrText xml:space="preserve"> PAGEREF _Toc238033743 \h </w:instrText>
            </w:r>
            <w:r>
              <w:rPr>
                <w:noProof/>
                <w:webHidden/>
              </w:rPr>
            </w:r>
            <w:r>
              <w:rPr>
                <w:noProof/>
                <w:webHidden/>
              </w:rPr>
              <w:fldChar w:fldCharType="separate"/>
            </w:r>
            <w:r>
              <w:rPr>
                <w:noProof/>
                <w:webHidden/>
              </w:rPr>
              <w:t>18</w:t>
            </w:r>
            <w:r>
              <w:rPr>
                <w:noProof/>
                <w:webHidden/>
              </w:rPr>
              <w:fldChar w:fldCharType="end"/>
            </w:r>
          </w:hyperlink>
        </w:p>
        <w:p w14:paraId="3032AFFF" w14:textId="10569452"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44" w:history="1">
            <w:r w:rsidRPr="002E48DB">
              <w:rPr>
                <w:rStyle w:val="Hyperlink"/>
                <w:noProof/>
              </w:rPr>
              <w:t>Main studies</w:t>
            </w:r>
            <w:r>
              <w:rPr>
                <w:noProof/>
                <w:webHidden/>
              </w:rPr>
              <w:tab/>
            </w:r>
            <w:r>
              <w:rPr>
                <w:noProof/>
                <w:webHidden/>
              </w:rPr>
              <w:fldChar w:fldCharType="begin"/>
            </w:r>
            <w:r>
              <w:rPr>
                <w:noProof/>
                <w:webHidden/>
              </w:rPr>
              <w:instrText xml:space="preserve"> PAGEREF _Toc238033744 \h </w:instrText>
            </w:r>
            <w:r>
              <w:rPr>
                <w:noProof/>
                <w:webHidden/>
              </w:rPr>
            </w:r>
            <w:r>
              <w:rPr>
                <w:noProof/>
                <w:webHidden/>
              </w:rPr>
              <w:fldChar w:fldCharType="separate"/>
            </w:r>
            <w:r>
              <w:rPr>
                <w:noProof/>
                <w:webHidden/>
              </w:rPr>
              <w:t>19</w:t>
            </w:r>
            <w:r>
              <w:rPr>
                <w:noProof/>
                <w:webHidden/>
              </w:rPr>
              <w:fldChar w:fldCharType="end"/>
            </w:r>
          </w:hyperlink>
        </w:p>
        <w:p w14:paraId="23969444" w14:textId="566F82EC"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45" w:history="1">
            <w:r w:rsidRPr="002E48DB">
              <w:rPr>
                <w:rStyle w:val="Hyperlink"/>
                <w:noProof/>
              </w:rPr>
              <w:t>Safety</w:t>
            </w:r>
            <w:r>
              <w:rPr>
                <w:noProof/>
                <w:webHidden/>
              </w:rPr>
              <w:tab/>
            </w:r>
            <w:r>
              <w:rPr>
                <w:noProof/>
                <w:webHidden/>
              </w:rPr>
              <w:fldChar w:fldCharType="begin"/>
            </w:r>
            <w:r>
              <w:rPr>
                <w:noProof/>
                <w:webHidden/>
              </w:rPr>
              <w:instrText xml:space="preserve"> PAGEREF _Toc238033745 \h </w:instrText>
            </w:r>
            <w:r>
              <w:rPr>
                <w:noProof/>
                <w:webHidden/>
              </w:rPr>
            </w:r>
            <w:r>
              <w:rPr>
                <w:noProof/>
                <w:webHidden/>
              </w:rPr>
              <w:fldChar w:fldCharType="separate"/>
            </w:r>
            <w:r>
              <w:rPr>
                <w:noProof/>
                <w:webHidden/>
              </w:rPr>
              <w:t>24</w:t>
            </w:r>
            <w:r>
              <w:rPr>
                <w:noProof/>
                <w:webHidden/>
              </w:rPr>
              <w:fldChar w:fldCharType="end"/>
            </w:r>
          </w:hyperlink>
        </w:p>
        <w:p w14:paraId="62C2CB3E" w14:textId="54630E89"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46" w:history="1">
            <w:r w:rsidRPr="002E48DB">
              <w:rPr>
                <w:rStyle w:val="Hyperlink"/>
                <w:noProof/>
                <w:lang w:eastAsia="en-AU"/>
              </w:rPr>
              <w:t>Risk management plan</w:t>
            </w:r>
            <w:r>
              <w:rPr>
                <w:noProof/>
                <w:webHidden/>
              </w:rPr>
              <w:tab/>
            </w:r>
            <w:r>
              <w:rPr>
                <w:noProof/>
                <w:webHidden/>
              </w:rPr>
              <w:fldChar w:fldCharType="begin"/>
            </w:r>
            <w:r>
              <w:rPr>
                <w:noProof/>
                <w:webHidden/>
              </w:rPr>
              <w:instrText xml:space="preserve"> PAGEREF _Toc238033746 \h </w:instrText>
            </w:r>
            <w:r>
              <w:rPr>
                <w:noProof/>
                <w:webHidden/>
              </w:rPr>
            </w:r>
            <w:r>
              <w:rPr>
                <w:noProof/>
                <w:webHidden/>
              </w:rPr>
              <w:fldChar w:fldCharType="separate"/>
            </w:r>
            <w:r>
              <w:rPr>
                <w:noProof/>
                <w:webHidden/>
              </w:rPr>
              <w:t>26</w:t>
            </w:r>
            <w:r>
              <w:rPr>
                <w:noProof/>
                <w:webHidden/>
              </w:rPr>
              <w:fldChar w:fldCharType="end"/>
            </w:r>
          </w:hyperlink>
        </w:p>
        <w:p w14:paraId="65FC01DB" w14:textId="424A5060"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47" w:history="1">
            <w:r w:rsidRPr="002E48DB">
              <w:rPr>
                <w:rStyle w:val="Hyperlink"/>
                <w:noProof/>
              </w:rPr>
              <w:t>TGA comments</w:t>
            </w:r>
            <w:r>
              <w:rPr>
                <w:noProof/>
                <w:webHidden/>
              </w:rPr>
              <w:tab/>
            </w:r>
            <w:r>
              <w:rPr>
                <w:noProof/>
                <w:webHidden/>
              </w:rPr>
              <w:fldChar w:fldCharType="begin"/>
            </w:r>
            <w:r>
              <w:rPr>
                <w:noProof/>
                <w:webHidden/>
              </w:rPr>
              <w:instrText xml:space="preserve"> PAGEREF _Toc238033747 \h </w:instrText>
            </w:r>
            <w:r>
              <w:rPr>
                <w:noProof/>
                <w:webHidden/>
              </w:rPr>
            </w:r>
            <w:r>
              <w:rPr>
                <w:noProof/>
                <w:webHidden/>
              </w:rPr>
              <w:fldChar w:fldCharType="separate"/>
            </w:r>
            <w:r>
              <w:rPr>
                <w:noProof/>
                <w:webHidden/>
              </w:rPr>
              <w:t>27</w:t>
            </w:r>
            <w:r>
              <w:rPr>
                <w:noProof/>
                <w:webHidden/>
              </w:rPr>
              <w:fldChar w:fldCharType="end"/>
            </w:r>
          </w:hyperlink>
        </w:p>
        <w:p w14:paraId="0FE023D3" w14:textId="17F65ED0"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48" w:history="1">
            <w:r w:rsidRPr="002E48DB">
              <w:rPr>
                <w:rStyle w:val="Hyperlink"/>
                <w:noProof/>
              </w:rPr>
              <w:t>Risk-benefit analysis</w:t>
            </w:r>
            <w:r>
              <w:rPr>
                <w:noProof/>
                <w:webHidden/>
              </w:rPr>
              <w:tab/>
            </w:r>
            <w:r>
              <w:rPr>
                <w:noProof/>
                <w:webHidden/>
              </w:rPr>
              <w:fldChar w:fldCharType="begin"/>
            </w:r>
            <w:r>
              <w:rPr>
                <w:noProof/>
                <w:webHidden/>
              </w:rPr>
              <w:instrText xml:space="preserve"> PAGEREF _Toc238033748 \h </w:instrText>
            </w:r>
            <w:r>
              <w:rPr>
                <w:noProof/>
                <w:webHidden/>
              </w:rPr>
            </w:r>
            <w:r>
              <w:rPr>
                <w:noProof/>
                <w:webHidden/>
              </w:rPr>
              <w:fldChar w:fldCharType="separate"/>
            </w:r>
            <w:r>
              <w:rPr>
                <w:noProof/>
                <w:webHidden/>
              </w:rPr>
              <w:t>28</w:t>
            </w:r>
            <w:r>
              <w:rPr>
                <w:noProof/>
                <w:webHidden/>
              </w:rPr>
              <w:fldChar w:fldCharType="end"/>
            </w:r>
          </w:hyperlink>
        </w:p>
        <w:p w14:paraId="24CB1365" w14:textId="52196BE0"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49" w:history="1">
            <w:r w:rsidRPr="002E48DB">
              <w:rPr>
                <w:rStyle w:val="Hyperlink"/>
                <w:noProof/>
              </w:rPr>
              <w:t>Proposed action</w:t>
            </w:r>
            <w:r>
              <w:rPr>
                <w:noProof/>
                <w:webHidden/>
              </w:rPr>
              <w:tab/>
            </w:r>
            <w:r>
              <w:rPr>
                <w:noProof/>
                <w:webHidden/>
              </w:rPr>
              <w:fldChar w:fldCharType="begin"/>
            </w:r>
            <w:r>
              <w:rPr>
                <w:noProof/>
                <w:webHidden/>
              </w:rPr>
              <w:instrText xml:space="preserve"> PAGEREF _Toc238033749 \h </w:instrText>
            </w:r>
            <w:r>
              <w:rPr>
                <w:noProof/>
                <w:webHidden/>
              </w:rPr>
            </w:r>
            <w:r>
              <w:rPr>
                <w:noProof/>
                <w:webHidden/>
              </w:rPr>
              <w:fldChar w:fldCharType="separate"/>
            </w:r>
            <w:r>
              <w:rPr>
                <w:noProof/>
                <w:webHidden/>
              </w:rPr>
              <w:t>29</w:t>
            </w:r>
            <w:r>
              <w:rPr>
                <w:noProof/>
                <w:webHidden/>
              </w:rPr>
              <w:fldChar w:fldCharType="end"/>
            </w:r>
          </w:hyperlink>
        </w:p>
        <w:p w14:paraId="1DB3D6F2" w14:textId="6D6BF5CA"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50" w:history="1">
            <w:r w:rsidRPr="002E48DB">
              <w:rPr>
                <w:rStyle w:val="Hyperlink"/>
                <w:noProof/>
              </w:rPr>
              <w:t>Independent expert advice</w:t>
            </w:r>
            <w:r>
              <w:rPr>
                <w:noProof/>
                <w:webHidden/>
              </w:rPr>
              <w:tab/>
            </w:r>
            <w:r>
              <w:rPr>
                <w:noProof/>
                <w:webHidden/>
              </w:rPr>
              <w:fldChar w:fldCharType="begin"/>
            </w:r>
            <w:r>
              <w:rPr>
                <w:noProof/>
                <w:webHidden/>
              </w:rPr>
              <w:instrText xml:space="preserve"> PAGEREF _Toc238033750 \h </w:instrText>
            </w:r>
            <w:r>
              <w:rPr>
                <w:noProof/>
                <w:webHidden/>
              </w:rPr>
            </w:r>
            <w:r>
              <w:rPr>
                <w:noProof/>
                <w:webHidden/>
              </w:rPr>
              <w:fldChar w:fldCharType="separate"/>
            </w:r>
            <w:r>
              <w:rPr>
                <w:noProof/>
                <w:webHidden/>
              </w:rPr>
              <w:t>29</w:t>
            </w:r>
            <w:r>
              <w:rPr>
                <w:noProof/>
                <w:webHidden/>
              </w:rPr>
              <w:fldChar w:fldCharType="end"/>
            </w:r>
          </w:hyperlink>
        </w:p>
        <w:p w14:paraId="1749BFCF" w14:textId="4B70A043"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51" w:history="1">
            <w:r w:rsidRPr="002E48DB">
              <w:rPr>
                <w:rStyle w:val="Hyperlink"/>
                <w:noProof/>
              </w:rPr>
              <w:t>Advisory Committee considerations</w:t>
            </w:r>
            <w:r>
              <w:rPr>
                <w:noProof/>
                <w:webHidden/>
              </w:rPr>
              <w:tab/>
            </w:r>
            <w:r>
              <w:rPr>
                <w:noProof/>
                <w:webHidden/>
              </w:rPr>
              <w:fldChar w:fldCharType="begin"/>
            </w:r>
            <w:r>
              <w:rPr>
                <w:noProof/>
                <w:webHidden/>
              </w:rPr>
              <w:instrText xml:space="preserve"> PAGEREF _Toc238033751 \h </w:instrText>
            </w:r>
            <w:r>
              <w:rPr>
                <w:noProof/>
                <w:webHidden/>
              </w:rPr>
            </w:r>
            <w:r>
              <w:rPr>
                <w:noProof/>
                <w:webHidden/>
              </w:rPr>
              <w:fldChar w:fldCharType="separate"/>
            </w:r>
            <w:r>
              <w:rPr>
                <w:noProof/>
                <w:webHidden/>
              </w:rPr>
              <w:t>29</w:t>
            </w:r>
            <w:r>
              <w:rPr>
                <w:noProof/>
                <w:webHidden/>
              </w:rPr>
              <w:fldChar w:fldCharType="end"/>
            </w:r>
          </w:hyperlink>
        </w:p>
        <w:p w14:paraId="03501D07" w14:textId="185D1ACF" w:rsidR="00EF7C3B" w:rsidRDefault="00EF7C3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3752" w:history="1">
            <w:r w:rsidRPr="002E48DB">
              <w:rPr>
                <w:rStyle w:val="Hyperlink"/>
                <w:noProof/>
              </w:rPr>
              <w:t>Assessment outcome</w:t>
            </w:r>
            <w:r>
              <w:rPr>
                <w:noProof/>
                <w:webHidden/>
              </w:rPr>
              <w:tab/>
            </w:r>
            <w:r>
              <w:rPr>
                <w:noProof/>
                <w:webHidden/>
              </w:rPr>
              <w:fldChar w:fldCharType="begin"/>
            </w:r>
            <w:r>
              <w:rPr>
                <w:noProof/>
                <w:webHidden/>
              </w:rPr>
              <w:instrText xml:space="preserve"> PAGEREF _Toc238033752 \h </w:instrText>
            </w:r>
            <w:r>
              <w:rPr>
                <w:noProof/>
                <w:webHidden/>
              </w:rPr>
            </w:r>
            <w:r>
              <w:rPr>
                <w:noProof/>
                <w:webHidden/>
              </w:rPr>
              <w:fldChar w:fldCharType="separate"/>
            </w:r>
            <w:r>
              <w:rPr>
                <w:noProof/>
                <w:webHidden/>
              </w:rPr>
              <w:t>30</w:t>
            </w:r>
            <w:r>
              <w:rPr>
                <w:noProof/>
                <w:webHidden/>
              </w:rPr>
              <w:fldChar w:fldCharType="end"/>
            </w:r>
          </w:hyperlink>
        </w:p>
        <w:p w14:paraId="33764B31" w14:textId="3E4476BF"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53" w:history="1">
            <w:r w:rsidRPr="002E48DB">
              <w:rPr>
                <w:rStyle w:val="Hyperlink"/>
                <w:noProof/>
              </w:rPr>
              <w:t>Specific conditions of registration</w:t>
            </w:r>
            <w:r>
              <w:rPr>
                <w:noProof/>
                <w:webHidden/>
              </w:rPr>
              <w:tab/>
            </w:r>
            <w:r>
              <w:rPr>
                <w:noProof/>
                <w:webHidden/>
              </w:rPr>
              <w:fldChar w:fldCharType="begin"/>
            </w:r>
            <w:r>
              <w:rPr>
                <w:noProof/>
                <w:webHidden/>
              </w:rPr>
              <w:instrText xml:space="preserve"> PAGEREF _Toc238033753 \h </w:instrText>
            </w:r>
            <w:r>
              <w:rPr>
                <w:noProof/>
                <w:webHidden/>
              </w:rPr>
            </w:r>
            <w:r>
              <w:rPr>
                <w:noProof/>
                <w:webHidden/>
              </w:rPr>
              <w:fldChar w:fldCharType="separate"/>
            </w:r>
            <w:r>
              <w:rPr>
                <w:noProof/>
                <w:webHidden/>
              </w:rPr>
              <w:t>30</w:t>
            </w:r>
            <w:r>
              <w:rPr>
                <w:noProof/>
                <w:webHidden/>
              </w:rPr>
              <w:fldChar w:fldCharType="end"/>
            </w:r>
          </w:hyperlink>
        </w:p>
        <w:p w14:paraId="5C2F72BD" w14:textId="1BA76A7A"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54" w:history="1">
            <w:r w:rsidRPr="002E48DB">
              <w:rPr>
                <w:rStyle w:val="Hyperlink"/>
                <w:noProof/>
              </w:rPr>
              <w:t>Black Triangle Scheme</w:t>
            </w:r>
            <w:r>
              <w:rPr>
                <w:noProof/>
                <w:webHidden/>
              </w:rPr>
              <w:tab/>
            </w:r>
            <w:r>
              <w:rPr>
                <w:noProof/>
                <w:webHidden/>
              </w:rPr>
              <w:fldChar w:fldCharType="begin"/>
            </w:r>
            <w:r>
              <w:rPr>
                <w:noProof/>
                <w:webHidden/>
              </w:rPr>
              <w:instrText xml:space="preserve"> PAGEREF _Toc238033754 \h </w:instrText>
            </w:r>
            <w:r>
              <w:rPr>
                <w:noProof/>
                <w:webHidden/>
              </w:rPr>
            </w:r>
            <w:r>
              <w:rPr>
                <w:noProof/>
                <w:webHidden/>
              </w:rPr>
              <w:fldChar w:fldCharType="separate"/>
            </w:r>
            <w:r>
              <w:rPr>
                <w:noProof/>
                <w:webHidden/>
              </w:rPr>
              <w:t>30</w:t>
            </w:r>
            <w:r>
              <w:rPr>
                <w:noProof/>
                <w:webHidden/>
              </w:rPr>
              <w:fldChar w:fldCharType="end"/>
            </w:r>
          </w:hyperlink>
        </w:p>
        <w:p w14:paraId="2351A8A2" w14:textId="7448EDF1" w:rsidR="00EF7C3B" w:rsidRDefault="00EF7C3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3755" w:history="1">
            <w:r w:rsidRPr="002E48DB">
              <w:rPr>
                <w:rStyle w:val="Hyperlink"/>
                <w:noProof/>
              </w:rPr>
              <w:t>Risk Management Plan and pharmacovigilance</w:t>
            </w:r>
            <w:r>
              <w:rPr>
                <w:noProof/>
                <w:webHidden/>
              </w:rPr>
              <w:tab/>
            </w:r>
            <w:r>
              <w:rPr>
                <w:noProof/>
                <w:webHidden/>
              </w:rPr>
              <w:fldChar w:fldCharType="begin"/>
            </w:r>
            <w:r>
              <w:rPr>
                <w:noProof/>
                <w:webHidden/>
              </w:rPr>
              <w:instrText xml:space="preserve"> PAGEREF _Toc238033755 \h </w:instrText>
            </w:r>
            <w:r>
              <w:rPr>
                <w:noProof/>
                <w:webHidden/>
              </w:rPr>
            </w:r>
            <w:r>
              <w:rPr>
                <w:noProof/>
                <w:webHidden/>
              </w:rPr>
              <w:fldChar w:fldCharType="separate"/>
            </w:r>
            <w:r>
              <w:rPr>
                <w:noProof/>
                <w:webHidden/>
              </w:rPr>
              <w:t>30</w:t>
            </w:r>
            <w:r>
              <w:rPr>
                <w:noProof/>
                <w:webHidden/>
              </w:rPr>
              <w:fldChar w:fldCharType="end"/>
            </w:r>
          </w:hyperlink>
        </w:p>
        <w:p w14:paraId="0EBF1EE1" w14:textId="3D484A4D" w:rsidR="00EF7C3B" w:rsidRDefault="00EF7C3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3756" w:history="1">
            <w:r w:rsidRPr="002E48DB">
              <w:rPr>
                <w:rStyle w:val="Hyperlink"/>
                <w:noProof/>
              </w:rPr>
              <w:t>Product Information and Consumer Medicine Information</w:t>
            </w:r>
            <w:r>
              <w:rPr>
                <w:noProof/>
                <w:webHidden/>
              </w:rPr>
              <w:tab/>
            </w:r>
            <w:r>
              <w:rPr>
                <w:noProof/>
                <w:webHidden/>
              </w:rPr>
              <w:fldChar w:fldCharType="begin"/>
            </w:r>
            <w:r>
              <w:rPr>
                <w:noProof/>
                <w:webHidden/>
              </w:rPr>
              <w:instrText xml:space="preserve"> PAGEREF _Toc238033756 \h </w:instrText>
            </w:r>
            <w:r>
              <w:rPr>
                <w:noProof/>
                <w:webHidden/>
              </w:rPr>
            </w:r>
            <w:r>
              <w:rPr>
                <w:noProof/>
                <w:webHidden/>
              </w:rPr>
              <w:fldChar w:fldCharType="separate"/>
            </w:r>
            <w:r>
              <w:rPr>
                <w:noProof/>
                <w:webHidden/>
              </w:rPr>
              <w:t>32</w:t>
            </w:r>
            <w:r>
              <w:rPr>
                <w:noProof/>
                <w:webHidden/>
              </w:rPr>
              <w:fldChar w:fldCharType="end"/>
            </w:r>
          </w:hyperlink>
        </w:p>
        <w:p w14:paraId="77659F2D" w14:textId="551050EA" w:rsidR="00F02AEC" w:rsidRPr="00215D48" w:rsidRDefault="00F02AEC" w:rsidP="007452E8">
          <w:r w:rsidRPr="00215D48">
            <w:fldChar w:fldCharType="end"/>
          </w:r>
        </w:p>
      </w:sdtContent>
    </w:sdt>
    <w:p w14:paraId="10987AE2" w14:textId="77777777" w:rsidR="00F02AEC" w:rsidRPr="00215D48" w:rsidRDefault="00F02AEC" w:rsidP="0095259E">
      <w:r w:rsidRPr="00215D48">
        <w:br w:type="page"/>
      </w:r>
    </w:p>
    <w:p w14:paraId="1E73AB93" w14:textId="77777777" w:rsidR="00324B33" w:rsidRDefault="00324B33" w:rsidP="00324B33">
      <w:pPr>
        <w:pStyle w:val="Heading2"/>
      </w:pPr>
      <w:bookmarkStart w:id="0" w:name="_Toc98931917"/>
      <w:bookmarkStart w:id="1" w:name="_Toc103679287"/>
      <w:bookmarkStart w:id="2" w:name="_Toc323739589"/>
      <w:bookmarkStart w:id="3" w:name="_Toc356305216"/>
      <w:bookmarkStart w:id="4" w:name="_Toc238033722"/>
      <w:r>
        <w:lastRenderedPageBreak/>
        <w:t>List of abbreviations</w:t>
      </w:r>
      <w:bookmarkEnd w:id="0"/>
      <w:bookmarkEnd w:id="1"/>
      <w:bookmarkEnd w:id="4"/>
    </w:p>
    <w:tbl>
      <w:tblPr>
        <w:tblStyle w:val="TableTGAblue2023"/>
        <w:tblW w:w="5000" w:type="pct"/>
        <w:tblLook w:val="04A0" w:firstRow="1" w:lastRow="0" w:firstColumn="1" w:lastColumn="0" w:noHBand="0" w:noVBand="1"/>
      </w:tblPr>
      <w:tblGrid>
        <w:gridCol w:w="2174"/>
        <w:gridCol w:w="6886"/>
      </w:tblGrid>
      <w:tr w:rsidR="007E0A61" w:rsidRPr="00D01DDB" w14:paraId="4EC40959" w14:textId="77777777" w:rsidTr="00110ED1">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00" w:type="pct"/>
          </w:tcPr>
          <w:p w14:paraId="6EE51A0F" w14:textId="77777777" w:rsidR="007E0A61" w:rsidRPr="00D01DDB" w:rsidRDefault="007E0A61" w:rsidP="00110ED1">
            <w:pPr>
              <w:rPr>
                <w:szCs w:val="22"/>
              </w:rPr>
            </w:pPr>
            <w:r w:rsidRPr="00D01DDB">
              <w:rPr>
                <w:szCs w:val="22"/>
              </w:rPr>
              <w:t>Abbreviation</w:t>
            </w:r>
          </w:p>
        </w:tc>
        <w:tc>
          <w:tcPr>
            <w:tcW w:w="3800" w:type="pct"/>
          </w:tcPr>
          <w:p w14:paraId="6625AF54" w14:textId="77777777" w:rsidR="007E0A61" w:rsidRPr="00D01DDB" w:rsidRDefault="007E0A61" w:rsidP="00110ED1">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Meaning</w:t>
            </w:r>
          </w:p>
        </w:tc>
      </w:tr>
      <w:tr w:rsidR="00140211" w:rsidRPr="00D01DDB" w14:paraId="45C5EDB9"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9A0CEF8" w14:textId="5F760390" w:rsidR="00140211" w:rsidRPr="00DB2AE2" w:rsidRDefault="00140211" w:rsidP="00140211">
            <w:pPr>
              <w:rPr>
                <w:rFonts w:cs="Arial"/>
              </w:rPr>
            </w:pPr>
            <w:r w:rsidRPr="00D01DDB">
              <w:rPr>
                <w:szCs w:val="22"/>
              </w:rPr>
              <w:t>ACM</w:t>
            </w:r>
          </w:p>
        </w:tc>
        <w:tc>
          <w:tcPr>
            <w:tcW w:w="3800" w:type="pct"/>
          </w:tcPr>
          <w:p w14:paraId="5930F222" w14:textId="4D73A286" w:rsidR="00140211" w:rsidRPr="00DB2AE2" w:rsidRDefault="00140211" w:rsidP="00140211">
            <w:pPr>
              <w:cnfStyle w:val="000000000000" w:firstRow="0" w:lastRow="0" w:firstColumn="0" w:lastColumn="0" w:oddVBand="0" w:evenVBand="0" w:oddHBand="0" w:evenHBand="0" w:firstRowFirstColumn="0" w:firstRowLastColumn="0" w:lastRowFirstColumn="0" w:lastRowLastColumn="0"/>
              <w:rPr>
                <w:rFonts w:cs="Arial"/>
              </w:rPr>
            </w:pPr>
            <w:r w:rsidRPr="00D01DDB">
              <w:rPr>
                <w:szCs w:val="22"/>
              </w:rPr>
              <w:t>Advisory Committee on Medicines</w:t>
            </w:r>
          </w:p>
        </w:tc>
      </w:tr>
      <w:tr w:rsidR="00140211" w:rsidRPr="00D01DDB" w14:paraId="127A749A"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1A78162" w14:textId="65C108A2" w:rsidR="00140211" w:rsidRPr="00D01DDB" w:rsidRDefault="00140211" w:rsidP="00140211">
            <w:pPr>
              <w:rPr>
                <w:szCs w:val="22"/>
              </w:rPr>
            </w:pPr>
            <w:r w:rsidRPr="00D01DDB">
              <w:rPr>
                <w:szCs w:val="22"/>
              </w:rPr>
              <w:t>ACV</w:t>
            </w:r>
          </w:p>
        </w:tc>
        <w:tc>
          <w:tcPr>
            <w:tcW w:w="3800" w:type="pct"/>
          </w:tcPr>
          <w:p w14:paraId="221B7594" w14:textId="5CE07D2F"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Advisory Committee on Vaccines</w:t>
            </w:r>
          </w:p>
        </w:tc>
      </w:tr>
      <w:tr w:rsidR="00140211" w:rsidRPr="00D01DDB" w14:paraId="587458A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ED7F682" w14:textId="4409F643" w:rsidR="00140211" w:rsidRPr="00D01DDB" w:rsidRDefault="00140211" w:rsidP="00140211">
            <w:pPr>
              <w:rPr>
                <w:szCs w:val="22"/>
              </w:rPr>
            </w:pPr>
            <w:r w:rsidRPr="00DB2AE2">
              <w:rPr>
                <w:rFonts w:cs="Arial"/>
              </w:rPr>
              <w:t>ADE</w:t>
            </w:r>
          </w:p>
        </w:tc>
        <w:tc>
          <w:tcPr>
            <w:tcW w:w="3800" w:type="pct"/>
          </w:tcPr>
          <w:p w14:paraId="3E18CCC4" w14:textId="758D74EF"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antibody-dependent enhancement</w:t>
            </w:r>
          </w:p>
        </w:tc>
      </w:tr>
      <w:tr w:rsidR="00140211" w:rsidRPr="00D01DDB" w14:paraId="2D43868D"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2795277" w14:textId="4D392F26" w:rsidR="00140211" w:rsidRPr="00D01DDB" w:rsidRDefault="00140211" w:rsidP="00140211">
            <w:pPr>
              <w:rPr>
                <w:szCs w:val="22"/>
              </w:rPr>
            </w:pPr>
            <w:r w:rsidRPr="00DB2AE2">
              <w:rPr>
                <w:rFonts w:cs="Arial"/>
              </w:rPr>
              <w:t>ALT</w:t>
            </w:r>
          </w:p>
        </w:tc>
        <w:tc>
          <w:tcPr>
            <w:tcW w:w="3800" w:type="pct"/>
          </w:tcPr>
          <w:p w14:paraId="035D4C44" w14:textId="4ECBFA5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alanine aminotransferase</w:t>
            </w:r>
          </w:p>
        </w:tc>
      </w:tr>
      <w:tr w:rsidR="00140211" w:rsidRPr="00D01DDB" w14:paraId="0B8BD8EB"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28DA263" w14:textId="25D2913C" w:rsidR="00140211" w:rsidRPr="00D01DDB" w:rsidRDefault="00140211" w:rsidP="00140211">
            <w:pPr>
              <w:rPr>
                <w:szCs w:val="22"/>
              </w:rPr>
            </w:pPr>
            <w:r w:rsidRPr="00DB2AE2">
              <w:rPr>
                <w:rFonts w:cs="Arial"/>
              </w:rPr>
              <w:t>ALP</w:t>
            </w:r>
          </w:p>
        </w:tc>
        <w:tc>
          <w:tcPr>
            <w:tcW w:w="3800" w:type="pct"/>
          </w:tcPr>
          <w:p w14:paraId="5E9B6C05" w14:textId="024FF630"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alkaline phosphatase</w:t>
            </w:r>
          </w:p>
        </w:tc>
      </w:tr>
      <w:tr w:rsidR="00140211" w:rsidRPr="00D01DDB" w14:paraId="4EE67DA5"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F0D6A1E" w14:textId="1A1A68C4" w:rsidR="00140211" w:rsidRPr="00D01DDB" w:rsidRDefault="00140211" w:rsidP="00140211">
            <w:pPr>
              <w:rPr>
                <w:szCs w:val="22"/>
              </w:rPr>
            </w:pPr>
            <w:r w:rsidRPr="00DB2AE2">
              <w:rPr>
                <w:rFonts w:cs="Arial"/>
              </w:rPr>
              <w:t>anti-N</w:t>
            </w:r>
          </w:p>
        </w:tc>
        <w:tc>
          <w:tcPr>
            <w:tcW w:w="3800" w:type="pct"/>
          </w:tcPr>
          <w:p w14:paraId="10ACC3F6" w14:textId="50A4385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anti-</w:t>
            </w:r>
            <w:proofErr w:type="spellStart"/>
            <w:r w:rsidRPr="00DB2AE2">
              <w:rPr>
                <w:rFonts w:cs="Arial"/>
              </w:rPr>
              <w:t>rsv</w:t>
            </w:r>
            <w:proofErr w:type="spellEnd"/>
            <w:r w:rsidRPr="00DB2AE2">
              <w:rPr>
                <w:rFonts w:cs="Arial"/>
              </w:rPr>
              <w:t xml:space="preserve"> nucleocapsid</w:t>
            </w:r>
          </w:p>
        </w:tc>
      </w:tr>
      <w:tr w:rsidR="00140211" w:rsidRPr="00D01DDB" w14:paraId="58952DD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B6F1581" w14:textId="0231E300" w:rsidR="00140211" w:rsidRPr="00D01DDB" w:rsidRDefault="00140211" w:rsidP="00140211">
            <w:pPr>
              <w:rPr>
                <w:szCs w:val="22"/>
              </w:rPr>
            </w:pPr>
            <w:r w:rsidRPr="00DB2AE2">
              <w:rPr>
                <w:rFonts w:cs="Arial"/>
              </w:rPr>
              <w:t>APTT</w:t>
            </w:r>
          </w:p>
        </w:tc>
        <w:tc>
          <w:tcPr>
            <w:tcW w:w="3800" w:type="pct"/>
          </w:tcPr>
          <w:p w14:paraId="6F98EBA6" w14:textId="47128EEB"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activated partial thromboplastin time</w:t>
            </w:r>
          </w:p>
        </w:tc>
      </w:tr>
      <w:tr w:rsidR="00140211" w:rsidRPr="00D01DDB" w14:paraId="5E1432E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9D84508" w14:textId="77777777" w:rsidR="00140211" w:rsidRPr="00D01DDB" w:rsidRDefault="00140211" w:rsidP="00110ED1">
            <w:pPr>
              <w:rPr>
                <w:szCs w:val="22"/>
              </w:rPr>
            </w:pPr>
            <w:r w:rsidRPr="00D01DDB">
              <w:rPr>
                <w:szCs w:val="22"/>
              </w:rPr>
              <w:t>ARTG</w:t>
            </w:r>
          </w:p>
        </w:tc>
        <w:tc>
          <w:tcPr>
            <w:tcW w:w="3800" w:type="pct"/>
          </w:tcPr>
          <w:p w14:paraId="48DCEA45" w14:textId="77777777" w:rsidR="00140211" w:rsidRPr="00D01DDB" w:rsidRDefault="00140211" w:rsidP="00110ED1">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Australian Register of Therapeutic Goods</w:t>
            </w:r>
          </w:p>
        </w:tc>
      </w:tr>
      <w:tr w:rsidR="00140211" w:rsidRPr="00D01DDB" w14:paraId="17B080E8"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04D361B" w14:textId="77777777" w:rsidR="00140211" w:rsidRPr="00D01DDB" w:rsidRDefault="00140211" w:rsidP="00110ED1">
            <w:pPr>
              <w:rPr>
                <w:szCs w:val="22"/>
              </w:rPr>
            </w:pPr>
            <w:r w:rsidRPr="00D01DDB">
              <w:rPr>
                <w:szCs w:val="22"/>
              </w:rPr>
              <w:t>ASA</w:t>
            </w:r>
          </w:p>
        </w:tc>
        <w:tc>
          <w:tcPr>
            <w:tcW w:w="3800" w:type="pct"/>
          </w:tcPr>
          <w:p w14:paraId="4D2175C9" w14:textId="77777777" w:rsidR="00140211" w:rsidRPr="00D01DDB" w:rsidRDefault="00140211" w:rsidP="00110ED1">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Australia</w:t>
            </w:r>
            <w:r>
              <w:rPr>
                <w:szCs w:val="22"/>
              </w:rPr>
              <w:noBreakHyphen/>
            </w:r>
            <w:r w:rsidRPr="00D01DDB">
              <w:rPr>
                <w:szCs w:val="22"/>
              </w:rPr>
              <w:t>specific annex</w:t>
            </w:r>
          </w:p>
        </w:tc>
      </w:tr>
      <w:tr w:rsidR="00140211" w:rsidRPr="00D01DDB" w14:paraId="7EC7835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E0BCE7E" w14:textId="4EDE2887" w:rsidR="00140211" w:rsidRPr="00D01DDB" w:rsidRDefault="00140211" w:rsidP="00140211">
            <w:pPr>
              <w:rPr>
                <w:szCs w:val="22"/>
              </w:rPr>
            </w:pPr>
            <w:r w:rsidRPr="00DB2AE2">
              <w:rPr>
                <w:rFonts w:cs="Arial"/>
              </w:rPr>
              <w:t>AST</w:t>
            </w:r>
          </w:p>
        </w:tc>
        <w:tc>
          <w:tcPr>
            <w:tcW w:w="3800" w:type="pct"/>
          </w:tcPr>
          <w:p w14:paraId="55FDA59E" w14:textId="2E019D05"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aspartate aminotransferase</w:t>
            </w:r>
          </w:p>
        </w:tc>
      </w:tr>
      <w:tr w:rsidR="00140211" w:rsidRPr="00D01DDB" w14:paraId="046D5A8C"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705FAB1" w14:textId="3BC59F5C" w:rsidR="00140211" w:rsidRPr="00D01DDB" w:rsidRDefault="00140211" w:rsidP="00140211">
            <w:pPr>
              <w:rPr>
                <w:szCs w:val="22"/>
              </w:rPr>
            </w:pPr>
            <w:r w:rsidRPr="00DB2AE2">
              <w:rPr>
                <w:rFonts w:cs="Arial"/>
              </w:rPr>
              <w:t>AUC</w:t>
            </w:r>
          </w:p>
        </w:tc>
        <w:tc>
          <w:tcPr>
            <w:tcW w:w="3800" w:type="pct"/>
          </w:tcPr>
          <w:p w14:paraId="4B6F35BC" w14:textId="0EF1A5E1"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area under the curve</w:t>
            </w:r>
          </w:p>
        </w:tc>
      </w:tr>
      <w:tr w:rsidR="00140211" w:rsidRPr="00D01DDB" w14:paraId="67F11BCC"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23759E3" w14:textId="277F4E83" w:rsidR="00140211" w:rsidRPr="00D01DDB" w:rsidRDefault="00140211" w:rsidP="00140211">
            <w:pPr>
              <w:rPr>
                <w:szCs w:val="22"/>
              </w:rPr>
            </w:pPr>
            <w:r w:rsidRPr="00DB2AE2">
              <w:rPr>
                <w:rFonts w:cs="Arial"/>
              </w:rPr>
              <w:t>BUN</w:t>
            </w:r>
          </w:p>
        </w:tc>
        <w:tc>
          <w:tcPr>
            <w:tcW w:w="3800" w:type="pct"/>
          </w:tcPr>
          <w:p w14:paraId="50806009" w14:textId="67757324"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blood urea nitrogen</w:t>
            </w:r>
          </w:p>
        </w:tc>
      </w:tr>
      <w:tr w:rsidR="00140211" w:rsidRPr="00D01DDB" w14:paraId="4378D2AB"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7C45BD8" w14:textId="59F3B302" w:rsidR="00140211" w:rsidRPr="00D01DDB" w:rsidRDefault="00140211" w:rsidP="00140211">
            <w:pPr>
              <w:rPr>
                <w:szCs w:val="22"/>
              </w:rPr>
            </w:pPr>
            <w:r w:rsidRPr="00DB2AE2">
              <w:rPr>
                <w:rFonts w:cs="Arial"/>
              </w:rPr>
              <w:t>CDR</w:t>
            </w:r>
          </w:p>
        </w:tc>
        <w:tc>
          <w:tcPr>
            <w:tcW w:w="3800" w:type="pct"/>
          </w:tcPr>
          <w:p w14:paraId="3304352D" w14:textId="1FCF1415"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complementarity determining region</w:t>
            </w:r>
          </w:p>
        </w:tc>
      </w:tr>
      <w:tr w:rsidR="00140211" w:rsidRPr="00D01DDB" w14:paraId="34D7B7E6"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D36C35D" w14:textId="75272F23" w:rsidR="00140211" w:rsidRPr="00D01DDB" w:rsidRDefault="00140211" w:rsidP="00140211">
            <w:pPr>
              <w:rPr>
                <w:szCs w:val="22"/>
              </w:rPr>
            </w:pPr>
            <w:r w:rsidRPr="00DB2AE2">
              <w:rPr>
                <w:rFonts w:cs="Arial"/>
              </w:rPr>
              <w:t>CHO</w:t>
            </w:r>
          </w:p>
        </w:tc>
        <w:tc>
          <w:tcPr>
            <w:tcW w:w="3800" w:type="pct"/>
          </w:tcPr>
          <w:p w14:paraId="08F18714" w14:textId="6642219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proofErr w:type="spellStart"/>
            <w:r w:rsidRPr="00DB2AE2">
              <w:rPr>
                <w:rFonts w:cs="Arial"/>
              </w:rPr>
              <w:t>chinese</w:t>
            </w:r>
            <w:proofErr w:type="spellEnd"/>
            <w:r w:rsidRPr="00DB2AE2">
              <w:rPr>
                <w:rFonts w:cs="Arial"/>
              </w:rPr>
              <w:t xml:space="preserve"> hamster ovary</w:t>
            </w:r>
          </w:p>
        </w:tc>
      </w:tr>
      <w:tr w:rsidR="00140211" w:rsidRPr="00D01DDB" w14:paraId="34F9F07F"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2B6BDC8" w14:textId="7B4842A1" w:rsidR="00140211" w:rsidRPr="00D01DDB" w:rsidRDefault="00140211" w:rsidP="00140211">
            <w:pPr>
              <w:rPr>
                <w:szCs w:val="22"/>
              </w:rPr>
            </w:pPr>
            <w:r w:rsidRPr="00DB2AE2">
              <w:rPr>
                <w:rFonts w:cs="Arial"/>
              </w:rPr>
              <w:t>CI</w:t>
            </w:r>
          </w:p>
        </w:tc>
        <w:tc>
          <w:tcPr>
            <w:tcW w:w="3800" w:type="pct"/>
          </w:tcPr>
          <w:p w14:paraId="479B8995" w14:textId="120FDEB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confidence interval</w:t>
            </w:r>
          </w:p>
        </w:tc>
      </w:tr>
      <w:tr w:rsidR="00140211" w:rsidRPr="00D01DDB" w14:paraId="4CA23638"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4C0CD97" w14:textId="0606F2F7" w:rsidR="00140211" w:rsidRPr="00DB2AE2" w:rsidRDefault="00140211" w:rsidP="00140211">
            <w:pPr>
              <w:rPr>
                <w:rFonts w:cs="Arial"/>
              </w:rPr>
            </w:pPr>
            <w:r w:rsidRPr="00DB2AE2">
              <w:rPr>
                <w:rFonts w:cs="Arial"/>
              </w:rPr>
              <w:t>CL</w:t>
            </w:r>
          </w:p>
        </w:tc>
        <w:tc>
          <w:tcPr>
            <w:tcW w:w="3800" w:type="pct"/>
          </w:tcPr>
          <w:p w14:paraId="439BD75F" w14:textId="05E02784"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clearance</w:t>
            </w:r>
          </w:p>
        </w:tc>
      </w:tr>
      <w:tr w:rsidR="00140211" w:rsidRPr="00D01DDB" w14:paraId="0BC9C414"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9B07E28" w14:textId="5673E7CA" w:rsidR="00140211" w:rsidRPr="00DB2AE2" w:rsidRDefault="00140211" w:rsidP="00140211">
            <w:pPr>
              <w:rPr>
                <w:rFonts w:cs="Arial"/>
              </w:rPr>
            </w:pPr>
            <w:r w:rsidRPr="00DB2AE2">
              <w:rPr>
                <w:rFonts w:cs="Arial"/>
              </w:rPr>
              <w:t>CL_F</w:t>
            </w:r>
          </w:p>
        </w:tc>
        <w:tc>
          <w:tcPr>
            <w:tcW w:w="3800" w:type="pct"/>
          </w:tcPr>
          <w:p w14:paraId="32E4BA3F" w14:textId="0358B14C"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apparent clearance for extravascular administration</w:t>
            </w:r>
          </w:p>
        </w:tc>
      </w:tr>
      <w:tr w:rsidR="00140211" w:rsidRPr="00D01DDB" w14:paraId="0CD7C399"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77B9026" w14:textId="4C7772F6" w:rsidR="00140211" w:rsidRPr="00DB2AE2" w:rsidRDefault="00140211" w:rsidP="00140211">
            <w:pPr>
              <w:rPr>
                <w:rFonts w:cs="Arial"/>
              </w:rPr>
            </w:pPr>
            <w:proofErr w:type="spellStart"/>
            <w:r w:rsidRPr="00DB2AE2">
              <w:rPr>
                <w:rFonts w:cs="Arial"/>
              </w:rPr>
              <w:t>C</w:t>
            </w:r>
            <w:r w:rsidRPr="00DB2AE2">
              <w:rPr>
                <w:rFonts w:cs="Arial"/>
                <w:vertAlign w:val="subscript"/>
              </w:rPr>
              <w:t>max</w:t>
            </w:r>
            <w:proofErr w:type="spellEnd"/>
          </w:p>
        </w:tc>
        <w:tc>
          <w:tcPr>
            <w:tcW w:w="3800" w:type="pct"/>
          </w:tcPr>
          <w:p w14:paraId="3A55E8FB" w14:textId="7C9668E1"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observed maximum concentration</w:t>
            </w:r>
          </w:p>
        </w:tc>
      </w:tr>
      <w:tr w:rsidR="00140211" w:rsidRPr="00D01DDB" w14:paraId="12295955"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265FE1A" w14:textId="5754C714" w:rsidR="00140211" w:rsidRPr="00DB2AE2" w:rsidRDefault="00140211" w:rsidP="00140211">
            <w:pPr>
              <w:rPr>
                <w:rFonts w:cs="Arial"/>
              </w:rPr>
            </w:pPr>
            <w:r w:rsidRPr="00DB2AE2">
              <w:rPr>
                <w:rFonts w:cs="Arial"/>
              </w:rPr>
              <w:t>CMV</w:t>
            </w:r>
          </w:p>
        </w:tc>
        <w:tc>
          <w:tcPr>
            <w:tcW w:w="3800" w:type="pct"/>
          </w:tcPr>
          <w:p w14:paraId="4DD226DA" w14:textId="31426963"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cytomegalovirus</w:t>
            </w:r>
          </w:p>
        </w:tc>
      </w:tr>
      <w:tr w:rsidR="00140211" w:rsidRPr="00D01DDB" w14:paraId="37D2610C"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EE0630A" w14:textId="1CE1CB73" w:rsidR="00140211" w:rsidRPr="00DB2AE2" w:rsidRDefault="00140211" w:rsidP="00140211">
            <w:pPr>
              <w:rPr>
                <w:rFonts w:cs="Arial"/>
              </w:rPr>
            </w:pPr>
            <w:r w:rsidRPr="00DB2AE2">
              <w:rPr>
                <w:rFonts w:cs="Arial"/>
              </w:rPr>
              <w:t>CoA</w:t>
            </w:r>
          </w:p>
        </w:tc>
        <w:tc>
          <w:tcPr>
            <w:tcW w:w="3800" w:type="pct"/>
          </w:tcPr>
          <w:p w14:paraId="0144648F" w14:textId="5BD1D94C"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certificate of analysis</w:t>
            </w:r>
          </w:p>
        </w:tc>
      </w:tr>
      <w:tr w:rsidR="00140211" w:rsidRPr="00D01DDB" w14:paraId="2C7E9D56"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9B57C97" w14:textId="1066B3F4" w:rsidR="00140211" w:rsidRPr="00DB2AE2" w:rsidRDefault="00140211" w:rsidP="00140211">
            <w:pPr>
              <w:rPr>
                <w:rFonts w:cs="Arial"/>
              </w:rPr>
            </w:pPr>
            <w:r w:rsidRPr="00DB2AE2">
              <w:rPr>
                <w:rFonts w:cs="Arial"/>
              </w:rPr>
              <w:t>DP</w:t>
            </w:r>
          </w:p>
        </w:tc>
        <w:tc>
          <w:tcPr>
            <w:tcW w:w="3800" w:type="pct"/>
          </w:tcPr>
          <w:p w14:paraId="22798F63" w14:textId="1C8A2CC0"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drug product</w:t>
            </w:r>
          </w:p>
        </w:tc>
      </w:tr>
      <w:tr w:rsidR="00140211" w:rsidRPr="00D01DDB" w14:paraId="0C93831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41AB0F2" w14:textId="1218CAEC" w:rsidR="00140211" w:rsidRPr="00DB2AE2" w:rsidRDefault="00140211" w:rsidP="00140211">
            <w:pPr>
              <w:rPr>
                <w:rFonts w:cs="Arial"/>
              </w:rPr>
            </w:pPr>
            <w:r w:rsidRPr="00DB2AE2">
              <w:rPr>
                <w:rFonts w:cs="Arial"/>
              </w:rPr>
              <w:t>DPBS</w:t>
            </w:r>
          </w:p>
        </w:tc>
        <w:tc>
          <w:tcPr>
            <w:tcW w:w="3800" w:type="pct"/>
          </w:tcPr>
          <w:p w14:paraId="5F02E18B" w14:textId="7BE38A0D"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proofErr w:type="spellStart"/>
            <w:r w:rsidRPr="00DB2AE2">
              <w:rPr>
                <w:rFonts w:cs="Arial"/>
              </w:rPr>
              <w:t>dulbecco's</w:t>
            </w:r>
            <w:proofErr w:type="spellEnd"/>
            <w:r w:rsidRPr="00DB2AE2">
              <w:rPr>
                <w:rFonts w:cs="Arial"/>
              </w:rPr>
              <w:t xml:space="preserve"> phosphate buffered saline</w:t>
            </w:r>
          </w:p>
        </w:tc>
      </w:tr>
      <w:tr w:rsidR="00140211" w:rsidRPr="00D01DDB" w14:paraId="61CE549B"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FC939E2" w14:textId="4390A616" w:rsidR="00140211" w:rsidRPr="00DB2AE2" w:rsidRDefault="00140211" w:rsidP="00140211">
            <w:pPr>
              <w:rPr>
                <w:rFonts w:cs="Arial"/>
              </w:rPr>
            </w:pPr>
            <w:r w:rsidRPr="00DB2AE2">
              <w:rPr>
                <w:rFonts w:cs="Arial"/>
              </w:rPr>
              <w:t>EC</w:t>
            </w:r>
            <w:r w:rsidRPr="00DB2AE2">
              <w:rPr>
                <w:rFonts w:cs="Arial"/>
                <w:vertAlign w:val="subscript"/>
              </w:rPr>
              <w:t>50</w:t>
            </w:r>
          </w:p>
        </w:tc>
        <w:tc>
          <w:tcPr>
            <w:tcW w:w="3800" w:type="pct"/>
          </w:tcPr>
          <w:p w14:paraId="35BE54F7" w14:textId="63341FC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half-maximal effective concentration</w:t>
            </w:r>
          </w:p>
        </w:tc>
      </w:tr>
      <w:tr w:rsidR="00140211" w:rsidRPr="00D01DDB" w14:paraId="441554C8"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3A22A0F" w14:textId="016260B1" w:rsidR="00140211" w:rsidRPr="00DB2AE2" w:rsidRDefault="00140211" w:rsidP="00140211">
            <w:pPr>
              <w:rPr>
                <w:rFonts w:cs="Arial"/>
              </w:rPr>
            </w:pPr>
            <w:r w:rsidRPr="00DB2AE2">
              <w:rPr>
                <w:rFonts w:cs="Arial"/>
              </w:rPr>
              <w:t>EC</w:t>
            </w:r>
            <w:r w:rsidRPr="00DB2AE2">
              <w:rPr>
                <w:rFonts w:cs="Arial"/>
                <w:vertAlign w:val="subscript"/>
              </w:rPr>
              <w:t>90</w:t>
            </w:r>
          </w:p>
        </w:tc>
        <w:tc>
          <w:tcPr>
            <w:tcW w:w="3800" w:type="pct"/>
          </w:tcPr>
          <w:p w14:paraId="6F344A5A" w14:textId="61B46704"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effective concentration that corresponds to 90% reduction in viral load</w:t>
            </w:r>
          </w:p>
        </w:tc>
      </w:tr>
      <w:tr w:rsidR="00140211" w:rsidRPr="00D01DDB" w14:paraId="44A62120"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FE3CB1F" w14:textId="3451AEAE" w:rsidR="00140211" w:rsidRPr="00DB2AE2" w:rsidRDefault="00140211" w:rsidP="00140211">
            <w:pPr>
              <w:rPr>
                <w:rFonts w:cs="Arial"/>
              </w:rPr>
            </w:pPr>
            <w:r w:rsidRPr="00DB2AE2">
              <w:rPr>
                <w:rFonts w:cs="Arial"/>
              </w:rPr>
              <w:t>ECL</w:t>
            </w:r>
          </w:p>
        </w:tc>
        <w:tc>
          <w:tcPr>
            <w:tcW w:w="3800" w:type="pct"/>
          </w:tcPr>
          <w:p w14:paraId="50F43BC7" w14:textId="60E0EE1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electrochemiluminescence</w:t>
            </w:r>
          </w:p>
        </w:tc>
      </w:tr>
      <w:tr w:rsidR="00140211" w:rsidRPr="00D01DDB" w14:paraId="7D403ACA"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85E70FA" w14:textId="241C58F0" w:rsidR="00140211" w:rsidRPr="00DB2AE2" w:rsidRDefault="00140211" w:rsidP="00140211">
            <w:pPr>
              <w:rPr>
                <w:rFonts w:cs="Arial"/>
              </w:rPr>
            </w:pPr>
            <w:r w:rsidRPr="00DB2AE2">
              <w:rPr>
                <w:rFonts w:cs="Arial"/>
              </w:rPr>
              <w:t>ELISA</w:t>
            </w:r>
          </w:p>
        </w:tc>
        <w:tc>
          <w:tcPr>
            <w:tcW w:w="3800" w:type="pct"/>
          </w:tcPr>
          <w:p w14:paraId="1A20F413" w14:textId="301B39A2"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enzyme-linked immunosorbent assay</w:t>
            </w:r>
          </w:p>
        </w:tc>
      </w:tr>
      <w:tr w:rsidR="00140211" w:rsidRPr="00D01DDB" w14:paraId="57B0BE8E"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16E2F13" w14:textId="328B3B95" w:rsidR="00140211" w:rsidRPr="00DB2AE2" w:rsidRDefault="00140211" w:rsidP="00140211">
            <w:pPr>
              <w:rPr>
                <w:rFonts w:cs="Arial"/>
              </w:rPr>
            </w:pPr>
            <w:r w:rsidRPr="00DB2AE2">
              <w:rPr>
                <w:rFonts w:cs="Arial"/>
              </w:rPr>
              <w:t>F</w:t>
            </w:r>
          </w:p>
        </w:tc>
        <w:tc>
          <w:tcPr>
            <w:tcW w:w="3800" w:type="pct"/>
          </w:tcPr>
          <w:p w14:paraId="4B109F01" w14:textId="1F7EBBB1"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fusion glycoprotein</w:t>
            </w:r>
          </w:p>
        </w:tc>
      </w:tr>
      <w:tr w:rsidR="00140211" w:rsidRPr="00D01DDB" w14:paraId="65ADCEBF"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BB96F47" w14:textId="57E15B70" w:rsidR="00140211" w:rsidRPr="00DB2AE2" w:rsidRDefault="00140211" w:rsidP="00140211">
            <w:pPr>
              <w:rPr>
                <w:rFonts w:cs="Arial"/>
              </w:rPr>
            </w:pPr>
            <w:r w:rsidRPr="00DB2AE2">
              <w:rPr>
                <w:rFonts w:cs="Arial"/>
              </w:rPr>
              <w:t>Fab</w:t>
            </w:r>
          </w:p>
        </w:tc>
        <w:tc>
          <w:tcPr>
            <w:tcW w:w="3800" w:type="pct"/>
          </w:tcPr>
          <w:p w14:paraId="33EEA7F2" w14:textId="5BF345D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fragment antigen-binding</w:t>
            </w:r>
          </w:p>
        </w:tc>
      </w:tr>
      <w:tr w:rsidR="00140211" w:rsidRPr="00D01DDB" w14:paraId="5BA97F7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1DE28C9" w14:textId="108B3E17" w:rsidR="00140211" w:rsidRPr="00DB2AE2" w:rsidRDefault="00140211" w:rsidP="00140211">
            <w:pPr>
              <w:rPr>
                <w:rFonts w:cs="Arial"/>
              </w:rPr>
            </w:pPr>
            <w:r w:rsidRPr="00DB2AE2">
              <w:rPr>
                <w:rFonts w:cs="Arial"/>
              </w:rPr>
              <w:t>Fc</w:t>
            </w:r>
          </w:p>
        </w:tc>
        <w:tc>
          <w:tcPr>
            <w:tcW w:w="3800" w:type="pct"/>
          </w:tcPr>
          <w:p w14:paraId="32CF7432" w14:textId="1ECB79C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fragment crystallizable region</w:t>
            </w:r>
          </w:p>
        </w:tc>
      </w:tr>
      <w:tr w:rsidR="00140211" w:rsidRPr="00D01DDB" w14:paraId="2A607B7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01DA57C" w14:textId="526CBAF3" w:rsidR="00140211" w:rsidRPr="00DB2AE2" w:rsidRDefault="00140211" w:rsidP="00140211">
            <w:pPr>
              <w:rPr>
                <w:rFonts w:cs="Arial"/>
              </w:rPr>
            </w:pPr>
            <w:r w:rsidRPr="00DB2AE2">
              <w:rPr>
                <w:rFonts w:cs="Arial"/>
              </w:rPr>
              <w:t>FcRn</w:t>
            </w:r>
          </w:p>
        </w:tc>
        <w:tc>
          <w:tcPr>
            <w:tcW w:w="3800" w:type="pct"/>
          </w:tcPr>
          <w:p w14:paraId="3C6283A1" w14:textId="7F0BF9B2"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neonatal fc receptor</w:t>
            </w:r>
          </w:p>
        </w:tc>
      </w:tr>
      <w:tr w:rsidR="00140211" w:rsidRPr="00D01DDB" w14:paraId="524E4C59"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8AE1888" w14:textId="20D3C7C1" w:rsidR="00140211" w:rsidRPr="00DB2AE2" w:rsidRDefault="00140211" w:rsidP="00140211">
            <w:pPr>
              <w:rPr>
                <w:rFonts w:cs="Arial"/>
              </w:rPr>
            </w:pPr>
            <w:proofErr w:type="spellStart"/>
            <w:r w:rsidRPr="00DB2AE2">
              <w:rPr>
                <w:rFonts w:cs="Arial"/>
              </w:rPr>
              <w:t>FcγR</w:t>
            </w:r>
            <w:proofErr w:type="spellEnd"/>
          </w:p>
        </w:tc>
        <w:tc>
          <w:tcPr>
            <w:tcW w:w="3800" w:type="pct"/>
          </w:tcPr>
          <w:p w14:paraId="09EFDF18" w14:textId="09770E2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fc gamma receptor</w:t>
            </w:r>
          </w:p>
        </w:tc>
      </w:tr>
      <w:tr w:rsidR="00140211" w:rsidRPr="00D01DDB" w14:paraId="6A43B20A"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7801CA6" w14:textId="42120FD6" w:rsidR="00140211" w:rsidRPr="00DB2AE2" w:rsidRDefault="00140211" w:rsidP="00140211">
            <w:pPr>
              <w:rPr>
                <w:rFonts w:cs="Arial"/>
              </w:rPr>
            </w:pPr>
            <w:r w:rsidRPr="00DB2AE2">
              <w:rPr>
                <w:rFonts w:cs="Arial"/>
              </w:rPr>
              <w:lastRenderedPageBreak/>
              <w:t>FOB</w:t>
            </w:r>
          </w:p>
        </w:tc>
        <w:tc>
          <w:tcPr>
            <w:tcW w:w="3800" w:type="pct"/>
          </w:tcPr>
          <w:p w14:paraId="58D7CF97" w14:textId="37671555"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functional observational battery</w:t>
            </w:r>
          </w:p>
        </w:tc>
      </w:tr>
      <w:tr w:rsidR="00140211" w:rsidRPr="00D01DDB" w14:paraId="01BD279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C28866B" w14:textId="50A4888C" w:rsidR="00140211" w:rsidRPr="00DB2AE2" w:rsidRDefault="00140211" w:rsidP="00140211">
            <w:pPr>
              <w:rPr>
                <w:rFonts w:cs="Arial"/>
              </w:rPr>
            </w:pPr>
            <w:r w:rsidRPr="00DB2AE2">
              <w:rPr>
                <w:rFonts w:cs="Arial"/>
              </w:rPr>
              <w:t>GLP</w:t>
            </w:r>
          </w:p>
        </w:tc>
        <w:tc>
          <w:tcPr>
            <w:tcW w:w="3800" w:type="pct"/>
          </w:tcPr>
          <w:p w14:paraId="19B9A35F" w14:textId="08AA40F0"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good laboratory practice</w:t>
            </w:r>
          </w:p>
        </w:tc>
      </w:tr>
      <w:tr w:rsidR="00140211" w:rsidRPr="00D01DDB" w14:paraId="31949684"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50A217F" w14:textId="2C5F00B3" w:rsidR="00140211" w:rsidRPr="00DB2AE2" w:rsidRDefault="00140211" w:rsidP="00140211">
            <w:pPr>
              <w:rPr>
                <w:rFonts w:cs="Arial"/>
              </w:rPr>
            </w:pPr>
            <w:r w:rsidRPr="00DB2AE2">
              <w:rPr>
                <w:rFonts w:cs="Arial"/>
              </w:rPr>
              <w:t>HCT</w:t>
            </w:r>
          </w:p>
        </w:tc>
        <w:tc>
          <w:tcPr>
            <w:tcW w:w="3800" w:type="pct"/>
          </w:tcPr>
          <w:p w14:paraId="20B3ECEA" w14:textId="0689EF9D"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proofErr w:type="spellStart"/>
            <w:r w:rsidRPr="00DB2AE2">
              <w:rPr>
                <w:rFonts w:cs="Arial"/>
              </w:rPr>
              <w:t>hematocrit</w:t>
            </w:r>
            <w:proofErr w:type="spellEnd"/>
          </w:p>
        </w:tc>
      </w:tr>
      <w:tr w:rsidR="00140211" w:rsidRPr="00D01DDB" w14:paraId="15F901C5"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47A6E6A" w14:textId="0CC592F9" w:rsidR="00140211" w:rsidRPr="00DB2AE2" w:rsidRDefault="00140211" w:rsidP="00140211">
            <w:pPr>
              <w:rPr>
                <w:rFonts w:cs="Arial"/>
              </w:rPr>
            </w:pPr>
            <w:r w:rsidRPr="00DB2AE2">
              <w:rPr>
                <w:rFonts w:cs="Arial"/>
              </w:rPr>
              <w:t>HER2</w:t>
            </w:r>
          </w:p>
        </w:tc>
        <w:tc>
          <w:tcPr>
            <w:tcW w:w="3800" w:type="pct"/>
          </w:tcPr>
          <w:p w14:paraId="47EACE4C" w14:textId="74BA04E4"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human epidermal growth factor receptor 2</w:t>
            </w:r>
          </w:p>
        </w:tc>
      </w:tr>
      <w:tr w:rsidR="00140211" w:rsidRPr="00D01DDB" w14:paraId="78913A05"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B19E981" w14:textId="766BD8FC" w:rsidR="00140211" w:rsidRPr="00DB2AE2" w:rsidRDefault="00140211" w:rsidP="00140211">
            <w:pPr>
              <w:rPr>
                <w:rFonts w:cs="Arial"/>
              </w:rPr>
            </w:pPr>
            <w:r w:rsidRPr="00DB2AE2">
              <w:rPr>
                <w:rFonts w:cs="Arial"/>
              </w:rPr>
              <w:t>HGB</w:t>
            </w:r>
          </w:p>
        </w:tc>
        <w:tc>
          <w:tcPr>
            <w:tcW w:w="3800" w:type="pct"/>
          </w:tcPr>
          <w:p w14:paraId="4C1FBC8D" w14:textId="312D6E18"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proofErr w:type="spellStart"/>
            <w:r w:rsidRPr="00DB2AE2">
              <w:rPr>
                <w:rFonts w:cs="Arial"/>
              </w:rPr>
              <w:t>hemoglobin</w:t>
            </w:r>
            <w:proofErr w:type="spellEnd"/>
          </w:p>
        </w:tc>
      </w:tr>
      <w:tr w:rsidR="00140211" w:rsidRPr="00D01DDB" w14:paraId="0241AE3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B37406C" w14:textId="2CC52057" w:rsidR="00140211" w:rsidRPr="00DB2AE2" w:rsidRDefault="00140211" w:rsidP="00140211">
            <w:pPr>
              <w:rPr>
                <w:rFonts w:cs="Arial"/>
              </w:rPr>
            </w:pPr>
            <w:r w:rsidRPr="00DB2AE2">
              <w:rPr>
                <w:rFonts w:cs="Arial"/>
              </w:rPr>
              <w:t>IC</w:t>
            </w:r>
            <w:r w:rsidRPr="00DB2AE2">
              <w:rPr>
                <w:rFonts w:cs="Arial"/>
                <w:vertAlign w:val="subscript"/>
              </w:rPr>
              <w:t>50</w:t>
            </w:r>
            <w:r w:rsidRPr="00DB2AE2">
              <w:rPr>
                <w:rFonts w:cs="Arial"/>
              </w:rPr>
              <w:t xml:space="preserve"> </w:t>
            </w:r>
          </w:p>
        </w:tc>
        <w:tc>
          <w:tcPr>
            <w:tcW w:w="3800" w:type="pct"/>
          </w:tcPr>
          <w:p w14:paraId="41AF6EFD" w14:textId="36E56A5B"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half-maximal inhibitory concentration</w:t>
            </w:r>
          </w:p>
        </w:tc>
      </w:tr>
      <w:tr w:rsidR="00140211" w:rsidRPr="00D01DDB" w14:paraId="35F2C276"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86A1DEC" w14:textId="3D1AEA48" w:rsidR="00140211" w:rsidRPr="00DB2AE2" w:rsidRDefault="00140211" w:rsidP="00140211">
            <w:pPr>
              <w:rPr>
                <w:rFonts w:cs="Arial"/>
              </w:rPr>
            </w:pPr>
            <w:r w:rsidRPr="00DB2AE2">
              <w:rPr>
                <w:rFonts w:cs="Arial"/>
              </w:rPr>
              <w:t>IC</w:t>
            </w:r>
            <w:r w:rsidRPr="00DB2AE2">
              <w:rPr>
                <w:rFonts w:cs="Arial"/>
                <w:vertAlign w:val="subscript"/>
              </w:rPr>
              <w:t>90</w:t>
            </w:r>
          </w:p>
        </w:tc>
        <w:tc>
          <w:tcPr>
            <w:tcW w:w="3800" w:type="pct"/>
          </w:tcPr>
          <w:p w14:paraId="6A0AA898" w14:textId="1A2E0485"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concentration achieving 90% inhibition</w:t>
            </w:r>
          </w:p>
        </w:tc>
      </w:tr>
      <w:tr w:rsidR="00140211" w:rsidRPr="00D01DDB" w14:paraId="5F272F12"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5D28F09" w14:textId="7D45A991" w:rsidR="00140211" w:rsidRPr="00DB2AE2" w:rsidRDefault="00140211" w:rsidP="00140211">
            <w:pPr>
              <w:rPr>
                <w:rFonts w:cs="Arial"/>
              </w:rPr>
            </w:pPr>
            <w:r w:rsidRPr="00DB2AE2">
              <w:rPr>
                <w:rFonts w:cs="Arial"/>
              </w:rPr>
              <w:t>ICH</w:t>
            </w:r>
          </w:p>
        </w:tc>
        <w:tc>
          <w:tcPr>
            <w:tcW w:w="3800" w:type="pct"/>
          </w:tcPr>
          <w:p w14:paraId="19C6152D" w14:textId="72702586"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International Conference on Harmonisation</w:t>
            </w:r>
          </w:p>
        </w:tc>
      </w:tr>
      <w:tr w:rsidR="00140211" w:rsidRPr="00D01DDB" w14:paraId="57FF333F"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6907BE3" w14:textId="745DE6B4" w:rsidR="00140211" w:rsidRPr="00DB2AE2" w:rsidRDefault="00140211" w:rsidP="00140211">
            <w:pPr>
              <w:rPr>
                <w:rFonts w:cs="Arial"/>
              </w:rPr>
            </w:pPr>
            <w:r w:rsidRPr="00DB2AE2">
              <w:rPr>
                <w:rFonts w:cs="Arial"/>
              </w:rPr>
              <w:t>IFN-γ</w:t>
            </w:r>
          </w:p>
        </w:tc>
        <w:tc>
          <w:tcPr>
            <w:tcW w:w="3800" w:type="pct"/>
          </w:tcPr>
          <w:p w14:paraId="7FED91CC" w14:textId="535C8342"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interferon gamma</w:t>
            </w:r>
          </w:p>
        </w:tc>
      </w:tr>
      <w:tr w:rsidR="00140211" w:rsidRPr="00D01DDB" w14:paraId="7B198468"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7A71CC0" w14:textId="1CF97D66" w:rsidR="00140211" w:rsidRPr="00DB2AE2" w:rsidRDefault="00140211" w:rsidP="00140211">
            <w:pPr>
              <w:rPr>
                <w:rFonts w:cs="Arial"/>
              </w:rPr>
            </w:pPr>
            <w:r w:rsidRPr="00DB2AE2">
              <w:rPr>
                <w:rFonts w:cs="Arial"/>
              </w:rPr>
              <w:t>IgG</w:t>
            </w:r>
          </w:p>
        </w:tc>
        <w:tc>
          <w:tcPr>
            <w:tcW w:w="3800" w:type="pct"/>
          </w:tcPr>
          <w:p w14:paraId="0106C0A7" w14:textId="1F24654D"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immunoglobulin G</w:t>
            </w:r>
          </w:p>
        </w:tc>
      </w:tr>
      <w:tr w:rsidR="00140211" w:rsidRPr="00D01DDB" w14:paraId="3744413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01B4884" w14:textId="5086B8CA" w:rsidR="00140211" w:rsidRPr="00DB2AE2" w:rsidRDefault="00140211" w:rsidP="00140211">
            <w:pPr>
              <w:rPr>
                <w:rFonts w:cs="Arial"/>
              </w:rPr>
            </w:pPr>
            <w:r w:rsidRPr="00DB2AE2">
              <w:rPr>
                <w:rFonts w:cs="Arial"/>
              </w:rPr>
              <w:t>IL</w:t>
            </w:r>
          </w:p>
        </w:tc>
        <w:tc>
          <w:tcPr>
            <w:tcW w:w="3800" w:type="pct"/>
          </w:tcPr>
          <w:p w14:paraId="31B992DF" w14:textId="524F0B25"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interleukin</w:t>
            </w:r>
          </w:p>
        </w:tc>
      </w:tr>
      <w:tr w:rsidR="00140211" w:rsidRPr="00D01DDB" w14:paraId="0CC36D7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5F56E73" w14:textId="404B18F1" w:rsidR="00140211" w:rsidRPr="00DB2AE2" w:rsidRDefault="00140211" w:rsidP="00140211">
            <w:pPr>
              <w:rPr>
                <w:rFonts w:cs="Arial"/>
              </w:rPr>
            </w:pPr>
            <w:r w:rsidRPr="00DB2AE2">
              <w:rPr>
                <w:rFonts w:cs="Arial"/>
              </w:rPr>
              <w:t>IM</w:t>
            </w:r>
          </w:p>
        </w:tc>
        <w:tc>
          <w:tcPr>
            <w:tcW w:w="3800" w:type="pct"/>
          </w:tcPr>
          <w:p w14:paraId="239B02B4" w14:textId="3D6B71EB"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intramuscular</w:t>
            </w:r>
          </w:p>
        </w:tc>
      </w:tr>
      <w:tr w:rsidR="00140211" w:rsidRPr="00D01DDB" w14:paraId="56F48184"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C48A46A" w14:textId="7D1990D9" w:rsidR="00140211" w:rsidRPr="00DB2AE2" w:rsidRDefault="00140211" w:rsidP="00140211">
            <w:pPr>
              <w:rPr>
                <w:rFonts w:cs="Arial"/>
              </w:rPr>
            </w:pPr>
            <w:r w:rsidRPr="00DB2AE2">
              <w:rPr>
                <w:rFonts w:cs="Arial"/>
              </w:rPr>
              <w:t>IV</w:t>
            </w:r>
          </w:p>
        </w:tc>
        <w:tc>
          <w:tcPr>
            <w:tcW w:w="3800" w:type="pct"/>
          </w:tcPr>
          <w:p w14:paraId="59D8384B" w14:textId="5DFE184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intravenous</w:t>
            </w:r>
          </w:p>
        </w:tc>
      </w:tr>
      <w:tr w:rsidR="00140211" w:rsidRPr="00D01DDB" w14:paraId="4B9EB798"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2E6AE4D" w14:textId="22F616AA" w:rsidR="00140211" w:rsidRPr="00DB2AE2" w:rsidRDefault="00140211" w:rsidP="00140211">
            <w:pPr>
              <w:rPr>
                <w:rFonts w:cs="Arial"/>
              </w:rPr>
            </w:pPr>
            <w:r w:rsidRPr="00DB2AE2">
              <w:rPr>
                <w:rFonts w:cs="Arial"/>
              </w:rPr>
              <w:t>K</w:t>
            </w:r>
            <w:r w:rsidRPr="00DB2AE2">
              <w:rPr>
                <w:rFonts w:cs="Arial"/>
                <w:vertAlign w:val="subscript"/>
              </w:rPr>
              <w:t>D</w:t>
            </w:r>
          </w:p>
        </w:tc>
        <w:tc>
          <w:tcPr>
            <w:tcW w:w="3800" w:type="pct"/>
          </w:tcPr>
          <w:p w14:paraId="76B9A93E" w14:textId="77F6B981"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equilibrium dissociation constant</w:t>
            </w:r>
          </w:p>
        </w:tc>
      </w:tr>
      <w:tr w:rsidR="00140211" w:rsidRPr="00D01DDB" w14:paraId="7C3E21A0"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1CDF14C" w14:textId="769CEA96" w:rsidR="00140211" w:rsidRPr="00DB2AE2" w:rsidRDefault="00140211" w:rsidP="00140211">
            <w:pPr>
              <w:rPr>
                <w:rFonts w:cs="Arial"/>
              </w:rPr>
            </w:pPr>
            <w:r w:rsidRPr="00DB2AE2">
              <w:rPr>
                <w:rFonts w:cs="Arial"/>
              </w:rPr>
              <w:t>LC-MS/MS</w:t>
            </w:r>
          </w:p>
        </w:tc>
        <w:tc>
          <w:tcPr>
            <w:tcW w:w="3800" w:type="pct"/>
          </w:tcPr>
          <w:p w14:paraId="44AEAD60" w14:textId="4F3775E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liquid chromatography-tandem mass spectrometry</w:t>
            </w:r>
          </w:p>
        </w:tc>
      </w:tr>
      <w:tr w:rsidR="00140211" w:rsidRPr="00D01DDB" w14:paraId="45B1C12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04FB79B" w14:textId="4F4B3FAB" w:rsidR="00140211" w:rsidRPr="00DB2AE2" w:rsidRDefault="00140211" w:rsidP="00140211">
            <w:pPr>
              <w:rPr>
                <w:rFonts w:cs="Arial"/>
              </w:rPr>
            </w:pPr>
            <w:proofErr w:type="spellStart"/>
            <w:r w:rsidRPr="00DB2AE2">
              <w:rPr>
                <w:rFonts w:cs="Arial"/>
              </w:rPr>
              <w:t>LLoQ</w:t>
            </w:r>
            <w:proofErr w:type="spellEnd"/>
          </w:p>
        </w:tc>
        <w:tc>
          <w:tcPr>
            <w:tcW w:w="3800" w:type="pct"/>
          </w:tcPr>
          <w:p w14:paraId="1D439B83" w14:textId="1DB342C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lower limit of quantitation</w:t>
            </w:r>
          </w:p>
        </w:tc>
      </w:tr>
      <w:tr w:rsidR="00140211" w:rsidRPr="00D01DDB" w14:paraId="23C2255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DC482C0" w14:textId="6A1F3426" w:rsidR="00140211" w:rsidRPr="00DB2AE2" w:rsidRDefault="00140211" w:rsidP="00140211">
            <w:pPr>
              <w:rPr>
                <w:rFonts w:cs="Arial"/>
              </w:rPr>
            </w:pPr>
            <w:r w:rsidRPr="00DB2AE2">
              <w:rPr>
                <w:rFonts w:cs="Arial"/>
              </w:rPr>
              <w:t>LPS</w:t>
            </w:r>
          </w:p>
        </w:tc>
        <w:tc>
          <w:tcPr>
            <w:tcW w:w="3800" w:type="pct"/>
          </w:tcPr>
          <w:p w14:paraId="66D8BC71" w14:textId="0115FC61"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lipopolysaccharide</w:t>
            </w:r>
          </w:p>
        </w:tc>
      </w:tr>
      <w:tr w:rsidR="00140211" w:rsidRPr="00D01DDB" w14:paraId="11B235DF"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73DEA6F" w14:textId="7CC964CE" w:rsidR="00140211" w:rsidRPr="00DB2AE2" w:rsidRDefault="00140211" w:rsidP="00140211">
            <w:pPr>
              <w:rPr>
                <w:rFonts w:cs="Arial"/>
              </w:rPr>
            </w:pPr>
            <w:proofErr w:type="spellStart"/>
            <w:r w:rsidRPr="00DB2AE2">
              <w:rPr>
                <w:rFonts w:cs="Arial"/>
              </w:rPr>
              <w:t>mAb</w:t>
            </w:r>
            <w:proofErr w:type="spellEnd"/>
          </w:p>
        </w:tc>
        <w:tc>
          <w:tcPr>
            <w:tcW w:w="3800" w:type="pct"/>
          </w:tcPr>
          <w:p w14:paraId="2D5785BC" w14:textId="437FC32B"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monoclonal antibody</w:t>
            </w:r>
          </w:p>
        </w:tc>
      </w:tr>
      <w:tr w:rsidR="00140211" w:rsidRPr="00D01DDB" w14:paraId="0188064B"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2E9DF50" w14:textId="5A660DC9" w:rsidR="00140211" w:rsidRPr="00DB2AE2" w:rsidRDefault="00140211" w:rsidP="00140211">
            <w:pPr>
              <w:rPr>
                <w:rFonts w:cs="Arial"/>
              </w:rPr>
            </w:pPr>
            <w:r w:rsidRPr="00DB2AE2">
              <w:rPr>
                <w:rFonts w:cs="Arial"/>
              </w:rPr>
              <w:t>MARM</w:t>
            </w:r>
          </w:p>
        </w:tc>
        <w:tc>
          <w:tcPr>
            <w:tcW w:w="3800" w:type="pct"/>
          </w:tcPr>
          <w:p w14:paraId="3128B3D7" w14:textId="176F2FB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monoclonal antibody-resistant mutant</w:t>
            </w:r>
          </w:p>
        </w:tc>
      </w:tr>
      <w:tr w:rsidR="00140211" w:rsidRPr="00D01DDB" w14:paraId="4DB1955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BCE5558" w14:textId="11514166" w:rsidR="00140211" w:rsidRPr="00DB2AE2" w:rsidRDefault="00140211" w:rsidP="00140211">
            <w:pPr>
              <w:rPr>
                <w:rFonts w:cs="Arial"/>
              </w:rPr>
            </w:pPr>
            <w:r w:rsidRPr="00DB2AE2">
              <w:rPr>
                <w:rFonts w:cs="Arial"/>
              </w:rPr>
              <w:t>MCH</w:t>
            </w:r>
          </w:p>
        </w:tc>
        <w:tc>
          <w:tcPr>
            <w:tcW w:w="3800" w:type="pct"/>
          </w:tcPr>
          <w:p w14:paraId="05ACB53D" w14:textId="0207AC58"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 xml:space="preserve">mean corpuscular </w:t>
            </w:r>
            <w:proofErr w:type="spellStart"/>
            <w:r w:rsidRPr="00DB2AE2">
              <w:rPr>
                <w:rFonts w:cs="Arial"/>
              </w:rPr>
              <w:t>hemoglobin</w:t>
            </w:r>
            <w:proofErr w:type="spellEnd"/>
          </w:p>
        </w:tc>
      </w:tr>
      <w:tr w:rsidR="00140211" w:rsidRPr="00D01DDB" w14:paraId="28F4D521"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9233D21" w14:textId="53A114A0" w:rsidR="00140211" w:rsidRPr="00DB2AE2" w:rsidRDefault="00140211" w:rsidP="00140211">
            <w:pPr>
              <w:rPr>
                <w:rFonts w:cs="Arial"/>
              </w:rPr>
            </w:pPr>
            <w:r w:rsidRPr="00DB2AE2">
              <w:rPr>
                <w:rFonts w:cs="Arial"/>
              </w:rPr>
              <w:t>MCHC</w:t>
            </w:r>
          </w:p>
        </w:tc>
        <w:tc>
          <w:tcPr>
            <w:tcW w:w="3800" w:type="pct"/>
          </w:tcPr>
          <w:p w14:paraId="07ECF80E" w14:textId="7B6B6BBB"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 xml:space="preserve">mean corpuscular </w:t>
            </w:r>
            <w:proofErr w:type="spellStart"/>
            <w:r w:rsidRPr="00DB2AE2">
              <w:rPr>
                <w:rFonts w:cs="Arial"/>
              </w:rPr>
              <w:t>hemoglobin</w:t>
            </w:r>
            <w:proofErr w:type="spellEnd"/>
            <w:r w:rsidRPr="00DB2AE2">
              <w:rPr>
                <w:rFonts w:cs="Arial"/>
              </w:rPr>
              <w:t xml:space="preserve"> concentration</w:t>
            </w:r>
          </w:p>
        </w:tc>
      </w:tr>
      <w:tr w:rsidR="00140211" w:rsidRPr="00D01DDB" w14:paraId="19929A5D"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CCB8A40" w14:textId="2838A0F4" w:rsidR="00140211" w:rsidRPr="00DB2AE2" w:rsidRDefault="00140211" w:rsidP="00140211">
            <w:pPr>
              <w:rPr>
                <w:rFonts w:cs="Arial"/>
              </w:rPr>
            </w:pPr>
            <w:r w:rsidRPr="00DB2AE2">
              <w:rPr>
                <w:rFonts w:cs="Arial"/>
              </w:rPr>
              <w:t>MCV</w:t>
            </w:r>
          </w:p>
        </w:tc>
        <w:tc>
          <w:tcPr>
            <w:tcW w:w="3800" w:type="pct"/>
          </w:tcPr>
          <w:p w14:paraId="478377AA" w14:textId="6310D4E1"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mean corpuscular volume</w:t>
            </w:r>
          </w:p>
        </w:tc>
      </w:tr>
      <w:tr w:rsidR="00140211" w:rsidRPr="00D01DDB" w14:paraId="3C361D70"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09E5D8B" w14:textId="03142F5A" w:rsidR="00140211" w:rsidRPr="00DB2AE2" w:rsidRDefault="00140211" w:rsidP="00140211">
            <w:pPr>
              <w:rPr>
                <w:rFonts w:cs="Arial"/>
              </w:rPr>
            </w:pPr>
            <w:r w:rsidRPr="00DB2AE2">
              <w:rPr>
                <w:rFonts w:cs="Arial"/>
              </w:rPr>
              <w:t>MFI</w:t>
            </w:r>
          </w:p>
        </w:tc>
        <w:tc>
          <w:tcPr>
            <w:tcW w:w="3800" w:type="pct"/>
          </w:tcPr>
          <w:p w14:paraId="56775CF6" w14:textId="17C39488"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mean fluorescence intensity</w:t>
            </w:r>
          </w:p>
        </w:tc>
      </w:tr>
      <w:tr w:rsidR="00140211" w:rsidRPr="00D01DDB" w14:paraId="0E91B5A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40C9E96" w14:textId="06F26E8F" w:rsidR="00140211" w:rsidRPr="00DB2AE2" w:rsidRDefault="00140211" w:rsidP="00140211">
            <w:pPr>
              <w:rPr>
                <w:rFonts w:cs="Arial"/>
              </w:rPr>
            </w:pPr>
            <w:r w:rsidRPr="00DB2AE2">
              <w:rPr>
                <w:rFonts w:cs="Arial"/>
              </w:rPr>
              <w:t>MOI</w:t>
            </w:r>
          </w:p>
        </w:tc>
        <w:tc>
          <w:tcPr>
            <w:tcW w:w="3800" w:type="pct"/>
          </w:tcPr>
          <w:p w14:paraId="732C8907" w14:textId="4525E23F"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multiplicity of infection</w:t>
            </w:r>
          </w:p>
        </w:tc>
      </w:tr>
      <w:tr w:rsidR="00140211" w:rsidRPr="00D01DDB" w14:paraId="73513A0C"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A88E941" w14:textId="0E2CE4DC" w:rsidR="00140211" w:rsidRPr="00DB2AE2" w:rsidRDefault="00140211" w:rsidP="00140211">
            <w:pPr>
              <w:rPr>
                <w:rFonts w:cs="Arial"/>
              </w:rPr>
            </w:pPr>
            <w:r w:rsidRPr="00DB2AE2">
              <w:rPr>
                <w:rFonts w:cs="Arial"/>
              </w:rPr>
              <w:t>MPV</w:t>
            </w:r>
          </w:p>
        </w:tc>
        <w:tc>
          <w:tcPr>
            <w:tcW w:w="3800" w:type="pct"/>
          </w:tcPr>
          <w:p w14:paraId="716964E9" w14:textId="5965779B"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mean platelet volume</w:t>
            </w:r>
          </w:p>
        </w:tc>
      </w:tr>
      <w:tr w:rsidR="00140211" w:rsidRPr="00D01DDB" w14:paraId="6AF35F9B"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EEECF7C" w14:textId="15A7B499" w:rsidR="00140211" w:rsidRPr="00DB2AE2" w:rsidRDefault="00140211" w:rsidP="00140211">
            <w:pPr>
              <w:rPr>
                <w:rFonts w:cs="Arial"/>
              </w:rPr>
            </w:pPr>
            <w:r w:rsidRPr="00DB2AE2">
              <w:rPr>
                <w:rFonts w:cs="Arial"/>
              </w:rPr>
              <w:t>NOAEL</w:t>
            </w:r>
          </w:p>
        </w:tc>
        <w:tc>
          <w:tcPr>
            <w:tcW w:w="3800" w:type="pct"/>
          </w:tcPr>
          <w:p w14:paraId="0A9AAD34" w14:textId="24AA64A7"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no observed adverse effect level</w:t>
            </w:r>
          </w:p>
        </w:tc>
      </w:tr>
      <w:tr w:rsidR="00140211" w:rsidRPr="00D01DDB" w14:paraId="0353816B"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D01FF08" w14:textId="3598A7BC" w:rsidR="00140211" w:rsidRPr="00DB2AE2" w:rsidRDefault="00140211" w:rsidP="00140211">
            <w:pPr>
              <w:rPr>
                <w:rFonts w:cs="Arial"/>
              </w:rPr>
            </w:pPr>
            <w:r w:rsidRPr="00DB2AE2">
              <w:rPr>
                <w:rFonts w:cs="Arial"/>
              </w:rPr>
              <w:t>NOEL</w:t>
            </w:r>
          </w:p>
        </w:tc>
        <w:tc>
          <w:tcPr>
            <w:tcW w:w="3800" w:type="pct"/>
          </w:tcPr>
          <w:p w14:paraId="70A19EBC" w14:textId="37E4315C"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no observed effect level</w:t>
            </w:r>
          </w:p>
        </w:tc>
      </w:tr>
      <w:tr w:rsidR="00140211" w:rsidRPr="00D01DDB" w14:paraId="20F6848F"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6FF6192" w14:textId="2C481FC4" w:rsidR="00140211" w:rsidRPr="00DB2AE2" w:rsidRDefault="00140211" w:rsidP="00140211">
            <w:pPr>
              <w:rPr>
                <w:rFonts w:cs="Arial"/>
              </w:rPr>
            </w:pPr>
            <w:r w:rsidRPr="00DB2AE2">
              <w:rPr>
                <w:rFonts w:cs="Arial"/>
              </w:rPr>
              <w:t>OOS</w:t>
            </w:r>
          </w:p>
        </w:tc>
        <w:tc>
          <w:tcPr>
            <w:tcW w:w="3800" w:type="pct"/>
          </w:tcPr>
          <w:p w14:paraId="2E4ED2B7" w14:textId="48467654"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out of specification</w:t>
            </w:r>
          </w:p>
        </w:tc>
      </w:tr>
      <w:tr w:rsidR="00140211" w:rsidRPr="00D01DDB" w14:paraId="1009E802"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04D0AB7" w14:textId="67164534" w:rsidR="00140211" w:rsidRPr="00DB2AE2" w:rsidRDefault="00140211" w:rsidP="00140211">
            <w:pPr>
              <w:rPr>
                <w:rFonts w:cs="Arial"/>
              </w:rPr>
            </w:pPr>
            <w:r w:rsidRPr="00DB2AE2">
              <w:rPr>
                <w:rFonts w:cs="Arial"/>
              </w:rPr>
              <w:t>PBMC</w:t>
            </w:r>
          </w:p>
        </w:tc>
        <w:tc>
          <w:tcPr>
            <w:tcW w:w="3800" w:type="pct"/>
          </w:tcPr>
          <w:p w14:paraId="76A0C09B" w14:textId="5236618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peripheral blood mononuclear cell</w:t>
            </w:r>
          </w:p>
        </w:tc>
      </w:tr>
      <w:tr w:rsidR="00140211" w:rsidRPr="00F3695D" w14:paraId="216088E4"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0F4BC82" w14:textId="4922B8FE" w:rsidR="00E92D93" w:rsidRPr="00E92D93" w:rsidRDefault="00140211" w:rsidP="0095259E">
            <w:pPr>
              <w:rPr>
                <w:rFonts w:cs="Arial"/>
              </w:rPr>
            </w:pPr>
            <w:proofErr w:type="spellStart"/>
            <w:r w:rsidRPr="00DB2AE2">
              <w:rPr>
                <w:rFonts w:cs="Arial"/>
              </w:rPr>
              <w:t>PCSK9</w:t>
            </w:r>
            <w:proofErr w:type="spellEnd"/>
          </w:p>
        </w:tc>
        <w:tc>
          <w:tcPr>
            <w:tcW w:w="3800" w:type="pct"/>
          </w:tcPr>
          <w:p w14:paraId="37F08664" w14:textId="0B48A9A0" w:rsidR="00140211" w:rsidRPr="00F3695D" w:rsidRDefault="00140211" w:rsidP="00140211">
            <w:pPr>
              <w:cnfStyle w:val="000000000000" w:firstRow="0" w:lastRow="0" w:firstColumn="0" w:lastColumn="0" w:oddVBand="0" w:evenVBand="0" w:oddHBand="0" w:evenHBand="0" w:firstRowFirstColumn="0" w:firstRowLastColumn="0" w:lastRowFirstColumn="0" w:lastRowLastColumn="0"/>
              <w:rPr>
                <w:szCs w:val="22"/>
                <w:lang w:val="fr-FR"/>
              </w:rPr>
            </w:pPr>
            <w:proofErr w:type="spellStart"/>
            <w:proofErr w:type="gramStart"/>
            <w:r w:rsidRPr="00F3695D">
              <w:rPr>
                <w:rFonts w:cs="Arial"/>
                <w:lang w:val="fr-FR"/>
              </w:rPr>
              <w:t>proprotein</w:t>
            </w:r>
            <w:proofErr w:type="spellEnd"/>
            <w:proofErr w:type="gramEnd"/>
            <w:r w:rsidRPr="00F3695D">
              <w:rPr>
                <w:rFonts w:cs="Arial"/>
                <w:lang w:val="fr-FR"/>
              </w:rPr>
              <w:t xml:space="preserve"> convertase </w:t>
            </w:r>
            <w:proofErr w:type="spellStart"/>
            <w:r w:rsidRPr="00F3695D">
              <w:rPr>
                <w:rFonts w:cs="Arial"/>
                <w:lang w:val="fr-FR"/>
              </w:rPr>
              <w:t>subtilisin</w:t>
            </w:r>
            <w:proofErr w:type="spellEnd"/>
            <w:r w:rsidRPr="00F3695D">
              <w:rPr>
                <w:rFonts w:cs="Arial"/>
                <w:lang w:val="fr-FR"/>
              </w:rPr>
              <w:t>/</w:t>
            </w:r>
            <w:proofErr w:type="spellStart"/>
            <w:r w:rsidRPr="00F3695D">
              <w:rPr>
                <w:rFonts w:cs="Arial"/>
                <w:lang w:val="fr-FR"/>
              </w:rPr>
              <w:t>kexin</w:t>
            </w:r>
            <w:proofErr w:type="spellEnd"/>
            <w:r w:rsidRPr="00F3695D">
              <w:rPr>
                <w:rFonts w:cs="Arial"/>
                <w:lang w:val="fr-FR"/>
              </w:rPr>
              <w:t xml:space="preserve"> type 9</w:t>
            </w:r>
          </w:p>
        </w:tc>
      </w:tr>
      <w:tr w:rsidR="00140211" w:rsidRPr="00D01DDB" w14:paraId="12152A41"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9C2830C" w14:textId="541FCCAD" w:rsidR="00E92D93" w:rsidRPr="00E92D93" w:rsidRDefault="00140211" w:rsidP="0095259E">
            <w:pPr>
              <w:rPr>
                <w:rFonts w:cs="Arial"/>
              </w:rPr>
            </w:pPr>
            <w:r w:rsidRPr="00DB2AE2">
              <w:rPr>
                <w:rFonts w:cs="Arial"/>
              </w:rPr>
              <w:t>pfu</w:t>
            </w:r>
          </w:p>
        </w:tc>
        <w:tc>
          <w:tcPr>
            <w:tcW w:w="3800" w:type="pct"/>
          </w:tcPr>
          <w:p w14:paraId="362A5BEC" w14:textId="7DA02554"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plaque-forming units</w:t>
            </w:r>
          </w:p>
        </w:tc>
      </w:tr>
      <w:tr w:rsidR="00140211" w:rsidRPr="00D01DDB" w14:paraId="2786845E"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D7A1062" w14:textId="62FBF1F8" w:rsidR="00E92D93" w:rsidRPr="00E92D93" w:rsidRDefault="00140211" w:rsidP="0095259E">
            <w:pPr>
              <w:rPr>
                <w:rFonts w:cs="Arial"/>
              </w:rPr>
            </w:pPr>
            <w:r w:rsidRPr="00DB2AE2">
              <w:rPr>
                <w:rFonts w:cs="Arial"/>
              </w:rPr>
              <w:t>PK</w:t>
            </w:r>
          </w:p>
        </w:tc>
        <w:tc>
          <w:tcPr>
            <w:tcW w:w="3800" w:type="pct"/>
          </w:tcPr>
          <w:p w14:paraId="1ED33434" w14:textId="03C50F4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pharmacokinetics</w:t>
            </w:r>
          </w:p>
        </w:tc>
      </w:tr>
      <w:tr w:rsidR="00140211" w:rsidRPr="00D01DDB" w14:paraId="34D62A3D"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1C73F2C" w14:textId="767EB139" w:rsidR="00E92D93" w:rsidRPr="00E92D93" w:rsidRDefault="00140211" w:rsidP="0095259E">
            <w:pPr>
              <w:rPr>
                <w:rFonts w:cs="Arial"/>
              </w:rPr>
            </w:pPr>
            <w:proofErr w:type="spellStart"/>
            <w:r w:rsidRPr="00DB2AE2">
              <w:rPr>
                <w:rFonts w:cs="Arial"/>
              </w:rPr>
              <w:t>Plt</w:t>
            </w:r>
            <w:proofErr w:type="spellEnd"/>
          </w:p>
        </w:tc>
        <w:tc>
          <w:tcPr>
            <w:tcW w:w="3800" w:type="pct"/>
          </w:tcPr>
          <w:p w14:paraId="33CF5AAB" w14:textId="39E84274"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platelets</w:t>
            </w:r>
          </w:p>
        </w:tc>
      </w:tr>
      <w:tr w:rsidR="00140211" w:rsidRPr="00D01DDB" w14:paraId="2865EFB8"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02AD30C" w14:textId="69AA295A" w:rsidR="00140211" w:rsidRPr="00DB2AE2" w:rsidRDefault="00140211" w:rsidP="00140211">
            <w:pPr>
              <w:rPr>
                <w:rFonts w:cs="Arial"/>
              </w:rPr>
            </w:pPr>
            <w:proofErr w:type="spellStart"/>
            <w:r w:rsidRPr="00DB2AE2">
              <w:rPr>
                <w:rFonts w:cs="Arial"/>
              </w:rPr>
              <w:lastRenderedPageBreak/>
              <w:t>popPK</w:t>
            </w:r>
            <w:proofErr w:type="spellEnd"/>
          </w:p>
        </w:tc>
        <w:tc>
          <w:tcPr>
            <w:tcW w:w="3800" w:type="pct"/>
          </w:tcPr>
          <w:p w14:paraId="65EF4CE6" w14:textId="1E4A3B4D"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population pharmacokinetics</w:t>
            </w:r>
          </w:p>
        </w:tc>
      </w:tr>
      <w:tr w:rsidR="00140211" w:rsidRPr="00D01DDB" w14:paraId="27A58BE6"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2A8D598" w14:textId="14F4C24F" w:rsidR="00140211" w:rsidRPr="00DB2AE2" w:rsidRDefault="00140211" w:rsidP="00140211">
            <w:pPr>
              <w:rPr>
                <w:rFonts w:cs="Arial"/>
              </w:rPr>
            </w:pPr>
            <w:r w:rsidRPr="00DB2AE2">
              <w:rPr>
                <w:rFonts w:cs="Arial"/>
              </w:rPr>
              <w:t>PT</w:t>
            </w:r>
          </w:p>
        </w:tc>
        <w:tc>
          <w:tcPr>
            <w:tcW w:w="3800" w:type="pct"/>
          </w:tcPr>
          <w:p w14:paraId="6217019B" w14:textId="20D1C6AD"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prothrombin time</w:t>
            </w:r>
          </w:p>
        </w:tc>
      </w:tr>
      <w:tr w:rsidR="00140211" w:rsidRPr="00D01DDB" w14:paraId="2B97F79A"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4F84F75" w14:textId="00029139" w:rsidR="00140211" w:rsidRPr="00DB2AE2" w:rsidRDefault="00140211" w:rsidP="00140211">
            <w:pPr>
              <w:rPr>
                <w:rFonts w:cs="Arial"/>
              </w:rPr>
            </w:pPr>
            <w:r w:rsidRPr="00DB2AE2">
              <w:rPr>
                <w:rFonts w:cs="Arial"/>
              </w:rPr>
              <w:t>RB-1</w:t>
            </w:r>
          </w:p>
        </w:tc>
        <w:tc>
          <w:tcPr>
            <w:tcW w:w="3800" w:type="pct"/>
          </w:tcPr>
          <w:p w14:paraId="150CEACA" w14:textId="2ABF9C30"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 xml:space="preserve">anti-respiratory syncytial virus antibody, parental to </w:t>
            </w:r>
            <w:proofErr w:type="spellStart"/>
            <w:r w:rsidRPr="00DB2AE2">
              <w:rPr>
                <w:rFonts w:cs="Arial"/>
              </w:rPr>
              <w:t>clesrovimab</w:t>
            </w:r>
            <w:proofErr w:type="spellEnd"/>
          </w:p>
        </w:tc>
      </w:tr>
      <w:tr w:rsidR="00140211" w:rsidRPr="00D01DDB" w14:paraId="0BC85BBC"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68215A8" w14:textId="2073E0EA" w:rsidR="00140211" w:rsidRPr="00DB2AE2" w:rsidRDefault="00140211" w:rsidP="00140211">
            <w:pPr>
              <w:rPr>
                <w:rFonts w:cs="Arial"/>
              </w:rPr>
            </w:pPr>
            <w:r w:rsidRPr="00DB2AE2">
              <w:rPr>
                <w:rFonts w:cs="Arial"/>
              </w:rPr>
              <w:t>RBC</w:t>
            </w:r>
          </w:p>
        </w:tc>
        <w:tc>
          <w:tcPr>
            <w:tcW w:w="3800" w:type="pct"/>
          </w:tcPr>
          <w:p w14:paraId="67859C41" w14:textId="13D79FE7"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red blood cell</w:t>
            </w:r>
          </w:p>
        </w:tc>
      </w:tr>
      <w:tr w:rsidR="00140211" w:rsidRPr="00D01DDB" w14:paraId="4AB7109E"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E079FF5" w14:textId="6C055D01" w:rsidR="00140211" w:rsidRPr="00DB2AE2" w:rsidRDefault="00140211" w:rsidP="00140211">
            <w:pPr>
              <w:rPr>
                <w:rFonts w:cs="Arial"/>
              </w:rPr>
            </w:pPr>
            <w:r w:rsidRPr="00DB2AE2">
              <w:rPr>
                <w:rFonts w:cs="Arial"/>
              </w:rPr>
              <w:t>RSV</w:t>
            </w:r>
          </w:p>
        </w:tc>
        <w:tc>
          <w:tcPr>
            <w:tcW w:w="3800" w:type="pct"/>
          </w:tcPr>
          <w:p w14:paraId="45904515" w14:textId="521E18D0"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respiratory syncytial virus</w:t>
            </w:r>
          </w:p>
        </w:tc>
      </w:tr>
      <w:tr w:rsidR="00140211" w:rsidRPr="00D01DDB" w14:paraId="5CE2F479"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FAD9746" w14:textId="09C9C078" w:rsidR="00140211" w:rsidRPr="00DB2AE2" w:rsidRDefault="00140211" w:rsidP="00140211">
            <w:pPr>
              <w:rPr>
                <w:rFonts w:cs="Arial"/>
              </w:rPr>
            </w:pPr>
            <w:r w:rsidRPr="00DB2AE2">
              <w:rPr>
                <w:rFonts w:cs="Arial"/>
              </w:rPr>
              <w:t>SEC-HPLC</w:t>
            </w:r>
          </w:p>
        </w:tc>
        <w:tc>
          <w:tcPr>
            <w:tcW w:w="3800" w:type="pct"/>
          </w:tcPr>
          <w:p w14:paraId="219143CE" w14:textId="67AAD0BB"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size exclusion high-performance liquid chromatography</w:t>
            </w:r>
          </w:p>
        </w:tc>
      </w:tr>
      <w:tr w:rsidR="00140211" w:rsidRPr="00D01DDB" w14:paraId="3530A826"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F1152FD" w14:textId="26AF8662" w:rsidR="00140211" w:rsidRPr="00DB2AE2" w:rsidRDefault="00140211" w:rsidP="00140211">
            <w:pPr>
              <w:rPr>
                <w:rFonts w:cs="Arial"/>
              </w:rPr>
            </w:pPr>
            <w:r w:rsidRPr="00DB2AE2">
              <w:rPr>
                <w:rFonts w:cs="Arial"/>
              </w:rPr>
              <w:t>SD</w:t>
            </w:r>
          </w:p>
        </w:tc>
        <w:tc>
          <w:tcPr>
            <w:tcW w:w="3800" w:type="pct"/>
          </w:tcPr>
          <w:p w14:paraId="06A9A521" w14:textId="1F1688B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standard deviation</w:t>
            </w:r>
          </w:p>
        </w:tc>
      </w:tr>
      <w:tr w:rsidR="00140211" w:rsidRPr="00D01DDB" w14:paraId="4EC96E30"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82F91EE" w14:textId="209511EA" w:rsidR="00140211" w:rsidRPr="00DB2AE2" w:rsidRDefault="00140211" w:rsidP="00140211">
            <w:pPr>
              <w:rPr>
                <w:rFonts w:cs="Arial"/>
              </w:rPr>
            </w:pPr>
            <w:r w:rsidRPr="00DB2AE2">
              <w:rPr>
                <w:rFonts w:cs="Arial"/>
              </w:rPr>
              <w:t>SE</w:t>
            </w:r>
          </w:p>
        </w:tc>
        <w:tc>
          <w:tcPr>
            <w:tcW w:w="3800" w:type="pct"/>
          </w:tcPr>
          <w:p w14:paraId="03FE532C" w14:textId="3E88058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standard error</w:t>
            </w:r>
          </w:p>
        </w:tc>
      </w:tr>
      <w:tr w:rsidR="00140211" w:rsidRPr="00D01DDB" w14:paraId="222E4CF8"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FC84701" w14:textId="654B7A77" w:rsidR="00140211" w:rsidRPr="00DB2AE2" w:rsidRDefault="00140211" w:rsidP="00140211">
            <w:pPr>
              <w:rPr>
                <w:rFonts w:cs="Arial"/>
              </w:rPr>
            </w:pPr>
            <w:r w:rsidRPr="00DB2AE2">
              <w:rPr>
                <w:rFonts w:cs="Arial"/>
              </w:rPr>
              <w:t>SPR</w:t>
            </w:r>
          </w:p>
        </w:tc>
        <w:tc>
          <w:tcPr>
            <w:tcW w:w="3800" w:type="pct"/>
          </w:tcPr>
          <w:p w14:paraId="6158AE94" w14:textId="03493AEE"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surface plasmon resonance</w:t>
            </w:r>
          </w:p>
        </w:tc>
      </w:tr>
      <w:tr w:rsidR="00140211" w:rsidRPr="00D01DDB" w14:paraId="2989DC1F"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A8A6DE2" w14:textId="28CE693B" w:rsidR="00140211" w:rsidRPr="00DB2AE2" w:rsidRDefault="00140211" w:rsidP="00140211">
            <w:pPr>
              <w:rPr>
                <w:rFonts w:cs="Arial"/>
              </w:rPr>
            </w:pPr>
            <w:r w:rsidRPr="00DB2AE2">
              <w:rPr>
                <w:rFonts w:cs="Arial"/>
              </w:rPr>
              <w:t>t</w:t>
            </w:r>
            <w:r w:rsidRPr="00DB2AE2">
              <w:rPr>
                <w:rFonts w:cs="Arial"/>
                <w:vertAlign w:val="subscript"/>
              </w:rPr>
              <w:t>1/2</w:t>
            </w:r>
            <w:r w:rsidRPr="00DB2AE2">
              <w:rPr>
                <w:rFonts w:cs="Arial"/>
              </w:rPr>
              <w:t xml:space="preserve"> </w:t>
            </w:r>
          </w:p>
        </w:tc>
        <w:tc>
          <w:tcPr>
            <w:tcW w:w="3800" w:type="pct"/>
          </w:tcPr>
          <w:p w14:paraId="2BA66553" w14:textId="2B666DFD"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half-life</w:t>
            </w:r>
          </w:p>
        </w:tc>
      </w:tr>
      <w:tr w:rsidR="00140211" w:rsidRPr="00D01DDB" w14:paraId="0ECBAB6B"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1DBCE0B" w14:textId="367BD9ED" w:rsidR="00140211" w:rsidRPr="00DB2AE2" w:rsidRDefault="00140211" w:rsidP="00140211">
            <w:pPr>
              <w:rPr>
                <w:rFonts w:cs="Arial"/>
              </w:rPr>
            </w:pPr>
            <w:r w:rsidRPr="00DB2AE2">
              <w:rPr>
                <w:rFonts w:cs="Arial"/>
              </w:rPr>
              <w:t>TCR</w:t>
            </w:r>
          </w:p>
        </w:tc>
        <w:tc>
          <w:tcPr>
            <w:tcW w:w="3800" w:type="pct"/>
          </w:tcPr>
          <w:p w14:paraId="387C2CB3" w14:textId="13965F3A"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tissue cross-reactivity</w:t>
            </w:r>
          </w:p>
        </w:tc>
      </w:tr>
      <w:tr w:rsidR="00140211" w:rsidRPr="00D01DDB" w14:paraId="13026B2E"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1A7187C" w14:textId="5ED68100" w:rsidR="00140211" w:rsidRPr="00DB2AE2" w:rsidRDefault="00140211" w:rsidP="00140211">
            <w:pPr>
              <w:rPr>
                <w:rFonts w:cs="Arial"/>
              </w:rPr>
            </w:pPr>
            <w:proofErr w:type="spellStart"/>
            <w:r w:rsidRPr="00DB2AE2">
              <w:rPr>
                <w:rFonts w:cs="Arial"/>
              </w:rPr>
              <w:t>T</w:t>
            </w:r>
            <w:r w:rsidRPr="00DB2AE2">
              <w:rPr>
                <w:rFonts w:cs="Arial"/>
                <w:vertAlign w:val="subscript"/>
              </w:rPr>
              <w:t>max</w:t>
            </w:r>
            <w:proofErr w:type="spellEnd"/>
          </w:p>
        </w:tc>
        <w:tc>
          <w:tcPr>
            <w:tcW w:w="3800" w:type="pct"/>
          </w:tcPr>
          <w:p w14:paraId="62633558" w14:textId="0ACFF62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time to reach maximum concentration</w:t>
            </w:r>
          </w:p>
        </w:tc>
      </w:tr>
      <w:tr w:rsidR="00140211" w:rsidRPr="00D01DDB" w14:paraId="6866A90E"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A181A19" w14:textId="45706A0F" w:rsidR="00140211" w:rsidRPr="00DB2AE2" w:rsidRDefault="00140211" w:rsidP="00140211">
            <w:pPr>
              <w:rPr>
                <w:rFonts w:cs="Arial"/>
              </w:rPr>
            </w:pPr>
            <w:r w:rsidRPr="00DB2AE2">
              <w:rPr>
                <w:rFonts w:cs="Arial"/>
              </w:rPr>
              <w:t>TNF-α</w:t>
            </w:r>
          </w:p>
        </w:tc>
        <w:tc>
          <w:tcPr>
            <w:tcW w:w="3800" w:type="pct"/>
          </w:tcPr>
          <w:p w14:paraId="39AE224D" w14:textId="67233E50"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proofErr w:type="spellStart"/>
            <w:r w:rsidRPr="00DB2AE2">
              <w:rPr>
                <w:rFonts w:cs="Arial"/>
              </w:rPr>
              <w:t>tumor</w:t>
            </w:r>
            <w:proofErr w:type="spellEnd"/>
            <w:r w:rsidRPr="00DB2AE2">
              <w:rPr>
                <w:rFonts w:cs="Arial"/>
              </w:rPr>
              <w:t xml:space="preserve"> necrosis factor alpha</w:t>
            </w:r>
          </w:p>
        </w:tc>
      </w:tr>
      <w:tr w:rsidR="00140211" w:rsidRPr="00D01DDB" w14:paraId="07B0A6C7"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88AEC4D" w14:textId="1EFAD3C5" w:rsidR="00140211" w:rsidRPr="00DB2AE2" w:rsidRDefault="00140211" w:rsidP="00140211">
            <w:pPr>
              <w:rPr>
                <w:rFonts w:cs="Arial"/>
              </w:rPr>
            </w:pPr>
            <w:proofErr w:type="spellStart"/>
            <w:r w:rsidRPr="00DB2AE2">
              <w:rPr>
                <w:rFonts w:cs="Arial"/>
              </w:rPr>
              <w:t>Vd</w:t>
            </w:r>
            <w:r w:rsidRPr="00DB2AE2">
              <w:rPr>
                <w:rFonts w:cs="Arial"/>
                <w:vertAlign w:val="subscript"/>
              </w:rPr>
              <w:t>ss</w:t>
            </w:r>
            <w:proofErr w:type="spellEnd"/>
          </w:p>
        </w:tc>
        <w:tc>
          <w:tcPr>
            <w:tcW w:w="3800" w:type="pct"/>
          </w:tcPr>
          <w:p w14:paraId="7498097B" w14:textId="4E1A5E79"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apparent volume of distribution at steady state</w:t>
            </w:r>
          </w:p>
        </w:tc>
      </w:tr>
      <w:tr w:rsidR="00140211" w:rsidRPr="00D01DDB" w14:paraId="33FCAE62"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DE44673" w14:textId="7FBAC67B" w:rsidR="00140211" w:rsidRPr="00DB2AE2" w:rsidRDefault="00140211" w:rsidP="00140211">
            <w:pPr>
              <w:rPr>
                <w:rFonts w:cs="Arial"/>
              </w:rPr>
            </w:pPr>
            <w:proofErr w:type="spellStart"/>
            <w:r w:rsidRPr="00DB2AE2">
              <w:rPr>
                <w:rFonts w:cs="Arial"/>
              </w:rPr>
              <w:t>Vz_F</w:t>
            </w:r>
            <w:proofErr w:type="spellEnd"/>
          </w:p>
        </w:tc>
        <w:tc>
          <w:tcPr>
            <w:tcW w:w="3800" w:type="pct"/>
          </w:tcPr>
          <w:p w14:paraId="296F7588" w14:textId="64A738DF"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apparent volume of distribution based on terminal phase for extravascular administration</w:t>
            </w:r>
          </w:p>
        </w:tc>
      </w:tr>
      <w:tr w:rsidR="00140211" w:rsidRPr="00D01DDB" w14:paraId="2730BDD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68BB3DF" w14:textId="13EF18CD" w:rsidR="00140211" w:rsidRPr="00DB2AE2" w:rsidRDefault="00140211" w:rsidP="00140211">
            <w:pPr>
              <w:rPr>
                <w:rFonts w:cs="Arial"/>
              </w:rPr>
            </w:pPr>
            <w:r w:rsidRPr="00DB2AE2">
              <w:rPr>
                <w:rFonts w:cs="Arial"/>
              </w:rPr>
              <w:t>WBC</w:t>
            </w:r>
          </w:p>
        </w:tc>
        <w:tc>
          <w:tcPr>
            <w:tcW w:w="3800" w:type="pct"/>
          </w:tcPr>
          <w:p w14:paraId="388025A3" w14:textId="7E3DB8F2"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white blood cell</w:t>
            </w:r>
          </w:p>
        </w:tc>
      </w:tr>
      <w:tr w:rsidR="00140211" w:rsidRPr="00D01DDB" w14:paraId="61A42D81"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048FB8B" w14:textId="72729BA1" w:rsidR="00140211" w:rsidRPr="00DB2AE2" w:rsidRDefault="00140211" w:rsidP="00140211">
            <w:pPr>
              <w:rPr>
                <w:rFonts w:cs="Arial"/>
              </w:rPr>
            </w:pPr>
            <w:r w:rsidRPr="00DB2AE2">
              <w:rPr>
                <w:rFonts w:cs="Arial"/>
              </w:rPr>
              <w:t>WT</w:t>
            </w:r>
          </w:p>
        </w:tc>
        <w:tc>
          <w:tcPr>
            <w:tcW w:w="3800" w:type="pct"/>
          </w:tcPr>
          <w:p w14:paraId="5AE6C1C3" w14:textId="20ED185F" w:rsidR="00140211" w:rsidRPr="00D01DDB" w:rsidRDefault="00140211" w:rsidP="00140211">
            <w:pPr>
              <w:cnfStyle w:val="000000000000" w:firstRow="0" w:lastRow="0" w:firstColumn="0" w:lastColumn="0" w:oddVBand="0" w:evenVBand="0" w:oddHBand="0" w:evenHBand="0" w:firstRowFirstColumn="0" w:firstRowLastColumn="0" w:lastRowFirstColumn="0" w:lastRowLastColumn="0"/>
              <w:rPr>
                <w:szCs w:val="22"/>
              </w:rPr>
            </w:pPr>
            <w:r w:rsidRPr="00DB2AE2">
              <w:rPr>
                <w:rFonts w:cs="Arial"/>
              </w:rPr>
              <w:t>wild type</w:t>
            </w:r>
          </w:p>
        </w:tc>
      </w:tr>
      <w:tr w:rsidR="00140211" w:rsidRPr="00F3695D" w14:paraId="17A54BC3" w14:textId="77777777" w:rsidTr="00110ED1">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315D80D" w14:textId="3B5831E9" w:rsidR="00140211" w:rsidRPr="00DB2AE2" w:rsidRDefault="00140211" w:rsidP="00140211">
            <w:pPr>
              <w:rPr>
                <w:rFonts w:cs="Arial"/>
              </w:rPr>
            </w:pPr>
            <w:r w:rsidRPr="00DB2AE2">
              <w:rPr>
                <w:rFonts w:cs="Arial"/>
              </w:rPr>
              <w:t>YTE</w:t>
            </w:r>
          </w:p>
        </w:tc>
        <w:tc>
          <w:tcPr>
            <w:tcW w:w="3800" w:type="pct"/>
          </w:tcPr>
          <w:p w14:paraId="380E4CCE" w14:textId="42CCC31D" w:rsidR="00140211" w:rsidRPr="00F3695D" w:rsidRDefault="00140211" w:rsidP="00140211">
            <w:pPr>
              <w:cnfStyle w:val="000000000000" w:firstRow="0" w:lastRow="0" w:firstColumn="0" w:lastColumn="0" w:oddVBand="0" w:evenVBand="0" w:oddHBand="0" w:evenHBand="0" w:firstRowFirstColumn="0" w:firstRowLastColumn="0" w:lastRowFirstColumn="0" w:lastRowLastColumn="0"/>
              <w:rPr>
                <w:szCs w:val="22"/>
                <w:lang w:val="fr-FR"/>
              </w:rPr>
            </w:pPr>
            <w:proofErr w:type="spellStart"/>
            <w:proofErr w:type="gramStart"/>
            <w:r w:rsidRPr="00F3695D">
              <w:rPr>
                <w:rFonts w:cs="Arial"/>
                <w:lang w:val="fr-FR"/>
              </w:rPr>
              <w:t>amino</w:t>
            </w:r>
            <w:proofErr w:type="spellEnd"/>
            <w:proofErr w:type="gramEnd"/>
            <w:r w:rsidRPr="00F3695D">
              <w:rPr>
                <w:rFonts w:cs="Arial"/>
                <w:lang w:val="fr-FR"/>
              </w:rPr>
              <w:t xml:space="preserve"> </w:t>
            </w:r>
            <w:proofErr w:type="spellStart"/>
            <w:r w:rsidRPr="00F3695D">
              <w:rPr>
                <w:rFonts w:cs="Arial"/>
                <w:lang w:val="fr-FR"/>
              </w:rPr>
              <w:t>acid</w:t>
            </w:r>
            <w:proofErr w:type="spellEnd"/>
            <w:r w:rsidRPr="00F3695D">
              <w:rPr>
                <w:rFonts w:cs="Arial"/>
                <w:lang w:val="fr-FR"/>
              </w:rPr>
              <w:t xml:space="preserve"> substitutions </w:t>
            </w:r>
            <w:proofErr w:type="spellStart"/>
            <w:r w:rsidRPr="00F3695D">
              <w:rPr>
                <w:rFonts w:cs="Arial"/>
                <w:lang w:val="fr-FR"/>
              </w:rPr>
              <w:t>M252Y</w:t>
            </w:r>
            <w:proofErr w:type="spellEnd"/>
            <w:r w:rsidRPr="00F3695D">
              <w:rPr>
                <w:rFonts w:cs="Arial"/>
                <w:lang w:val="fr-FR"/>
              </w:rPr>
              <w:t>/</w:t>
            </w:r>
            <w:proofErr w:type="spellStart"/>
            <w:r w:rsidRPr="00F3695D">
              <w:rPr>
                <w:rFonts w:cs="Arial"/>
                <w:lang w:val="fr-FR"/>
              </w:rPr>
              <w:t>S254T</w:t>
            </w:r>
            <w:proofErr w:type="spellEnd"/>
            <w:r w:rsidRPr="00F3695D">
              <w:rPr>
                <w:rFonts w:cs="Arial"/>
                <w:lang w:val="fr-FR"/>
              </w:rPr>
              <w:t>/</w:t>
            </w:r>
            <w:proofErr w:type="spellStart"/>
            <w:r w:rsidRPr="00F3695D">
              <w:rPr>
                <w:rFonts w:cs="Arial"/>
                <w:lang w:val="fr-FR"/>
              </w:rPr>
              <w:t>T256E</w:t>
            </w:r>
            <w:proofErr w:type="spellEnd"/>
          </w:p>
        </w:tc>
      </w:tr>
    </w:tbl>
    <w:p w14:paraId="02FB1F38" w14:textId="77777777" w:rsidR="00324B33" w:rsidRPr="00F3695D" w:rsidRDefault="00324B33" w:rsidP="0095259E">
      <w:pPr>
        <w:rPr>
          <w:lang w:val="fr-FR"/>
        </w:rPr>
      </w:pPr>
      <w:r w:rsidRPr="00F3695D">
        <w:rPr>
          <w:lang w:val="fr-FR"/>
        </w:rPr>
        <w:br w:type="page"/>
      </w:r>
    </w:p>
    <w:p w14:paraId="44C2A39C" w14:textId="77777777" w:rsidR="00324B33" w:rsidRDefault="00324B33" w:rsidP="0095259E">
      <w:pPr>
        <w:pStyle w:val="Heading2"/>
      </w:pPr>
      <w:bookmarkStart w:id="5" w:name="_Toc103679288"/>
      <w:bookmarkStart w:id="6" w:name="_Toc238033723"/>
      <w:r>
        <w:lastRenderedPageBreak/>
        <w:t>Product submission</w:t>
      </w:r>
      <w:bookmarkEnd w:id="5"/>
      <w:bookmarkEnd w:id="6"/>
    </w:p>
    <w:p w14:paraId="21D559DF" w14:textId="77777777" w:rsidR="00324B33" w:rsidRDefault="00324B33" w:rsidP="006933BF">
      <w:pPr>
        <w:pStyle w:val="Heading3"/>
        <w:rPr>
          <w:lang w:eastAsia="en-AU"/>
        </w:rPr>
      </w:pPr>
      <w:bookmarkStart w:id="7" w:name="_Toc247691502"/>
      <w:bookmarkStart w:id="8" w:name="_Toc314842483"/>
      <w:bookmarkStart w:id="9" w:name="_Toc103679289"/>
      <w:bookmarkStart w:id="10" w:name="_Toc238033724"/>
      <w:r>
        <w:rPr>
          <w:lang w:eastAsia="en-AU"/>
        </w:rPr>
        <w:t>Submission details</w:t>
      </w:r>
      <w:bookmarkEnd w:id="7"/>
      <w:bookmarkEnd w:id="8"/>
      <w:bookmarkEnd w:id="9"/>
      <w:bookmarkEnd w:id="10"/>
    </w:p>
    <w:tbl>
      <w:tblPr>
        <w:tblW w:w="5000" w:type="pct"/>
        <w:tblLook w:val="01E0" w:firstRow="1" w:lastRow="1" w:firstColumn="1" w:lastColumn="1" w:noHBand="0" w:noVBand="0"/>
      </w:tblPr>
      <w:tblGrid>
        <w:gridCol w:w="2861"/>
        <w:gridCol w:w="6209"/>
      </w:tblGrid>
      <w:tr w:rsidR="00324B33" w:rsidRPr="00BD5DBD" w14:paraId="77D11C95" w14:textId="77777777" w:rsidTr="00F865A7">
        <w:tc>
          <w:tcPr>
            <w:tcW w:w="1577" w:type="pct"/>
          </w:tcPr>
          <w:p w14:paraId="10E57D62" w14:textId="7365F701" w:rsidR="00324B33" w:rsidRPr="00BD5DBD" w:rsidRDefault="00324B33" w:rsidP="007452E8">
            <w:pPr>
              <w:rPr>
                <w:i/>
                <w:szCs w:val="22"/>
              </w:rPr>
            </w:pPr>
            <w:r w:rsidRPr="00BD5DBD">
              <w:rPr>
                <w:i/>
                <w:szCs w:val="22"/>
              </w:rPr>
              <w:t>Type of submission:</w:t>
            </w:r>
          </w:p>
        </w:tc>
        <w:tc>
          <w:tcPr>
            <w:tcW w:w="3423" w:type="pct"/>
          </w:tcPr>
          <w:p w14:paraId="4F07C303" w14:textId="442905DD" w:rsidR="00324B33" w:rsidRPr="00BD5DBD" w:rsidRDefault="00324B33" w:rsidP="007452E8">
            <w:pPr>
              <w:rPr>
                <w:szCs w:val="22"/>
              </w:rPr>
            </w:pPr>
            <w:r w:rsidRPr="00BD5DBD">
              <w:rPr>
                <w:szCs w:val="22"/>
              </w:rPr>
              <w:t xml:space="preserve">New </w:t>
            </w:r>
            <w:r w:rsidR="00507A38">
              <w:rPr>
                <w:szCs w:val="22"/>
              </w:rPr>
              <w:t>biological</w:t>
            </w:r>
            <w:r w:rsidRPr="00BD5DBD">
              <w:rPr>
                <w:szCs w:val="22"/>
              </w:rPr>
              <w:t xml:space="preserve"> entity</w:t>
            </w:r>
          </w:p>
        </w:tc>
      </w:tr>
      <w:tr w:rsidR="00324B33" w:rsidRPr="00BD5DBD" w14:paraId="13482B61" w14:textId="77777777" w:rsidTr="00F865A7">
        <w:tc>
          <w:tcPr>
            <w:tcW w:w="1577" w:type="pct"/>
          </w:tcPr>
          <w:p w14:paraId="2C427FCF" w14:textId="3F995021" w:rsidR="00324B33" w:rsidRPr="00BD5DBD" w:rsidRDefault="00324B33" w:rsidP="007452E8">
            <w:pPr>
              <w:rPr>
                <w:i/>
                <w:szCs w:val="22"/>
              </w:rPr>
            </w:pPr>
            <w:r w:rsidRPr="00BD5DBD">
              <w:rPr>
                <w:i/>
                <w:szCs w:val="22"/>
              </w:rPr>
              <w:t>Product name:</w:t>
            </w:r>
          </w:p>
        </w:tc>
        <w:tc>
          <w:tcPr>
            <w:tcW w:w="3423" w:type="pct"/>
          </w:tcPr>
          <w:p w14:paraId="0E2DEF76" w14:textId="3A3B9DD4" w:rsidR="00324B33" w:rsidRPr="00BD5DBD" w:rsidRDefault="007E028D" w:rsidP="007452E8">
            <w:pPr>
              <w:rPr>
                <w:szCs w:val="22"/>
              </w:rPr>
            </w:pPr>
            <w:proofErr w:type="spellStart"/>
            <w:r w:rsidRPr="007E028D">
              <w:rPr>
                <w:szCs w:val="22"/>
              </w:rPr>
              <w:t>E</w:t>
            </w:r>
            <w:r w:rsidR="00453950">
              <w:rPr>
                <w:szCs w:val="22"/>
              </w:rPr>
              <w:t>nflonsia</w:t>
            </w:r>
            <w:proofErr w:type="spellEnd"/>
            <w:r w:rsidRPr="007E028D">
              <w:rPr>
                <w:szCs w:val="22"/>
              </w:rPr>
              <w:t xml:space="preserve"> </w:t>
            </w:r>
            <w:proofErr w:type="spellStart"/>
            <w:r w:rsidRPr="007E028D">
              <w:rPr>
                <w:szCs w:val="22"/>
              </w:rPr>
              <w:t>clesrovimab</w:t>
            </w:r>
            <w:proofErr w:type="spellEnd"/>
            <w:r w:rsidRPr="007E028D">
              <w:rPr>
                <w:szCs w:val="22"/>
              </w:rPr>
              <w:t xml:space="preserve"> 105 mg in 0.7 mL solution for injection prefilled syringe</w:t>
            </w:r>
          </w:p>
        </w:tc>
      </w:tr>
      <w:tr w:rsidR="00324B33" w:rsidRPr="00BD5DBD" w14:paraId="01255B5B" w14:textId="77777777" w:rsidTr="00F865A7">
        <w:tc>
          <w:tcPr>
            <w:tcW w:w="1577" w:type="pct"/>
          </w:tcPr>
          <w:p w14:paraId="52B4F3D7" w14:textId="50C46273" w:rsidR="00324B33" w:rsidRPr="00BD5DBD" w:rsidRDefault="00324B33" w:rsidP="007452E8">
            <w:pPr>
              <w:rPr>
                <w:i/>
                <w:szCs w:val="22"/>
              </w:rPr>
            </w:pPr>
            <w:r w:rsidRPr="00BD5DBD">
              <w:rPr>
                <w:i/>
                <w:szCs w:val="22"/>
              </w:rPr>
              <w:t>Active ingredien</w:t>
            </w:r>
            <w:r w:rsidR="00D54BC5">
              <w:rPr>
                <w:i/>
                <w:szCs w:val="22"/>
              </w:rPr>
              <w:t>t</w:t>
            </w:r>
            <w:r w:rsidRPr="00BD5DBD">
              <w:rPr>
                <w:i/>
                <w:szCs w:val="22"/>
              </w:rPr>
              <w:t>:</w:t>
            </w:r>
          </w:p>
        </w:tc>
        <w:tc>
          <w:tcPr>
            <w:tcW w:w="3423" w:type="pct"/>
          </w:tcPr>
          <w:p w14:paraId="02FB6383" w14:textId="21944915" w:rsidR="00324B33" w:rsidRPr="00BD5DBD" w:rsidRDefault="00D54BC5" w:rsidP="007452E8">
            <w:pPr>
              <w:rPr>
                <w:szCs w:val="22"/>
              </w:rPr>
            </w:pPr>
            <w:proofErr w:type="spellStart"/>
            <w:r>
              <w:rPr>
                <w:szCs w:val="22"/>
              </w:rPr>
              <w:t>C</w:t>
            </w:r>
            <w:r w:rsidRPr="00D54BC5">
              <w:rPr>
                <w:szCs w:val="22"/>
              </w:rPr>
              <w:t>lesrovimab</w:t>
            </w:r>
            <w:proofErr w:type="spellEnd"/>
          </w:p>
        </w:tc>
      </w:tr>
      <w:tr w:rsidR="00324B33" w:rsidRPr="00BD5DBD" w14:paraId="219A281B" w14:textId="77777777" w:rsidTr="00F865A7">
        <w:tc>
          <w:tcPr>
            <w:tcW w:w="1577" w:type="pct"/>
          </w:tcPr>
          <w:p w14:paraId="112E5F78" w14:textId="77777777" w:rsidR="00324B33" w:rsidRPr="00BD5DBD" w:rsidRDefault="00324B33" w:rsidP="007452E8">
            <w:pPr>
              <w:rPr>
                <w:i/>
                <w:szCs w:val="22"/>
              </w:rPr>
            </w:pPr>
            <w:r w:rsidRPr="00BD5DBD">
              <w:rPr>
                <w:i/>
                <w:szCs w:val="22"/>
              </w:rPr>
              <w:t>Decision:</w:t>
            </w:r>
          </w:p>
        </w:tc>
        <w:tc>
          <w:tcPr>
            <w:tcW w:w="3423" w:type="pct"/>
          </w:tcPr>
          <w:p w14:paraId="3B114BEA" w14:textId="24A8C977" w:rsidR="00324B33" w:rsidRPr="00BD5DBD" w:rsidRDefault="00324B33" w:rsidP="007452E8">
            <w:pPr>
              <w:rPr>
                <w:szCs w:val="22"/>
              </w:rPr>
            </w:pPr>
            <w:r w:rsidRPr="00BD5DBD">
              <w:rPr>
                <w:szCs w:val="22"/>
              </w:rPr>
              <w:t xml:space="preserve">Approved </w:t>
            </w:r>
          </w:p>
        </w:tc>
      </w:tr>
      <w:tr w:rsidR="00AE1947" w:rsidRPr="00BD5DBD" w14:paraId="32B72632" w14:textId="77777777" w:rsidTr="00F865A7">
        <w:tc>
          <w:tcPr>
            <w:tcW w:w="1577" w:type="pct"/>
          </w:tcPr>
          <w:p w14:paraId="332A5CD5" w14:textId="65682B5F" w:rsidR="00AE1947" w:rsidRPr="00BD5DBD" w:rsidRDefault="00AE1947" w:rsidP="007F1E37">
            <w:r w:rsidRPr="00BD5DBD">
              <w:rPr>
                <w:i/>
                <w:szCs w:val="22"/>
              </w:rPr>
              <w:t>Date of decision:</w:t>
            </w:r>
          </w:p>
        </w:tc>
        <w:tc>
          <w:tcPr>
            <w:tcW w:w="3423" w:type="pct"/>
          </w:tcPr>
          <w:p w14:paraId="7B381CD6" w14:textId="24EA7EDF" w:rsidR="00AE1947" w:rsidRPr="00BD5DBD" w:rsidRDefault="00A97645" w:rsidP="00602658">
            <w:pPr>
              <w:rPr>
                <w:szCs w:val="22"/>
              </w:rPr>
            </w:pPr>
            <w:r>
              <w:rPr>
                <w:szCs w:val="22"/>
              </w:rPr>
              <w:t>12 March 2026</w:t>
            </w:r>
          </w:p>
        </w:tc>
      </w:tr>
      <w:tr w:rsidR="00324B33" w:rsidRPr="00BD5DBD" w14:paraId="60A25F5A" w14:textId="77777777" w:rsidTr="00F865A7">
        <w:tc>
          <w:tcPr>
            <w:tcW w:w="1577" w:type="pct"/>
          </w:tcPr>
          <w:p w14:paraId="5C5E4CBA" w14:textId="13D6A6C9" w:rsidR="00324B33" w:rsidRPr="00BD5DBD" w:rsidRDefault="00324B33" w:rsidP="007452E8">
            <w:pPr>
              <w:rPr>
                <w:i/>
                <w:szCs w:val="22"/>
              </w:rPr>
            </w:pPr>
            <w:r w:rsidRPr="00BD5DBD">
              <w:rPr>
                <w:i/>
                <w:szCs w:val="22"/>
              </w:rPr>
              <w:t xml:space="preserve">Date of entry </w:t>
            </w:r>
            <w:r w:rsidR="00A97645">
              <w:rPr>
                <w:i/>
                <w:szCs w:val="22"/>
              </w:rPr>
              <w:t>i</w:t>
            </w:r>
            <w:r w:rsidRPr="00BD5DBD">
              <w:rPr>
                <w:i/>
                <w:szCs w:val="22"/>
              </w:rPr>
              <w:t>nto ARTG:</w:t>
            </w:r>
          </w:p>
        </w:tc>
        <w:tc>
          <w:tcPr>
            <w:tcW w:w="3423" w:type="pct"/>
          </w:tcPr>
          <w:p w14:paraId="28B270E9" w14:textId="02EF99B3" w:rsidR="00324B33" w:rsidRPr="00BD5DBD" w:rsidRDefault="0009787B" w:rsidP="007452E8">
            <w:pPr>
              <w:rPr>
                <w:szCs w:val="22"/>
              </w:rPr>
            </w:pPr>
            <w:r>
              <w:rPr>
                <w:szCs w:val="22"/>
              </w:rPr>
              <w:t>24 March 2026</w:t>
            </w:r>
          </w:p>
        </w:tc>
      </w:tr>
      <w:tr w:rsidR="00324B33" w:rsidRPr="00BD5DBD" w14:paraId="547E08D7" w14:textId="77777777" w:rsidTr="00F865A7">
        <w:tc>
          <w:tcPr>
            <w:tcW w:w="1577" w:type="pct"/>
          </w:tcPr>
          <w:p w14:paraId="5030EF30" w14:textId="715D6D8F" w:rsidR="00324B33" w:rsidRPr="00BD5DBD" w:rsidRDefault="00324B33" w:rsidP="007452E8">
            <w:pPr>
              <w:rPr>
                <w:i/>
                <w:szCs w:val="22"/>
              </w:rPr>
            </w:pPr>
            <w:r w:rsidRPr="00BD5DBD">
              <w:rPr>
                <w:i/>
                <w:szCs w:val="22"/>
              </w:rPr>
              <w:t>ARTG number:</w:t>
            </w:r>
          </w:p>
        </w:tc>
        <w:tc>
          <w:tcPr>
            <w:tcW w:w="3423" w:type="pct"/>
          </w:tcPr>
          <w:p w14:paraId="0054E912" w14:textId="4C0EFCC8" w:rsidR="00324B33" w:rsidRPr="00E16C8A" w:rsidRDefault="00776DB2" w:rsidP="00776DB2">
            <w:pPr>
              <w:rPr>
                <w:szCs w:val="22"/>
              </w:rPr>
            </w:pPr>
            <w:r w:rsidRPr="00E16C8A">
              <w:rPr>
                <w:szCs w:val="22"/>
              </w:rPr>
              <w:t>478965</w:t>
            </w:r>
          </w:p>
        </w:tc>
      </w:tr>
      <w:tr w:rsidR="00324B33" w:rsidRPr="00BD5DBD" w14:paraId="7618393F" w14:textId="77777777" w:rsidTr="00F865A7">
        <w:tc>
          <w:tcPr>
            <w:tcW w:w="1577" w:type="pct"/>
          </w:tcPr>
          <w:p w14:paraId="6C24CEB6" w14:textId="6A7FE944" w:rsidR="00E47E0C" w:rsidRPr="00BD5DBD" w:rsidRDefault="00324B33" w:rsidP="0030367D">
            <w:pPr>
              <w:spacing w:after="0"/>
              <w:rPr>
                <w:rStyle w:val="Hyperlink"/>
                <w:i/>
                <w:szCs w:val="22"/>
              </w:rPr>
            </w:pPr>
            <w:r w:rsidRPr="00BD5DBD">
              <w:rPr>
                <w:rFonts w:ascii="Wingdings 3" w:hAnsi="Wingdings 3"/>
                <w:szCs w:val="22"/>
                <w:lang w:eastAsia="en-AU"/>
              </w:rPr>
              <w:t></w:t>
            </w:r>
            <w:hyperlink r:id="rId20" w:history="1">
              <w:r w:rsidRPr="00BD5DBD">
                <w:rPr>
                  <w:rStyle w:val="Hyperlink"/>
                  <w:i/>
                  <w:szCs w:val="22"/>
                </w:rPr>
                <w:t>Black Triangle Scheme</w:t>
              </w:r>
            </w:hyperlink>
          </w:p>
          <w:p w14:paraId="02260DE2" w14:textId="1FC334AE" w:rsidR="00324B33" w:rsidRPr="00BD5DBD" w:rsidRDefault="00E47E0C" w:rsidP="007452E8">
            <w:pPr>
              <w:rPr>
                <w:i/>
                <w:szCs w:val="22"/>
              </w:rPr>
            </w:pPr>
            <w:r w:rsidRPr="00BD5DBD">
              <w:rPr>
                <w:i/>
                <w:szCs w:val="22"/>
              </w:rPr>
              <w:t xml:space="preserve">for </w:t>
            </w:r>
            <w:r w:rsidR="007B04DE" w:rsidRPr="00BD5DBD">
              <w:rPr>
                <w:i/>
                <w:szCs w:val="22"/>
              </w:rPr>
              <w:t>the current</w:t>
            </w:r>
            <w:r w:rsidRPr="00BD5DBD">
              <w:rPr>
                <w:i/>
                <w:szCs w:val="22"/>
              </w:rPr>
              <w:t xml:space="preserve"> submission</w:t>
            </w:r>
            <w:r w:rsidR="00324B33" w:rsidRPr="00BD5DBD">
              <w:rPr>
                <w:i/>
                <w:szCs w:val="22"/>
              </w:rPr>
              <w:t>:</w:t>
            </w:r>
          </w:p>
        </w:tc>
        <w:tc>
          <w:tcPr>
            <w:tcW w:w="3423" w:type="pct"/>
          </w:tcPr>
          <w:p w14:paraId="6FF3C6A2" w14:textId="6F9BD113" w:rsidR="00324B33" w:rsidRPr="00BD5DBD" w:rsidRDefault="0030367D" w:rsidP="007452E8">
            <w:pPr>
              <w:rPr>
                <w:szCs w:val="22"/>
              </w:rPr>
            </w:pPr>
            <w:r>
              <w:rPr>
                <w:szCs w:val="22"/>
              </w:rPr>
              <w:t>Yes</w:t>
            </w:r>
          </w:p>
        </w:tc>
      </w:tr>
      <w:tr w:rsidR="00324B33" w:rsidRPr="00BD5DBD" w14:paraId="179E09FE" w14:textId="77777777" w:rsidTr="00F865A7">
        <w:tc>
          <w:tcPr>
            <w:tcW w:w="1577" w:type="pct"/>
          </w:tcPr>
          <w:p w14:paraId="1A592498" w14:textId="77777777" w:rsidR="00324B33" w:rsidRPr="00BD5DBD" w:rsidRDefault="00324B33" w:rsidP="007452E8">
            <w:pPr>
              <w:rPr>
                <w:i/>
                <w:szCs w:val="22"/>
              </w:rPr>
            </w:pPr>
            <w:r w:rsidRPr="00BD5DBD">
              <w:rPr>
                <w:i/>
                <w:szCs w:val="22"/>
              </w:rPr>
              <w:t>Sponsor’s name and address:</w:t>
            </w:r>
          </w:p>
        </w:tc>
        <w:tc>
          <w:tcPr>
            <w:tcW w:w="3423" w:type="pct"/>
          </w:tcPr>
          <w:p w14:paraId="5D44EFA2" w14:textId="77777777" w:rsidR="00324B33" w:rsidRDefault="009E5BD7" w:rsidP="007452E8">
            <w:pPr>
              <w:rPr>
                <w:szCs w:val="22"/>
              </w:rPr>
            </w:pPr>
            <w:hyperlink r:id="rId21" w:history="1">
              <w:r w:rsidRPr="009E5BD7">
                <w:rPr>
                  <w:rStyle w:val="Hyperlink"/>
                  <w:szCs w:val="22"/>
                </w:rPr>
                <w:t>Merck Sharp &amp; Dohme (Australia) Pty Ltd</w:t>
              </w:r>
            </w:hyperlink>
          </w:p>
          <w:p w14:paraId="68DD94B0" w14:textId="7677C49C" w:rsidR="00A014CE" w:rsidRPr="00BD5DBD" w:rsidRDefault="00A014CE" w:rsidP="007452E8">
            <w:pPr>
              <w:rPr>
                <w:szCs w:val="22"/>
              </w:rPr>
            </w:pPr>
            <w:r w:rsidRPr="00A014CE">
              <w:rPr>
                <w:szCs w:val="22"/>
              </w:rPr>
              <w:t>North Ryde Post Business Centre, Locked Bag 2234, NORTH RYDE BC, NSW, 1670 Australia</w:t>
            </w:r>
          </w:p>
        </w:tc>
      </w:tr>
      <w:tr w:rsidR="00324B33" w:rsidRPr="00BD5DBD" w14:paraId="5322B989" w14:textId="77777777" w:rsidTr="00F865A7">
        <w:tc>
          <w:tcPr>
            <w:tcW w:w="1577" w:type="pct"/>
          </w:tcPr>
          <w:p w14:paraId="24F217E3" w14:textId="71CB9291" w:rsidR="00324B33" w:rsidRPr="00BD5DBD" w:rsidRDefault="00324B33" w:rsidP="007452E8">
            <w:pPr>
              <w:rPr>
                <w:i/>
                <w:szCs w:val="22"/>
              </w:rPr>
            </w:pPr>
            <w:r w:rsidRPr="00BD5DBD">
              <w:rPr>
                <w:i/>
                <w:szCs w:val="22"/>
              </w:rPr>
              <w:t>Dose form:</w:t>
            </w:r>
          </w:p>
        </w:tc>
        <w:tc>
          <w:tcPr>
            <w:tcW w:w="3423" w:type="pct"/>
          </w:tcPr>
          <w:p w14:paraId="768B254C" w14:textId="2164296A" w:rsidR="00324B33" w:rsidRPr="00BD5DBD" w:rsidRDefault="003D5E9A" w:rsidP="007452E8">
            <w:pPr>
              <w:rPr>
                <w:szCs w:val="22"/>
              </w:rPr>
            </w:pPr>
            <w:r>
              <w:rPr>
                <w:szCs w:val="22"/>
              </w:rPr>
              <w:t>I</w:t>
            </w:r>
            <w:r w:rsidRPr="003D5E9A">
              <w:rPr>
                <w:szCs w:val="22"/>
              </w:rPr>
              <w:t>njection, solution</w:t>
            </w:r>
          </w:p>
        </w:tc>
      </w:tr>
      <w:tr w:rsidR="00324B33" w:rsidRPr="00BD5DBD" w14:paraId="115243E6" w14:textId="77777777" w:rsidTr="00F865A7">
        <w:tc>
          <w:tcPr>
            <w:tcW w:w="1577" w:type="pct"/>
          </w:tcPr>
          <w:p w14:paraId="7634B062" w14:textId="302F5647" w:rsidR="00324B33" w:rsidRPr="00BD5DBD" w:rsidRDefault="00324B33" w:rsidP="007452E8">
            <w:pPr>
              <w:rPr>
                <w:i/>
                <w:szCs w:val="22"/>
              </w:rPr>
            </w:pPr>
            <w:r w:rsidRPr="00BD5DBD">
              <w:rPr>
                <w:i/>
                <w:szCs w:val="22"/>
              </w:rPr>
              <w:t>Strength:</w:t>
            </w:r>
          </w:p>
        </w:tc>
        <w:tc>
          <w:tcPr>
            <w:tcW w:w="3423" w:type="pct"/>
          </w:tcPr>
          <w:p w14:paraId="5E5F83DB" w14:textId="40C6919B" w:rsidR="00324B33" w:rsidRPr="00BD5DBD" w:rsidRDefault="00546276" w:rsidP="007452E8">
            <w:pPr>
              <w:rPr>
                <w:szCs w:val="22"/>
              </w:rPr>
            </w:pPr>
            <w:r>
              <w:rPr>
                <w:szCs w:val="22"/>
              </w:rPr>
              <w:t>105 mg</w:t>
            </w:r>
          </w:p>
        </w:tc>
      </w:tr>
      <w:tr w:rsidR="00324B33" w:rsidRPr="00BD5DBD" w14:paraId="34B07BA6" w14:textId="77777777" w:rsidTr="00F865A7">
        <w:tc>
          <w:tcPr>
            <w:tcW w:w="1577" w:type="pct"/>
          </w:tcPr>
          <w:p w14:paraId="1C039224" w14:textId="22E711BB" w:rsidR="00324B33" w:rsidRPr="00BD5DBD" w:rsidRDefault="00324B33" w:rsidP="007452E8">
            <w:pPr>
              <w:rPr>
                <w:i/>
                <w:szCs w:val="22"/>
              </w:rPr>
            </w:pPr>
            <w:r w:rsidRPr="00BD5DBD">
              <w:rPr>
                <w:i/>
                <w:szCs w:val="22"/>
              </w:rPr>
              <w:t>Container:</w:t>
            </w:r>
          </w:p>
        </w:tc>
        <w:tc>
          <w:tcPr>
            <w:tcW w:w="3423" w:type="pct"/>
          </w:tcPr>
          <w:p w14:paraId="500A42C6" w14:textId="1B8C0F3C" w:rsidR="00324B33" w:rsidRPr="00BD5DBD" w:rsidRDefault="00184337" w:rsidP="007452E8">
            <w:pPr>
              <w:rPr>
                <w:szCs w:val="22"/>
              </w:rPr>
            </w:pPr>
            <w:r>
              <w:rPr>
                <w:szCs w:val="22"/>
              </w:rPr>
              <w:t xml:space="preserve">Syringe </w:t>
            </w:r>
            <w:r w:rsidR="00C14EB1">
              <w:rPr>
                <w:szCs w:val="22"/>
              </w:rPr>
              <w:t>Glass Type I Clear</w:t>
            </w:r>
          </w:p>
        </w:tc>
      </w:tr>
      <w:tr w:rsidR="00324B33" w:rsidRPr="00BD5DBD" w14:paraId="176B6773" w14:textId="77777777" w:rsidTr="00F865A7">
        <w:tc>
          <w:tcPr>
            <w:tcW w:w="1577" w:type="pct"/>
          </w:tcPr>
          <w:p w14:paraId="71846159" w14:textId="37D79C73" w:rsidR="00324B33" w:rsidRPr="00BD5DBD" w:rsidRDefault="00324B33" w:rsidP="007452E8">
            <w:pPr>
              <w:rPr>
                <w:i/>
                <w:szCs w:val="22"/>
              </w:rPr>
            </w:pPr>
            <w:r w:rsidRPr="00BD5DBD">
              <w:rPr>
                <w:i/>
                <w:szCs w:val="22"/>
              </w:rPr>
              <w:t>Pack sizes:</w:t>
            </w:r>
          </w:p>
        </w:tc>
        <w:tc>
          <w:tcPr>
            <w:tcW w:w="3423" w:type="pct"/>
          </w:tcPr>
          <w:p w14:paraId="7E978F8F" w14:textId="29A97757" w:rsidR="00324B33" w:rsidRPr="00BD5DBD" w:rsidRDefault="00C14EB1" w:rsidP="007452E8">
            <w:pPr>
              <w:rPr>
                <w:szCs w:val="22"/>
              </w:rPr>
            </w:pPr>
            <w:r>
              <w:rPr>
                <w:szCs w:val="22"/>
              </w:rPr>
              <w:t>1, 10</w:t>
            </w:r>
          </w:p>
        </w:tc>
      </w:tr>
      <w:tr w:rsidR="00324B33" w:rsidRPr="00BD5DBD" w14:paraId="19A2544A" w14:textId="77777777" w:rsidTr="00F865A7">
        <w:tc>
          <w:tcPr>
            <w:tcW w:w="1577" w:type="pct"/>
          </w:tcPr>
          <w:p w14:paraId="0E6C5C0E" w14:textId="7DB3FC66" w:rsidR="00324B33" w:rsidRPr="00BD5DBD" w:rsidRDefault="00324B33" w:rsidP="007452E8">
            <w:pPr>
              <w:rPr>
                <w:i/>
                <w:szCs w:val="22"/>
              </w:rPr>
            </w:pPr>
            <w:r w:rsidRPr="00BD5DBD">
              <w:rPr>
                <w:i/>
                <w:szCs w:val="22"/>
              </w:rPr>
              <w:t>Approved therapeutic use</w:t>
            </w:r>
            <w:r w:rsidR="00E47E0C" w:rsidRPr="00BD5DBD">
              <w:rPr>
                <w:i/>
                <w:szCs w:val="22"/>
              </w:rPr>
              <w:t xml:space="preserve"> </w:t>
            </w:r>
            <w:r w:rsidR="007B04DE" w:rsidRPr="00BD5DBD">
              <w:rPr>
                <w:i/>
                <w:szCs w:val="22"/>
              </w:rPr>
              <w:t>for the current</w:t>
            </w:r>
            <w:r w:rsidR="00E47E0C" w:rsidRPr="00BD5DBD">
              <w:rPr>
                <w:i/>
                <w:szCs w:val="22"/>
              </w:rPr>
              <w:t xml:space="preserve"> submission</w:t>
            </w:r>
            <w:r w:rsidRPr="00BD5DBD">
              <w:rPr>
                <w:i/>
                <w:szCs w:val="22"/>
              </w:rPr>
              <w:t>:</w:t>
            </w:r>
          </w:p>
        </w:tc>
        <w:tc>
          <w:tcPr>
            <w:tcW w:w="3423" w:type="pct"/>
          </w:tcPr>
          <w:p w14:paraId="705D6711" w14:textId="002AE635" w:rsidR="00FC50B0" w:rsidRPr="00FC50B0" w:rsidRDefault="00453950" w:rsidP="00FC50B0">
            <w:pPr>
              <w:rPr>
                <w:szCs w:val="22"/>
              </w:rPr>
            </w:pPr>
            <w:proofErr w:type="spellStart"/>
            <w:r w:rsidRPr="007E028D">
              <w:rPr>
                <w:szCs w:val="22"/>
              </w:rPr>
              <w:t>E</w:t>
            </w:r>
            <w:r>
              <w:rPr>
                <w:szCs w:val="22"/>
              </w:rPr>
              <w:t>nflonsia</w:t>
            </w:r>
            <w:proofErr w:type="spellEnd"/>
            <w:r w:rsidR="00FC50B0" w:rsidRPr="00FC50B0">
              <w:rPr>
                <w:szCs w:val="22"/>
              </w:rPr>
              <w:t xml:space="preserve"> is indicated for the prevention of respiratory syncytial virus (RSV) lower</w:t>
            </w:r>
            <w:r w:rsidR="00FC50B0">
              <w:rPr>
                <w:szCs w:val="22"/>
              </w:rPr>
              <w:t xml:space="preserve"> </w:t>
            </w:r>
            <w:r w:rsidR="00FC50B0" w:rsidRPr="00FC50B0">
              <w:rPr>
                <w:szCs w:val="22"/>
              </w:rPr>
              <w:t>respiratory tract disease in neonates and infants who are born during or entering their</w:t>
            </w:r>
            <w:r w:rsidR="00FC50B0">
              <w:rPr>
                <w:szCs w:val="22"/>
              </w:rPr>
              <w:t xml:space="preserve"> </w:t>
            </w:r>
            <w:r w:rsidR="00FC50B0" w:rsidRPr="00FC50B0">
              <w:rPr>
                <w:szCs w:val="22"/>
              </w:rPr>
              <w:t>first RSV season.</w:t>
            </w:r>
          </w:p>
          <w:p w14:paraId="6E143E2E" w14:textId="6A8B3573" w:rsidR="00324B33" w:rsidRPr="00BD5DBD" w:rsidRDefault="00453950" w:rsidP="00FC50B0">
            <w:pPr>
              <w:rPr>
                <w:szCs w:val="22"/>
              </w:rPr>
            </w:pPr>
            <w:proofErr w:type="spellStart"/>
            <w:r w:rsidRPr="007E028D">
              <w:rPr>
                <w:szCs w:val="22"/>
              </w:rPr>
              <w:t>E</w:t>
            </w:r>
            <w:r>
              <w:rPr>
                <w:szCs w:val="22"/>
              </w:rPr>
              <w:t>nflonsia</w:t>
            </w:r>
            <w:proofErr w:type="spellEnd"/>
            <w:r w:rsidR="00FC50B0" w:rsidRPr="00FC50B0">
              <w:rPr>
                <w:szCs w:val="22"/>
              </w:rPr>
              <w:t xml:space="preserve"> should be used in accordance with official recommendations.</w:t>
            </w:r>
          </w:p>
        </w:tc>
      </w:tr>
      <w:tr w:rsidR="00324B33" w:rsidRPr="00BD5DBD" w14:paraId="5AFDEED3" w14:textId="77777777" w:rsidTr="00F865A7">
        <w:tc>
          <w:tcPr>
            <w:tcW w:w="1577" w:type="pct"/>
          </w:tcPr>
          <w:p w14:paraId="03884BD1" w14:textId="1365D7E9" w:rsidR="00324B33" w:rsidRPr="00BD5DBD" w:rsidRDefault="00324B33" w:rsidP="007452E8">
            <w:pPr>
              <w:rPr>
                <w:i/>
                <w:szCs w:val="22"/>
              </w:rPr>
            </w:pPr>
            <w:r w:rsidRPr="00BD5DBD">
              <w:rPr>
                <w:i/>
                <w:szCs w:val="22"/>
              </w:rPr>
              <w:t>Route of administration:</w:t>
            </w:r>
          </w:p>
        </w:tc>
        <w:tc>
          <w:tcPr>
            <w:tcW w:w="3423" w:type="pct"/>
          </w:tcPr>
          <w:p w14:paraId="1ED1357E" w14:textId="3DBA7921" w:rsidR="00324B33" w:rsidRPr="00BD5DBD" w:rsidRDefault="00AF5C0D" w:rsidP="007452E8">
            <w:pPr>
              <w:rPr>
                <w:szCs w:val="22"/>
              </w:rPr>
            </w:pPr>
            <w:r>
              <w:rPr>
                <w:szCs w:val="22"/>
              </w:rPr>
              <w:t>I</w:t>
            </w:r>
            <w:r w:rsidRPr="00AF5C0D">
              <w:rPr>
                <w:szCs w:val="22"/>
              </w:rPr>
              <w:t>ntramuscular</w:t>
            </w:r>
          </w:p>
        </w:tc>
      </w:tr>
      <w:tr w:rsidR="00324B33" w:rsidRPr="00BD5DBD" w14:paraId="70D7E9FA" w14:textId="77777777" w:rsidTr="00F865A7">
        <w:tc>
          <w:tcPr>
            <w:tcW w:w="1577" w:type="pct"/>
          </w:tcPr>
          <w:p w14:paraId="5ABFFC80" w14:textId="77777777" w:rsidR="00324B33" w:rsidRPr="00BD5DBD" w:rsidRDefault="00324B33" w:rsidP="007452E8">
            <w:pPr>
              <w:rPr>
                <w:i/>
                <w:szCs w:val="22"/>
              </w:rPr>
            </w:pPr>
            <w:r w:rsidRPr="00BD5DBD">
              <w:rPr>
                <w:i/>
                <w:szCs w:val="22"/>
              </w:rPr>
              <w:t>Dosage:</w:t>
            </w:r>
          </w:p>
        </w:tc>
        <w:tc>
          <w:tcPr>
            <w:tcW w:w="3423" w:type="pct"/>
          </w:tcPr>
          <w:p w14:paraId="421DD571" w14:textId="77777777" w:rsidR="00C167D1" w:rsidRDefault="00C167D1" w:rsidP="007452E8">
            <w:pPr>
              <w:rPr>
                <w:szCs w:val="22"/>
              </w:rPr>
            </w:pPr>
            <w:r w:rsidRPr="00C167D1">
              <w:rPr>
                <w:szCs w:val="22"/>
              </w:rPr>
              <w:t xml:space="preserve">The recommended dose is 105 mg administered as a 0.7 mL single intramuscular (IM) injection. </w:t>
            </w:r>
          </w:p>
          <w:p w14:paraId="3D0B2D5C" w14:textId="4CA0710D" w:rsidR="00324B33" w:rsidRPr="00BD5DBD" w:rsidRDefault="00324B33" w:rsidP="007452E8">
            <w:pPr>
              <w:rPr>
                <w:szCs w:val="22"/>
              </w:rPr>
            </w:pPr>
            <w:r w:rsidRPr="00BD5DBD">
              <w:rPr>
                <w:szCs w:val="22"/>
              </w:rPr>
              <w:t xml:space="preserve">For further information regarding dosage, </w:t>
            </w:r>
            <w:r w:rsidR="006B7126">
              <w:rPr>
                <w:szCs w:val="22"/>
              </w:rPr>
              <w:t xml:space="preserve">such as dosage modifications to manage adverse reactions, </w:t>
            </w:r>
            <w:r w:rsidRPr="00BD5DBD">
              <w:rPr>
                <w:szCs w:val="22"/>
              </w:rPr>
              <w:t>refer to the Product Information.</w:t>
            </w:r>
          </w:p>
        </w:tc>
      </w:tr>
      <w:tr w:rsidR="0017005C" w:rsidRPr="00BD5DBD" w14:paraId="7B7BB6AE" w14:textId="77777777" w:rsidTr="00F865A7">
        <w:tc>
          <w:tcPr>
            <w:tcW w:w="1577" w:type="pct"/>
          </w:tcPr>
          <w:p w14:paraId="3A76AFF7" w14:textId="7C436DD9" w:rsidR="0017005C" w:rsidRPr="00F8083B" w:rsidRDefault="0070330F" w:rsidP="0017005C">
            <w:r w:rsidRPr="00BD5DBD">
              <w:rPr>
                <w:i/>
                <w:szCs w:val="22"/>
              </w:rPr>
              <w:t>Pregnancy category:</w:t>
            </w:r>
          </w:p>
        </w:tc>
        <w:tc>
          <w:tcPr>
            <w:tcW w:w="3423" w:type="pct"/>
          </w:tcPr>
          <w:p w14:paraId="1A985851" w14:textId="1C139BDA" w:rsidR="009F3A36" w:rsidRDefault="00453950" w:rsidP="00000E6E">
            <w:proofErr w:type="spellStart"/>
            <w:r w:rsidRPr="007E028D">
              <w:rPr>
                <w:szCs w:val="22"/>
              </w:rPr>
              <w:t>E</w:t>
            </w:r>
            <w:r>
              <w:rPr>
                <w:szCs w:val="22"/>
              </w:rPr>
              <w:t>nflonsia</w:t>
            </w:r>
            <w:proofErr w:type="spellEnd"/>
            <w:r w:rsidR="009F3A36" w:rsidRPr="009F3A36">
              <w:t xml:space="preserve"> is not indicated for use in females of child-bearing age.</w:t>
            </w:r>
          </w:p>
          <w:p w14:paraId="5F25CC35" w14:textId="374EC2CD" w:rsidR="00000E6E" w:rsidRPr="006933BF" w:rsidRDefault="009F3A36" w:rsidP="00000E6E">
            <w:r w:rsidRPr="009F3A36">
              <w:t xml:space="preserve">Developmental toxicity studies have not been performed with </w:t>
            </w:r>
            <w:proofErr w:type="spellStart"/>
            <w:r w:rsidR="00453950" w:rsidRPr="007E028D">
              <w:rPr>
                <w:szCs w:val="22"/>
              </w:rPr>
              <w:t>E</w:t>
            </w:r>
            <w:r w:rsidR="00453950">
              <w:rPr>
                <w:szCs w:val="22"/>
              </w:rPr>
              <w:t>nflonsia</w:t>
            </w:r>
            <w:proofErr w:type="spellEnd"/>
            <w:r w:rsidRPr="009F3A36">
              <w:t>.</w:t>
            </w:r>
          </w:p>
          <w:p w14:paraId="76497789" w14:textId="634DC28C" w:rsidR="0017005C" w:rsidRPr="00BD5DBD" w:rsidRDefault="0070330F" w:rsidP="00306E72">
            <w:pPr>
              <w:rPr>
                <w:szCs w:val="22"/>
              </w:rPr>
            </w:pPr>
            <w:r w:rsidRPr="00BD5DBD">
              <w:rPr>
                <w:szCs w:val="22"/>
              </w:rPr>
              <w:t xml:space="preserve">The use of any medicine during pregnancy requires careful consideration of both risks and benefits by the treating health professional. </w:t>
            </w:r>
            <w:r w:rsidR="00721059">
              <w:rPr>
                <w:szCs w:val="22"/>
              </w:rPr>
              <w:t xml:space="preserve">The </w:t>
            </w:r>
            <w:hyperlink r:id="rId22" w:history="1">
              <w:r w:rsidR="00721059" w:rsidRPr="00065FDF">
                <w:rPr>
                  <w:rStyle w:val="Hyperlink"/>
                  <w:szCs w:val="22"/>
                </w:rPr>
                <w:t>pregnancy database</w:t>
              </w:r>
            </w:hyperlink>
            <w:r w:rsidR="00387984">
              <w:t xml:space="preserve"> </w:t>
            </w:r>
            <w:r w:rsidRPr="00BD5DBD">
              <w:rPr>
                <w:szCs w:val="22"/>
              </w:rPr>
              <w:t xml:space="preserve">must not be used as the sole basis of decision making in the use of medicines during </w:t>
            </w:r>
            <w:r w:rsidRPr="00BD5DBD">
              <w:rPr>
                <w:szCs w:val="22"/>
              </w:rPr>
              <w:lastRenderedPageBreak/>
              <w:t xml:space="preserve">pregnancy. The TGA does not provide advice on the use of medicines in pregnancy for specific cases. More information is available from </w:t>
            </w:r>
            <w:hyperlink r:id="rId23" w:history="1">
              <w:r w:rsidRPr="00C059D0">
                <w:rPr>
                  <w:rStyle w:val="Hyperlink"/>
                  <w:szCs w:val="22"/>
                </w:rPr>
                <w:t>obstetric drug information services</w:t>
              </w:r>
            </w:hyperlink>
            <w:r w:rsidRPr="00BD5DBD">
              <w:rPr>
                <w:szCs w:val="22"/>
              </w:rPr>
              <w:t xml:space="preserve"> in your </w:t>
            </w:r>
            <w:r w:rsidR="00306E72">
              <w:rPr>
                <w:szCs w:val="22"/>
              </w:rPr>
              <w:t>s</w:t>
            </w:r>
            <w:r w:rsidRPr="00BD5DBD">
              <w:rPr>
                <w:szCs w:val="22"/>
              </w:rPr>
              <w:t xml:space="preserve">tate or </w:t>
            </w:r>
            <w:r w:rsidR="00306E72">
              <w:rPr>
                <w:szCs w:val="22"/>
              </w:rPr>
              <w:t>t</w:t>
            </w:r>
            <w:r w:rsidRPr="00BD5DBD">
              <w:rPr>
                <w:szCs w:val="22"/>
              </w:rPr>
              <w:t>erritory.</w:t>
            </w:r>
          </w:p>
        </w:tc>
      </w:tr>
    </w:tbl>
    <w:p w14:paraId="51F2479F" w14:textId="26C08EF8" w:rsidR="00324B33" w:rsidRDefault="00324B33" w:rsidP="006933BF">
      <w:pPr>
        <w:pStyle w:val="Heading3"/>
      </w:pPr>
      <w:bookmarkStart w:id="11" w:name="_Toc247691503"/>
      <w:bookmarkStart w:id="12" w:name="_Toc314842484"/>
      <w:bookmarkStart w:id="13" w:name="_Toc103679290"/>
      <w:bookmarkStart w:id="14" w:name="_Toc238033725"/>
      <w:r>
        <w:t>Product background</w:t>
      </w:r>
      <w:bookmarkEnd w:id="11"/>
      <w:bookmarkEnd w:id="12"/>
      <w:bookmarkEnd w:id="13"/>
      <w:bookmarkEnd w:id="14"/>
    </w:p>
    <w:p w14:paraId="59BF31D1" w14:textId="366518CF" w:rsidR="001500A8" w:rsidRPr="00065839" w:rsidRDefault="00324B33" w:rsidP="006933BF">
      <w:r w:rsidRPr="00065839">
        <w:t xml:space="preserve">This </w:t>
      </w:r>
      <w:proofErr w:type="spellStart"/>
      <w:r w:rsidRPr="00065839">
        <w:t>AusPAR</w:t>
      </w:r>
      <w:proofErr w:type="spellEnd"/>
      <w:r w:rsidRPr="00065839">
        <w:t xml:space="preserve"> describes the submission by </w:t>
      </w:r>
      <w:r w:rsidR="00382364" w:rsidRPr="00382364">
        <w:t xml:space="preserve">Merck Sharp &amp; Dohme (Australia) Pty Ltd </w:t>
      </w:r>
      <w:r w:rsidRPr="00065839">
        <w:t xml:space="preserve">(the sponsor) to register </w:t>
      </w:r>
      <w:proofErr w:type="spellStart"/>
      <w:r w:rsidR="00382364">
        <w:t>Enflonsia</w:t>
      </w:r>
      <w:proofErr w:type="spellEnd"/>
      <w:r w:rsidRPr="00065839">
        <w:t xml:space="preserve"> (</w:t>
      </w:r>
      <w:proofErr w:type="spellStart"/>
      <w:r w:rsidR="00382364">
        <w:t>clesrovimab</w:t>
      </w:r>
      <w:proofErr w:type="spellEnd"/>
      <w:r w:rsidRPr="00065839">
        <w:t xml:space="preserve">) </w:t>
      </w:r>
      <w:r w:rsidR="00B24443" w:rsidRPr="00B24443">
        <w:t xml:space="preserve">0.7 mL solution for injection in a pre-filled syringe </w:t>
      </w:r>
      <w:r w:rsidRPr="00B24443">
        <w:t>for the following proposed:</w:t>
      </w:r>
      <w:r w:rsidR="00D63760" w:rsidRPr="00065839">
        <w:rPr>
          <w:vertAlign w:val="superscript"/>
        </w:rPr>
        <w:footnoteReference w:id="1"/>
      </w:r>
    </w:p>
    <w:p w14:paraId="58A83CA7" w14:textId="24294DE9" w:rsidR="009D1ABF" w:rsidRDefault="00503F17" w:rsidP="006933BF">
      <w:pPr>
        <w:ind w:left="720"/>
      </w:pPr>
      <w:bookmarkStart w:id="15" w:name="_Toc314842485"/>
      <w:bookmarkStart w:id="16" w:name="_Toc247691504"/>
      <w:proofErr w:type="spellStart"/>
      <w:r>
        <w:t>Enflonsia</w:t>
      </w:r>
      <w:proofErr w:type="spellEnd"/>
      <w:r>
        <w:t xml:space="preserve"> </w:t>
      </w:r>
      <w:r w:rsidR="009D1ABF">
        <w:t>is indicated for the prevention of respiratory syncytial virus (RSV) lower respiratory tract disease in neonates and infants who are born during or entering their first RSV season.</w:t>
      </w:r>
    </w:p>
    <w:p w14:paraId="03CB2E5E" w14:textId="2CA676F8" w:rsidR="007167B9" w:rsidRPr="006933BF" w:rsidRDefault="00005DFC" w:rsidP="006933BF">
      <w:pPr>
        <w:pStyle w:val="Heading3"/>
      </w:pPr>
      <w:bookmarkStart w:id="17" w:name="_Toc238033726"/>
      <w:r w:rsidRPr="006933BF">
        <w:t>D</w:t>
      </w:r>
      <w:r w:rsidR="00CB6813" w:rsidRPr="006933BF">
        <w:t>isease</w:t>
      </w:r>
      <w:r w:rsidR="006428C5" w:rsidRPr="006933BF">
        <w:t xml:space="preserve"> or condition</w:t>
      </w:r>
      <w:r w:rsidR="007167B9" w:rsidRPr="006933BF">
        <w:t xml:space="preserve"> – Respiratory Syncytial Virus (RSV)</w:t>
      </w:r>
      <w:bookmarkEnd w:id="17"/>
    </w:p>
    <w:p w14:paraId="73F27C2A" w14:textId="77777777" w:rsidR="0078159D" w:rsidRDefault="0078159D" w:rsidP="0078159D">
      <w:r w:rsidRPr="004713E8">
        <w:t xml:space="preserve">The following discussion of Respiratory Syncytial Virus (RSV) disease and its epidemiology in Australia is summarised from the ASA version 0.3 for </w:t>
      </w:r>
      <w:proofErr w:type="spellStart"/>
      <w:r w:rsidRPr="004713E8">
        <w:t>clesrovimab</w:t>
      </w:r>
      <w:proofErr w:type="spellEnd"/>
      <w:r w:rsidRPr="004713E8">
        <w:t>, extracted from the TGA RMP Round 2 evaluation.</w:t>
      </w:r>
    </w:p>
    <w:p w14:paraId="38924BEC" w14:textId="77777777" w:rsidR="0078159D" w:rsidRDefault="0078159D" w:rsidP="006933BF">
      <w:r>
        <w:t>‘</w:t>
      </w:r>
      <w:r w:rsidRPr="00086F7F">
        <w:t>RSV is a highly infectious pathogen responsible for respiratory infections. While most RSV infections are mild and typically resolve within 2 to 8 days, severe cases can lead to serious</w:t>
      </w:r>
      <w:r w:rsidRPr="00160526">
        <w:t xml:space="preserve"> complications such as bronchiolitis, pneumonia, and hospitalisation. RSV is the leading cause of lower respiratory infections in young children. RSV infections occur year-round. In temperate regions of Australia, such as New South Wales and Victoria, infections are most prevalent during the winter months. Tropical regions like the Northern Territory and Queensland experience a less distinct peak in RSV infections.</w:t>
      </w:r>
    </w:p>
    <w:p w14:paraId="5F776F87" w14:textId="77777777" w:rsidR="0078159D" w:rsidRDefault="0078159D" w:rsidP="006933BF">
      <w:r w:rsidRPr="00A937B0">
        <w:t>The greatest burden of disease associated with RSV is observed in children under 23 months of age compared to the overall population.</w:t>
      </w:r>
      <w:r w:rsidRPr="002244E1">
        <w:t xml:space="preserve"> </w:t>
      </w:r>
      <w:r>
        <w:t>Factors which contribute to an increased likelihood of RSV infection include younger age, prematurity, First Nations infants, congenital heart and lung diseases, immunosuppression, cystic fibrosis, and trisomy 21. Household crowding, exposure to passive smoke, attendance at childcare, and having older siblings are also associated with increased risk of RSV infection.</w:t>
      </w:r>
    </w:p>
    <w:p w14:paraId="03FE833C" w14:textId="1EEA0AE6" w:rsidR="0078159D" w:rsidRDefault="0078159D" w:rsidP="006933BF">
      <w:r>
        <w:t>The highest risk for hospitalisation is in children under six months of age. Most children hospitalised due to RSV are otherwise healthy. However, children of Indigenous status, those born preterm, those with bronchopulmonary dysplasia, and those of low birth weight were at increased risk of RSV hospitalisation.’</w:t>
      </w:r>
    </w:p>
    <w:p w14:paraId="255E083A" w14:textId="4BE1D833" w:rsidR="00CB6813" w:rsidRDefault="00CB6813" w:rsidP="006933BF">
      <w:pPr>
        <w:pStyle w:val="Heading4"/>
      </w:pPr>
      <w:bookmarkStart w:id="18" w:name="_Toc238033727"/>
      <w:r>
        <w:t>Current treatment options</w:t>
      </w:r>
      <w:bookmarkEnd w:id="18"/>
    </w:p>
    <w:p w14:paraId="6475392C" w14:textId="77777777" w:rsidR="002D0559" w:rsidRDefault="002D0559" w:rsidP="006933BF">
      <w:r w:rsidRPr="007E4F0F">
        <w:t>Monoclonal antibodies (</w:t>
      </w:r>
      <w:proofErr w:type="spellStart"/>
      <w:r w:rsidRPr="007E4F0F">
        <w:t>mAb</w:t>
      </w:r>
      <w:r>
        <w:t>s</w:t>
      </w:r>
      <w:proofErr w:type="spellEnd"/>
      <w:r w:rsidRPr="007E4F0F">
        <w:t>) and maternal vaccines have been developed to provide passive immunity</w:t>
      </w:r>
      <w:r>
        <w:t xml:space="preserve"> to RSV infection</w:t>
      </w:r>
      <w:r w:rsidRPr="007E4F0F">
        <w:t xml:space="preserve">. In Australia, two </w:t>
      </w:r>
      <w:proofErr w:type="spellStart"/>
      <w:r w:rsidRPr="007E4F0F">
        <w:t>mAbs</w:t>
      </w:r>
      <w:proofErr w:type="spellEnd"/>
      <w:r w:rsidRPr="007E4F0F">
        <w:t xml:space="preserve"> are currently licensed: palivizumab, administered monthly during the RSV season, and </w:t>
      </w:r>
      <w:proofErr w:type="spellStart"/>
      <w:r w:rsidRPr="007E4F0F">
        <w:t>nirsevimab</w:t>
      </w:r>
      <w:proofErr w:type="spellEnd"/>
      <w:r w:rsidRPr="007E4F0F">
        <w:t xml:space="preserve">, which requires only a single injection. Additionally, a maternal vaccine, </w:t>
      </w:r>
      <w:proofErr w:type="spellStart"/>
      <w:r w:rsidRPr="007E4F0F">
        <w:t>Abrysvo</w:t>
      </w:r>
      <w:proofErr w:type="spellEnd"/>
      <w:r w:rsidRPr="007E4F0F">
        <w:t>, is licensed for active immuni</w:t>
      </w:r>
      <w:r>
        <w:t>s</w:t>
      </w:r>
      <w:r w:rsidRPr="007E4F0F">
        <w:t>ation of pregnant women for prevention of RSV in infants from birth to six months of age.</w:t>
      </w:r>
    </w:p>
    <w:p w14:paraId="49A215F9" w14:textId="109C104F" w:rsidR="002D0559" w:rsidRPr="00246E2E" w:rsidRDefault="009E1E7A" w:rsidP="006933BF">
      <w:pPr>
        <w:pStyle w:val="TableTitle"/>
      </w:pPr>
      <w:r>
        <w:lastRenderedPageBreak/>
        <w:t xml:space="preserve">Table 1: </w:t>
      </w:r>
      <w:r w:rsidR="002D0559" w:rsidRPr="00246E2E">
        <w:t>Maternal RSV vaccines and RSV monoclonal antibodies listed on the ARTG and their approved indications</w:t>
      </w:r>
    </w:p>
    <w:tbl>
      <w:tblPr>
        <w:tblStyle w:val="TableTGAblue2023"/>
        <w:tblW w:w="0" w:type="auto"/>
        <w:tblLook w:val="04A0" w:firstRow="1" w:lastRow="0" w:firstColumn="1" w:lastColumn="0" w:noHBand="0" w:noVBand="1"/>
      </w:tblPr>
      <w:tblGrid>
        <w:gridCol w:w="3539"/>
        <w:gridCol w:w="5477"/>
      </w:tblGrid>
      <w:tr w:rsidR="002D0559" w:rsidRPr="002F6A4F" w14:paraId="4290D029" w14:textId="77777777" w:rsidTr="006933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608A360" w14:textId="77777777" w:rsidR="002D0559" w:rsidRPr="002F6A4F" w:rsidRDefault="002D0559" w:rsidP="006933BF">
            <w:pPr>
              <w:rPr>
                <w:b w:val="0"/>
              </w:rPr>
            </w:pPr>
            <w:r w:rsidRPr="002F6A4F">
              <w:t>Medicinal product</w:t>
            </w:r>
          </w:p>
        </w:tc>
        <w:tc>
          <w:tcPr>
            <w:tcW w:w="5477" w:type="dxa"/>
          </w:tcPr>
          <w:p w14:paraId="64704841" w14:textId="77777777" w:rsidR="002D0559" w:rsidRPr="002F6A4F" w:rsidRDefault="002D0559" w:rsidP="006933BF">
            <w:pPr>
              <w:cnfStyle w:val="100000000000" w:firstRow="1" w:lastRow="0" w:firstColumn="0" w:lastColumn="0" w:oddVBand="0" w:evenVBand="0" w:oddHBand="0" w:evenHBand="0" w:firstRowFirstColumn="0" w:firstRowLastColumn="0" w:lastRowFirstColumn="0" w:lastRowLastColumn="0"/>
              <w:rPr>
                <w:b w:val="0"/>
              </w:rPr>
            </w:pPr>
            <w:r w:rsidRPr="002F6A4F">
              <w:t>Indication</w:t>
            </w:r>
          </w:p>
        </w:tc>
      </w:tr>
      <w:tr w:rsidR="002D0559" w14:paraId="65DB5D04" w14:textId="77777777" w:rsidTr="006933BF">
        <w:tc>
          <w:tcPr>
            <w:cnfStyle w:val="001000000000" w:firstRow="0" w:lastRow="0" w:firstColumn="1" w:lastColumn="0" w:oddVBand="0" w:evenVBand="0" w:oddHBand="0" w:evenHBand="0" w:firstRowFirstColumn="0" w:firstRowLastColumn="0" w:lastRowFirstColumn="0" w:lastRowLastColumn="0"/>
            <w:tcW w:w="3539" w:type="dxa"/>
          </w:tcPr>
          <w:p w14:paraId="488E99F9" w14:textId="77777777" w:rsidR="002D0559" w:rsidRPr="006933BF" w:rsidRDefault="002D0559" w:rsidP="006933BF">
            <w:pPr>
              <w:rPr>
                <w:b/>
              </w:rPr>
            </w:pPr>
            <w:r w:rsidRPr="006933BF">
              <w:rPr>
                <w:b/>
              </w:rPr>
              <w:t>BEYFORTUS</w:t>
            </w:r>
          </w:p>
        </w:tc>
        <w:tc>
          <w:tcPr>
            <w:tcW w:w="5477" w:type="dxa"/>
          </w:tcPr>
          <w:p w14:paraId="21B5C092" w14:textId="7E286814" w:rsidR="002D0559" w:rsidRDefault="002D0559" w:rsidP="006933BF">
            <w:pPr>
              <w:cnfStyle w:val="000000000000" w:firstRow="0" w:lastRow="0" w:firstColumn="0" w:lastColumn="0" w:oddVBand="0" w:evenVBand="0" w:oddHBand="0" w:evenHBand="0" w:firstRowFirstColumn="0" w:firstRowLastColumn="0" w:lastRowFirstColumn="0" w:lastRowLastColumn="0"/>
            </w:pPr>
            <w:proofErr w:type="spellStart"/>
            <w:r>
              <w:t>B</w:t>
            </w:r>
            <w:r w:rsidR="00014A3B">
              <w:t>eyfortus</w:t>
            </w:r>
            <w:proofErr w:type="spellEnd"/>
            <w:r>
              <w:t xml:space="preserve"> is indicated for the prevention of Respiratory Syncytial Virus (RSV) lower respiratory tract disease in:</w:t>
            </w:r>
          </w:p>
          <w:p w14:paraId="56387BCA" w14:textId="23D4DF47" w:rsidR="00AB765A" w:rsidRPr="00996DF3" w:rsidRDefault="002D0559" w:rsidP="006933BF">
            <w:pPr>
              <w:pStyle w:val="ListBullet"/>
              <w:cnfStyle w:val="000000000000" w:firstRow="0" w:lastRow="0" w:firstColumn="0" w:lastColumn="0" w:oddVBand="0" w:evenVBand="0" w:oddHBand="0" w:evenHBand="0" w:firstRowFirstColumn="0" w:firstRowLastColumn="0" w:lastRowFirstColumn="0" w:lastRowLastColumn="0"/>
            </w:pPr>
            <w:r w:rsidRPr="00AB765A">
              <w:t>Neonates and infants born during or entering their first RSV season.</w:t>
            </w:r>
          </w:p>
          <w:p w14:paraId="0423E3B1" w14:textId="43A2C3A5" w:rsidR="002D0559" w:rsidRPr="00996DF3" w:rsidRDefault="002D0559" w:rsidP="006933BF">
            <w:pPr>
              <w:pStyle w:val="ListBullet"/>
              <w:cnfStyle w:val="000000000000" w:firstRow="0" w:lastRow="0" w:firstColumn="0" w:lastColumn="0" w:oddVBand="0" w:evenVBand="0" w:oddHBand="0" w:evenHBand="0" w:firstRowFirstColumn="0" w:firstRowLastColumn="0" w:lastRowFirstColumn="0" w:lastRowLastColumn="0"/>
            </w:pPr>
            <w:r w:rsidRPr="00996DF3">
              <w:t>Children up to 24 months of age who remain vulnerable to severe RSV disease through their second RSV season.</w:t>
            </w:r>
          </w:p>
          <w:p w14:paraId="6FE2AB87" w14:textId="4F6CDAF7" w:rsidR="002D0559" w:rsidRDefault="002D0559" w:rsidP="006933BF">
            <w:pPr>
              <w:cnfStyle w:val="000000000000" w:firstRow="0" w:lastRow="0" w:firstColumn="0" w:lastColumn="0" w:oddVBand="0" w:evenVBand="0" w:oddHBand="0" w:evenHBand="0" w:firstRowFirstColumn="0" w:firstRowLastColumn="0" w:lastRowFirstColumn="0" w:lastRowLastColumn="0"/>
            </w:pPr>
            <w:proofErr w:type="spellStart"/>
            <w:r>
              <w:t>B</w:t>
            </w:r>
            <w:r w:rsidR="00014A3B">
              <w:t>eyfortus</w:t>
            </w:r>
            <w:proofErr w:type="spellEnd"/>
            <w:r>
              <w:t xml:space="preserve"> should be used in accordance with official recommendations.</w:t>
            </w:r>
          </w:p>
        </w:tc>
      </w:tr>
      <w:tr w:rsidR="00F637E5" w14:paraId="5FF3E96E" w14:textId="77777777" w:rsidTr="006933BF">
        <w:tc>
          <w:tcPr>
            <w:cnfStyle w:val="001000000000" w:firstRow="0" w:lastRow="0" w:firstColumn="1" w:lastColumn="0" w:oddVBand="0" w:evenVBand="0" w:oddHBand="0" w:evenHBand="0" w:firstRowFirstColumn="0" w:firstRowLastColumn="0" w:lastRowFirstColumn="0" w:lastRowLastColumn="0"/>
            <w:tcW w:w="3539" w:type="dxa"/>
          </w:tcPr>
          <w:p w14:paraId="5F1EBD8C" w14:textId="6CF83B74" w:rsidR="00F637E5" w:rsidRPr="006933BF" w:rsidRDefault="00F637E5" w:rsidP="006933BF">
            <w:pPr>
              <w:rPr>
                <w:b/>
              </w:rPr>
            </w:pPr>
            <w:r w:rsidRPr="006933BF">
              <w:rPr>
                <w:b/>
              </w:rPr>
              <w:t>ABRYSVO</w:t>
            </w:r>
          </w:p>
        </w:tc>
        <w:tc>
          <w:tcPr>
            <w:tcW w:w="5477" w:type="dxa"/>
          </w:tcPr>
          <w:p w14:paraId="0A0DD2B2" w14:textId="184536B3" w:rsidR="00F637E5" w:rsidRDefault="00F637E5" w:rsidP="006933BF">
            <w:pPr>
              <w:cnfStyle w:val="000000000000" w:firstRow="0" w:lastRow="0" w:firstColumn="0" w:lastColumn="0" w:oddVBand="0" w:evenVBand="0" w:oddHBand="0" w:evenHBand="0" w:firstRowFirstColumn="0" w:firstRowLastColumn="0" w:lastRowFirstColumn="0" w:lastRowLastColumn="0"/>
            </w:pPr>
            <w:proofErr w:type="spellStart"/>
            <w:r>
              <w:t>A</w:t>
            </w:r>
            <w:r w:rsidR="00014A3B">
              <w:t>brysvo</w:t>
            </w:r>
            <w:proofErr w:type="spellEnd"/>
            <w:r w:rsidR="00014A3B">
              <w:t xml:space="preserve"> </w:t>
            </w:r>
            <w:r>
              <w:t>is indicated for:</w:t>
            </w:r>
          </w:p>
          <w:p w14:paraId="4F58AC63" w14:textId="7F78F95B" w:rsidR="00F637E5" w:rsidRPr="00AB765A" w:rsidRDefault="00F637E5" w:rsidP="006933BF">
            <w:pPr>
              <w:pStyle w:val="ListBullet"/>
              <w:cnfStyle w:val="000000000000" w:firstRow="0" w:lastRow="0" w:firstColumn="0" w:lastColumn="0" w:oddVBand="0" w:evenVBand="0" w:oddHBand="0" w:evenHBand="0" w:firstRowFirstColumn="0" w:firstRowLastColumn="0" w:lastRowFirstColumn="0" w:lastRowLastColumn="0"/>
            </w:pPr>
            <w:r w:rsidRPr="00AB765A">
              <w:t>Active immunisation of pregnant women between 24-36 weeks of gestation for prevention of lower respiratory tract disease caused by respiratory syncytial virus (RSV) in infants from birth through 6 months of age.</w:t>
            </w:r>
          </w:p>
          <w:p w14:paraId="17DA34DF" w14:textId="131D273B" w:rsidR="00F637E5" w:rsidRPr="00AB765A" w:rsidRDefault="00F637E5" w:rsidP="006933BF">
            <w:pPr>
              <w:pStyle w:val="ListBullet"/>
              <w:cnfStyle w:val="000000000000" w:firstRow="0" w:lastRow="0" w:firstColumn="0" w:lastColumn="0" w:oddVBand="0" w:evenVBand="0" w:oddHBand="0" w:evenHBand="0" w:firstRowFirstColumn="0" w:firstRowLastColumn="0" w:lastRowFirstColumn="0" w:lastRowLastColumn="0"/>
            </w:pPr>
            <w:r w:rsidRPr="00AB765A">
              <w:t>Active immunisation of individuals 60 years of age and above for prevention of lower respiratory tract disease caused by respiratory syncytial virus (RSV).</w:t>
            </w:r>
          </w:p>
          <w:p w14:paraId="395A802C" w14:textId="1E6314CA" w:rsidR="00F637E5" w:rsidRPr="003B5609" w:rsidRDefault="00F637E5" w:rsidP="006933BF">
            <w:pPr>
              <w:cnfStyle w:val="000000000000" w:firstRow="0" w:lastRow="0" w:firstColumn="0" w:lastColumn="0" w:oddVBand="0" w:evenVBand="0" w:oddHBand="0" w:evenHBand="0" w:firstRowFirstColumn="0" w:firstRowLastColumn="0" w:lastRowFirstColumn="0" w:lastRowLastColumn="0"/>
            </w:pPr>
            <w:proofErr w:type="spellStart"/>
            <w:r w:rsidRPr="003B5609">
              <w:t>A</w:t>
            </w:r>
            <w:r w:rsidR="00E46B3B">
              <w:t>brysvo</w:t>
            </w:r>
            <w:proofErr w:type="spellEnd"/>
            <w:r w:rsidRPr="003B5609">
              <w:t xml:space="preserve"> should be used in accordance with official recommendations.</w:t>
            </w:r>
          </w:p>
        </w:tc>
      </w:tr>
      <w:tr w:rsidR="00F637E5" w14:paraId="48D3EBF1" w14:textId="77777777" w:rsidTr="006933BF">
        <w:tc>
          <w:tcPr>
            <w:cnfStyle w:val="001000000000" w:firstRow="0" w:lastRow="0" w:firstColumn="1" w:lastColumn="0" w:oddVBand="0" w:evenVBand="0" w:oddHBand="0" w:evenHBand="0" w:firstRowFirstColumn="0" w:firstRowLastColumn="0" w:lastRowFirstColumn="0" w:lastRowLastColumn="0"/>
            <w:tcW w:w="3539" w:type="dxa"/>
          </w:tcPr>
          <w:p w14:paraId="33D7BF9A" w14:textId="050F6348" w:rsidR="00F637E5" w:rsidRPr="006933BF" w:rsidRDefault="00F637E5" w:rsidP="006933BF">
            <w:pPr>
              <w:rPr>
                <w:b/>
              </w:rPr>
            </w:pPr>
            <w:r w:rsidRPr="006933BF">
              <w:rPr>
                <w:b/>
              </w:rPr>
              <w:t>SYNAGIS</w:t>
            </w:r>
          </w:p>
        </w:tc>
        <w:tc>
          <w:tcPr>
            <w:tcW w:w="5477" w:type="dxa"/>
          </w:tcPr>
          <w:p w14:paraId="0962FD5D" w14:textId="77777777" w:rsidR="003B5609" w:rsidRDefault="00F637E5" w:rsidP="006933BF">
            <w:pPr>
              <w:cnfStyle w:val="000000000000" w:firstRow="0" w:lastRow="0" w:firstColumn="0" w:lastColumn="0" w:oddVBand="0" w:evenVBand="0" w:oddHBand="0" w:evenHBand="0" w:firstRowFirstColumn="0" w:firstRowLastColumn="0" w:lastRowFirstColumn="0" w:lastRowLastColumn="0"/>
            </w:pPr>
            <w:proofErr w:type="spellStart"/>
            <w:r w:rsidRPr="00074826">
              <w:t>Synagis</w:t>
            </w:r>
            <w:proofErr w:type="spellEnd"/>
            <w:r w:rsidRPr="00074826">
              <w:t xml:space="preserve"> (palivizumab) is indicated for the prevention of serious lower respiratory tract disease caused by respiratory syncytial virus (RSV) in children at high risk of RSV disease. </w:t>
            </w:r>
          </w:p>
          <w:p w14:paraId="76DE4A43" w14:textId="044A850E" w:rsidR="00F637E5" w:rsidRDefault="00F637E5" w:rsidP="006933BF">
            <w:pPr>
              <w:cnfStyle w:val="000000000000" w:firstRow="0" w:lastRow="0" w:firstColumn="0" w:lastColumn="0" w:oddVBand="0" w:evenVBand="0" w:oddHBand="0" w:evenHBand="0" w:firstRowFirstColumn="0" w:firstRowLastColumn="0" w:lastRowFirstColumn="0" w:lastRowLastColumn="0"/>
            </w:pPr>
            <w:r w:rsidRPr="00074826">
              <w:t xml:space="preserve">Safety and efficacy were established in children with bronchopulmonary dysplasia (BPD), infants with a history of prematurity (gestational age less than or equal to 35 weeks at birth) and children with </w:t>
            </w:r>
            <w:proofErr w:type="spellStart"/>
            <w:r w:rsidRPr="00074826">
              <w:t>haemodynamically</w:t>
            </w:r>
            <w:proofErr w:type="spellEnd"/>
            <w:r w:rsidRPr="00074826">
              <w:t xml:space="preserve"> significant congenital heart disease (CHD). (See Section 5.1 Pharmacodynamic properties</w:t>
            </w:r>
            <w:r w:rsidR="0017637C">
              <w:t xml:space="preserve"> </w:t>
            </w:r>
            <w:r w:rsidR="00B92F05">
              <w:t>-</w:t>
            </w:r>
            <w:r w:rsidRPr="00074826">
              <w:t>Clinical Trials).</w:t>
            </w:r>
          </w:p>
        </w:tc>
      </w:tr>
    </w:tbl>
    <w:p w14:paraId="5E611C90" w14:textId="18B3E60F" w:rsidR="008A75DE" w:rsidRPr="007E4F0F" w:rsidRDefault="008A75DE" w:rsidP="006933BF">
      <w:pPr>
        <w:spacing w:before="240"/>
      </w:pPr>
      <w:r>
        <w:t xml:space="preserve">In 2025, Australia introduced a </w:t>
      </w:r>
      <w:r w:rsidRPr="005A4ACA">
        <w:t>national RSV prevention program</w:t>
      </w:r>
      <w:r>
        <w:t xml:space="preserve"> including ‘free maternal vaccination with </w:t>
      </w:r>
      <w:proofErr w:type="spellStart"/>
      <w:r>
        <w:t>Abrysvo</w:t>
      </w:r>
      <w:proofErr w:type="spellEnd"/>
      <w:r>
        <w:t xml:space="preserve"> and targeted infant protection with </w:t>
      </w:r>
      <w:proofErr w:type="spellStart"/>
      <w:r>
        <w:t>nirsevimab</w:t>
      </w:r>
      <w:proofErr w:type="spellEnd"/>
      <w:r>
        <w:t xml:space="preserve"> for high risk or newborns whose mothers did not receive </w:t>
      </w:r>
      <w:proofErr w:type="spellStart"/>
      <w:r>
        <w:t>Abrysvo</w:t>
      </w:r>
      <w:proofErr w:type="spellEnd"/>
      <w:r>
        <w:t xml:space="preserve"> at least 2 weeks before delivery, funded by individual jurisdictions.’ </w:t>
      </w:r>
      <w:r>
        <w:rPr>
          <w:rStyle w:val="FootnoteReference"/>
        </w:rPr>
        <w:footnoteReference w:id="2"/>
      </w:r>
      <w:r>
        <w:t xml:space="preserve"> The 2025 federal and complementary jurisdictional programs for RSV prevention highlight a commitment to addressing the burden of RSV in children in Australia.</w:t>
      </w:r>
      <w:r w:rsidR="006933BF">
        <w:t xml:space="preserve"> </w:t>
      </w:r>
      <w:r w:rsidRPr="006933BF">
        <w:rPr>
          <w:rStyle w:val="FootnoteReference"/>
          <w:rFonts w:eastAsia="Cambria" w:cs="Times New Roman"/>
          <w:color w:val="333F48"/>
          <w:sz w:val="17"/>
        </w:rPr>
        <w:t>2</w:t>
      </w:r>
    </w:p>
    <w:p w14:paraId="37C47E09" w14:textId="577075E5" w:rsidR="00CB6813" w:rsidRDefault="00CB6813" w:rsidP="006933BF">
      <w:pPr>
        <w:pStyle w:val="Heading4"/>
      </w:pPr>
      <w:bookmarkStart w:id="19" w:name="_Toc238033728"/>
      <w:r>
        <w:lastRenderedPageBreak/>
        <w:t>C</w:t>
      </w:r>
      <w:r w:rsidRPr="00DE1344">
        <w:t>linical rational</w:t>
      </w:r>
      <w:r w:rsidR="0025785B">
        <w:t>e</w:t>
      </w:r>
      <w:bookmarkEnd w:id="19"/>
    </w:p>
    <w:p w14:paraId="217E54FD" w14:textId="5FD2FA14" w:rsidR="00D2304A" w:rsidRDefault="00D2304A" w:rsidP="006933BF">
      <w:bookmarkStart w:id="20" w:name="_Toc103679291"/>
      <w:proofErr w:type="spellStart"/>
      <w:r w:rsidRPr="008A1D9C">
        <w:t>Clesrovimab</w:t>
      </w:r>
      <w:proofErr w:type="spellEnd"/>
      <w:r w:rsidRPr="008A1D9C">
        <w:t xml:space="preserve"> (also known as MK-1654) is a fully human immunoglobulin G1 (IgG1) monoclonal antibody, with a triple amino acid substitution (YTE: M252Y/S254T/T256E) in the Fc region to increase serum half-life.</w:t>
      </w:r>
      <w:r w:rsidRPr="005112ED">
        <w:t xml:space="preserve"> </w:t>
      </w:r>
      <w:r w:rsidRPr="00A85C00">
        <w:t>The binding epitope is located at antigenic site IV of RSV F protein</w:t>
      </w:r>
      <w:r>
        <w:t xml:space="preserve">. </w:t>
      </w:r>
      <w:r w:rsidRPr="00C95626">
        <w:t xml:space="preserve">The binding site differs from both palivizumab (site II) and </w:t>
      </w:r>
      <w:proofErr w:type="spellStart"/>
      <w:r w:rsidRPr="00C95626">
        <w:t>nirsevimab</w:t>
      </w:r>
      <w:proofErr w:type="spellEnd"/>
      <w:r w:rsidRPr="00C95626">
        <w:t xml:space="preserve"> (site Ø), suggesting potential complementary activity.</w:t>
      </w:r>
    </w:p>
    <w:p w14:paraId="068F3CE3" w14:textId="08BF81C1" w:rsidR="00D2304A" w:rsidRPr="001B5942" w:rsidRDefault="00D2304A" w:rsidP="006933BF">
      <w:proofErr w:type="spellStart"/>
      <w:r>
        <w:t>Clesrovimab</w:t>
      </w:r>
      <w:proofErr w:type="spellEnd"/>
      <w:r w:rsidRPr="005112ED">
        <w:t xml:space="preserve"> is designed to provide passive immunity by targeting the RSV F protein and is administered as a single intramuscular dose for use during the infant’s first RSV season.</w:t>
      </w:r>
      <w:r>
        <w:t xml:space="preserve"> The Sponsor notes that to address potential resistance development, it is important to have another </w:t>
      </w:r>
      <w:proofErr w:type="spellStart"/>
      <w:r>
        <w:t>mAb</w:t>
      </w:r>
      <w:proofErr w:type="spellEnd"/>
      <w:r>
        <w:t xml:space="preserve"> treatment option that binds to a different antigen site than currently approved </w:t>
      </w:r>
      <w:proofErr w:type="spellStart"/>
      <w:r>
        <w:t>mAbs</w:t>
      </w:r>
      <w:proofErr w:type="spellEnd"/>
      <w:r>
        <w:t xml:space="preserve"> for RSV.</w:t>
      </w:r>
    </w:p>
    <w:p w14:paraId="0D615854" w14:textId="6FF0A7B0" w:rsidR="00324B33" w:rsidRPr="003F31A2" w:rsidRDefault="00324B33" w:rsidP="006933BF">
      <w:pPr>
        <w:pStyle w:val="Heading3"/>
      </w:pPr>
      <w:bookmarkStart w:id="21" w:name="_Toc238033729"/>
      <w:r>
        <w:t>Regulatory status</w:t>
      </w:r>
      <w:bookmarkEnd w:id="15"/>
      <w:bookmarkEnd w:id="16"/>
      <w:bookmarkEnd w:id="20"/>
      <w:r w:rsidR="00A14FA1">
        <w:t xml:space="preserve"> at the time of assessment</w:t>
      </w:r>
      <w:bookmarkEnd w:id="21"/>
    </w:p>
    <w:p w14:paraId="72C889D6" w14:textId="7E200950" w:rsidR="0017005C" w:rsidRPr="006933BF" w:rsidRDefault="0017005C" w:rsidP="00644145">
      <w:pPr>
        <w:pStyle w:val="Heading4"/>
      </w:pPr>
      <w:bookmarkStart w:id="22" w:name="_Toc238033730"/>
      <w:r w:rsidRPr="006933BF">
        <w:t>Australian regulatory sta</w:t>
      </w:r>
      <w:r w:rsidR="0025785B" w:rsidRPr="006933BF">
        <w:t>t</w:t>
      </w:r>
      <w:r w:rsidRPr="006933BF">
        <w:t>us</w:t>
      </w:r>
      <w:bookmarkEnd w:id="22"/>
    </w:p>
    <w:p w14:paraId="23B68B4C" w14:textId="35E175C6" w:rsidR="008F2EE2" w:rsidRDefault="008F2338" w:rsidP="006933BF">
      <w:pPr>
        <w:rPr>
          <w:lang w:val="en-US"/>
        </w:rPr>
      </w:pPr>
      <w:r>
        <w:rPr>
          <w:lang w:val="en-US"/>
        </w:rPr>
        <w:t>This is a new biological entity for Australia.</w:t>
      </w:r>
    </w:p>
    <w:p w14:paraId="4E74C5AE" w14:textId="7B8572C9" w:rsidR="008F2338" w:rsidRDefault="008F2338" w:rsidP="008F2338">
      <w:pPr>
        <w:rPr>
          <w:lang w:val="en-US"/>
        </w:rPr>
      </w:pPr>
      <w:r>
        <w:rPr>
          <w:lang w:val="en-US"/>
        </w:rPr>
        <w:t xml:space="preserve">The application was considered under the </w:t>
      </w:r>
      <w:hyperlink r:id="rId24" w:history="1">
        <w:r w:rsidR="00184E37" w:rsidRPr="00184E37">
          <w:rPr>
            <w:rStyle w:val="Hyperlink"/>
          </w:rPr>
          <w:t xml:space="preserve">Access Consortium New Active Substance (NAS) work-sharing initiative </w:t>
        </w:r>
      </w:hyperlink>
      <w:r w:rsidRPr="00D0789C">
        <w:rPr>
          <w:lang w:val="en-US"/>
        </w:rPr>
        <w:t xml:space="preserve">(NASWSI) with Health Canada, Swissmedic, and the Health Sciences Authority </w:t>
      </w:r>
      <w:r>
        <w:rPr>
          <w:lang w:val="en-US"/>
        </w:rPr>
        <w:t xml:space="preserve">(HSA) </w:t>
      </w:r>
      <w:r w:rsidRPr="00D0789C">
        <w:rPr>
          <w:lang w:val="en-US"/>
        </w:rPr>
        <w:t>of Singapore.</w:t>
      </w:r>
    </w:p>
    <w:p w14:paraId="53E2090E" w14:textId="3576B306" w:rsidR="00053070" w:rsidRDefault="00053070" w:rsidP="006933BF">
      <w:pPr>
        <w:rPr>
          <w:lang w:val="en-US"/>
        </w:rPr>
      </w:pPr>
      <w:r w:rsidRPr="00BD5DBD">
        <w:rPr>
          <w:szCs w:val="22"/>
        </w:rPr>
        <w:t xml:space="preserve">Each regulator made independent decisions regarding </w:t>
      </w:r>
      <w:r w:rsidRPr="0017005C">
        <w:t xml:space="preserve">approval </w:t>
      </w:r>
      <w:r w:rsidRPr="00774789">
        <w:t>(market authorisation) of the new medicine</w:t>
      </w:r>
      <w:r w:rsidR="005F1DFB">
        <w:t>.</w:t>
      </w:r>
    </w:p>
    <w:p w14:paraId="546C1031" w14:textId="4EF98FA1" w:rsidR="0017005C" w:rsidRDefault="00131B1B" w:rsidP="00644145">
      <w:pPr>
        <w:pStyle w:val="Heading4"/>
      </w:pPr>
      <w:bookmarkStart w:id="23" w:name="_Toc238033731"/>
      <w:r>
        <w:t xml:space="preserve">International </w:t>
      </w:r>
      <w:r w:rsidR="0017005C" w:rsidRPr="00BD5DBD">
        <w:t>regulatory</w:t>
      </w:r>
      <w:r w:rsidR="0017005C">
        <w:t xml:space="preserve"> status</w:t>
      </w:r>
      <w:bookmarkEnd w:id="23"/>
    </w:p>
    <w:p w14:paraId="5DF96146" w14:textId="1442101C" w:rsidR="002C0D5B" w:rsidRDefault="002C0D5B" w:rsidP="002C0D5B">
      <w:r>
        <w:rPr>
          <w:lang w:val="en-US"/>
        </w:rPr>
        <w:t xml:space="preserve">Approval was granted by the FDA in June 2025. The application received a positive opinion from the </w:t>
      </w:r>
      <w:r w:rsidRPr="00C84975">
        <w:rPr>
          <w:lang w:val="en-US"/>
        </w:rPr>
        <w:t>EU CHMP</w:t>
      </w:r>
      <w:r>
        <w:rPr>
          <w:lang w:val="en-US"/>
        </w:rPr>
        <w:t xml:space="preserve"> in September 2025. </w:t>
      </w:r>
      <w:r w:rsidR="00A3599B">
        <w:rPr>
          <w:lang w:val="en-US"/>
        </w:rPr>
        <w:t>At the time of review, t</w:t>
      </w:r>
      <w:r>
        <w:rPr>
          <w:lang w:val="en-US"/>
        </w:rPr>
        <w:t xml:space="preserve">he European </w:t>
      </w:r>
      <w:r w:rsidRPr="00033AE3">
        <w:rPr>
          <w:lang w:val="en-US"/>
        </w:rPr>
        <w:t>Commission Decision process</w:t>
      </w:r>
      <w:r>
        <w:rPr>
          <w:lang w:val="en-US"/>
        </w:rPr>
        <w:t xml:space="preserve"> </w:t>
      </w:r>
      <w:r w:rsidR="00A3599B">
        <w:rPr>
          <w:lang w:val="en-US"/>
        </w:rPr>
        <w:t xml:space="preserve">was </w:t>
      </w:r>
      <w:r>
        <w:rPr>
          <w:lang w:val="en-US"/>
        </w:rPr>
        <w:t>on hold, pending submission of a revised dataset.</w:t>
      </w:r>
      <w:r w:rsidRPr="00D429B9">
        <w:t xml:space="preserve"> </w:t>
      </w:r>
      <w:r>
        <w:rPr>
          <w:rStyle w:val="FootnoteReference"/>
          <w:lang w:val="en-US"/>
        </w:rPr>
        <w:footnoteReference w:id="3"/>
      </w:r>
    </w:p>
    <w:p w14:paraId="43159278" w14:textId="3AA08626" w:rsidR="002C0D5B" w:rsidRDefault="005C5D63" w:rsidP="006933BF">
      <w:pPr>
        <w:rPr>
          <w:lang w:val="en-US"/>
        </w:rPr>
      </w:pPr>
      <w:r>
        <w:rPr>
          <w:lang w:val="en-US"/>
        </w:rPr>
        <w:t xml:space="preserve">Table </w:t>
      </w:r>
      <w:r w:rsidR="004A6342">
        <w:rPr>
          <w:lang w:val="en-US"/>
        </w:rPr>
        <w:t>2</w:t>
      </w:r>
      <w:r w:rsidR="002C0D5B" w:rsidRPr="00877930">
        <w:rPr>
          <w:lang w:val="en-US"/>
        </w:rPr>
        <w:t xml:space="preserve"> outlines the approved indications for the FDA, EMA and Health Canada and the proposed indication for Australia.</w:t>
      </w:r>
      <w:r w:rsidR="002C0D5B">
        <w:rPr>
          <w:lang w:val="en-US"/>
        </w:rPr>
        <w:t xml:space="preserve"> The application is under review in Canada, Switzerland and Singapore as part of this </w:t>
      </w:r>
      <w:r w:rsidR="002C0D5B" w:rsidRPr="00F80EBB">
        <w:rPr>
          <w:lang w:val="en-US"/>
        </w:rPr>
        <w:t>NASWSI</w:t>
      </w:r>
      <w:r w:rsidR="002C0D5B">
        <w:rPr>
          <w:lang w:val="en-US"/>
        </w:rPr>
        <w:t xml:space="preserve"> submission. An application is planned for the UK.</w:t>
      </w:r>
    </w:p>
    <w:p w14:paraId="19B9E0AC" w14:textId="75378FC8" w:rsidR="00324B33" w:rsidRDefault="00324B33" w:rsidP="006933BF">
      <w:pPr>
        <w:pStyle w:val="TableTitle"/>
      </w:pPr>
      <w:bookmarkStart w:id="24" w:name="_Ref99705479"/>
      <w:r>
        <w:lastRenderedPageBreak/>
        <w:t xml:space="preserve">Table </w:t>
      </w:r>
      <w:r w:rsidR="004027F4">
        <w:t>2</w:t>
      </w:r>
      <w:bookmarkEnd w:id="24"/>
      <w:r>
        <w:t>: International regulatory status</w:t>
      </w:r>
      <w:r w:rsidR="0074356E">
        <w:t xml:space="preserve"> </w:t>
      </w:r>
      <w:r w:rsidR="0074356E" w:rsidRPr="00995120">
        <w:t>at the time the TGA assessed this submission</w:t>
      </w:r>
    </w:p>
    <w:tbl>
      <w:tblPr>
        <w:tblStyle w:val="TableTGAblue2023"/>
        <w:tblW w:w="5000" w:type="pct"/>
        <w:tblLook w:val="04A0" w:firstRow="1" w:lastRow="0" w:firstColumn="1" w:lastColumn="0" w:noHBand="0" w:noVBand="1"/>
      </w:tblPr>
      <w:tblGrid>
        <w:gridCol w:w="1837"/>
        <w:gridCol w:w="1845"/>
        <w:gridCol w:w="2125"/>
        <w:gridCol w:w="3253"/>
      </w:tblGrid>
      <w:tr w:rsidR="00324B33" w:rsidRPr="00D01DDB" w14:paraId="405E5D78" w14:textId="16839333" w:rsidTr="006933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185B099B" w14:textId="60E6AB16" w:rsidR="00324B33" w:rsidRPr="00D01DDB" w:rsidRDefault="000A2632" w:rsidP="006933BF">
            <w:r>
              <w:t>TGA (proposed)</w:t>
            </w:r>
          </w:p>
        </w:tc>
        <w:tc>
          <w:tcPr>
            <w:tcW w:w="1018" w:type="pct"/>
          </w:tcPr>
          <w:p w14:paraId="778C35C7" w14:textId="4CBC501C" w:rsidR="00324B33" w:rsidRPr="00D01DDB" w:rsidRDefault="000A2632" w:rsidP="006933BF">
            <w:pPr>
              <w:cnfStyle w:val="100000000000" w:firstRow="1" w:lastRow="0" w:firstColumn="0" w:lastColumn="0" w:oddVBand="0" w:evenVBand="0" w:oddHBand="0" w:evenHBand="0" w:firstRowFirstColumn="0" w:firstRowLastColumn="0" w:lastRowFirstColumn="0" w:lastRowLastColumn="0"/>
            </w:pPr>
            <w:r>
              <w:t>FDA</w:t>
            </w:r>
          </w:p>
        </w:tc>
        <w:tc>
          <w:tcPr>
            <w:tcW w:w="1173" w:type="pct"/>
          </w:tcPr>
          <w:p w14:paraId="58F81584" w14:textId="13484DB5" w:rsidR="00324B33" w:rsidRPr="00D01DDB" w:rsidRDefault="000A2632" w:rsidP="006933BF">
            <w:pPr>
              <w:cnfStyle w:val="100000000000" w:firstRow="1" w:lastRow="0" w:firstColumn="0" w:lastColumn="0" w:oddVBand="0" w:evenVBand="0" w:oddHBand="0" w:evenHBand="0" w:firstRowFirstColumn="0" w:firstRowLastColumn="0" w:lastRowFirstColumn="0" w:lastRowLastColumn="0"/>
            </w:pPr>
            <w:r>
              <w:t>EMA</w:t>
            </w:r>
          </w:p>
        </w:tc>
        <w:tc>
          <w:tcPr>
            <w:tcW w:w="1795" w:type="pct"/>
          </w:tcPr>
          <w:p w14:paraId="50B2D435" w14:textId="7111C16D" w:rsidR="00324B33" w:rsidRPr="00D01DDB" w:rsidRDefault="000A2632" w:rsidP="006933BF">
            <w:pPr>
              <w:cnfStyle w:val="100000000000" w:firstRow="1" w:lastRow="0" w:firstColumn="0" w:lastColumn="0" w:oddVBand="0" w:evenVBand="0" w:oddHBand="0" w:evenHBand="0" w:firstRowFirstColumn="0" w:firstRowLastColumn="0" w:lastRowFirstColumn="0" w:lastRowLastColumn="0"/>
            </w:pPr>
            <w:r>
              <w:t xml:space="preserve">Health </w:t>
            </w:r>
            <w:r w:rsidR="00975888">
              <w:t>Canada (proposed)</w:t>
            </w:r>
          </w:p>
        </w:tc>
      </w:tr>
      <w:tr w:rsidR="000A2632" w:rsidRPr="00D01DDB" w14:paraId="38D24E86" w14:textId="77777777" w:rsidTr="006933BF">
        <w:tc>
          <w:tcPr>
            <w:cnfStyle w:val="001000000000" w:firstRow="0" w:lastRow="0" w:firstColumn="1" w:lastColumn="0" w:oddVBand="0" w:evenVBand="0" w:oddHBand="0" w:evenHBand="0" w:firstRowFirstColumn="0" w:firstRowLastColumn="0" w:lastRowFirstColumn="0" w:lastRowLastColumn="0"/>
            <w:tcW w:w="1014" w:type="pct"/>
          </w:tcPr>
          <w:p w14:paraId="4C540DE5" w14:textId="0E529712" w:rsidR="000A2632" w:rsidRPr="00D01DDB" w:rsidRDefault="000A2632" w:rsidP="006933BF">
            <w:proofErr w:type="spellStart"/>
            <w:r>
              <w:rPr>
                <w:lang w:val="en-US"/>
              </w:rPr>
              <w:t>E</w:t>
            </w:r>
            <w:r w:rsidR="002A11F3">
              <w:rPr>
                <w:lang w:val="en-US"/>
              </w:rPr>
              <w:t>nflonsia</w:t>
            </w:r>
            <w:proofErr w:type="spellEnd"/>
            <w:r>
              <w:rPr>
                <w:lang w:val="en-US"/>
              </w:rPr>
              <w:t xml:space="preserve"> is indicated </w:t>
            </w:r>
            <w:r w:rsidRPr="00E32BEF">
              <w:rPr>
                <w:lang w:val="en-US"/>
              </w:rPr>
              <w:t>for the prevention of respiratory syncytial virus (RSV) lower respiratory tract disease in neonates and infants who are born during or entering their first RSV season.</w:t>
            </w:r>
          </w:p>
        </w:tc>
        <w:tc>
          <w:tcPr>
            <w:tcW w:w="1018" w:type="pct"/>
          </w:tcPr>
          <w:p w14:paraId="4FA5DDA9" w14:textId="2E9FFE47" w:rsidR="000A2632" w:rsidRPr="00D01DDB" w:rsidRDefault="000A2632" w:rsidP="006933BF">
            <w:pPr>
              <w:cnfStyle w:val="000000000000" w:firstRow="0" w:lastRow="0" w:firstColumn="0" w:lastColumn="0" w:oddVBand="0" w:evenVBand="0" w:oddHBand="0" w:evenHBand="0" w:firstRowFirstColumn="0" w:firstRowLastColumn="0" w:lastRowFirstColumn="0" w:lastRowLastColumn="0"/>
            </w:pPr>
            <w:proofErr w:type="spellStart"/>
            <w:r w:rsidRPr="003311C0">
              <w:rPr>
                <w:lang w:val="en-US"/>
              </w:rPr>
              <w:t>E</w:t>
            </w:r>
            <w:r w:rsidR="002A11F3">
              <w:rPr>
                <w:lang w:val="en-US"/>
              </w:rPr>
              <w:t>nflonsia</w:t>
            </w:r>
            <w:proofErr w:type="spellEnd"/>
            <w:r w:rsidRPr="003311C0">
              <w:rPr>
                <w:lang w:val="en-US"/>
              </w:rPr>
              <w:t xml:space="preserve"> is indicated for the prevention of respiratory syncytial virus (RSV) lower respiratory tract</w:t>
            </w:r>
            <w:r>
              <w:rPr>
                <w:lang w:val="en-US"/>
              </w:rPr>
              <w:t xml:space="preserve"> </w:t>
            </w:r>
            <w:r w:rsidRPr="003311C0">
              <w:rPr>
                <w:lang w:val="en-US"/>
              </w:rPr>
              <w:t>disease in neonates and infants who are born during or entering their first RSV season.</w:t>
            </w:r>
          </w:p>
        </w:tc>
        <w:tc>
          <w:tcPr>
            <w:tcW w:w="1173" w:type="pct"/>
          </w:tcPr>
          <w:p w14:paraId="1B633E09" w14:textId="77777777" w:rsidR="000A2632" w:rsidRPr="0033237F" w:rsidRDefault="000A2632" w:rsidP="006933BF">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33237F">
              <w:rPr>
                <w:lang w:val="en-US"/>
              </w:rPr>
              <w:t>Enflonsia</w:t>
            </w:r>
            <w:proofErr w:type="spellEnd"/>
            <w:r w:rsidRPr="0033237F">
              <w:rPr>
                <w:lang w:val="en-US"/>
              </w:rPr>
              <w:t xml:space="preserve"> is indicated for the prevention of respiratory syncytial virus (RSV) lower respiratory tract</w:t>
            </w:r>
            <w:r>
              <w:rPr>
                <w:lang w:val="en-US"/>
              </w:rPr>
              <w:t xml:space="preserve"> </w:t>
            </w:r>
            <w:r w:rsidRPr="0033237F">
              <w:rPr>
                <w:lang w:val="en-US"/>
              </w:rPr>
              <w:t>disease in neonates and infants during their first RSV season.</w:t>
            </w:r>
          </w:p>
          <w:p w14:paraId="29358393" w14:textId="494F9944" w:rsidR="000A2632" w:rsidRPr="00D01DDB" w:rsidRDefault="000A2632" w:rsidP="006933BF">
            <w:pPr>
              <w:cnfStyle w:val="000000000000" w:firstRow="0" w:lastRow="0" w:firstColumn="0" w:lastColumn="0" w:oddVBand="0" w:evenVBand="0" w:oddHBand="0" w:evenHBand="0" w:firstRowFirstColumn="0" w:firstRowLastColumn="0" w:lastRowFirstColumn="0" w:lastRowLastColumn="0"/>
            </w:pPr>
            <w:proofErr w:type="spellStart"/>
            <w:r w:rsidRPr="0033237F">
              <w:rPr>
                <w:lang w:val="en-US"/>
              </w:rPr>
              <w:t>Enflonsia</w:t>
            </w:r>
            <w:proofErr w:type="spellEnd"/>
            <w:r w:rsidRPr="0033237F">
              <w:rPr>
                <w:lang w:val="en-US"/>
              </w:rPr>
              <w:t xml:space="preserve"> should be used in accordance with official recommendations.</w:t>
            </w:r>
          </w:p>
        </w:tc>
        <w:tc>
          <w:tcPr>
            <w:tcW w:w="1795" w:type="pct"/>
          </w:tcPr>
          <w:p w14:paraId="05055674" w14:textId="0664E667" w:rsidR="000A2632" w:rsidRPr="00D01DDB" w:rsidRDefault="000A2632" w:rsidP="006933BF">
            <w:pPr>
              <w:cnfStyle w:val="000000000000" w:firstRow="0" w:lastRow="0" w:firstColumn="0" w:lastColumn="0" w:oddVBand="0" w:evenVBand="0" w:oddHBand="0" w:evenHBand="0" w:firstRowFirstColumn="0" w:firstRowLastColumn="0" w:lastRowFirstColumn="0" w:lastRowLastColumn="0"/>
            </w:pPr>
            <w:proofErr w:type="spellStart"/>
            <w:r w:rsidRPr="00AD57E6">
              <w:rPr>
                <w:lang w:val="en-US"/>
              </w:rPr>
              <w:t>E</w:t>
            </w:r>
            <w:r w:rsidR="002A11F3">
              <w:rPr>
                <w:lang w:val="en-US"/>
              </w:rPr>
              <w:t>nflonsia</w:t>
            </w:r>
            <w:proofErr w:type="spellEnd"/>
            <w:r w:rsidRPr="00AD57E6">
              <w:rPr>
                <w:lang w:val="en-US"/>
              </w:rPr>
              <w:t>® (</w:t>
            </w:r>
            <w:proofErr w:type="spellStart"/>
            <w:r w:rsidRPr="00AD57E6">
              <w:rPr>
                <w:lang w:val="en-US"/>
              </w:rPr>
              <w:t>clesrovimab</w:t>
            </w:r>
            <w:proofErr w:type="spellEnd"/>
            <w:r w:rsidRPr="00AD57E6">
              <w:rPr>
                <w:lang w:val="en-US"/>
              </w:rPr>
              <w:t>) is indicated for the prevention of respiratory syncytial virus (RSV) lower respiratory tract disease in neonates and infants who are born during or entering their first RSV season.</w:t>
            </w:r>
          </w:p>
        </w:tc>
      </w:tr>
    </w:tbl>
    <w:p w14:paraId="6D92589C" w14:textId="09786CEF" w:rsidR="00324B33" w:rsidRDefault="00324B33" w:rsidP="006933BF">
      <w:pPr>
        <w:pStyle w:val="Heading2"/>
      </w:pPr>
      <w:bookmarkStart w:id="25" w:name="_Toc504480011"/>
      <w:bookmarkStart w:id="26" w:name="_Toc103679293"/>
      <w:bookmarkStart w:id="27" w:name="_Toc238033732"/>
      <w:r>
        <w:t>Registration timeline</w:t>
      </w:r>
      <w:bookmarkEnd w:id="25"/>
      <w:bookmarkEnd w:id="26"/>
      <w:bookmarkEnd w:id="27"/>
    </w:p>
    <w:p w14:paraId="225E3D87" w14:textId="1F3070CE" w:rsidR="00324B33" w:rsidRPr="00BD5DBD" w:rsidRDefault="00324B33" w:rsidP="00324B33">
      <w:pPr>
        <w:rPr>
          <w:szCs w:val="22"/>
        </w:rPr>
      </w:pPr>
      <w:r w:rsidRPr="00BD5DBD">
        <w:rPr>
          <w:szCs w:val="22"/>
        </w:rPr>
        <w:t>The following table captures the key steps and dates for this submission.</w:t>
      </w:r>
    </w:p>
    <w:p w14:paraId="44628C5F" w14:textId="222879E2" w:rsidR="00324B33" w:rsidRDefault="00324B33" w:rsidP="006933BF">
      <w:pPr>
        <w:pStyle w:val="TableTitle"/>
      </w:pPr>
      <w:r w:rsidRPr="002C1232">
        <w:t xml:space="preserve">Table </w:t>
      </w:r>
      <w:r w:rsidR="004027F4">
        <w:t>3:</w:t>
      </w:r>
      <w:r w:rsidRPr="002C1232">
        <w:t xml:space="preserve"> Timeline for Submission </w:t>
      </w:r>
      <w:r w:rsidR="00D3589C" w:rsidRPr="001B4CC3">
        <w:t>PM-2025-00512-1-2</w:t>
      </w:r>
    </w:p>
    <w:tbl>
      <w:tblPr>
        <w:tblStyle w:val="TableTGAblue2023"/>
        <w:tblW w:w="8642" w:type="dxa"/>
        <w:tblLook w:val="04A0" w:firstRow="1" w:lastRow="0" w:firstColumn="1" w:lastColumn="0" w:noHBand="0" w:noVBand="1"/>
      </w:tblPr>
      <w:tblGrid>
        <w:gridCol w:w="5665"/>
        <w:gridCol w:w="2977"/>
      </w:tblGrid>
      <w:tr w:rsidR="00324B33" w:rsidRPr="00D01DDB" w14:paraId="6C59BE9C" w14:textId="77777777" w:rsidTr="00700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6D80E78" w14:textId="3EC0CCAF" w:rsidR="00324B33" w:rsidRPr="00D01DDB" w:rsidRDefault="00324B33" w:rsidP="006933BF">
            <w:r w:rsidRPr="00D01DDB">
              <w:t>Description</w:t>
            </w:r>
          </w:p>
        </w:tc>
        <w:tc>
          <w:tcPr>
            <w:tcW w:w="2977" w:type="dxa"/>
          </w:tcPr>
          <w:p w14:paraId="79AFDC4B" w14:textId="05792035" w:rsidR="00324B33" w:rsidRPr="00D01DDB" w:rsidRDefault="00324B33" w:rsidP="006933BF">
            <w:pPr>
              <w:cnfStyle w:val="100000000000" w:firstRow="1" w:lastRow="0" w:firstColumn="0" w:lastColumn="0" w:oddVBand="0" w:evenVBand="0" w:oddHBand="0" w:evenHBand="0" w:firstRowFirstColumn="0" w:firstRowLastColumn="0" w:lastRowFirstColumn="0" w:lastRowLastColumn="0"/>
            </w:pPr>
            <w:r w:rsidRPr="00D01DDB">
              <w:t>Date</w:t>
            </w:r>
          </w:p>
        </w:tc>
      </w:tr>
      <w:tr w:rsidR="00324B33" w:rsidRPr="00325E12" w14:paraId="23610C53" w14:textId="77777777" w:rsidTr="007006AA">
        <w:tc>
          <w:tcPr>
            <w:cnfStyle w:val="001000000000" w:firstRow="0" w:lastRow="0" w:firstColumn="1" w:lastColumn="0" w:oddVBand="0" w:evenVBand="0" w:oddHBand="0" w:evenHBand="0" w:firstRowFirstColumn="0" w:firstRowLastColumn="0" w:lastRowFirstColumn="0" w:lastRowLastColumn="0"/>
            <w:tcW w:w="5665" w:type="dxa"/>
          </w:tcPr>
          <w:p w14:paraId="759D2A12" w14:textId="0D705F83" w:rsidR="00324B33" w:rsidRPr="00325E12" w:rsidRDefault="00324B33" w:rsidP="006933BF">
            <w:r w:rsidRPr="00325E12">
              <w:t>Submission dossier accepted and first round evaluation commenced</w:t>
            </w:r>
          </w:p>
        </w:tc>
        <w:tc>
          <w:tcPr>
            <w:tcW w:w="2977" w:type="dxa"/>
          </w:tcPr>
          <w:p w14:paraId="2963D9D8" w14:textId="719B9C94" w:rsidR="00324B33" w:rsidRPr="00325E12" w:rsidRDefault="0056273B" w:rsidP="006933BF">
            <w:pPr>
              <w:cnfStyle w:val="000000000000" w:firstRow="0" w:lastRow="0" w:firstColumn="0" w:lastColumn="0" w:oddVBand="0" w:evenVBand="0" w:oddHBand="0" w:evenHBand="0" w:firstRowFirstColumn="0" w:firstRowLastColumn="0" w:lastRowFirstColumn="0" w:lastRowLastColumn="0"/>
            </w:pPr>
            <w:r w:rsidRPr="00325E12">
              <w:t xml:space="preserve">28 </w:t>
            </w:r>
            <w:r w:rsidR="00C87543" w:rsidRPr="00325E12">
              <w:t>March 2025</w:t>
            </w:r>
          </w:p>
        </w:tc>
      </w:tr>
      <w:tr w:rsidR="00803926" w:rsidRPr="00325E12" w14:paraId="16D13F79" w14:textId="77777777" w:rsidTr="007006AA">
        <w:tc>
          <w:tcPr>
            <w:cnfStyle w:val="001000000000" w:firstRow="0" w:lastRow="0" w:firstColumn="1" w:lastColumn="0" w:oddVBand="0" w:evenVBand="0" w:oddHBand="0" w:evenHBand="0" w:firstRowFirstColumn="0" w:firstRowLastColumn="0" w:lastRowFirstColumn="0" w:lastRowLastColumn="0"/>
            <w:tcW w:w="5665" w:type="dxa"/>
          </w:tcPr>
          <w:p w14:paraId="6858B45A" w14:textId="615A218B" w:rsidR="00803926" w:rsidRPr="00325E12" w:rsidDel="00C62B1C" w:rsidRDefault="00803926" w:rsidP="006933BF">
            <w:r w:rsidRPr="00325E12">
              <w:t>Evaluation completed</w:t>
            </w:r>
            <w:r w:rsidR="005775D0" w:rsidRPr="00325E12">
              <w:t xml:space="preserve"> (End of round </w:t>
            </w:r>
            <w:r w:rsidR="00C00844" w:rsidRPr="00325E12">
              <w:t>2)</w:t>
            </w:r>
          </w:p>
        </w:tc>
        <w:tc>
          <w:tcPr>
            <w:tcW w:w="2977" w:type="dxa"/>
          </w:tcPr>
          <w:p w14:paraId="2E0BD403" w14:textId="71A85368" w:rsidR="00803926" w:rsidRPr="00325E12" w:rsidRDefault="004F546F" w:rsidP="006933BF">
            <w:pPr>
              <w:cnfStyle w:val="000000000000" w:firstRow="0" w:lastRow="0" w:firstColumn="0" w:lastColumn="0" w:oddVBand="0" w:evenVBand="0" w:oddHBand="0" w:evenHBand="0" w:firstRowFirstColumn="0" w:firstRowLastColumn="0" w:lastRowFirstColumn="0" w:lastRowLastColumn="0"/>
            </w:pPr>
            <w:r w:rsidRPr="00325E12">
              <w:t>25 July 2025</w:t>
            </w:r>
          </w:p>
        </w:tc>
      </w:tr>
      <w:tr w:rsidR="00324B33" w:rsidRPr="00325E12" w14:paraId="5754F7AC" w14:textId="77777777" w:rsidTr="007006AA">
        <w:tc>
          <w:tcPr>
            <w:cnfStyle w:val="001000000000" w:firstRow="0" w:lastRow="0" w:firstColumn="1" w:lastColumn="0" w:oddVBand="0" w:evenVBand="0" w:oddHBand="0" w:evenHBand="0" w:firstRowFirstColumn="0" w:firstRowLastColumn="0" w:lastRowFirstColumn="0" w:lastRowLastColumn="0"/>
            <w:tcW w:w="5665" w:type="dxa"/>
          </w:tcPr>
          <w:p w14:paraId="789DE187" w14:textId="438F4A68" w:rsidR="00324B33" w:rsidRPr="00325E12" w:rsidRDefault="00324B33" w:rsidP="006933BF">
            <w:r w:rsidRPr="00325E12">
              <w:t xml:space="preserve">Advisory </w:t>
            </w:r>
            <w:r w:rsidR="00F8568E" w:rsidRPr="00325E12">
              <w:t>c</w:t>
            </w:r>
            <w:r w:rsidRPr="00325E12">
              <w:t>ommittee meeting</w:t>
            </w:r>
          </w:p>
        </w:tc>
        <w:tc>
          <w:tcPr>
            <w:tcW w:w="2977" w:type="dxa"/>
          </w:tcPr>
          <w:p w14:paraId="5BE1EDE7" w14:textId="694F278E" w:rsidR="00324B33" w:rsidRPr="00325E12" w:rsidRDefault="003002AE" w:rsidP="006933BF">
            <w:pPr>
              <w:cnfStyle w:val="000000000000" w:firstRow="0" w:lastRow="0" w:firstColumn="0" w:lastColumn="0" w:oddVBand="0" w:evenVBand="0" w:oddHBand="0" w:evenHBand="0" w:firstRowFirstColumn="0" w:firstRowLastColumn="0" w:lastRowFirstColumn="0" w:lastRowLastColumn="0"/>
            </w:pPr>
            <w:r w:rsidRPr="00325E12">
              <w:t>5 February 2026</w:t>
            </w:r>
          </w:p>
        </w:tc>
      </w:tr>
      <w:tr w:rsidR="00324B33" w:rsidRPr="00325E12" w14:paraId="6E5D32FE" w14:textId="77777777" w:rsidTr="007006AA">
        <w:tc>
          <w:tcPr>
            <w:cnfStyle w:val="001000000000" w:firstRow="0" w:lastRow="0" w:firstColumn="1" w:lastColumn="0" w:oddVBand="0" w:evenVBand="0" w:oddHBand="0" w:evenHBand="0" w:firstRowFirstColumn="0" w:firstRowLastColumn="0" w:lastRowFirstColumn="0" w:lastRowLastColumn="0"/>
            <w:tcW w:w="5665" w:type="dxa"/>
          </w:tcPr>
          <w:p w14:paraId="4E95C44C" w14:textId="7A91C710" w:rsidR="00324B33" w:rsidRPr="00325E12" w:rsidRDefault="00324B33" w:rsidP="006933BF">
            <w:r w:rsidRPr="00325E12">
              <w:t>Registration decision (Outcome)</w:t>
            </w:r>
          </w:p>
        </w:tc>
        <w:tc>
          <w:tcPr>
            <w:tcW w:w="2977" w:type="dxa"/>
          </w:tcPr>
          <w:p w14:paraId="62987ABD" w14:textId="16103420" w:rsidR="00324B33" w:rsidRPr="00325E12" w:rsidRDefault="00325E12" w:rsidP="006933BF">
            <w:pPr>
              <w:cnfStyle w:val="000000000000" w:firstRow="0" w:lastRow="0" w:firstColumn="0" w:lastColumn="0" w:oddVBand="0" w:evenVBand="0" w:oddHBand="0" w:evenHBand="0" w:firstRowFirstColumn="0" w:firstRowLastColumn="0" w:lastRowFirstColumn="0" w:lastRowLastColumn="0"/>
            </w:pPr>
            <w:r w:rsidRPr="00325E12">
              <w:t>12 March 2026</w:t>
            </w:r>
          </w:p>
        </w:tc>
      </w:tr>
      <w:tr w:rsidR="00324B33" w:rsidRPr="00325E12" w14:paraId="6DDCDDA4" w14:textId="77777777" w:rsidTr="007006AA">
        <w:tc>
          <w:tcPr>
            <w:cnfStyle w:val="001000000000" w:firstRow="0" w:lastRow="0" w:firstColumn="1" w:lastColumn="0" w:oddVBand="0" w:evenVBand="0" w:oddHBand="0" w:evenHBand="0" w:firstRowFirstColumn="0" w:firstRowLastColumn="0" w:lastRowFirstColumn="0" w:lastRowLastColumn="0"/>
            <w:tcW w:w="5665" w:type="dxa"/>
          </w:tcPr>
          <w:p w14:paraId="192FD19D" w14:textId="11134458" w:rsidR="00324B33" w:rsidRPr="00325E12" w:rsidRDefault="00C00844" w:rsidP="006933BF">
            <w:r w:rsidRPr="00325E12">
              <w:t>R</w:t>
            </w:r>
            <w:r w:rsidR="0013132F" w:rsidRPr="00325E12">
              <w:t xml:space="preserve">egistration </w:t>
            </w:r>
            <w:r w:rsidR="005C4B46" w:rsidRPr="00325E12">
              <w:t xml:space="preserve">in </w:t>
            </w:r>
            <w:r w:rsidR="0013132F" w:rsidRPr="00325E12">
              <w:t xml:space="preserve">the </w:t>
            </w:r>
            <w:proofErr w:type="spellStart"/>
            <w:r w:rsidR="0013132F" w:rsidRPr="00325E12">
              <w:t>ARTG</w:t>
            </w:r>
            <w:proofErr w:type="spellEnd"/>
            <w:r w:rsidR="0013132F" w:rsidRPr="00325E12">
              <w:t xml:space="preserve"> completed</w:t>
            </w:r>
          </w:p>
        </w:tc>
        <w:tc>
          <w:tcPr>
            <w:tcW w:w="2977" w:type="dxa"/>
          </w:tcPr>
          <w:p w14:paraId="5A8923FD" w14:textId="72192E01" w:rsidR="00324B33" w:rsidRPr="00325E12" w:rsidRDefault="00325E12" w:rsidP="006933BF">
            <w:pPr>
              <w:cnfStyle w:val="000000000000" w:firstRow="0" w:lastRow="0" w:firstColumn="0" w:lastColumn="0" w:oddVBand="0" w:evenVBand="0" w:oddHBand="0" w:evenHBand="0" w:firstRowFirstColumn="0" w:firstRowLastColumn="0" w:lastRowFirstColumn="0" w:lastRowLastColumn="0"/>
            </w:pPr>
            <w:r w:rsidRPr="00325E12">
              <w:t>24 March 2026</w:t>
            </w:r>
          </w:p>
        </w:tc>
      </w:tr>
      <w:tr w:rsidR="00324B33" w:rsidRPr="00325E12" w14:paraId="56D922E2" w14:textId="77777777" w:rsidTr="007006AA">
        <w:tc>
          <w:tcPr>
            <w:cnfStyle w:val="001000000000" w:firstRow="0" w:lastRow="0" w:firstColumn="1" w:lastColumn="0" w:oddVBand="0" w:evenVBand="0" w:oddHBand="0" w:evenHBand="0" w:firstRowFirstColumn="0" w:firstRowLastColumn="0" w:lastRowFirstColumn="0" w:lastRowLastColumn="0"/>
            <w:tcW w:w="5665" w:type="dxa"/>
          </w:tcPr>
          <w:p w14:paraId="787FD8DD" w14:textId="0E0CF97F" w:rsidR="00324B33" w:rsidRPr="00325E12" w:rsidRDefault="00324B33" w:rsidP="006933BF">
            <w:r w:rsidRPr="00325E12">
              <w:t>Number of working days from submission dossier acceptance to registration decision*</w:t>
            </w:r>
          </w:p>
        </w:tc>
        <w:tc>
          <w:tcPr>
            <w:tcW w:w="2977" w:type="dxa"/>
          </w:tcPr>
          <w:p w14:paraId="5BAF9FA1" w14:textId="04C32AC3" w:rsidR="00324B33" w:rsidRPr="00325E12" w:rsidRDefault="00325E12" w:rsidP="006933BF">
            <w:pPr>
              <w:cnfStyle w:val="000000000000" w:firstRow="0" w:lastRow="0" w:firstColumn="0" w:lastColumn="0" w:oddVBand="0" w:evenVBand="0" w:oddHBand="0" w:evenHBand="0" w:firstRowFirstColumn="0" w:firstRowLastColumn="0" w:lastRowFirstColumn="0" w:lastRowLastColumn="0"/>
            </w:pPr>
            <w:r>
              <w:t>171 days</w:t>
            </w:r>
          </w:p>
        </w:tc>
      </w:tr>
    </w:tbl>
    <w:p w14:paraId="7B02554C" w14:textId="77777777" w:rsidR="00433318" w:rsidRDefault="00433318" w:rsidP="006933BF">
      <w:pPr>
        <w:pStyle w:val="TableDescription"/>
      </w:pPr>
      <w:r w:rsidRPr="00325E12">
        <w:t>*Statutory timeframe for standard submissions is 255 working days</w:t>
      </w:r>
    </w:p>
    <w:p w14:paraId="220925F1" w14:textId="1826D874" w:rsidR="00C22214" w:rsidRPr="00792A32" w:rsidRDefault="00083763" w:rsidP="00C22214">
      <w:pPr>
        <w:pStyle w:val="Heading2"/>
      </w:pPr>
      <w:bookmarkStart w:id="28" w:name="_Toc196046504"/>
      <w:bookmarkStart w:id="29" w:name="_Toc247691527"/>
      <w:bookmarkStart w:id="30" w:name="_Toc314842510"/>
      <w:bookmarkStart w:id="31" w:name="_Toc103679294"/>
      <w:bookmarkStart w:id="32" w:name="_Toc238033733"/>
      <w:r>
        <w:t xml:space="preserve">Assessment </w:t>
      </w:r>
      <w:r w:rsidR="00C22214" w:rsidRPr="00006FAB">
        <w:t>overview</w:t>
      </w:r>
      <w:bookmarkEnd w:id="28"/>
      <w:bookmarkEnd w:id="29"/>
      <w:bookmarkEnd w:id="30"/>
      <w:bookmarkEnd w:id="31"/>
      <w:bookmarkEnd w:id="32"/>
    </w:p>
    <w:p w14:paraId="540151FC" w14:textId="57FDBB7C" w:rsidR="00C22214" w:rsidRPr="00BD5DBD" w:rsidRDefault="00C22214" w:rsidP="006933BF">
      <w:bookmarkStart w:id="33" w:name="_Toc247691528"/>
      <w:bookmarkStart w:id="34" w:name="_Toc314842511"/>
      <w:r w:rsidRPr="00BD5DBD">
        <w:t xml:space="preserve">A summary of the assessment </w:t>
      </w:r>
      <w:r w:rsidR="00567957">
        <w:t>of</w:t>
      </w:r>
      <w:r w:rsidRPr="00BD5DBD">
        <w:t xml:space="preserve"> this submission is provided below.</w:t>
      </w:r>
    </w:p>
    <w:p w14:paraId="37F5A1C0" w14:textId="566CB932" w:rsidR="00C22214" w:rsidRPr="006933BF" w:rsidRDefault="00095C6A" w:rsidP="006933BF">
      <w:pPr>
        <w:pStyle w:val="Heading3"/>
      </w:pPr>
      <w:bookmarkStart w:id="35" w:name="_Toc103679295"/>
      <w:bookmarkStart w:id="36" w:name="_Toc238033734"/>
      <w:r w:rsidRPr="006933BF">
        <w:t>Q</w:t>
      </w:r>
      <w:r w:rsidR="00C22214" w:rsidRPr="006933BF">
        <w:t>uality</w:t>
      </w:r>
      <w:bookmarkEnd w:id="33"/>
      <w:bookmarkEnd w:id="34"/>
      <w:bookmarkEnd w:id="35"/>
      <w:r w:rsidR="007E6443" w:rsidRPr="006933BF">
        <w:t xml:space="preserve"> </w:t>
      </w:r>
      <w:r w:rsidR="00905CCB" w:rsidRPr="006933BF">
        <w:t>and manufacturing summary</w:t>
      </w:r>
      <w:bookmarkEnd w:id="36"/>
    </w:p>
    <w:p w14:paraId="57A91BAD" w14:textId="749DBD64" w:rsidR="009A1E17" w:rsidRPr="00A662C4" w:rsidRDefault="009A1E17" w:rsidP="006933BF">
      <w:pPr>
        <w:rPr>
          <w:lang w:val="en-US"/>
        </w:rPr>
      </w:pPr>
      <w:r w:rsidRPr="009A1E17">
        <w:rPr>
          <w:lang w:val="en-US"/>
        </w:rPr>
        <w:t>The quality and manufacturing evaluation was undertaken by the TGA.</w:t>
      </w:r>
    </w:p>
    <w:p w14:paraId="47AAC717" w14:textId="38D968ED" w:rsidR="00C4038B" w:rsidRPr="006933BF" w:rsidRDefault="00C4038B" w:rsidP="00644145">
      <w:pPr>
        <w:pStyle w:val="Heading4"/>
      </w:pPr>
      <w:bookmarkStart w:id="37" w:name="_Toc238033735"/>
      <w:r w:rsidRPr="006933BF">
        <w:lastRenderedPageBreak/>
        <w:t>General information</w:t>
      </w:r>
      <w:bookmarkEnd w:id="37"/>
    </w:p>
    <w:p w14:paraId="77076175" w14:textId="3C48D6FE" w:rsidR="00C4038B" w:rsidRPr="0083272C" w:rsidRDefault="00C4038B" w:rsidP="001F5B1D">
      <w:r w:rsidRPr="0083272C">
        <w:t xml:space="preserve">The finished product is presented as solution for </w:t>
      </w:r>
      <w:r w:rsidR="005E41BD">
        <w:t>intramuscular</w:t>
      </w:r>
      <w:r w:rsidR="005E41BD" w:rsidRPr="0083272C">
        <w:t xml:space="preserve"> </w:t>
      </w:r>
      <w:r w:rsidRPr="0083272C">
        <w:t>administration containing</w:t>
      </w:r>
      <w:r w:rsidR="00567957">
        <w:br/>
      </w:r>
      <w:r w:rsidRPr="0083272C">
        <w:rPr>
          <w:szCs w:val="22"/>
        </w:rPr>
        <w:t>105 mg</w:t>
      </w:r>
      <w:r w:rsidRPr="0083272C">
        <w:t xml:space="preserve"> /</w:t>
      </w:r>
      <w:r w:rsidR="00BD1443">
        <w:t xml:space="preserve"> </w:t>
      </w:r>
      <w:r w:rsidR="005E41BD">
        <w:t>pre</w:t>
      </w:r>
      <w:r w:rsidR="00EF2BDE">
        <w:t>-</w:t>
      </w:r>
      <w:r w:rsidR="005E41BD">
        <w:t>filled syringe</w:t>
      </w:r>
      <w:r w:rsidR="005E41BD" w:rsidRPr="0083272C">
        <w:t xml:space="preserve"> </w:t>
      </w:r>
      <w:r w:rsidRPr="0083272C">
        <w:t xml:space="preserve">of </w:t>
      </w:r>
      <w:proofErr w:type="spellStart"/>
      <w:r w:rsidRPr="0083272C">
        <w:rPr>
          <w:szCs w:val="22"/>
        </w:rPr>
        <w:t>clesrovimab</w:t>
      </w:r>
      <w:proofErr w:type="spellEnd"/>
      <w:r w:rsidRPr="0083272C">
        <w:t xml:space="preserve"> as active substance. </w:t>
      </w:r>
      <w:proofErr w:type="spellStart"/>
      <w:r w:rsidRPr="0083272C">
        <w:t>Clesrovimab</w:t>
      </w:r>
      <w:proofErr w:type="spellEnd"/>
      <w:r w:rsidRPr="0083272C">
        <w:t xml:space="preserve"> </w:t>
      </w:r>
      <w:r w:rsidR="00E10B34">
        <w:t>drug product (D</w:t>
      </w:r>
      <w:r w:rsidRPr="0083272C">
        <w:t>P</w:t>
      </w:r>
      <w:r w:rsidR="00E10B34">
        <w:t>)</w:t>
      </w:r>
      <w:r w:rsidRPr="0083272C">
        <w:t xml:space="preserve"> is a sterile liquid formulation</w:t>
      </w:r>
      <w:r w:rsidR="005E41BD">
        <w:t xml:space="preserve"> supplied in a pre</w:t>
      </w:r>
      <w:r w:rsidR="006448B3">
        <w:t>-</w:t>
      </w:r>
      <w:r w:rsidR="005E41BD">
        <w:t>filled syringe</w:t>
      </w:r>
      <w:r w:rsidRPr="0083272C">
        <w:t xml:space="preserve">. Each syringe contains 0.7 mL of a 150 mg/mL </w:t>
      </w:r>
      <w:proofErr w:type="spellStart"/>
      <w:r w:rsidRPr="0083272C">
        <w:t>clesrovimab</w:t>
      </w:r>
      <w:proofErr w:type="spellEnd"/>
      <w:r w:rsidRPr="0083272C">
        <w:t xml:space="preserve"> solution for injection, delivering a total of 105 mg of protein per syringe. The primary container closure system is a 1.5 mL pre-filled Type 1 glass syringe with a plunger stopper</w:t>
      </w:r>
      <w:r>
        <w:t xml:space="preserve">. </w:t>
      </w:r>
      <w:r w:rsidRPr="0083272C">
        <w:t>Other ingredients are Sucrose, L-arginine hydrochloride, L-histidine monohydrochloride monohydrate, L-histidine, Polysorbate 80 and water for injection.</w:t>
      </w:r>
    </w:p>
    <w:p w14:paraId="390F0DD8" w14:textId="5EED81DF" w:rsidR="002D38E4" w:rsidRPr="006933BF" w:rsidRDefault="002D38E4" w:rsidP="006933BF">
      <w:pPr>
        <w:pStyle w:val="Heading4"/>
      </w:pPr>
      <w:bookmarkStart w:id="38" w:name="_Toc238033736"/>
      <w:r w:rsidRPr="006933BF">
        <w:t>Active substance</w:t>
      </w:r>
      <w:bookmarkEnd w:id="38"/>
    </w:p>
    <w:p w14:paraId="5876D804" w14:textId="437DC721" w:rsidR="00EC2F8B" w:rsidRDefault="00EC2F8B" w:rsidP="00644145">
      <w:proofErr w:type="spellStart"/>
      <w:r w:rsidRPr="00896D8C">
        <w:rPr>
          <w:lang w:val="en-GB"/>
        </w:rPr>
        <w:t>Clesrovimab</w:t>
      </w:r>
      <w:proofErr w:type="spellEnd"/>
      <w:r w:rsidRPr="00896D8C">
        <w:rPr>
          <w:lang w:val="en-GB"/>
        </w:rPr>
        <w:t xml:space="preserve"> is a fully </w:t>
      </w:r>
      <w:r w:rsidR="00691BF0">
        <w:rPr>
          <w:lang w:val="en-GB"/>
        </w:rPr>
        <w:t xml:space="preserve">human </w:t>
      </w:r>
      <w:r w:rsidRPr="00896D8C">
        <w:t xml:space="preserve">IgG1/kappa isotype </w:t>
      </w:r>
      <w:r w:rsidRPr="00896D8C">
        <w:rPr>
          <w:lang w:val="en-GB"/>
        </w:rPr>
        <w:t xml:space="preserve">monoclonal antibody, expressed in CHO cells, designed to neutralise RSV by blocking viral/host cell fusion. The </w:t>
      </w:r>
      <w:proofErr w:type="spellStart"/>
      <w:r w:rsidRPr="00896D8C">
        <w:rPr>
          <w:lang w:val="en-GB"/>
        </w:rPr>
        <w:t>mAb</w:t>
      </w:r>
      <w:proofErr w:type="spellEnd"/>
      <w:r w:rsidRPr="00896D8C">
        <w:rPr>
          <w:lang w:val="en-GB"/>
        </w:rPr>
        <w:t xml:space="preserve"> structure comprises two identical heavy and two identical light chains, linked by inter-chain disulfide bonds. The antibody features a YTE substitution in the Fc region for improved half-life and contains 32 cysteine residues, forming 4 interchain and 12 intrachain disulfide linkages. </w:t>
      </w:r>
    </w:p>
    <w:p w14:paraId="31BD505D" w14:textId="1BA605E7" w:rsidR="00EC2F8B" w:rsidRPr="001D029D" w:rsidRDefault="00EC2F8B" w:rsidP="00553481">
      <w:bookmarkStart w:id="39" w:name="Figure_2_Schematic_Structural_Representa"/>
      <w:bookmarkEnd w:id="39"/>
      <w:r w:rsidRPr="001D029D">
        <w:t xml:space="preserve">The purification process has been described in sufficient detail, providing lists of process parameters and their acceptance criteria, for each step. </w:t>
      </w:r>
    </w:p>
    <w:p w14:paraId="46C0BF66" w14:textId="4A2CDA74" w:rsidR="00EC2F8B" w:rsidRPr="006B2FBC" w:rsidRDefault="00EC2F8B" w:rsidP="00553481">
      <w:proofErr w:type="spellStart"/>
      <w:r w:rsidRPr="006B2FBC">
        <w:t>Clesrovimab</w:t>
      </w:r>
      <w:proofErr w:type="spellEnd"/>
      <w:r w:rsidRPr="006B2FBC">
        <w:t xml:space="preserve"> active substance is stored in bags</w:t>
      </w:r>
      <w:r w:rsidR="006062C9">
        <w:t>.</w:t>
      </w:r>
      <w:r w:rsidRPr="006B2FBC">
        <w:t xml:space="preserve"> Details and specifications of the bags, compatibility of the container</w:t>
      </w:r>
      <w:r w:rsidR="00976153">
        <w:t>,</w:t>
      </w:r>
      <w:r w:rsidRPr="006B2FBC">
        <w:t xml:space="preserve"> and a summary of an extractable and leachable study </w:t>
      </w:r>
      <w:r w:rsidR="00E54B7F">
        <w:t>were</w:t>
      </w:r>
      <w:r w:rsidR="00E54B7F" w:rsidRPr="006B2FBC">
        <w:t xml:space="preserve"> </w:t>
      </w:r>
      <w:r w:rsidRPr="006B2FBC">
        <w:t xml:space="preserve">presented and concluded that the risk for patients due to substances leaching into </w:t>
      </w:r>
      <w:proofErr w:type="spellStart"/>
      <w:r w:rsidRPr="006B2FBC">
        <w:t>clesrovimab</w:t>
      </w:r>
      <w:proofErr w:type="spellEnd"/>
      <w:r w:rsidRPr="006B2FBC">
        <w:t xml:space="preserve"> active substance is negligible.</w:t>
      </w:r>
    </w:p>
    <w:p w14:paraId="6B7B8E0F" w14:textId="1730A575" w:rsidR="00EC2F8B" w:rsidRPr="006B2FBC" w:rsidRDefault="00EC2F8B" w:rsidP="00644145">
      <w:r w:rsidRPr="006B2FBC">
        <w:t>The overall quality of the active substance was demonstrated via adequate control of the starting material, control of critical steps and intermediates, process validation, extensive characterisation using orthogonal and state-of-the-art analytical methods, control of impurities and contaminants, generation of robust reference materials and batch analyses that covered multiple manufacturing campaigns.</w:t>
      </w:r>
    </w:p>
    <w:p w14:paraId="3E80D4D5" w14:textId="028636D7" w:rsidR="00EC2F8B" w:rsidRPr="00644145" w:rsidRDefault="00EC2F8B" w:rsidP="00EF7C3B">
      <w:pPr>
        <w:pStyle w:val="Heading4"/>
      </w:pPr>
      <w:bookmarkStart w:id="40" w:name="_Toc238033737"/>
      <w:r w:rsidRPr="00EF7C3B">
        <w:t xml:space="preserve">Specification </w:t>
      </w:r>
      <w:r w:rsidR="0023290B" w:rsidRPr="00EF7C3B">
        <w:t>and</w:t>
      </w:r>
      <w:r w:rsidRPr="00EF7C3B">
        <w:t xml:space="preserve"> </w:t>
      </w:r>
      <w:r w:rsidR="0023290B" w:rsidRPr="00EF7C3B">
        <w:t>s</w:t>
      </w:r>
      <w:r w:rsidRPr="00EF7C3B">
        <w:t>tability</w:t>
      </w:r>
      <w:bookmarkEnd w:id="40"/>
    </w:p>
    <w:p w14:paraId="6F71C71E" w14:textId="1CC49D65" w:rsidR="00EC2F8B" w:rsidRPr="008A5E4E" w:rsidRDefault="00EC2F8B" w:rsidP="00644145">
      <w:proofErr w:type="spellStart"/>
      <w:r>
        <w:t>C</w:t>
      </w:r>
      <w:r w:rsidRPr="008A5E4E">
        <w:t>lesrovimab</w:t>
      </w:r>
      <w:proofErr w:type="spellEnd"/>
      <w:r w:rsidRPr="008A5E4E">
        <w:t xml:space="preserve"> quality control testing for batch release includes appearance</w:t>
      </w:r>
      <w:r w:rsidR="00C35459">
        <w:t xml:space="preserve">, </w:t>
      </w:r>
      <w:r w:rsidRPr="008A5E4E">
        <w:t>purity, identity, quantity, potency, process-related impurities and endotoxins/bioburden (Ph. Eur.). The proposed release specification for the active substance is found acceptable, with respect to test methods chosen. The proposed specification limits are based on batch analysis and stability study results. This approach is considered acceptable.</w:t>
      </w:r>
    </w:p>
    <w:p w14:paraId="14158FA5" w14:textId="4ACFDEEE" w:rsidR="0008628A" w:rsidRPr="0008628A" w:rsidRDefault="0008628A" w:rsidP="00644145">
      <w:r w:rsidRPr="0008628A">
        <w:t>Stability data have been generated under real time and stressed conditions to characterise the stability profile of the active ingredient and to establish a shelf life. The real time data submitted support</w:t>
      </w:r>
      <w:r w:rsidR="00A70FD2">
        <w:t xml:space="preserve"> </w:t>
      </w:r>
      <w:r w:rsidR="00A379A5">
        <w:t>the proposed</w:t>
      </w:r>
      <w:r w:rsidRPr="0008628A">
        <w:t xml:space="preserve"> shelf life.</w:t>
      </w:r>
    </w:p>
    <w:p w14:paraId="0A2742BE" w14:textId="45E13C51" w:rsidR="00EC2F8B" w:rsidRPr="00644145" w:rsidRDefault="00EC2F8B" w:rsidP="00644145">
      <w:pPr>
        <w:pStyle w:val="Heading3"/>
      </w:pPr>
      <w:bookmarkStart w:id="41" w:name="_Toc68181005"/>
      <w:bookmarkStart w:id="42" w:name="_Toc215827111"/>
      <w:bookmarkStart w:id="43" w:name="_Toc238033738"/>
      <w:r w:rsidRPr="00644145">
        <w:t xml:space="preserve">Finished </w:t>
      </w:r>
      <w:r w:rsidR="0023290B" w:rsidRPr="00644145">
        <w:t>p</w:t>
      </w:r>
      <w:r w:rsidRPr="00644145">
        <w:t>roduct</w:t>
      </w:r>
      <w:bookmarkEnd w:id="41"/>
      <w:bookmarkEnd w:id="42"/>
      <w:bookmarkEnd w:id="43"/>
    </w:p>
    <w:p w14:paraId="1F382243" w14:textId="623AEB34" w:rsidR="00EC2F8B" w:rsidRPr="00644145" w:rsidRDefault="00EC2F8B" w:rsidP="00644145">
      <w:pPr>
        <w:pStyle w:val="Heading4"/>
      </w:pPr>
      <w:bookmarkStart w:id="44" w:name="_Toc238033739"/>
      <w:r w:rsidRPr="00A379A5">
        <w:t>Formulation and manufacture</w:t>
      </w:r>
      <w:bookmarkEnd w:id="44"/>
    </w:p>
    <w:p w14:paraId="080B0FCA" w14:textId="1976DAFF" w:rsidR="008E5B2A" w:rsidRDefault="00EC2F8B" w:rsidP="00644145">
      <w:proofErr w:type="spellStart"/>
      <w:r w:rsidRPr="00DC424C">
        <w:t>Clesrovimab</w:t>
      </w:r>
      <w:proofErr w:type="spellEnd"/>
      <w:r w:rsidRPr="00DC424C">
        <w:t xml:space="preserve"> </w:t>
      </w:r>
      <w:r w:rsidR="00622BB6">
        <w:t>(</w:t>
      </w:r>
      <w:r w:rsidRPr="00DC424C">
        <w:t>finished product</w:t>
      </w:r>
      <w:r w:rsidR="00622BB6">
        <w:t xml:space="preserve"> </w:t>
      </w:r>
      <w:proofErr w:type="spellStart"/>
      <w:r w:rsidR="00622BB6">
        <w:t>Enflonsia</w:t>
      </w:r>
      <w:proofErr w:type="spellEnd"/>
      <w:r w:rsidR="00622BB6">
        <w:t xml:space="preserve">) </w:t>
      </w:r>
      <w:r w:rsidRPr="00DC424C">
        <w:t>is a solution for injection presented at the concentration of 150 mg/</w:t>
      </w:r>
      <w:proofErr w:type="spellStart"/>
      <w:r w:rsidRPr="00DC424C">
        <w:t>mL.</w:t>
      </w:r>
      <w:proofErr w:type="spellEnd"/>
      <w:r w:rsidRPr="00DC424C">
        <w:t xml:space="preserve">  Each syringe contains 0.7 mL of a 150 mg/mL </w:t>
      </w:r>
      <w:proofErr w:type="spellStart"/>
      <w:r w:rsidRPr="00DC424C">
        <w:t>clesrovimab</w:t>
      </w:r>
      <w:proofErr w:type="spellEnd"/>
      <w:r w:rsidRPr="00DC424C">
        <w:t xml:space="preserve"> solution for injection, delivering a total of 105 mg of protein per syringe.</w:t>
      </w:r>
    </w:p>
    <w:p w14:paraId="4787377E" w14:textId="6D409752" w:rsidR="00EC2F8B" w:rsidRDefault="00EC2F8B" w:rsidP="00644145">
      <w:r w:rsidRPr="00DC424C">
        <w:t xml:space="preserve">The product is available in a </w:t>
      </w:r>
      <w:r w:rsidR="009D17B8">
        <w:t>pre-filled syringe</w:t>
      </w:r>
      <w:r w:rsidR="009D17B8" w:rsidRPr="00DC424C">
        <w:t xml:space="preserve"> </w:t>
      </w:r>
      <w:r w:rsidRPr="00DC424C">
        <w:t xml:space="preserve">(Type 1 glass syringe) with a plunger stopper. One </w:t>
      </w:r>
      <w:r w:rsidR="00834A2D">
        <w:t>pre-filled syringe</w:t>
      </w:r>
      <w:r w:rsidR="00834A2D" w:rsidRPr="00DC424C">
        <w:t xml:space="preserve"> </w:t>
      </w:r>
      <w:r w:rsidRPr="00DC424C">
        <w:t xml:space="preserve">of 0.7 mL contains 105 mg of </w:t>
      </w:r>
      <w:proofErr w:type="spellStart"/>
      <w:r w:rsidRPr="00DC424C">
        <w:t>clesrovimab</w:t>
      </w:r>
      <w:proofErr w:type="spellEnd"/>
      <w:r w:rsidRPr="00DC424C">
        <w:t xml:space="preserve">, </w:t>
      </w:r>
      <w:r w:rsidR="00263DEB">
        <w:t>s</w:t>
      </w:r>
      <w:r w:rsidRPr="00DC424C">
        <w:t xml:space="preserve">ucrose, L-arginine </w:t>
      </w:r>
      <w:r w:rsidRPr="00DC424C">
        <w:lastRenderedPageBreak/>
        <w:t>hydrochloride, L-histidine monohydrochloride monohydrate, L-histidine, Polysorbate 80 in a preservative-free solution pH 5.5-6.5. The formulation development has been adequately described and the final formulation intended for marketing was used in the phase III clinical trials.</w:t>
      </w:r>
    </w:p>
    <w:p w14:paraId="3032A238" w14:textId="0717CB47" w:rsidR="00EC2F8B" w:rsidRDefault="00EC2F8B" w:rsidP="00644145">
      <w:r w:rsidRPr="001D332E">
        <w:t>All excipients are well known pharmaceutical ingredients</w:t>
      </w:r>
      <w:r>
        <w:t>,</w:t>
      </w:r>
      <w:r w:rsidRPr="001D332E">
        <w:t xml:space="preserve"> and their quality is compliant with </w:t>
      </w:r>
      <w:r w:rsidR="00414B92" w:rsidRPr="00414B92">
        <w:t>European Pharmacopoeia</w:t>
      </w:r>
      <w:r w:rsidR="00414B92">
        <w:t>/U</w:t>
      </w:r>
      <w:r w:rsidRPr="001D332E">
        <w:t>SP standards. There are/are no novel excipients used in the finished product formulation. The container closure is considered suitable for its intended use as demonstrated by compatibility and stability studies.</w:t>
      </w:r>
    </w:p>
    <w:p w14:paraId="69910DAD" w14:textId="7400A3DE" w:rsidR="00EC2F8B" w:rsidRDefault="00EC2F8B" w:rsidP="00644145">
      <w:r w:rsidRPr="002369A4">
        <w:t>The description of the manufacturing process has been provided in sufficient detail. To ensure that the finished product meets high quality standards, its manufacturing process was developed with defined manufacturing procedures, process validations, in-process parameters, batch analyses of multiple manufacturing campaigns. These were assessed and considered satisfactory.</w:t>
      </w:r>
    </w:p>
    <w:p w14:paraId="6AEE7D20" w14:textId="757E3F20" w:rsidR="00EC2F8B" w:rsidRDefault="00EC2F8B" w:rsidP="00644145">
      <w:r w:rsidRPr="002369A4">
        <w:t>All analytical methods used for testing of the finished product are satisfactorily described in the dossier and non-compendial methods have been validated.</w:t>
      </w:r>
    </w:p>
    <w:p w14:paraId="657643E6" w14:textId="7AFFC2B1" w:rsidR="00EC2F8B" w:rsidRPr="00A379A5" w:rsidRDefault="00EC2F8B" w:rsidP="00644145">
      <w:pPr>
        <w:pStyle w:val="Heading5"/>
      </w:pPr>
      <w:r w:rsidRPr="00A379A5">
        <w:t xml:space="preserve">Specification </w:t>
      </w:r>
      <w:r w:rsidR="00BA755E" w:rsidRPr="00A379A5">
        <w:t>and s</w:t>
      </w:r>
      <w:r w:rsidRPr="00A379A5">
        <w:t>tability</w:t>
      </w:r>
    </w:p>
    <w:p w14:paraId="0517AA45" w14:textId="0D49294E" w:rsidR="00EC2F8B" w:rsidRPr="00522ADF" w:rsidRDefault="00EC2F8B" w:rsidP="00644145">
      <w:r w:rsidRPr="00522ADF">
        <w:t>The finished product Quality Control for batch release includes identity, potency, purity, impurities, sterility, bacterial endotoxin and several other general tests</w:t>
      </w:r>
      <w:r w:rsidR="002A11F3">
        <w:t xml:space="preserve"> (</w:t>
      </w:r>
      <w:r w:rsidR="002A11F3" w:rsidRPr="002A11F3">
        <w:t>European Pharmacopoeia</w:t>
      </w:r>
      <w:r w:rsidR="002A11F3">
        <w:t>).</w:t>
      </w:r>
    </w:p>
    <w:p w14:paraId="77EBD921" w14:textId="0445B848" w:rsidR="00EC2F8B" w:rsidRDefault="00EC2F8B" w:rsidP="00644145">
      <w:r w:rsidRPr="00522ADF">
        <w:t xml:space="preserve">Stability data have been generated under stressed and real time conditions to characterise the stability profile of the product.  Following evaluation, the recommended storage condition is 3 years when stored at </w:t>
      </w:r>
      <w:r w:rsidR="00327352">
        <w:t>2</w:t>
      </w:r>
      <w:r w:rsidR="00327352" w:rsidRPr="00522ADF">
        <w:rPr>
          <w:vertAlign w:val="superscript"/>
        </w:rPr>
        <w:t>o</w:t>
      </w:r>
      <w:r w:rsidR="00327352" w:rsidRPr="00522ADF">
        <w:t>C</w:t>
      </w:r>
      <w:r w:rsidR="00327352">
        <w:t xml:space="preserve"> - 8</w:t>
      </w:r>
      <w:r w:rsidRPr="00522ADF">
        <w:rPr>
          <w:vertAlign w:val="superscript"/>
        </w:rPr>
        <w:t>o</w:t>
      </w:r>
      <w:r w:rsidRPr="00522ADF">
        <w:t>C.</w:t>
      </w:r>
    </w:p>
    <w:p w14:paraId="44E542CB" w14:textId="19F3F19A" w:rsidR="00EC2F8B" w:rsidRDefault="00EC2F8B" w:rsidP="00644145">
      <w:r w:rsidRPr="00522ADF">
        <w:t>No in-use stability</w:t>
      </w:r>
      <w:r w:rsidR="00D915D4">
        <w:t xml:space="preserve"> data</w:t>
      </w:r>
      <w:r w:rsidRPr="00522ADF">
        <w:t xml:space="preserve"> have been submitted.</w:t>
      </w:r>
    </w:p>
    <w:p w14:paraId="78B7F3FA" w14:textId="77777777" w:rsidR="004A14C3" w:rsidRDefault="00EC2F8B" w:rsidP="00644145">
      <w:r w:rsidRPr="007749EE">
        <w:t>The storage recommendations</w:t>
      </w:r>
      <w:r w:rsidR="004A14C3">
        <w:t>:</w:t>
      </w:r>
    </w:p>
    <w:p w14:paraId="7C1C62F3" w14:textId="1818566B" w:rsidR="00EC2F8B" w:rsidRPr="007749EE" w:rsidRDefault="00EC2F8B" w:rsidP="00644145">
      <w:pPr>
        <w:ind w:left="720"/>
      </w:pPr>
      <w:r w:rsidRPr="007749EE">
        <w:t>Protect from Light, Do Not Freeze, and Do Not Shake</w:t>
      </w:r>
      <w:r>
        <w:t xml:space="preserve"> - </w:t>
      </w:r>
      <w:r w:rsidRPr="007749EE">
        <w:t xml:space="preserve">are justified and essential for maintaining product quality. </w:t>
      </w:r>
      <w:r w:rsidRPr="00BA755E">
        <w:rPr>
          <w:i/>
          <w:iCs/>
        </w:rPr>
        <w:t>ENFLONSIA</w:t>
      </w:r>
      <w:r w:rsidRPr="007749EE">
        <w:t xml:space="preserve"> DP may be kept at room temperature (20°C to 25°C; 68°F to 77°F) for a maximum of 48 hours. After removal from refrigeration, </w:t>
      </w:r>
      <w:r w:rsidRPr="00BA755E">
        <w:rPr>
          <w:i/>
          <w:iCs/>
        </w:rPr>
        <w:t>ENFLONSIA</w:t>
      </w:r>
      <w:r w:rsidRPr="007749EE">
        <w:t xml:space="preserve"> must be used within 48 hours or discarded. Stability studies supporting these recommendations have been conducted in accordance with relevant ICH guidelines.</w:t>
      </w:r>
    </w:p>
    <w:p w14:paraId="5321BA81" w14:textId="77777777" w:rsidR="00EC2F8B" w:rsidRPr="009A7AC8" w:rsidRDefault="00EC2F8B" w:rsidP="00644145">
      <w:r w:rsidRPr="009A7AC8">
        <w:t>The product is not photostable.</w:t>
      </w:r>
    </w:p>
    <w:p w14:paraId="325EFE30" w14:textId="6F2A654E" w:rsidR="00EC2F8B" w:rsidRPr="00644145" w:rsidRDefault="00EC2F8B" w:rsidP="00644145">
      <w:pPr>
        <w:rPr>
          <w:b/>
          <w:bCs/>
        </w:rPr>
      </w:pPr>
      <w:r w:rsidRPr="00644145">
        <w:rPr>
          <w:b/>
          <w:bCs/>
        </w:rPr>
        <w:t>Storage/</w:t>
      </w:r>
      <w:r w:rsidR="00BA755E" w:rsidRPr="00644145">
        <w:rPr>
          <w:b/>
          <w:bCs/>
        </w:rPr>
        <w:t>shelf-life</w:t>
      </w:r>
      <w:r w:rsidRPr="00644145">
        <w:rPr>
          <w:b/>
          <w:bCs/>
        </w:rPr>
        <w:t xml:space="preserve"> details on the labels:</w:t>
      </w:r>
    </w:p>
    <w:p w14:paraId="014A4644" w14:textId="77777777" w:rsidR="00EC2F8B" w:rsidRPr="001F48AA" w:rsidRDefault="00EC2F8B" w:rsidP="00644145">
      <w:r w:rsidRPr="00FA5EC1">
        <w:t>Store at 2°C to 8°C. (Refrigerate. DO NOT FREEZE.) Protect from light. Do not shake</w:t>
      </w:r>
      <w:r>
        <w:t>.</w:t>
      </w:r>
    </w:p>
    <w:p w14:paraId="1976557A" w14:textId="77777777" w:rsidR="00EC2F8B" w:rsidRDefault="00EC2F8B" w:rsidP="00EC2F8B">
      <w:pPr>
        <w:spacing w:after="0" w:line="240" w:lineRule="auto"/>
        <w:rPr>
          <w:b/>
        </w:rPr>
      </w:pPr>
    </w:p>
    <w:p w14:paraId="6BB9FAB1" w14:textId="4C2462EE" w:rsidR="00EC2F8B" w:rsidRPr="00644145" w:rsidRDefault="00EC2F8B" w:rsidP="00644145">
      <w:pPr>
        <w:rPr>
          <w:b/>
          <w:bCs/>
        </w:rPr>
      </w:pPr>
      <w:r w:rsidRPr="00644145">
        <w:rPr>
          <w:b/>
          <w:bCs/>
        </w:rPr>
        <w:t>Storage/</w:t>
      </w:r>
      <w:r w:rsidR="00BA755E" w:rsidRPr="00644145">
        <w:rPr>
          <w:b/>
          <w:bCs/>
        </w:rPr>
        <w:t>shelf-life</w:t>
      </w:r>
      <w:r w:rsidRPr="00644145">
        <w:rPr>
          <w:b/>
          <w:bCs/>
        </w:rPr>
        <w:t xml:space="preserve"> details in the PI:</w:t>
      </w:r>
    </w:p>
    <w:p w14:paraId="58D347AE" w14:textId="77777777" w:rsidR="00EC2F8B" w:rsidRDefault="00EC2F8B" w:rsidP="00644145">
      <w:r>
        <w:t>Store refrigerated at 2°C to 8°C.</w:t>
      </w:r>
    </w:p>
    <w:p w14:paraId="3C71CBAF" w14:textId="6EFF30D6" w:rsidR="00EC2F8B" w:rsidRDefault="00EC2F8B" w:rsidP="00644145">
      <w:r>
        <w:t>Do not freeze.</w:t>
      </w:r>
    </w:p>
    <w:p w14:paraId="749FBA82" w14:textId="77777777" w:rsidR="00EC2F8B" w:rsidRDefault="00EC2F8B" w:rsidP="00644145">
      <w:r>
        <w:t>Do not shake.</w:t>
      </w:r>
    </w:p>
    <w:p w14:paraId="2EC30770" w14:textId="77777777" w:rsidR="00EC2F8B" w:rsidRDefault="00EC2F8B" w:rsidP="00644145">
      <w:r>
        <w:t>Keep the prefilled syringe in the original carton to protect from light until time of use.</w:t>
      </w:r>
    </w:p>
    <w:p w14:paraId="295F45DA" w14:textId="4F01646C" w:rsidR="00FF3856" w:rsidRDefault="00EC2F8B" w:rsidP="00644145">
      <w:r>
        <w:t>ENFLONSIA may be kept at room temperature between 20°C to 25°C (68°F to 77°F) for a maximum of 48 hours. After removal from the refrigerator, ENFLONSIA must be used within 48 hours or discarded.</w:t>
      </w:r>
    </w:p>
    <w:p w14:paraId="2B828D6D" w14:textId="7DE6E98D" w:rsidR="00EC2F8B" w:rsidRPr="009A7AC8" w:rsidRDefault="00EC2F8B" w:rsidP="00644145">
      <w:r w:rsidRPr="009A7AC8">
        <w:lastRenderedPageBreak/>
        <w:t>Storage conditions</w:t>
      </w:r>
      <w:r w:rsidR="009A7AC8" w:rsidRPr="009A7AC8">
        <w:t xml:space="preserve"> and the recommended shelf life</w:t>
      </w:r>
      <w:r w:rsidRPr="009A7AC8">
        <w:t xml:space="preserve"> in the PI, ARTG and on labels are consistent throughout.</w:t>
      </w:r>
    </w:p>
    <w:p w14:paraId="35732FA7" w14:textId="77777777" w:rsidR="00EC2F8B" w:rsidRPr="005F60E6" w:rsidRDefault="00EC2F8B" w:rsidP="00FF0371">
      <w:pPr>
        <w:pStyle w:val="Heading5"/>
      </w:pPr>
      <w:bookmarkStart w:id="45" w:name="_Toc68181007"/>
      <w:bookmarkStart w:id="46" w:name="_Toc215827113"/>
      <w:r w:rsidRPr="00FF0371">
        <w:t>Conclusions on the chemical, pharmaceutical and biological aspects</w:t>
      </w:r>
      <w:bookmarkEnd w:id="45"/>
      <w:bookmarkEnd w:id="46"/>
    </w:p>
    <w:p w14:paraId="1EF7E725" w14:textId="4A8FF640" w:rsidR="00EC2F8B" w:rsidRDefault="00EC2F8B" w:rsidP="00FF0371">
      <w:r>
        <w:t xml:space="preserve">The quality of this product </w:t>
      </w:r>
      <w:proofErr w:type="gramStart"/>
      <w:r>
        <w:t>is considered to be</w:t>
      </w:r>
      <w:proofErr w:type="gramEnd"/>
      <w:r>
        <w:t xml:space="preserve"> acceptable when used in accordance with the conditions defined in the product information (PI), labels, consumer medicines information and the Australian Register of Therapeutic Goods (ARTG). Physicochemical and biological aspects relevant to the uniform clinical performance of the product have been investigated and are controlled in a satisfactory way. Information on development, manufacture and control of the active substance and finished product has been presented in a satisfactory manner. The results of tests carried out indicate consistency and uniformity of important product quality characteristics, and these in turn lead to the conclusion that the product should have a satisfactory and uniform performance in clinical use. From quality perspective, compliance with Therapeutic Goods Legislations (TG Act/Regs) and relevant TG Orders as well as consistency with relevant guidelines and the </w:t>
      </w:r>
      <w:proofErr w:type="spellStart"/>
      <w:r>
        <w:t>ARGPM</w:t>
      </w:r>
      <w:proofErr w:type="spellEnd"/>
      <w:r>
        <w:t xml:space="preserve"> has been demonstrated.</w:t>
      </w:r>
    </w:p>
    <w:p w14:paraId="63FE3AA6" w14:textId="45085994" w:rsidR="0017291F" w:rsidRPr="00173FD6" w:rsidRDefault="0017291F" w:rsidP="00FF0371">
      <w:r>
        <w:t>The TGA module 3 evaluator concluded that t</w:t>
      </w:r>
      <w:r w:rsidRPr="00173FD6">
        <w:t xml:space="preserve">here were no objections on quality grounds to the approval of </w:t>
      </w:r>
      <w:proofErr w:type="spellStart"/>
      <w:r w:rsidR="00675F9A">
        <w:t>Enflonsia</w:t>
      </w:r>
      <w:proofErr w:type="spellEnd"/>
      <w:r w:rsidRPr="00173FD6">
        <w:t xml:space="preserve"> </w:t>
      </w:r>
      <w:proofErr w:type="spellStart"/>
      <w:r w:rsidRPr="00173FD6">
        <w:t>clesrovimab</w:t>
      </w:r>
      <w:proofErr w:type="spellEnd"/>
      <w:r w:rsidRPr="00173FD6">
        <w:t xml:space="preserve"> 105 mg/0.7 mL solution for injection, pre-filled syringe</w:t>
      </w:r>
      <w:r>
        <w:t>.</w:t>
      </w:r>
    </w:p>
    <w:p w14:paraId="2BE90AAE" w14:textId="2EEFCEF4" w:rsidR="00C22214" w:rsidRPr="00047615" w:rsidRDefault="00C22214" w:rsidP="00FF0371">
      <w:pPr>
        <w:pStyle w:val="Heading3"/>
      </w:pPr>
      <w:bookmarkStart w:id="47" w:name="_Toc314842512"/>
      <w:bookmarkStart w:id="48" w:name="_Toc103679296"/>
      <w:bookmarkStart w:id="49" w:name="_Toc238033740"/>
      <w:r>
        <w:t>Nonclinical</w:t>
      </w:r>
      <w:bookmarkEnd w:id="47"/>
      <w:bookmarkEnd w:id="48"/>
      <w:r w:rsidR="007E6443">
        <w:t xml:space="preserve"> evaluation</w:t>
      </w:r>
      <w:r w:rsidR="00095C6A">
        <w:t xml:space="preserve"> summary</w:t>
      </w:r>
      <w:bookmarkEnd w:id="49"/>
    </w:p>
    <w:p w14:paraId="1D9126A3" w14:textId="77777777" w:rsidR="00D72A43" w:rsidRDefault="00373798" w:rsidP="00FF0371">
      <w:r>
        <w:t>Evaluation of the non-clinical data for this application was completed by HSA Singapore.</w:t>
      </w:r>
      <w:r w:rsidRPr="00777F53">
        <w:t xml:space="preserve"> </w:t>
      </w:r>
    </w:p>
    <w:p w14:paraId="1C23E16E" w14:textId="7D27D348" w:rsidR="00EC06FA" w:rsidRDefault="00373798" w:rsidP="00FF0371">
      <w:r>
        <w:t xml:space="preserve">The TGA </w:t>
      </w:r>
      <w:r w:rsidR="005B2F7B">
        <w:t xml:space="preserve">non-clinical </w:t>
      </w:r>
      <w:r w:rsidRPr="00777F53">
        <w:t xml:space="preserve">evaluation </w:t>
      </w:r>
      <w:r w:rsidR="00F62098">
        <w:t>summary</w:t>
      </w:r>
      <w:r w:rsidRPr="00777F53">
        <w:t xml:space="preserve"> was based on the HSA review</w:t>
      </w:r>
      <w:r w:rsidR="00F62098">
        <w:t xml:space="preserve"> and is presented below</w:t>
      </w:r>
      <w:r>
        <w:t>.</w:t>
      </w:r>
    </w:p>
    <w:p w14:paraId="05F1FC95" w14:textId="46FABCA5" w:rsidR="00373798" w:rsidRDefault="00373798" w:rsidP="00FF0371">
      <w:r>
        <w:t>The TGA non-clinical evaluator highlighted that:</w:t>
      </w:r>
    </w:p>
    <w:p w14:paraId="2F739FF8" w14:textId="77777777" w:rsidR="00373798" w:rsidRDefault="00373798" w:rsidP="00FF0371">
      <w:pPr>
        <w:pStyle w:val="ListBullet"/>
      </w:pPr>
      <w:proofErr w:type="spellStart"/>
      <w:r w:rsidRPr="00B27162">
        <w:t>Clesrovimab</w:t>
      </w:r>
      <w:proofErr w:type="spellEnd"/>
      <w:r w:rsidRPr="00B27162">
        <w:t xml:space="preserve"> (also known as MK-1654) is a fully human immunoglobulin G1 (IgG1) monoclonal antibody (</w:t>
      </w:r>
      <w:proofErr w:type="spellStart"/>
      <w:r w:rsidRPr="00B27162">
        <w:t>mAb</w:t>
      </w:r>
      <w:proofErr w:type="spellEnd"/>
      <w:r w:rsidRPr="00B27162">
        <w:t>), with a triple amino acid substitution (YTE: M252Y/S254T/T256E) in the Fc region to increase serum half-life.</w:t>
      </w:r>
    </w:p>
    <w:p w14:paraId="01CCBDA5" w14:textId="77777777" w:rsidR="00373798" w:rsidRDefault="00373798" w:rsidP="00FF0371">
      <w:pPr>
        <w:pStyle w:val="ListBullet"/>
      </w:pPr>
      <w:r w:rsidRPr="00FE2BD9">
        <w:t>The drug product contains no novel excipients.</w:t>
      </w:r>
    </w:p>
    <w:p w14:paraId="26942089" w14:textId="7A372004" w:rsidR="00373798" w:rsidRDefault="00373798" w:rsidP="00B61614">
      <w:pPr>
        <w:pStyle w:val="ListBullet"/>
      </w:pPr>
      <w:r w:rsidRPr="00070E1B">
        <w:t xml:space="preserve">The submitted </w:t>
      </w:r>
      <w:r w:rsidR="009D5986">
        <w:t>nonclinical</w:t>
      </w:r>
      <w:r w:rsidRPr="00070E1B">
        <w:t xml:space="preserve"> dossier was in accordance with the relevant </w:t>
      </w:r>
      <w:hyperlink r:id="rId25" w:history="1">
        <w:r w:rsidR="00C4021E" w:rsidRPr="00C4021E">
          <w:rPr>
            <w:rStyle w:val="Hyperlink"/>
          </w:rPr>
          <w:t>ICH S6 (R1) Preclinical safety evaluation of biotechnology-derived pharmaceuticals - Scientific guideline | European Medicines Agency (EMA)</w:t>
        </w:r>
      </w:hyperlink>
      <w:r w:rsidR="00C4021E">
        <w:t xml:space="preserve">. </w:t>
      </w:r>
      <w:r w:rsidRPr="00070E1B">
        <w:t>The overall quality of the nonclinical dossier was high. All pivotal safety-related studies were GLP compliant, and studies not GLP-compliant or only partially GLP compliant were of adequate quality to rely upon.</w:t>
      </w:r>
    </w:p>
    <w:p w14:paraId="1BB0E717" w14:textId="77777777" w:rsidR="00373798" w:rsidRDefault="00373798" w:rsidP="00B61614">
      <w:pPr>
        <w:pStyle w:val="ListBullet"/>
      </w:pPr>
      <w:r>
        <w:t xml:space="preserve">Regarding the pharmacokinetics, the non-clinical evaluator noted that </w:t>
      </w:r>
      <w:proofErr w:type="spellStart"/>
      <w:r w:rsidRPr="00922A11">
        <w:t>clesrovimab</w:t>
      </w:r>
      <w:proofErr w:type="spellEnd"/>
      <w:r w:rsidRPr="00922A11">
        <w:t xml:space="preserve"> displayed a pharmacokinetic profile typical of a monoclonal antibody in animals and humans, characterised by a long plasma half-life (32-38 days in monkeys and 44 days in humans).</w:t>
      </w:r>
    </w:p>
    <w:p w14:paraId="6693D683" w14:textId="60A4D877" w:rsidR="00992BD7" w:rsidRDefault="00373798" w:rsidP="00FF0371">
      <w:pPr>
        <w:pStyle w:val="ListBullet"/>
      </w:pPr>
      <w:r>
        <w:t>Regarding the potential for drug-drug interactions</w:t>
      </w:r>
      <w:r w:rsidR="00992BD7">
        <w:t>:</w:t>
      </w:r>
    </w:p>
    <w:p w14:paraId="6C9E1420" w14:textId="4B3D4461" w:rsidR="00373798" w:rsidRDefault="00373798" w:rsidP="00FF0371">
      <w:pPr>
        <w:ind w:left="360"/>
      </w:pPr>
      <w:r>
        <w:t>‘</w:t>
      </w:r>
      <w:proofErr w:type="spellStart"/>
      <w:proofErr w:type="gramStart"/>
      <w:r>
        <w:t>c</w:t>
      </w:r>
      <w:r w:rsidRPr="00D54459">
        <w:t>lesrovimab</w:t>
      </w:r>
      <w:proofErr w:type="spellEnd"/>
      <w:proofErr w:type="gramEnd"/>
      <w:r w:rsidRPr="00D54459">
        <w:t xml:space="preserve"> is a highly specific </w:t>
      </w:r>
      <w:proofErr w:type="spellStart"/>
      <w:r w:rsidRPr="00D54459">
        <w:t>mAb</w:t>
      </w:r>
      <w:proofErr w:type="spellEnd"/>
      <w:r w:rsidRPr="00D54459">
        <w:t xml:space="preserve"> that targets an exogenous antigen (RSV F glycoprotein). It is not expected to impact expression levels of metabolic enzymes or affect the PK of concomitantly administered medications. Studies assessing drug-drug interaction potential were not performed and it </w:t>
      </w:r>
      <w:proofErr w:type="gramStart"/>
      <w:r w:rsidRPr="00D54459">
        <w:t>was considered to be</w:t>
      </w:r>
      <w:proofErr w:type="gramEnd"/>
      <w:r w:rsidRPr="00D54459">
        <w:t xml:space="preserve"> acceptable.</w:t>
      </w:r>
      <w:r>
        <w:t>’</w:t>
      </w:r>
    </w:p>
    <w:p w14:paraId="0777075D" w14:textId="77777777" w:rsidR="00373798" w:rsidRDefault="00373798" w:rsidP="00FF0371">
      <w:r>
        <w:t>It was concluded that:</w:t>
      </w:r>
    </w:p>
    <w:p w14:paraId="7C623873" w14:textId="13B65A2F" w:rsidR="00373798" w:rsidRDefault="00B4473E" w:rsidP="00B61614">
      <w:pPr>
        <w:pStyle w:val="ListBullet"/>
      </w:pPr>
      <w:r>
        <w:t>The nonclinical data</w:t>
      </w:r>
      <w:r w:rsidR="00373798" w:rsidRPr="00B571FC">
        <w:t xml:space="preserve"> contained no major deficiencies</w:t>
      </w:r>
      <w:r w:rsidR="002D15A9">
        <w:t>.</w:t>
      </w:r>
    </w:p>
    <w:p w14:paraId="5F1C806C" w14:textId="5833CE65" w:rsidR="00373798" w:rsidRDefault="00373798" w:rsidP="00B61614">
      <w:pPr>
        <w:pStyle w:val="ListBullet"/>
      </w:pPr>
      <w:r>
        <w:t xml:space="preserve">The submitted primary pharmacology studies offer support for the utility of </w:t>
      </w:r>
      <w:proofErr w:type="spellStart"/>
      <w:r>
        <w:t>clesrovimab</w:t>
      </w:r>
      <w:proofErr w:type="spellEnd"/>
      <w:r>
        <w:t xml:space="preserve"> in the proposed indication.</w:t>
      </w:r>
    </w:p>
    <w:p w14:paraId="637797C2" w14:textId="4F0EAAB7" w:rsidR="00373798" w:rsidRDefault="00373798" w:rsidP="00B61614">
      <w:pPr>
        <w:pStyle w:val="ListBullet"/>
      </w:pPr>
      <w:r>
        <w:lastRenderedPageBreak/>
        <w:t>No clinically relevant hazards were identified in secondary pharmacodynamic and repeat-dose toxicity studies.</w:t>
      </w:r>
    </w:p>
    <w:p w14:paraId="7E05D639" w14:textId="24BA33FC" w:rsidR="00373798" w:rsidRDefault="00373798" w:rsidP="00B61614">
      <w:pPr>
        <w:pStyle w:val="ListBullet"/>
      </w:pPr>
      <w:r>
        <w:t xml:space="preserve">There were no nonclinical objections to registration of </w:t>
      </w:r>
      <w:proofErr w:type="spellStart"/>
      <w:r>
        <w:t>E</w:t>
      </w:r>
      <w:r w:rsidR="00B4473E">
        <w:t>nflonsia</w:t>
      </w:r>
      <w:proofErr w:type="spellEnd"/>
      <w:r>
        <w:t xml:space="preserve"> for the proposed indication.</w:t>
      </w:r>
    </w:p>
    <w:p w14:paraId="35B580A5" w14:textId="4DB97ED4" w:rsidR="00C22214" w:rsidRDefault="00C22214" w:rsidP="00B61614">
      <w:pPr>
        <w:pStyle w:val="Heading3"/>
      </w:pPr>
      <w:bookmarkStart w:id="50" w:name="_Toc247691530"/>
      <w:bookmarkStart w:id="51" w:name="_Toc314842513"/>
      <w:bookmarkStart w:id="52" w:name="_Toc103679297"/>
      <w:bookmarkStart w:id="53" w:name="_Toc238033741"/>
      <w:r>
        <w:t>Clinical</w:t>
      </w:r>
      <w:bookmarkEnd w:id="50"/>
      <w:bookmarkEnd w:id="51"/>
      <w:bookmarkEnd w:id="52"/>
      <w:r w:rsidR="00095C6A">
        <w:t xml:space="preserve"> evaluation summary</w:t>
      </w:r>
      <w:bookmarkEnd w:id="53"/>
    </w:p>
    <w:p w14:paraId="19E132CD" w14:textId="4A6B384B" w:rsidR="00317858" w:rsidRDefault="00D268A4" w:rsidP="00B61614">
      <w:pPr>
        <w:rPr>
          <w:lang w:val="en-US"/>
        </w:rPr>
      </w:pPr>
      <w:r w:rsidRPr="00B902A7">
        <w:rPr>
          <w:lang w:val="en-US"/>
        </w:rPr>
        <w:t>The clinical evaluation was undertaken by Health Canada and Swissmedic.</w:t>
      </w:r>
    </w:p>
    <w:p w14:paraId="71874B19" w14:textId="0FC9005F" w:rsidR="00D343E5" w:rsidRPr="00D268A4" w:rsidRDefault="00D343E5" w:rsidP="00B61614">
      <w:r w:rsidRPr="00B902A7">
        <w:rPr>
          <w:lang w:val="en-US"/>
        </w:rPr>
        <w:t xml:space="preserve">The </w:t>
      </w:r>
      <w:r w:rsidR="00966686" w:rsidRPr="00B902A7">
        <w:rPr>
          <w:lang w:val="en-US"/>
        </w:rPr>
        <w:t xml:space="preserve">TGA’s </w:t>
      </w:r>
      <w:r w:rsidR="002E74FF" w:rsidRPr="00B902A7">
        <w:rPr>
          <w:lang w:val="en-US"/>
        </w:rPr>
        <w:t xml:space="preserve">clinical evaluation is based on </w:t>
      </w:r>
      <w:r w:rsidR="00024372">
        <w:rPr>
          <w:lang w:val="en-US"/>
        </w:rPr>
        <w:t xml:space="preserve">evaluation reports by </w:t>
      </w:r>
      <w:r w:rsidR="007B079C" w:rsidRPr="00B902A7">
        <w:rPr>
          <w:lang w:val="en-US"/>
        </w:rPr>
        <w:t>Health Canada</w:t>
      </w:r>
      <w:r w:rsidR="00172829">
        <w:rPr>
          <w:rStyle w:val="FootnoteReference"/>
          <w:lang w:val="en-US"/>
        </w:rPr>
        <w:footnoteReference w:id="4"/>
      </w:r>
      <w:r w:rsidR="007B079C" w:rsidRPr="00B902A7">
        <w:rPr>
          <w:lang w:val="en-US"/>
        </w:rPr>
        <w:t xml:space="preserve"> </w:t>
      </w:r>
      <w:r w:rsidR="00966686" w:rsidRPr="00B902A7">
        <w:rPr>
          <w:lang w:val="en-US"/>
        </w:rPr>
        <w:t>and Swissmedic</w:t>
      </w:r>
      <w:r w:rsidR="00B54AE2">
        <w:rPr>
          <w:rStyle w:val="FootnoteReference"/>
          <w:lang w:val="en-US"/>
        </w:rPr>
        <w:footnoteReference w:id="5"/>
      </w:r>
      <w:r w:rsidR="00024372">
        <w:rPr>
          <w:lang w:val="en-US"/>
        </w:rPr>
        <w:t>, with relevant excerpts</w:t>
      </w:r>
      <w:r w:rsidR="00AD5872">
        <w:rPr>
          <w:lang w:val="en-US"/>
        </w:rPr>
        <w:t xml:space="preserve"> included in the following sections.</w:t>
      </w:r>
    </w:p>
    <w:p w14:paraId="32B0DEDA" w14:textId="77777777" w:rsidR="00C22214" w:rsidRDefault="00C22214" w:rsidP="00B61614">
      <w:pPr>
        <w:pStyle w:val="Heading4"/>
      </w:pPr>
      <w:bookmarkStart w:id="54" w:name="_Toc98931928"/>
      <w:bookmarkStart w:id="55" w:name="_Toc238033742"/>
      <w:r>
        <w:t>Summary of clinical studies</w:t>
      </w:r>
      <w:bookmarkEnd w:id="54"/>
      <w:bookmarkEnd w:id="55"/>
    </w:p>
    <w:p w14:paraId="3ADB5D78" w14:textId="77777777" w:rsidR="00CD65D9" w:rsidRPr="003B0DB1" w:rsidRDefault="00CD65D9" w:rsidP="00B61614">
      <w:r w:rsidRPr="00354EE5">
        <w:t xml:space="preserve">The </w:t>
      </w:r>
      <w:proofErr w:type="spellStart"/>
      <w:r w:rsidRPr="00354EE5">
        <w:t>clesrovimab</w:t>
      </w:r>
      <w:proofErr w:type="spellEnd"/>
      <w:r w:rsidRPr="00354EE5">
        <w:t xml:space="preserve"> clinical program supporting the marketing application include</w:t>
      </w:r>
      <w:r>
        <w:t>d:</w:t>
      </w:r>
    </w:p>
    <w:p w14:paraId="0C9D905A" w14:textId="03314770" w:rsidR="00CD65D9" w:rsidRDefault="00A339BB" w:rsidP="00B61614">
      <w:pPr>
        <w:pStyle w:val="ListBullet"/>
      </w:pPr>
      <w:r>
        <w:t>three</w:t>
      </w:r>
      <w:r w:rsidR="00CD65D9">
        <w:t xml:space="preserve"> Phase 1 studies – MK-1654-001 and MK-1654-003 in healthy adults only</w:t>
      </w:r>
      <w:r w:rsidR="00D57BE8">
        <w:t>, and</w:t>
      </w:r>
      <w:r w:rsidR="00D57BE8">
        <w:br/>
      </w:r>
      <w:r w:rsidR="00CD65D9">
        <w:t xml:space="preserve">MK-1654-008 in healthy </w:t>
      </w:r>
      <w:r w:rsidR="0030146B">
        <w:t>Chinese population (</w:t>
      </w:r>
      <w:r w:rsidR="00CD65D9">
        <w:t>adults, children, and infants</w:t>
      </w:r>
      <w:r w:rsidR="0030146B">
        <w:t>)</w:t>
      </w:r>
    </w:p>
    <w:p w14:paraId="13B77250" w14:textId="3D940C43" w:rsidR="00CD65D9" w:rsidRDefault="00A339BB" w:rsidP="00B61614">
      <w:pPr>
        <w:pStyle w:val="ListBullet"/>
      </w:pPr>
      <w:r>
        <w:t>one</w:t>
      </w:r>
      <w:r w:rsidR="00CD65D9">
        <w:t xml:space="preserve"> Phase 1b/2a study – MK-1654-002 in healthy preterm and full-term infants</w:t>
      </w:r>
    </w:p>
    <w:p w14:paraId="7FA92194" w14:textId="51F0D4CB" w:rsidR="00CD65D9" w:rsidRDefault="00A339BB" w:rsidP="00A339BB">
      <w:pPr>
        <w:pStyle w:val="ListBullet"/>
      </w:pPr>
      <w:r>
        <w:t>one</w:t>
      </w:r>
      <w:r w:rsidR="00CD65D9">
        <w:t xml:space="preserve"> Phase 2b/3 study –</w:t>
      </w:r>
      <w:r w:rsidR="00CD65D9" w:rsidRPr="00AD4CD1">
        <w:t xml:space="preserve"> MK-1654-004 </w:t>
      </w:r>
      <w:r w:rsidR="00CD65D9">
        <w:t>in healthy preterm and full-term infants</w:t>
      </w:r>
    </w:p>
    <w:p w14:paraId="167A25A7" w14:textId="0015F57D" w:rsidR="00CD65D9" w:rsidRDefault="00A339BB" w:rsidP="00B61614">
      <w:pPr>
        <w:pStyle w:val="ListBullet"/>
      </w:pPr>
      <w:r>
        <w:t>one</w:t>
      </w:r>
      <w:r w:rsidR="00CD65D9">
        <w:t xml:space="preserve"> Phase 3 study – MK-1654-007 in infants and children at increased risk for severe RSV disease.</w:t>
      </w:r>
    </w:p>
    <w:p w14:paraId="7EFA035A" w14:textId="77777777" w:rsidR="00CD65D9" w:rsidRPr="003B0DB1" w:rsidRDefault="00CD65D9" w:rsidP="00B61614">
      <w:r>
        <w:t xml:space="preserve">Interim results were submitted for the phase 3 study </w:t>
      </w:r>
      <w:r w:rsidRPr="00E8711E">
        <w:t>MK-1654-007</w:t>
      </w:r>
      <w:r>
        <w:t xml:space="preserve">. A final study report for study </w:t>
      </w:r>
      <w:r w:rsidRPr="00192C34">
        <w:t>MK-1654-004</w:t>
      </w:r>
      <w:r>
        <w:t xml:space="preserve"> was submitted as part of the dossier to the TGA.</w:t>
      </w:r>
    </w:p>
    <w:p w14:paraId="585F940C" w14:textId="66D55988" w:rsidR="00CD65D9" w:rsidRPr="006019AB" w:rsidRDefault="00CD65D9" w:rsidP="00B61614">
      <w:pPr>
        <w:pStyle w:val="Heading5"/>
        <w:rPr>
          <w:rFonts w:eastAsia="Cambria"/>
        </w:rPr>
      </w:pPr>
      <w:r w:rsidRPr="006019AB">
        <w:t>Pharmacology</w:t>
      </w:r>
      <w:r w:rsidRPr="006019AB">
        <w:rPr>
          <w:color w:val="7295D2" w:themeColor="accent1" w:themeTint="BF"/>
        </w:rPr>
        <w:t xml:space="preserve"> </w:t>
      </w:r>
      <w:r w:rsidR="006D0518" w:rsidRPr="006019AB">
        <w:rPr>
          <w:rFonts w:eastAsia="Cambria"/>
        </w:rPr>
        <w:t>summary</w:t>
      </w:r>
    </w:p>
    <w:p w14:paraId="1BCC7D3E" w14:textId="67E3FF34" w:rsidR="008F6636" w:rsidRPr="00B902A7" w:rsidRDefault="00136ACF" w:rsidP="00B61614">
      <w:r w:rsidRPr="00B902A7">
        <w:t xml:space="preserve">Assessment of the clinical pharmacology </w:t>
      </w:r>
      <w:r w:rsidR="008F6636" w:rsidRPr="00B902A7">
        <w:t xml:space="preserve">data for this application was completed by </w:t>
      </w:r>
      <w:proofErr w:type="spellStart"/>
      <w:r w:rsidR="0030146B">
        <w:t>SwissMedic</w:t>
      </w:r>
      <w:proofErr w:type="spellEnd"/>
      <w:r w:rsidR="00BE0F8C" w:rsidRPr="00B902A7">
        <w:t xml:space="preserve"> and is summarised below.</w:t>
      </w:r>
    </w:p>
    <w:p w14:paraId="7C3A2E1C" w14:textId="5308D334" w:rsidR="00CD65D9" w:rsidRDefault="00CD65D9" w:rsidP="00B61614">
      <w:r w:rsidRPr="00B902A7">
        <w:t>Th</w:t>
      </w:r>
      <w:r w:rsidR="00B902A7" w:rsidRPr="00B902A7">
        <w:t>e</w:t>
      </w:r>
      <w:r w:rsidRPr="00B902A7">
        <w:t xml:space="preserve"> application </w:t>
      </w:r>
      <w:r w:rsidR="00B902A7">
        <w:t>included</w:t>
      </w:r>
      <w:r w:rsidRPr="00B902A7">
        <w:t xml:space="preserve"> 6 clinical studies providing PK, immunogenicity, efficacy, and safety results to support the proposed indication</w:t>
      </w:r>
      <w:r w:rsidR="00B902A7">
        <w:t>.</w:t>
      </w:r>
    </w:p>
    <w:p w14:paraId="5F07D963" w14:textId="0218F66C" w:rsidR="00CD65D9" w:rsidRPr="00EE22DE" w:rsidRDefault="00CD65D9" w:rsidP="00B61614">
      <w:pPr>
        <w:pStyle w:val="Heading6"/>
      </w:pPr>
      <w:r w:rsidRPr="00EE22DE">
        <w:t>Phase 1 studies</w:t>
      </w:r>
    </w:p>
    <w:p w14:paraId="6159D966" w14:textId="54FC9965" w:rsidR="00D4288A" w:rsidRPr="009D341A" w:rsidRDefault="00CD65D9" w:rsidP="00B61614">
      <w:pPr>
        <w:pStyle w:val="ListBullet"/>
      </w:pPr>
      <w:r w:rsidRPr="009D341A">
        <w:t>MK-1654-001</w:t>
      </w:r>
      <w:r w:rsidR="00D4288A" w:rsidRPr="009D341A">
        <w:t xml:space="preserve"> (Japan) in healthy adults only; IM and IV administration</w:t>
      </w:r>
    </w:p>
    <w:p w14:paraId="4B2B967D" w14:textId="57AFD068" w:rsidR="00CD65D9" w:rsidRPr="009D341A" w:rsidRDefault="00CD65D9" w:rsidP="009D341A">
      <w:pPr>
        <w:pStyle w:val="ListBullet"/>
      </w:pPr>
      <w:r w:rsidRPr="009D341A">
        <w:t xml:space="preserve">MK-1654-003 (Japan) in healthy adults only; IM and IV administration </w:t>
      </w:r>
    </w:p>
    <w:p w14:paraId="623905FC" w14:textId="25F41CE0" w:rsidR="00CD65D9" w:rsidRPr="009D341A" w:rsidRDefault="00CD65D9" w:rsidP="00B61614">
      <w:pPr>
        <w:pStyle w:val="ListBullet"/>
      </w:pPr>
      <w:r w:rsidRPr="009D341A">
        <w:t xml:space="preserve">MK-1654-008 </w:t>
      </w:r>
      <w:r w:rsidR="0083264B" w:rsidRPr="009D341A">
        <w:t xml:space="preserve">(China) </w:t>
      </w:r>
      <w:r w:rsidRPr="009D341A">
        <w:t>in healthy adults, children, and infants</w:t>
      </w:r>
      <w:r w:rsidR="0083264B" w:rsidRPr="009D341A">
        <w:t xml:space="preserve"> </w:t>
      </w:r>
      <w:r w:rsidRPr="009D341A">
        <w:t>– no PK, PD or ADA</w:t>
      </w:r>
    </w:p>
    <w:p w14:paraId="40A786D0" w14:textId="7E6CF018" w:rsidR="00CD65D9" w:rsidRPr="00EE22DE" w:rsidRDefault="00CD65D9" w:rsidP="00B61614">
      <w:pPr>
        <w:pStyle w:val="Heading6"/>
      </w:pPr>
      <w:r w:rsidRPr="00EE22DE">
        <w:t xml:space="preserve">Phase </w:t>
      </w:r>
      <w:proofErr w:type="spellStart"/>
      <w:r w:rsidRPr="00EE22DE">
        <w:t>1b</w:t>
      </w:r>
      <w:proofErr w:type="spellEnd"/>
      <w:r w:rsidRPr="00EE22DE">
        <w:t>/</w:t>
      </w:r>
      <w:proofErr w:type="spellStart"/>
      <w:r w:rsidRPr="00EE22DE">
        <w:t>2a</w:t>
      </w:r>
      <w:proofErr w:type="spellEnd"/>
      <w:r w:rsidRPr="00EE22DE">
        <w:t xml:space="preserve"> study</w:t>
      </w:r>
    </w:p>
    <w:p w14:paraId="75EBB379" w14:textId="60C2F659" w:rsidR="00CD65D9" w:rsidRDefault="00CD65D9" w:rsidP="00B61614">
      <w:pPr>
        <w:pStyle w:val="ListBullet"/>
      </w:pPr>
      <w:r>
        <w:t>MK-1654-002 in healthy preterm and full-term infants</w:t>
      </w:r>
    </w:p>
    <w:p w14:paraId="6E5127F5" w14:textId="0EF63C2C" w:rsidR="00CD65D9" w:rsidRPr="00E244C0" w:rsidRDefault="00CD65D9" w:rsidP="00B61614">
      <w:pPr>
        <w:pStyle w:val="Heading6"/>
      </w:pPr>
      <w:r w:rsidRPr="00E244C0">
        <w:t>Phase 2b/3 study (pivotal – completed)</w:t>
      </w:r>
    </w:p>
    <w:p w14:paraId="3A76DDB6" w14:textId="1FB0728C" w:rsidR="00CD65D9" w:rsidRDefault="00CD65D9" w:rsidP="00B61614">
      <w:pPr>
        <w:pStyle w:val="ListBullet"/>
      </w:pPr>
      <w:r>
        <w:t>MK-1654-004 in healthy preterm and full-term infants</w:t>
      </w:r>
    </w:p>
    <w:p w14:paraId="7D2464C2" w14:textId="1F6A8169" w:rsidR="00CD65D9" w:rsidRPr="00E244C0" w:rsidRDefault="00CD65D9" w:rsidP="00B61614">
      <w:pPr>
        <w:pStyle w:val="Heading6"/>
      </w:pPr>
      <w:r w:rsidRPr="00E244C0">
        <w:lastRenderedPageBreak/>
        <w:t>Phase 3 study (pivotal – ongoing)</w:t>
      </w:r>
    </w:p>
    <w:p w14:paraId="783A57EA" w14:textId="77777777" w:rsidR="00CD65D9" w:rsidRPr="005F03BA" w:rsidRDefault="00CD65D9" w:rsidP="00B61614">
      <w:pPr>
        <w:pStyle w:val="ListBullet"/>
      </w:pPr>
      <w:r w:rsidRPr="005F03BA">
        <w:t>MK-1654-007 in infants and children at increased risk for severe RSV disease</w:t>
      </w:r>
    </w:p>
    <w:p w14:paraId="714BAC82" w14:textId="71D6E260" w:rsidR="00CD65D9" w:rsidRDefault="00CD65D9" w:rsidP="00B61614">
      <w:r>
        <w:t>Four modelling reports are</w:t>
      </w:r>
      <w:r w:rsidR="00C15585">
        <w:t xml:space="preserve"> also</w:t>
      </w:r>
      <w:r>
        <w:t xml:space="preserve"> included in this submission:</w:t>
      </w:r>
    </w:p>
    <w:p w14:paraId="7F25E4D8" w14:textId="2B6E043E" w:rsidR="00CD65D9" w:rsidRPr="005F03BA" w:rsidRDefault="005F03BA" w:rsidP="00B61614">
      <w:pPr>
        <w:pStyle w:val="ListBullet"/>
      </w:pPr>
      <w:r>
        <w:t>a</w:t>
      </w:r>
      <w:r w:rsidR="00CD65D9" w:rsidRPr="005F03BA">
        <w:t xml:space="preserve"> dose selection report for the pivotal studies 004 and 007(06FGB6)</w:t>
      </w:r>
    </w:p>
    <w:p w14:paraId="6BC928C7" w14:textId="03005395" w:rsidR="00CD65D9" w:rsidRPr="005F03BA" w:rsidRDefault="009F563E" w:rsidP="00B61614">
      <w:pPr>
        <w:pStyle w:val="ListBullet"/>
      </w:pPr>
      <w:r>
        <w:t>a</w:t>
      </w:r>
      <w:r w:rsidR="00CD65D9" w:rsidRPr="005F03BA">
        <w:t xml:space="preserve">n integrated adult </w:t>
      </w:r>
      <w:proofErr w:type="spellStart"/>
      <w:r w:rsidR="00CD65D9" w:rsidRPr="005F03BA">
        <w:t>popPK</w:t>
      </w:r>
      <w:proofErr w:type="spellEnd"/>
      <w:r w:rsidR="00CD65D9" w:rsidRPr="005F03BA">
        <w:t xml:space="preserve"> and PK/PD model based on studies 001 and 003 in adults (08KHN7)</w:t>
      </w:r>
    </w:p>
    <w:p w14:paraId="1F2E534E" w14:textId="19E7225B" w:rsidR="00CD65D9" w:rsidRPr="005F03BA" w:rsidRDefault="009F563E" w:rsidP="00B61614">
      <w:pPr>
        <w:pStyle w:val="ListBullet"/>
      </w:pPr>
      <w:r>
        <w:t>a</w:t>
      </w:r>
      <w:r w:rsidR="00CD65D9" w:rsidRPr="005F03BA">
        <w:t xml:space="preserve">n integrated paediatric </w:t>
      </w:r>
      <w:proofErr w:type="spellStart"/>
      <w:r w:rsidR="00CD65D9" w:rsidRPr="005F03BA">
        <w:t>popPK</w:t>
      </w:r>
      <w:proofErr w:type="spellEnd"/>
      <w:r w:rsidR="00CD65D9" w:rsidRPr="005F03BA">
        <w:t xml:space="preserve"> and PK/PD models based on studies 002, 004 and 007 (08KHN9) </w:t>
      </w:r>
    </w:p>
    <w:p w14:paraId="4F3E984C" w14:textId="1EFAE31A" w:rsidR="00CD65D9" w:rsidRPr="005F03BA" w:rsidRDefault="009F563E" w:rsidP="00B61614">
      <w:pPr>
        <w:pStyle w:val="ListBullet"/>
      </w:pPr>
      <w:r>
        <w:t>a</w:t>
      </w:r>
      <w:r w:rsidR="00CD65D9" w:rsidRPr="005F03BA">
        <w:t>n exposure-efficacy modelling from study 004 (08KHNC).</w:t>
      </w:r>
    </w:p>
    <w:p w14:paraId="2F6587F5" w14:textId="77777777" w:rsidR="00CD65D9" w:rsidRPr="006019AB" w:rsidRDefault="00CD65D9" w:rsidP="00B61614">
      <w:pPr>
        <w:pStyle w:val="Heading5"/>
      </w:pPr>
      <w:r w:rsidRPr="006019AB">
        <w:t>Rationale for dose recommendation</w:t>
      </w:r>
    </w:p>
    <w:p w14:paraId="776D13F8" w14:textId="77777777" w:rsidR="001D2255" w:rsidRDefault="00CD65D9" w:rsidP="00B61614">
      <w:r w:rsidRPr="00E97CFA">
        <w:t xml:space="preserve">The intended commercial </w:t>
      </w:r>
      <w:proofErr w:type="spellStart"/>
      <w:r w:rsidRPr="00E97CFA">
        <w:t>clesrovimab</w:t>
      </w:r>
      <w:proofErr w:type="spellEnd"/>
      <w:r w:rsidRPr="00E97CFA">
        <w:t xml:space="preserve"> formulation is a 105 mg strength glass PFS for IM administration. </w:t>
      </w:r>
    </w:p>
    <w:p w14:paraId="68971484" w14:textId="3FA94CBE" w:rsidR="004279CE" w:rsidRDefault="00CD65D9" w:rsidP="00CD65D9">
      <w:r w:rsidRPr="00E97CFA">
        <w:t xml:space="preserve">Phase 1 studies were conducted with the Process 1 formulation (100 mg/mL of </w:t>
      </w:r>
      <w:proofErr w:type="spellStart"/>
      <w:r w:rsidRPr="00E97CFA">
        <w:t>clesrovimab</w:t>
      </w:r>
      <w:proofErr w:type="spellEnd"/>
      <w:r w:rsidRPr="00E97CFA">
        <w:t xml:space="preserve">). The Process 2 formulation, which consists of a higher </w:t>
      </w:r>
      <w:proofErr w:type="spellStart"/>
      <w:r w:rsidRPr="00E97CFA">
        <w:t>clesrovimab</w:t>
      </w:r>
      <w:proofErr w:type="spellEnd"/>
      <w:r w:rsidRPr="00E97CFA">
        <w:t xml:space="preserve"> concentration (150 mg/mL) to allow for a reduced injection volume in infants, was used in late-stage clinical studies (pivotal studies 004 and 007).</w:t>
      </w:r>
    </w:p>
    <w:p w14:paraId="64793575" w14:textId="2C735BE1" w:rsidR="004279CE" w:rsidRDefault="00CD65D9" w:rsidP="00B61614">
      <w:r w:rsidRPr="00E97CFA">
        <w:t>The excipients used in Process 1 and Process 2 formulations are identical except for the addition of L-arginine hydrochloride in the Process 2 formulation.</w:t>
      </w:r>
    </w:p>
    <w:p w14:paraId="651D8E81" w14:textId="06FAF442" w:rsidR="00CD65D9" w:rsidRDefault="00CD65D9" w:rsidP="00B61614">
      <w:r w:rsidRPr="00E97CFA">
        <w:t xml:space="preserve">Based on the </w:t>
      </w:r>
      <w:proofErr w:type="spellStart"/>
      <w:r w:rsidRPr="00E97CFA">
        <w:t>popPK</w:t>
      </w:r>
      <w:proofErr w:type="spellEnd"/>
      <w:r w:rsidRPr="00E97CFA">
        <w:t xml:space="preserve"> (</w:t>
      </w:r>
      <w:proofErr w:type="spellStart"/>
      <w:r w:rsidRPr="00E97CFA">
        <w:t>08KHN9</w:t>
      </w:r>
      <w:proofErr w:type="spellEnd"/>
      <w:r w:rsidRPr="00E97CFA">
        <w:t xml:space="preserve">), there were no differences in PK between the formulations. The intended </w:t>
      </w:r>
      <w:proofErr w:type="spellStart"/>
      <w:r w:rsidRPr="00E97CFA">
        <w:t>clesrovimab</w:t>
      </w:r>
      <w:proofErr w:type="spellEnd"/>
      <w:r w:rsidRPr="00E97CFA">
        <w:t xml:space="preserve"> commercial image uses the Process 2 formulation.</w:t>
      </w:r>
    </w:p>
    <w:p w14:paraId="6754C0ED" w14:textId="3D838F03" w:rsidR="00CD65D9" w:rsidRPr="00E26DE8" w:rsidRDefault="00BE0F8C" w:rsidP="00B61614">
      <w:pPr>
        <w:pStyle w:val="Heading5"/>
      </w:pPr>
      <w:r w:rsidRPr="00E26DE8">
        <w:t xml:space="preserve">TGA </w:t>
      </w:r>
      <w:r w:rsidR="00CD65D9" w:rsidRPr="00E26DE8">
        <w:t>comments</w:t>
      </w:r>
    </w:p>
    <w:p w14:paraId="397A42BA" w14:textId="6E53132F" w:rsidR="00CD65D9" w:rsidRPr="00B37CA2" w:rsidRDefault="00CD65D9" w:rsidP="00B61614">
      <w:r>
        <w:t xml:space="preserve">The Sponsor stated that the 105mg dose is justified based on the observed PK, safety, and efficacy data from healthy adults in MK-1654-001, MK-1654-003, from infants in MK-1654-002, MK-1654- 004, and MK-1654-007, and modelling and simulation analysis including </w:t>
      </w:r>
      <w:proofErr w:type="spellStart"/>
      <w:r>
        <w:t>popPK</w:t>
      </w:r>
      <w:proofErr w:type="spellEnd"/>
      <w:r>
        <w:t>, PK/PD, and exposure-efficacy.</w:t>
      </w:r>
    </w:p>
    <w:p w14:paraId="225EB25D" w14:textId="528F3FC7" w:rsidR="00CD65D9" w:rsidRPr="00B61614" w:rsidRDefault="00BE0F8C" w:rsidP="00B61614">
      <w:pPr>
        <w:ind w:left="720"/>
        <w:rPr>
          <w:i/>
          <w:iCs/>
        </w:rPr>
      </w:pPr>
      <w:r w:rsidRPr="00B61614">
        <w:rPr>
          <w:i/>
          <w:iCs/>
        </w:rPr>
        <w:t>‘</w:t>
      </w:r>
      <w:r w:rsidR="00CD65D9" w:rsidRPr="00B61614">
        <w:rPr>
          <w:i/>
          <w:iCs/>
        </w:rPr>
        <w:t xml:space="preserve">Efficacy is extrapolated from healthy preterm and full-term infants (MK-1654-004) to infants at increased risk for severe RSV disease (MK-1654-007) based on comparable PK. In addition, the lack of clinically meaningful effects of intrinsic factors, including body weight, on </w:t>
      </w:r>
      <w:proofErr w:type="spellStart"/>
      <w:r w:rsidR="00CD65D9" w:rsidRPr="00B61614">
        <w:rPr>
          <w:i/>
          <w:iCs/>
        </w:rPr>
        <w:t>clesrovimab</w:t>
      </w:r>
      <w:proofErr w:type="spellEnd"/>
      <w:r w:rsidR="00CD65D9" w:rsidRPr="00B61614">
        <w:rPr>
          <w:i/>
          <w:iCs/>
        </w:rPr>
        <w:t xml:space="preserve"> PK, supports a fixed dose of </w:t>
      </w:r>
      <w:proofErr w:type="spellStart"/>
      <w:r w:rsidR="00CD65D9" w:rsidRPr="00B61614">
        <w:rPr>
          <w:i/>
          <w:iCs/>
        </w:rPr>
        <w:t>clesrovimab</w:t>
      </w:r>
      <w:proofErr w:type="spellEnd"/>
      <w:r w:rsidR="00CD65D9" w:rsidRPr="00B61614">
        <w:rPr>
          <w:i/>
          <w:iCs/>
        </w:rPr>
        <w:t xml:space="preserve"> without the need for dose adjustment.’ </w:t>
      </w:r>
    </w:p>
    <w:p w14:paraId="57EAB63F" w14:textId="2A546DDB" w:rsidR="00037FA6" w:rsidRPr="00D03EE1" w:rsidRDefault="00037FA6" w:rsidP="00B61614">
      <w:pPr>
        <w:pStyle w:val="Heading5"/>
      </w:pPr>
      <w:r w:rsidRPr="00D03EE1">
        <w:t>Summary of pharmacokinetics</w:t>
      </w:r>
    </w:p>
    <w:p w14:paraId="25ED56A1" w14:textId="3C57E976" w:rsidR="00CD65D9" w:rsidRDefault="00CD65D9" w:rsidP="00B61614">
      <w:r w:rsidRPr="0073351E">
        <w:t xml:space="preserve">The following summary of pharmacokinetics is extracted from the proposed Health Canada </w:t>
      </w:r>
      <w:r w:rsidR="00E96558">
        <w:t>P</w:t>
      </w:r>
      <w:r w:rsidR="0076334B">
        <w:t>roduct Information</w:t>
      </w:r>
      <w:r w:rsidR="0073351E" w:rsidRPr="0073351E">
        <w:t>.</w:t>
      </w:r>
    </w:p>
    <w:p w14:paraId="1D2124D9" w14:textId="77777777" w:rsidR="00CD65D9" w:rsidRDefault="00CD65D9" w:rsidP="00B61614">
      <w:r>
        <w:t xml:space="preserve">The PK of </w:t>
      </w:r>
      <w:proofErr w:type="spellStart"/>
      <w:r>
        <w:t>clesrovimab</w:t>
      </w:r>
      <w:proofErr w:type="spellEnd"/>
      <w:r>
        <w:t xml:space="preserve"> is approximately dose-proportional following a single IM administration of doses ranging from 20 mg to 210 mg in infants.</w:t>
      </w:r>
    </w:p>
    <w:p w14:paraId="1B8F61D1" w14:textId="77777777" w:rsidR="00CD65D9" w:rsidRPr="004078D2" w:rsidRDefault="00CD65D9" w:rsidP="00B61614">
      <w:pPr>
        <w:pStyle w:val="Heading6"/>
      </w:pPr>
      <w:r w:rsidRPr="0073351E">
        <w:t>Absorption</w:t>
      </w:r>
    </w:p>
    <w:p w14:paraId="66A83F41" w14:textId="781DEEBD" w:rsidR="00CD65D9" w:rsidRDefault="00CD65D9" w:rsidP="00B61614">
      <w:r>
        <w:t xml:space="preserve">The estimated </w:t>
      </w:r>
      <w:proofErr w:type="spellStart"/>
      <w:r>
        <w:t>clesrovimab</w:t>
      </w:r>
      <w:proofErr w:type="spellEnd"/>
      <w:r>
        <w:t xml:space="preserve"> absolute bioavailability is 77.8% and the median time to maximum concentration is 6.5 days.</w:t>
      </w:r>
    </w:p>
    <w:p w14:paraId="5F8F8085" w14:textId="77777777" w:rsidR="00CD65D9" w:rsidRPr="0073351E" w:rsidRDefault="00CD65D9" w:rsidP="00B61614">
      <w:pPr>
        <w:pStyle w:val="Heading6"/>
      </w:pPr>
      <w:r w:rsidRPr="0073351E">
        <w:lastRenderedPageBreak/>
        <w:t>Distribution</w:t>
      </w:r>
    </w:p>
    <w:p w14:paraId="1F425B57" w14:textId="77777777" w:rsidR="00CD65D9" w:rsidRDefault="00CD65D9" w:rsidP="00B61614">
      <w:r>
        <w:t xml:space="preserve">The estimated apparent volume of distribution for </w:t>
      </w:r>
      <w:proofErr w:type="spellStart"/>
      <w:r>
        <w:t>clesrovimab</w:t>
      </w:r>
      <w:proofErr w:type="spellEnd"/>
      <w:r>
        <w:t xml:space="preserve"> is 830 mL, for a typical infant weighing 5 kg.</w:t>
      </w:r>
    </w:p>
    <w:p w14:paraId="4FB6D718" w14:textId="77777777" w:rsidR="00CD65D9" w:rsidRDefault="00CD65D9" w:rsidP="00B61614">
      <w:proofErr w:type="spellStart"/>
      <w:r>
        <w:t>Clesrovimab</w:t>
      </w:r>
      <w:proofErr w:type="spellEnd"/>
      <w:r>
        <w:t xml:space="preserve"> was readily detected in the nasal mucosa of sampled adult participants. The concentration of </w:t>
      </w:r>
      <w:proofErr w:type="spellStart"/>
      <w:r>
        <w:t>clesrovimab</w:t>
      </w:r>
      <w:proofErr w:type="spellEnd"/>
      <w:r>
        <w:t xml:space="preserve"> measured in the epithelial lining fluid of the nasal mucosa was 1.4% to 3.3% of the concentration measured in the serum.</w:t>
      </w:r>
    </w:p>
    <w:p w14:paraId="3466A04A" w14:textId="77777777" w:rsidR="00CD65D9" w:rsidRPr="0073351E" w:rsidRDefault="00CD65D9" w:rsidP="00B61614">
      <w:pPr>
        <w:pStyle w:val="Heading6"/>
      </w:pPr>
      <w:r w:rsidRPr="0073351E">
        <w:t>Elimination</w:t>
      </w:r>
    </w:p>
    <w:p w14:paraId="6020184A" w14:textId="77777777" w:rsidR="00CD65D9" w:rsidRDefault="00CD65D9" w:rsidP="00B61614">
      <w:r>
        <w:t xml:space="preserve">The </w:t>
      </w:r>
      <w:proofErr w:type="spellStart"/>
      <w:r>
        <w:t>clesrovimab</w:t>
      </w:r>
      <w:proofErr w:type="spellEnd"/>
      <w:r>
        <w:t xml:space="preserve"> terminal half-life is approximately 44.0 </w:t>
      </w:r>
      <w:proofErr w:type="gramStart"/>
      <w:r>
        <w:t>days</w:t>
      </w:r>
      <w:proofErr w:type="gramEnd"/>
      <w:r>
        <w:t xml:space="preserve"> and the estimated apparent clearance is 19.7 mL/day for a typical infant weighing 5 kg.</w:t>
      </w:r>
    </w:p>
    <w:p w14:paraId="4A50ADD1" w14:textId="77777777" w:rsidR="00CD65D9" w:rsidRPr="0073351E" w:rsidRDefault="00CD65D9" w:rsidP="00B61614">
      <w:pPr>
        <w:pStyle w:val="Heading6"/>
      </w:pPr>
      <w:r w:rsidRPr="0073351E">
        <w:t>Metabolism</w:t>
      </w:r>
    </w:p>
    <w:p w14:paraId="14290A16" w14:textId="77777777" w:rsidR="00CD65D9" w:rsidRDefault="00CD65D9" w:rsidP="00B61614">
      <w:proofErr w:type="spellStart"/>
      <w:r>
        <w:t>Clesrovimab</w:t>
      </w:r>
      <w:proofErr w:type="spellEnd"/>
      <w:r>
        <w:t xml:space="preserve"> is degraded into small peptides by catabolic pathways.</w:t>
      </w:r>
    </w:p>
    <w:p w14:paraId="6A515D00" w14:textId="2C421520" w:rsidR="00CD65D9" w:rsidRDefault="00CD65D9" w:rsidP="00B61614">
      <w:r>
        <w:t>Swissmedic concluded that ‘</w:t>
      </w:r>
      <w:r w:rsidRPr="00F816EC">
        <w:t xml:space="preserve">the documentation is of good quality, allows the description of the PK and PD of </w:t>
      </w:r>
      <w:proofErr w:type="spellStart"/>
      <w:r w:rsidRPr="00F816EC">
        <w:t>clesrovimab</w:t>
      </w:r>
      <w:proofErr w:type="spellEnd"/>
      <w:r w:rsidRPr="00F816EC">
        <w:t xml:space="preserve">, and supports the proposed </w:t>
      </w:r>
      <w:proofErr w:type="spellStart"/>
      <w:r w:rsidRPr="00F816EC">
        <w:t>posologies</w:t>
      </w:r>
      <w:proofErr w:type="spellEnd"/>
      <w:r w:rsidRPr="00F816EC">
        <w:t xml:space="preserve">. All issues raised in the </w:t>
      </w:r>
      <w:proofErr w:type="spellStart"/>
      <w:r w:rsidRPr="00F816EC">
        <w:t>D60</w:t>
      </w:r>
      <w:proofErr w:type="spellEnd"/>
      <w:r w:rsidRPr="00F816EC">
        <w:t xml:space="preserve"> clinical pharmacology </w:t>
      </w:r>
      <w:proofErr w:type="spellStart"/>
      <w:r w:rsidRPr="00F816EC">
        <w:t>LoQ</w:t>
      </w:r>
      <w:proofErr w:type="spellEnd"/>
      <w:r w:rsidRPr="00F816EC">
        <w:t xml:space="preserve"> were resolved.</w:t>
      </w:r>
      <w:r>
        <w:t>’</w:t>
      </w:r>
    </w:p>
    <w:p w14:paraId="47D7C9E9" w14:textId="77777777" w:rsidR="00CD65D9" w:rsidRPr="00B61614" w:rsidRDefault="00CD65D9" w:rsidP="00B61614">
      <w:pPr>
        <w:rPr>
          <w:b/>
          <w:bCs/>
        </w:rPr>
      </w:pPr>
      <w:r w:rsidRPr="00B61614">
        <w:rPr>
          <w:b/>
          <w:bCs/>
        </w:rPr>
        <w:t>Dosing for infant undergoing cardiac surgery with cardiopulmonary bypass</w:t>
      </w:r>
    </w:p>
    <w:p w14:paraId="42B9DFE1" w14:textId="07453C3D" w:rsidR="006936F3" w:rsidRDefault="00554BDC" w:rsidP="00B61614">
      <w:r>
        <w:t>TGA highlighted</w:t>
      </w:r>
      <w:r w:rsidR="00CD65D9">
        <w:t xml:space="preserve"> the following issue raised by Swissmedic regarding the dosing f</w:t>
      </w:r>
      <w:r w:rsidR="00CD65D9" w:rsidRPr="00B30489">
        <w:t>or infants undergoing cardiac surgery with cardiopulmonary bypass during the RSV season</w:t>
      </w:r>
      <w:r w:rsidR="00CD65D9">
        <w:t>:</w:t>
      </w:r>
    </w:p>
    <w:p w14:paraId="3C69DCD1" w14:textId="1A55E363" w:rsidR="00CD65D9" w:rsidRPr="00D12C6A" w:rsidRDefault="006936F3" w:rsidP="00B61614">
      <w:pPr>
        <w:ind w:left="720"/>
      </w:pPr>
      <w:r w:rsidRPr="00D12C6A">
        <w:t>‘T</w:t>
      </w:r>
      <w:r w:rsidR="00CD65D9" w:rsidRPr="00D12C6A">
        <w:t>here is a paucity of data to support recommendations for an additional 105 mg dose a</w:t>
      </w:r>
      <w:r w:rsidR="00B61614">
        <w:t xml:space="preserve"> </w:t>
      </w:r>
      <w:r w:rsidRPr="00D12C6A">
        <w:t>a</w:t>
      </w:r>
      <w:r w:rsidR="00CD65D9" w:rsidRPr="00D12C6A">
        <w:t xml:space="preserve">fter surgery to ensure adequate </w:t>
      </w:r>
      <w:proofErr w:type="spellStart"/>
      <w:r w:rsidR="00CD65D9" w:rsidRPr="00D12C6A">
        <w:t>clesrovimab</w:t>
      </w:r>
      <w:proofErr w:type="spellEnd"/>
      <w:r w:rsidR="00CD65D9" w:rsidRPr="00D12C6A">
        <w:t xml:space="preserve"> serum levels.</w:t>
      </w:r>
      <w:r w:rsidRPr="00D12C6A">
        <w:t>’</w:t>
      </w:r>
    </w:p>
    <w:p w14:paraId="44490A5A" w14:textId="56DC03E5" w:rsidR="00CD65D9" w:rsidRDefault="00CD65D9" w:rsidP="00B61614">
      <w:r w:rsidRPr="006936F3">
        <w:t>The applicant responded to the Swissmedic assessment</w:t>
      </w:r>
      <w:r w:rsidR="006936F3">
        <w:t xml:space="preserve"> as follows</w:t>
      </w:r>
      <w:r w:rsidRPr="006936F3">
        <w:t>:</w:t>
      </w:r>
    </w:p>
    <w:p w14:paraId="411F0306" w14:textId="77777777" w:rsidR="00CD65D9" w:rsidRPr="00D12C6A" w:rsidRDefault="00CD65D9" w:rsidP="00B61614">
      <w:pPr>
        <w:ind w:left="720"/>
      </w:pPr>
      <w:r w:rsidRPr="00D12C6A">
        <w:t xml:space="preserve">‘During the course of MK-1654-007 study (through the 05-FEB-2024 data cutoff), a total of 16 participants underwent ECMO or CPB, with 15 in RSV Season 1 (8 in the MK-1654 group, 7 in the palivizumab group) and 1 in RSV Season 2 (MK-1654 group in both seasons [Figure 1]). Of the 9 participants in the MK-1654 group, a total of 10 PK samples were measured post-procedure. Based on the review of observed </w:t>
      </w:r>
      <w:proofErr w:type="spellStart"/>
      <w:r w:rsidRPr="00D12C6A">
        <w:t>clesrovimab</w:t>
      </w:r>
      <w:proofErr w:type="spellEnd"/>
      <w:r w:rsidRPr="00D12C6A">
        <w:t xml:space="preserve"> PK data in participants who underwent ECMO or CPB, a consistent trend of lower PK was observed in participants after they received ECMO or CPB. These data are consistent with post-surgery PK reductions observed with other monoclonal antibodies such as palivizumab and </w:t>
      </w:r>
      <w:proofErr w:type="spellStart"/>
      <w:r w:rsidRPr="00D12C6A">
        <w:t>nirsevimab</w:t>
      </w:r>
      <w:proofErr w:type="spellEnd"/>
      <w:r w:rsidRPr="00D12C6A">
        <w:t xml:space="preserve">. Furthermore, no new safety concerns were observed in MK-1654-007 participants who received an additional dose of </w:t>
      </w:r>
      <w:proofErr w:type="spellStart"/>
      <w:r w:rsidRPr="00D12C6A">
        <w:t>clesrovimab</w:t>
      </w:r>
      <w:proofErr w:type="spellEnd"/>
      <w:r w:rsidRPr="00D12C6A">
        <w:t xml:space="preserve"> post-surgery. Therefore, the totality of data supports the labelling recommendation for redosing of </w:t>
      </w:r>
      <w:proofErr w:type="spellStart"/>
      <w:r w:rsidRPr="00D12C6A">
        <w:t>clesrovimab</w:t>
      </w:r>
      <w:proofErr w:type="spellEnd"/>
      <w:r w:rsidRPr="00D12C6A">
        <w:t xml:space="preserve"> after ECMO or CPB for continued optimal protection against RSV disease.’</w:t>
      </w:r>
    </w:p>
    <w:p w14:paraId="153E3A60" w14:textId="44023959" w:rsidR="00415756" w:rsidRDefault="00CD65D9" w:rsidP="00B61614">
      <w:r>
        <w:t>It was further noted that a</w:t>
      </w:r>
      <w:r w:rsidRPr="00386102">
        <w:t xml:space="preserve"> recommendation to </w:t>
      </w:r>
      <w:proofErr w:type="spellStart"/>
      <w:r w:rsidRPr="00386102">
        <w:t>redose</w:t>
      </w:r>
      <w:proofErr w:type="spellEnd"/>
      <w:r w:rsidRPr="00386102">
        <w:t xml:space="preserve"> would be in line with the</w:t>
      </w:r>
      <w:r>
        <w:t xml:space="preserve"> </w:t>
      </w:r>
      <w:r w:rsidRPr="00386102">
        <w:t xml:space="preserve">recommendations for palivizumab and </w:t>
      </w:r>
      <w:proofErr w:type="spellStart"/>
      <w:r w:rsidRPr="00386102">
        <w:t>nirsevimab</w:t>
      </w:r>
      <w:proofErr w:type="spellEnd"/>
      <w:r w:rsidRPr="00386102">
        <w:t>.</w:t>
      </w:r>
    </w:p>
    <w:p w14:paraId="5DC3DF56" w14:textId="52795EFF" w:rsidR="00CD65D9" w:rsidRPr="00D12C6A" w:rsidRDefault="00CD65D9" w:rsidP="00B61614">
      <w:pPr>
        <w:ind w:left="720"/>
      </w:pPr>
      <w:r w:rsidRPr="00D12C6A">
        <w:t>‘Considering that the subjects requiring surgery are at particular risk, the proposed redosing is considered acceptable. It should however be specified that the redosing should occur if still in the first RSV season.’</w:t>
      </w:r>
    </w:p>
    <w:p w14:paraId="3E5BBE22" w14:textId="762535AF" w:rsidR="00CD65D9" w:rsidRDefault="00E87ACC" w:rsidP="00B61614">
      <w:r w:rsidRPr="00E87ACC">
        <w:t>T</w:t>
      </w:r>
      <w:r w:rsidR="00CD65D9" w:rsidRPr="00E87ACC">
        <w:t>he assessment by Swissmedic is supported and the Australian PI contains similar wording around redosing for infants undergoing cardiac surgery with cardiopulmonary bypass during the RSV season.</w:t>
      </w:r>
    </w:p>
    <w:p w14:paraId="531BC43C" w14:textId="333D8B7D" w:rsidR="000F3579" w:rsidRDefault="000F3579" w:rsidP="00B61614">
      <w:pPr>
        <w:pStyle w:val="Heading4"/>
      </w:pPr>
      <w:bookmarkStart w:id="56" w:name="_Toc238033743"/>
      <w:r w:rsidRPr="00E87ACC">
        <w:t>Efficacy</w:t>
      </w:r>
      <w:bookmarkEnd w:id="56"/>
    </w:p>
    <w:p w14:paraId="0308E690" w14:textId="5D1B7C5A" w:rsidR="00D91F79" w:rsidRPr="00D91F79" w:rsidRDefault="002D12CC" w:rsidP="00B61614">
      <w:r>
        <w:t>Table 3</w:t>
      </w:r>
      <w:r w:rsidR="00D91F79">
        <w:t xml:space="preserve"> lists </w:t>
      </w:r>
      <w:r>
        <w:t xml:space="preserve">the </w:t>
      </w:r>
      <w:r w:rsidR="00D03EE1">
        <w:t>main</w:t>
      </w:r>
      <w:r w:rsidR="00671210">
        <w:t xml:space="preserve">/pivotal </w:t>
      </w:r>
      <w:r>
        <w:t>clinical studies provided in th</w:t>
      </w:r>
      <w:r w:rsidR="00371CCF">
        <w:t>e</w:t>
      </w:r>
      <w:r>
        <w:t xml:space="preserve"> submission.</w:t>
      </w:r>
    </w:p>
    <w:p w14:paraId="67180CA9" w14:textId="30E5687D" w:rsidR="007A5B7C" w:rsidRPr="00390111" w:rsidRDefault="00E87ACC" w:rsidP="00B61614">
      <w:pPr>
        <w:pStyle w:val="TableTitle"/>
      </w:pPr>
      <w:r w:rsidRPr="00B902A7">
        <w:lastRenderedPageBreak/>
        <w:t>Table 3:</w:t>
      </w:r>
      <w:r>
        <w:t xml:space="preserve"> </w:t>
      </w:r>
      <w:r w:rsidR="007A5B7C" w:rsidRPr="00390111">
        <w:t xml:space="preserve">Overview of </w:t>
      </w:r>
      <w:r w:rsidR="00671210">
        <w:t>main studies (</w:t>
      </w:r>
      <w:r w:rsidR="00371CCF">
        <w:t>P</w:t>
      </w:r>
      <w:r w:rsidR="007A5B7C" w:rsidRPr="00390111">
        <w:t>hase 2 and 3 studies</w:t>
      </w:r>
      <w:r w:rsidR="00671210">
        <w:t>)</w:t>
      </w:r>
    </w:p>
    <w:tbl>
      <w:tblPr>
        <w:tblStyle w:val="TableTGAblue2023"/>
        <w:tblW w:w="0" w:type="auto"/>
        <w:tblLook w:val="04A0" w:firstRow="1" w:lastRow="0" w:firstColumn="1" w:lastColumn="0" w:noHBand="0" w:noVBand="1"/>
      </w:tblPr>
      <w:tblGrid>
        <w:gridCol w:w="1408"/>
        <w:gridCol w:w="2010"/>
        <w:gridCol w:w="2000"/>
        <w:gridCol w:w="2048"/>
        <w:gridCol w:w="1594"/>
      </w:tblGrid>
      <w:tr w:rsidR="007A5B7C" w:rsidRPr="00E87ACC" w14:paraId="7BC59EF9" w14:textId="77777777" w:rsidTr="004A0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14:paraId="20AAA8EE" w14:textId="77777777" w:rsidR="007A5B7C" w:rsidRPr="00E87ACC" w:rsidRDefault="007A5B7C" w:rsidP="004A03BA">
            <w:pPr>
              <w:rPr>
                <w:b w:val="0"/>
              </w:rPr>
            </w:pPr>
            <w:r w:rsidRPr="00E87ACC">
              <w:t>Study, dates, location</w:t>
            </w:r>
          </w:p>
        </w:tc>
        <w:tc>
          <w:tcPr>
            <w:tcW w:w="1820" w:type="dxa"/>
          </w:tcPr>
          <w:p w14:paraId="4E1F7DC3" w14:textId="77777777" w:rsidR="007A5B7C" w:rsidRPr="00E87ACC" w:rsidRDefault="007A5B7C" w:rsidP="004A03BA">
            <w:pPr>
              <w:cnfStyle w:val="100000000000" w:firstRow="1" w:lastRow="0" w:firstColumn="0" w:lastColumn="0" w:oddVBand="0" w:evenVBand="0" w:oddHBand="0" w:evenHBand="0" w:firstRowFirstColumn="0" w:firstRowLastColumn="0" w:lastRowFirstColumn="0" w:lastRowLastColumn="0"/>
              <w:rPr>
                <w:b w:val="0"/>
              </w:rPr>
            </w:pPr>
            <w:r w:rsidRPr="00E87ACC">
              <w:t>Design</w:t>
            </w:r>
          </w:p>
        </w:tc>
        <w:tc>
          <w:tcPr>
            <w:tcW w:w="1811" w:type="dxa"/>
          </w:tcPr>
          <w:p w14:paraId="292890BC" w14:textId="77777777" w:rsidR="007A5B7C" w:rsidRPr="00E87ACC" w:rsidRDefault="007A5B7C" w:rsidP="004A03BA">
            <w:pPr>
              <w:cnfStyle w:val="100000000000" w:firstRow="1" w:lastRow="0" w:firstColumn="0" w:lastColumn="0" w:oddVBand="0" w:evenVBand="0" w:oddHBand="0" w:evenHBand="0" w:firstRowFirstColumn="0" w:firstRowLastColumn="0" w:lastRowFirstColumn="0" w:lastRowLastColumn="0"/>
              <w:rPr>
                <w:b w:val="0"/>
              </w:rPr>
            </w:pPr>
            <w:r w:rsidRPr="00E87ACC">
              <w:t>Population</w:t>
            </w:r>
          </w:p>
        </w:tc>
        <w:tc>
          <w:tcPr>
            <w:tcW w:w="1857" w:type="dxa"/>
          </w:tcPr>
          <w:p w14:paraId="14454F8C" w14:textId="77777777" w:rsidR="007A5B7C" w:rsidRPr="00E87ACC" w:rsidRDefault="007A5B7C" w:rsidP="004A03BA">
            <w:pPr>
              <w:cnfStyle w:val="100000000000" w:firstRow="1" w:lastRow="0" w:firstColumn="0" w:lastColumn="0" w:oddVBand="0" w:evenVBand="0" w:oddHBand="0" w:evenHBand="0" w:firstRowFirstColumn="0" w:firstRowLastColumn="0" w:lastRowFirstColumn="0" w:lastRowLastColumn="0"/>
              <w:rPr>
                <w:b w:val="0"/>
              </w:rPr>
            </w:pPr>
            <w:r w:rsidRPr="00E87ACC">
              <w:t>Number of subjects randomised</w:t>
            </w:r>
          </w:p>
        </w:tc>
        <w:tc>
          <w:tcPr>
            <w:tcW w:w="1769" w:type="dxa"/>
          </w:tcPr>
          <w:p w14:paraId="420959C4" w14:textId="77777777" w:rsidR="007A5B7C" w:rsidRPr="00E87ACC" w:rsidRDefault="007A5B7C" w:rsidP="004A03BA">
            <w:pPr>
              <w:cnfStyle w:val="100000000000" w:firstRow="1" w:lastRow="0" w:firstColumn="0" w:lastColumn="0" w:oddVBand="0" w:evenVBand="0" w:oddHBand="0" w:evenHBand="0" w:firstRowFirstColumn="0" w:firstRowLastColumn="0" w:lastRowFirstColumn="0" w:lastRowLastColumn="0"/>
              <w:rPr>
                <w:b w:val="0"/>
              </w:rPr>
            </w:pPr>
            <w:r w:rsidRPr="00E87ACC">
              <w:t>Follow up</w:t>
            </w:r>
          </w:p>
        </w:tc>
      </w:tr>
      <w:tr w:rsidR="007A5B7C" w14:paraId="0981F5AE" w14:textId="77777777" w:rsidTr="004A03BA">
        <w:tc>
          <w:tcPr>
            <w:cnfStyle w:val="001000000000" w:firstRow="0" w:lastRow="0" w:firstColumn="1" w:lastColumn="0" w:oddVBand="0" w:evenVBand="0" w:oddHBand="0" w:evenHBand="0" w:firstRowFirstColumn="0" w:firstRowLastColumn="0" w:lastRowFirstColumn="0" w:lastRowLastColumn="0"/>
            <w:tcW w:w="1759" w:type="dxa"/>
          </w:tcPr>
          <w:p w14:paraId="6770B070" w14:textId="77777777" w:rsidR="007A5B7C" w:rsidRDefault="007A5B7C" w:rsidP="004A03BA">
            <w:r w:rsidRPr="00855F33">
              <w:t>MK-1654-004</w:t>
            </w:r>
          </w:p>
          <w:p w14:paraId="692DADCC" w14:textId="77777777" w:rsidR="007A5B7C" w:rsidRDefault="007A5B7C" w:rsidP="004A03BA">
            <w:r>
              <w:t>April 2021-July 2024</w:t>
            </w:r>
          </w:p>
          <w:p w14:paraId="187167A5" w14:textId="77777777" w:rsidR="007A5B7C" w:rsidRDefault="007A5B7C" w:rsidP="004A03BA">
            <w:r>
              <w:t>192 sites in 22 countries</w:t>
            </w:r>
          </w:p>
        </w:tc>
        <w:tc>
          <w:tcPr>
            <w:tcW w:w="1820" w:type="dxa"/>
          </w:tcPr>
          <w:p w14:paraId="51A1D412"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 xml:space="preserve">A Phase 2b/3, double-blind, randomised, placebo controlled, multi-site study to evaluate the efficacy, safety, and PK of </w:t>
            </w:r>
            <w:proofErr w:type="spellStart"/>
            <w:r>
              <w:t>clesrovimab</w:t>
            </w:r>
            <w:proofErr w:type="spellEnd"/>
          </w:p>
        </w:tc>
        <w:tc>
          <w:tcPr>
            <w:tcW w:w="1811" w:type="dxa"/>
          </w:tcPr>
          <w:p w14:paraId="48519A0B"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Healthy infants from birth up to 1 year entering their first RSV season</w:t>
            </w:r>
          </w:p>
        </w:tc>
        <w:tc>
          <w:tcPr>
            <w:tcW w:w="1857" w:type="dxa"/>
          </w:tcPr>
          <w:p w14:paraId="7D8F7A39" w14:textId="77777777" w:rsidR="007A5B7C" w:rsidRPr="004A03BA" w:rsidRDefault="007A5B7C" w:rsidP="004A03BA">
            <w:pPr>
              <w:cnfStyle w:val="000000000000" w:firstRow="0" w:lastRow="0" w:firstColumn="0" w:lastColumn="0" w:oddVBand="0" w:evenVBand="0" w:oddHBand="0" w:evenHBand="0" w:firstRowFirstColumn="0" w:firstRowLastColumn="0" w:lastRowFirstColumn="0" w:lastRowLastColumn="0"/>
              <w:rPr>
                <w:b/>
              </w:rPr>
            </w:pPr>
            <w:r w:rsidRPr="004A03BA">
              <w:rPr>
                <w:b/>
              </w:rPr>
              <w:t>MK-1654 Group</w:t>
            </w:r>
          </w:p>
          <w:p w14:paraId="0450E1EF"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Randomised: 2421</w:t>
            </w:r>
          </w:p>
          <w:p w14:paraId="2DF83FCE"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Treated: 2411</w:t>
            </w:r>
          </w:p>
          <w:p w14:paraId="27B47B3C" w14:textId="77777777" w:rsidR="007A5B7C" w:rsidRPr="004A03BA" w:rsidRDefault="007A5B7C" w:rsidP="004A03BA">
            <w:pPr>
              <w:cnfStyle w:val="000000000000" w:firstRow="0" w:lastRow="0" w:firstColumn="0" w:lastColumn="0" w:oddVBand="0" w:evenVBand="0" w:oddHBand="0" w:evenHBand="0" w:firstRowFirstColumn="0" w:firstRowLastColumn="0" w:lastRowFirstColumn="0" w:lastRowLastColumn="0"/>
              <w:rPr>
                <w:b/>
              </w:rPr>
            </w:pPr>
            <w:r w:rsidRPr="004A03BA">
              <w:rPr>
                <w:b/>
              </w:rPr>
              <w:t>Placebo group</w:t>
            </w:r>
          </w:p>
          <w:p w14:paraId="51E86584"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rsidRPr="00233334">
              <w:t>Randomised:</w:t>
            </w:r>
            <w:r>
              <w:t>1211</w:t>
            </w:r>
          </w:p>
          <w:p w14:paraId="5B8B660C"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 xml:space="preserve">Treated: </w:t>
            </w:r>
            <w:r w:rsidRPr="001474B1">
              <w:t>1203</w:t>
            </w:r>
            <w:r>
              <w:t>*</w:t>
            </w:r>
          </w:p>
        </w:tc>
        <w:tc>
          <w:tcPr>
            <w:tcW w:w="1769" w:type="dxa"/>
          </w:tcPr>
          <w:p w14:paraId="0DD6C62F"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Season 1: day 365 post-dose (safety)</w:t>
            </w:r>
          </w:p>
          <w:p w14:paraId="037DBB2A"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Season 2: day 515 post-dose (subset of participants)</w:t>
            </w:r>
          </w:p>
        </w:tc>
      </w:tr>
      <w:tr w:rsidR="007A5B7C" w14:paraId="60239293" w14:textId="77777777" w:rsidTr="004A03BA">
        <w:tc>
          <w:tcPr>
            <w:cnfStyle w:val="001000000000" w:firstRow="0" w:lastRow="0" w:firstColumn="1" w:lastColumn="0" w:oddVBand="0" w:evenVBand="0" w:oddHBand="0" w:evenHBand="0" w:firstRowFirstColumn="0" w:firstRowLastColumn="0" w:lastRowFirstColumn="0" w:lastRowLastColumn="0"/>
            <w:tcW w:w="1759" w:type="dxa"/>
          </w:tcPr>
          <w:p w14:paraId="59BAC942" w14:textId="77777777" w:rsidR="007A5B7C" w:rsidRDefault="007A5B7C" w:rsidP="004A03BA">
            <w:r w:rsidRPr="00925927">
              <w:t>MK-1654-007</w:t>
            </w:r>
          </w:p>
          <w:p w14:paraId="6DC7D9E4" w14:textId="77777777" w:rsidR="007A5B7C" w:rsidRDefault="007A5B7C" w:rsidP="004A03BA">
            <w:r>
              <w:t>November 2021-ongoing</w:t>
            </w:r>
          </w:p>
          <w:p w14:paraId="1E273673" w14:textId="02B3D7E4" w:rsidR="007A5B7C" w:rsidRDefault="007A5B7C" w:rsidP="004A03BA">
            <w:r>
              <w:t>109 sites in 27 countries</w:t>
            </w:r>
          </w:p>
        </w:tc>
        <w:tc>
          <w:tcPr>
            <w:tcW w:w="1820" w:type="dxa"/>
          </w:tcPr>
          <w:p w14:paraId="61608FE0"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A Phase 3, multicentre, randomised, partially blinded, palivizumab-controlled study to evaluate the safety, efficacy, and pharmacokinetics of MK-1654 in infants and children at increased risk for severe RSV disease.</w:t>
            </w:r>
          </w:p>
        </w:tc>
        <w:tc>
          <w:tcPr>
            <w:tcW w:w="1811" w:type="dxa"/>
          </w:tcPr>
          <w:p w14:paraId="507C63C2"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Infants ≤35 weeks gestational age or infants with CLD of prematurity or hemodynamically significant CHD from birth up to 1 year entering their first RSV season.</w:t>
            </w:r>
          </w:p>
        </w:tc>
        <w:tc>
          <w:tcPr>
            <w:tcW w:w="1857" w:type="dxa"/>
          </w:tcPr>
          <w:p w14:paraId="4F0BEC15" w14:textId="77777777" w:rsidR="007A5B7C" w:rsidRPr="004A03BA" w:rsidRDefault="007A5B7C" w:rsidP="004A03BA">
            <w:pPr>
              <w:cnfStyle w:val="000000000000" w:firstRow="0" w:lastRow="0" w:firstColumn="0" w:lastColumn="0" w:oddVBand="0" w:evenVBand="0" w:oddHBand="0" w:evenHBand="0" w:firstRowFirstColumn="0" w:firstRowLastColumn="0" w:lastRowFirstColumn="0" w:lastRowLastColumn="0"/>
              <w:rPr>
                <w:b/>
              </w:rPr>
            </w:pPr>
            <w:r w:rsidRPr="004A03BA">
              <w:rPr>
                <w:b/>
              </w:rPr>
              <w:t>RSV Season 1:</w:t>
            </w:r>
          </w:p>
          <w:p w14:paraId="176CBCF8"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MK-1654 105 mg Group:</w:t>
            </w:r>
          </w:p>
          <w:p w14:paraId="419A39AE"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Randomised: 450 Treated: 446 Completed: 228</w:t>
            </w:r>
          </w:p>
          <w:p w14:paraId="54A39BE8"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Palivizumab Group: Randomised: 451 Treated: 450 Completed: 230</w:t>
            </w:r>
          </w:p>
          <w:p w14:paraId="23A0E900" w14:textId="00CF2F57" w:rsidR="007A5B7C" w:rsidRPr="004A03BA" w:rsidRDefault="007A5B7C" w:rsidP="004A03BA">
            <w:pPr>
              <w:cnfStyle w:val="000000000000" w:firstRow="0" w:lastRow="0" w:firstColumn="0" w:lastColumn="0" w:oddVBand="0" w:evenVBand="0" w:oddHBand="0" w:evenHBand="0" w:firstRowFirstColumn="0" w:firstRowLastColumn="0" w:lastRowFirstColumn="0" w:lastRowLastColumn="0"/>
              <w:rPr>
                <w:b/>
              </w:rPr>
            </w:pPr>
            <w:r w:rsidRPr="004A03BA">
              <w:rPr>
                <w:b/>
              </w:rPr>
              <w:t>RSV Season 2:</w:t>
            </w:r>
          </w:p>
          <w:p w14:paraId="6F17770B"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MK-1654 210 mg (open label):</w:t>
            </w:r>
          </w:p>
          <w:p w14:paraId="723EDD39" w14:textId="4D256431" w:rsidR="007A5B7C" w:rsidRDefault="007A5B7C" w:rsidP="004A03BA">
            <w:pPr>
              <w:cnfStyle w:val="000000000000" w:firstRow="0" w:lastRow="0" w:firstColumn="0" w:lastColumn="0" w:oddVBand="0" w:evenVBand="0" w:oddHBand="0" w:evenHBand="0" w:firstRowFirstColumn="0" w:firstRowLastColumn="0" w:lastRowFirstColumn="0" w:lastRowLastColumn="0"/>
            </w:pPr>
            <w:r>
              <w:t>Treated: 117 Completed: 51</w:t>
            </w:r>
          </w:p>
        </w:tc>
        <w:tc>
          <w:tcPr>
            <w:tcW w:w="1769" w:type="dxa"/>
          </w:tcPr>
          <w:p w14:paraId="70B9DA33"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Season 1: at least 240 days post-dose</w:t>
            </w:r>
          </w:p>
          <w:p w14:paraId="24F4D888" w14:textId="77777777" w:rsidR="007A5B7C" w:rsidRDefault="007A5B7C" w:rsidP="004A03BA">
            <w:pPr>
              <w:cnfStyle w:val="000000000000" w:firstRow="0" w:lastRow="0" w:firstColumn="0" w:lastColumn="0" w:oddVBand="0" w:evenVBand="0" w:oddHBand="0" w:evenHBand="0" w:firstRowFirstColumn="0" w:firstRowLastColumn="0" w:lastRowFirstColumn="0" w:lastRowLastColumn="0"/>
            </w:pPr>
            <w:r>
              <w:t>Season 2: at least 180 days post-dose</w:t>
            </w:r>
          </w:p>
        </w:tc>
      </w:tr>
    </w:tbl>
    <w:p w14:paraId="4FBB01F2" w14:textId="433770C8" w:rsidR="007A5B7C" w:rsidRDefault="007A5B7C" w:rsidP="004A03BA">
      <w:pPr>
        <w:pStyle w:val="TableDescription"/>
      </w:pPr>
      <w:r>
        <w:t>*</w:t>
      </w:r>
      <w:r w:rsidRPr="009A4F26">
        <w:t xml:space="preserve">One participant in the placebo group was dosed with </w:t>
      </w:r>
      <w:proofErr w:type="spellStart"/>
      <w:r w:rsidRPr="009A4F26">
        <w:t>clesrovimab</w:t>
      </w:r>
      <w:proofErr w:type="spellEnd"/>
      <w:r w:rsidRPr="009A4F26">
        <w:t xml:space="preserve"> in error</w:t>
      </w:r>
      <w:r>
        <w:t xml:space="preserve">, </w:t>
      </w:r>
      <w:r w:rsidRPr="00390111">
        <w:t xml:space="preserve">MK-1654: </w:t>
      </w:r>
      <w:proofErr w:type="spellStart"/>
      <w:r w:rsidRPr="00390111">
        <w:t>clesrovimab</w:t>
      </w:r>
      <w:proofErr w:type="spellEnd"/>
      <w:r>
        <w:t xml:space="preserve">, CLD: chronic lung disease, CHD: </w:t>
      </w:r>
      <w:r w:rsidR="00EC4E5F">
        <w:t xml:space="preserve">congenital </w:t>
      </w:r>
      <w:r>
        <w:t>heart disease</w:t>
      </w:r>
    </w:p>
    <w:p w14:paraId="2CB0E3F6" w14:textId="62F748CD" w:rsidR="00F21362" w:rsidRPr="008E3231" w:rsidRDefault="00F21362" w:rsidP="004A03BA">
      <w:pPr>
        <w:pStyle w:val="Heading4"/>
        <w:rPr>
          <w:i/>
        </w:rPr>
      </w:pPr>
      <w:bookmarkStart w:id="57" w:name="_Toc238033744"/>
      <w:r w:rsidRPr="008E3231">
        <w:t>Main studies</w:t>
      </w:r>
      <w:bookmarkEnd w:id="57"/>
    </w:p>
    <w:p w14:paraId="2DDD5B6D" w14:textId="4DFE37D6" w:rsidR="007A5B7C" w:rsidRPr="00801C86" w:rsidRDefault="007A5B7C" w:rsidP="004A03BA">
      <w:pPr>
        <w:pStyle w:val="Heading5"/>
      </w:pPr>
      <w:r w:rsidRPr="00801C86">
        <w:t>Study MK-1654-004</w:t>
      </w:r>
    </w:p>
    <w:p w14:paraId="20093140" w14:textId="572E081E" w:rsidR="007A5B7C" w:rsidRDefault="007A5B7C" w:rsidP="004A03BA">
      <w:r w:rsidRPr="001E27D9">
        <w:t>This was a Phase 2b/3, double-blind, randomi</w:t>
      </w:r>
      <w:r>
        <w:t>s</w:t>
      </w:r>
      <w:r w:rsidRPr="001E27D9">
        <w:t xml:space="preserve">ed, placebo-controlled multi-site study to evaluate the efficacy and safety of </w:t>
      </w:r>
      <w:proofErr w:type="spellStart"/>
      <w:r w:rsidRPr="001E27D9">
        <w:t>clesrovimab</w:t>
      </w:r>
      <w:proofErr w:type="spellEnd"/>
      <w:r w:rsidRPr="001E27D9">
        <w:t xml:space="preserve"> in healthy preterm and full-term infants born during or entering their first RSV season</w:t>
      </w:r>
      <w:r>
        <w:t>.</w:t>
      </w:r>
    </w:p>
    <w:p w14:paraId="7B3ADF0E" w14:textId="0502057A" w:rsidR="00EC4E5F" w:rsidRPr="00B2595F" w:rsidRDefault="00EC4E5F" w:rsidP="004A03BA">
      <w:r w:rsidRPr="00C858ED">
        <w:t>The study is published at</w:t>
      </w:r>
      <w:r w:rsidR="00BB26D3">
        <w:t xml:space="preserve"> </w:t>
      </w:r>
      <w:hyperlink r:id="rId26" w:history="1">
        <w:proofErr w:type="spellStart"/>
        <w:r w:rsidR="00BB26D3" w:rsidRPr="00BB26D3">
          <w:rPr>
            <w:rStyle w:val="Hyperlink"/>
          </w:rPr>
          <w:t>Clesrovimab</w:t>
        </w:r>
        <w:proofErr w:type="spellEnd"/>
        <w:r w:rsidR="00BB26D3" w:rsidRPr="00BB26D3">
          <w:rPr>
            <w:rStyle w:val="Hyperlink"/>
          </w:rPr>
          <w:t xml:space="preserve"> for Prevention of RSV Disease in Healthy Infants</w:t>
        </w:r>
      </w:hyperlink>
      <w:r w:rsidR="00E4656B">
        <w:t xml:space="preserve"> </w:t>
      </w:r>
      <w:r w:rsidRPr="00C858ED">
        <w:t>and described in detail in the Health Canada BSEAR</w:t>
      </w:r>
      <w:r>
        <w:t>.</w:t>
      </w:r>
    </w:p>
    <w:p w14:paraId="1BB33720" w14:textId="77777777" w:rsidR="007A5B7C" w:rsidRPr="00801C86" w:rsidRDefault="007A5B7C" w:rsidP="004A03BA">
      <w:pPr>
        <w:pStyle w:val="Heading6"/>
      </w:pPr>
      <w:r w:rsidRPr="00801C86">
        <w:t>Primary objectives</w:t>
      </w:r>
    </w:p>
    <w:p w14:paraId="380CE0F2" w14:textId="3C1261DE" w:rsidR="00DE7E2D" w:rsidRDefault="007A5B7C" w:rsidP="004A03BA">
      <w:pPr>
        <w:pStyle w:val="Numberbullet0"/>
      </w:pPr>
      <w:r w:rsidRPr="00F25DE9">
        <w:t xml:space="preserve">To evaluate the efficacy of MK-1654 compared to placebo as assessed by the incidence of RSV-associated </w:t>
      </w:r>
      <w:r w:rsidRPr="005C5937">
        <w:t xml:space="preserve">medically attended lower respiratory infection </w:t>
      </w:r>
      <w:r>
        <w:t>(</w:t>
      </w:r>
      <w:r w:rsidRPr="00F25DE9">
        <w:t>MALRI</w:t>
      </w:r>
      <w:r>
        <w:t>)</w:t>
      </w:r>
      <w:r w:rsidRPr="00F25DE9">
        <w:t xml:space="preserve"> (outpatient and inpatient) from Days 1 through 150 </w:t>
      </w:r>
      <w:proofErr w:type="spellStart"/>
      <w:r w:rsidRPr="00F25DE9">
        <w:t>postdose</w:t>
      </w:r>
      <w:proofErr w:type="spellEnd"/>
      <w:r w:rsidRPr="00F25DE9">
        <w:t>.</w:t>
      </w:r>
    </w:p>
    <w:p w14:paraId="4556760E" w14:textId="50A72A41" w:rsidR="007A5B7C" w:rsidRDefault="007A5B7C" w:rsidP="00DE7E2D">
      <w:pPr>
        <w:pStyle w:val="Numberbullet0"/>
        <w:numPr>
          <w:ilvl w:val="0"/>
          <w:numId w:val="0"/>
        </w:numPr>
        <w:ind w:left="360"/>
      </w:pPr>
      <w:r w:rsidRPr="00F25DE9">
        <w:lastRenderedPageBreak/>
        <w:t xml:space="preserve">Hypothesis: Administration of MK-1654 reduces the incidence of RSV-associated MALRI from Days 1 through 150 </w:t>
      </w:r>
      <w:proofErr w:type="spellStart"/>
      <w:r w:rsidRPr="00F25DE9">
        <w:t>postdose</w:t>
      </w:r>
      <w:proofErr w:type="spellEnd"/>
      <w:r w:rsidRPr="00F25DE9">
        <w:t xml:space="preserve"> compared to placebo (The statistical criterion for success requires the lower limit of the 95% CI for efficacy to be greater than 25%).</w:t>
      </w:r>
    </w:p>
    <w:p w14:paraId="20FBD01A" w14:textId="7669390F" w:rsidR="007A5B7C" w:rsidRDefault="007A5B7C" w:rsidP="004A03BA">
      <w:pPr>
        <w:pStyle w:val="Numberbullet0"/>
      </w:pPr>
      <w:r w:rsidRPr="00A13DAD">
        <w:t>To evaluate the safety and tolerability of MK-1654 compared to placebo as assessed by the proportion of participants experiencing AEs.</w:t>
      </w:r>
    </w:p>
    <w:p w14:paraId="776B4730" w14:textId="77777777" w:rsidR="007A5B7C" w:rsidRPr="00801C86" w:rsidRDefault="007A5B7C" w:rsidP="004A03BA">
      <w:pPr>
        <w:pStyle w:val="Heading6"/>
      </w:pPr>
      <w:r w:rsidRPr="00801C86">
        <w:t>Primary endpoints</w:t>
      </w:r>
    </w:p>
    <w:p w14:paraId="69970328" w14:textId="093B004C" w:rsidR="007A5B7C" w:rsidRPr="005826F4" w:rsidRDefault="007A5B7C" w:rsidP="004A03BA">
      <w:pPr>
        <w:pStyle w:val="Numberbullet0"/>
        <w:numPr>
          <w:ilvl w:val="0"/>
          <w:numId w:val="8"/>
        </w:numPr>
      </w:pPr>
      <w:r w:rsidRPr="005826F4">
        <w:t>RSV-associated MALRI (outpatient and</w:t>
      </w:r>
      <w:r>
        <w:t xml:space="preserve"> </w:t>
      </w:r>
      <w:r w:rsidRPr="005826F4">
        <w:t>inpatient), defined as the following seen in</w:t>
      </w:r>
      <w:r>
        <w:t xml:space="preserve"> </w:t>
      </w:r>
      <w:r w:rsidRPr="005826F4">
        <w:t>an outpatient or inpatient clinical setting:</w:t>
      </w:r>
    </w:p>
    <w:p w14:paraId="0D4B04FB" w14:textId="77777777" w:rsidR="00801C86" w:rsidRDefault="007A5B7C" w:rsidP="004A03BA">
      <w:pPr>
        <w:pStyle w:val="ListBullet2"/>
      </w:pPr>
      <w:r w:rsidRPr="005826F4">
        <w:t>Cough or difficulty breathing</w:t>
      </w:r>
    </w:p>
    <w:p w14:paraId="61610626" w14:textId="58A6AD16" w:rsidR="007A5B7C" w:rsidRPr="005826F4" w:rsidRDefault="007A5B7C" w:rsidP="004A03BA">
      <w:pPr>
        <w:pStyle w:val="ListBullet2"/>
        <w:numPr>
          <w:ilvl w:val="0"/>
          <w:numId w:val="0"/>
        </w:numPr>
        <w:ind w:left="720"/>
      </w:pPr>
      <w:r w:rsidRPr="005826F4">
        <w:t>AND</w:t>
      </w:r>
    </w:p>
    <w:p w14:paraId="03BB09DB" w14:textId="77777777" w:rsidR="00801C86" w:rsidRDefault="007A5B7C" w:rsidP="004A03BA">
      <w:pPr>
        <w:pStyle w:val="ListBullet2"/>
      </w:pPr>
      <w:r w:rsidRPr="005826F4">
        <w:t>1 or more of the following: wheezing,</w:t>
      </w:r>
      <w:r>
        <w:t xml:space="preserve"> </w:t>
      </w:r>
      <w:r w:rsidRPr="005826F4">
        <w:t>chest wall in-drawing/retractions,</w:t>
      </w:r>
      <w:r>
        <w:t xml:space="preserve"> </w:t>
      </w:r>
      <w:r w:rsidRPr="005826F4">
        <w:t>rales/crackles, hypoxemia, tachypnoea,</w:t>
      </w:r>
      <w:r>
        <w:t xml:space="preserve"> </w:t>
      </w:r>
      <w:r w:rsidRPr="005826F4">
        <w:t>dehydration due to respiratory</w:t>
      </w:r>
      <w:r>
        <w:t xml:space="preserve"> </w:t>
      </w:r>
      <w:r w:rsidRPr="005826F4">
        <w:t>symptoms</w:t>
      </w:r>
    </w:p>
    <w:p w14:paraId="6235B9DE" w14:textId="43BB4E63" w:rsidR="007A5B7C" w:rsidRPr="005826F4" w:rsidRDefault="007A5B7C" w:rsidP="004A03BA">
      <w:pPr>
        <w:pStyle w:val="ListBullet2"/>
        <w:numPr>
          <w:ilvl w:val="0"/>
          <w:numId w:val="0"/>
        </w:numPr>
        <w:ind w:left="720"/>
      </w:pPr>
      <w:r w:rsidRPr="005826F4">
        <w:t>AND</w:t>
      </w:r>
    </w:p>
    <w:p w14:paraId="4228603A" w14:textId="3E8FB2EE" w:rsidR="007A5B7C" w:rsidRDefault="007A5B7C" w:rsidP="004A03BA">
      <w:pPr>
        <w:pStyle w:val="ListBullet2"/>
      </w:pPr>
      <w:r w:rsidRPr="005826F4">
        <w:t>RSV-positive RT-PCR NP sample</w:t>
      </w:r>
    </w:p>
    <w:p w14:paraId="456FDEB0" w14:textId="325F57B8" w:rsidR="0020702C" w:rsidRDefault="000C4531" w:rsidP="00801C86">
      <w:pPr>
        <w:pStyle w:val="Numberbullet0"/>
      </w:pPr>
      <w:r>
        <w:t>Additional p</w:t>
      </w:r>
      <w:r w:rsidR="00DC4C7A">
        <w:t xml:space="preserve">rimary </w:t>
      </w:r>
      <w:r>
        <w:t>safety and tolerability endpoints (presented in the BSEAR)</w:t>
      </w:r>
      <w:r w:rsidR="005E37F3">
        <w:t>:</w:t>
      </w:r>
    </w:p>
    <w:p w14:paraId="22005E19" w14:textId="18C48004" w:rsidR="007A5B7C" w:rsidRDefault="007A5B7C" w:rsidP="004A03BA">
      <w:pPr>
        <w:pStyle w:val="ListBullet2"/>
      </w:pPr>
      <w:r>
        <w:t xml:space="preserve">Solicited injection-site AEs from Days 1 through 5 </w:t>
      </w:r>
      <w:proofErr w:type="spellStart"/>
      <w:r>
        <w:t>postdose</w:t>
      </w:r>
      <w:proofErr w:type="spellEnd"/>
      <w:r>
        <w:t xml:space="preserve"> </w:t>
      </w:r>
    </w:p>
    <w:p w14:paraId="5937ED58" w14:textId="2F11EDE0" w:rsidR="0020702C" w:rsidRDefault="007A5B7C" w:rsidP="004A03BA">
      <w:pPr>
        <w:pStyle w:val="ListBullet2"/>
      </w:pPr>
      <w:r>
        <w:t>Solicited daily body temperature, with fever defined as rectal temperature</w:t>
      </w:r>
      <w:r w:rsidR="00B34EA3">
        <w:t xml:space="preserve"> </w:t>
      </w:r>
      <w:r>
        <w:t xml:space="preserve">≥102.2°F (≥39.0°C) or axillary temperature ≥101.7°F (≥38.7°C), from Days 1 through 5 </w:t>
      </w:r>
      <w:proofErr w:type="spellStart"/>
      <w:r>
        <w:t>postdose</w:t>
      </w:r>
      <w:proofErr w:type="spellEnd"/>
      <w:r w:rsidR="00B34EA3">
        <w:t>.</w:t>
      </w:r>
    </w:p>
    <w:p w14:paraId="5C8AB335" w14:textId="77777777" w:rsidR="0020702C" w:rsidRDefault="0020702C" w:rsidP="004A03BA">
      <w:pPr>
        <w:pStyle w:val="ListBullet2"/>
      </w:pPr>
      <w:r>
        <w:t xml:space="preserve">Solicited systemic AEs from Days 1 through 5 </w:t>
      </w:r>
      <w:proofErr w:type="spellStart"/>
      <w:r>
        <w:t>postdose</w:t>
      </w:r>
      <w:proofErr w:type="spellEnd"/>
    </w:p>
    <w:p w14:paraId="5009ECC4" w14:textId="77777777" w:rsidR="0020702C" w:rsidRDefault="0020702C" w:rsidP="004A03BA">
      <w:pPr>
        <w:pStyle w:val="ListBullet2"/>
      </w:pPr>
      <w:r>
        <w:t xml:space="preserve">Anaphylaxis/hypersensitivity AESI from Days 1 through 42 </w:t>
      </w:r>
      <w:proofErr w:type="spellStart"/>
      <w:r>
        <w:t>postdose</w:t>
      </w:r>
      <w:proofErr w:type="spellEnd"/>
    </w:p>
    <w:p w14:paraId="27CD065A" w14:textId="77777777" w:rsidR="0020702C" w:rsidRDefault="0020702C" w:rsidP="004A03BA">
      <w:pPr>
        <w:pStyle w:val="ListBullet2"/>
      </w:pPr>
      <w:r>
        <w:t xml:space="preserve">Rash AESI from Days 1 through 42 </w:t>
      </w:r>
      <w:proofErr w:type="spellStart"/>
      <w:r>
        <w:t>postdose</w:t>
      </w:r>
      <w:proofErr w:type="spellEnd"/>
    </w:p>
    <w:p w14:paraId="7F797ACA" w14:textId="77777777" w:rsidR="0020702C" w:rsidRDefault="0020702C" w:rsidP="004A03BA">
      <w:pPr>
        <w:pStyle w:val="ListBullet2"/>
      </w:pPr>
      <w:r>
        <w:t xml:space="preserve">Nonserious AEs from Days 1 through 42 </w:t>
      </w:r>
      <w:proofErr w:type="spellStart"/>
      <w:r>
        <w:t>postdose</w:t>
      </w:r>
      <w:proofErr w:type="spellEnd"/>
    </w:p>
    <w:p w14:paraId="3F2D21B0" w14:textId="5310AE73" w:rsidR="0020702C" w:rsidRPr="003C221F" w:rsidRDefault="0020702C" w:rsidP="004A03BA">
      <w:pPr>
        <w:pStyle w:val="ListBullet2"/>
      </w:pPr>
      <w:r>
        <w:t>SAEs through the duration of study participation</w:t>
      </w:r>
    </w:p>
    <w:p w14:paraId="49DF90D3" w14:textId="77777777" w:rsidR="007A5B7C" w:rsidRDefault="007A5B7C" w:rsidP="004A03BA">
      <w:r>
        <w:t>Secondary and exploratory objectives and endpoints are described in the Health Canada BSEAR.</w:t>
      </w:r>
    </w:p>
    <w:p w14:paraId="576CFA62" w14:textId="7DBA23D4" w:rsidR="00D56940" w:rsidRDefault="00D56940" w:rsidP="004A03BA">
      <w:pPr>
        <w:pStyle w:val="Heading6"/>
      </w:pPr>
      <w:r>
        <w:t>Subjects</w:t>
      </w:r>
    </w:p>
    <w:p w14:paraId="0C2063A5" w14:textId="1A70E486" w:rsidR="00BA40D6" w:rsidRPr="00BA40D6" w:rsidRDefault="00BA40D6" w:rsidP="004A03BA">
      <w:r w:rsidRPr="00BA40D6">
        <w:t>A total of 3614 randomized participants received study intervention across 192 study sites in 22 countries</w:t>
      </w:r>
      <w:r>
        <w:t xml:space="preserve">; </w:t>
      </w:r>
      <w:r w:rsidRPr="00BA40D6">
        <w:t xml:space="preserve">2411 participants in the </w:t>
      </w:r>
      <w:proofErr w:type="spellStart"/>
      <w:r w:rsidRPr="00BA40D6">
        <w:t>clesrovimab</w:t>
      </w:r>
      <w:proofErr w:type="spellEnd"/>
      <w:r w:rsidRPr="00BA40D6">
        <w:t xml:space="preserve"> group and 1203 in the placebo group. However, one (1)</w:t>
      </w:r>
      <w:r>
        <w:t xml:space="preserve"> </w:t>
      </w:r>
      <w:r w:rsidRPr="00BA40D6">
        <w:t xml:space="preserve">participant in the placebo group was dosed with </w:t>
      </w:r>
      <w:proofErr w:type="spellStart"/>
      <w:r w:rsidRPr="00BA40D6">
        <w:t>clesrovimab</w:t>
      </w:r>
      <w:proofErr w:type="spellEnd"/>
      <w:r w:rsidRPr="00BA40D6">
        <w:t xml:space="preserve"> in error. Therefore, 2412 participants received </w:t>
      </w:r>
      <w:proofErr w:type="spellStart"/>
      <w:r w:rsidRPr="00BA40D6">
        <w:t>clesrovimab</w:t>
      </w:r>
      <w:proofErr w:type="spellEnd"/>
      <w:r>
        <w:t xml:space="preserve"> </w:t>
      </w:r>
      <w:r w:rsidRPr="00BA40D6">
        <w:t>and 1202 participants received placebo.</w:t>
      </w:r>
    </w:p>
    <w:p w14:paraId="33307DE4" w14:textId="1A48807D" w:rsidR="00D56940" w:rsidRPr="00D56940" w:rsidRDefault="00BA40D6" w:rsidP="004A03BA">
      <w:r w:rsidRPr="00BA40D6">
        <w:t xml:space="preserve">Approximately half (51.1%) of the participants were male. The median age at the time of </w:t>
      </w:r>
      <w:proofErr w:type="spellStart"/>
      <w:r w:rsidRPr="00BA40D6">
        <w:t>enrollment</w:t>
      </w:r>
      <w:proofErr w:type="spellEnd"/>
      <w:r w:rsidRPr="00BA40D6">
        <w:t xml:space="preserve"> was 3.1 months</w:t>
      </w:r>
      <w:r>
        <w:t xml:space="preserve"> </w:t>
      </w:r>
      <w:r w:rsidRPr="00BA40D6">
        <w:t>(range: 0 to 12 months) with a majority (79.9%) of participants in the &lt;6 months age; and 4.2% of participants were ≥9</w:t>
      </w:r>
      <w:r w:rsidR="004D615B">
        <w:t xml:space="preserve"> </w:t>
      </w:r>
      <w:r w:rsidRPr="00BA40D6">
        <w:t xml:space="preserve">months of age at the time of </w:t>
      </w:r>
      <w:proofErr w:type="spellStart"/>
      <w:r w:rsidRPr="00BA40D6">
        <w:t>enrollment</w:t>
      </w:r>
      <w:proofErr w:type="spellEnd"/>
      <w:r w:rsidRPr="00BA40D6">
        <w:t>. The majority (82.5%) of participants were late preterm and full-term infants</w:t>
      </w:r>
      <w:r w:rsidR="004D615B">
        <w:t xml:space="preserve"> </w:t>
      </w:r>
      <w:r w:rsidRPr="00BA40D6">
        <w:t>(gestational age ≥35 weeks). The median body weight was 5.8 kg (range: 1.6 to 11.9 kg).</w:t>
      </w:r>
    </w:p>
    <w:p w14:paraId="135C6B06" w14:textId="7D163144" w:rsidR="007A5B7C" w:rsidRPr="0045337F" w:rsidRDefault="007A5B7C" w:rsidP="004A03BA">
      <w:pPr>
        <w:pStyle w:val="Heading6"/>
      </w:pPr>
      <w:r w:rsidRPr="0045337F">
        <w:t>Results</w:t>
      </w:r>
    </w:p>
    <w:p w14:paraId="5B8285EB" w14:textId="77777777" w:rsidR="007A5B7C" w:rsidRDefault="007A5B7C" w:rsidP="004A03BA">
      <w:r>
        <w:t xml:space="preserve">In healthy preterm and full-term infants (MK-1654-004), prophylaxis with </w:t>
      </w:r>
      <w:proofErr w:type="spellStart"/>
      <w:r>
        <w:t>clesrovimab</w:t>
      </w:r>
      <w:proofErr w:type="spellEnd"/>
      <w:r>
        <w:t xml:space="preserve"> provides high efficacy with durable responses through the first RSV season. Clinically meaningful benefits in preventing RSV disease were shown by the reduction of:</w:t>
      </w:r>
    </w:p>
    <w:p w14:paraId="39585FD0" w14:textId="13ED4E54" w:rsidR="007A5B7C" w:rsidRPr="004A03BA" w:rsidRDefault="007A5B7C" w:rsidP="004A03BA">
      <w:pPr>
        <w:pStyle w:val="ListBullet"/>
      </w:pPr>
      <w:r w:rsidRPr="004A03BA">
        <w:lastRenderedPageBreak/>
        <w:t xml:space="preserve">Incidence of RSV-associated </w:t>
      </w:r>
      <w:proofErr w:type="spellStart"/>
      <w:r w:rsidRPr="004A03BA">
        <w:t>MALRI</w:t>
      </w:r>
      <w:proofErr w:type="spellEnd"/>
      <w:r w:rsidRPr="004A03BA">
        <w:t xml:space="preserve"> (outpatient and inpatient) from </w:t>
      </w:r>
      <w:r w:rsidR="00702478" w:rsidRPr="004A03BA">
        <w:t>d</w:t>
      </w:r>
      <w:r w:rsidRPr="004A03BA">
        <w:t xml:space="preserve">ays 1 through 150, </w:t>
      </w:r>
      <w:proofErr w:type="spellStart"/>
      <w:r w:rsidRPr="004A03BA">
        <w:t>postdose</w:t>
      </w:r>
      <w:proofErr w:type="spellEnd"/>
      <w:r w:rsidRPr="004A03BA">
        <w:t xml:space="preserve"> compared with placebo, with efficacy of 60.4% (95% CI: 44.1%, 71.9%; p&lt;0.001).</w:t>
      </w:r>
    </w:p>
    <w:p w14:paraId="0E60876E" w14:textId="51BE3A1E" w:rsidR="007A5B7C" w:rsidRPr="004A03BA" w:rsidRDefault="007A5B7C" w:rsidP="004A03BA">
      <w:pPr>
        <w:pStyle w:val="ListBullet"/>
      </w:pPr>
      <w:r w:rsidRPr="004A03BA">
        <w:t xml:space="preserve">Incidence of RSV-associated hospitalisation from </w:t>
      </w:r>
      <w:r w:rsidR="00702478" w:rsidRPr="004A03BA">
        <w:t>d</w:t>
      </w:r>
      <w:r w:rsidRPr="004A03BA">
        <w:t xml:space="preserve">ays 1 through 150 </w:t>
      </w:r>
      <w:proofErr w:type="spellStart"/>
      <w:r w:rsidRPr="004A03BA">
        <w:t>postdose</w:t>
      </w:r>
      <w:proofErr w:type="spellEnd"/>
      <w:r w:rsidRPr="004A03BA">
        <w:t xml:space="preserve"> compared with placebo, with efficacy of 84.2% (95% CI: 66.6%, 92.6%, p&lt;0.001).</w:t>
      </w:r>
    </w:p>
    <w:p w14:paraId="28384AC6" w14:textId="1FBB692C" w:rsidR="007A5B7C" w:rsidRPr="004A03BA" w:rsidRDefault="007A5B7C" w:rsidP="004A03BA">
      <w:pPr>
        <w:pStyle w:val="ListBullet"/>
      </w:pPr>
      <w:r w:rsidRPr="004A03BA">
        <w:t xml:space="preserve">Incidence of RSV-associated </w:t>
      </w:r>
      <w:proofErr w:type="spellStart"/>
      <w:r w:rsidRPr="004A03BA">
        <w:t>MALRI</w:t>
      </w:r>
      <w:proofErr w:type="spellEnd"/>
      <w:r w:rsidRPr="004A03BA">
        <w:t xml:space="preserve"> (outpatient and inpatient) from </w:t>
      </w:r>
      <w:r w:rsidR="00702478" w:rsidRPr="004A03BA">
        <w:t>d</w:t>
      </w:r>
      <w:r w:rsidRPr="004A03BA">
        <w:t xml:space="preserve">ays 1 through 180 </w:t>
      </w:r>
      <w:proofErr w:type="spellStart"/>
      <w:r w:rsidRPr="004A03BA">
        <w:t>postdose</w:t>
      </w:r>
      <w:proofErr w:type="spellEnd"/>
      <w:r w:rsidRPr="004A03BA">
        <w:t xml:space="preserve"> compared with placebo, with efficacy of 59.5% (95% CI: 43.3%, 71.1%).</w:t>
      </w:r>
    </w:p>
    <w:p w14:paraId="40B67A94" w14:textId="23E7C2F6" w:rsidR="007A5B7C" w:rsidRDefault="0068045B" w:rsidP="004A03BA">
      <w:r w:rsidRPr="008E3231">
        <w:rPr>
          <w:b/>
        </w:rPr>
        <w:t xml:space="preserve">Table 4: </w:t>
      </w:r>
      <w:r w:rsidR="007A5B7C" w:rsidRPr="008E3231">
        <w:rPr>
          <w:b/>
        </w:rPr>
        <w:t xml:space="preserve">Efficacy results </w:t>
      </w:r>
      <w:r w:rsidR="00895384" w:rsidRPr="008E3231">
        <w:rPr>
          <w:b/>
        </w:rPr>
        <w:t xml:space="preserve">– </w:t>
      </w:r>
      <w:r w:rsidR="007A5B7C" w:rsidRPr="008E3231">
        <w:rPr>
          <w:b/>
        </w:rPr>
        <w:t xml:space="preserve">Health Canada </w:t>
      </w:r>
      <w:r w:rsidR="00393555" w:rsidRPr="008E3231">
        <w:rPr>
          <w:b/>
        </w:rPr>
        <w:t>Biologics Safety and Efficacy Assessment Report (</w:t>
      </w:r>
      <w:r w:rsidR="007A5B7C" w:rsidRPr="008E3231">
        <w:rPr>
          <w:b/>
        </w:rPr>
        <w:t>BSEAR)</w:t>
      </w:r>
      <w:r w:rsidR="00393555" w:rsidRPr="008E3231">
        <w:rPr>
          <w:rStyle w:val="FootnoteReference"/>
          <w:b/>
          <w:bCs/>
        </w:rPr>
        <w:footnoteReference w:id="6"/>
      </w:r>
      <w:r w:rsidR="007A5B7C">
        <w:rPr>
          <w:noProof/>
        </w:rPr>
        <w:drawing>
          <wp:inline distT="0" distB="0" distL="0" distR="0" wp14:anchorId="27F289C8" wp14:editId="4D64320D">
            <wp:extent cx="5764079" cy="3559666"/>
            <wp:effectExtent l="0" t="0" r="8255" b="3175"/>
            <wp:docPr id="2092189531" name="Picture 1" descr="Table 4: Efficacy results – Health Canada Biologics Safety and Efficacy Assessment Report (BS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89531" name="Picture 1" descr="Table 4: Efficacy results – Health Canada Biologics Safety and Efficacy Assessment Report (BSEA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4079" cy="3559666"/>
                    </a:xfrm>
                    <a:prstGeom prst="rect">
                      <a:avLst/>
                    </a:prstGeom>
                    <a:noFill/>
                  </pic:spPr>
                </pic:pic>
              </a:graphicData>
            </a:graphic>
          </wp:inline>
        </w:drawing>
      </w:r>
    </w:p>
    <w:p w14:paraId="3B61922A" w14:textId="2934B7E8" w:rsidR="00CD7659" w:rsidRPr="009454D9" w:rsidRDefault="00CD7659" w:rsidP="004A03BA">
      <w:pPr>
        <w:pStyle w:val="TableTitle"/>
      </w:pPr>
      <w:r w:rsidRPr="008E3231">
        <w:lastRenderedPageBreak/>
        <w:t xml:space="preserve">Table 5: Efficacy results </w:t>
      </w:r>
      <w:r w:rsidR="003C24C1" w:rsidRPr="008E3231">
        <w:t xml:space="preserve">– </w:t>
      </w:r>
      <w:r w:rsidRPr="008E3231">
        <w:t>Health Canada BSEAR</w:t>
      </w:r>
    </w:p>
    <w:p w14:paraId="3389484C" w14:textId="77777777" w:rsidR="007A5B7C" w:rsidRDefault="007A5B7C" w:rsidP="004A03BA">
      <w:r>
        <w:rPr>
          <w:noProof/>
        </w:rPr>
        <w:drawing>
          <wp:inline distT="0" distB="0" distL="0" distR="0" wp14:anchorId="753979AA" wp14:editId="63AECB9D">
            <wp:extent cx="5905500" cy="3421587"/>
            <wp:effectExtent l="0" t="0" r="0" b="7620"/>
            <wp:docPr id="2032862064" name="Picture 2" descr="Table 5: Efficacy results – Health Canada BS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62064" name="Picture 2" descr="Table 5: Efficacy results – Health Canada BSEA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6582" cy="3445389"/>
                    </a:xfrm>
                    <a:prstGeom prst="rect">
                      <a:avLst/>
                    </a:prstGeom>
                    <a:noFill/>
                  </pic:spPr>
                </pic:pic>
              </a:graphicData>
            </a:graphic>
          </wp:inline>
        </w:drawing>
      </w:r>
    </w:p>
    <w:p w14:paraId="34A75EDB" w14:textId="433BD2E4" w:rsidR="007A5B7C" w:rsidRPr="00E0015C" w:rsidRDefault="007A5B7C" w:rsidP="004A03BA">
      <w:pPr>
        <w:pStyle w:val="Heading5"/>
      </w:pPr>
      <w:r w:rsidRPr="00E0015C">
        <w:t>Study MK-1654-007</w:t>
      </w:r>
    </w:p>
    <w:p w14:paraId="13EEC9D5" w14:textId="77777777" w:rsidR="007A5B7C" w:rsidRDefault="007A5B7C" w:rsidP="004A03BA">
      <w:r w:rsidRPr="00B16060">
        <w:t>This is a Phase 3 partially blinded, randomi</w:t>
      </w:r>
      <w:r>
        <w:t>s</w:t>
      </w:r>
      <w:r w:rsidRPr="00B16060">
        <w:t>ed, active-controlled study to evaluate the safety, tolerability, and efficacy of MK-1654 versus palivizumab and the PK of MK-1654 in eligible infants who are born during or entering their first RSV season and recommended to receive palivizumab.</w:t>
      </w:r>
    </w:p>
    <w:p w14:paraId="4AC1B4CA" w14:textId="6FE9E76F" w:rsidR="007A5B7C" w:rsidRPr="00B16060" w:rsidRDefault="007A5B7C" w:rsidP="005C03D5">
      <w:r w:rsidRPr="00855848">
        <w:t xml:space="preserve">The </w:t>
      </w:r>
      <w:r w:rsidR="005127A3" w:rsidRPr="00855848">
        <w:t>study is published</w:t>
      </w:r>
      <w:r w:rsidR="00DB62FC" w:rsidRPr="00855848">
        <w:t xml:space="preserve"> </w:t>
      </w:r>
      <w:r w:rsidR="00855848" w:rsidRPr="00855848">
        <w:t xml:space="preserve">at </w:t>
      </w:r>
      <w:hyperlink r:id="rId29" w:history="1">
        <w:proofErr w:type="spellStart"/>
        <w:r w:rsidR="00855848" w:rsidRPr="00855848">
          <w:rPr>
            <w:rStyle w:val="Hyperlink"/>
          </w:rPr>
          <w:t>Clesrovimab</w:t>
        </w:r>
        <w:proofErr w:type="spellEnd"/>
        <w:r w:rsidR="00855848" w:rsidRPr="00855848">
          <w:rPr>
            <w:rStyle w:val="Hyperlink"/>
          </w:rPr>
          <w:t xml:space="preserve"> in Infants and Children at Increased Risk for Severe RSV Disease</w:t>
        </w:r>
      </w:hyperlink>
      <w:r w:rsidR="005127A3" w:rsidRPr="00855848">
        <w:t xml:space="preserve"> and </w:t>
      </w:r>
      <w:r w:rsidRPr="00855848">
        <w:t>described in detail in the Health Canada BSEAR.</w:t>
      </w:r>
    </w:p>
    <w:p w14:paraId="04417D02" w14:textId="77777777" w:rsidR="007A5B7C" w:rsidRPr="00E0015C" w:rsidRDefault="007A5B7C" w:rsidP="005C03D5">
      <w:pPr>
        <w:pStyle w:val="Heading6"/>
      </w:pPr>
      <w:r w:rsidRPr="00E0015C">
        <w:t>Primary objective</w:t>
      </w:r>
    </w:p>
    <w:p w14:paraId="5F655E1C" w14:textId="36E265CB" w:rsidR="007A5B7C" w:rsidRPr="004E79B2" w:rsidRDefault="007A5B7C" w:rsidP="005C03D5">
      <w:r w:rsidRPr="000B4295">
        <w:t>RSV Season 1: To evaluate the safety and tolerability of MK-1654 compared to palivizumab in RSV Season 1 as assessed by the proportion of participants experiencing AEs.</w:t>
      </w:r>
    </w:p>
    <w:p w14:paraId="4ED854B4" w14:textId="77777777" w:rsidR="007A5B7C" w:rsidRPr="00E0015C" w:rsidRDefault="007A5B7C" w:rsidP="005C03D5">
      <w:pPr>
        <w:pStyle w:val="Heading6"/>
      </w:pPr>
      <w:r w:rsidRPr="00E0015C">
        <w:t>Primary endpoints</w:t>
      </w:r>
    </w:p>
    <w:p w14:paraId="5C3652E2" w14:textId="5779914F" w:rsidR="007A5B7C" w:rsidRPr="005C03D5" w:rsidRDefault="007A5B7C" w:rsidP="005C03D5">
      <w:pPr>
        <w:pStyle w:val="ListBullet"/>
      </w:pPr>
      <w:r w:rsidRPr="005C03D5">
        <w:t>Solicited injection-site AEs from Days 1 through 5 after each dose</w:t>
      </w:r>
    </w:p>
    <w:p w14:paraId="2B168B9C" w14:textId="543B298C" w:rsidR="007A5B7C" w:rsidRPr="005C03D5" w:rsidRDefault="007A5B7C" w:rsidP="005C03D5">
      <w:pPr>
        <w:pStyle w:val="ListBullet"/>
      </w:pPr>
      <w:r w:rsidRPr="005C03D5">
        <w:t>Solicited daily body temperature, with fever defined as rectal temperature ≥</w:t>
      </w:r>
      <w:proofErr w:type="spellStart"/>
      <w:r w:rsidRPr="005C03D5">
        <w:t>102.2°F</w:t>
      </w:r>
      <w:proofErr w:type="spellEnd"/>
      <w:r w:rsidRPr="005C03D5">
        <w:t>(≥</w:t>
      </w:r>
      <w:proofErr w:type="spellStart"/>
      <w:r w:rsidRPr="005C03D5">
        <w:t>39.0°C</w:t>
      </w:r>
      <w:proofErr w:type="spellEnd"/>
      <w:r w:rsidRPr="005C03D5">
        <w:t>) or axillary temperature ≥</w:t>
      </w:r>
      <w:proofErr w:type="spellStart"/>
      <w:r w:rsidRPr="005C03D5">
        <w:t>101.7°F</w:t>
      </w:r>
      <w:proofErr w:type="spellEnd"/>
      <w:r w:rsidRPr="005C03D5">
        <w:t>(≥</w:t>
      </w:r>
      <w:proofErr w:type="spellStart"/>
      <w:r w:rsidRPr="005C03D5">
        <w:t>38.7°C</w:t>
      </w:r>
      <w:proofErr w:type="spellEnd"/>
      <w:r w:rsidRPr="005C03D5">
        <w:t>) from Days 1 through 5 after each dose</w:t>
      </w:r>
    </w:p>
    <w:p w14:paraId="1AF69B8B" w14:textId="627F5B40" w:rsidR="007A5B7C" w:rsidRPr="005C03D5" w:rsidRDefault="007A5B7C" w:rsidP="005C03D5">
      <w:pPr>
        <w:pStyle w:val="ListBullet"/>
      </w:pPr>
      <w:r w:rsidRPr="005C03D5">
        <w:t xml:space="preserve">Solicited systemic AEs from Days </w:t>
      </w:r>
      <w:proofErr w:type="spellStart"/>
      <w:r w:rsidRPr="005C03D5">
        <w:t>1through</w:t>
      </w:r>
      <w:proofErr w:type="spellEnd"/>
      <w:r w:rsidRPr="005C03D5">
        <w:t xml:space="preserve"> 5 after each dose</w:t>
      </w:r>
    </w:p>
    <w:p w14:paraId="01B9DBFF" w14:textId="09C8B168" w:rsidR="007A5B7C" w:rsidRPr="005C03D5" w:rsidRDefault="007A5B7C" w:rsidP="005C03D5">
      <w:pPr>
        <w:pStyle w:val="ListBullet"/>
      </w:pPr>
      <w:r w:rsidRPr="005C03D5">
        <w:t xml:space="preserve">Anaphylaxis/hypersensitivity </w:t>
      </w:r>
      <w:proofErr w:type="spellStart"/>
      <w:r w:rsidRPr="005C03D5">
        <w:t>AESI</w:t>
      </w:r>
      <w:proofErr w:type="spellEnd"/>
      <w:r w:rsidRPr="005C03D5">
        <w:t xml:space="preserve"> from Days 1 through 42 post Dose 1</w:t>
      </w:r>
    </w:p>
    <w:p w14:paraId="52397777" w14:textId="126FD140" w:rsidR="007A5B7C" w:rsidRPr="005C03D5" w:rsidRDefault="007A5B7C" w:rsidP="005C03D5">
      <w:pPr>
        <w:pStyle w:val="ListBullet"/>
      </w:pPr>
      <w:r w:rsidRPr="005C03D5">
        <w:t xml:space="preserve">Rash </w:t>
      </w:r>
      <w:proofErr w:type="spellStart"/>
      <w:r w:rsidRPr="005C03D5">
        <w:t>AESI</w:t>
      </w:r>
      <w:proofErr w:type="spellEnd"/>
      <w:r w:rsidRPr="005C03D5">
        <w:t xml:space="preserve"> from Days 1 through 42 post Dose 1</w:t>
      </w:r>
    </w:p>
    <w:p w14:paraId="01A8E20F" w14:textId="39B710D3" w:rsidR="007A5B7C" w:rsidRPr="005C03D5" w:rsidRDefault="007A5B7C" w:rsidP="005C03D5">
      <w:pPr>
        <w:pStyle w:val="ListBullet"/>
      </w:pPr>
      <w:r w:rsidRPr="005C03D5">
        <w:t>Non-serious AEs from Days 1 through 42 post Dose 1 and 14 days after each subsequent dose</w:t>
      </w:r>
    </w:p>
    <w:p w14:paraId="46F50B0D" w14:textId="7CDF0D37" w:rsidR="007A5B7C" w:rsidRPr="005C03D5" w:rsidRDefault="007A5B7C" w:rsidP="005C03D5">
      <w:pPr>
        <w:pStyle w:val="ListBullet"/>
      </w:pPr>
      <w:proofErr w:type="spellStart"/>
      <w:r w:rsidRPr="005C03D5">
        <w:t>SAEs</w:t>
      </w:r>
      <w:proofErr w:type="spellEnd"/>
      <w:r w:rsidRPr="005C03D5">
        <w:t xml:space="preserve"> through the duration of participation in RSV Season 1</w:t>
      </w:r>
    </w:p>
    <w:p w14:paraId="77B96026" w14:textId="77777777" w:rsidR="007A5B7C" w:rsidRPr="00E71C44" w:rsidRDefault="007A5B7C" w:rsidP="005C03D5">
      <w:pPr>
        <w:pStyle w:val="Heading6"/>
      </w:pPr>
      <w:r w:rsidRPr="00E71C44">
        <w:lastRenderedPageBreak/>
        <w:t>Efficacy results</w:t>
      </w:r>
    </w:p>
    <w:p w14:paraId="1DAA9B60" w14:textId="77777777" w:rsidR="007A5B7C" w:rsidRDefault="007A5B7C" w:rsidP="005C03D5">
      <w:r w:rsidRPr="0055307A">
        <w:t>Efficacy was a secondary endpoint in this study.</w:t>
      </w:r>
    </w:p>
    <w:p w14:paraId="3517783C" w14:textId="7F383AB3" w:rsidR="007A5B7C" w:rsidRDefault="001C6B52" w:rsidP="005C03D5">
      <w:pPr>
        <w:pStyle w:val="TableTitle"/>
      </w:pPr>
      <w:r>
        <w:t xml:space="preserve">Table 6: </w:t>
      </w:r>
      <w:r w:rsidR="00714D2D">
        <w:t>Summary of efficacy against RSV-associated disease endpoints</w:t>
      </w:r>
      <w:r w:rsidR="00093E46">
        <w:t xml:space="preserve"> – Health Canada </w:t>
      </w:r>
      <w:r w:rsidR="00093E46" w:rsidRPr="008E3231">
        <w:rPr>
          <w:bCs/>
        </w:rPr>
        <w:t>BSEAR</w:t>
      </w:r>
    </w:p>
    <w:p w14:paraId="606C5EC6" w14:textId="77777777" w:rsidR="007A5B7C" w:rsidRDefault="007A5B7C" w:rsidP="005C03D5">
      <w:r>
        <w:rPr>
          <w:noProof/>
        </w:rPr>
        <w:drawing>
          <wp:inline distT="0" distB="0" distL="0" distR="0" wp14:anchorId="6B4F1F4A" wp14:editId="2CB9364F">
            <wp:extent cx="5811573" cy="2910840"/>
            <wp:effectExtent l="0" t="0" r="0" b="3810"/>
            <wp:docPr id="649617129" name="Picture 1" descr="Table 6: Summary of efficacy against RSV-associated disease endpoints – Health Canada BS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17129" name="Picture 1" descr="Table 6: Summary of efficacy against RSV-associated disease endpoints – Health Canada BSEA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6685" cy="2913400"/>
                    </a:xfrm>
                    <a:prstGeom prst="rect">
                      <a:avLst/>
                    </a:prstGeom>
                    <a:noFill/>
                  </pic:spPr>
                </pic:pic>
              </a:graphicData>
            </a:graphic>
          </wp:inline>
        </w:drawing>
      </w:r>
    </w:p>
    <w:p w14:paraId="3448BDC0" w14:textId="24FAE148" w:rsidR="007A5B7C" w:rsidRPr="009B67BA" w:rsidRDefault="007A5B7C" w:rsidP="005C03D5">
      <w:pPr>
        <w:pStyle w:val="Heading6"/>
      </w:pPr>
      <w:r w:rsidRPr="009B67BA">
        <w:t>Health Canada conclusions</w:t>
      </w:r>
      <w:r w:rsidR="00855848">
        <w:t xml:space="preserve"> (</w:t>
      </w:r>
      <w:r w:rsidRPr="009B67BA">
        <w:t>Full Analysis Set population</w:t>
      </w:r>
      <w:r w:rsidR="00855848">
        <w:t>)</w:t>
      </w:r>
    </w:p>
    <w:p w14:paraId="65A434F5" w14:textId="0B3099F9" w:rsidR="007A5B7C" w:rsidRPr="00922E93" w:rsidRDefault="007A5B7C" w:rsidP="005C03D5">
      <w:pPr>
        <w:rPr>
          <w:lang w:val="en-CA" w:eastAsia="en-CA"/>
        </w:rPr>
      </w:pPr>
      <w:r w:rsidRPr="00922E93">
        <w:rPr>
          <w:lang w:val="en-CA" w:eastAsia="en-CA"/>
        </w:rPr>
        <w:t>The incidence rates of RSV-associated MALRI (outpatient and inpatient) from Days 1 through 150 post Dose 1 in RSV Season 1 were generally comparable between the MK-1654 group (incidence rate=3.6%) and the palivizumab group (incidence rate=3.0%).</w:t>
      </w:r>
    </w:p>
    <w:p w14:paraId="2D01A715" w14:textId="0ED0D273" w:rsidR="007A5B7C" w:rsidRPr="00922E93" w:rsidRDefault="007A5B7C" w:rsidP="005C03D5">
      <w:pPr>
        <w:rPr>
          <w:lang w:val="en-CA" w:eastAsia="en-CA"/>
        </w:rPr>
      </w:pPr>
      <w:r w:rsidRPr="00922E93">
        <w:rPr>
          <w:lang w:val="en-CA" w:eastAsia="en-CA"/>
        </w:rPr>
        <w:t>The incidence rates for RSV Strains A and B were generally consistent with the overall results.</w:t>
      </w:r>
    </w:p>
    <w:p w14:paraId="3373896D" w14:textId="77777777" w:rsidR="007A5B7C" w:rsidRPr="00922E93" w:rsidRDefault="007A5B7C" w:rsidP="005C03D5">
      <w:pPr>
        <w:rPr>
          <w:lang w:val="en-CA" w:eastAsia="en-CA"/>
        </w:rPr>
      </w:pPr>
      <w:proofErr w:type="spellStart"/>
      <w:r w:rsidRPr="00922E93">
        <w:rPr>
          <w:lang w:val="en-CA" w:eastAsia="en-CA"/>
        </w:rPr>
        <w:t>Clesrovimab</w:t>
      </w:r>
      <w:proofErr w:type="spellEnd"/>
      <w:r w:rsidRPr="00922E93">
        <w:rPr>
          <w:lang w:val="en-CA" w:eastAsia="en-CA"/>
        </w:rPr>
        <w:t xml:space="preserve"> sustained a similar level of protection against RSV-associated MALRI from Days 1 through 150 post Dose 1 in RSV Season 1 relative to palivizumab, as shown by the Kaplan-Meier plots of time to RSV-associated MALRI</w:t>
      </w:r>
      <w:r>
        <w:rPr>
          <w:lang w:val="en-CA" w:eastAsia="en-CA"/>
        </w:rPr>
        <w:t>.</w:t>
      </w:r>
    </w:p>
    <w:p w14:paraId="30BB9350" w14:textId="77777777" w:rsidR="007A5B7C" w:rsidRDefault="007A5B7C" w:rsidP="005C03D5">
      <w:pPr>
        <w:rPr>
          <w:lang w:val="en-CA" w:eastAsia="en-CA"/>
        </w:rPr>
      </w:pPr>
      <w:r w:rsidRPr="00922E93">
        <w:rPr>
          <w:lang w:val="en-CA" w:eastAsia="en-CA"/>
        </w:rPr>
        <w:t>Sensitivity analysis results, including RSV PCR results tested at both the study central laboratory and local laboratories were consistent with these results (including RSV PCR results from the study central laboratory only).</w:t>
      </w:r>
    </w:p>
    <w:p w14:paraId="0B45C0F1" w14:textId="77777777" w:rsidR="007A5B7C" w:rsidRDefault="007A5B7C" w:rsidP="005C03D5">
      <w:pPr>
        <w:pStyle w:val="Heading7"/>
        <w:rPr>
          <w:lang w:val="en-CA" w:eastAsia="en-CA"/>
        </w:rPr>
      </w:pPr>
      <w:r w:rsidRPr="000769B8">
        <w:rPr>
          <w:lang w:val="en-CA" w:eastAsia="en-CA"/>
        </w:rPr>
        <w:t>Immunogenicity</w:t>
      </w:r>
    </w:p>
    <w:p w14:paraId="26B7BD42" w14:textId="50ECA8E8" w:rsidR="00B92A5E" w:rsidRDefault="007A5B7C" w:rsidP="005C03D5">
      <w:pPr>
        <w:rPr>
          <w:lang w:val="en-CA" w:eastAsia="en-CA"/>
        </w:rPr>
      </w:pPr>
      <w:r w:rsidRPr="00B9435B">
        <w:rPr>
          <w:lang w:val="en-CA" w:eastAsia="en-CA"/>
        </w:rPr>
        <w:t>A</w:t>
      </w:r>
      <w:r>
        <w:rPr>
          <w:lang w:val="en-CA" w:eastAsia="en-CA"/>
        </w:rPr>
        <w:t>nti-drug antibodies (ADA)</w:t>
      </w:r>
      <w:r w:rsidRPr="00B9435B">
        <w:rPr>
          <w:lang w:val="en-CA" w:eastAsia="en-CA"/>
        </w:rPr>
        <w:t xml:space="preserve"> were assessed throughout clinical development of </w:t>
      </w:r>
      <w:proofErr w:type="spellStart"/>
      <w:r w:rsidRPr="00B9435B">
        <w:rPr>
          <w:lang w:val="en-CA" w:eastAsia="en-CA"/>
        </w:rPr>
        <w:t>clesrovimab</w:t>
      </w:r>
      <w:proofErr w:type="spellEnd"/>
      <w:r w:rsidRPr="00B9435B">
        <w:rPr>
          <w:lang w:val="en-CA" w:eastAsia="en-CA"/>
        </w:rPr>
        <w:t>.</w:t>
      </w:r>
      <w:r>
        <w:rPr>
          <w:lang w:val="en-CA" w:eastAsia="en-CA"/>
        </w:rPr>
        <w:t xml:space="preserve"> In the Clinical Overview, the Sponsor notes that ADA positivity increased over time in the infant studies and is summarised in the individual study reports</w:t>
      </w:r>
      <w:r w:rsidR="00B92A5E">
        <w:rPr>
          <w:lang w:val="en-CA" w:eastAsia="en-CA"/>
        </w:rPr>
        <w:t>:</w:t>
      </w:r>
    </w:p>
    <w:p w14:paraId="0E07A45D" w14:textId="60692732" w:rsidR="007A5B7C" w:rsidRDefault="007A5B7C" w:rsidP="005C03D5">
      <w:pPr>
        <w:ind w:left="720"/>
        <w:rPr>
          <w:lang w:val="en-CA" w:eastAsia="en-CA"/>
        </w:rPr>
      </w:pPr>
      <w:r>
        <w:rPr>
          <w:lang w:val="en-CA" w:eastAsia="en-CA"/>
        </w:rPr>
        <w:t>‘</w:t>
      </w:r>
      <w:r w:rsidRPr="00E95180">
        <w:rPr>
          <w:lang w:val="en-CA" w:eastAsia="en-CA"/>
        </w:rPr>
        <w:t>An integrated, prespecified assessment of the impact of ADA positivity on PK and PK/SNA</w:t>
      </w:r>
      <w:r>
        <w:rPr>
          <w:lang w:val="en-CA" w:eastAsia="en-CA"/>
        </w:rPr>
        <w:t xml:space="preserve"> </w:t>
      </w:r>
      <w:r w:rsidRPr="00E95180">
        <w:rPr>
          <w:lang w:val="en-CA" w:eastAsia="en-CA"/>
        </w:rPr>
        <w:t>relationship was conducted across pediatric studies (MK-1654-002, MK-1654-004, and</w:t>
      </w:r>
      <w:r>
        <w:rPr>
          <w:lang w:val="en-CA" w:eastAsia="en-CA"/>
        </w:rPr>
        <w:t xml:space="preserve"> </w:t>
      </w:r>
      <w:r w:rsidRPr="00E95180">
        <w:rPr>
          <w:lang w:val="en-CA" w:eastAsia="en-CA"/>
        </w:rPr>
        <w:t>MK-1654-007).</w:t>
      </w:r>
      <w:r>
        <w:rPr>
          <w:lang w:val="en-CA" w:eastAsia="en-CA"/>
        </w:rPr>
        <w:t xml:space="preserve">’ The Sponsor concluded that ‘based on </w:t>
      </w:r>
      <w:r w:rsidRPr="005D5530">
        <w:rPr>
          <w:lang w:val="en-CA" w:eastAsia="en-CA"/>
        </w:rPr>
        <w:t>efficacy and safety analyses by ADA status, ADA also did not have meaningful</w:t>
      </w:r>
      <w:r>
        <w:rPr>
          <w:lang w:val="en-CA" w:eastAsia="en-CA"/>
        </w:rPr>
        <w:t xml:space="preserve"> </w:t>
      </w:r>
      <w:r w:rsidRPr="005D5530">
        <w:rPr>
          <w:lang w:val="en-CA" w:eastAsia="en-CA"/>
        </w:rPr>
        <w:t xml:space="preserve">impact on efficacy and safety of </w:t>
      </w:r>
      <w:proofErr w:type="spellStart"/>
      <w:r w:rsidRPr="005D5530">
        <w:rPr>
          <w:lang w:val="en-CA" w:eastAsia="en-CA"/>
        </w:rPr>
        <w:t>clesrovimab</w:t>
      </w:r>
      <w:proofErr w:type="spellEnd"/>
      <w:r>
        <w:rPr>
          <w:lang w:val="en-CA" w:eastAsia="en-CA"/>
        </w:rPr>
        <w:t>.’</w:t>
      </w:r>
    </w:p>
    <w:p w14:paraId="44F54B52" w14:textId="252E7909" w:rsidR="00B92A5E" w:rsidRDefault="007A5B7C" w:rsidP="005C03D5">
      <w:pPr>
        <w:rPr>
          <w:lang w:val="en-CA" w:eastAsia="en-CA"/>
        </w:rPr>
      </w:pPr>
      <w:r>
        <w:rPr>
          <w:lang w:val="en-CA" w:eastAsia="en-CA"/>
        </w:rPr>
        <w:t xml:space="preserve">Health Canada provides detailed commentary in their </w:t>
      </w:r>
      <w:r w:rsidRPr="000865C6">
        <w:rPr>
          <w:lang w:val="en-CA" w:eastAsia="en-CA"/>
        </w:rPr>
        <w:t>BSEAR report</w:t>
      </w:r>
      <w:r w:rsidR="000865C6" w:rsidRPr="000865C6">
        <w:rPr>
          <w:rStyle w:val="FootnoteReference"/>
          <w:lang w:val="en-CA" w:eastAsia="en-CA"/>
        </w:rPr>
        <w:footnoteReference w:id="7"/>
      </w:r>
      <w:r w:rsidRPr="000865C6">
        <w:rPr>
          <w:lang w:val="en-CA" w:eastAsia="en-CA"/>
        </w:rPr>
        <w:t>,</w:t>
      </w:r>
      <w:r>
        <w:rPr>
          <w:lang w:val="en-CA" w:eastAsia="en-CA"/>
        </w:rPr>
        <w:t xml:space="preserve"> highlighting that in study </w:t>
      </w:r>
      <w:r w:rsidRPr="00DE6525">
        <w:rPr>
          <w:lang w:val="en-CA" w:eastAsia="en-CA"/>
        </w:rPr>
        <w:t>MK-1654-004</w:t>
      </w:r>
      <w:r w:rsidR="00B92A5E">
        <w:rPr>
          <w:lang w:val="en-CA" w:eastAsia="en-CA"/>
        </w:rPr>
        <w:t>:</w:t>
      </w:r>
    </w:p>
    <w:p w14:paraId="563929D9" w14:textId="65208BDC" w:rsidR="007A5B7C" w:rsidRPr="0078156D" w:rsidRDefault="007A5B7C" w:rsidP="005C03D5">
      <w:pPr>
        <w:ind w:left="720"/>
        <w:rPr>
          <w:lang w:val="en-CA" w:eastAsia="en-CA"/>
        </w:rPr>
      </w:pPr>
      <w:r w:rsidRPr="0078156D">
        <w:rPr>
          <w:lang w:val="en-CA" w:eastAsia="en-CA"/>
        </w:rPr>
        <w:lastRenderedPageBreak/>
        <w:t>‘</w:t>
      </w:r>
      <w:r w:rsidR="0078156D">
        <w:rPr>
          <w:lang w:val="en-CA" w:eastAsia="en-CA"/>
        </w:rPr>
        <w:t>T</w:t>
      </w:r>
      <w:r w:rsidRPr="0078156D">
        <w:rPr>
          <w:lang w:val="en-CA" w:eastAsia="en-CA"/>
        </w:rPr>
        <w:t xml:space="preserve">he ADA profile for </w:t>
      </w:r>
      <w:proofErr w:type="spellStart"/>
      <w:r w:rsidRPr="0078156D">
        <w:rPr>
          <w:lang w:val="en-CA" w:eastAsia="en-CA"/>
        </w:rPr>
        <w:t>clesrovimab</w:t>
      </w:r>
      <w:proofErr w:type="spellEnd"/>
      <w:r w:rsidRPr="0078156D">
        <w:rPr>
          <w:lang w:val="en-CA" w:eastAsia="en-CA"/>
        </w:rPr>
        <w:t xml:space="preserve"> shows low early immunogenicity but a substantial cumulative increase by one year and beyond. While initial short-term use appears unaffected, repeat dosing strategies would require careful monitoring of ADA impact on efficacy, pharmacokinetics, and safety. Neutralizing potential and clinical relevance of ADA must be clarified before endorsing annual use.’</w:t>
      </w:r>
    </w:p>
    <w:p w14:paraId="6A074E29" w14:textId="5E87DAE2" w:rsidR="007A5B7C" w:rsidRDefault="007A5B7C" w:rsidP="005C03D5">
      <w:pPr>
        <w:pStyle w:val="Heading4"/>
      </w:pPr>
      <w:bookmarkStart w:id="58" w:name="_Toc238033745"/>
      <w:r w:rsidRPr="00AA53F4">
        <w:t>Safety</w:t>
      </w:r>
      <w:bookmarkEnd w:id="58"/>
    </w:p>
    <w:p w14:paraId="354E5D0D" w14:textId="4A5C99F6" w:rsidR="007A5B7C" w:rsidRPr="00C936F6" w:rsidRDefault="000865C6" w:rsidP="005C03D5">
      <w:r w:rsidRPr="000865C6">
        <w:t>The</w:t>
      </w:r>
      <w:r w:rsidR="007A5B7C" w:rsidRPr="000865C6">
        <w:t xml:space="preserve"> Health Canada reports </w:t>
      </w:r>
      <w:r w:rsidRPr="000865C6">
        <w:t>contain the</w:t>
      </w:r>
      <w:r w:rsidR="007A5B7C" w:rsidRPr="000865C6">
        <w:t xml:space="preserve"> complete description of the safety data. </w:t>
      </w:r>
      <w:r w:rsidRPr="000865C6">
        <w:t xml:space="preserve">The TGA </w:t>
      </w:r>
      <w:r w:rsidR="007A5B7C" w:rsidRPr="000865C6">
        <w:t>accepts the assessment from Health Canada.</w:t>
      </w:r>
    </w:p>
    <w:p w14:paraId="6BDDB2A6" w14:textId="77777777" w:rsidR="008D746E" w:rsidRPr="0036665B" w:rsidRDefault="008D746E" w:rsidP="005C03D5">
      <w:pPr>
        <w:pStyle w:val="Heading5"/>
      </w:pPr>
      <w:r w:rsidRPr="0036665B">
        <w:t>Study MK-1654-004</w:t>
      </w:r>
    </w:p>
    <w:p w14:paraId="331B88B6" w14:textId="76304F8A" w:rsidR="008D746E" w:rsidRDefault="0036665B" w:rsidP="005C03D5">
      <w:pPr>
        <w:pStyle w:val="TableTitle"/>
      </w:pPr>
      <w:r>
        <w:t xml:space="preserve">Table 7: </w:t>
      </w:r>
      <w:r w:rsidR="00387679">
        <w:t xml:space="preserve">Analysis of </w:t>
      </w:r>
      <w:r w:rsidR="008D746E" w:rsidRPr="004B5A76">
        <w:t xml:space="preserve">Adverse Event </w:t>
      </w:r>
      <w:r>
        <w:t>s</w:t>
      </w:r>
      <w:r w:rsidR="008D746E" w:rsidRPr="004B5A76">
        <w:t>ummary</w:t>
      </w:r>
      <w:r w:rsidR="008D746E">
        <w:t xml:space="preserve"> </w:t>
      </w:r>
      <w:r w:rsidR="008D746E" w:rsidRPr="004B5A76">
        <w:t>(All Participants as Treated Population)</w:t>
      </w:r>
      <w:r w:rsidR="008D746E">
        <w:t xml:space="preserve"> </w:t>
      </w:r>
      <w:r w:rsidR="002D57F5">
        <w:t>–</w:t>
      </w:r>
      <w:r>
        <w:t xml:space="preserve"> </w:t>
      </w:r>
      <w:r w:rsidR="00387679">
        <w:t>D</w:t>
      </w:r>
      <w:r w:rsidR="008D746E" w:rsidRPr="004B5A76">
        <w:t xml:space="preserve">ays 1 </w:t>
      </w:r>
      <w:r w:rsidR="00260788">
        <w:t>t</w:t>
      </w:r>
      <w:r w:rsidR="008D746E" w:rsidRPr="004B5A76">
        <w:t xml:space="preserve">hrough 365 </w:t>
      </w:r>
      <w:proofErr w:type="spellStart"/>
      <w:r w:rsidR="008D746E" w:rsidRPr="004B5A76">
        <w:t>Postdose</w:t>
      </w:r>
      <w:proofErr w:type="spellEnd"/>
      <w:r w:rsidR="00260788">
        <w:t xml:space="preserve"> – Health Canada </w:t>
      </w:r>
      <w:r w:rsidR="00260788" w:rsidRPr="008E3231">
        <w:rPr>
          <w:bCs/>
        </w:rPr>
        <w:t>BSEAR</w:t>
      </w:r>
    </w:p>
    <w:p w14:paraId="42587214" w14:textId="6D2416B7" w:rsidR="008D746E" w:rsidRPr="00C936F6" w:rsidRDefault="006A39BB" w:rsidP="005C03D5">
      <w:r>
        <w:rPr>
          <w:noProof/>
          <w:lang w:eastAsia="zh-TW"/>
        </w:rPr>
        <w:drawing>
          <wp:inline distT="0" distB="0" distL="0" distR="0" wp14:anchorId="32433B89" wp14:editId="68863D0F">
            <wp:extent cx="4657725" cy="3552825"/>
            <wp:effectExtent l="0" t="0" r="9525" b="9525"/>
            <wp:docPr id="181153205" name="Picture 11" descr="Table 7: Analysis of Adverse Event summary (All Participants as Treated Population) – Days 1 through 365 Postdose – Health Canada BS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3205" name="Picture 11" descr="Table 7: Analysis of Adverse Event summary (All Participants as Treated Population) – Days 1 through 365 Postdose – Health Canada BSEAR"/>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4657725" cy="3552825"/>
                    </a:xfrm>
                    <a:prstGeom prst="rect">
                      <a:avLst/>
                    </a:prstGeom>
                    <a:noFill/>
                    <a:ln>
                      <a:noFill/>
                    </a:ln>
                  </pic:spPr>
                </pic:pic>
              </a:graphicData>
            </a:graphic>
          </wp:inline>
        </w:drawing>
      </w:r>
    </w:p>
    <w:p w14:paraId="4AF938F8" w14:textId="5D3340E6" w:rsidR="008D746E" w:rsidRPr="002E11D3" w:rsidRDefault="008D746E" w:rsidP="005C03D5">
      <w:pPr>
        <w:pStyle w:val="Heading5"/>
      </w:pPr>
      <w:r w:rsidRPr="002E11D3">
        <w:lastRenderedPageBreak/>
        <w:t>Study MK-1654-007</w:t>
      </w:r>
    </w:p>
    <w:p w14:paraId="560B6E24" w14:textId="3106B154" w:rsidR="008D746E" w:rsidRPr="001C0B0B" w:rsidRDefault="002E11D3" w:rsidP="005C03D5">
      <w:pPr>
        <w:pStyle w:val="TableTitle"/>
      </w:pPr>
      <w:r>
        <w:t xml:space="preserve">Table 8: </w:t>
      </w:r>
      <w:r w:rsidR="00E0312B">
        <w:t>Anal</w:t>
      </w:r>
      <w:r w:rsidR="0090081C">
        <w:t xml:space="preserve">ysis of </w:t>
      </w:r>
      <w:r w:rsidR="008D746E" w:rsidRPr="001C0B0B">
        <w:t xml:space="preserve">Adverse Event </w:t>
      </w:r>
      <w:r>
        <w:t>s</w:t>
      </w:r>
      <w:r w:rsidR="008D746E" w:rsidRPr="001C0B0B">
        <w:t>ummary (All Participants as Treated Population)</w:t>
      </w:r>
      <w:r w:rsidR="00D60C25">
        <w:t xml:space="preserve"> – </w:t>
      </w:r>
      <w:r w:rsidR="008D746E" w:rsidRPr="001C0B0B">
        <w:t>Following Any Dose in RSV Season 1)</w:t>
      </w:r>
      <w:r w:rsidR="008D746E">
        <w:t xml:space="preserve"> </w:t>
      </w:r>
      <w:r w:rsidR="00260788">
        <w:t xml:space="preserve">– Health Canada </w:t>
      </w:r>
      <w:r w:rsidR="00260788" w:rsidRPr="008E3231">
        <w:rPr>
          <w:bCs/>
        </w:rPr>
        <w:t>BSEAR</w:t>
      </w:r>
    </w:p>
    <w:p w14:paraId="0F8D3213" w14:textId="1A425593" w:rsidR="008D746E" w:rsidRDefault="006A39BB" w:rsidP="005C03D5">
      <w:r>
        <w:rPr>
          <w:noProof/>
        </w:rPr>
        <w:drawing>
          <wp:inline distT="0" distB="0" distL="0" distR="0" wp14:anchorId="79EAE5A1" wp14:editId="32A26275">
            <wp:extent cx="4752975" cy="4619625"/>
            <wp:effectExtent l="0" t="0" r="9525" b="9525"/>
            <wp:docPr id="601568591" name="Picture 10" descr="Table 8: Analysis of Adverse Event summary (All Participants as Treated Population) – Following Any Dose in RSV Season 1) – Health Canada BS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68591" name="Picture 10" descr="Table 8: Analysis of Adverse Event summary (All Participants as Treated Population) – Following Any Dose in RSV Season 1) – Health Canada BSEAR&#1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4752975" cy="4619625"/>
                    </a:xfrm>
                    <a:prstGeom prst="rect">
                      <a:avLst/>
                    </a:prstGeom>
                    <a:noFill/>
                    <a:ln>
                      <a:noFill/>
                    </a:ln>
                  </pic:spPr>
                </pic:pic>
              </a:graphicData>
            </a:graphic>
          </wp:inline>
        </w:drawing>
      </w:r>
    </w:p>
    <w:p w14:paraId="2124021C" w14:textId="77777777" w:rsidR="008D746E" w:rsidRPr="0091675D" w:rsidRDefault="008D746E" w:rsidP="005C03D5">
      <w:pPr>
        <w:pStyle w:val="Heading6"/>
      </w:pPr>
      <w:r w:rsidRPr="0091675D">
        <w:t>Infant safety database</w:t>
      </w:r>
    </w:p>
    <w:p w14:paraId="7D71A03E" w14:textId="77777777" w:rsidR="008D746E" w:rsidRDefault="008D746E" w:rsidP="005C03D5">
      <w:r>
        <w:t xml:space="preserve">Overall, 2947 infant participants received a single dose of </w:t>
      </w:r>
      <w:proofErr w:type="spellStart"/>
      <w:r>
        <w:t>clesrovimab</w:t>
      </w:r>
      <w:proofErr w:type="spellEnd"/>
      <w:r>
        <w:t>, and 1690 infant participants received control in the 4 studies presented in the Sponsor’s summary of clinical safety:</w:t>
      </w:r>
    </w:p>
    <w:p w14:paraId="03F5C37D" w14:textId="3E3F9069" w:rsidR="008D746E" w:rsidRPr="008E3A67" w:rsidRDefault="00DC0E9B" w:rsidP="005C03D5">
      <w:pPr>
        <w:pStyle w:val="TableTitle"/>
      </w:pPr>
      <w:r>
        <w:lastRenderedPageBreak/>
        <w:t xml:space="preserve">Table </w:t>
      </w:r>
      <w:r w:rsidR="00DE0E57">
        <w:t>9</w:t>
      </w:r>
      <w:r>
        <w:t xml:space="preserve">: </w:t>
      </w:r>
      <w:r w:rsidR="008D746E" w:rsidRPr="008E3A67">
        <w:t>Total Number of Participants in the Overall Infant Safety Database</w:t>
      </w:r>
      <w:r w:rsidR="00260788">
        <w:t xml:space="preserve"> – Health Canada </w:t>
      </w:r>
      <w:r w:rsidR="00822670" w:rsidRPr="008E3231">
        <w:t>BSEAR</w:t>
      </w:r>
    </w:p>
    <w:p w14:paraId="06594B36" w14:textId="77777777" w:rsidR="008D746E" w:rsidRDefault="008D746E" w:rsidP="005C03D5">
      <w:r w:rsidRPr="008E3A67">
        <w:rPr>
          <w:noProof/>
        </w:rPr>
        <w:drawing>
          <wp:inline distT="0" distB="0" distL="0" distR="0" wp14:anchorId="6071BD91" wp14:editId="00FB6658">
            <wp:extent cx="4789325" cy="3335655"/>
            <wp:effectExtent l="0" t="0" r="0" b="0"/>
            <wp:docPr id="93735516" name="Picture 1" descr="Table 9: Total Number of Participants in the Overall Infant Safety Database – Health Canada BS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5516" name="Picture 1" descr="Table 9: Total Number of Participants in the Overall Infant Safety Database – Health Canada BSEAR"/>
                    <pic:cNvPicPr/>
                  </pic:nvPicPr>
                  <pic:blipFill>
                    <a:blip r:embed="rId35"/>
                    <a:stretch>
                      <a:fillRect/>
                    </a:stretch>
                  </pic:blipFill>
                  <pic:spPr>
                    <a:xfrm>
                      <a:off x="0" y="0"/>
                      <a:ext cx="4799300" cy="3342603"/>
                    </a:xfrm>
                    <a:prstGeom prst="rect">
                      <a:avLst/>
                    </a:prstGeom>
                  </pic:spPr>
                </pic:pic>
              </a:graphicData>
            </a:graphic>
          </wp:inline>
        </w:drawing>
      </w:r>
    </w:p>
    <w:p w14:paraId="5CC82F6E" w14:textId="77777777" w:rsidR="008D746E" w:rsidRDefault="008D746E" w:rsidP="008D746E">
      <w:r>
        <w:t>In their overall benefit/risk assessment, Health Canada concluded that:</w:t>
      </w:r>
    </w:p>
    <w:p w14:paraId="06D06D39" w14:textId="44B5574D" w:rsidR="008D746E" w:rsidRDefault="008D746E" w:rsidP="00585EC7">
      <w:pPr>
        <w:ind w:left="720"/>
        <w:rPr>
          <w:lang w:val="en-US"/>
        </w:rPr>
      </w:pPr>
      <w:r w:rsidRPr="00DD5E39">
        <w:rPr>
          <w:lang w:val="en-CA"/>
        </w:rPr>
        <w:t>‘</w:t>
      </w:r>
      <w:r w:rsidRPr="00CB1CC5">
        <w:rPr>
          <w:lang w:val="en-CA"/>
        </w:rPr>
        <w:t xml:space="preserve">Across &gt;3,000 exposed infants in four studies, </w:t>
      </w:r>
      <w:proofErr w:type="spellStart"/>
      <w:r w:rsidRPr="00CB1CC5">
        <w:rPr>
          <w:lang w:val="en-CA"/>
        </w:rPr>
        <w:t>clesrovimab</w:t>
      </w:r>
      <w:proofErr w:type="spellEnd"/>
      <w:r w:rsidRPr="00CB1CC5">
        <w:rPr>
          <w:lang w:val="en-CA"/>
        </w:rPr>
        <w:t xml:space="preserve"> was well tolerated. The incidence and pattern of adverse events (AEs), including injection-site and systemic events, were comparable to placebo or palivizumab. Most AEs were mild/moderate; no treatment-related deaths, anaphylaxis, or hypersensitivity reactions were observed. Rash AEs were infrequent, non-serious, and balanced between groups. Anti-drug antibody (ADA) positivity increased over time, but no correlation with safety events was identified. Subgroup analyses, including low-weight infants (&lt;5 kg), revealed no increased safety risk despite higher exposures. Safety in infants &lt;1.1 kg is supported by PK simulations and small-number clinical data, although direct evidence is limited.</w:t>
      </w:r>
      <w:r w:rsidRPr="00DD5E39">
        <w:rPr>
          <w:lang w:val="en-US"/>
        </w:rPr>
        <w:t>’</w:t>
      </w:r>
      <w:r w:rsidR="000865C6">
        <w:rPr>
          <w:rStyle w:val="FootnoteReference"/>
          <w:lang w:val="en-US"/>
        </w:rPr>
        <w:footnoteReference w:id="8"/>
      </w:r>
    </w:p>
    <w:p w14:paraId="29039662" w14:textId="77777777" w:rsidR="008D746E" w:rsidRPr="00CC201B" w:rsidRDefault="008D746E" w:rsidP="00585EC7">
      <w:pPr>
        <w:pStyle w:val="Heading6"/>
      </w:pPr>
      <w:r w:rsidRPr="00CC201B">
        <w:t>Real world data</w:t>
      </w:r>
    </w:p>
    <w:p w14:paraId="09ACEB92" w14:textId="77777777" w:rsidR="008D746E" w:rsidRPr="00FD48EC" w:rsidRDefault="008D746E" w:rsidP="00585EC7">
      <w:r>
        <w:t>Real world data were not included in this submission.</w:t>
      </w:r>
    </w:p>
    <w:p w14:paraId="2858B006" w14:textId="35705C68" w:rsidR="00C22214" w:rsidRDefault="00C22214" w:rsidP="00585EC7">
      <w:pPr>
        <w:pStyle w:val="Heading3"/>
        <w:rPr>
          <w:lang w:eastAsia="en-AU"/>
        </w:rPr>
      </w:pPr>
      <w:bookmarkStart w:id="59" w:name="_Toc314842514"/>
      <w:bookmarkStart w:id="60" w:name="_Toc103679298"/>
      <w:bookmarkStart w:id="61" w:name="_Toc238033746"/>
      <w:r>
        <w:rPr>
          <w:lang w:eastAsia="en-AU"/>
        </w:rPr>
        <w:t>Risk management plan</w:t>
      </w:r>
      <w:bookmarkEnd w:id="59"/>
      <w:bookmarkEnd w:id="60"/>
      <w:bookmarkEnd w:id="61"/>
    </w:p>
    <w:p w14:paraId="4DAA42D2" w14:textId="47E1F5D7" w:rsidR="00B77FC3" w:rsidRDefault="00B77FC3" w:rsidP="00585EC7">
      <w:r w:rsidRPr="00233C19">
        <w:t>The lead agency for th</w:t>
      </w:r>
      <w:r w:rsidR="0058589F">
        <w:t>e</w:t>
      </w:r>
      <w:r w:rsidRPr="00233C19">
        <w:t xml:space="preserve"> </w:t>
      </w:r>
      <w:r w:rsidRPr="00DC0E9B">
        <w:t>ACCESS NASWASI workshare</w:t>
      </w:r>
      <w:r w:rsidRPr="00233C19">
        <w:t xml:space="preserve"> RMP evaluation </w:t>
      </w:r>
      <w:r>
        <w:t>was</w:t>
      </w:r>
      <w:r w:rsidRPr="00233C19">
        <w:t xml:space="preserve"> Health Canada</w:t>
      </w:r>
      <w:r>
        <w:t>.</w:t>
      </w:r>
    </w:p>
    <w:p w14:paraId="1C3893E1" w14:textId="5D234EF9" w:rsidR="005902AF" w:rsidRPr="00165E1A" w:rsidRDefault="005902AF" w:rsidP="00585EC7">
      <w:r w:rsidRPr="00165E1A">
        <w:t>The RMP evaluator noted that no safety concerns were proposed. The RMP evaluator concluded that the summary of safety concerns in the ASA aligned with the EU-RMP and other similar products and was acceptable.</w:t>
      </w:r>
    </w:p>
    <w:p w14:paraId="39F3CD1D" w14:textId="0B26137E" w:rsidR="0072003B" w:rsidRPr="00BD5DBD" w:rsidRDefault="00C22214" w:rsidP="00585EC7">
      <w:bookmarkStart w:id="62" w:name="_Toc247691531"/>
      <w:bookmarkStart w:id="63" w:name="_Toc314842515"/>
      <w:r w:rsidRPr="00BD5DBD">
        <w:t>The summary of safety concerns and their associated risk monitoring and mitigation strategies are summarised in</w:t>
      </w:r>
      <w:r w:rsidR="003B149C">
        <w:t xml:space="preserve"> </w:t>
      </w:r>
      <w:r w:rsidR="003B149C" w:rsidRPr="003B149C">
        <w:fldChar w:fldCharType="begin"/>
      </w:r>
      <w:r w:rsidR="003B149C" w:rsidRPr="003B149C">
        <w:instrText xml:space="preserve"> REF _Ref97629131 \h </w:instrText>
      </w:r>
      <w:r w:rsidR="003B149C">
        <w:instrText xml:space="preserve"> \* MERGEFORMAT </w:instrText>
      </w:r>
      <w:r w:rsidR="003B149C" w:rsidRPr="003B149C">
        <w:fldChar w:fldCharType="separate"/>
      </w:r>
      <w:r w:rsidR="008B1CB5" w:rsidRPr="008B1CB5">
        <w:t>Table</w:t>
      </w:r>
      <w:r w:rsidR="00DC0E9B">
        <w:t xml:space="preserve"> 11</w:t>
      </w:r>
      <w:r w:rsidR="003B149C" w:rsidRPr="003B149C">
        <w:fldChar w:fldCharType="end"/>
      </w:r>
      <w:r w:rsidR="008C49C6" w:rsidRPr="003B149C">
        <w:t>.</w:t>
      </w:r>
    </w:p>
    <w:p w14:paraId="56B51A93" w14:textId="5CD1F6DA" w:rsidR="006A277A" w:rsidRDefault="00C22214" w:rsidP="00585EC7">
      <w:pPr>
        <w:pStyle w:val="TableTitle"/>
      </w:pPr>
      <w:bookmarkStart w:id="64" w:name="_Ref97629131"/>
      <w:r>
        <w:lastRenderedPageBreak/>
        <w:t xml:space="preserve">Table </w:t>
      </w:r>
      <w:bookmarkEnd w:id="64"/>
      <w:r w:rsidR="00422311">
        <w:t>10</w:t>
      </w:r>
      <w:r>
        <w:t>: Summary of safety concerns</w:t>
      </w:r>
    </w:p>
    <w:tbl>
      <w:tblPr>
        <w:tblStyle w:val="TableTGAblue2023"/>
        <w:tblW w:w="9067" w:type="dxa"/>
        <w:tblLayout w:type="fixed"/>
        <w:tblLook w:val="04A0" w:firstRow="1" w:lastRow="0" w:firstColumn="1" w:lastColumn="0" w:noHBand="0" w:noVBand="1"/>
      </w:tblPr>
      <w:tblGrid>
        <w:gridCol w:w="2547"/>
        <w:gridCol w:w="1134"/>
        <w:gridCol w:w="1276"/>
        <w:gridCol w:w="1417"/>
        <w:gridCol w:w="1276"/>
        <w:gridCol w:w="1417"/>
      </w:tblGrid>
      <w:tr w:rsidR="00127A74" w:rsidRPr="007A1992" w14:paraId="359A0C59" w14:textId="77777777" w:rsidTr="00585EC7">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3681" w:type="dxa"/>
            <w:gridSpan w:val="2"/>
            <w:vMerge w:val="restart"/>
          </w:tcPr>
          <w:p w14:paraId="24B1F090" w14:textId="77777777" w:rsidR="00127A74" w:rsidRPr="00127A74" w:rsidRDefault="00127A74" w:rsidP="00585EC7">
            <w:r w:rsidRPr="00127A74">
              <w:t>Summary of safety concerns</w:t>
            </w:r>
          </w:p>
        </w:tc>
        <w:tc>
          <w:tcPr>
            <w:tcW w:w="2693" w:type="dxa"/>
            <w:gridSpan w:val="2"/>
          </w:tcPr>
          <w:p w14:paraId="596694C9" w14:textId="77777777" w:rsidR="00127A74" w:rsidRPr="00127A74" w:rsidRDefault="00127A74" w:rsidP="00585EC7">
            <w:pPr>
              <w:cnfStyle w:val="100000000000" w:firstRow="1" w:lastRow="0" w:firstColumn="0" w:lastColumn="0" w:oddVBand="0" w:evenVBand="0" w:oddHBand="0" w:evenHBand="0" w:firstRowFirstColumn="0" w:firstRowLastColumn="0" w:lastRowFirstColumn="0" w:lastRowLastColumn="0"/>
            </w:pPr>
            <w:r w:rsidRPr="00127A74">
              <w:t>Pharmacovigilance</w:t>
            </w:r>
          </w:p>
        </w:tc>
        <w:tc>
          <w:tcPr>
            <w:tcW w:w="2693" w:type="dxa"/>
            <w:gridSpan w:val="2"/>
          </w:tcPr>
          <w:p w14:paraId="4F66CB82" w14:textId="77777777" w:rsidR="00127A74" w:rsidRPr="00127A74" w:rsidRDefault="00127A74" w:rsidP="00585EC7">
            <w:pPr>
              <w:cnfStyle w:val="100000000000" w:firstRow="1" w:lastRow="0" w:firstColumn="0" w:lastColumn="0" w:oddVBand="0" w:evenVBand="0" w:oddHBand="0" w:evenHBand="0" w:firstRowFirstColumn="0" w:firstRowLastColumn="0" w:lastRowFirstColumn="0" w:lastRowLastColumn="0"/>
            </w:pPr>
            <w:r w:rsidRPr="00127A74">
              <w:t>Risk minimisation</w:t>
            </w:r>
          </w:p>
        </w:tc>
      </w:tr>
      <w:tr w:rsidR="00127A74" w:rsidRPr="007A1992" w14:paraId="12411E68" w14:textId="77777777" w:rsidTr="00585EC7">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681" w:type="dxa"/>
            <w:gridSpan w:val="2"/>
            <w:vMerge/>
          </w:tcPr>
          <w:p w14:paraId="71D88F2A" w14:textId="77777777" w:rsidR="00127A74" w:rsidRPr="00127A74" w:rsidRDefault="00127A74" w:rsidP="00585EC7"/>
        </w:tc>
        <w:tc>
          <w:tcPr>
            <w:tcW w:w="1276" w:type="dxa"/>
            <w:shd w:val="clear" w:color="auto" w:fill="DEEAF6"/>
          </w:tcPr>
          <w:p w14:paraId="1BF9407C" w14:textId="77777777" w:rsidR="00127A74" w:rsidRPr="00127A74" w:rsidRDefault="00127A74" w:rsidP="00585EC7">
            <w:pPr>
              <w:cnfStyle w:val="100000000000" w:firstRow="1" w:lastRow="0" w:firstColumn="0" w:lastColumn="0" w:oddVBand="0" w:evenVBand="0" w:oddHBand="0" w:evenHBand="0" w:firstRowFirstColumn="0" w:firstRowLastColumn="0" w:lastRowFirstColumn="0" w:lastRowLastColumn="0"/>
              <w:rPr>
                <w:b w:val="0"/>
              </w:rPr>
            </w:pPr>
            <w:r w:rsidRPr="00127A74">
              <w:t>Routine</w:t>
            </w:r>
          </w:p>
        </w:tc>
        <w:tc>
          <w:tcPr>
            <w:tcW w:w="1417" w:type="dxa"/>
            <w:shd w:val="clear" w:color="auto" w:fill="DEEAF6"/>
          </w:tcPr>
          <w:p w14:paraId="442BA332" w14:textId="77777777" w:rsidR="00127A74" w:rsidRPr="00127A74" w:rsidRDefault="00127A74" w:rsidP="00585EC7">
            <w:pPr>
              <w:cnfStyle w:val="100000000000" w:firstRow="1" w:lastRow="0" w:firstColumn="0" w:lastColumn="0" w:oddVBand="0" w:evenVBand="0" w:oddHBand="0" w:evenHBand="0" w:firstRowFirstColumn="0" w:firstRowLastColumn="0" w:lastRowFirstColumn="0" w:lastRowLastColumn="0"/>
              <w:rPr>
                <w:b w:val="0"/>
              </w:rPr>
            </w:pPr>
            <w:r w:rsidRPr="00127A74">
              <w:t>Additional</w:t>
            </w:r>
          </w:p>
        </w:tc>
        <w:tc>
          <w:tcPr>
            <w:tcW w:w="1276" w:type="dxa"/>
            <w:shd w:val="clear" w:color="auto" w:fill="DEEAF6"/>
          </w:tcPr>
          <w:p w14:paraId="5920A04F" w14:textId="77777777" w:rsidR="00127A74" w:rsidRPr="00127A74" w:rsidRDefault="00127A74" w:rsidP="00585EC7">
            <w:pPr>
              <w:cnfStyle w:val="100000000000" w:firstRow="1" w:lastRow="0" w:firstColumn="0" w:lastColumn="0" w:oddVBand="0" w:evenVBand="0" w:oddHBand="0" w:evenHBand="0" w:firstRowFirstColumn="0" w:firstRowLastColumn="0" w:lastRowFirstColumn="0" w:lastRowLastColumn="0"/>
              <w:rPr>
                <w:b w:val="0"/>
              </w:rPr>
            </w:pPr>
            <w:r w:rsidRPr="00127A74">
              <w:t>Routine</w:t>
            </w:r>
          </w:p>
        </w:tc>
        <w:tc>
          <w:tcPr>
            <w:tcW w:w="1417" w:type="dxa"/>
            <w:shd w:val="clear" w:color="auto" w:fill="DEEAF6"/>
          </w:tcPr>
          <w:p w14:paraId="53B2ED29" w14:textId="77777777" w:rsidR="00127A74" w:rsidRPr="00127A74" w:rsidRDefault="00127A74" w:rsidP="00585EC7">
            <w:pPr>
              <w:cnfStyle w:val="100000000000" w:firstRow="1" w:lastRow="0" w:firstColumn="0" w:lastColumn="0" w:oddVBand="0" w:evenVBand="0" w:oddHBand="0" w:evenHBand="0" w:firstRowFirstColumn="0" w:firstRowLastColumn="0" w:lastRowFirstColumn="0" w:lastRowLastColumn="0"/>
              <w:rPr>
                <w:b w:val="0"/>
              </w:rPr>
            </w:pPr>
            <w:r w:rsidRPr="00127A74">
              <w:t>Additional</w:t>
            </w:r>
          </w:p>
        </w:tc>
      </w:tr>
      <w:tr w:rsidR="00F36F42" w:rsidRPr="007A1992" w14:paraId="05599231" w14:textId="77777777" w:rsidTr="00CB6544">
        <w:trPr>
          <w:trHeight w:val="832"/>
        </w:trPr>
        <w:tc>
          <w:tcPr>
            <w:cnfStyle w:val="001000000000" w:firstRow="0" w:lastRow="0" w:firstColumn="1" w:lastColumn="0" w:oddVBand="0" w:evenVBand="0" w:oddHBand="0" w:evenHBand="0" w:firstRowFirstColumn="0" w:firstRowLastColumn="0" w:lastRowFirstColumn="0" w:lastRowLastColumn="0"/>
            <w:tcW w:w="2547" w:type="dxa"/>
          </w:tcPr>
          <w:p w14:paraId="67382D75" w14:textId="77777777" w:rsidR="00F36F42" w:rsidRPr="00585EC7" w:rsidRDefault="00F36F42" w:rsidP="00585EC7">
            <w:pPr>
              <w:rPr>
                <w:b/>
              </w:rPr>
            </w:pPr>
            <w:r w:rsidRPr="00585EC7">
              <w:rPr>
                <w:b/>
              </w:rPr>
              <w:t>Important identified risks</w:t>
            </w:r>
          </w:p>
        </w:tc>
        <w:tc>
          <w:tcPr>
            <w:tcW w:w="1134" w:type="dxa"/>
          </w:tcPr>
          <w:p w14:paraId="7134CBC0" w14:textId="6E22C9D1" w:rsidR="00F36F42" w:rsidRPr="00127A74" w:rsidRDefault="00F36F42" w:rsidP="00585EC7">
            <w:pPr>
              <w:cnfStyle w:val="000000000000" w:firstRow="0" w:lastRow="0" w:firstColumn="0" w:lastColumn="0" w:oddVBand="0" w:evenVBand="0" w:oddHBand="0" w:evenHBand="0" w:firstRowFirstColumn="0" w:firstRowLastColumn="0" w:lastRowFirstColumn="0" w:lastRowLastColumn="0"/>
            </w:pPr>
            <w:r>
              <w:t>None</w:t>
            </w:r>
          </w:p>
        </w:tc>
        <w:tc>
          <w:tcPr>
            <w:tcW w:w="1276" w:type="dxa"/>
          </w:tcPr>
          <w:p w14:paraId="11797452" w14:textId="0EE092B9" w:rsidR="00F36F42" w:rsidRPr="00127A74" w:rsidRDefault="00F36F42" w:rsidP="00585EC7">
            <w:pPr>
              <w:cnfStyle w:val="000000000000" w:firstRow="0" w:lastRow="0" w:firstColumn="0" w:lastColumn="0" w:oddVBand="0" w:evenVBand="0" w:oddHBand="0" w:evenHBand="0" w:firstRowFirstColumn="0" w:firstRowLastColumn="0" w:lastRowFirstColumn="0" w:lastRowLastColumn="0"/>
            </w:pPr>
            <w:r>
              <w:t>–</w:t>
            </w:r>
          </w:p>
        </w:tc>
        <w:tc>
          <w:tcPr>
            <w:tcW w:w="1417" w:type="dxa"/>
          </w:tcPr>
          <w:p w14:paraId="7B703318" w14:textId="60CABDE2" w:rsidR="00F36F42" w:rsidRPr="00127A74" w:rsidRDefault="00F36F42" w:rsidP="00585EC7">
            <w:pPr>
              <w:cnfStyle w:val="000000000000" w:firstRow="0" w:lastRow="0" w:firstColumn="0" w:lastColumn="0" w:oddVBand="0" w:evenVBand="0" w:oddHBand="0" w:evenHBand="0" w:firstRowFirstColumn="0" w:firstRowLastColumn="0" w:lastRowFirstColumn="0" w:lastRowLastColumn="0"/>
            </w:pPr>
            <w:r w:rsidRPr="00AC3F30">
              <w:t>–</w:t>
            </w:r>
          </w:p>
        </w:tc>
        <w:tc>
          <w:tcPr>
            <w:tcW w:w="1276" w:type="dxa"/>
          </w:tcPr>
          <w:p w14:paraId="1A652099" w14:textId="07ADD959" w:rsidR="00F36F42" w:rsidRPr="00127A74" w:rsidRDefault="00F36F42" w:rsidP="00585EC7">
            <w:pPr>
              <w:cnfStyle w:val="000000000000" w:firstRow="0" w:lastRow="0" w:firstColumn="0" w:lastColumn="0" w:oddVBand="0" w:evenVBand="0" w:oddHBand="0" w:evenHBand="0" w:firstRowFirstColumn="0" w:firstRowLastColumn="0" w:lastRowFirstColumn="0" w:lastRowLastColumn="0"/>
            </w:pPr>
            <w:r w:rsidRPr="00AC3F30">
              <w:t>–</w:t>
            </w:r>
          </w:p>
        </w:tc>
        <w:tc>
          <w:tcPr>
            <w:tcW w:w="1417" w:type="dxa"/>
          </w:tcPr>
          <w:p w14:paraId="34A0513E" w14:textId="667B2686" w:rsidR="00F36F42" w:rsidRPr="00127A74" w:rsidRDefault="00F36F42" w:rsidP="00585EC7">
            <w:pPr>
              <w:cnfStyle w:val="000000000000" w:firstRow="0" w:lastRow="0" w:firstColumn="0" w:lastColumn="0" w:oddVBand="0" w:evenVBand="0" w:oddHBand="0" w:evenHBand="0" w:firstRowFirstColumn="0" w:firstRowLastColumn="0" w:lastRowFirstColumn="0" w:lastRowLastColumn="0"/>
            </w:pPr>
            <w:r w:rsidRPr="00AC3F30">
              <w:t>–</w:t>
            </w:r>
          </w:p>
        </w:tc>
      </w:tr>
      <w:tr w:rsidR="00122C57" w:rsidRPr="007A1992" w14:paraId="176B93B3" w14:textId="77777777" w:rsidTr="00CB6544">
        <w:trPr>
          <w:trHeight w:val="844"/>
        </w:trPr>
        <w:tc>
          <w:tcPr>
            <w:cnfStyle w:val="001000000000" w:firstRow="0" w:lastRow="0" w:firstColumn="1" w:lastColumn="0" w:oddVBand="0" w:evenVBand="0" w:oddHBand="0" w:evenHBand="0" w:firstRowFirstColumn="0" w:firstRowLastColumn="0" w:lastRowFirstColumn="0" w:lastRowLastColumn="0"/>
            <w:tcW w:w="2547" w:type="dxa"/>
          </w:tcPr>
          <w:p w14:paraId="77F0DB3E" w14:textId="77777777" w:rsidR="00122C57" w:rsidRPr="00585EC7" w:rsidRDefault="00122C57" w:rsidP="00585EC7">
            <w:pPr>
              <w:rPr>
                <w:b/>
              </w:rPr>
            </w:pPr>
            <w:r w:rsidRPr="00585EC7">
              <w:rPr>
                <w:b/>
              </w:rPr>
              <w:t>Important potential risks</w:t>
            </w:r>
          </w:p>
        </w:tc>
        <w:tc>
          <w:tcPr>
            <w:tcW w:w="1134" w:type="dxa"/>
          </w:tcPr>
          <w:p w14:paraId="6E17E14A" w14:textId="073B559F"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t>None</w:t>
            </w:r>
          </w:p>
        </w:tc>
        <w:tc>
          <w:tcPr>
            <w:tcW w:w="1276" w:type="dxa"/>
          </w:tcPr>
          <w:p w14:paraId="252AD92F" w14:textId="6827138C"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73959">
              <w:t>–</w:t>
            </w:r>
          </w:p>
        </w:tc>
        <w:tc>
          <w:tcPr>
            <w:tcW w:w="1417" w:type="dxa"/>
          </w:tcPr>
          <w:p w14:paraId="77DA98F1" w14:textId="5CE37971"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C3F30">
              <w:t>–</w:t>
            </w:r>
          </w:p>
        </w:tc>
        <w:tc>
          <w:tcPr>
            <w:tcW w:w="1276" w:type="dxa"/>
          </w:tcPr>
          <w:p w14:paraId="182A5096" w14:textId="3377DA9D"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C3F30">
              <w:t>–</w:t>
            </w:r>
          </w:p>
        </w:tc>
        <w:tc>
          <w:tcPr>
            <w:tcW w:w="1417" w:type="dxa"/>
          </w:tcPr>
          <w:p w14:paraId="2A6247DC" w14:textId="1D81C24A"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C3F30">
              <w:t>–</w:t>
            </w:r>
          </w:p>
        </w:tc>
      </w:tr>
      <w:tr w:rsidR="00122C57" w:rsidRPr="007A1992" w14:paraId="74C5E610" w14:textId="77777777" w:rsidTr="00CB6544">
        <w:trPr>
          <w:trHeight w:val="701"/>
        </w:trPr>
        <w:tc>
          <w:tcPr>
            <w:cnfStyle w:val="001000000000" w:firstRow="0" w:lastRow="0" w:firstColumn="1" w:lastColumn="0" w:oddVBand="0" w:evenVBand="0" w:oddHBand="0" w:evenHBand="0" w:firstRowFirstColumn="0" w:firstRowLastColumn="0" w:lastRowFirstColumn="0" w:lastRowLastColumn="0"/>
            <w:tcW w:w="2547" w:type="dxa"/>
          </w:tcPr>
          <w:p w14:paraId="262C65E3" w14:textId="77777777" w:rsidR="00122C57" w:rsidRPr="00585EC7" w:rsidRDefault="00122C57" w:rsidP="00585EC7">
            <w:pPr>
              <w:rPr>
                <w:b/>
              </w:rPr>
            </w:pPr>
            <w:r w:rsidRPr="00585EC7">
              <w:rPr>
                <w:b/>
              </w:rPr>
              <w:t>Missing information</w:t>
            </w:r>
          </w:p>
        </w:tc>
        <w:tc>
          <w:tcPr>
            <w:tcW w:w="1134" w:type="dxa"/>
          </w:tcPr>
          <w:p w14:paraId="104D79CD" w14:textId="10A485AE"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t>None</w:t>
            </w:r>
          </w:p>
        </w:tc>
        <w:tc>
          <w:tcPr>
            <w:tcW w:w="1276" w:type="dxa"/>
          </w:tcPr>
          <w:p w14:paraId="07467A21" w14:textId="3E25D660"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73959">
              <w:t>–</w:t>
            </w:r>
          </w:p>
        </w:tc>
        <w:tc>
          <w:tcPr>
            <w:tcW w:w="1417" w:type="dxa"/>
          </w:tcPr>
          <w:p w14:paraId="35C7F07F" w14:textId="1DB6C4EF"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C3F30">
              <w:t>–</w:t>
            </w:r>
          </w:p>
        </w:tc>
        <w:tc>
          <w:tcPr>
            <w:tcW w:w="1276" w:type="dxa"/>
          </w:tcPr>
          <w:p w14:paraId="52620DEE" w14:textId="180A841E"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C3F30">
              <w:t>–</w:t>
            </w:r>
          </w:p>
        </w:tc>
        <w:tc>
          <w:tcPr>
            <w:tcW w:w="1417" w:type="dxa"/>
          </w:tcPr>
          <w:p w14:paraId="16BD3C7B" w14:textId="16076208" w:rsidR="00122C57" w:rsidRPr="00127A74" w:rsidRDefault="00122C57" w:rsidP="00585EC7">
            <w:pPr>
              <w:cnfStyle w:val="000000000000" w:firstRow="0" w:lastRow="0" w:firstColumn="0" w:lastColumn="0" w:oddVBand="0" w:evenVBand="0" w:oddHBand="0" w:evenHBand="0" w:firstRowFirstColumn="0" w:firstRowLastColumn="0" w:lastRowFirstColumn="0" w:lastRowLastColumn="0"/>
            </w:pPr>
            <w:r w:rsidRPr="00AC3F30">
              <w:t>–</w:t>
            </w:r>
          </w:p>
        </w:tc>
      </w:tr>
    </w:tbl>
    <w:p w14:paraId="456C7934" w14:textId="084615A5" w:rsidR="00FA1BC9" w:rsidRDefault="00FA1BC9" w:rsidP="00585EC7">
      <w:pPr>
        <w:spacing w:before="240"/>
      </w:pPr>
      <w:bookmarkStart w:id="65" w:name="_Toc103679299"/>
      <w:r w:rsidRPr="00BD5DBD">
        <w:t xml:space="preserve">The TGA may request an updated RMP at any stage of a product's </w:t>
      </w:r>
      <w:r w:rsidR="00B65EF7" w:rsidRPr="00BD5DBD">
        <w:t>life cycle</w:t>
      </w:r>
      <w:r w:rsidRPr="00BD5DBD">
        <w:t xml:space="preserve">, during both the pre-approval and post-approval phases. Further information regarding the TGA’s risk management approach can be found in </w:t>
      </w:r>
      <w:hyperlink r:id="rId36" w:history="1">
        <w:r w:rsidRPr="00BD5DBD">
          <w:rPr>
            <w:rStyle w:val="Hyperlink"/>
            <w:szCs w:val="22"/>
          </w:rPr>
          <w:t>risk management plans for medicines and biologicals</w:t>
        </w:r>
      </w:hyperlink>
      <w:r w:rsidRPr="00BD5DBD">
        <w:t xml:space="preserve"> and </w:t>
      </w:r>
      <w:hyperlink r:id="rId37" w:history="1">
        <w:r w:rsidRPr="00BD5DBD">
          <w:rPr>
            <w:rStyle w:val="Hyperlink"/>
            <w:szCs w:val="22"/>
          </w:rPr>
          <w:t>the TGA's risk management approach</w:t>
        </w:r>
      </w:hyperlink>
      <w:r w:rsidRPr="00BD5DBD">
        <w:t xml:space="preserve">. Information on the </w:t>
      </w:r>
      <w:hyperlink r:id="rId38" w:history="1">
        <w:r w:rsidRPr="00BD5DBD">
          <w:rPr>
            <w:rStyle w:val="Hyperlink"/>
            <w:szCs w:val="22"/>
          </w:rPr>
          <w:t>Australia</w:t>
        </w:r>
        <w:r w:rsidR="00C57CEA">
          <w:rPr>
            <w:rStyle w:val="Hyperlink"/>
            <w:szCs w:val="22"/>
          </w:rPr>
          <w:t>-</w:t>
        </w:r>
        <w:r w:rsidRPr="00BD5DBD">
          <w:rPr>
            <w:rStyle w:val="Hyperlink"/>
            <w:szCs w:val="22"/>
          </w:rPr>
          <w:t>specific annex</w:t>
        </w:r>
      </w:hyperlink>
      <w:r w:rsidRPr="00BD5DBD">
        <w:t xml:space="preserve"> (</w:t>
      </w:r>
      <w:hyperlink r:id="rId39" w:history="1">
        <w:r w:rsidRPr="00BD5DBD">
          <w:rPr>
            <w:rStyle w:val="Hyperlink"/>
            <w:szCs w:val="22"/>
          </w:rPr>
          <w:t>ASA</w:t>
        </w:r>
      </w:hyperlink>
      <w:r w:rsidRPr="00BD5DBD">
        <w:t>) can be found on the TGA website.</w:t>
      </w:r>
    </w:p>
    <w:p w14:paraId="592AA917" w14:textId="6254B71D" w:rsidR="00B0024B" w:rsidRDefault="00B0024B" w:rsidP="00585EC7">
      <w:pPr>
        <w:pStyle w:val="Heading4"/>
      </w:pPr>
      <w:bookmarkStart w:id="66" w:name="_Toc238033747"/>
      <w:r w:rsidRPr="00B0024B">
        <w:t>TGA comments</w:t>
      </w:r>
      <w:bookmarkEnd w:id="66"/>
    </w:p>
    <w:p w14:paraId="72DA6D55" w14:textId="6A5D32A7" w:rsidR="00D21B77" w:rsidRDefault="00D21B77" w:rsidP="00585EC7">
      <w:r>
        <w:t>The TGA RMP evaluator highlighted the following outstanding considerations in their evaluation:</w:t>
      </w:r>
    </w:p>
    <w:p w14:paraId="06A44A12" w14:textId="77777777" w:rsidR="00D21B77" w:rsidRPr="005A5208" w:rsidRDefault="00D21B77" w:rsidP="00585EC7">
      <w:pPr>
        <w:ind w:left="720"/>
      </w:pPr>
      <w:r w:rsidRPr="005A5208">
        <w:t xml:space="preserve">‘No guidance on interchangeability with </w:t>
      </w:r>
      <w:proofErr w:type="spellStart"/>
      <w:r w:rsidRPr="005A5208">
        <w:t>nirsevimab</w:t>
      </w:r>
      <w:proofErr w:type="spellEnd"/>
      <w:r w:rsidRPr="005A5208">
        <w:t xml:space="preserve"> will be included in the PI as the sponsor does not anticipate interchangeability issues or impacts on safety. The sponsor advises following local recommendations. This rationale reflects the long duration of action of </w:t>
      </w:r>
      <w:proofErr w:type="spellStart"/>
      <w:r w:rsidRPr="005A5208">
        <w:t>clesrovimab</w:t>
      </w:r>
      <w:proofErr w:type="spellEnd"/>
      <w:r w:rsidRPr="005A5208">
        <w:t xml:space="preserve"> and </w:t>
      </w:r>
      <w:proofErr w:type="spellStart"/>
      <w:r w:rsidRPr="005A5208">
        <w:t>nirsevimab</w:t>
      </w:r>
      <w:proofErr w:type="spellEnd"/>
      <w:r w:rsidRPr="005A5208">
        <w:t>, in comparison to palivizumab where substitution may be desirable to eliminate the need for monthly injections. However, as noted in the RMP evaluator comment in section 2.4, from an RMP perspective there is a need to provide greater clarity on interchangeability and warnings on the possibility of medication error in the PI. This issue is referred to the delegate for consideration.</w:t>
      </w:r>
    </w:p>
    <w:p w14:paraId="67BA55B9" w14:textId="77777777" w:rsidR="00D21B77" w:rsidRPr="005A5208" w:rsidRDefault="00D21B77" w:rsidP="00585EC7">
      <w:pPr>
        <w:ind w:left="720"/>
      </w:pPr>
      <w:r w:rsidRPr="005A5208">
        <w:t>The sponsor does not agree to add advice on use in infants with passive immunisation through maternal vaccination to the PI and advises following local recommendations, noting that these may vary. In the absence of adverse clinical outcomes in this scenario, this is acceptable from an RMP perspective.</w:t>
      </w:r>
    </w:p>
    <w:p w14:paraId="72779B75" w14:textId="1406DA19" w:rsidR="00D21B77" w:rsidRPr="005A5208" w:rsidRDefault="00D21B77" w:rsidP="00585EC7">
      <w:pPr>
        <w:ind w:left="720"/>
      </w:pPr>
      <w:r w:rsidRPr="005A5208">
        <w:t xml:space="preserve">The sponsor’s rationale for exclusion of information on special populations from the warnings and precautions section of the PI is referred to the </w:t>
      </w:r>
      <w:r w:rsidR="005A5208">
        <w:t>D</w:t>
      </w:r>
      <w:r w:rsidRPr="005A5208">
        <w:t>elegate.’</w:t>
      </w:r>
    </w:p>
    <w:p w14:paraId="7193BE01" w14:textId="4AB8FA63" w:rsidR="00D21B77" w:rsidRDefault="00D21B77" w:rsidP="00585EC7">
      <w:r>
        <w:t>The Sponsor responded as follows:</w:t>
      </w:r>
    </w:p>
    <w:p w14:paraId="4BED18C9" w14:textId="08CF539A" w:rsidR="00D21B77" w:rsidRPr="005A5208" w:rsidRDefault="00D21B77" w:rsidP="00585EC7">
      <w:pPr>
        <w:pStyle w:val="Numberbullet3"/>
      </w:pPr>
      <w:r w:rsidRPr="005A5208">
        <w:t xml:space="preserve">The Sponsor acknowledges the Agency’s concern about the potential for product administration errors. If a 105 mg dose of </w:t>
      </w:r>
      <w:proofErr w:type="spellStart"/>
      <w:r w:rsidRPr="005A5208">
        <w:t>clesrovimab</w:t>
      </w:r>
      <w:proofErr w:type="spellEnd"/>
      <w:r w:rsidRPr="005A5208">
        <w:t xml:space="preserve"> is inadvertently given in the second RSV season to a vulnerable older infant, this would be reported as a product administration error based on the current proposed indication. As with any product administration error, lack of effectiveness may be observed, however no other impact on safety would be anticipated since available data with </w:t>
      </w:r>
      <w:proofErr w:type="spellStart"/>
      <w:r w:rsidRPr="005A5208">
        <w:t>clesrovimab</w:t>
      </w:r>
      <w:proofErr w:type="spellEnd"/>
      <w:r w:rsidRPr="005A5208">
        <w:t xml:space="preserve"> at a higher dose in vulnerable older infants in the second RSV season has not identified any new safety concerns. It is also reassuring, as per the TGA website, that no AEs have been reported for most of the product administration errors related to RSV prevention products in Australia (https://www.tga.gov.au/news/safety-updates/correct-administration-rsv-vaccineand-antibody-products). As use of </w:t>
      </w:r>
      <w:proofErr w:type="spellStart"/>
      <w:r w:rsidRPr="005A5208">
        <w:t>clesrovimab</w:t>
      </w:r>
      <w:proofErr w:type="spellEnd"/>
      <w:r w:rsidRPr="005A5208">
        <w:t xml:space="preserve"> in vulnerable older infants in the </w:t>
      </w:r>
      <w:r w:rsidRPr="005A5208">
        <w:lastRenderedPageBreak/>
        <w:t xml:space="preserve">second RSV season is outside of the scope of the proposed indication, the Sponsor does not propose to revise the ASA. The Sponsor will monitor product administration errors with </w:t>
      </w:r>
      <w:proofErr w:type="spellStart"/>
      <w:r w:rsidRPr="005A5208">
        <w:t>clesrovimab</w:t>
      </w:r>
      <w:proofErr w:type="spellEnd"/>
      <w:r w:rsidRPr="005A5208">
        <w:t xml:space="preserve"> via routine pharmacovigilance.</w:t>
      </w:r>
    </w:p>
    <w:p w14:paraId="61DCAA90" w14:textId="0C428EFF" w:rsidR="00D21B77" w:rsidRPr="005A5208" w:rsidRDefault="00D21B77" w:rsidP="00585EC7">
      <w:pPr>
        <w:pStyle w:val="Numberbullet3"/>
      </w:pPr>
      <w:proofErr w:type="spellStart"/>
      <w:r w:rsidRPr="005A5208">
        <w:t>Clesrovimab</w:t>
      </w:r>
      <w:proofErr w:type="spellEnd"/>
      <w:r w:rsidRPr="005A5208">
        <w:t xml:space="preserve"> is proposed to be administered as a </w:t>
      </w:r>
      <w:proofErr w:type="gramStart"/>
      <w:r w:rsidRPr="005A5208">
        <w:t>single-dose</w:t>
      </w:r>
      <w:proofErr w:type="gramEnd"/>
      <w:r w:rsidRPr="005A5208">
        <w:t xml:space="preserve"> in </w:t>
      </w:r>
      <w:proofErr w:type="gramStart"/>
      <w:r w:rsidRPr="005A5208">
        <w:t>the majority of</w:t>
      </w:r>
      <w:proofErr w:type="gramEnd"/>
      <w:r w:rsidRPr="005A5208">
        <w:t xml:space="preserve"> infants such that interchangeability does not apply. However, interchangeability between </w:t>
      </w:r>
      <w:proofErr w:type="spellStart"/>
      <w:r w:rsidRPr="005A5208">
        <w:t>clesrovimab</w:t>
      </w:r>
      <w:proofErr w:type="spellEnd"/>
      <w:r w:rsidRPr="005A5208">
        <w:t xml:space="preserve"> and </w:t>
      </w:r>
      <w:proofErr w:type="spellStart"/>
      <w:r w:rsidRPr="005A5208">
        <w:t>nirsevimab</w:t>
      </w:r>
      <w:proofErr w:type="spellEnd"/>
      <w:r w:rsidRPr="005A5208">
        <w:t xml:space="preserve"> may be relevant for a minority of infants who are recommended to receive a second dose of a long-acting RSV-specific </w:t>
      </w:r>
      <w:proofErr w:type="spellStart"/>
      <w:r w:rsidRPr="005A5208">
        <w:t>mAb</w:t>
      </w:r>
      <w:proofErr w:type="spellEnd"/>
      <w:r w:rsidRPr="005A5208">
        <w:t xml:space="preserve">. This includes infants undergoing cardiac surgery with cardiopulmonary bypass within the first RSV season. This also includes children at increased risk of severe RSV disease who might receive </w:t>
      </w:r>
      <w:proofErr w:type="spellStart"/>
      <w:r w:rsidRPr="005A5208">
        <w:t>clesrovimab</w:t>
      </w:r>
      <w:proofErr w:type="spellEnd"/>
      <w:r w:rsidRPr="005A5208">
        <w:t xml:space="preserve"> in the first RSV season but in whom additional dosing of a long-acting RSV-specific </w:t>
      </w:r>
      <w:proofErr w:type="spellStart"/>
      <w:r w:rsidRPr="005A5208">
        <w:t>mAb</w:t>
      </w:r>
      <w:proofErr w:type="spellEnd"/>
      <w:r w:rsidRPr="005A5208">
        <w:t xml:space="preserve"> in the second RSV season is recommended, as per the Australian Immunisation Handbook.</w:t>
      </w:r>
    </w:p>
    <w:p w14:paraId="69884474" w14:textId="5D130283" w:rsidR="00D21B77" w:rsidRPr="005A5208" w:rsidRDefault="00D21B77" w:rsidP="00585EC7">
      <w:r w:rsidRPr="005A5208">
        <w:t xml:space="preserve">Interchangeability between </w:t>
      </w:r>
      <w:proofErr w:type="spellStart"/>
      <w:r w:rsidRPr="005A5208">
        <w:t>clesrovimab</w:t>
      </w:r>
      <w:proofErr w:type="spellEnd"/>
      <w:r w:rsidRPr="005A5208">
        <w:t xml:space="preserve"> and </w:t>
      </w:r>
      <w:proofErr w:type="spellStart"/>
      <w:r w:rsidRPr="005A5208">
        <w:t>nirsevimab</w:t>
      </w:r>
      <w:proofErr w:type="spellEnd"/>
      <w:r w:rsidRPr="005A5208">
        <w:t xml:space="preserve"> was not evaluated in the </w:t>
      </w:r>
      <w:proofErr w:type="spellStart"/>
      <w:r w:rsidRPr="005A5208">
        <w:t>clesrovimab</w:t>
      </w:r>
      <w:proofErr w:type="spellEnd"/>
      <w:r w:rsidRPr="005A5208">
        <w:t xml:space="preserve"> clinical development program and thus no data are available. Both </w:t>
      </w:r>
      <w:proofErr w:type="spellStart"/>
      <w:r w:rsidRPr="005A5208">
        <w:t>nirsevimab</w:t>
      </w:r>
      <w:proofErr w:type="spellEnd"/>
      <w:r w:rsidRPr="005A5208">
        <w:t xml:space="preserve"> and </w:t>
      </w:r>
      <w:proofErr w:type="spellStart"/>
      <w:r w:rsidRPr="005A5208">
        <w:t>clesrovimab</w:t>
      </w:r>
      <w:proofErr w:type="spellEnd"/>
      <w:r w:rsidRPr="005A5208">
        <w:t xml:space="preserve"> are passive immunizations that target a viral protein and do not interact with human host targets. Furthermore, </w:t>
      </w:r>
      <w:proofErr w:type="spellStart"/>
      <w:r w:rsidRPr="005A5208">
        <w:t>clesrovimab</w:t>
      </w:r>
      <w:proofErr w:type="spellEnd"/>
      <w:r w:rsidRPr="005A5208">
        <w:t xml:space="preserve"> and </w:t>
      </w:r>
      <w:proofErr w:type="spellStart"/>
      <w:r w:rsidRPr="005A5208">
        <w:t>nirsevimab</w:t>
      </w:r>
      <w:proofErr w:type="spellEnd"/>
      <w:r w:rsidRPr="005A5208">
        <w:t xml:space="preserve"> bind to distinct sites on the RSV F protein (Site IV and Site 0, respectively), making interference at the binding site unlikely. With respect to pharmacokinetic considerations, as noted in Company response 2.iv., in participants who received </w:t>
      </w:r>
      <w:proofErr w:type="spellStart"/>
      <w:r w:rsidRPr="005A5208">
        <w:t>clesrovimab</w:t>
      </w:r>
      <w:proofErr w:type="spellEnd"/>
      <w:r w:rsidRPr="005A5208">
        <w:t xml:space="preserve"> and subsequently underwent ECMO or CPB, a consistent trend of lower PK was observed after the procedure. In addition, in infants who receive </w:t>
      </w:r>
      <w:proofErr w:type="spellStart"/>
      <w:r w:rsidRPr="005A5208">
        <w:t>clesrovimab</w:t>
      </w:r>
      <w:proofErr w:type="spellEnd"/>
      <w:r w:rsidRPr="005A5208">
        <w:t xml:space="preserve"> in the first RSV season, the majority of </w:t>
      </w:r>
      <w:proofErr w:type="spellStart"/>
      <w:r w:rsidRPr="005A5208">
        <w:t>clesrovimab</w:t>
      </w:r>
      <w:proofErr w:type="spellEnd"/>
      <w:r w:rsidRPr="005A5208">
        <w:t xml:space="preserve"> (&gt;99%) will have been eliminated from the body by the beginning of the second RSV season, as more than 8 </w:t>
      </w:r>
      <w:proofErr w:type="spellStart"/>
      <w:r w:rsidRPr="005A5208">
        <w:t>clesrovimab</w:t>
      </w:r>
      <w:proofErr w:type="spellEnd"/>
      <w:r w:rsidRPr="005A5208">
        <w:t xml:space="preserve"> half-lives will have elapsed. Based on these mechanistic and pharmacokinetic considerations, neither intra-seasonal interchangeability among infants undergoing ECMO or CPB nor sequential use of </w:t>
      </w:r>
      <w:proofErr w:type="spellStart"/>
      <w:r w:rsidRPr="005A5208">
        <w:t>clesrovimab</w:t>
      </w:r>
      <w:proofErr w:type="spellEnd"/>
      <w:r w:rsidRPr="005A5208">
        <w:t xml:space="preserve"> in the first RSV season and </w:t>
      </w:r>
      <w:proofErr w:type="spellStart"/>
      <w:r w:rsidRPr="005A5208">
        <w:t>nirsevimab</w:t>
      </w:r>
      <w:proofErr w:type="spellEnd"/>
      <w:r w:rsidRPr="005A5208">
        <w:t xml:space="preserve"> in the second RSV season are anticipated to have an impact on safety. On this basis, the Sponsor does not propose to revise the ASA. The </w:t>
      </w:r>
      <w:r w:rsidR="0010553D">
        <w:t>s</w:t>
      </w:r>
      <w:r w:rsidRPr="005A5208">
        <w:t xml:space="preserve">ponsor will monitor interchangeability between </w:t>
      </w:r>
      <w:proofErr w:type="spellStart"/>
      <w:r w:rsidRPr="005A5208">
        <w:t>clesrovimab</w:t>
      </w:r>
      <w:proofErr w:type="spellEnd"/>
      <w:r w:rsidRPr="005A5208">
        <w:t xml:space="preserve"> and </w:t>
      </w:r>
      <w:proofErr w:type="spellStart"/>
      <w:r w:rsidRPr="005A5208">
        <w:t>nirsevimab</w:t>
      </w:r>
      <w:proofErr w:type="spellEnd"/>
      <w:r w:rsidRPr="005A5208">
        <w:t xml:space="preserve"> via routine pharmacovigilance.</w:t>
      </w:r>
    </w:p>
    <w:p w14:paraId="74A4F87F" w14:textId="4366B02B" w:rsidR="00C22214" w:rsidRDefault="00C22214" w:rsidP="00191385">
      <w:pPr>
        <w:pStyle w:val="Heading3"/>
      </w:pPr>
      <w:bookmarkStart w:id="67" w:name="_Toc238033748"/>
      <w:r>
        <w:t>Risk-benefit analysis</w:t>
      </w:r>
      <w:bookmarkEnd w:id="62"/>
      <w:bookmarkEnd w:id="63"/>
      <w:bookmarkEnd w:id="65"/>
      <w:bookmarkEnd w:id="67"/>
    </w:p>
    <w:p w14:paraId="16605E76" w14:textId="37E4B926" w:rsidR="009C4287" w:rsidRDefault="009C4287" w:rsidP="00585EC7">
      <w:r w:rsidRPr="0057388B">
        <w:t xml:space="preserve">The </w:t>
      </w:r>
      <w:r w:rsidR="00F75D7D">
        <w:t>TGA</w:t>
      </w:r>
      <w:r w:rsidRPr="0057388B">
        <w:t xml:space="preserve"> is of the view that registration may be recommended in Australia and accepts the </w:t>
      </w:r>
      <w:r>
        <w:t xml:space="preserve">assessments and </w:t>
      </w:r>
      <w:r w:rsidRPr="0057388B">
        <w:t xml:space="preserve">recommendations of Health Canada, Swissmedic, </w:t>
      </w:r>
      <w:r>
        <w:t xml:space="preserve">the </w:t>
      </w:r>
      <w:r w:rsidRPr="0057388B">
        <w:t>Health Sciences Authority of Singapore and the TGA evaluators.</w:t>
      </w:r>
    </w:p>
    <w:p w14:paraId="0A148281" w14:textId="21BC65EF" w:rsidR="009C4287" w:rsidRDefault="009C4287" w:rsidP="00585EC7">
      <w:r>
        <w:t xml:space="preserve">Approval for use in the second RSV season and in infants at increased risk of severe disease has not been sought. </w:t>
      </w:r>
      <w:proofErr w:type="spellStart"/>
      <w:r>
        <w:t>Clesrovimab</w:t>
      </w:r>
      <w:proofErr w:type="spellEnd"/>
      <w:r>
        <w:t xml:space="preserve"> demonstrated</w:t>
      </w:r>
      <w:r w:rsidRPr="00CA5034">
        <w:t xml:space="preserve"> clinically meaningful protection against </w:t>
      </w:r>
      <w:bookmarkStart w:id="68" w:name="_Hlk218971238"/>
      <w:r w:rsidRPr="00CA5034">
        <w:t xml:space="preserve">RSV-associated medically attended lower respiratory infection </w:t>
      </w:r>
      <w:bookmarkEnd w:id="68"/>
      <w:r w:rsidRPr="00CA5034">
        <w:t>(</w:t>
      </w:r>
      <w:proofErr w:type="spellStart"/>
      <w:r w:rsidRPr="00CA5034">
        <w:t>MALRI</w:t>
      </w:r>
      <w:proofErr w:type="spellEnd"/>
      <w:r w:rsidRPr="00CA5034">
        <w:t>) in infants</w:t>
      </w:r>
      <w:r>
        <w:t>.</w:t>
      </w:r>
    </w:p>
    <w:p w14:paraId="4FDF33BA" w14:textId="77777777" w:rsidR="009C4287" w:rsidRDefault="009C4287" w:rsidP="00191385">
      <w:r w:rsidRPr="0052055D">
        <w:t>Health Canada concluded that</w:t>
      </w:r>
      <w:r>
        <w:t xml:space="preserve"> ‘i</w:t>
      </w:r>
      <w:r w:rsidRPr="002B2BF6">
        <w:t>n the confirmatory Phase 2b/3 study (MK-1654-004), efficacy was robust (60.4% reduction in MALRI, p&lt;0.001), with consistent benefit through Day 180 and substantial reduction in RSV-associated hospitali</w:t>
      </w:r>
      <w:r>
        <w:t>s</w:t>
      </w:r>
      <w:r w:rsidRPr="002B2BF6">
        <w:t>ation</w:t>
      </w:r>
      <w:r>
        <w:t>.’</w:t>
      </w:r>
    </w:p>
    <w:p w14:paraId="40D04E7F" w14:textId="7D33CF4B" w:rsidR="009C4287" w:rsidRDefault="009C4287" w:rsidP="00191385">
      <w:r>
        <w:t>‘</w:t>
      </w:r>
      <w:r w:rsidRPr="00A025C7">
        <w:t>Supportive evidence from the Phase 3 high-risk infant study (MK-1654-007) showed comparable protection to palivizumab, the current standard of care. Pharmacokinetic profiles were predictable, with sustained concentrations through Day 240, supporting extrapolation from healthy to high-risk populations. Low immunogenicity rates and practicality of a single-dose regimen support feasibility of widespread implementation.</w:t>
      </w:r>
      <w:r>
        <w:t>’</w:t>
      </w:r>
    </w:p>
    <w:p w14:paraId="12603582" w14:textId="145C20A0" w:rsidR="009C4287" w:rsidRDefault="009C4287" w:rsidP="00191385">
      <w:r>
        <w:t xml:space="preserve">The </w:t>
      </w:r>
      <w:r w:rsidR="00C56A41">
        <w:t>TGA</w:t>
      </w:r>
      <w:r w:rsidR="00F75D7D">
        <w:t xml:space="preserve"> </w:t>
      </w:r>
      <w:r>
        <w:t>acknowledge</w:t>
      </w:r>
      <w:r w:rsidR="00C56A41">
        <w:t>d</w:t>
      </w:r>
      <w:r>
        <w:t xml:space="preserve"> that data are not available to compare</w:t>
      </w:r>
      <w:r w:rsidRPr="00552879">
        <w:t xml:space="preserve"> the efficacy</w:t>
      </w:r>
      <w:r>
        <w:t xml:space="preserve"> of </w:t>
      </w:r>
      <w:proofErr w:type="spellStart"/>
      <w:r w:rsidRPr="004D1161">
        <w:t>clesrovimab</w:t>
      </w:r>
      <w:proofErr w:type="spellEnd"/>
      <w:r>
        <w:t xml:space="preserve"> to </w:t>
      </w:r>
      <w:r w:rsidRPr="00552879">
        <w:t>other prophylactic</w:t>
      </w:r>
      <w:r>
        <w:t xml:space="preserve"> long-acting monoclonal </w:t>
      </w:r>
      <w:r w:rsidRPr="00552879">
        <w:t>therapies</w:t>
      </w:r>
      <w:r>
        <w:t xml:space="preserve"> including </w:t>
      </w:r>
      <w:proofErr w:type="spellStart"/>
      <w:r>
        <w:t>nirsevimab</w:t>
      </w:r>
      <w:proofErr w:type="spellEnd"/>
      <w:r>
        <w:t>.</w:t>
      </w:r>
    </w:p>
    <w:p w14:paraId="0FF167C3" w14:textId="2CD57E17" w:rsidR="009C4287" w:rsidRDefault="009C4287" w:rsidP="00191385">
      <w:r>
        <w:t>Health Canada highlighted the following limitations and uncertainties:</w:t>
      </w:r>
    </w:p>
    <w:p w14:paraId="3B266BC6" w14:textId="77777777" w:rsidR="009C4287" w:rsidRDefault="009C4287" w:rsidP="00191385">
      <w:r>
        <w:lastRenderedPageBreak/>
        <w:t>‘</w:t>
      </w:r>
      <w:r w:rsidRPr="00151FA8">
        <w:t>Efficacy endpoints primarily measured incidence, not severity; hospitalization results may be influenced by local practice. Data in certain subgroups (infants &lt;1.1 kg, ≥6 months at dosing, RSV-vaccinated maternal cohorts, immunosuppressed infants) are limited. RSV A subtype efficacy estimates are less precise. In high-risk infants, efficacy findings are supportive only, with potential bias from open-label design after Day 60. Long-term safety and protection in repeat seasons remain incompletely characterized.</w:t>
      </w:r>
      <w:r>
        <w:t>’</w:t>
      </w:r>
    </w:p>
    <w:p w14:paraId="4C014CCB" w14:textId="2C832DA9" w:rsidR="009C4287" w:rsidRDefault="009C4287" w:rsidP="00191385">
      <w:r>
        <w:t xml:space="preserve">The </w:t>
      </w:r>
      <w:r w:rsidR="00F75D7D">
        <w:t>TGA</w:t>
      </w:r>
      <w:r>
        <w:t xml:space="preserve"> concurs that benefits of </w:t>
      </w:r>
      <w:proofErr w:type="spellStart"/>
      <w:r>
        <w:t>c</w:t>
      </w:r>
      <w:r w:rsidRPr="00E76A42">
        <w:t>lesrovimab</w:t>
      </w:r>
      <w:proofErr w:type="spellEnd"/>
      <w:r w:rsidRPr="00E76A42">
        <w:t xml:space="preserve"> </w:t>
      </w:r>
      <w:r w:rsidRPr="001F5CBF">
        <w:t>include substantial disease burden reduction and a simplified prophylaxis regimen</w:t>
      </w:r>
      <w:r>
        <w:t xml:space="preserve">. </w:t>
      </w:r>
      <w:proofErr w:type="spellStart"/>
      <w:r>
        <w:t>Clesrovimab</w:t>
      </w:r>
      <w:proofErr w:type="spellEnd"/>
      <w:r>
        <w:t xml:space="preserve"> provides an alternative to currently approved RSV monoclonal antibodies with a different mechanism of action, potentially reducing the risk of viral resistance.</w:t>
      </w:r>
    </w:p>
    <w:p w14:paraId="3916F296" w14:textId="77777777" w:rsidR="00C22214" w:rsidRDefault="00C22214" w:rsidP="00191385">
      <w:pPr>
        <w:pStyle w:val="Heading4"/>
      </w:pPr>
      <w:bookmarkStart w:id="69" w:name="_Toc98931933"/>
      <w:bookmarkStart w:id="70" w:name="_Toc238033749"/>
      <w:r w:rsidRPr="00D23139">
        <w:t>Proposed action</w:t>
      </w:r>
      <w:bookmarkEnd w:id="69"/>
      <w:bookmarkEnd w:id="70"/>
    </w:p>
    <w:p w14:paraId="6FF7B744" w14:textId="77777777" w:rsidR="009C4287" w:rsidRPr="00585EC7" w:rsidRDefault="009C4287" w:rsidP="00191385">
      <w:bookmarkStart w:id="71" w:name="_Toc98931934"/>
      <w:r w:rsidRPr="00106BB8">
        <w:t xml:space="preserve">Registration of </w:t>
      </w:r>
      <w:proofErr w:type="spellStart"/>
      <w:r w:rsidRPr="00106BB8">
        <w:t>Enflonsia</w:t>
      </w:r>
      <w:proofErr w:type="spellEnd"/>
      <w:r w:rsidRPr="00106BB8">
        <w:t xml:space="preserve"> is recommended for the amended indication:</w:t>
      </w:r>
    </w:p>
    <w:p w14:paraId="0D3EA517" w14:textId="7AA1247B" w:rsidR="009C4287" w:rsidRPr="00191385" w:rsidRDefault="009C4287" w:rsidP="00191385">
      <w:pPr>
        <w:ind w:left="720"/>
        <w:rPr>
          <w:i/>
          <w:iCs/>
        </w:rPr>
      </w:pPr>
      <w:r w:rsidRPr="00191385">
        <w:rPr>
          <w:i/>
          <w:iCs/>
        </w:rPr>
        <w:t>for the prevention of respiratory syncytial virus (RSV) lower respiratory tract disease in neonates and infants who are born during or entering their first RSV season.</w:t>
      </w:r>
    </w:p>
    <w:p w14:paraId="375020B9" w14:textId="52747C5E" w:rsidR="009C4287" w:rsidRPr="00191385" w:rsidRDefault="009C4287" w:rsidP="00191385">
      <w:pPr>
        <w:ind w:left="720"/>
        <w:rPr>
          <w:i/>
          <w:iCs/>
        </w:rPr>
      </w:pPr>
      <w:proofErr w:type="spellStart"/>
      <w:r w:rsidRPr="00191385">
        <w:rPr>
          <w:i/>
          <w:iCs/>
        </w:rPr>
        <w:t>E</w:t>
      </w:r>
      <w:r w:rsidR="009E1516" w:rsidRPr="00191385">
        <w:rPr>
          <w:i/>
          <w:iCs/>
        </w:rPr>
        <w:t>nflonsia</w:t>
      </w:r>
      <w:proofErr w:type="spellEnd"/>
      <w:r w:rsidRPr="00191385">
        <w:rPr>
          <w:i/>
          <w:iCs/>
        </w:rPr>
        <w:t xml:space="preserve"> should be used in accordance with official recommendations.</w:t>
      </w:r>
    </w:p>
    <w:p w14:paraId="0D171812" w14:textId="25A7358B" w:rsidR="00C22214" w:rsidRDefault="00C22214" w:rsidP="00191385">
      <w:pPr>
        <w:pStyle w:val="Heading4"/>
      </w:pPr>
      <w:bookmarkStart w:id="72" w:name="_Toc238033750"/>
      <w:bookmarkEnd w:id="71"/>
      <w:r>
        <w:t>Independent expert advice</w:t>
      </w:r>
      <w:bookmarkEnd w:id="72"/>
    </w:p>
    <w:p w14:paraId="4A031B64" w14:textId="77777777" w:rsidR="00C22214" w:rsidRDefault="00C22214" w:rsidP="00191385">
      <w:r w:rsidRPr="00BD5DBD">
        <w:t>The Delegate received the following independent expert advice.</w:t>
      </w:r>
    </w:p>
    <w:p w14:paraId="318CFABC" w14:textId="77777777" w:rsidR="00C22214" w:rsidRPr="00F73346" w:rsidRDefault="00C22214" w:rsidP="00191385">
      <w:pPr>
        <w:pStyle w:val="Heading4"/>
      </w:pPr>
      <w:bookmarkStart w:id="73" w:name="_Toc98931936"/>
      <w:bookmarkStart w:id="74" w:name="_Toc247691532"/>
      <w:bookmarkStart w:id="75" w:name="_Toc314842516"/>
      <w:bookmarkStart w:id="76" w:name="_Toc238033751"/>
      <w:r w:rsidRPr="00F73346">
        <w:t>Advisory Committee considerations</w:t>
      </w:r>
      <w:bookmarkEnd w:id="73"/>
      <w:bookmarkEnd w:id="76"/>
    </w:p>
    <w:p w14:paraId="087BB9CB" w14:textId="6DC0D6D9" w:rsidR="00C22214" w:rsidRPr="00BD5DBD" w:rsidRDefault="00C22214" w:rsidP="00191385">
      <w:r w:rsidRPr="00BD5DBD">
        <w:t xml:space="preserve">The </w:t>
      </w:r>
      <w:hyperlink r:id="rId40" w:history="1">
        <w:r w:rsidRPr="00BD5DBD">
          <w:rPr>
            <w:rStyle w:val="Hyperlink"/>
            <w:szCs w:val="22"/>
          </w:rPr>
          <w:t>Advisory Committee on Medicines (ACM)</w:t>
        </w:r>
      </w:hyperlink>
      <w:r w:rsidRPr="00191385">
        <w:t xml:space="preserve">, </w:t>
      </w:r>
      <w:r w:rsidRPr="00BD5DBD">
        <w:t>having considered the evaluations and the Delegate’s overview, as well as the sponsor’s response to these documents, advised the following.</w:t>
      </w:r>
    </w:p>
    <w:p w14:paraId="0D935CC4" w14:textId="77777777" w:rsidR="00C22214" w:rsidRDefault="00C22214" w:rsidP="00191385">
      <w:pPr>
        <w:pStyle w:val="Heading5"/>
      </w:pPr>
      <w:r w:rsidRPr="00F73346">
        <w:t>Specific advice to the Delegate</w:t>
      </w:r>
    </w:p>
    <w:p w14:paraId="76F62BD5" w14:textId="17C8BD2E" w:rsidR="00BE303B" w:rsidRPr="00BE303B" w:rsidRDefault="00BE303B" w:rsidP="00191385">
      <w:r w:rsidRPr="00BE303B">
        <w:t>The ACM advised the following in response to the Delegate’s specific request for advice:</w:t>
      </w:r>
    </w:p>
    <w:p w14:paraId="5CFC89AE" w14:textId="05069ADD" w:rsidR="00BE303B" w:rsidRPr="00191385" w:rsidRDefault="00BE303B" w:rsidP="00191385">
      <w:pPr>
        <w:pStyle w:val="Numberbullet0"/>
        <w:numPr>
          <w:ilvl w:val="0"/>
          <w:numId w:val="11"/>
        </w:numPr>
        <w:rPr>
          <w:b/>
          <w:bCs/>
          <w:i/>
          <w:iCs/>
        </w:rPr>
      </w:pPr>
      <w:r w:rsidRPr="00191385">
        <w:rPr>
          <w:b/>
          <w:bCs/>
          <w:i/>
          <w:iCs/>
        </w:rPr>
        <w:t xml:space="preserve">The TGA RMP evaluator has highlighted the following outstanding concerns: lack of guidance on interchangeability with </w:t>
      </w:r>
      <w:proofErr w:type="spellStart"/>
      <w:r w:rsidRPr="00191385">
        <w:rPr>
          <w:b/>
          <w:bCs/>
          <w:i/>
          <w:iCs/>
        </w:rPr>
        <w:t>nirsevimab</w:t>
      </w:r>
      <w:proofErr w:type="spellEnd"/>
      <w:r w:rsidRPr="00191385">
        <w:rPr>
          <w:b/>
          <w:bCs/>
          <w:i/>
          <w:iCs/>
        </w:rPr>
        <w:t xml:space="preserve"> in the proposed PI and the potential for inadvertent administration to a vulnerable older infant in the second RSV season.</w:t>
      </w:r>
    </w:p>
    <w:p w14:paraId="6D4E460B" w14:textId="696FD178" w:rsidR="00BE303B" w:rsidRPr="00191385" w:rsidRDefault="00BE303B" w:rsidP="00191385">
      <w:pPr>
        <w:pStyle w:val="Numberbullet0"/>
        <w:numPr>
          <w:ilvl w:val="0"/>
          <w:numId w:val="0"/>
        </w:numPr>
        <w:ind w:left="360"/>
        <w:rPr>
          <w:b/>
          <w:bCs/>
          <w:i/>
          <w:iCs/>
        </w:rPr>
      </w:pPr>
      <w:r w:rsidRPr="00191385">
        <w:rPr>
          <w:b/>
          <w:bCs/>
          <w:i/>
          <w:iCs/>
        </w:rPr>
        <w:t>What is the view of the ACM on this matter and the justification proposed by the Sponsor? Does the ACM support the Delegate’s revised statement in the PI?</w:t>
      </w:r>
    </w:p>
    <w:p w14:paraId="592EA183" w14:textId="77777777" w:rsidR="00037E6D" w:rsidRDefault="00BE303B" w:rsidP="00191385">
      <w:r w:rsidRPr="00BE303B">
        <w:t xml:space="preserve">The ACM found the available data – from the submission and more broadly – did not raise concerns regarding the interchanging between agents from RSV season 1 to RSV season 2. </w:t>
      </w:r>
    </w:p>
    <w:p w14:paraId="6EE1FFF7" w14:textId="7589DF58" w:rsidR="00BE303B" w:rsidRPr="00BE303B" w:rsidRDefault="00BE303B" w:rsidP="00191385">
      <w:r w:rsidRPr="00BE303B">
        <w:t xml:space="preserve">However, the ACM advised that a statement clarifying the lack of empirical evidence regarding the risk profile of interchanging </w:t>
      </w:r>
      <w:proofErr w:type="spellStart"/>
      <w:r w:rsidRPr="00BE303B">
        <w:t>E</w:t>
      </w:r>
      <w:r w:rsidR="00CF7472">
        <w:t>nflonsia</w:t>
      </w:r>
      <w:proofErr w:type="spellEnd"/>
      <w:r w:rsidRPr="00BE303B">
        <w:t xml:space="preserve"> and </w:t>
      </w:r>
      <w:proofErr w:type="spellStart"/>
      <w:r w:rsidRPr="00BE303B">
        <w:t>nirsevimab</w:t>
      </w:r>
      <w:proofErr w:type="spellEnd"/>
      <w:r w:rsidRPr="00BE303B">
        <w:t xml:space="preserve"> be included in the Product Information. </w:t>
      </w:r>
    </w:p>
    <w:p w14:paraId="6F259D31" w14:textId="7E3B68B7" w:rsidR="00BE303B" w:rsidRPr="00191385" w:rsidRDefault="00BE303B" w:rsidP="00191385">
      <w:pPr>
        <w:pStyle w:val="Numberbullet0"/>
        <w:rPr>
          <w:b/>
          <w:bCs/>
          <w:i/>
          <w:iCs/>
        </w:rPr>
      </w:pPr>
      <w:r w:rsidRPr="00191385">
        <w:rPr>
          <w:b/>
          <w:bCs/>
          <w:i/>
          <w:iCs/>
        </w:rPr>
        <w:t xml:space="preserve">The sponsor was asked to comment on the safety impacts from use of </w:t>
      </w:r>
      <w:proofErr w:type="spellStart"/>
      <w:r w:rsidRPr="00191385">
        <w:rPr>
          <w:b/>
          <w:bCs/>
          <w:i/>
          <w:iCs/>
        </w:rPr>
        <w:t>clesrovimab</w:t>
      </w:r>
      <w:proofErr w:type="spellEnd"/>
      <w:r w:rsidRPr="00191385">
        <w:rPr>
          <w:b/>
          <w:bCs/>
          <w:i/>
          <w:iCs/>
        </w:rPr>
        <w:t xml:space="preserve"> in children with passive immunity from maternal vaccination. What is the view of the ACM on this matter and the explanation proposed by the Sponsor? Does the ACM support the Delegate’s revised statement in the PI?</w:t>
      </w:r>
    </w:p>
    <w:p w14:paraId="1E352BB0" w14:textId="0D4D3271" w:rsidR="00BE303B" w:rsidRPr="00BE303B" w:rsidRDefault="00BE303B" w:rsidP="00191385">
      <w:r w:rsidRPr="00BE303B">
        <w:t xml:space="preserve">The ACM supported the Delegate’s proposed revised statement regarding the lack of safety data on the use of </w:t>
      </w:r>
      <w:proofErr w:type="spellStart"/>
      <w:r w:rsidRPr="00BE303B">
        <w:t>E</w:t>
      </w:r>
      <w:r w:rsidR="002A1610">
        <w:t>nflonsia</w:t>
      </w:r>
      <w:proofErr w:type="spellEnd"/>
      <w:r w:rsidRPr="00BE303B">
        <w:t xml:space="preserve"> in children with passive immunity from maternal vaccination.</w:t>
      </w:r>
    </w:p>
    <w:p w14:paraId="78D9C5AB" w14:textId="528DDDAA" w:rsidR="00BE303B" w:rsidRPr="00BE303B" w:rsidRDefault="00BE303B" w:rsidP="00191385">
      <w:r w:rsidRPr="00BE303B">
        <w:lastRenderedPageBreak/>
        <w:t>The ACM acknowledged the risk of accidental administration was low as spacing was likely to occur. Therefore</w:t>
      </w:r>
      <w:r w:rsidR="00262C02">
        <w:t>,</w:t>
      </w:r>
      <w:r w:rsidRPr="00BE303B">
        <w:t xml:space="preserve"> the ACM considered the risk of accidental administration of </w:t>
      </w:r>
      <w:proofErr w:type="spellStart"/>
      <w:r w:rsidRPr="00BE303B">
        <w:t>E</w:t>
      </w:r>
      <w:r w:rsidR="00815C86">
        <w:t>nflonsia</w:t>
      </w:r>
      <w:proofErr w:type="spellEnd"/>
      <w:r w:rsidR="00815C86">
        <w:t xml:space="preserve"> </w:t>
      </w:r>
      <w:r w:rsidRPr="00BE303B">
        <w:t xml:space="preserve">following exposure to maternal vaccination in the previous year to be minimal due to standardised labelling procedures prior to the dispensing and ongoing guidance and education programs provided to clinicians. </w:t>
      </w:r>
    </w:p>
    <w:p w14:paraId="55811CF1" w14:textId="79BD5844" w:rsidR="00BE303B" w:rsidRPr="00191385" w:rsidRDefault="00BE303B" w:rsidP="00191385">
      <w:pPr>
        <w:pStyle w:val="Numberbullet0"/>
        <w:rPr>
          <w:b/>
          <w:bCs/>
          <w:i/>
          <w:iCs/>
        </w:rPr>
      </w:pPr>
      <w:r w:rsidRPr="00191385">
        <w:rPr>
          <w:b/>
          <w:bCs/>
          <w:i/>
          <w:iCs/>
        </w:rPr>
        <w:t xml:space="preserve">Please comment on the potential for interference with the results of RSV rapid antigen diagnostic assays in children and infants who have received </w:t>
      </w:r>
      <w:proofErr w:type="spellStart"/>
      <w:r w:rsidRPr="00191385">
        <w:rPr>
          <w:b/>
          <w:bCs/>
          <w:i/>
          <w:iCs/>
        </w:rPr>
        <w:t>clesrovimab</w:t>
      </w:r>
      <w:proofErr w:type="spellEnd"/>
      <w:r w:rsidRPr="00191385">
        <w:rPr>
          <w:b/>
          <w:bCs/>
          <w:i/>
          <w:iCs/>
        </w:rPr>
        <w:t xml:space="preserve">, </w:t>
      </w:r>
      <w:proofErr w:type="gramStart"/>
      <w:r w:rsidRPr="00191385">
        <w:rPr>
          <w:b/>
          <w:bCs/>
          <w:i/>
          <w:iCs/>
        </w:rPr>
        <w:t>in light of</w:t>
      </w:r>
      <w:proofErr w:type="gramEnd"/>
      <w:r w:rsidRPr="00191385">
        <w:rPr>
          <w:b/>
          <w:bCs/>
          <w:i/>
          <w:iCs/>
        </w:rPr>
        <w:t xml:space="preserve"> the language in the approved US PI. Does the ACM agree with the revised wording proposed by the Delegate?</w:t>
      </w:r>
    </w:p>
    <w:p w14:paraId="0CC19133" w14:textId="1B99A402" w:rsidR="000479D0" w:rsidRPr="000479D0" w:rsidRDefault="00BE303B" w:rsidP="00191385">
      <w:r w:rsidRPr="00BE303B">
        <w:t xml:space="preserve">The ACM supported the Delegate’s proposed revisions to the PI wording relating to the potential for </w:t>
      </w:r>
      <w:proofErr w:type="spellStart"/>
      <w:r w:rsidRPr="00BE303B">
        <w:t>E</w:t>
      </w:r>
      <w:r w:rsidR="002A1610">
        <w:t>nflonsia</w:t>
      </w:r>
      <w:proofErr w:type="spellEnd"/>
      <w:r w:rsidR="002A1610">
        <w:t xml:space="preserve"> </w:t>
      </w:r>
      <w:r w:rsidRPr="00BE303B">
        <w:t>to interfere with the results of RSV rapid antigen and reverse transcriptase polymerase chain reaction (RT-PCR) diagnostic assays. Specifically, the ACM supported the wording contained within the Health Canada Product Monograph and the European Summary of Product Characteristics.</w:t>
      </w:r>
    </w:p>
    <w:p w14:paraId="5291EA2A" w14:textId="1F5240CA" w:rsidR="00C22214" w:rsidRPr="00F73346" w:rsidRDefault="008D56CA" w:rsidP="00191385">
      <w:pPr>
        <w:pStyle w:val="Heading5"/>
      </w:pPr>
      <w:r>
        <w:t>A</w:t>
      </w:r>
      <w:r w:rsidR="004A45D4">
        <w:t>dvisory committee c</w:t>
      </w:r>
      <w:r w:rsidR="00C22214" w:rsidRPr="00F73346">
        <w:t>onclusion</w:t>
      </w:r>
    </w:p>
    <w:p w14:paraId="13902275" w14:textId="77777777" w:rsidR="002A1610" w:rsidRPr="002A1610" w:rsidRDefault="002A1610" w:rsidP="00191385">
      <w:r w:rsidRPr="002A1610">
        <w:t xml:space="preserve">The ACM considered this product to have an overall positive benefit-risk profile for the indication: </w:t>
      </w:r>
    </w:p>
    <w:p w14:paraId="623B608D" w14:textId="48F4B8BE" w:rsidR="002A1610" w:rsidRPr="00191385" w:rsidRDefault="002A1610" w:rsidP="00191385">
      <w:pPr>
        <w:ind w:left="720"/>
        <w:rPr>
          <w:i/>
          <w:iCs/>
        </w:rPr>
      </w:pPr>
      <w:proofErr w:type="spellStart"/>
      <w:r w:rsidRPr="00191385">
        <w:rPr>
          <w:i/>
          <w:iCs/>
        </w:rPr>
        <w:t>E</w:t>
      </w:r>
      <w:r w:rsidR="00542B82" w:rsidRPr="00191385">
        <w:rPr>
          <w:i/>
          <w:iCs/>
        </w:rPr>
        <w:t>nflonsia</w:t>
      </w:r>
      <w:proofErr w:type="spellEnd"/>
      <w:r w:rsidRPr="00191385">
        <w:rPr>
          <w:i/>
          <w:iCs/>
        </w:rPr>
        <w:t xml:space="preserve"> is indicated for the prevention of respiratory syncytial virus (RSV) lower respiratory tract disease in neonates and infants who are born during or entering their first RSV season.</w:t>
      </w:r>
    </w:p>
    <w:p w14:paraId="307F236C" w14:textId="7FD19BD3" w:rsidR="00C22214" w:rsidRPr="002E238E" w:rsidRDefault="0046285C" w:rsidP="00191385">
      <w:pPr>
        <w:pStyle w:val="Heading2"/>
      </w:pPr>
      <w:bookmarkStart w:id="77" w:name="_Toc103679300"/>
      <w:bookmarkStart w:id="78" w:name="_Toc238033752"/>
      <w:r>
        <w:t>Assessment</w:t>
      </w:r>
      <w:r w:rsidR="00190853">
        <w:t xml:space="preserve"> </w:t>
      </w:r>
      <w:r>
        <w:t>o</w:t>
      </w:r>
      <w:r w:rsidR="00C22214">
        <w:t>utcome</w:t>
      </w:r>
      <w:bookmarkEnd w:id="74"/>
      <w:bookmarkEnd w:id="75"/>
      <w:bookmarkEnd w:id="77"/>
      <w:bookmarkEnd w:id="78"/>
    </w:p>
    <w:p w14:paraId="4EF22939" w14:textId="501ADD0D" w:rsidR="00C22214" w:rsidRDefault="00C22214" w:rsidP="00191385">
      <w:r w:rsidRPr="0017005C">
        <w:t xml:space="preserve">Based on </w:t>
      </w:r>
      <w:r w:rsidR="00B8546C">
        <w:t>the assessment</w:t>
      </w:r>
      <w:r w:rsidRPr="0017005C">
        <w:t xml:space="preserve"> of quality, safety, and efficacy, the TGA </w:t>
      </w:r>
      <w:r w:rsidR="00B46DFB">
        <w:t>decided to</w:t>
      </w:r>
      <w:r w:rsidRPr="0017005C">
        <w:t xml:space="preserve"> regist</w:t>
      </w:r>
      <w:r w:rsidR="00B46DFB">
        <w:t>er</w:t>
      </w:r>
      <w:r w:rsidRPr="0017005C">
        <w:t xml:space="preserve"> </w:t>
      </w:r>
      <w:proofErr w:type="spellStart"/>
      <w:r w:rsidR="003D23AA" w:rsidRPr="00D41D16">
        <w:rPr>
          <w:b/>
          <w:bCs/>
        </w:rPr>
        <w:t>Enflonsia</w:t>
      </w:r>
      <w:proofErr w:type="spellEnd"/>
      <w:r w:rsidR="008E48B4">
        <w:rPr>
          <w:b/>
          <w:bCs/>
        </w:rPr>
        <w:t xml:space="preserve"> </w:t>
      </w:r>
      <w:r w:rsidR="00B925B2" w:rsidRPr="00D41D16">
        <w:rPr>
          <w:b/>
          <w:bCs/>
        </w:rPr>
        <w:t>(</w:t>
      </w:r>
      <w:proofErr w:type="spellStart"/>
      <w:r w:rsidR="00B925B2" w:rsidRPr="00B925B2">
        <w:rPr>
          <w:b/>
          <w:bCs/>
        </w:rPr>
        <w:t>clesrovimab</w:t>
      </w:r>
      <w:proofErr w:type="spellEnd"/>
      <w:r w:rsidR="00B925B2">
        <w:rPr>
          <w:b/>
          <w:bCs/>
        </w:rPr>
        <w:t>)</w:t>
      </w:r>
      <w:r w:rsidR="00B925B2" w:rsidRPr="00B925B2">
        <w:rPr>
          <w:b/>
          <w:bCs/>
        </w:rPr>
        <w:t xml:space="preserve"> 105 mg in 0.7 mL solution for injection prefilled syringe</w:t>
      </w:r>
      <w:r w:rsidRPr="0017005C">
        <w:t xml:space="preserve">, </w:t>
      </w:r>
      <w:r w:rsidR="007F030C">
        <w:t>for the f</w:t>
      </w:r>
      <w:r w:rsidR="00570ED9">
        <w:t>o</w:t>
      </w:r>
      <w:r w:rsidR="007F030C">
        <w:t>llowing indication:</w:t>
      </w:r>
    </w:p>
    <w:p w14:paraId="4B890B88" w14:textId="24769720" w:rsidR="00155721" w:rsidRPr="00155721" w:rsidRDefault="00155721" w:rsidP="00191385">
      <w:pPr>
        <w:ind w:left="720"/>
      </w:pPr>
      <w:proofErr w:type="spellStart"/>
      <w:r w:rsidRPr="00155721">
        <w:t>E</w:t>
      </w:r>
      <w:r w:rsidR="00B8546C">
        <w:t>nflonsia</w:t>
      </w:r>
      <w:proofErr w:type="spellEnd"/>
      <w:r w:rsidRPr="00155721">
        <w:t xml:space="preserve"> is indicated for the prevention of respiratory syncytial virus (RSV) lower</w:t>
      </w:r>
      <w:r>
        <w:t xml:space="preserve"> </w:t>
      </w:r>
      <w:r w:rsidRPr="00155721">
        <w:t>respiratory tract disease in neonates and infants who are born during or entering their</w:t>
      </w:r>
      <w:r w:rsidR="00126B89">
        <w:t xml:space="preserve"> </w:t>
      </w:r>
      <w:r w:rsidRPr="00155721">
        <w:t>first RSV season.</w:t>
      </w:r>
    </w:p>
    <w:p w14:paraId="69F9BFBB" w14:textId="5B888350" w:rsidR="00155721" w:rsidRPr="0017005C" w:rsidRDefault="00155721" w:rsidP="00191385">
      <w:pPr>
        <w:ind w:left="720"/>
      </w:pPr>
      <w:proofErr w:type="spellStart"/>
      <w:r w:rsidRPr="00155721">
        <w:t>E</w:t>
      </w:r>
      <w:r w:rsidR="00B8546C">
        <w:t>nflonsia</w:t>
      </w:r>
      <w:proofErr w:type="spellEnd"/>
      <w:r w:rsidRPr="00155721">
        <w:t xml:space="preserve"> should be used in accordance with official recommendations.</w:t>
      </w:r>
    </w:p>
    <w:p w14:paraId="0D732DA4" w14:textId="1A9AF8F1" w:rsidR="00854D98" w:rsidRPr="00D23139" w:rsidRDefault="00854D98" w:rsidP="00191385">
      <w:pPr>
        <w:pStyle w:val="Heading3"/>
      </w:pPr>
      <w:bookmarkStart w:id="79" w:name="_Toc103679301"/>
      <w:bookmarkStart w:id="80" w:name="_Toc238033753"/>
      <w:r w:rsidRPr="00D23139">
        <w:t>Specific conditions of registration</w:t>
      </w:r>
      <w:bookmarkEnd w:id="79"/>
      <w:bookmarkEnd w:id="80"/>
    </w:p>
    <w:p w14:paraId="30774D1A" w14:textId="5E6195E3" w:rsidR="00E20DDB" w:rsidRPr="00E20DDB" w:rsidRDefault="00E20DDB" w:rsidP="00191385">
      <w:pPr>
        <w:pStyle w:val="Heading4"/>
        <w:rPr>
          <w:i/>
        </w:rPr>
      </w:pPr>
      <w:bookmarkStart w:id="81" w:name="_Toc238033754"/>
      <w:r w:rsidRPr="00E20DDB">
        <w:t>Black Triangle Scheme</w:t>
      </w:r>
      <w:bookmarkEnd w:id="81"/>
    </w:p>
    <w:p w14:paraId="5D352F08" w14:textId="2B6E24BB" w:rsidR="007A6691" w:rsidRDefault="007A6691" w:rsidP="00191385">
      <w:pPr>
        <w:pStyle w:val="ListBullet"/>
      </w:pPr>
      <w:proofErr w:type="spellStart"/>
      <w:r>
        <w:t>Enflonsia</w:t>
      </w:r>
      <w:proofErr w:type="spellEnd"/>
      <w:r>
        <w:t xml:space="preserve"> (</w:t>
      </w:r>
      <w:proofErr w:type="spellStart"/>
      <w:r>
        <w:t>clesrovimab</w:t>
      </w:r>
      <w:proofErr w:type="spellEnd"/>
      <w:r>
        <w:t xml:space="preserve">) is to be included in the </w:t>
      </w:r>
      <w:hyperlink r:id="rId41" w:history="1">
        <w:r w:rsidR="00766F4B" w:rsidRPr="00766F4B">
          <w:rPr>
            <w:rStyle w:val="Hyperlink"/>
          </w:rPr>
          <w:t>Black Triangle Scheme</w:t>
        </w:r>
      </w:hyperlink>
      <w:r>
        <w:t>. The PI and CMI</w:t>
      </w:r>
      <w:r w:rsidR="009D3F80">
        <w:t xml:space="preserve"> </w:t>
      </w:r>
      <w:r>
        <w:t xml:space="preserve">for </w:t>
      </w:r>
      <w:proofErr w:type="spellStart"/>
      <w:r>
        <w:t>Enflonsia</w:t>
      </w:r>
      <w:proofErr w:type="spellEnd"/>
      <w:r>
        <w:t xml:space="preserve"> must include the black triangle symbol and mandatory accompanying text</w:t>
      </w:r>
      <w:r w:rsidR="008C0CAC">
        <w:t xml:space="preserve"> </w:t>
      </w:r>
      <w:r>
        <w:t>for five years, which starts from the date of first supply of the product.</w:t>
      </w:r>
    </w:p>
    <w:p w14:paraId="15603D9F" w14:textId="3CADA29D" w:rsidR="00416415" w:rsidRPr="00416415" w:rsidRDefault="00416415" w:rsidP="00191385">
      <w:pPr>
        <w:pStyle w:val="Heading4"/>
        <w:rPr>
          <w:i/>
        </w:rPr>
      </w:pPr>
      <w:bookmarkStart w:id="82" w:name="_Toc238033755"/>
      <w:r w:rsidRPr="00416415">
        <w:t xml:space="preserve">Risk Management Plan </w:t>
      </w:r>
      <w:r w:rsidR="000B32FF">
        <w:t xml:space="preserve">and </w:t>
      </w:r>
      <w:r w:rsidR="00F72E75">
        <w:t>pharmacovigilance</w:t>
      </w:r>
      <w:bookmarkEnd w:id="82"/>
    </w:p>
    <w:p w14:paraId="535E0CAC" w14:textId="1769A403" w:rsidR="007A6691" w:rsidRDefault="007A6691" w:rsidP="00191385">
      <w:pPr>
        <w:pStyle w:val="ListBullet"/>
      </w:pPr>
      <w:r>
        <w:t xml:space="preserve">The </w:t>
      </w:r>
      <w:proofErr w:type="spellStart"/>
      <w:r>
        <w:t>Enflonsia</w:t>
      </w:r>
      <w:proofErr w:type="spellEnd"/>
      <w:r>
        <w:t xml:space="preserve"> EU-Risk Management Plan (RMP) (version 1.0, dated date 11 September</w:t>
      </w:r>
      <w:r w:rsidR="00416415">
        <w:t xml:space="preserve"> </w:t>
      </w:r>
      <w:r>
        <w:t>2025; DLP 8 May 2024), with Australia-Specific Annex (ASA) (version 0.3, dated 21</w:t>
      </w:r>
      <w:r w:rsidR="00416415">
        <w:t xml:space="preserve"> </w:t>
      </w:r>
      <w:r>
        <w:t>October 2025), included with submission PM-2025-00512-1-2, and any subsequent</w:t>
      </w:r>
      <w:r w:rsidR="00416415">
        <w:t xml:space="preserve"> </w:t>
      </w:r>
      <w:r>
        <w:t>revisions, as agreed with the TGA will be implemented in Australia.</w:t>
      </w:r>
    </w:p>
    <w:p w14:paraId="21C899C7" w14:textId="116327BA" w:rsidR="007A6691" w:rsidRDefault="007A6691" w:rsidP="00191385">
      <w:pPr>
        <w:pStyle w:val="ListBullet"/>
      </w:pPr>
      <w:r>
        <w:lastRenderedPageBreak/>
        <w:t>An obligatory component of risk management plans is routine pharmacovigilance.</w:t>
      </w:r>
      <w:r w:rsidR="000B32FF">
        <w:t xml:space="preserve"> </w:t>
      </w:r>
      <w:r>
        <w:t>Routine pharmacovigilance includes the submission of periodic safety update reports</w:t>
      </w:r>
      <w:r w:rsidR="00F72E75">
        <w:t xml:space="preserve"> </w:t>
      </w:r>
      <w:r>
        <w:t>(PSURs).</w:t>
      </w:r>
    </w:p>
    <w:p w14:paraId="28ADE7EE" w14:textId="3BA6F449" w:rsidR="00FE6DEC" w:rsidRPr="00224003" w:rsidRDefault="00FE6DEC" w:rsidP="00191385">
      <w:pPr>
        <w:pStyle w:val="ListBullet2"/>
      </w:pPr>
      <w:r w:rsidRPr="00224003">
        <w:t>Unless agreed separately between the supplier who is the recipient of the approval and the TGA, the first report must be submitted to TGA no later than 15 calendar months after the date of this approval letter. The subsequent reports must be submitted no less frequently than annually from the date of the first submitted report until the period covered by such reports is not less than three years from the date of this approval letter. The annual submission may be made up of two PSURs each covering six months. If the sponsor wishes, the six-monthly reports may be submitted separately as they become available.</w:t>
      </w:r>
    </w:p>
    <w:p w14:paraId="5195947E" w14:textId="03FBA0C0" w:rsidR="007A6691" w:rsidRDefault="007A6691" w:rsidP="00191385">
      <w:pPr>
        <w:pStyle w:val="ListBullet2"/>
      </w:pPr>
      <w:r>
        <w:t xml:space="preserve">If the sponsor wishes, the </w:t>
      </w:r>
      <w:r w:rsidR="0050543E">
        <w:t>six-monthly</w:t>
      </w:r>
      <w:r>
        <w:t xml:space="preserve"> reports may be submitted separately as they</w:t>
      </w:r>
      <w:r w:rsidR="006D7F65">
        <w:t xml:space="preserve"> </w:t>
      </w:r>
      <w:r>
        <w:t>become available.</w:t>
      </w:r>
      <w:r w:rsidR="006D7F65">
        <w:t xml:space="preserve"> </w:t>
      </w:r>
      <w:r>
        <w:t>If the product is approved in the EU during the three years period, reports can be</w:t>
      </w:r>
      <w:r w:rsidR="006D7F65">
        <w:t xml:space="preserve"> </w:t>
      </w:r>
      <w:r>
        <w:t>provided in line with the published list of EU reference dates no less frequently than</w:t>
      </w:r>
      <w:r w:rsidR="006D7F65">
        <w:t xml:space="preserve"> </w:t>
      </w:r>
      <w:r>
        <w:t>annually from the date of the first submitted report until the period covered by such</w:t>
      </w:r>
      <w:r w:rsidR="006D7F65">
        <w:t xml:space="preserve"> </w:t>
      </w:r>
      <w:r>
        <w:t>reports is not less than three years from the date of this approval letter.</w:t>
      </w:r>
    </w:p>
    <w:p w14:paraId="13097D94" w14:textId="7E140B69" w:rsidR="007A6691" w:rsidRDefault="007A6691" w:rsidP="00191385">
      <w:pPr>
        <w:pStyle w:val="ListBullet2"/>
      </w:pPr>
      <w:r>
        <w:t>The reports are to at least meet the requirements for PSURs as described in the</w:t>
      </w:r>
      <w:r w:rsidR="006D7F65">
        <w:t xml:space="preserve"> </w:t>
      </w:r>
      <w:r>
        <w:t>European Medicines Agency’s Guideline on good pharmacovigilance practices (GVP)</w:t>
      </w:r>
      <w:r w:rsidR="006D7F65">
        <w:t xml:space="preserve"> </w:t>
      </w:r>
      <w:r>
        <w:t>Module VII-periodic safety update report (Rev 1), Part VII.B Structures and processes.</w:t>
      </w:r>
      <w:r w:rsidR="006D7F65">
        <w:t xml:space="preserve"> </w:t>
      </w:r>
      <w:r>
        <w:t>Note that submission of a PSUR does not constitute an application to vary the</w:t>
      </w:r>
      <w:r w:rsidR="006D7F65">
        <w:t xml:space="preserve"> </w:t>
      </w:r>
      <w:r>
        <w:t>registration. Each report must be submitted within ninety calendar days of the data</w:t>
      </w:r>
      <w:r w:rsidR="006D7F65">
        <w:t xml:space="preserve"> </w:t>
      </w:r>
      <w:r>
        <w:t>lock point for that report.</w:t>
      </w:r>
    </w:p>
    <w:p w14:paraId="6E234F2F" w14:textId="482BADFF" w:rsidR="007A6691" w:rsidRPr="006D7F65" w:rsidRDefault="007A6691" w:rsidP="00191385">
      <w:pPr>
        <w:pStyle w:val="Heading5"/>
      </w:pPr>
      <w:r w:rsidRPr="006D7F65">
        <w:t xml:space="preserve">Laboratory testing </w:t>
      </w:r>
      <w:r w:rsidR="006D7F65" w:rsidRPr="006D7F65">
        <w:t xml:space="preserve">and </w:t>
      </w:r>
      <w:r w:rsidRPr="006D7F65">
        <w:t>compliance with Certified Product Details (CPD)</w:t>
      </w:r>
    </w:p>
    <w:p w14:paraId="2A3A63AC" w14:textId="65F5C106" w:rsidR="007A6691" w:rsidRPr="00AA2B7A" w:rsidRDefault="007A6691" w:rsidP="00191385">
      <w:pPr>
        <w:pStyle w:val="Numberbullet0"/>
        <w:numPr>
          <w:ilvl w:val="0"/>
          <w:numId w:val="10"/>
        </w:numPr>
      </w:pPr>
      <w:r w:rsidRPr="00AA2B7A">
        <w:t xml:space="preserve">All batches of </w:t>
      </w:r>
      <w:proofErr w:type="spellStart"/>
      <w:r w:rsidRPr="00AA2B7A">
        <w:t>ENFLONSIA</w:t>
      </w:r>
      <w:r w:rsidRPr="00191385">
        <w:rPr>
          <w:vertAlign w:val="superscript"/>
        </w:rPr>
        <w:t>TM</w:t>
      </w:r>
      <w:proofErr w:type="spellEnd"/>
      <w:r w:rsidRPr="00AA2B7A">
        <w:t xml:space="preserve"> </w:t>
      </w:r>
      <w:proofErr w:type="spellStart"/>
      <w:r w:rsidRPr="00AA2B7A">
        <w:t>clesrovimab</w:t>
      </w:r>
      <w:proofErr w:type="spellEnd"/>
      <w:r w:rsidRPr="00AA2B7A">
        <w:t xml:space="preserve"> 105 mg/0.7 mL solution for injection, prefilled</w:t>
      </w:r>
      <w:r w:rsidR="006D7F65" w:rsidRPr="00AA2B7A">
        <w:t xml:space="preserve"> </w:t>
      </w:r>
      <w:r w:rsidRPr="00AA2B7A">
        <w:t>syringe supplied in Australia must comply with the product details and</w:t>
      </w:r>
      <w:r w:rsidR="006D7F65" w:rsidRPr="00AA2B7A">
        <w:t xml:space="preserve"> </w:t>
      </w:r>
      <w:r w:rsidRPr="00AA2B7A">
        <w:t>specifications approved during evaluation and detailed in the Certified Product Details</w:t>
      </w:r>
      <w:r w:rsidR="00AA2B7A" w:rsidRPr="00AA2B7A">
        <w:t xml:space="preserve"> </w:t>
      </w:r>
      <w:r w:rsidRPr="00AA2B7A">
        <w:t>(CPD).</w:t>
      </w:r>
    </w:p>
    <w:p w14:paraId="4CF078DE" w14:textId="5E0824F7" w:rsidR="007A6691" w:rsidRDefault="007A6691" w:rsidP="00191385">
      <w:pPr>
        <w:pStyle w:val="Numberbullet0"/>
        <w:numPr>
          <w:ilvl w:val="0"/>
          <w:numId w:val="10"/>
        </w:numPr>
      </w:pPr>
      <w:r>
        <w:t>When requested by the TGA, the Sponsor should be prepared to provide product</w:t>
      </w:r>
      <w:r w:rsidR="0050543E">
        <w:t xml:space="preserve"> </w:t>
      </w:r>
      <w:r>
        <w:t>samples, specified reference materials and documentary evidence to enable the TGA to</w:t>
      </w:r>
      <w:r w:rsidR="0050543E">
        <w:t xml:space="preserve"> </w:t>
      </w:r>
      <w:r>
        <w:t>conduct laboratory testing on the Product. Outcomes of laboratory testing are published</w:t>
      </w:r>
      <w:r w:rsidR="0050543E">
        <w:t xml:space="preserve"> </w:t>
      </w:r>
      <w:r>
        <w:t>biannually in the TGA Database of Laboratory Testing Results</w:t>
      </w:r>
      <w:r w:rsidR="00254753">
        <w:t xml:space="preserve"> </w:t>
      </w:r>
      <w:hyperlink r:id="rId42" w:history="1">
        <w:r w:rsidRPr="00E55341">
          <w:rPr>
            <w:rStyle w:val="Hyperlink"/>
          </w:rPr>
          <w:t>http://www.tga.gov.au/ws-labs-index and periodically in testing reports on the TGA</w:t>
        </w:r>
        <w:r w:rsidR="00E72067" w:rsidRPr="00E55341">
          <w:rPr>
            <w:rStyle w:val="Hyperlink"/>
          </w:rPr>
          <w:t xml:space="preserve"> </w:t>
        </w:r>
        <w:r w:rsidRPr="00E55341">
          <w:rPr>
            <w:rStyle w:val="Hyperlink"/>
          </w:rPr>
          <w:t>website</w:t>
        </w:r>
      </w:hyperlink>
      <w:r>
        <w:t>.</w:t>
      </w:r>
    </w:p>
    <w:p w14:paraId="4059B54A" w14:textId="7D640C18" w:rsidR="007A6691" w:rsidRPr="00E72067" w:rsidRDefault="007A6691" w:rsidP="00191385">
      <w:pPr>
        <w:pStyle w:val="Heading5"/>
      </w:pPr>
      <w:r w:rsidRPr="00E72067">
        <w:t>Certified Product Details</w:t>
      </w:r>
    </w:p>
    <w:p w14:paraId="128067FC" w14:textId="65EFF9FA" w:rsidR="007A6691" w:rsidRDefault="007A6691" w:rsidP="00191385">
      <w:r>
        <w:t>The Certified Product Details (CPD), as described in Guidance 7: Certified Product</w:t>
      </w:r>
      <w:r w:rsidR="00430C84">
        <w:t xml:space="preserve"> </w:t>
      </w:r>
      <w:r>
        <w:t>Details of the Australian Regulatory Guidelines for Prescription Medicines (ARGPM), in</w:t>
      </w:r>
      <w:r w:rsidR="00430C84">
        <w:t xml:space="preserve"> </w:t>
      </w:r>
      <w:r>
        <w:t>PDF format, for the above products should be provided upon registration of these</w:t>
      </w:r>
      <w:r w:rsidR="00430C84">
        <w:t xml:space="preserve"> </w:t>
      </w:r>
      <w:r>
        <w:t>therapeutic goods. In addition, an updated CPD should be provided when changes to</w:t>
      </w:r>
      <w:r w:rsidR="00430C84">
        <w:t xml:space="preserve"> </w:t>
      </w:r>
      <w:r>
        <w:t>finished product specifications and test methods are approved in a Category 3</w:t>
      </w:r>
      <w:r w:rsidR="00430C84">
        <w:t xml:space="preserve"> </w:t>
      </w:r>
      <w:r>
        <w:t>application or notified through a self-assessable change.</w:t>
      </w:r>
    </w:p>
    <w:p w14:paraId="2716A446" w14:textId="371AFB55" w:rsidR="007A6691" w:rsidRDefault="007A6691" w:rsidP="007A6691">
      <w:r>
        <w:t>A template for preparation of CPD for biological prescription medicines can be</w:t>
      </w:r>
      <w:r w:rsidR="00430C84">
        <w:t xml:space="preserve"> </w:t>
      </w:r>
      <w:r>
        <w:t>obtained from the TGA website</w:t>
      </w:r>
      <w:r w:rsidR="00E239F9">
        <w:t>.</w:t>
      </w:r>
    </w:p>
    <w:p w14:paraId="2BAA3B02" w14:textId="00559256" w:rsidR="007A6691" w:rsidRDefault="00790CC8" w:rsidP="00191385">
      <w:pPr>
        <w:pStyle w:val="ListBullet"/>
      </w:pPr>
      <w:r>
        <w:t>The form is available at</w:t>
      </w:r>
      <w:r w:rsidR="00E802A8">
        <w:t xml:space="preserve"> </w:t>
      </w:r>
      <w:r w:rsidR="004D202A" w:rsidRPr="004D202A">
        <w:t xml:space="preserve">https://www.tga.gov.au/form/certified-product-details-cpd-biologicalprescription-medicines </w:t>
      </w:r>
      <w:hyperlink r:id="rId43" w:history="1">
        <w:r w:rsidR="00E802A8" w:rsidRPr="00E802A8">
          <w:rPr>
            <w:rStyle w:val="Hyperlink"/>
          </w:rPr>
          <w:t>Certified product details (CPD) - Biological prescription medicines</w:t>
        </w:r>
        <w:r w:rsidR="00E7748B">
          <w:rPr>
            <w:rStyle w:val="Hyperlink"/>
          </w:rPr>
          <w:t>.</w:t>
        </w:r>
        <w:r w:rsidR="00E802A8" w:rsidRPr="00E802A8">
          <w:rPr>
            <w:rStyle w:val="Hyperlink"/>
          </w:rPr>
          <w:t xml:space="preserve"> </w:t>
        </w:r>
      </w:hyperlink>
    </w:p>
    <w:p w14:paraId="52B8AD0A" w14:textId="02B9A9BD" w:rsidR="00136F20" w:rsidRDefault="00136F20" w:rsidP="00191385">
      <w:pPr>
        <w:pStyle w:val="ListBullet"/>
      </w:pPr>
      <w:r>
        <w:t xml:space="preserve">The CPD form is available at: </w:t>
      </w:r>
      <w:hyperlink r:id="rId44" w:history="1">
        <w:r w:rsidRPr="0002313C">
          <w:rPr>
            <w:rStyle w:val="Hyperlink"/>
          </w:rPr>
          <w:t>https://www.tga.gov.au/guidance-7-certified-product-details</w:t>
        </w:r>
      </w:hyperlink>
    </w:p>
    <w:p w14:paraId="0F9C1952" w14:textId="067DFBE8" w:rsidR="00BA657C" w:rsidRPr="00BA657C" w:rsidRDefault="00BA657C" w:rsidP="00191385">
      <w:pPr>
        <w:pStyle w:val="Heading3"/>
      </w:pPr>
      <w:bookmarkStart w:id="83" w:name="_Toc196738290"/>
      <w:bookmarkStart w:id="84" w:name="_Toc238033756"/>
      <w:r w:rsidRPr="00BA657C">
        <w:lastRenderedPageBreak/>
        <w:t>Product Information and Consumer Medicine Information</w:t>
      </w:r>
      <w:bookmarkEnd w:id="83"/>
      <w:bookmarkEnd w:id="84"/>
    </w:p>
    <w:p w14:paraId="5F276616" w14:textId="6667B73D" w:rsidR="004D0933" w:rsidRPr="004D0933" w:rsidRDefault="004D0933" w:rsidP="00191385">
      <w:bookmarkStart w:id="85" w:name="_Hlk200021736"/>
      <w:r w:rsidRPr="004D0933">
        <w:t xml:space="preserve">For the most recent Product Information (PI) and Consumer Medicine Information (CMI), please refer to the TGA </w:t>
      </w:r>
      <w:hyperlink r:id="rId45" w:history="1">
        <w:r w:rsidRPr="004D0933">
          <w:rPr>
            <w:rStyle w:val="Hyperlink"/>
          </w:rPr>
          <w:t>PI/CMI search facility.</w:t>
        </w:r>
      </w:hyperlink>
    </w:p>
    <w:bookmarkEnd w:id="85"/>
    <w:p w14:paraId="40740B65" w14:textId="5819D664" w:rsidR="00C22214" w:rsidRPr="008B4DA3" w:rsidRDefault="00C22214" w:rsidP="00C22214">
      <w:pPr>
        <w:autoSpaceDE w:val="0"/>
        <w:autoSpaceDN w:val="0"/>
        <w:adjustRightInd w:val="0"/>
        <w:spacing w:after="0"/>
      </w:pPr>
    </w:p>
    <w:p w14:paraId="53357BF3" w14:textId="276457B5" w:rsidR="00C22214" w:rsidRDefault="00C22214" w:rsidP="00C22214">
      <w:pPr>
        <w:rPr>
          <w:lang w:eastAsia="ja-JP"/>
        </w:rPr>
        <w:sectPr w:rsidR="00C22214" w:rsidSect="007452E8">
          <w:headerReference w:type="default" r:id="rId46"/>
          <w:footerReference w:type="default" r:id="rId47"/>
          <w:pgSz w:w="11906" w:h="16838" w:code="9"/>
          <w:pgMar w:top="1134" w:right="1418" w:bottom="1361"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215D48" w14:paraId="3C0C07BF" w14:textId="77777777" w:rsidTr="007452E8">
        <w:trPr>
          <w:trHeight w:hRule="exact" w:val="565"/>
          <w:jc w:val="center"/>
        </w:trPr>
        <w:tc>
          <w:tcPr>
            <w:tcW w:w="9145" w:type="dxa"/>
          </w:tcPr>
          <w:bookmarkEnd w:id="2"/>
          <w:bookmarkEnd w:id="3"/>
          <w:p w14:paraId="7E090B86" w14:textId="77777777" w:rsidR="00F02AEC" w:rsidRPr="00215D48" w:rsidRDefault="00F02AEC" w:rsidP="007452E8">
            <w:pPr>
              <w:pStyle w:val="TGASignoff"/>
            </w:pPr>
            <w:r w:rsidRPr="00215D48">
              <w:lastRenderedPageBreak/>
              <w:t>Therapeutic Goods Administration</w:t>
            </w:r>
          </w:p>
        </w:tc>
      </w:tr>
      <w:tr w:rsidR="00F02AEC" w:rsidRPr="00215D48" w14:paraId="70F47EA1" w14:textId="77777777" w:rsidTr="007452E8">
        <w:trPr>
          <w:trHeight w:val="963"/>
          <w:jc w:val="center"/>
        </w:trPr>
        <w:tc>
          <w:tcPr>
            <w:tcW w:w="9145" w:type="dxa"/>
            <w:tcMar>
              <w:top w:w="28" w:type="dxa"/>
            </w:tcMar>
          </w:tcPr>
          <w:p w14:paraId="3491EBCD" w14:textId="77777777" w:rsidR="00F02AEC" w:rsidRPr="00215D48" w:rsidRDefault="00F02AEC" w:rsidP="007452E8">
            <w:pPr>
              <w:pStyle w:val="Address"/>
              <w:jc w:val="center"/>
            </w:pPr>
            <w:r w:rsidRPr="00215D48">
              <w:t>PO Box 100 Woden ACT 2606 Australia</w:t>
            </w:r>
          </w:p>
          <w:p w14:paraId="5D0FE0E7" w14:textId="53CB9479" w:rsidR="00F02AEC" w:rsidRDefault="00F02AEC">
            <w:pPr>
              <w:pStyle w:val="Address"/>
              <w:jc w:val="center"/>
              <w:rPr>
                <w:sz w:val="22"/>
                <w:szCs w:val="22"/>
              </w:rPr>
            </w:pPr>
            <w:r w:rsidRPr="00215D48">
              <w:t xml:space="preserve">Email: </w:t>
            </w:r>
            <w:hyperlink r:id="rId48"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4533D80F" w14:textId="1519D7A3" w:rsidR="00F02AEC" w:rsidRPr="007E1681" w:rsidRDefault="00F02AEC">
            <w:pPr>
              <w:pStyle w:val="Address"/>
              <w:jc w:val="center"/>
              <w:rPr>
                <w:rStyle w:val="Hyperlink"/>
                <w:color w:val="auto"/>
                <w:sz w:val="22"/>
              </w:rPr>
            </w:pPr>
            <w:hyperlink r:id="rId49" w:history="1">
              <w:r w:rsidRPr="007E1681">
                <w:rPr>
                  <w:rStyle w:val="Hyperlink"/>
                </w:rPr>
                <w:t>https://www.tga.gov.au</w:t>
              </w:r>
            </w:hyperlink>
          </w:p>
        </w:tc>
      </w:tr>
    </w:tbl>
    <w:p w14:paraId="788B80FD" w14:textId="77777777" w:rsidR="007452E8" w:rsidRDefault="007452E8"/>
    <w:sectPr w:rsidR="007452E8" w:rsidSect="007452E8">
      <w:headerReference w:type="first" r:id="rId50"/>
      <w:footerReference w:type="first" r:id="rId51"/>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00C9" w14:textId="77777777" w:rsidR="000F0FB8" w:rsidRDefault="000F0FB8" w:rsidP="00F02AEC">
      <w:pPr>
        <w:spacing w:after="0" w:line="240" w:lineRule="auto"/>
      </w:pPr>
      <w:r>
        <w:separator/>
      </w:r>
    </w:p>
  </w:endnote>
  <w:endnote w:type="continuationSeparator" w:id="0">
    <w:p w14:paraId="44916567" w14:textId="77777777" w:rsidR="000F0FB8" w:rsidRDefault="000F0FB8"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7CF7" w14:textId="7A536625" w:rsidR="00AA6080" w:rsidRDefault="00AA6080">
    <w:pPr>
      <w:pStyle w:val="Footer"/>
    </w:pPr>
    <w:r>
      <w:rPr>
        <w:noProof/>
      </w:rPr>
      <mc:AlternateContent>
        <mc:Choice Requires="wps">
          <w:drawing>
            <wp:anchor distT="0" distB="0" distL="0" distR="0" simplePos="0" relativeHeight="251658247" behindDoc="0" locked="0" layoutInCell="1" allowOverlap="1" wp14:anchorId="6C82A4BB" wp14:editId="3401825C">
              <wp:simplePos x="635" y="635"/>
              <wp:positionH relativeFrom="page">
                <wp:align>center</wp:align>
              </wp:positionH>
              <wp:positionV relativeFrom="page">
                <wp:align>bottom</wp:align>
              </wp:positionV>
              <wp:extent cx="622300" cy="391160"/>
              <wp:effectExtent l="0" t="0" r="6350" b="0"/>
              <wp:wrapNone/>
              <wp:docPr id="16074558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229CBAB" w14:textId="08773DF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82A4BB"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3229CBAB" w14:textId="08773DF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7452E8" w:rsidRPr="00257138" w14:paraId="162D69C2" w14:textId="77777777" w:rsidTr="007452E8">
      <w:trPr>
        <w:trHeight w:val="423"/>
      </w:trPr>
      <w:tc>
        <w:tcPr>
          <w:tcW w:w="4360" w:type="dxa"/>
          <w:tcBorders>
            <w:top w:val="single" w:sz="4" w:space="0" w:color="auto"/>
          </w:tcBorders>
        </w:tcPr>
        <w:p w14:paraId="32E1B782" w14:textId="5783EBFF" w:rsidR="007452E8" w:rsidRDefault="00AA6080" w:rsidP="007452E8">
          <w:pPr>
            <w:pStyle w:val="Footer"/>
          </w:pPr>
          <w:r>
            <w:rPr>
              <w:noProof/>
            </w:rPr>
            <mc:AlternateContent>
              <mc:Choice Requires="wps">
                <w:drawing>
                  <wp:anchor distT="0" distB="0" distL="0" distR="0" simplePos="0" relativeHeight="251658248" behindDoc="0" locked="0" layoutInCell="1" allowOverlap="1" wp14:anchorId="7B016761" wp14:editId="723C47A0">
                    <wp:simplePos x="635" y="635"/>
                    <wp:positionH relativeFrom="page">
                      <wp:align>center</wp:align>
                    </wp:positionH>
                    <wp:positionV relativeFrom="page">
                      <wp:align>bottom</wp:align>
                    </wp:positionV>
                    <wp:extent cx="622300" cy="391160"/>
                    <wp:effectExtent l="0" t="0" r="6350" b="0"/>
                    <wp:wrapNone/>
                    <wp:docPr id="127534539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1ADA2E7" w14:textId="4D4F3F1A"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16761" id="_x0000_t202" coordsize="21600,21600" o:spt="202" path="m,l,21600r21600,l21600,xe">
                    <v:stroke joinstyle="miter"/>
                    <v:path gradientshapeok="t" o:connecttype="rect"/>
                  </v:shapetype>
                  <v:shape id="Text Box 8" o:spid="_x0000_s1029" type="#_x0000_t202" alt="OFFICIAL" style="position:absolute;margin-left:0;margin-top:0;width:49pt;height:30.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11ADA2E7" w14:textId="4D4F3F1A"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p w14:paraId="1849C07C" w14:textId="77777777" w:rsidR="007452E8" w:rsidRPr="00257138" w:rsidRDefault="007452E8" w:rsidP="007452E8">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EndPr/>
          <w:sdtContent>
            <w:p w14:paraId="606A08BF" w14:textId="77777777" w:rsidR="007452E8" w:rsidRDefault="007452E8" w:rsidP="007452E8">
              <w:pPr>
                <w:pStyle w:val="Footer"/>
                <w:jc w:val="right"/>
              </w:pPr>
            </w:p>
            <w:p w14:paraId="5EDE6DF6" w14:textId="77777777" w:rsidR="007452E8" w:rsidRPr="00257138" w:rsidRDefault="007452E8" w:rsidP="007452E8">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r>
                <w:fldChar w:fldCharType="begin"/>
              </w:r>
              <w:r>
                <w:instrText xml:space="preserve"> NUMPAGES  </w:instrText>
              </w:r>
              <w:r>
                <w:fldChar w:fldCharType="separate"/>
              </w:r>
              <w:r>
                <w:rPr>
                  <w:noProof/>
                </w:rPr>
                <w:t>2</w:t>
              </w:r>
              <w:r>
                <w:rPr>
                  <w:noProof/>
                </w:rPr>
                <w:fldChar w:fldCharType="end"/>
              </w:r>
            </w:p>
          </w:sdtContent>
        </w:sdt>
      </w:tc>
    </w:tr>
    <w:tr w:rsidR="007452E8" w:rsidRPr="00257138" w14:paraId="280F09C8" w14:textId="77777777" w:rsidTr="007452E8">
      <w:trPr>
        <w:trHeight w:val="263"/>
      </w:trPr>
      <w:tc>
        <w:tcPr>
          <w:tcW w:w="4360" w:type="dxa"/>
        </w:tcPr>
        <w:p w14:paraId="673F06D3" w14:textId="77777777" w:rsidR="007452E8" w:rsidRPr="00257138" w:rsidRDefault="007452E8" w:rsidP="007452E8">
          <w:pPr>
            <w:pStyle w:val="Footer"/>
          </w:pPr>
          <w:proofErr w:type="spellStart"/>
          <w:r w:rsidRPr="00257138">
            <w:t>V1.0</w:t>
          </w:r>
          <w:proofErr w:type="spellEnd"/>
          <w:r w:rsidRPr="00257138">
            <w:t xml:space="preserve"> </w:t>
          </w:r>
          <w:r>
            <w:t>Month</w:t>
          </w:r>
          <w:r w:rsidRPr="00257138">
            <w:t xml:space="preserve"> 201</w:t>
          </w:r>
          <w:r>
            <w:t>2</w:t>
          </w:r>
        </w:p>
      </w:tc>
      <w:tc>
        <w:tcPr>
          <w:tcW w:w="4360" w:type="dxa"/>
        </w:tcPr>
        <w:p w14:paraId="77F5B433" w14:textId="77777777" w:rsidR="007452E8" w:rsidRPr="00257138" w:rsidRDefault="007452E8" w:rsidP="007452E8">
          <w:pPr>
            <w:pStyle w:val="Footer"/>
            <w:jc w:val="right"/>
          </w:pPr>
        </w:p>
      </w:tc>
    </w:tr>
  </w:tbl>
  <w:p w14:paraId="63F6FDDE" w14:textId="77777777" w:rsidR="007452E8" w:rsidRPr="00826007" w:rsidRDefault="007452E8" w:rsidP="007452E8">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A29C" w14:textId="2D931C92" w:rsidR="007452E8" w:rsidRDefault="00AA6080" w:rsidP="007452E8">
    <w:pPr>
      <w:pStyle w:val="Footer"/>
      <w:ind w:left="-1701"/>
    </w:pPr>
    <w:r>
      <w:rPr>
        <w:noProof/>
      </w:rPr>
      <mc:AlternateContent>
        <mc:Choice Requires="wps">
          <w:drawing>
            <wp:anchor distT="0" distB="0" distL="0" distR="0" simplePos="0" relativeHeight="251658246" behindDoc="0" locked="0" layoutInCell="1" allowOverlap="1" wp14:anchorId="7FBBD7AA" wp14:editId="0931A908">
              <wp:simplePos x="635" y="635"/>
              <wp:positionH relativeFrom="page">
                <wp:align>center</wp:align>
              </wp:positionH>
              <wp:positionV relativeFrom="page">
                <wp:align>bottom</wp:align>
              </wp:positionV>
              <wp:extent cx="622300" cy="391160"/>
              <wp:effectExtent l="0" t="0" r="6350" b="0"/>
              <wp:wrapNone/>
              <wp:docPr id="211656148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13A14CE" w14:textId="6C3CFA46"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BBD7AA" id="_x0000_t202" coordsize="21600,21600" o:spt="202" path="m,l,21600r21600,l21600,xe">
              <v:stroke joinstyle="miter"/>
              <v:path gradientshapeok="t" o:connecttype="rect"/>
            </v:shapetype>
            <v:shape id="Text Box 6" o:spid="_x0000_s1030" type="#_x0000_t202" alt="OFFICIAL" style="position:absolute;left:0;text-align:left;margin-left:0;margin-top:0;width:49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textbox style="mso-fit-shape-to-text:t" inset="0,0,0,15pt">
                <w:txbxContent>
                  <w:p w14:paraId="413A14CE" w14:textId="6C3CFA46"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r w:rsidR="007452E8"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513"/>
      <w:gridCol w:w="1559"/>
    </w:tblGrid>
    <w:tr w:rsidR="007452E8" w:rsidRPr="004A3084" w14:paraId="6266BC33" w14:textId="77777777" w:rsidTr="001B4CC3">
      <w:trPr>
        <w:trHeight w:val="423"/>
      </w:trPr>
      <w:tc>
        <w:tcPr>
          <w:tcW w:w="7513" w:type="dxa"/>
          <w:tcBorders>
            <w:top w:val="single" w:sz="4" w:space="0" w:color="auto"/>
          </w:tcBorders>
        </w:tcPr>
        <w:p w14:paraId="3C421323" w14:textId="440D9927" w:rsidR="007452E8" w:rsidRPr="004A3084" w:rsidRDefault="007452E8" w:rsidP="007452E8">
          <w:pPr>
            <w:pStyle w:val="Footer"/>
          </w:pPr>
          <w:proofErr w:type="spellStart"/>
          <w:r w:rsidRPr="00487162">
            <w:t>AusPA</w:t>
          </w:r>
          <w:r>
            <w:t>R</w:t>
          </w:r>
          <w:proofErr w:type="spellEnd"/>
          <w:r>
            <w:t xml:space="preserve"> </w:t>
          </w:r>
          <w:r w:rsidR="00F876F6">
            <w:t>–</w:t>
          </w:r>
          <w:r>
            <w:t xml:space="preserve"> </w:t>
          </w:r>
          <w:proofErr w:type="spellStart"/>
          <w:r w:rsidR="00F876F6">
            <w:t>Enflonsia</w:t>
          </w:r>
          <w:proofErr w:type="spellEnd"/>
          <w:r w:rsidR="00F876F6">
            <w:t xml:space="preserve"> </w:t>
          </w:r>
          <w:r>
            <w:t>-</w:t>
          </w:r>
          <w:r w:rsidRPr="00460036">
            <w:t xml:space="preserve"> </w:t>
          </w:r>
          <w:proofErr w:type="spellStart"/>
          <w:r w:rsidR="00EF3E92">
            <w:t>clesrovimab</w:t>
          </w:r>
          <w:proofErr w:type="spellEnd"/>
          <w:r w:rsidRPr="00460036">
            <w:t xml:space="preserve"> </w:t>
          </w:r>
          <w:r w:rsidR="008C754C">
            <w:t>-</w:t>
          </w:r>
          <w:r>
            <w:t xml:space="preserve"> </w:t>
          </w:r>
          <w:r w:rsidR="008C1A1B" w:rsidRPr="008C1A1B">
            <w:t>Merck Sharp &amp; Dohme (Australia) Pty Ltd</w:t>
          </w:r>
          <w:r>
            <w:t xml:space="preserve"> - </w:t>
          </w:r>
          <w:r w:rsidR="001B4CC3" w:rsidRPr="001B4CC3">
            <w:t>PM-2025-00512-1-2</w:t>
          </w:r>
          <w:r>
            <w:br/>
          </w:r>
          <w:r w:rsidRPr="00DC1E0C">
            <w:t>Date of Finalisation</w:t>
          </w:r>
          <w:r w:rsidR="001B4CC3" w:rsidRPr="00DC1E0C">
            <w:t>:</w:t>
          </w:r>
          <w:r w:rsidR="00DC1E0C" w:rsidRPr="00DC1E0C">
            <w:t xml:space="preserve"> </w:t>
          </w:r>
          <w:r w:rsidR="00BB26D3">
            <w:t>12 August</w:t>
          </w:r>
          <w:r w:rsidR="00DC1E0C" w:rsidRPr="00DC1E0C">
            <w:t xml:space="preserve"> 2026</w:t>
          </w:r>
        </w:p>
      </w:tc>
      <w:tc>
        <w:tcPr>
          <w:tcW w:w="1559" w:type="dxa"/>
          <w:tcBorders>
            <w:top w:val="single" w:sz="4" w:space="0" w:color="auto"/>
          </w:tcBorders>
        </w:tcPr>
        <w:sdt>
          <w:sdtPr>
            <w:id w:val="11571659"/>
            <w:docPartObj>
              <w:docPartGallery w:val="Page Numbers (Top of Page)"/>
              <w:docPartUnique/>
            </w:docPartObj>
          </w:sdtPr>
          <w:sdtEndPr/>
          <w:sdtContent>
            <w:p w14:paraId="4DE4ED0C" w14:textId="29F65FFD" w:rsidR="007452E8" w:rsidRPr="004A3084" w:rsidRDefault="007452E8" w:rsidP="007452E8">
              <w:pPr>
                <w:pStyle w:val="Footer"/>
                <w:jc w:val="right"/>
              </w:pPr>
              <w:r w:rsidRPr="004A3084">
                <w:t xml:space="preserve">Page </w:t>
              </w:r>
              <w:r>
                <w:fldChar w:fldCharType="begin"/>
              </w:r>
              <w:r>
                <w:instrText xml:space="preserve"> PAGE </w:instrText>
              </w:r>
              <w:r>
                <w:fldChar w:fldCharType="separate"/>
              </w:r>
              <w:r w:rsidR="006D6B44">
                <w:rPr>
                  <w:noProof/>
                </w:rPr>
                <w:t>13</w:t>
              </w:r>
              <w:r>
                <w:rPr>
                  <w:noProof/>
                </w:rPr>
                <w:fldChar w:fldCharType="end"/>
              </w:r>
              <w:r w:rsidRPr="004A3084">
                <w:t xml:space="preserve"> of </w:t>
              </w:r>
              <w:r w:rsidR="006D6B44">
                <w:fldChar w:fldCharType="begin"/>
              </w:r>
              <w:r w:rsidR="006D6B44">
                <w:instrText xml:space="preserve"> NUMPAGES  </w:instrText>
              </w:r>
              <w:r w:rsidR="006D6B44">
                <w:fldChar w:fldCharType="separate"/>
              </w:r>
              <w:r w:rsidR="006D6B44">
                <w:rPr>
                  <w:noProof/>
                </w:rPr>
                <w:t>17</w:t>
              </w:r>
              <w:r w:rsidR="006D6B44">
                <w:rPr>
                  <w:noProof/>
                </w:rPr>
                <w:fldChar w:fldCharType="end"/>
              </w:r>
            </w:p>
          </w:sdtContent>
        </w:sdt>
      </w:tc>
    </w:tr>
  </w:tbl>
  <w:p w14:paraId="1A4EDE60" w14:textId="77777777" w:rsidR="007452E8" w:rsidRPr="00826007" w:rsidRDefault="007452E8" w:rsidP="007452E8">
    <w:pPr>
      <w:pStyle w:val="Footer"/>
      <w:tabs>
        <w:tab w:val="left" w:pos="7620"/>
        <w:tab w:val="right" w:pos="85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70A" w14:textId="77E05F7B" w:rsidR="007452E8" w:rsidRPr="008E3C43" w:rsidRDefault="00AA6080" w:rsidP="007452E8">
    <w:pPr>
      <w:pStyle w:val="Footer"/>
    </w:pPr>
    <w:r>
      <w:rPr>
        <w:noProof/>
      </w:rPr>
      <mc:AlternateContent>
        <mc:Choice Requires="wps">
          <w:drawing>
            <wp:anchor distT="0" distB="0" distL="0" distR="0" simplePos="0" relativeHeight="251658249" behindDoc="0" locked="0" layoutInCell="1" allowOverlap="1" wp14:anchorId="75BBE838" wp14:editId="4624DE86">
              <wp:simplePos x="635" y="635"/>
              <wp:positionH relativeFrom="page">
                <wp:align>center</wp:align>
              </wp:positionH>
              <wp:positionV relativeFrom="page">
                <wp:align>bottom</wp:align>
              </wp:positionV>
              <wp:extent cx="622300" cy="391160"/>
              <wp:effectExtent l="0" t="0" r="6350" b="0"/>
              <wp:wrapNone/>
              <wp:docPr id="67730484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D069688" w14:textId="70C9A1B7"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BBE838" id="_x0000_t202" coordsize="21600,21600" o:spt="202" path="m,l,21600r21600,l21600,xe">
              <v:stroke joinstyle="miter"/>
              <v:path gradientshapeok="t" o:connecttype="rect"/>
            </v:shapetype>
            <v:shape id="Text Box 10" o:spid="_x0000_s1032" type="#_x0000_t202" alt="OFFICIAL" style="position:absolute;margin-left:0;margin-top:0;width:49pt;height:30.8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2D069688" w14:textId="70C9A1B7"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C3F2" w14:textId="77777777" w:rsidR="000F0FB8" w:rsidRDefault="000F0FB8" w:rsidP="00F02AEC">
      <w:pPr>
        <w:spacing w:after="0" w:line="240" w:lineRule="auto"/>
      </w:pPr>
      <w:r>
        <w:separator/>
      </w:r>
    </w:p>
  </w:footnote>
  <w:footnote w:type="continuationSeparator" w:id="0">
    <w:p w14:paraId="4F88BCF1" w14:textId="77777777" w:rsidR="000F0FB8" w:rsidRDefault="000F0FB8" w:rsidP="00F02AEC">
      <w:pPr>
        <w:spacing w:after="0" w:line="240" w:lineRule="auto"/>
      </w:pPr>
      <w:r>
        <w:continuationSeparator/>
      </w:r>
    </w:p>
  </w:footnote>
  <w:footnote w:id="1">
    <w:p w14:paraId="68402A9B" w14:textId="42E6F8E0" w:rsidR="007452E8" w:rsidRPr="00A93DC6" w:rsidRDefault="007452E8">
      <w:pPr>
        <w:pStyle w:val="FootnoteText"/>
        <w:rPr>
          <w:lang w:val="en-GB"/>
        </w:rPr>
      </w:pPr>
      <w:r>
        <w:rPr>
          <w:rStyle w:val="FootnoteReference"/>
        </w:rPr>
        <w:footnoteRef/>
      </w:r>
      <w:r>
        <w:t xml:space="preserve"> </w:t>
      </w:r>
      <w:r w:rsidR="00FB236E">
        <w:t>This is the original indication proposed by the sponsor</w:t>
      </w:r>
      <w:r w:rsidR="00FB236E">
        <w:rPr>
          <w:lang w:val="en-GB"/>
        </w:rPr>
        <w:t xml:space="preserve"> when the TGA commenced the evaluation of this submission. It </w:t>
      </w:r>
      <w:r w:rsidRPr="007452E8">
        <w:rPr>
          <w:lang w:val="en-GB"/>
        </w:rPr>
        <w:t xml:space="preserve">may </w:t>
      </w:r>
      <w:r w:rsidR="00FB236E">
        <w:rPr>
          <w:lang w:val="en-GB"/>
        </w:rPr>
        <w:t>differ</w:t>
      </w:r>
      <w:r w:rsidRPr="007452E8">
        <w:rPr>
          <w:lang w:val="en-GB"/>
        </w:rPr>
        <w:t xml:space="preserve"> to the final indication approved by th</w:t>
      </w:r>
      <w:r w:rsidR="00FB236E">
        <w:rPr>
          <w:lang w:val="en-GB"/>
        </w:rPr>
        <w:t xml:space="preserve">e TGA and registered </w:t>
      </w:r>
      <w:r w:rsidR="005C4B46">
        <w:rPr>
          <w:lang w:val="en-GB"/>
        </w:rPr>
        <w:t xml:space="preserve">in </w:t>
      </w:r>
      <w:r w:rsidR="00FB236E">
        <w:rPr>
          <w:lang w:val="en-GB"/>
        </w:rPr>
        <w:t>the Australian Register of Therapeutic Goods.</w:t>
      </w:r>
    </w:p>
  </w:footnote>
  <w:footnote w:id="2">
    <w:p w14:paraId="4E91A577" w14:textId="09C5115F" w:rsidR="008A75DE" w:rsidRDefault="008A75DE" w:rsidP="008A75DE">
      <w:pPr>
        <w:pStyle w:val="FootnoteText"/>
      </w:pPr>
      <w:r>
        <w:rPr>
          <w:rStyle w:val="FootnoteReference"/>
        </w:rPr>
        <w:footnoteRef/>
      </w:r>
      <w:r>
        <w:t xml:space="preserve"> </w:t>
      </w:r>
      <w:hyperlink r:id="rId1" w:history="1">
        <w:r w:rsidR="006933BF" w:rsidRPr="00825D48">
          <w:rPr>
            <w:rStyle w:val="Hyperlink"/>
          </w:rPr>
          <w:t>https://www.mja.com.au/journal/2025/222/11/respiratory-syncytial-virus-preventives-children-australia-current-landscape</w:t>
        </w:r>
      </w:hyperlink>
    </w:p>
  </w:footnote>
  <w:footnote w:id="3">
    <w:p w14:paraId="2DA0EFD8" w14:textId="77777777" w:rsidR="002C0D5B" w:rsidRDefault="002C0D5B" w:rsidP="002C0D5B">
      <w:pPr>
        <w:pStyle w:val="FootnoteText"/>
      </w:pPr>
      <w:r>
        <w:rPr>
          <w:rStyle w:val="FootnoteReference"/>
        </w:rPr>
        <w:footnoteRef/>
      </w:r>
      <w:r>
        <w:t xml:space="preserve"> </w:t>
      </w:r>
      <w:r w:rsidRPr="00D429B9">
        <w:t>https://www.ema.europa.eu/en/medicines/human/EPAR/enflonsia</w:t>
      </w:r>
    </w:p>
  </w:footnote>
  <w:footnote w:id="4">
    <w:p w14:paraId="44FC44CE" w14:textId="7F428CC8" w:rsidR="00172829" w:rsidRDefault="00172829">
      <w:pPr>
        <w:pStyle w:val="FootnoteText"/>
      </w:pPr>
      <w:r>
        <w:rPr>
          <w:rStyle w:val="FootnoteReference"/>
        </w:rPr>
        <w:footnoteRef/>
      </w:r>
      <w:r>
        <w:t xml:space="preserve"> Health Canada, Health Products and Food Branch, </w:t>
      </w:r>
      <w:r w:rsidRPr="00591227">
        <w:rPr>
          <w:i/>
          <w:iCs/>
        </w:rPr>
        <w:t>Biologics Safety and Efficacy Assessment Report (</w:t>
      </w:r>
      <w:proofErr w:type="spellStart"/>
      <w:r w:rsidRPr="00591227">
        <w:rPr>
          <w:i/>
          <w:iCs/>
        </w:rPr>
        <w:t>BSEAR</w:t>
      </w:r>
      <w:proofErr w:type="spellEnd"/>
      <w:r w:rsidRPr="00591227">
        <w:rPr>
          <w:i/>
          <w:iCs/>
        </w:rPr>
        <w:t>)</w:t>
      </w:r>
      <w:r>
        <w:t>, printed on 12 January 2026</w:t>
      </w:r>
    </w:p>
  </w:footnote>
  <w:footnote w:id="5">
    <w:p w14:paraId="38875EEB" w14:textId="770ED947" w:rsidR="00B54AE2" w:rsidRDefault="00B54AE2">
      <w:pPr>
        <w:pStyle w:val="FootnoteText"/>
      </w:pPr>
      <w:r>
        <w:rPr>
          <w:rStyle w:val="FootnoteReference"/>
        </w:rPr>
        <w:footnoteRef/>
      </w:r>
      <w:r>
        <w:t xml:space="preserve"> Swissmedic</w:t>
      </w:r>
      <w:r w:rsidR="003755A1">
        <w:t xml:space="preserve">, Clinical Assessment Report, printed on </w:t>
      </w:r>
      <w:r w:rsidR="00696664">
        <w:t>12 January 2026</w:t>
      </w:r>
    </w:p>
  </w:footnote>
  <w:footnote w:id="6">
    <w:p w14:paraId="3655F557" w14:textId="401A0EF2" w:rsidR="00393555" w:rsidRDefault="00393555">
      <w:pPr>
        <w:pStyle w:val="FootnoteText"/>
      </w:pPr>
      <w:r>
        <w:rPr>
          <w:rStyle w:val="FootnoteReference"/>
        </w:rPr>
        <w:footnoteRef/>
      </w:r>
      <w:r>
        <w:t xml:space="preserve"> </w:t>
      </w:r>
      <w:r w:rsidR="0099734F">
        <w:t>Health Canad</w:t>
      </w:r>
      <w:r w:rsidR="00511993">
        <w:t>a, Health Products and Food Branch</w:t>
      </w:r>
      <w:r w:rsidR="0099734F">
        <w:t xml:space="preserve">, </w:t>
      </w:r>
      <w:r w:rsidR="0099734F" w:rsidRPr="00591227">
        <w:rPr>
          <w:i/>
          <w:iCs/>
        </w:rPr>
        <w:t>Biologics Safety and Efficacy Assessment Report (</w:t>
      </w:r>
      <w:proofErr w:type="spellStart"/>
      <w:r w:rsidR="0099734F" w:rsidRPr="00591227">
        <w:rPr>
          <w:i/>
          <w:iCs/>
        </w:rPr>
        <w:t>BSEAR</w:t>
      </w:r>
      <w:proofErr w:type="spellEnd"/>
      <w:r w:rsidR="0099734F" w:rsidRPr="00591227">
        <w:rPr>
          <w:i/>
          <w:iCs/>
        </w:rPr>
        <w:t>)</w:t>
      </w:r>
      <w:r w:rsidR="00BC245D">
        <w:t>,</w:t>
      </w:r>
      <w:r w:rsidR="00511993">
        <w:t xml:space="preserve"> </w:t>
      </w:r>
      <w:r w:rsidR="008975C2">
        <w:t xml:space="preserve">printed on </w:t>
      </w:r>
      <w:r w:rsidR="00BC245D">
        <w:t>12 January 2026</w:t>
      </w:r>
    </w:p>
  </w:footnote>
  <w:footnote w:id="7">
    <w:p w14:paraId="56977CC9" w14:textId="77BE7921" w:rsidR="000865C6" w:rsidRDefault="000865C6">
      <w:pPr>
        <w:pStyle w:val="FootnoteText"/>
      </w:pPr>
      <w:r>
        <w:rPr>
          <w:rStyle w:val="FootnoteReference"/>
        </w:rPr>
        <w:footnoteRef/>
      </w:r>
      <w:r>
        <w:t xml:space="preserve"> Health Canada, Health Products and Food Branch, </w:t>
      </w:r>
      <w:r w:rsidRPr="00591227">
        <w:rPr>
          <w:i/>
          <w:iCs/>
        </w:rPr>
        <w:t>Biologics Safety and Efficacy Assessment Report (BSEAR)</w:t>
      </w:r>
      <w:r>
        <w:t>, printed on 12 January 2026</w:t>
      </w:r>
    </w:p>
  </w:footnote>
  <w:footnote w:id="8">
    <w:p w14:paraId="7BE30866" w14:textId="355A9631" w:rsidR="000865C6" w:rsidRDefault="000865C6">
      <w:pPr>
        <w:pStyle w:val="FootnoteText"/>
      </w:pPr>
      <w:r>
        <w:rPr>
          <w:rStyle w:val="FootnoteReference"/>
        </w:rPr>
        <w:footnoteRef/>
      </w:r>
      <w:r>
        <w:t xml:space="preserve"> Health Canada, Health Products and Food Branch, </w:t>
      </w:r>
      <w:r w:rsidRPr="00591227">
        <w:rPr>
          <w:i/>
          <w:iCs/>
        </w:rPr>
        <w:t>Biologics Safety and Efficacy Assessment Report (</w:t>
      </w:r>
      <w:proofErr w:type="spellStart"/>
      <w:r w:rsidRPr="00591227">
        <w:rPr>
          <w:i/>
          <w:iCs/>
        </w:rPr>
        <w:t>BSEAR</w:t>
      </w:r>
      <w:proofErr w:type="spellEnd"/>
      <w:r w:rsidRPr="00591227">
        <w:rPr>
          <w:i/>
          <w:iCs/>
        </w:rPr>
        <w:t>)</w:t>
      </w:r>
      <w:r>
        <w:t>, printed on 12 January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BF43" w14:textId="4621B79E" w:rsidR="00AA6080" w:rsidRDefault="00AA6080">
    <w:pPr>
      <w:pStyle w:val="Header"/>
    </w:pPr>
    <w:r>
      <w:rPr>
        <w:noProof/>
      </w:rPr>
      <mc:AlternateContent>
        <mc:Choice Requires="wps">
          <w:drawing>
            <wp:anchor distT="0" distB="0" distL="0" distR="0" simplePos="0" relativeHeight="251658242" behindDoc="0" locked="0" layoutInCell="1" allowOverlap="1" wp14:anchorId="168E078F" wp14:editId="3777CC4B">
              <wp:simplePos x="635" y="635"/>
              <wp:positionH relativeFrom="page">
                <wp:align>center</wp:align>
              </wp:positionH>
              <wp:positionV relativeFrom="page">
                <wp:align>top</wp:align>
              </wp:positionV>
              <wp:extent cx="622300" cy="391160"/>
              <wp:effectExtent l="0" t="0" r="6350" b="8890"/>
              <wp:wrapNone/>
              <wp:docPr id="16264529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7242D30" w14:textId="21E668B3"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8E078F"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7242D30" w14:textId="21E668B3"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3517" w14:textId="37A3B326" w:rsidR="007452E8" w:rsidRPr="00CB0550" w:rsidRDefault="00AA6080" w:rsidP="00CB0550">
    <w:pPr>
      <w:pStyle w:val="Header"/>
      <w:jc w:val="left"/>
    </w:pPr>
    <w:r>
      <w:rPr>
        <w:noProof/>
      </w:rPr>
      <mc:AlternateContent>
        <mc:Choice Requires="wps">
          <w:drawing>
            <wp:anchor distT="0" distB="0" distL="0" distR="0" simplePos="0" relativeHeight="251658243" behindDoc="0" locked="0" layoutInCell="1" allowOverlap="1" wp14:anchorId="1E1C9365" wp14:editId="2AEDCC7B">
              <wp:simplePos x="635" y="635"/>
              <wp:positionH relativeFrom="page">
                <wp:align>center</wp:align>
              </wp:positionH>
              <wp:positionV relativeFrom="page">
                <wp:align>top</wp:align>
              </wp:positionV>
              <wp:extent cx="622300" cy="391160"/>
              <wp:effectExtent l="0" t="0" r="6350" b="8890"/>
              <wp:wrapNone/>
              <wp:docPr id="8699839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4722D9" w14:textId="1610D419"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1C9365"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7A4722D9" w14:textId="1610D419"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7452E8" w:rsidRPr="002B29B2" w14:paraId="3E15C3BC" w14:textId="77777777" w:rsidTr="007452E8">
      <w:trPr>
        <w:trHeight w:hRule="exact" w:val="8845"/>
      </w:trPr>
      <w:tc>
        <w:tcPr>
          <w:tcW w:w="11964" w:type="dxa"/>
          <w:vAlign w:val="center"/>
        </w:tcPr>
        <w:p w14:paraId="6FDE4BFB" w14:textId="111E4F02" w:rsidR="007452E8" w:rsidRPr="002B29B2" w:rsidRDefault="000F0FB8" w:rsidP="007452E8">
          <w:pPr>
            <w:ind w:left="-57"/>
            <w:rPr>
              <w:noProof/>
            </w:rPr>
          </w:pPr>
          <w:sdt>
            <w:sdtPr>
              <w:rPr>
                <w:noProof/>
              </w:rPr>
              <w:id w:val="1926993388"/>
              <w:showingPlcHdr/>
              <w:picture/>
            </w:sdtPr>
            <w:sdtEndPr/>
            <w:sdtContent>
              <w:r w:rsidR="007452E8" w:rsidRPr="00F71E1E">
                <w:rPr>
                  <w:noProof/>
                  <w:lang w:val="en-GB" w:eastAsia="en-GB"/>
                </w:rPr>
                <w:drawing>
                  <wp:inline distT="0" distB="0" distL="0" distR="0" wp14:anchorId="5C7F8AC9" wp14:editId="4340342C">
                    <wp:extent cx="7631430" cy="5636526"/>
                    <wp:effectExtent l="0" t="0" r="762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4999" cy="5639162"/>
                            </a:xfrm>
                            <a:prstGeom prst="rect">
                              <a:avLst/>
                            </a:prstGeom>
                            <a:noFill/>
                            <a:ln w="9525">
                              <a:noFill/>
                              <a:miter lim="800000"/>
                              <a:headEnd/>
                              <a:tailEnd/>
                            </a:ln>
                          </pic:spPr>
                        </pic:pic>
                      </a:graphicData>
                    </a:graphic>
                  </wp:inline>
                </w:drawing>
              </w:r>
            </w:sdtContent>
          </w:sdt>
        </w:p>
      </w:tc>
    </w:tr>
  </w:tbl>
  <w:p w14:paraId="6402DE55" w14:textId="0CC43FB3" w:rsidR="007452E8" w:rsidRDefault="00EF3E92" w:rsidP="007452E8">
    <w:pPr>
      <w:rPr>
        <w:noProof/>
      </w:rPr>
    </w:pPr>
    <w:r w:rsidRPr="002B29B2">
      <w:rPr>
        <w:noProof/>
        <w:lang w:val="en-GB" w:eastAsia="en-GB"/>
      </w:rPr>
      <w:drawing>
        <wp:anchor distT="0" distB="0" distL="114300" distR="114300" simplePos="0" relativeHeight="251658240" behindDoc="0" locked="0" layoutInCell="0" allowOverlap="1" wp14:anchorId="14BBEAC1" wp14:editId="0C93B59E">
          <wp:simplePos x="0" y="0"/>
          <wp:positionH relativeFrom="page">
            <wp:align>left</wp:align>
          </wp:positionH>
          <wp:positionV relativeFrom="page">
            <wp:posOffset>3324860</wp:posOffset>
          </wp:positionV>
          <wp:extent cx="7663815" cy="4323080"/>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663815" cy="43230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6693A">
      <w:rPr>
        <w:noProof/>
      </w:rPr>
      <w:drawing>
        <wp:inline distT="0" distB="0" distL="0" distR="0" wp14:anchorId="26654E9F" wp14:editId="228E5F69">
          <wp:extent cx="3344545" cy="694055"/>
          <wp:effectExtent l="0" t="0" r="8255" b="0"/>
          <wp:docPr id="159602786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7861" name="Picture 2"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632D" w14:textId="67C29BC4" w:rsidR="007452E8" w:rsidRDefault="007452E8" w:rsidP="007452E8">
    <w:pPr>
      <w:pStyle w:val="Header"/>
    </w:pPr>
    <w:r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477B" w14:textId="47193F49" w:rsidR="007452E8" w:rsidRPr="00FE501F" w:rsidRDefault="00AA6080" w:rsidP="007452E8">
    <w:pPr>
      <w:pStyle w:val="Headernoline"/>
    </w:pPr>
    <w:r>
      <w:rPr>
        <w:noProof/>
      </w:rPr>
      <mc:AlternateContent>
        <mc:Choice Requires="wps">
          <w:drawing>
            <wp:anchor distT="0" distB="0" distL="0" distR="0" simplePos="0" relativeHeight="251658245" behindDoc="0" locked="0" layoutInCell="1" allowOverlap="1" wp14:anchorId="2E9DBE25" wp14:editId="6C92E7E4">
              <wp:simplePos x="635" y="635"/>
              <wp:positionH relativeFrom="page">
                <wp:align>center</wp:align>
              </wp:positionH>
              <wp:positionV relativeFrom="page">
                <wp:align>top</wp:align>
              </wp:positionV>
              <wp:extent cx="622300" cy="391160"/>
              <wp:effectExtent l="0" t="0" r="6350" b="8890"/>
              <wp:wrapNone/>
              <wp:docPr id="9160222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44BABE5" w14:textId="660E2D68"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9DBE25" id="_x0000_t202" coordsize="21600,21600" o:spt="202" path="m,l,21600r21600,l21600,xe">
              <v:stroke joinstyle="miter"/>
              <v:path gradientshapeok="t" o:connecttype="rect"/>
            </v:shapetype>
            <v:shape id="Text Box 5" o:spid="_x0000_s1031" type="#_x0000_t202" alt="OFFICIAL" style="position:absolute;left:0;text-align:left;margin-left:0;margin-top:0;width:49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n97tXDQIAABwEAAAO&#10;AAAAAAAAAAAAAAAAAC4CAABkcnMvZTJvRG9jLnhtbFBLAQItABQABgAIAAAAIQBhokho2AAAAAMB&#10;AAAPAAAAAAAAAAAAAAAAAGcEAABkcnMvZG93bnJldi54bWxQSwUGAAAAAAQABADzAAAAbAUAAAAA&#10;" filled="f" stroked="f">
              <v:textbox style="mso-fit-shape-to-text:t" inset="0,15pt,0,0">
                <w:txbxContent>
                  <w:p w14:paraId="044BABE5" w14:textId="660E2D68"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53F11"/>
    <w:multiLevelType w:val="multilevel"/>
    <w:tmpl w:val="9B4A173E"/>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 w15:restartNumberingAfterBreak="0">
    <w:nsid w:val="168F13E9"/>
    <w:multiLevelType w:val="multilevel"/>
    <w:tmpl w:val="EABCAF54"/>
    <w:styleLink w:val="ListBullets"/>
    <w:lvl w:ilvl="0">
      <w:start w:val="4"/>
      <w:numFmt w:val="bullet"/>
      <w:pStyle w:val="ListBullet"/>
      <w:lvlText w:val="•"/>
      <w:lvlJc w:val="left"/>
      <w:pPr>
        <w:ind w:left="360" w:hanging="360"/>
      </w:pPr>
      <w:rPr>
        <w:rFonts w:ascii="Cambria" w:eastAsia="Cambria" w:hAnsi="Cambria" w:hint="default"/>
      </w:rPr>
    </w:lvl>
    <w:lvl w:ilvl="1">
      <w:start w:val="5"/>
      <w:numFmt w:val="bullet"/>
      <w:pStyle w:val="ListBullet2"/>
      <w:lvlText w:val="-"/>
      <w:lvlJc w:val="left"/>
      <w:pPr>
        <w:ind w:left="720" w:hanging="360"/>
      </w:pPr>
      <w:rPr>
        <w:rFonts w:ascii="Cambria" w:eastAsia="Cambria" w:hAnsi="Cambria"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1A0F6605"/>
    <w:multiLevelType w:val="hybridMultilevel"/>
    <w:tmpl w:val="1534D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FB1C56"/>
    <w:multiLevelType w:val="multilevel"/>
    <w:tmpl w:val="339EBC96"/>
    <w:lvl w:ilvl="0">
      <w:start w:val="1"/>
      <w:numFmt w:val="bullet"/>
      <w:pStyle w:val="ListBullet-dotick"/>
      <w:lvlText w:val=""/>
      <w:lvlJc w:val="left"/>
      <w:pPr>
        <w:ind w:left="361" w:hanging="360"/>
      </w:pPr>
      <w:rPr>
        <w:rFonts w:ascii="Wingdings" w:hAnsi="Wingdings" w:hint="default"/>
        <w:b/>
        <w:i w:val="0"/>
        <w:color w:val="00B050"/>
        <w:sz w:val="24"/>
      </w:rPr>
    </w:lvl>
    <w:lvl w:ilvl="1">
      <w:start w:val="1"/>
      <w:numFmt w:val="bullet"/>
      <w:lvlText w:val="–"/>
      <w:lvlJc w:val="left"/>
      <w:pPr>
        <w:ind w:left="721" w:hanging="360"/>
      </w:pPr>
      <w:rPr>
        <w:rFonts w:ascii="Arial" w:hAnsi="Arial" w:cs="Times New Roman" w:hint="default"/>
      </w:rPr>
    </w:lvl>
    <w:lvl w:ilvl="2">
      <w:start w:val="1"/>
      <w:numFmt w:val="bullet"/>
      <w:lvlText w:val=""/>
      <w:lvlJc w:val="left"/>
      <w:pPr>
        <w:ind w:left="1081" w:hanging="360"/>
      </w:pPr>
      <w:rPr>
        <w:rFonts w:ascii="Wingdings" w:hAnsi="Wingdings" w:hint="default"/>
      </w:rPr>
    </w:lvl>
    <w:lvl w:ilvl="3">
      <w:start w:val="1"/>
      <w:numFmt w:val="none"/>
      <w:lvlText w:val=""/>
      <w:lvlJc w:val="left"/>
      <w:pPr>
        <w:ind w:left="1441" w:hanging="360"/>
      </w:pPr>
    </w:lvl>
    <w:lvl w:ilvl="4">
      <w:start w:val="1"/>
      <w:numFmt w:val="none"/>
      <w:lvlText w:val=""/>
      <w:lvlJc w:val="left"/>
      <w:pPr>
        <w:ind w:left="1801" w:hanging="360"/>
      </w:pPr>
    </w:lvl>
    <w:lvl w:ilvl="5">
      <w:start w:val="1"/>
      <w:numFmt w:val="none"/>
      <w:lvlText w:val=""/>
      <w:lvlJc w:val="left"/>
      <w:pPr>
        <w:ind w:left="2161" w:hanging="360"/>
      </w:pPr>
    </w:lvl>
    <w:lvl w:ilvl="6">
      <w:start w:val="1"/>
      <w:numFmt w:val="none"/>
      <w:lvlText w:val="%7"/>
      <w:lvlJc w:val="left"/>
      <w:pPr>
        <w:ind w:left="2521" w:hanging="360"/>
      </w:pPr>
    </w:lvl>
    <w:lvl w:ilvl="7">
      <w:start w:val="1"/>
      <w:numFmt w:val="none"/>
      <w:lvlText w:val="%8"/>
      <w:lvlJc w:val="left"/>
      <w:pPr>
        <w:ind w:left="2881" w:hanging="360"/>
      </w:pPr>
    </w:lvl>
    <w:lvl w:ilvl="8">
      <w:start w:val="1"/>
      <w:numFmt w:val="none"/>
      <w:lvlText w:val="%9"/>
      <w:lvlJc w:val="left"/>
      <w:pPr>
        <w:ind w:left="3241" w:hanging="360"/>
      </w:pPr>
    </w:lvl>
  </w:abstractNum>
  <w:abstractNum w:abstractNumId="5" w15:restartNumberingAfterBreak="0">
    <w:nsid w:val="4ED74F91"/>
    <w:multiLevelType w:val="hybridMultilevel"/>
    <w:tmpl w:val="FEAE2780"/>
    <w:lvl w:ilvl="0" w:tplc="1F70818A">
      <w:start w:val="6"/>
      <w:numFmt w:val="bullet"/>
      <w:lvlText w:val="–"/>
      <w:lvlJc w:val="left"/>
      <w:pPr>
        <w:ind w:left="720" w:hanging="360"/>
      </w:pPr>
      <w:rPr>
        <w:rFonts w:ascii="Cambria" w:eastAsia="Cambria"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7" w15:restartNumberingAfterBreak="0">
    <w:nsid w:val="50336B0D"/>
    <w:multiLevelType w:val="hybridMultilevel"/>
    <w:tmpl w:val="EF9839A0"/>
    <w:lvl w:ilvl="0" w:tplc="16AACF42">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2997172">
    <w:abstractNumId w:val="2"/>
  </w:num>
  <w:num w:numId="2" w16cid:durableId="1856573705">
    <w:abstractNumId w:val="0"/>
  </w:num>
  <w:num w:numId="3" w16cid:durableId="357703499">
    <w:abstractNumId w:val="1"/>
  </w:num>
  <w:num w:numId="4" w16cid:durableId="1869176708">
    <w:abstractNumId w:val="7"/>
  </w:num>
  <w:num w:numId="5" w16cid:durableId="1652950129">
    <w:abstractNumId w:val="4"/>
  </w:num>
  <w:num w:numId="6" w16cid:durableId="1053193207">
    <w:abstractNumId w:val="6"/>
  </w:num>
  <w:num w:numId="7" w16cid:durableId="1738167245">
    <w:abstractNumId w:val="3"/>
  </w:num>
  <w:num w:numId="8" w16cid:durableId="184097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3393748">
    <w:abstractNumId w:val="0"/>
    <w:lvlOverride w:ilvl="0">
      <w:lvl w:ilvl="0">
        <w:start w:val="1"/>
        <w:numFmt w:val="decimal"/>
        <w:pStyle w:val="Numberbullet0"/>
        <w:lvlText w:val="%1."/>
        <w:lvlJc w:val="left"/>
        <w:pPr>
          <w:ind w:left="360" w:hanging="360"/>
        </w:pPr>
        <w:rPr>
          <w:rFonts w:ascii="Arial" w:hAnsi="Arial" w:hint="default"/>
        </w:rPr>
      </w:lvl>
    </w:lvlOverride>
    <w:lvlOverride w:ilvl="1">
      <w:lvl w:ilvl="1">
        <w:start w:val="1"/>
        <w:numFmt w:val="lowerLetter"/>
        <w:pStyle w:val="Numberbullet2"/>
        <w:lvlText w:val="%2."/>
        <w:lvlJc w:val="left"/>
        <w:pPr>
          <w:ind w:left="851" w:hanging="426"/>
        </w:pPr>
        <w:rPr>
          <w:rFonts w:hint="default"/>
        </w:rPr>
      </w:lvl>
    </w:lvlOverride>
    <w:lvlOverride w:ilvl="2">
      <w:lvl w:ilvl="2">
        <w:start w:val="1"/>
        <w:numFmt w:val="lowerRoman"/>
        <w:lvlText w:val="%3."/>
        <w:lvlJc w:val="left"/>
        <w:pPr>
          <w:ind w:left="1276" w:hanging="425"/>
        </w:pPr>
        <w:rPr>
          <w:rFonts w:hint="default"/>
        </w:rPr>
      </w:lvl>
    </w:lvlOverride>
    <w:lvlOverride w:ilvl="3">
      <w:lvl w:ilvl="3">
        <w:start w:val="1"/>
        <w:numFmt w:val="none"/>
        <w:lvlText w:val=""/>
        <w:lvlJc w:val="left"/>
        <w:pPr>
          <w:ind w:left="1276" w:hanging="425"/>
        </w:pPr>
        <w:rPr>
          <w:rFonts w:hint="default"/>
        </w:rPr>
      </w:lvl>
    </w:lvlOverride>
    <w:lvlOverride w:ilvl="4">
      <w:lvl w:ilvl="4">
        <w:start w:val="1"/>
        <w:numFmt w:val="none"/>
        <w:lvlText w:val=""/>
        <w:lvlJc w:val="left"/>
        <w:pPr>
          <w:ind w:left="1276" w:hanging="425"/>
        </w:pPr>
        <w:rPr>
          <w:rFonts w:hint="default"/>
        </w:rPr>
      </w:lvl>
    </w:lvlOverride>
    <w:lvlOverride w:ilvl="5">
      <w:lvl w:ilvl="5">
        <w:start w:val="1"/>
        <w:numFmt w:val="none"/>
        <w:lvlText w:val=""/>
        <w:lvlJc w:val="left"/>
        <w:pPr>
          <w:ind w:left="1276" w:hanging="425"/>
        </w:pPr>
        <w:rPr>
          <w:rFonts w:hint="default"/>
        </w:rPr>
      </w:lvl>
    </w:lvlOverride>
    <w:lvlOverride w:ilvl="6">
      <w:lvl w:ilvl="6">
        <w:start w:val="1"/>
        <w:numFmt w:val="none"/>
        <w:lvlText w:val="%7"/>
        <w:lvlJc w:val="left"/>
        <w:pPr>
          <w:ind w:left="1276" w:hanging="425"/>
        </w:pPr>
        <w:rPr>
          <w:rFonts w:hint="default"/>
        </w:rPr>
      </w:lvl>
    </w:lvlOverride>
    <w:lvlOverride w:ilvl="7">
      <w:lvl w:ilvl="7">
        <w:start w:val="1"/>
        <w:numFmt w:val="none"/>
        <w:lvlText w:val=""/>
        <w:lvlJc w:val="left"/>
        <w:pPr>
          <w:ind w:left="1276" w:hanging="425"/>
        </w:pPr>
        <w:rPr>
          <w:rFonts w:hint="default"/>
        </w:rPr>
      </w:lvl>
    </w:lvlOverride>
    <w:lvlOverride w:ilvl="8">
      <w:lvl w:ilvl="8">
        <w:start w:val="1"/>
        <w:numFmt w:val="none"/>
        <w:lvlText w:val=""/>
        <w:lvlJc w:val="left"/>
        <w:pPr>
          <w:ind w:left="1276" w:hanging="425"/>
        </w:pPr>
        <w:rPr>
          <w:rFonts w:hint="default"/>
        </w:rPr>
      </w:lvl>
    </w:lvlOverride>
  </w:num>
  <w:num w:numId="10" w16cid:durableId="904798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1048713">
    <w:abstractNumId w:val="0"/>
    <w:lvlOverride w:ilvl="0">
      <w:startOverride w:val="1"/>
      <w:lvl w:ilvl="0">
        <w:start w:val="1"/>
        <w:numFmt w:val="decimal"/>
        <w:pStyle w:val="Numberbullet0"/>
        <w:lvlText w:val="%1."/>
        <w:lvlJc w:val="left"/>
        <w:pPr>
          <w:ind w:left="360" w:hanging="360"/>
        </w:pPr>
        <w:rPr>
          <w:rFonts w:ascii="Arial" w:hAnsi="Arial" w:hint="default"/>
        </w:rPr>
      </w:lvl>
    </w:lvlOverride>
    <w:lvlOverride w:ilvl="1">
      <w:startOverride w:val="1"/>
      <w:lvl w:ilvl="1">
        <w:start w:val="1"/>
        <w:numFmt w:val="lowerLetter"/>
        <w:pStyle w:val="Numberbullet2"/>
        <w:lvlText w:val="%2."/>
        <w:lvlJc w:val="left"/>
        <w:pPr>
          <w:ind w:left="851" w:hanging="426"/>
        </w:pPr>
        <w:rPr>
          <w:rFonts w:hint="default"/>
        </w:rPr>
      </w:lvl>
    </w:lvlOverride>
    <w:lvlOverride w:ilvl="2">
      <w:startOverride w:val="1"/>
      <w:lvl w:ilvl="2">
        <w:start w:val="1"/>
        <w:numFmt w:val="lowerRoman"/>
        <w:lvlText w:val="%3."/>
        <w:lvlJc w:val="left"/>
        <w:pPr>
          <w:ind w:left="1276" w:hanging="425"/>
        </w:pPr>
        <w:rPr>
          <w:rFonts w:hint="default"/>
        </w:rPr>
      </w:lvl>
    </w:lvlOverride>
    <w:lvlOverride w:ilvl="3">
      <w:startOverride w:val="1"/>
      <w:lvl w:ilvl="3">
        <w:start w:val="1"/>
        <w:numFmt w:val="none"/>
        <w:lvlText w:val=""/>
        <w:lvlJc w:val="left"/>
        <w:pPr>
          <w:ind w:left="1276" w:hanging="425"/>
        </w:pPr>
        <w:rPr>
          <w:rFonts w:hint="default"/>
        </w:rPr>
      </w:lvl>
    </w:lvlOverride>
    <w:lvlOverride w:ilvl="4">
      <w:startOverride w:val="1"/>
      <w:lvl w:ilvl="4">
        <w:start w:val="1"/>
        <w:numFmt w:val="none"/>
        <w:lvlText w:val=""/>
        <w:lvlJc w:val="left"/>
        <w:pPr>
          <w:ind w:left="1276" w:hanging="425"/>
        </w:pPr>
        <w:rPr>
          <w:rFonts w:hint="default"/>
        </w:rPr>
      </w:lvl>
    </w:lvlOverride>
    <w:lvlOverride w:ilvl="5">
      <w:startOverride w:val="1"/>
      <w:lvl w:ilvl="5">
        <w:start w:val="1"/>
        <w:numFmt w:val="none"/>
        <w:lvlText w:val=""/>
        <w:lvlJc w:val="left"/>
        <w:pPr>
          <w:ind w:left="1276" w:hanging="425"/>
        </w:pPr>
        <w:rPr>
          <w:rFonts w:hint="default"/>
        </w:rPr>
      </w:lvl>
    </w:lvlOverride>
    <w:lvlOverride w:ilvl="6">
      <w:startOverride w:val="1"/>
      <w:lvl w:ilvl="6">
        <w:start w:val="1"/>
        <w:numFmt w:val="none"/>
        <w:lvlText w:val="%7"/>
        <w:lvlJc w:val="left"/>
        <w:pPr>
          <w:ind w:left="1276" w:hanging="425"/>
        </w:pPr>
        <w:rPr>
          <w:rFonts w:hint="default"/>
        </w:rPr>
      </w:lvl>
    </w:lvlOverride>
    <w:lvlOverride w:ilvl="7">
      <w:startOverride w:val="1"/>
      <w:lvl w:ilvl="7">
        <w:start w:val="1"/>
        <w:numFmt w:val="none"/>
        <w:lvlText w:val=""/>
        <w:lvlJc w:val="left"/>
        <w:pPr>
          <w:ind w:left="1276" w:hanging="425"/>
        </w:pPr>
        <w:rPr>
          <w:rFonts w:hint="default"/>
        </w:rPr>
      </w:lvl>
    </w:lvlOverride>
    <w:lvlOverride w:ilvl="8">
      <w:startOverride w:val="1"/>
      <w:lvl w:ilvl="8">
        <w:start w:val="1"/>
        <w:numFmt w:val="none"/>
        <w:lvlText w:val=""/>
        <w:lvlJc w:val="left"/>
        <w:pPr>
          <w:ind w:left="1276" w:hanging="425"/>
        </w:pPr>
        <w:rPr>
          <w:rFonts w:hint="default"/>
        </w:rPr>
      </w:lvl>
    </w:lvlOverride>
  </w:num>
  <w:num w:numId="12" w16cid:durableId="10540423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2"/>
    <w:rsid w:val="00000E6E"/>
    <w:rsid w:val="00004431"/>
    <w:rsid w:val="00005062"/>
    <w:rsid w:val="00005DFC"/>
    <w:rsid w:val="0001064C"/>
    <w:rsid w:val="000136EA"/>
    <w:rsid w:val="0001384A"/>
    <w:rsid w:val="000141E7"/>
    <w:rsid w:val="00014A3B"/>
    <w:rsid w:val="00021C13"/>
    <w:rsid w:val="00024372"/>
    <w:rsid w:val="00032A0F"/>
    <w:rsid w:val="0003428C"/>
    <w:rsid w:val="00037E6D"/>
    <w:rsid w:val="00037FA6"/>
    <w:rsid w:val="00040D8D"/>
    <w:rsid w:val="00042BEC"/>
    <w:rsid w:val="00046423"/>
    <w:rsid w:val="00047615"/>
    <w:rsid w:val="000477F5"/>
    <w:rsid w:val="000479D0"/>
    <w:rsid w:val="0005067C"/>
    <w:rsid w:val="000522A9"/>
    <w:rsid w:val="00053070"/>
    <w:rsid w:val="00054297"/>
    <w:rsid w:val="00056219"/>
    <w:rsid w:val="00060308"/>
    <w:rsid w:val="0006104E"/>
    <w:rsid w:val="000640BD"/>
    <w:rsid w:val="00065168"/>
    <w:rsid w:val="00065839"/>
    <w:rsid w:val="00065FDF"/>
    <w:rsid w:val="000665D5"/>
    <w:rsid w:val="0006693A"/>
    <w:rsid w:val="00077844"/>
    <w:rsid w:val="00083763"/>
    <w:rsid w:val="0008628A"/>
    <w:rsid w:val="000865C6"/>
    <w:rsid w:val="00090510"/>
    <w:rsid w:val="000917AE"/>
    <w:rsid w:val="00092F51"/>
    <w:rsid w:val="00093E46"/>
    <w:rsid w:val="0009441A"/>
    <w:rsid w:val="00094B81"/>
    <w:rsid w:val="00095C6A"/>
    <w:rsid w:val="00095DCA"/>
    <w:rsid w:val="00096B79"/>
    <w:rsid w:val="000975AA"/>
    <w:rsid w:val="0009787B"/>
    <w:rsid w:val="000A2632"/>
    <w:rsid w:val="000B32FF"/>
    <w:rsid w:val="000B6798"/>
    <w:rsid w:val="000B6B15"/>
    <w:rsid w:val="000B78C1"/>
    <w:rsid w:val="000C25A7"/>
    <w:rsid w:val="000C4531"/>
    <w:rsid w:val="000C5F89"/>
    <w:rsid w:val="000D78EC"/>
    <w:rsid w:val="000D7934"/>
    <w:rsid w:val="000E2434"/>
    <w:rsid w:val="000E2597"/>
    <w:rsid w:val="000E504E"/>
    <w:rsid w:val="000E6746"/>
    <w:rsid w:val="000E6F2E"/>
    <w:rsid w:val="000F0FB8"/>
    <w:rsid w:val="000F182B"/>
    <w:rsid w:val="000F3579"/>
    <w:rsid w:val="000F3882"/>
    <w:rsid w:val="000F734E"/>
    <w:rsid w:val="000F7B51"/>
    <w:rsid w:val="00101BEE"/>
    <w:rsid w:val="00101CE6"/>
    <w:rsid w:val="00101FB1"/>
    <w:rsid w:val="0010553D"/>
    <w:rsid w:val="0010558A"/>
    <w:rsid w:val="001101FF"/>
    <w:rsid w:val="00111989"/>
    <w:rsid w:val="00113F9F"/>
    <w:rsid w:val="00114025"/>
    <w:rsid w:val="001142BC"/>
    <w:rsid w:val="00122C57"/>
    <w:rsid w:val="00122E1E"/>
    <w:rsid w:val="001231EC"/>
    <w:rsid w:val="0012473C"/>
    <w:rsid w:val="00126B89"/>
    <w:rsid w:val="00127A49"/>
    <w:rsid w:val="00127A74"/>
    <w:rsid w:val="0013132F"/>
    <w:rsid w:val="00131B1B"/>
    <w:rsid w:val="0013306D"/>
    <w:rsid w:val="0013528C"/>
    <w:rsid w:val="00136ACF"/>
    <w:rsid w:val="00136F20"/>
    <w:rsid w:val="00140211"/>
    <w:rsid w:val="001424C7"/>
    <w:rsid w:val="00142B30"/>
    <w:rsid w:val="001442A2"/>
    <w:rsid w:val="001468CA"/>
    <w:rsid w:val="001500A8"/>
    <w:rsid w:val="0015238B"/>
    <w:rsid w:val="00152BDA"/>
    <w:rsid w:val="00155721"/>
    <w:rsid w:val="00155D85"/>
    <w:rsid w:val="00165D28"/>
    <w:rsid w:val="0017005C"/>
    <w:rsid w:val="00172829"/>
    <w:rsid w:val="0017291F"/>
    <w:rsid w:val="00175CD8"/>
    <w:rsid w:val="0017637C"/>
    <w:rsid w:val="0018034B"/>
    <w:rsid w:val="00182BD8"/>
    <w:rsid w:val="00184337"/>
    <w:rsid w:val="00184E37"/>
    <w:rsid w:val="0018638B"/>
    <w:rsid w:val="00190853"/>
    <w:rsid w:val="00191385"/>
    <w:rsid w:val="0019182F"/>
    <w:rsid w:val="00193442"/>
    <w:rsid w:val="001A76F9"/>
    <w:rsid w:val="001B06FF"/>
    <w:rsid w:val="001B1703"/>
    <w:rsid w:val="001B4CC3"/>
    <w:rsid w:val="001B5C42"/>
    <w:rsid w:val="001C1C2E"/>
    <w:rsid w:val="001C31A1"/>
    <w:rsid w:val="001C3FA2"/>
    <w:rsid w:val="001C5EE2"/>
    <w:rsid w:val="001C6B52"/>
    <w:rsid w:val="001C7564"/>
    <w:rsid w:val="001D0077"/>
    <w:rsid w:val="001D13EB"/>
    <w:rsid w:val="001D2255"/>
    <w:rsid w:val="001D42CD"/>
    <w:rsid w:val="001D5F20"/>
    <w:rsid w:val="001E407B"/>
    <w:rsid w:val="001E7FC6"/>
    <w:rsid w:val="001F2502"/>
    <w:rsid w:val="001F5B1D"/>
    <w:rsid w:val="001F70A5"/>
    <w:rsid w:val="0020235D"/>
    <w:rsid w:val="0020369B"/>
    <w:rsid w:val="00205328"/>
    <w:rsid w:val="00206B46"/>
    <w:rsid w:val="0020702C"/>
    <w:rsid w:val="00207B4D"/>
    <w:rsid w:val="0021019F"/>
    <w:rsid w:val="00210F9B"/>
    <w:rsid w:val="002117B1"/>
    <w:rsid w:val="00217442"/>
    <w:rsid w:val="00217CCE"/>
    <w:rsid w:val="002203B1"/>
    <w:rsid w:val="00226F39"/>
    <w:rsid w:val="0023290B"/>
    <w:rsid w:val="00233249"/>
    <w:rsid w:val="002334AD"/>
    <w:rsid w:val="00241B60"/>
    <w:rsid w:val="00247CA2"/>
    <w:rsid w:val="002546F7"/>
    <w:rsid w:val="00254753"/>
    <w:rsid w:val="0025785B"/>
    <w:rsid w:val="00257969"/>
    <w:rsid w:val="00260788"/>
    <w:rsid w:val="00262C02"/>
    <w:rsid w:val="00263DEB"/>
    <w:rsid w:val="00265CD1"/>
    <w:rsid w:val="00266C1D"/>
    <w:rsid w:val="00275496"/>
    <w:rsid w:val="00280048"/>
    <w:rsid w:val="0028489E"/>
    <w:rsid w:val="002848DE"/>
    <w:rsid w:val="0028794E"/>
    <w:rsid w:val="00290E22"/>
    <w:rsid w:val="0029733B"/>
    <w:rsid w:val="002A11F3"/>
    <w:rsid w:val="002A1610"/>
    <w:rsid w:val="002A261F"/>
    <w:rsid w:val="002A5841"/>
    <w:rsid w:val="002A5A7C"/>
    <w:rsid w:val="002B1EDF"/>
    <w:rsid w:val="002B2061"/>
    <w:rsid w:val="002B33C3"/>
    <w:rsid w:val="002B407D"/>
    <w:rsid w:val="002C0D5B"/>
    <w:rsid w:val="002C1232"/>
    <w:rsid w:val="002C1E44"/>
    <w:rsid w:val="002C5C92"/>
    <w:rsid w:val="002C5E29"/>
    <w:rsid w:val="002C77F5"/>
    <w:rsid w:val="002D0478"/>
    <w:rsid w:val="002D0559"/>
    <w:rsid w:val="002D12CC"/>
    <w:rsid w:val="002D15A9"/>
    <w:rsid w:val="002D38E4"/>
    <w:rsid w:val="002D57F5"/>
    <w:rsid w:val="002D7127"/>
    <w:rsid w:val="002E11D3"/>
    <w:rsid w:val="002E74FF"/>
    <w:rsid w:val="002F599E"/>
    <w:rsid w:val="002F6A4F"/>
    <w:rsid w:val="002F6BC3"/>
    <w:rsid w:val="003002AE"/>
    <w:rsid w:val="003008D8"/>
    <w:rsid w:val="0030146B"/>
    <w:rsid w:val="00301D9A"/>
    <w:rsid w:val="0030367D"/>
    <w:rsid w:val="00303959"/>
    <w:rsid w:val="00303ABF"/>
    <w:rsid w:val="00305B19"/>
    <w:rsid w:val="00306E72"/>
    <w:rsid w:val="003109FE"/>
    <w:rsid w:val="00312AC3"/>
    <w:rsid w:val="00313FFB"/>
    <w:rsid w:val="00314430"/>
    <w:rsid w:val="003163BC"/>
    <w:rsid w:val="00317858"/>
    <w:rsid w:val="003212D9"/>
    <w:rsid w:val="0032351A"/>
    <w:rsid w:val="00324B33"/>
    <w:rsid w:val="00325E12"/>
    <w:rsid w:val="00327352"/>
    <w:rsid w:val="00327488"/>
    <w:rsid w:val="00336FE1"/>
    <w:rsid w:val="00337BD8"/>
    <w:rsid w:val="00342D56"/>
    <w:rsid w:val="003456E7"/>
    <w:rsid w:val="00346476"/>
    <w:rsid w:val="00346EC2"/>
    <w:rsid w:val="003477F9"/>
    <w:rsid w:val="00353052"/>
    <w:rsid w:val="0035444D"/>
    <w:rsid w:val="00356D62"/>
    <w:rsid w:val="00361C82"/>
    <w:rsid w:val="00363EE3"/>
    <w:rsid w:val="0036665B"/>
    <w:rsid w:val="00366FC9"/>
    <w:rsid w:val="00371CCF"/>
    <w:rsid w:val="003735F3"/>
    <w:rsid w:val="00373798"/>
    <w:rsid w:val="00374729"/>
    <w:rsid w:val="003755A1"/>
    <w:rsid w:val="00381002"/>
    <w:rsid w:val="00382364"/>
    <w:rsid w:val="00387298"/>
    <w:rsid w:val="00387679"/>
    <w:rsid w:val="00387984"/>
    <w:rsid w:val="00393555"/>
    <w:rsid w:val="00395140"/>
    <w:rsid w:val="003A2422"/>
    <w:rsid w:val="003A320D"/>
    <w:rsid w:val="003A47F2"/>
    <w:rsid w:val="003A519E"/>
    <w:rsid w:val="003A572B"/>
    <w:rsid w:val="003A763B"/>
    <w:rsid w:val="003B149C"/>
    <w:rsid w:val="003B46B9"/>
    <w:rsid w:val="003B5609"/>
    <w:rsid w:val="003C0DB1"/>
    <w:rsid w:val="003C0FDB"/>
    <w:rsid w:val="003C1192"/>
    <w:rsid w:val="003C24C1"/>
    <w:rsid w:val="003C2813"/>
    <w:rsid w:val="003C55E2"/>
    <w:rsid w:val="003C63D5"/>
    <w:rsid w:val="003C7AA8"/>
    <w:rsid w:val="003C7C14"/>
    <w:rsid w:val="003D23AA"/>
    <w:rsid w:val="003D425D"/>
    <w:rsid w:val="003D5E9A"/>
    <w:rsid w:val="003D71A1"/>
    <w:rsid w:val="003E0660"/>
    <w:rsid w:val="003E58FE"/>
    <w:rsid w:val="00400192"/>
    <w:rsid w:val="004027F4"/>
    <w:rsid w:val="004136BB"/>
    <w:rsid w:val="00413D13"/>
    <w:rsid w:val="004146C4"/>
    <w:rsid w:val="00414B92"/>
    <w:rsid w:val="004150F5"/>
    <w:rsid w:val="00415756"/>
    <w:rsid w:val="00416415"/>
    <w:rsid w:val="0041688F"/>
    <w:rsid w:val="004179E1"/>
    <w:rsid w:val="00422311"/>
    <w:rsid w:val="0042376F"/>
    <w:rsid w:val="004246B8"/>
    <w:rsid w:val="004248F1"/>
    <w:rsid w:val="004258F6"/>
    <w:rsid w:val="004279CE"/>
    <w:rsid w:val="00430C84"/>
    <w:rsid w:val="00433318"/>
    <w:rsid w:val="004411D9"/>
    <w:rsid w:val="00442A56"/>
    <w:rsid w:val="004444B0"/>
    <w:rsid w:val="0045060B"/>
    <w:rsid w:val="0045337F"/>
    <w:rsid w:val="00453950"/>
    <w:rsid w:val="004626FF"/>
    <w:rsid w:val="0046285C"/>
    <w:rsid w:val="00470A52"/>
    <w:rsid w:val="00471BD5"/>
    <w:rsid w:val="00477C4E"/>
    <w:rsid w:val="00477F07"/>
    <w:rsid w:val="004806DE"/>
    <w:rsid w:val="00481503"/>
    <w:rsid w:val="00481D12"/>
    <w:rsid w:val="00485459"/>
    <w:rsid w:val="004854A6"/>
    <w:rsid w:val="00491A55"/>
    <w:rsid w:val="00494C3E"/>
    <w:rsid w:val="00497DF1"/>
    <w:rsid w:val="004A03BA"/>
    <w:rsid w:val="004A0B56"/>
    <w:rsid w:val="004A14C3"/>
    <w:rsid w:val="004A318E"/>
    <w:rsid w:val="004A45D4"/>
    <w:rsid w:val="004A57E8"/>
    <w:rsid w:val="004A6342"/>
    <w:rsid w:val="004B2083"/>
    <w:rsid w:val="004B3081"/>
    <w:rsid w:val="004B4A09"/>
    <w:rsid w:val="004C41CE"/>
    <w:rsid w:val="004C55E2"/>
    <w:rsid w:val="004C631B"/>
    <w:rsid w:val="004D0933"/>
    <w:rsid w:val="004D1D72"/>
    <w:rsid w:val="004D202A"/>
    <w:rsid w:val="004D2F00"/>
    <w:rsid w:val="004D31D8"/>
    <w:rsid w:val="004D35D1"/>
    <w:rsid w:val="004D4A01"/>
    <w:rsid w:val="004D4AD5"/>
    <w:rsid w:val="004D5388"/>
    <w:rsid w:val="004D615B"/>
    <w:rsid w:val="004D7FB8"/>
    <w:rsid w:val="004E7F16"/>
    <w:rsid w:val="004F18EC"/>
    <w:rsid w:val="004F546F"/>
    <w:rsid w:val="004F664E"/>
    <w:rsid w:val="00500D68"/>
    <w:rsid w:val="00503F17"/>
    <w:rsid w:val="0050543E"/>
    <w:rsid w:val="00507A38"/>
    <w:rsid w:val="00510BA3"/>
    <w:rsid w:val="00511993"/>
    <w:rsid w:val="005127A3"/>
    <w:rsid w:val="005277C4"/>
    <w:rsid w:val="00530E07"/>
    <w:rsid w:val="00533075"/>
    <w:rsid w:val="0053377D"/>
    <w:rsid w:val="00535A96"/>
    <w:rsid w:val="00535DFE"/>
    <w:rsid w:val="005373B5"/>
    <w:rsid w:val="00537AB7"/>
    <w:rsid w:val="00542B82"/>
    <w:rsid w:val="00545FBD"/>
    <w:rsid w:val="00546276"/>
    <w:rsid w:val="0054669B"/>
    <w:rsid w:val="0055155B"/>
    <w:rsid w:val="00553481"/>
    <w:rsid w:val="00554BDC"/>
    <w:rsid w:val="00557684"/>
    <w:rsid w:val="00560EC1"/>
    <w:rsid w:val="005610D1"/>
    <w:rsid w:val="00561504"/>
    <w:rsid w:val="00561607"/>
    <w:rsid w:val="00561F42"/>
    <w:rsid w:val="0056273B"/>
    <w:rsid w:val="00562F42"/>
    <w:rsid w:val="00565739"/>
    <w:rsid w:val="005658C0"/>
    <w:rsid w:val="00565C7C"/>
    <w:rsid w:val="0056766D"/>
    <w:rsid w:val="00567957"/>
    <w:rsid w:val="0057066F"/>
    <w:rsid w:val="00570ED9"/>
    <w:rsid w:val="00575215"/>
    <w:rsid w:val="00575734"/>
    <w:rsid w:val="005775D0"/>
    <w:rsid w:val="00581138"/>
    <w:rsid w:val="00583413"/>
    <w:rsid w:val="005845E0"/>
    <w:rsid w:val="0058575E"/>
    <w:rsid w:val="0058589F"/>
    <w:rsid w:val="00585EC7"/>
    <w:rsid w:val="0058783C"/>
    <w:rsid w:val="005902AF"/>
    <w:rsid w:val="005911AE"/>
    <w:rsid w:val="00591227"/>
    <w:rsid w:val="005926E2"/>
    <w:rsid w:val="0059313A"/>
    <w:rsid w:val="005A1D92"/>
    <w:rsid w:val="005A5208"/>
    <w:rsid w:val="005A54EA"/>
    <w:rsid w:val="005B023F"/>
    <w:rsid w:val="005B02A2"/>
    <w:rsid w:val="005B1417"/>
    <w:rsid w:val="005B2F7B"/>
    <w:rsid w:val="005B69CF"/>
    <w:rsid w:val="005B6D49"/>
    <w:rsid w:val="005C03D5"/>
    <w:rsid w:val="005C3F07"/>
    <w:rsid w:val="005C4B46"/>
    <w:rsid w:val="005C5880"/>
    <w:rsid w:val="005C5D63"/>
    <w:rsid w:val="005C5DC5"/>
    <w:rsid w:val="005C63DC"/>
    <w:rsid w:val="005D0E1E"/>
    <w:rsid w:val="005D2089"/>
    <w:rsid w:val="005D2315"/>
    <w:rsid w:val="005D2B08"/>
    <w:rsid w:val="005D7514"/>
    <w:rsid w:val="005E0FC6"/>
    <w:rsid w:val="005E1A7B"/>
    <w:rsid w:val="005E231F"/>
    <w:rsid w:val="005E37F3"/>
    <w:rsid w:val="005E41BD"/>
    <w:rsid w:val="005E716C"/>
    <w:rsid w:val="005E7599"/>
    <w:rsid w:val="005F03BA"/>
    <w:rsid w:val="005F0D4E"/>
    <w:rsid w:val="005F1DFB"/>
    <w:rsid w:val="005F47DB"/>
    <w:rsid w:val="005F60E6"/>
    <w:rsid w:val="006019AB"/>
    <w:rsid w:val="00602D6E"/>
    <w:rsid w:val="00605C05"/>
    <w:rsid w:val="006062C9"/>
    <w:rsid w:val="00611351"/>
    <w:rsid w:val="0061217D"/>
    <w:rsid w:val="006129AE"/>
    <w:rsid w:val="006172A9"/>
    <w:rsid w:val="00622BB6"/>
    <w:rsid w:val="00627045"/>
    <w:rsid w:val="006277A1"/>
    <w:rsid w:val="006305E0"/>
    <w:rsid w:val="00633BD7"/>
    <w:rsid w:val="00634580"/>
    <w:rsid w:val="00634884"/>
    <w:rsid w:val="006351D9"/>
    <w:rsid w:val="00635B95"/>
    <w:rsid w:val="00637130"/>
    <w:rsid w:val="00637F0E"/>
    <w:rsid w:val="006423F2"/>
    <w:rsid w:val="006428C5"/>
    <w:rsid w:val="00644145"/>
    <w:rsid w:val="006448B3"/>
    <w:rsid w:val="00650234"/>
    <w:rsid w:val="0066044B"/>
    <w:rsid w:val="006630AA"/>
    <w:rsid w:val="00663544"/>
    <w:rsid w:val="00663DBE"/>
    <w:rsid w:val="00666539"/>
    <w:rsid w:val="00666911"/>
    <w:rsid w:val="00666DBE"/>
    <w:rsid w:val="00671210"/>
    <w:rsid w:val="006757BD"/>
    <w:rsid w:val="00675F81"/>
    <w:rsid w:val="00675F9A"/>
    <w:rsid w:val="0068045B"/>
    <w:rsid w:val="0068143E"/>
    <w:rsid w:val="0068507D"/>
    <w:rsid w:val="0069099C"/>
    <w:rsid w:val="00691AF2"/>
    <w:rsid w:val="00691BF0"/>
    <w:rsid w:val="00692B80"/>
    <w:rsid w:val="00692CCD"/>
    <w:rsid w:val="00692D51"/>
    <w:rsid w:val="006933BF"/>
    <w:rsid w:val="006936F3"/>
    <w:rsid w:val="00694DD7"/>
    <w:rsid w:val="0069636B"/>
    <w:rsid w:val="00696639"/>
    <w:rsid w:val="00696664"/>
    <w:rsid w:val="006A1762"/>
    <w:rsid w:val="006A19CE"/>
    <w:rsid w:val="006A1F0B"/>
    <w:rsid w:val="006A277A"/>
    <w:rsid w:val="006A39BB"/>
    <w:rsid w:val="006A5973"/>
    <w:rsid w:val="006B04F3"/>
    <w:rsid w:val="006B093A"/>
    <w:rsid w:val="006B0FFC"/>
    <w:rsid w:val="006B409E"/>
    <w:rsid w:val="006B5E64"/>
    <w:rsid w:val="006B7126"/>
    <w:rsid w:val="006C4543"/>
    <w:rsid w:val="006C6B86"/>
    <w:rsid w:val="006D0518"/>
    <w:rsid w:val="006D4553"/>
    <w:rsid w:val="006D4A35"/>
    <w:rsid w:val="006D6B44"/>
    <w:rsid w:val="006D7F65"/>
    <w:rsid w:val="006E0F71"/>
    <w:rsid w:val="006E2760"/>
    <w:rsid w:val="006E27FE"/>
    <w:rsid w:val="006E64DC"/>
    <w:rsid w:val="006F36D0"/>
    <w:rsid w:val="007006AA"/>
    <w:rsid w:val="00700B1B"/>
    <w:rsid w:val="00701110"/>
    <w:rsid w:val="00702478"/>
    <w:rsid w:val="00702E91"/>
    <w:rsid w:val="0070330F"/>
    <w:rsid w:val="00703624"/>
    <w:rsid w:val="007046ED"/>
    <w:rsid w:val="0070541F"/>
    <w:rsid w:val="007072A1"/>
    <w:rsid w:val="0071060C"/>
    <w:rsid w:val="00710BC5"/>
    <w:rsid w:val="007118DE"/>
    <w:rsid w:val="00712087"/>
    <w:rsid w:val="007121CA"/>
    <w:rsid w:val="00714D2D"/>
    <w:rsid w:val="0071581E"/>
    <w:rsid w:val="007167B9"/>
    <w:rsid w:val="0072003B"/>
    <w:rsid w:val="00721059"/>
    <w:rsid w:val="007211E6"/>
    <w:rsid w:val="007220C4"/>
    <w:rsid w:val="00725384"/>
    <w:rsid w:val="0073025B"/>
    <w:rsid w:val="007305ED"/>
    <w:rsid w:val="007311B9"/>
    <w:rsid w:val="00732361"/>
    <w:rsid w:val="0073351E"/>
    <w:rsid w:val="007357B9"/>
    <w:rsid w:val="00736813"/>
    <w:rsid w:val="00741AB9"/>
    <w:rsid w:val="00742D03"/>
    <w:rsid w:val="0074356E"/>
    <w:rsid w:val="00744216"/>
    <w:rsid w:val="00744D74"/>
    <w:rsid w:val="007452E8"/>
    <w:rsid w:val="0074594A"/>
    <w:rsid w:val="00746990"/>
    <w:rsid w:val="00747093"/>
    <w:rsid w:val="00750D70"/>
    <w:rsid w:val="00755073"/>
    <w:rsid w:val="007575D0"/>
    <w:rsid w:val="0076334B"/>
    <w:rsid w:val="00765A93"/>
    <w:rsid w:val="007662E0"/>
    <w:rsid w:val="00766F4B"/>
    <w:rsid w:val="00776DB2"/>
    <w:rsid w:val="00776E9C"/>
    <w:rsid w:val="0078156D"/>
    <w:rsid w:val="0078159D"/>
    <w:rsid w:val="007816D8"/>
    <w:rsid w:val="00784150"/>
    <w:rsid w:val="00790CC8"/>
    <w:rsid w:val="00793272"/>
    <w:rsid w:val="0079499A"/>
    <w:rsid w:val="00794B64"/>
    <w:rsid w:val="007967C3"/>
    <w:rsid w:val="007A0A33"/>
    <w:rsid w:val="007A1F96"/>
    <w:rsid w:val="007A2D23"/>
    <w:rsid w:val="007A3C41"/>
    <w:rsid w:val="007A481F"/>
    <w:rsid w:val="007A5B7C"/>
    <w:rsid w:val="007A6691"/>
    <w:rsid w:val="007B04DE"/>
    <w:rsid w:val="007B079C"/>
    <w:rsid w:val="007B0AE6"/>
    <w:rsid w:val="007C0F0B"/>
    <w:rsid w:val="007C20F4"/>
    <w:rsid w:val="007C57BC"/>
    <w:rsid w:val="007C7AC8"/>
    <w:rsid w:val="007D04CA"/>
    <w:rsid w:val="007D0A2B"/>
    <w:rsid w:val="007D12A1"/>
    <w:rsid w:val="007D40E5"/>
    <w:rsid w:val="007D4138"/>
    <w:rsid w:val="007E028D"/>
    <w:rsid w:val="007E0A61"/>
    <w:rsid w:val="007E1681"/>
    <w:rsid w:val="007E4178"/>
    <w:rsid w:val="007E4197"/>
    <w:rsid w:val="007E6443"/>
    <w:rsid w:val="007F030C"/>
    <w:rsid w:val="007F0A77"/>
    <w:rsid w:val="007F1E37"/>
    <w:rsid w:val="007F2216"/>
    <w:rsid w:val="007F50D3"/>
    <w:rsid w:val="007F5757"/>
    <w:rsid w:val="007F6B1F"/>
    <w:rsid w:val="008013F0"/>
    <w:rsid w:val="00801C86"/>
    <w:rsid w:val="00803926"/>
    <w:rsid w:val="00804897"/>
    <w:rsid w:val="00811D26"/>
    <w:rsid w:val="00815C86"/>
    <w:rsid w:val="00822670"/>
    <w:rsid w:val="008245A4"/>
    <w:rsid w:val="00824A29"/>
    <w:rsid w:val="00831F1D"/>
    <w:rsid w:val="0083264B"/>
    <w:rsid w:val="008329DB"/>
    <w:rsid w:val="00834A2D"/>
    <w:rsid w:val="008361C5"/>
    <w:rsid w:val="0083628F"/>
    <w:rsid w:val="0083796A"/>
    <w:rsid w:val="00837AB9"/>
    <w:rsid w:val="00846DFC"/>
    <w:rsid w:val="00850637"/>
    <w:rsid w:val="00854D98"/>
    <w:rsid w:val="00855848"/>
    <w:rsid w:val="00855C6B"/>
    <w:rsid w:val="0085751E"/>
    <w:rsid w:val="00860B29"/>
    <w:rsid w:val="008622E8"/>
    <w:rsid w:val="008645EE"/>
    <w:rsid w:val="00870144"/>
    <w:rsid w:val="0087072C"/>
    <w:rsid w:val="00871312"/>
    <w:rsid w:val="00873D7A"/>
    <w:rsid w:val="008771C0"/>
    <w:rsid w:val="00877CB3"/>
    <w:rsid w:val="008804CF"/>
    <w:rsid w:val="008816DE"/>
    <w:rsid w:val="00881ACE"/>
    <w:rsid w:val="00882D58"/>
    <w:rsid w:val="00882F19"/>
    <w:rsid w:val="00883D35"/>
    <w:rsid w:val="00884569"/>
    <w:rsid w:val="00887A51"/>
    <w:rsid w:val="0089038A"/>
    <w:rsid w:val="00890D9B"/>
    <w:rsid w:val="00891C6C"/>
    <w:rsid w:val="00892EF7"/>
    <w:rsid w:val="00893CCD"/>
    <w:rsid w:val="00895384"/>
    <w:rsid w:val="008964B3"/>
    <w:rsid w:val="008975C2"/>
    <w:rsid w:val="008A4333"/>
    <w:rsid w:val="008A75DE"/>
    <w:rsid w:val="008B1CB5"/>
    <w:rsid w:val="008B3A8D"/>
    <w:rsid w:val="008B72F1"/>
    <w:rsid w:val="008B7584"/>
    <w:rsid w:val="008C0CAC"/>
    <w:rsid w:val="008C1A1B"/>
    <w:rsid w:val="008C2D69"/>
    <w:rsid w:val="008C33AB"/>
    <w:rsid w:val="008C3404"/>
    <w:rsid w:val="008C4579"/>
    <w:rsid w:val="008C49C6"/>
    <w:rsid w:val="008C754C"/>
    <w:rsid w:val="008D56C9"/>
    <w:rsid w:val="008D56CA"/>
    <w:rsid w:val="008D6A54"/>
    <w:rsid w:val="008D746E"/>
    <w:rsid w:val="008E2585"/>
    <w:rsid w:val="008E2D7A"/>
    <w:rsid w:val="008E3231"/>
    <w:rsid w:val="008E350B"/>
    <w:rsid w:val="008E3618"/>
    <w:rsid w:val="008E48B4"/>
    <w:rsid w:val="008E5B2A"/>
    <w:rsid w:val="008F16C5"/>
    <w:rsid w:val="008F2338"/>
    <w:rsid w:val="008F2EE2"/>
    <w:rsid w:val="008F3215"/>
    <w:rsid w:val="008F4A62"/>
    <w:rsid w:val="008F6636"/>
    <w:rsid w:val="008F7256"/>
    <w:rsid w:val="0090081C"/>
    <w:rsid w:val="009036D0"/>
    <w:rsid w:val="0090424C"/>
    <w:rsid w:val="00905CCB"/>
    <w:rsid w:val="0090605E"/>
    <w:rsid w:val="00906C74"/>
    <w:rsid w:val="009108CE"/>
    <w:rsid w:val="00914404"/>
    <w:rsid w:val="00915A9F"/>
    <w:rsid w:val="00916CFA"/>
    <w:rsid w:val="00923EB4"/>
    <w:rsid w:val="009250C9"/>
    <w:rsid w:val="009307AC"/>
    <w:rsid w:val="00930D58"/>
    <w:rsid w:val="009334E6"/>
    <w:rsid w:val="00933BD1"/>
    <w:rsid w:val="00934CEF"/>
    <w:rsid w:val="00935AAA"/>
    <w:rsid w:val="009447E6"/>
    <w:rsid w:val="0095031E"/>
    <w:rsid w:val="0095259E"/>
    <w:rsid w:val="00954297"/>
    <w:rsid w:val="0095720E"/>
    <w:rsid w:val="00960A56"/>
    <w:rsid w:val="009635D9"/>
    <w:rsid w:val="00966686"/>
    <w:rsid w:val="00966EF1"/>
    <w:rsid w:val="00967223"/>
    <w:rsid w:val="009701CA"/>
    <w:rsid w:val="009751F7"/>
    <w:rsid w:val="00975888"/>
    <w:rsid w:val="00976153"/>
    <w:rsid w:val="0098168B"/>
    <w:rsid w:val="0098350E"/>
    <w:rsid w:val="00986E25"/>
    <w:rsid w:val="00990C12"/>
    <w:rsid w:val="00992BD7"/>
    <w:rsid w:val="0099404F"/>
    <w:rsid w:val="00995120"/>
    <w:rsid w:val="00996DF3"/>
    <w:rsid w:val="00996FA5"/>
    <w:rsid w:val="0099734F"/>
    <w:rsid w:val="009A1E17"/>
    <w:rsid w:val="009A3E74"/>
    <w:rsid w:val="009A7AC8"/>
    <w:rsid w:val="009B5662"/>
    <w:rsid w:val="009B67BA"/>
    <w:rsid w:val="009C15C5"/>
    <w:rsid w:val="009C1684"/>
    <w:rsid w:val="009C2211"/>
    <w:rsid w:val="009C40E8"/>
    <w:rsid w:val="009C4287"/>
    <w:rsid w:val="009C45C5"/>
    <w:rsid w:val="009D17B8"/>
    <w:rsid w:val="009D1ABF"/>
    <w:rsid w:val="009D341A"/>
    <w:rsid w:val="009D3F80"/>
    <w:rsid w:val="009D5986"/>
    <w:rsid w:val="009E1516"/>
    <w:rsid w:val="009E1E7A"/>
    <w:rsid w:val="009E5BD7"/>
    <w:rsid w:val="009E6636"/>
    <w:rsid w:val="009E6858"/>
    <w:rsid w:val="009E6F8C"/>
    <w:rsid w:val="009F3A36"/>
    <w:rsid w:val="009F405F"/>
    <w:rsid w:val="009F563E"/>
    <w:rsid w:val="00A014CE"/>
    <w:rsid w:val="00A01C56"/>
    <w:rsid w:val="00A046AE"/>
    <w:rsid w:val="00A07766"/>
    <w:rsid w:val="00A14FA1"/>
    <w:rsid w:val="00A3003F"/>
    <w:rsid w:val="00A32C50"/>
    <w:rsid w:val="00A339BB"/>
    <w:rsid w:val="00A358E7"/>
    <w:rsid w:val="00A3599B"/>
    <w:rsid w:val="00A379A5"/>
    <w:rsid w:val="00A41FBF"/>
    <w:rsid w:val="00A4380B"/>
    <w:rsid w:val="00A51A2D"/>
    <w:rsid w:val="00A53382"/>
    <w:rsid w:val="00A5596B"/>
    <w:rsid w:val="00A55E0E"/>
    <w:rsid w:val="00A60489"/>
    <w:rsid w:val="00A63C07"/>
    <w:rsid w:val="00A63D9B"/>
    <w:rsid w:val="00A704DC"/>
    <w:rsid w:val="00A70FD2"/>
    <w:rsid w:val="00A74604"/>
    <w:rsid w:val="00A82EE5"/>
    <w:rsid w:val="00A86D7F"/>
    <w:rsid w:val="00A93DC6"/>
    <w:rsid w:val="00A9411A"/>
    <w:rsid w:val="00A96A7A"/>
    <w:rsid w:val="00A97645"/>
    <w:rsid w:val="00AA2B7A"/>
    <w:rsid w:val="00AA4A4B"/>
    <w:rsid w:val="00AA6080"/>
    <w:rsid w:val="00AA6682"/>
    <w:rsid w:val="00AB0613"/>
    <w:rsid w:val="00AB30F5"/>
    <w:rsid w:val="00AB5027"/>
    <w:rsid w:val="00AB75B9"/>
    <w:rsid w:val="00AB765A"/>
    <w:rsid w:val="00AB7C5C"/>
    <w:rsid w:val="00AB7CBF"/>
    <w:rsid w:val="00AD0111"/>
    <w:rsid w:val="00AD0B68"/>
    <w:rsid w:val="00AD40C3"/>
    <w:rsid w:val="00AD4C72"/>
    <w:rsid w:val="00AD5451"/>
    <w:rsid w:val="00AD5872"/>
    <w:rsid w:val="00AE1947"/>
    <w:rsid w:val="00AE30C6"/>
    <w:rsid w:val="00AF0CC9"/>
    <w:rsid w:val="00AF1C8B"/>
    <w:rsid w:val="00AF299B"/>
    <w:rsid w:val="00AF5C0D"/>
    <w:rsid w:val="00AF7E43"/>
    <w:rsid w:val="00B0024B"/>
    <w:rsid w:val="00B02AE0"/>
    <w:rsid w:val="00B03F25"/>
    <w:rsid w:val="00B05326"/>
    <w:rsid w:val="00B10FB5"/>
    <w:rsid w:val="00B14545"/>
    <w:rsid w:val="00B14E60"/>
    <w:rsid w:val="00B16884"/>
    <w:rsid w:val="00B17BA2"/>
    <w:rsid w:val="00B24443"/>
    <w:rsid w:val="00B26DC3"/>
    <w:rsid w:val="00B3052D"/>
    <w:rsid w:val="00B30B9D"/>
    <w:rsid w:val="00B34A1F"/>
    <w:rsid w:val="00B34EA3"/>
    <w:rsid w:val="00B357C3"/>
    <w:rsid w:val="00B36511"/>
    <w:rsid w:val="00B4473E"/>
    <w:rsid w:val="00B4574D"/>
    <w:rsid w:val="00B468E1"/>
    <w:rsid w:val="00B46BC0"/>
    <w:rsid w:val="00B46DFB"/>
    <w:rsid w:val="00B5141B"/>
    <w:rsid w:val="00B54AE2"/>
    <w:rsid w:val="00B54BA4"/>
    <w:rsid w:val="00B55681"/>
    <w:rsid w:val="00B566C5"/>
    <w:rsid w:val="00B57AAD"/>
    <w:rsid w:val="00B61614"/>
    <w:rsid w:val="00B62C80"/>
    <w:rsid w:val="00B6374E"/>
    <w:rsid w:val="00B65EF7"/>
    <w:rsid w:val="00B6719A"/>
    <w:rsid w:val="00B70950"/>
    <w:rsid w:val="00B72B16"/>
    <w:rsid w:val="00B77FC3"/>
    <w:rsid w:val="00B803EB"/>
    <w:rsid w:val="00B80408"/>
    <w:rsid w:val="00B80AE5"/>
    <w:rsid w:val="00B81397"/>
    <w:rsid w:val="00B8191D"/>
    <w:rsid w:val="00B8546C"/>
    <w:rsid w:val="00B86B59"/>
    <w:rsid w:val="00B902A7"/>
    <w:rsid w:val="00B924E4"/>
    <w:rsid w:val="00B925B2"/>
    <w:rsid w:val="00B925DB"/>
    <w:rsid w:val="00B92A5E"/>
    <w:rsid w:val="00B92F05"/>
    <w:rsid w:val="00B967FF"/>
    <w:rsid w:val="00B974B9"/>
    <w:rsid w:val="00BA2DDC"/>
    <w:rsid w:val="00BA3F6D"/>
    <w:rsid w:val="00BA40D6"/>
    <w:rsid w:val="00BA4BE6"/>
    <w:rsid w:val="00BA4FC0"/>
    <w:rsid w:val="00BA61E0"/>
    <w:rsid w:val="00BA657C"/>
    <w:rsid w:val="00BA70DF"/>
    <w:rsid w:val="00BA755E"/>
    <w:rsid w:val="00BA7F7D"/>
    <w:rsid w:val="00BB1C14"/>
    <w:rsid w:val="00BB26D3"/>
    <w:rsid w:val="00BB6847"/>
    <w:rsid w:val="00BB7B40"/>
    <w:rsid w:val="00BB7F8F"/>
    <w:rsid w:val="00BC245D"/>
    <w:rsid w:val="00BC716A"/>
    <w:rsid w:val="00BD007A"/>
    <w:rsid w:val="00BD07DF"/>
    <w:rsid w:val="00BD1443"/>
    <w:rsid w:val="00BD26F4"/>
    <w:rsid w:val="00BD5DBD"/>
    <w:rsid w:val="00BD5DF6"/>
    <w:rsid w:val="00BD7638"/>
    <w:rsid w:val="00BE0041"/>
    <w:rsid w:val="00BE0F8C"/>
    <w:rsid w:val="00BE303B"/>
    <w:rsid w:val="00BE640F"/>
    <w:rsid w:val="00BE6D2A"/>
    <w:rsid w:val="00BF4638"/>
    <w:rsid w:val="00BF5130"/>
    <w:rsid w:val="00C00844"/>
    <w:rsid w:val="00C02CBB"/>
    <w:rsid w:val="00C059D0"/>
    <w:rsid w:val="00C07551"/>
    <w:rsid w:val="00C1091D"/>
    <w:rsid w:val="00C1109F"/>
    <w:rsid w:val="00C12D65"/>
    <w:rsid w:val="00C133AB"/>
    <w:rsid w:val="00C13EB5"/>
    <w:rsid w:val="00C14EB1"/>
    <w:rsid w:val="00C15585"/>
    <w:rsid w:val="00C167D1"/>
    <w:rsid w:val="00C20B56"/>
    <w:rsid w:val="00C22214"/>
    <w:rsid w:val="00C22D0E"/>
    <w:rsid w:val="00C246AB"/>
    <w:rsid w:val="00C26F72"/>
    <w:rsid w:val="00C27783"/>
    <w:rsid w:val="00C27DDB"/>
    <w:rsid w:val="00C309A7"/>
    <w:rsid w:val="00C313DB"/>
    <w:rsid w:val="00C31917"/>
    <w:rsid w:val="00C329DB"/>
    <w:rsid w:val="00C335AB"/>
    <w:rsid w:val="00C35459"/>
    <w:rsid w:val="00C37DE2"/>
    <w:rsid w:val="00C4021E"/>
    <w:rsid w:val="00C4038B"/>
    <w:rsid w:val="00C407AB"/>
    <w:rsid w:val="00C50EAA"/>
    <w:rsid w:val="00C52B7B"/>
    <w:rsid w:val="00C53116"/>
    <w:rsid w:val="00C547CD"/>
    <w:rsid w:val="00C55847"/>
    <w:rsid w:val="00C56A41"/>
    <w:rsid w:val="00C570FF"/>
    <w:rsid w:val="00C578F6"/>
    <w:rsid w:val="00C57CEA"/>
    <w:rsid w:val="00C60FEC"/>
    <w:rsid w:val="00C6111F"/>
    <w:rsid w:val="00C6215E"/>
    <w:rsid w:val="00C62B1C"/>
    <w:rsid w:val="00C6574E"/>
    <w:rsid w:val="00C663D1"/>
    <w:rsid w:val="00C707FD"/>
    <w:rsid w:val="00C76DEB"/>
    <w:rsid w:val="00C811D8"/>
    <w:rsid w:val="00C816C6"/>
    <w:rsid w:val="00C84975"/>
    <w:rsid w:val="00C863A7"/>
    <w:rsid w:val="00C87543"/>
    <w:rsid w:val="00C912F4"/>
    <w:rsid w:val="00C9156F"/>
    <w:rsid w:val="00C9581A"/>
    <w:rsid w:val="00C97D29"/>
    <w:rsid w:val="00CA416E"/>
    <w:rsid w:val="00CB0550"/>
    <w:rsid w:val="00CB4C1D"/>
    <w:rsid w:val="00CB6544"/>
    <w:rsid w:val="00CB6813"/>
    <w:rsid w:val="00CB7908"/>
    <w:rsid w:val="00CC201B"/>
    <w:rsid w:val="00CC5FD2"/>
    <w:rsid w:val="00CD5976"/>
    <w:rsid w:val="00CD65D9"/>
    <w:rsid w:val="00CD7659"/>
    <w:rsid w:val="00CE2B20"/>
    <w:rsid w:val="00CE4BA4"/>
    <w:rsid w:val="00CF6A55"/>
    <w:rsid w:val="00CF6DC6"/>
    <w:rsid w:val="00CF6DCF"/>
    <w:rsid w:val="00CF7472"/>
    <w:rsid w:val="00D00353"/>
    <w:rsid w:val="00D01DDB"/>
    <w:rsid w:val="00D03EE1"/>
    <w:rsid w:val="00D0635D"/>
    <w:rsid w:val="00D078BE"/>
    <w:rsid w:val="00D12C6A"/>
    <w:rsid w:val="00D13F8A"/>
    <w:rsid w:val="00D15BB2"/>
    <w:rsid w:val="00D16F60"/>
    <w:rsid w:val="00D20DAE"/>
    <w:rsid w:val="00D21B77"/>
    <w:rsid w:val="00D220CE"/>
    <w:rsid w:val="00D22981"/>
    <w:rsid w:val="00D2304A"/>
    <w:rsid w:val="00D234B7"/>
    <w:rsid w:val="00D268A4"/>
    <w:rsid w:val="00D268D6"/>
    <w:rsid w:val="00D3013C"/>
    <w:rsid w:val="00D318B9"/>
    <w:rsid w:val="00D3268B"/>
    <w:rsid w:val="00D3349B"/>
    <w:rsid w:val="00D343E5"/>
    <w:rsid w:val="00D3589C"/>
    <w:rsid w:val="00D36F16"/>
    <w:rsid w:val="00D41D16"/>
    <w:rsid w:val="00D424A8"/>
    <w:rsid w:val="00D4288A"/>
    <w:rsid w:val="00D4339D"/>
    <w:rsid w:val="00D474DD"/>
    <w:rsid w:val="00D50156"/>
    <w:rsid w:val="00D53078"/>
    <w:rsid w:val="00D54BC5"/>
    <w:rsid w:val="00D56940"/>
    <w:rsid w:val="00D57BE8"/>
    <w:rsid w:val="00D6036F"/>
    <w:rsid w:val="00D60C25"/>
    <w:rsid w:val="00D62877"/>
    <w:rsid w:val="00D63760"/>
    <w:rsid w:val="00D6703F"/>
    <w:rsid w:val="00D72A43"/>
    <w:rsid w:val="00D734EB"/>
    <w:rsid w:val="00D75753"/>
    <w:rsid w:val="00D77100"/>
    <w:rsid w:val="00D82713"/>
    <w:rsid w:val="00D82A6F"/>
    <w:rsid w:val="00D8633C"/>
    <w:rsid w:val="00D86F00"/>
    <w:rsid w:val="00D915D4"/>
    <w:rsid w:val="00D918D5"/>
    <w:rsid w:val="00D91F79"/>
    <w:rsid w:val="00D92796"/>
    <w:rsid w:val="00D94C8E"/>
    <w:rsid w:val="00DA5C85"/>
    <w:rsid w:val="00DA7768"/>
    <w:rsid w:val="00DB1372"/>
    <w:rsid w:val="00DB192C"/>
    <w:rsid w:val="00DB1A45"/>
    <w:rsid w:val="00DB1CF3"/>
    <w:rsid w:val="00DB5425"/>
    <w:rsid w:val="00DB5C90"/>
    <w:rsid w:val="00DB62FC"/>
    <w:rsid w:val="00DB72A6"/>
    <w:rsid w:val="00DC0E9B"/>
    <w:rsid w:val="00DC10A8"/>
    <w:rsid w:val="00DC1E0C"/>
    <w:rsid w:val="00DC33AF"/>
    <w:rsid w:val="00DC4C7A"/>
    <w:rsid w:val="00DC6611"/>
    <w:rsid w:val="00DD5AFB"/>
    <w:rsid w:val="00DE0E57"/>
    <w:rsid w:val="00DE1344"/>
    <w:rsid w:val="00DE5AD7"/>
    <w:rsid w:val="00DE745E"/>
    <w:rsid w:val="00DE7E2D"/>
    <w:rsid w:val="00DF1CFD"/>
    <w:rsid w:val="00DF5BFE"/>
    <w:rsid w:val="00E0015C"/>
    <w:rsid w:val="00E02A0D"/>
    <w:rsid w:val="00E0312B"/>
    <w:rsid w:val="00E04423"/>
    <w:rsid w:val="00E0523F"/>
    <w:rsid w:val="00E0548F"/>
    <w:rsid w:val="00E10B34"/>
    <w:rsid w:val="00E111FD"/>
    <w:rsid w:val="00E1506F"/>
    <w:rsid w:val="00E1576A"/>
    <w:rsid w:val="00E16C8A"/>
    <w:rsid w:val="00E16E47"/>
    <w:rsid w:val="00E20DDB"/>
    <w:rsid w:val="00E215E0"/>
    <w:rsid w:val="00E22A22"/>
    <w:rsid w:val="00E239F9"/>
    <w:rsid w:val="00E23E50"/>
    <w:rsid w:val="00E23E77"/>
    <w:rsid w:val="00E244C0"/>
    <w:rsid w:val="00E24C21"/>
    <w:rsid w:val="00E26213"/>
    <w:rsid w:val="00E26DE8"/>
    <w:rsid w:val="00E274DF"/>
    <w:rsid w:val="00E32022"/>
    <w:rsid w:val="00E34D66"/>
    <w:rsid w:val="00E362C4"/>
    <w:rsid w:val="00E4656B"/>
    <w:rsid w:val="00E46B3B"/>
    <w:rsid w:val="00E46CC2"/>
    <w:rsid w:val="00E47E0C"/>
    <w:rsid w:val="00E50DE5"/>
    <w:rsid w:val="00E51813"/>
    <w:rsid w:val="00E52C0B"/>
    <w:rsid w:val="00E53D3F"/>
    <w:rsid w:val="00E54B7F"/>
    <w:rsid w:val="00E55341"/>
    <w:rsid w:val="00E5579B"/>
    <w:rsid w:val="00E57CE3"/>
    <w:rsid w:val="00E57FF4"/>
    <w:rsid w:val="00E679D1"/>
    <w:rsid w:val="00E67C1C"/>
    <w:rsid w:val="00E71C44"/>
    <w:rsid w:val="00E72067"/>
    <w:rsid w:val="00E74464"/>
    <w:rsid w:val="00E7584A"/>
    <w:rsid w:val="00E7748B"/>
    <w:rsid w:val="00E802A8"/>
    <w:rsid w:val="00E81103"/>
    <w:rsid w:val="00E82C89"/>
    <w:rsid w:val="00E87ACC"/>
    <w:rsid w:val="00E91F11"/>
    <w:rsid w:val="00E92D93"/>
    <w:rsid w:val="00E96558"/>
    <w:rsid w:val="00E9706D"/>
    <w:rsid w:val="00EA3AF4"/>
    <w:rsid w:val="00EB03EB"/>
    <w:rsid w:val="00EB0F6C"/>
    <w:rsid w:val="00EC06FA"/>
    <w:rsid w:val="00EC1B6A"/>
    <w:rsid w:val="00EC2F8B"/>
    <w:rsid w:val="00EC4E5F"/>
    <w:rsid w:val="00ED2018"/>
    <w:rsid w:val="00ED5BFD"/>
    <w:rsid w:val="00ED7B54"/>
    <w:rsid w:val="00EE22DE"/>
    <w:rsid w:val="00EE4B01"/>
    <w:rsid w:val="00EE7C87"/>
    <w:rsid w:val="00EE7EA5"/>
    <w:rsid w:val="00EF2BDE"/>
    <w:rsid w:val="00EF3E92"/>
    <w:rsid w:val="00EF3F0B"/>
    <w:rsid w:val="00EF5583"/>
    <w:rsid w:val="00EF7C3B"/>
    <w:rsid w:val="00F0289D"/>
    <w:rsid w:val="00F02A07"/>
    <w:rsid w:val="00F02A65"/>
    <w:rsid w:val="00F02AEC"/>
    <w:rsid w:val="00F06C3C"/>
    <w:rsid w:val="00F07572"/>
    <w:rsid w:val="00F157FC"/>
    <w:rsid w:val="00F21362"/>
    <w:rsid w:val="00F213E4"/>
    <w:rsid w:val="00F24B3A"/>
    <w:rsid w:val="00F30AF3"/>
    <w:rsid w:val="00F3106A"/>
    <w:rsid w:val="00F34BFA"/>
    <w:rsid w:val="00F3695D"/>
    <w:rsid w:val="00F36F42"/>
    <w:rsid w:val="00F43CD1"/>
    <w:rsid w:val="00F4433B"/>
    <w:rsid w:val="00F45AE0"/>
    <w:rsid w:val="00F52E1C"/>
    <w:rsid w:val="00F60CF2"/>
    <w:rsid w:val="00F62098"/>
    <w:rsid w:val="00F637E5"/>
    <w:rsid w:val="00F657B4"/>
    <w:rsid w:val="00F67AC3"/>
    <w:rsid w:val="00F71D58"/>
    <w:rsid w:val="00F72725"/>
    <w:rsid w:val="00F72E75"/>
    <w:rsid w:val="00F75D7D"/>
    <w:rsid w:val="00F7649F"/>
    <w:rsid w:val="00F8083B"/>
    <w:rsid w:val="00F82D1B"/>
    <w:rsid w:val="00F8568E"/>
    <w:rsid w:val="00F865A7"/>
    <w:rsid w:val="00F871DB"/>
    <w:rsid w:val="00F876F6"/>
    <w:rsid w:val="00F94BD6"/>
    <w:rsid w:val="00F963BC"/>
    <w:rsid w:val="00F973A0"/>
    <w:rsid w:val="00FA0754"/>
    <w:rsid w:val="00FA1BC9"/>
    <w:rsid w:val="00FA49C3"/>
    <w:rsid w:val="00FB236E"/>
    <w:rsid w:val="00FB3F7B"/>
    <w:rsid w:val="00FB4C2A"/>
    <w:rsid w:val="00FC2107"/>
    <w:rsid w:val="00FC48FE"/>
    <w:rsid w:val="00FC50B0"/>
    <w:rsid w:val="00FC6F56"/>
    <w:rsid w:val="00FD4586"/>
    <w:rsid w:val="00FE087C"/>
    <w:rsid w:val="00FE6DEC"/>
    <w:rsid w:val="00FE79A0"/>
    <w:rsid w:val="00FF0371"/>
    <w:rsid w:val="00FF0939"/>
    <w:rsid w:val="00FF17A7"/>
    <w:rsid w:val="00FF3856"/>
    <w:rsid w:val="00FF3BC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C024"/>
  <w15:chartTrackingRefBased/>
  <w15:docId w15:val="{3B7A0CE6-F5BB-4D40-8ED5-1531A62F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3BC"/>
    <w:rPr>
      <w:rFonts w:ascii="Cambria" w:hAnsi="Cambria"/>
      <w:sz w:val="22"/>
    </w:rPr>
  </w:style>
  <w:style w:type="paragraph" w:styleId="Heading1">
    <w:name w:val="heading 1"/>
    <w:basedOn w:val="Normal"/>
    <w:next w:val="Normal"/>
    <w:link w:val="Heading1Char"/>
    <w:uiPriority w:val="9"/>
    <w:qFormat/>
    <w:rsid w:val="00776D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02AEC"/>
    <w:pPr>
      <w:keepNext/>
      <w:keepLines/>
      <w:spacing w:before="480" w:line="240" w:lineRule="atLeast"/>
      <w:outlineLvl w:val="1"/>
    </w:pPr>
    <w:rPr>
      <w:rFonts w:ascii="Arial" w:eastAsia="Times New Roman" w:hAnsi="Arial" w:cs="Times New Roman"/>
      <w:b/>
      <w:bCs/>
      <w:color w:val="001871"/>
      <w:sz w:val="38"/>
      <w:szCs w:val="38"/>
    </w:rPr>
  </w:style>
  <w:style w:type="paragraph" w:styleId="Heading3">
    <w:name w:val="heading 3"/>
    <w:basedOn w:val="Normal"/>
    <w:next w:val="Normal"/>
    <w:link w:val="Heading3Char"/>
    <w:qFormat/>
    <w:rsid w:val="006933BF"/>
    <w:pPr>
      <w:keepNext/>
      <w:keepLines/>
      <w:spacing w:before="480" w:line="240" w:lineRule="atLeast"/>
      <w:outlineLvl w:val="2"/>
    </w:pPr>
    <w:rPr>
      <w:rFonts w:ascii="Arial" w:eastAsia="Times New Roman" w:hAnsi="Arial" w:cs="Times New Roman"/>
      <w:b/>
      <w:bCs/>
      <w:color w:val="001871"/>
      <w:sz w:val="32"/>
      <w:szCs w:val="32"/>
    </w:rPr>
  </w:style>
  <w:style w:type="paragraph" w:styleId="Heading4">
    <w:name w:val="heading 4"/>
    <w:basedOn w:val="Normal"/>
    <w:next w:val="Normal"/>
    <w:link w:val="Heading4Char"/>
    <w:qFormat/>
    <w:rsid w:val="006933BF"/>
    <w:pPr>
      <w:keepNext/>
      <w:keepLines/>
      <w:spacing w:before="360" w:line="240" w:lineRule="atLeast"/>
      <w:outlineLvl w:val="3"/>
    </w:pPr>
    <w:rPr>
      <w:rFonts w:ascii="Arial" w:eastAsia="Cambria" w:hAnsi="Arial" w:cs="Times New Roman"/>
      <w:b/>
      <w:bCs/>
      <w:color w:val="001871"/>
      <w:sz w:val="28"/>
      <w:szCs w:val="26"/>
    </w:rPr>
  </w:style>
  <w:style w:type="paragraph" w:styleId="Heading5">
    <w:name w:val="heading 5"/>
    <w:basedOn w:val="Normal"/>
    <w:next w:val="Normal"/>
    <w:link w:val="Heading5Char"/>
    <w:uiPriority w:val="9"/>
    <w:rsid w:val="00F02AEC"/>
    <w:pPr>
      <w:keepNext/>
      <w:keepLines/>
      <w:spacing w:before="240" w:line="240" w:lineRule="atLeast"/>
      <w:outlineLvl w:val="4"/>
    </w:pPr>
    <w:rPr>
      <w:rFonts w:ascii="Arial" w:eastAsia="Times New Roman" w:hAnsi="Arial" w:cs="Times New Roman"/>
      <w:b/>
      <w:bCs/>
      <w:i/>
      <w:color w:val="001871"/>
      <w:sz w:val="26"/>
      <w:szCs w:val="26"/>
    </w:rPr>
  </w:style>
  <w:style w:type="paragraph" w:styleId="Heading6">
    <w:name w:val="heading 6"/>
    <w:basedOn w:val="Normal"/>
    <w:next w:val="Normal"/>
    <w:link w:val="Heading6Char"/>
    <w:uiPriority w:val="9"/>
    <w:rsid w:val="00F02AEC"/>
    <w:pPr>
      <w:keepNext/>
      <w:keepLines/>
      <w:spacing w:before="240" w:line="240" w:lineRule="atLeast"/>
      <w:outlineLvl w:val="5"/>
    </w:pPr>
    <w:rPr>
      <w:rFonts w:ascii="Arial" w:eastAsia="Times New Roman" w:hAnsi="Arial" w:cs="Times New Roman"/>
      <w:b/>
      <w:bCs/>
      <w:i/>
      <w:color w:val="001871"/>
      <w:sz w:val="24"/>
      <w:szCs w:val="21"/>
    </w:rPr>
  </w:style>
  <w:style w:type="paragraph" w:styleId="Heading7">
    <w:name w:val="heading 7"/>
    <w:basedOn w:val="Normal"/>
    <w:next w:val="Normal"/>
    <w:link w:val="Heading7Char"/>
    <w:uiPriority w:val="9"/>
    <w:unhideWhenUsed/>
    <w:qFormat/>
    <w:rsid w:val="0064414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8329DB"/>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DEEAF6" w:themeFill="accent5" w:themeFillTint="33"/>
      </w:tcPr>
    </w:tblStylePr>
    <w:tblStylePr w:type="firstCol">
      <w:pPr>
        <w:keepNext w:val="0"/>
        <w:wordWrap/>
      </w:pPr>
    </w:tblStylePr>
  </w:style>
  <w:style w:type="character" w:customStyle="1" w:styleId="Heading2Char">
    <w:name w:val="Heading 2 Char"/>
    <w:basedOn w:val="DefaultParagraphFont"/>
    <w:link w:val="Heading2"/>
    <w:rsid w:val="00F02AEC"/>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6933BF"/>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6933BF"/>
    <w:rPr>
      <w:rFonts w:ascii="Arial" w:eastAsia="Cambria" w:hAnsi="Arial" w:cs="Times New Roman"/>
      <w:b/>
      <w:bCs/>
      <w:color w:val="001871"/>
      <w:sz w:val="28"/>
      <w:szCs w:val="26"/>
    </w:rPr>
  </w:style>
  <w:style w:type="character" w:customStyle="1" w:styleId="Heading5Char">
    <w:name w:val="Heading 5 Char"/>
    <w:basedOn w:val="DefaultParagraphFont"/>
    <w:link w:val="Heading5"/>
    <w:uiPriority w:val="9"/>
    <w:rsid w:val="00F02AEC"/>
    <w:rPr>
      <w:rFonts w:ascii="Arial" w:eastAsia="Times New Roman" w:hAnsi="Arial" w:cs="Times New Roman"/>
      <w:b/>
      <w:bCs/>
      <w:i/>
      <w:color w:val="001871"/>
      <w:sz w:val="26"/>
      <w:szCs w:val="26"/>
    </w:rPr>
  </w:style>
  <w:style w:type="character" w:customStyle="1" w:styleId="Heading6Char">
    <w:name w:val="Heading 6 Char"/>
    <w:basedOn w:val="DefaultParagraphFont"/>
    <w:link w:val="Heading6"/>
    <w:uiPriority w:val="9"/>
    <w:rsid w:val="00F02AEC"/>
    <w:rPr>
      <w:rFonts w:ascii="Arial" w:eastAsia="Times New Roman" w:hAnsi="Arial" w:cs="Times New Roman"/>
      <w:b/>
      <w:bCs/>
      <w:i/>
      <w:color w:val="001871"/>
      <w:sz w:val="24"/>
      <w:szCs w:val="21"/>
    </w:rPr>
  </w:style>
  <w:style w:type="paragraph" w:styleId="Date">
    <w:name w:val="Date"/>
    <w:basedOn w:val="Normal"/>
    <w:next w:val="Normal"/>
    <w:link w:val="DateChar"/>
    <w:uiPriority w:val="99"/>
    <w:rsid w:val="00F02AEC"/>
    <w:pPr>
      <w:spacing w:before="120" w:after="0" w:line="240" w:lineRule="atLeast"/>
    </w:pPr>
    <w:rPr>
      <w:rFonts w:ascii="Arial" w:eastAsia="Cambria" w:hAnsi="Arial" w:cs="Times New Roman"/>
      <w:color w:val="333F4A"/>
      <w:sz w:val="28"/>
    </w:rPr>
  </w:style>
  <w:style w:type="character" w:customStyle="1" w:styleId="DateChar">
    <w:name w:val="Date Char"/>
    <w:basedOn w:val="DefaultParagraphFont"/>
    <w:link w:val="Date"/>
    <w:uiPriority w:val="99"/>
    <w:rsid w:val="00F02AEC"/>
    <w:rPr>
      <w:rFonts w:ascii="Arial" w:eastAsia="Cambria" w:hAnsi="Arial" w:cs="Times New Roman"/>
      <w:color w:val="333F4A"/>
      <w:sz w:val="28"/>
      <w:szCs w:val="20"/>
    </w:rPr>
  </w:style>
  <w:style w:type="paragraph" w:styleId="Footer">
    <w:name w:val="footer"/>
    <w:basedOn w:val="Normal"/>
    <w:link w:val="FooterChar"/>
    <w:uiPriority w:val="99"/>
    <w:rsid w:val="0056766D"/>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6766D"/>
    <w:rPr>
      <w:rFonts w:ascii="Cambria" w:eastAsia="Cambria" w:hAnsi="Cambria" w:cs="Times New Roman"/>
      <w:color w:val="333F4A"/>
      <w:sz w:val="17"/>
    </w:rPr>
  </w:style>
  <w:style w:type="paragraph" w:styleId="Header">
    <w:name w:val="header"/>
    <w:basedOn w:val="Normal"/>
    <w:link w:val="HeaderChar"/>
    <w:uiPriority w:val="99"/>
    <w:rsid w:val="00F02AEC"/>
    <w:pPr>
      <w:pBdr>
        <w:bottom w:val="single" w:sz="4" w:space="3" w:color="auto"/>
      </w:pBdr>
      <w:tabs>
        <w:tab w:val="center" w:pos="4513"/>
        <w:tab w:val="right" w:pos="9026"/>
      </w:tabs>
      <w:spacing w:after="0" w:line="240" w:lineRule="auto"/>
      <w:jc w:val="right"/>
    </w:pPr>
    <w:rPr>
      <w:rFonts w:ascii="Arial" w:eastAsia="Cambria" w:hAnsi="Arial" w:cs="Times New Roman"/>
      <w:color w:val="333F4A"/>
      <w:sz w:val="17"/>
    </w:rPr>
  </w:style>
  <w:style w:type="character" w:customStyle="1" w:styleId="HeaderChar">
    <w:name w:val="Header Char"/>
    <w:basedOn w:val="DefaultParagraphFont"/>
    <w:link w:val="Header"/>
    <w:uiPriority w:val="99"/>
    <w:rsid w:val="00F02AEC"/>
    <w:rPr>
      <w:rFonts w:ascii="Arial" w:eastAsia="Cambria" w:hAnsi="Arial" w:cs="Times New Roman"/>
      <w:color w:val="333F4A"/>
      <w:sz w:val="17"/>
      <w:szCs w:val="20"/>
    </w:rPr>
  </w:style>
  <w:style w:type="character" w:styleId="Hyperlink">
    <w:name w:val="Hyperlink"/>
    <w:basedOn w:val="DefaultParagraphFont"/>
    <w:uiPriority w:val="99"/>
    <w:unhideWhenUsed/>
    <w:rsid w:val="0056766D"/>
    <w:rPr>
      <w:rFonts w:ascii="Cambria" w:hAnsi="Cambria"/>
      <w:color w:val="0000FF"/>
      <w:u w:val="single"/>
    </w:rPr>
  </w:style>
  <w:style w:type="paragraph" w:customStyle="1" w:styleId="LegalCopy">
    <w:name w:val="Legal Copy"/>
    <w:basedOn w:val="Footer"/>
    <w:rsid w:val="0056766D"/>
  </w:style>
  <w:style w:type="paragraph" w:customStyle="1" w:styleId="LegalSubheading">
    <w:name w:val="Legal Subheading"/>
    <w:basedOn w:val="Footer"/>
    <w:rsid w:val="0056766D"/>
    <w:pPr>
      <w:outlineLvl w:val="1"/>
    </w:pPr>
    <w:rPr>
      <w:b/>
    </w:rPr>
  </w:style>
  <w:style w:type="paragraph" w:styleId="ListBullet">
    <w:name w:val="List Bullet"/>
    <w:basedOn w:val="Normal"/>
    <w:uiPriority w:val="99"/>
    <w:qFormat/>
    <w:rsid w:val="00FC6F56"/>
    <w:pPr>
      <w:numPr>
        <w:numId w:val="1"/>
      </w:numPr>
      <w:spacing w:before="120" w:after="180" w:line="240" w:lineRule="atLeast"/>
    </w:pPr>
    <w:rPr>
      <w:rFonts w:eastAsia="Cambria" w:cs="Times New Roman"/>
      <w:color w:val="000000" w:themeColor="text1"/>
    </w:rPr>
  </w:style>
  <w:style w:type="paragraph" w:styleId="ListBullet2">
    <w:name w:val="List Bullet 2"/>
    <w:basedOn w:val="Normal"/>
    <w:uiPriority w:val="99"/>
    <w:qFormat/>
    <w:rsid w:val="00FC6F56"/>
    <w:pPr>
      <w:numPr>
        <w:ilvl w:val="1"/>
        <w:numId w:val="1"/>
      </w:numPr>
      <w:spacing w:before="120" w:after="180" w:line="240" w:lineRule="atLeast"/>
    </w:pPr>
    <w:rPr>
      <w:rFonts w:eastAsia="Cambria" w:cs="Times New Roman"/>
      <w:color w:val="000000" w:themeColor="text1"/>
    </w:rPr>
  </w:style>
  <w:style w:type="paragraph" w:styleId="ListBullet3">
    <w:name w:val="List Bullet 3"/>
    <w:basedOn w:val="Normal"/>
    <w:uiPriority w:val="2"/>
    <w:qFormat/>
    <w:rsid w:val="00FC6F56"/>
    <w:pPr>
      <w:numPr>
        <w:numId w:val="3"/>
      </w:numPr>
      <w:spacing w:before="120" w:after="180" w:line="240" w:lineRule="atLeast"/>
      <w:ind w:left="1276" w:hanging="425"/>
    </w:pPr>
    <w:rPr>
      <w:rFonts w:eastAsia="Cambria" w:cs="Times New Roman"/>
    </w:rPr>
  </w:style>
  <w:style w:type="numbering" w:customStyle="1" w:styleId="ListBullets">
    <w:name w:val="ListBullets"/>
    <w:uiPriority w:val="99"/>
    <w:locked/>
    <w:rsid w:val="00F02AEC"/>
    <w:pPr>
      <w:numPr>
        <w:numId w:val="1"/>
      </w:numPr>
    </w:pPr>
  </w:style>
  <w:style w:type="paragraph" w:customStyle="1" w:styleId="Numberbullet0">
    <w:name w:val="Number bullet"/>
    <w:basedOn w:val="ListBullet"/>
    <w:uiPriority w:val="2"/>
    <w:qFormat/>
    <w:rsid w:val="00FC6F56"/>
    <w:pPr>
      <w:numPr>
        <w:numId w:val="2"/>
      </w:numPr>
    </w:pPr>
  </w:style>
  <w:style w:type="paragraph" w:customStyle="1" w:styleId="Numberbullet2">
    <w:name w:val="Number bullet 2"/>
    <w:basedOn w:val="ListBullet2"/>
    <w:uiPriority w:val="2"/>
    <w:qFormat/>
    <w:rsid w:val="00F02AEC"/>
    <w:pPr>
      <w:numPr>
        <w:numId w:val="2"/>
      </w:numPr>
      <w:ind w:left="850" w:hanging="425"/>
    </w:pPr>
  </w:style>
  <w:style w:type="paragraph" w:customStyle="1" w:styleId="Numberbullet3">
    <w:name w:val="Number bullet 3"/>
    <w:basedOn w:val="Normal"/>
    <w:autoRedefine/>
    <w:uiPriority w:val="2"/>
    <w:qFormat/>
    <w:rsid w:val="00585EC7"/>
    <w:pPr>
      <w:numPr>
        <w:numId w:val="4"/>
      </w:numPr>
      <w:spacing w:before="120" w:after="180" w:line="240" w:lineRule="atLeast"/>
      <w:ind w:left="709" w:hanging="397"/>
    </w:pPr>
    <w:rPr>
      <w:rFonts w:eastAsia="Cambria" w:cs="Times New Roman"/>
      <w:color w:val="333F48"/>
    </w:rPr>
  </w:style>
  <w:style w:type="numbering" w:customStyle="1" w:styleId="NumberBullet">
    <w:name w:val="NumberBullet"/>
    <w:uiPriority w:val="99"/>
    <w:locked/>
    <w:rsid w:val="00F02AEC"/>
    <w:pPr>
      <w:numPr>
        <w:numId w:val="2"/>
      </w:numPr>
    </w:pPr>
  </w:style>
  <w:style w:type="paragraph" w:styleId="Subtitle">
    <w:name w:val="Subtitle"/>
    <w:basedOn w:val="Normal"/>
    <w:link w:val="SubtitleChar"/>
    <w:uiPriority w:val="11"/>
    <w:rsid w:val="00F02AEC"/>
    <w:pPr>
      <w:numPr>
        <w:ilvl w:val="1"/>
      </w:numPr>
      <w:spacing w:after="0" w:line="240" w:lineRule="atLeast"/>
      <w:ind w:left="170"/>
    </w:pPr>
    <w:rPr>
      <w:rFonts w:ascii="Arial" w:eastAsia="Times New Roman" w:hAnsi="Arial" w:cs="Times New Roman"/>
      <w:bCs/>
      <w:iCs/>
      <w:color w:val="006BA6"/>
      <w:sz w:val="40"/>
      <w:szCs w:val="24"/>
    </w:rPr>
  </w:style>
  <w:style w:type="character" w:customStyle="1" w:styleId="SubtitleChar">
    <w:name w:val="Subtitle Char"/>
    <w:basedOn w:val="DefaultParagraphFont"/>
    <w:link w:val="Subtitle"/>
    <w:uiPriority w:val="11"/>
    <w:rsid w:val="00F02AEC"/>
    <w:rPr>
      <w:rFonts w:ascii="Arial" w:eastAsia="Times New Roman" w:hAnsi="Arial" w:cs="Times New Roman"/>
      <w:bCs/>
      <w:iCs/>
      <w:color w:val="006BA6"/>
      <w:sz w:val="40"/>
      <w:szCs w:val="24"/>
    </w:rPr>
  </w:style>
  <w:style w:type="table" w:styleId="TableGrid">
    <w:name w:val="Table Grid"/>
    <w:basedOn w:val="TableNormal"/>
    <w:uiPriority w:val="59"/>
    <w:rsid w:val="00F02AEC"/>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rsid w:val="00F02AEC"/>
    <w:pPr>
      <w:spacing w:before="120" w:after="360" w:line="240" w:lineRule="atLeast"/>
      <w:jc w:val="center"/>
    </w:pPr>
    <w:rPr>
      <w:rFonts w:ascii="Arial" w:eastAsia="Cambria" w:hAnsi="Arial" w:cs="Times New Roman"/>
      <w:b/>
      <w:color w:val="333F48"/>
      <w:sz w:val="28"/>
    </w:rPr>
  </w:style>
  <w:style w:type="paragraph" w:styleId="Title">
    <w:name w:val="Title"/>
    <w:link w:val="TitleChar"/>
    <w:uiPriority w:val="10"/>
    <w:rsid w:val="00F02AEC"/>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F02AEC"/>
    <w:rPr>
      <w:rFonts w:ascii="Arial" w:eastAsia="Times New Roman" w:hAnsi="Arial" w:cs="Times New Roman"/>
      <w:color w:val="001871"/>
      <w:spacing w:val="5"/>
      <w:kern w:val="28"/>
      <w:sz w:val="52"/>
      <w:szCs w:val="52"/>
    </w:rPr>
  </w:style>
  <w:style w:type="paragraph" w:styleId="TOC1">
    <w:name w:val="toc 1"/>
    <w:basedOn w:val="Normal"/>
    <w:next w:val="Normal"/>
    <w:uiPriority w:val="39"/>
    <w:unhideWhenUsed/>
    <w:rsid w:val="00F02AEC"/>
    <w:pPr>
      <w:keepNext/>
      <w:keepLines/>
      <w:tabs>
        <w:tab w:val="right" w:leader="underscore" w:pos="8505"/>
      </w:tabs>
      <w:spacing w:before="120" w:after="200" w:line="240" w:lineRule="atLeast"/>
    </w:pPr>
    <w:rPr>
      <w:rFonts w:ascii="Arial" w:eastAsia="Cambria" w:hAnsi="Arial" w:cs="Times New Roman"/>
      <w:b/>
      <w:color w:val="333F48"/>
      <w:sz w:val="32"/>
    </w:rPr>
  </w:style>
  <w:style w:type="paragraph" w:styleId="TOC2">
    <w:name w:val="toc 2"/>
    <w:basedOn w:val="Normal"/>
    <w:next w:val="Normal"/>
    <w:uiPriority w:val="39"/>
    <w:unhideWhenUsed/>
    <w:rsid w:val="00F02AEC"/>
    <w:pPr>
      <w:keepNext/>
      <w:keepLines/>
      <w:tabs>
        <w:tab w:val="right" w:leader="underscore" w:pos="8505"/>
      </w:tabs>
      <w:spacing w:before="120" w:after="100" w:line="240" w:lineRule="atLeast"/>
      <w:ind w:left="425"/>
    </w:pPr>
    <w:rPr>
      <w:rFonts w:ascii="Arial" w:eastAsia="Cambria" w:hAnsi="Arial" w:cs="Times New Roman"/>
      <w:b/>
      <w:color w:val="333F48"/>
      <w:sz w:val="25"/>
    </w:rPr>
  </w:style>
  <w:style w:type="paragraph" w:styleId="TOC3">
    <w:name w:val="toc 3"/>
    <w:basedOn w:val="Normal"/>
    <w:next w:val="Normal"/>
    <w:uiPriority w:val="39"/>
    <w:unhideWhenUsed/>
    <w:rsid w:val="00F02AEC"/>
    <w:pPr>
      <w:keepNext/>
      <w:keepLines/>
      <w:tabs>
        <w:tab w:val="right" w:leader="hyphen" w:pos="8505"/>
      </w:tabs>
      <w:spacing w:before="120" w:after="100" w:line="240" w:lineRule="atLeast"/>
      <w:ind w:left="851"/>
    </w:pPr>
    <w:rPr>
      <w:rFonts w:ascii="Arial" w:eastAsia="Cambria" w:hAnsi="Arial" w:cs="Times New Roman"/>
      <w:b/>
      <w:color w:val="333F48"/>
    </w:rPr>
  </w:style>
  <w:style w:type="paragraph" w:styleId="FootnoteText">
    <w:name w:val="footnote text"/>
    <w:basedOn w:val="Normal"/>
    <w:link w:val="FootnoteTextChar"/>
    <w:uiPriority w:val="99"/>
    <w:qFormat/>
    <w:rsid w:val="00FE087C"/>
    <w:pPr>
      <w:keepLines/>
      <w:spacing w:after="0" w:line="240" w:lineRule="atLeast"/>
    </w:pPr>
    <w:rPr>
      <w:rFonts w:eastAsia="Cambria" w:cs="Times New Roman"/>
      <w:color w:val="333F48"/>
      <w:sz w:val="17"/>
    </w:rPr>
  </w:style>
  <w:style w:type="character" w:customStyle="1" w:styleId="FootnoteTextChar">
    <w:name w:val="Footnote Text Char"/>
    <w:basedOn w:val="DefaultParagraphFont"/>
    <w:link w:val="FootnoteText"/>
    <w:uiPriority w:val="99"/>
    <w:rsid w:val="00FE087C"/>
    <w:rPr>
      <w:rFonts w:ascii="Cambria" w:eastAsia="Cambria" w:hAnsi="Cambria" w:cs="Times New Roman"/>
      <w:color w:val="333F48"/>
      <w:sz w:val="17"/>
    </w:rPr>
  </w:style>
  <w:style w:type="character" w:styleId="FootnoteReference">
    <w:name w:val="footnote reference"/>
    <w:basedOn w:val="DefaultParagraphFont"/>
    <w:uiPriority w:val="99"/>
    <w:unhideWhenUsed/>
    <w:rsid w:val="00F02AEC"/>
    <w:rPr>
      <w:vertAlign w:val="superscript"/>
    </w:rPr>
  </w:style>
  <w:style w:type="paragraph" w:customStyle="1" w:styleId="NonTOCheading2">
    <w:name w:val="Non TOC heading 2"/>
    <w:basedOn w:val="Normal"/>
    <w:next w:val="Normal"/>
    <w:rsid w:val="00F02AEC"/>
    <w:pPr>
      <w:keepNext/>
      <w:keepLines/>
      <w:pageBreakBefore/>
      <w:spacing w:after="180" w:line="240" w:lineRule="atLeast"/>
      <w:outlineLvl w:val="1"/>
    </w:pPr>
    <w:rPr>
      <w:rFonts w:ascii="Arial" w:eastAsia="Cambria" w:hAnsi="Arial" w:cs="Times New Roman"/>
      <w:b/>
      <w:color w:val="001871"/>
      <w:sz w:val="38"/>
    </w:rPr>
  </w:style>
  <w:style w:type="paragraph" w:customStyle="1" w:styleId="Headernoline">
    <w:name w:val="Header no line"/>
    <w:basedOn w:val="Header"/>
    <w:rsid w:val="00F02AEC"/>
    <w:pPr>
      <w:pBdr>
        <w:bottom w:val="none" w:sz="0" w:space="0" w:color="auto"/>
      </w:pBdr>
      <w:spacing w:line="240" w:lineRule="atLeast"/>
    </w:pPr>
  </w:style>
  <w:style w:type="paragraph" w:customStyle="1" w:styleId="Address">
    <w:name w:val="Address"/>
    <w:basedOn w:val="Normal"/>
    <w:rsid w:val="00F02AEC"/>
    <w:pPr>
      <w:spacing w:after="0" w:line="240" w:lineRule="auto"/>
    </w:pPr>
    <w:rPr>
      <w:rFonts w:ascii="Arial" w:eastAsia="Cambria" w:hAnsi="Arial" w:cs="Times New Roman"/>
      <w:color w:val="333F48"/>
      <w:sz w:val="21"/>
    </w:rPr>
  </w:style>
  <w:style w:type="paragraph" w:customStyle="1" w:styleId="ListBullet-dotick">
    <w:name w:val="List Bullet - do (tick)"/>
    <w:basedOn w:val="ListBullet"/>
    <w:autoRedefine/>
    <w:uiPriority w:val="1"/>
    <w:rsid w:val="00F02AEC"/>
    <w:pPr>
      <w:numPr>
        <w:numId w:val="5"/>
      </w:numPr>
      <w:tabs>
        <w:tab w:val="left" w:pos="425"/>
      </w:tabs>
    </w:pPr>
  </w:style>
  <w:style w:type="paragraph" w:customStyle="1" w:styleId="ListBullet-donotcross">
    <w:name w:val="List Bullet - do not (cross)"/>
    <w:basedOn w:val="ListBullet"/>
    <w:autoRedefine/>
    <w:uiPriority w:val="1"/>
    <w:rsid w:val="00F02AEC"/>
    <w:pPr>
      <w:numPr>
        <w:numId w:val="6"/>
      </w:numPr>
      <w:ind w:left="357" w:hanging="357"/>
    </w:pPr>
    <w:rPr>
      <w:rFonts w:eastAsiaTheme="minorHAnsi" w:cstheme="minorBidi"/>
      <w:szCs w:val="22"/>
    </w:rPr>
  </w:style>
  <w:style w:type="table" w:customStyle="1" w:styleId="TGABlack2023">
    <w:name w:val="TGA Black 2023"/>
    <w:basedOn w:val="TableTGAblue2023"/>
    <w:uiPriority w:val="99"/>
    <w:rsid w:val="00FA49C3"/>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paragraph" w:customStyle="1" w:styleId="NonTOCHeading20">
    <w:name w:val="Non TOC Heading 2"/>
    <w:basedOn w:val="Normal"/>
    <w:rsid w:val="00346EC2"/>
    <w:pPr>
      <w:spacing w:before="240" w:line="240" w:lineRule="atLeast"/>
      <w:outlineLvl w:val="1"/>
    </w:pPr>
    <w:rPr>
      <w:rFonts w:ascii="Arial" w:eastAsia="Cambria" w:hAnsi="Arial" w:cs="Times New Roman"/>
      <w:b/>
      <w:sz w:val="32"/>
      <w:szCs w:val="22"/>
    </w:rPr>
  </w:style>
  <w:style w:type="table" w:customStyle="1" w:styleId="TableTGAblue">
    <w:name w:val="Table TGA blue"/>
    <w:basedOn w:val="TableNormal"/>
    <w:uiPriority w:val="99"/>
    <w:qFormat/>
    <w:rsid w:val="00324B33"/>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keepNext/>
        <w:wordWrap/>
      </w:pPr>
      <w:rPr>
        <w:rFonts w:ascii="Cambria" w:hAnsi="Cambria"/>
        <w:b/>
        <w:color w:val="FFFFFF" w:themeColor="background1"/>
        <w:sz w:val="22"/>
      </w:rPr>
      <w:tblPr/>
      <w:trPr>
        <w:tblHeader/>
      </w:tr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style>
  <w:style w:type="paragraph" w:customStyle="1" w:styleId="Instructions">
    <w:name w:val="Instructions"/>
    <w:basedOn w:val="Normal"/>
    <w:next w:val="Normal"/>
    <w:uiPriority w:val="1"/>
    <w:qFormat/>
    <w:rsid w:val="00324B33"/>
    <w:pPr>
      <w:spacing w:before="120" w:line="240" w:lineRule="atLeast"/>
    </w:pPr>
    <w:rPr>
      <w:rFonts w:eastAsia="Cambria" w:cs="Times New Roman"/>
      <w:i/>
      <w:color w:val="007099"/>
      <w:szCs w:val="22"/>
    </w:rPr>
  </w:style>
  <w:style w:type="paragraph" w:customStyle="1" w:styleId="TableTitle">
    <w:name w:val="Table Title"/>
    <w:basedOn w:val="Normal"/>
    <w:rsid w:val="00324B33"/>
    <w:pPr>
      <w:keepNext/>
      <w:spacing w:before="120" w:line="240" w:lineRule="atLeast"/>
    </w:pPr>
    <w:rPr>
      <w:rFonts w:eastAsia="Cambria" w:cs="Times New Roman"/>
      <w:b/>
      <w:szCs w:val="22"/>
    </w:rPr>
  </w:style>
  <w:style w:type="paragraph" w:customStyle="1" w:styleId="TableDescription">
    <w:name w:val="Table Description"/>
    <w:basedOn w:val="Normal"/>
    <w:qFormat/>
    <w:rsid w:val="00854D98"/>
    <w:pPr>
      <w:spacing w:before="120" w:line="240" w:lineRule="auto"/>
    </w:pPr>
    <w:rPr>
      <w:rFonts w:eastAsia="Cambria" w:cs="Times New Roman"/>
      <w:sz w:val="18"/>
      <w:szCs w:val="19"/>
    </w:rPr>
  </w:style>
  <w:style w:type="character" w:styleId="CommentReference">
    <w:name w:val="annotation reference"/>
    <w:basedOn w:val="DefaultParagraphFont"/>
    <w:uiPriority w:val="99"/>
    <w:semiHidden/>
    <w:unhideWhenUsed/>
    <w:rsid w:val="00E47E0C"/>
    <w:rPr>
      <w:sz w:val="16"/>
      <w:szCs w:val="16"/>
    </w:rPr>
  </w:style>
  <w:style w:type="paragraph" w:styleId="CommentText">
    <w:name w:val="annotation text"/>
    <w:basedOn w:val="Normal"/>
    <w:link w:val="CommentTextChar"/>
    <w:uiPriority w:val="99"/>
    <w:unhideWhenUsed/>
    <w:rsid w:val="00E47E0C"/>
    <w:pPr>
      <w:spacing w:line="240" w:lineRule="auto"/>
    </w:pPr>
  </w:style>
  <w:style w:type="character" w:customStyle="1" w:styleId="CommentTextChar">
    <w:name w:val="Comment Text Char"/>
    <w:basedOn w:val="DefaultParagraphFont"/>
    <w:link w:val="CommentText"/>
    <w:uiPriority w:val="99"/>
    <w:rsid w:val="00E47E0C"/>
    <w:rPr>
      <w:rFonts w:ascii="Cambria" w:hAnsi="Cambria"/>
    </w:rPr>
  </w:style>
  <w:style w:type="paragraph" w:styleId="CommentSubject">
    <w:name w:val="annotation subject"/>
    <w:basedOn w:val="CommentText"/>
    <w:next w:val="CommentText"/>
    <w:link w:val="CommentSubjectChar"/>
    <w:uiPriority w:val="99"/>
    <w:semiHidden/>
    <w:unhideWhenUsed/>
    <w:rsid w:val="00E47E0C"/>
    <w:rPr>
      <w:b/>
      <w:bCs/>
    </w:rPr>
  </w:style>
  <w:style w:type="character" w:customStyle="1" w:styleId="CommentSubjectChar">
    <w:name w:val="Comment Subject Char"/>
    <w:basedOn w:val="CommentTextChar"/>
    <w:link w:val="CommentSubject"/>
    <w:uiPriority w:val="99"/>
    <w:semiHidden/>
    <w:rsid w:val="00E47E0C"/>
    <w:rPr>
      <w:rFonts w:ascii="Cambria" w:hAnsi="Cambria"/>
      <w:b/>
      <w:bCs/>
    </w:rPr>
  </w:style>
  <w:style w:type="paragraph" w:styleId="BalloonText">
    <w:name w:val="Balloon Text"/>
    <w:basedOn w:val="Normal"/>
    <w:link w:val="BalloonTextChar"/>
    <w:uiPriority w:val="99"/>
    <w:semiHidden/>
    <w:unhideWhenUsed/>
    <w:rsid w:val="00D63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60"/>
    <w:rPr>
      <w:rFonts w:ascii="Segoe UI" w:hAnsi="Segoe UI" w:cs="Segoe UI"/>
      <w:sz w:val="18"/>
      <w:szCs w:val="18"/>
    </w:rPr>
  </w:style>
  <w:style w:type="character" w:styleId="FollowedHyperlink">
    <w:name w:val="FollowedHyperlink"/>
    <w:basedOn w:val="DefaultParagraphFont"/>
    <w:uiPriority w:val="99"/>
    <w:semiHidden/>
    <w:unhideWhenUsed/>
    <w:rsid w:val="001C1C2E"/>
    <w:rPr>
      <w:color w:val="954F72" w:themeColor="followedHyperlink"/>
      <w:u w:val="single"/>
    </w:rPr>
  </w:style>
  <w:style w:type="paragraph" w:styleId="Revision">
    <w:name w:val="Revision"/>
    <w:hidden/>
    <w:uiPriority w:val="99"/>
    <w:semiHidden/>
    <w:rsid w:val="008964B3"/>
    <w:pPr>
      <w:spacing w:after="0" w:line="240" w:lineRule="auto"/>
    </w:pPr>
    <w:rPr>
      <w:rFonts w:ascii="Cambria" w:hAnsi="Cambria"/>
    </w:rPr>
  </w:style>
  <w:style w:type="character" w:styleId="UnresolvedMention">
    <w:name w:val="Unresolved Mention"/>
    <w:basedOn w:val="DefaultParagraphFont"/>
    <w:uiPriority w:val="99"/>
    <w:semiHidden/>
    <w:unhideWhenUsed/>
    <w:rsid w:val="00966EF1"/>
    <w:rPr>
      <w:color w:val="605E5C"/>
      <w:shd w:val="clear" w:color="auto" w:fill="E1DFDD"/>
    </w:rPr>
  </w:style>
  <w:style w:type="paragraph" w:customStyle="1" w:styleId="TableText">
    <w:name w:val="Table Text"/>
    <w:basedOn w:val="FootnoteText"/>
    <w:qFormat/>
    <w:rsid w:val="005B69CF"/>
    <w:rPr>
      <w:color w:val="000000" w:themeColor="text1"/>
      <w:sz w:val="22"/>
      <w:lang w:val="en-GB"/>
    </w:rPr>
  </w:style>
  <w:style w:type="paragraph" w:customStyle="1" w:styleId="FigureTitle">
    <w:name w:val="Figure Title"/>
    <w:basedOn w:val="Normal"/>
    <w:qFormat/>
    <w:rsid w:val="00AB0613"/>
    <w:pPr>
      <w:keepNext/>
    </w:pPr>
    <w:rPr>
      <w:b/>
    </w:rPr>
  </w:style>
  <w:style w:type="paragraph" w:styleId="Caption">
    <w:name w:val="caption"/>
    <w:basedOn w:val="Normal"/>
    <w:next w:val="Normal"/>
    <w:uiPriority w:val="35"/>
    <w:unhideWhenUsed/>
    <w:qFormat/>
    <w:rsid w:val="0098350E"/>
    <w:pPr>
      <w:spacing w:after="200" w:line="240" w:lineRule="auto"/>
    </w:pPr>
    <w:rPr>
      <w:i/>
      <w:iCs/>
      <w:color w:val="44546A" w:themeColor="text2"/>
      <w:sz w:val="18"/>
      <w:szCs w:val="18"/>
    </w:rPr>
  </w:style>
  <w:style w:type="paragraph" w:customStyle="1" w:styleId="FigureDescription">
    <w:name w:val="Figure Description"/>
    <w:basedOn w:val="FigureTitle"/>
    <w:qFormat/>
    <w:rsid w:val="0010558A"/>
    <w:pPr>
      <w:spacing w:before="120"/>
    </w:pPr>
    <w:rPr>
      <w:b w:val="0"/>
      <w:sz w:val="19"/>
    </w:rPr>
  </w:style>
  <w:style w:type="paragraph" w:styleId="ListParagraph">
    <w:name w:val="List Paragraph"/>
    <w:basedOn w:val="Normal"/>
    <w:link w:val="ListParagraphChar"/>
    <w:uiPriority w:val="34"/>
    <w:qFormat/>
    <w:rsid w:val="006B7126"/>
    <w:pPr>
      <w:spacing w:after="160"/>
      <w:ind w:left="720"/>
      <w:contextualSpacing/>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B7126"/>
    <w:rPr>
      <w:rFonts w:ascii="Times New Roman" w:hAnsi="Times New Roman" w:cs="Times New Roman"/>
      <w:sz w:val="24"/>
      <w:szCs w:val="24"/>
    </w:rPr>
  </w:style>
  <w:style w:type="paragraph" w:customStyle="1" w:styleId="Indication">
    <w:name w:val="Indication"/>
    <w:basedOn w:val="Normal"/>
    <w:next w:val="Normal"/>
    <w:qFormat/>
    <w:rsid w:val="00BA3F6D"/>
    <w:pPr>
      <w:spacing w:before="120" w:line="240" w:lineRule="atLeast"/>
      <w:ind w:left="720"/>
      <w:contextualSpacing/>
    </w:pPr>
    <w:rPr>
      <w:i/>
      <w:color w:val="000000" w:themeColor="text1"/>
    </w:rPr>
  </w:style>
  <w:style w:type="paragraph" w:customStyle="1" w:styleId="DelegatesQuestions">
    <w:name w:val="Delegate's Questions"/>
    <w:basedOn w:val="Numberbullet0"/>
    <w:qFormat/>
    <w:rsid w:val="007575D0"/>
    <w:rPr>
      <w:b/>
      <w:bCs/>
      <w:i/>
      <w:iCs/>
    </w:rPr>
  </w:style>
  <w:style w:type="character" w:customStyle="1" w:styleId="Heading1Char">
    <w:name w:val="Heading 1 Char"/>
    <w:basedOn w:val="DefaultParagraphFont"/>
    <w:link w:val="Heading1"/>
    <w:uiPriority w:val="9"/>
    <w:rsid w:val="00776DB2"/>
    <w:rPr>
      <w:rFonts w:asciiTheme="majorHAnsi" w:eastAsiaTheme="majorEastAsia" w:hAnsiTheme="majorHAnsi" w:cstheme="majorBidi"/>
      <w:color w:val="2F5496" w:themeColor="accent1" w:themeShade="BF"/>
      <w:sz w:val="32"/>
      <w:szCs w:val="32"/>
    </w:rPr>
  </w:style>
  <w:style w:type="paragraph" w:customStyle="1" w:styleId="Default">
    <w:name w:val="Default"/>
    <w:rsid w:val="00B24443"/>
    <w:pPr>
      <w:autoSpaceDE w:val="0"/>
      <w:autoSpaceDN w:val="0"/>
      <w:adjustRightInd w:val="0"/>
      <w:spacing w:after="0" w:line="240" w:lineRule="auto"/>
    </w:pPr>
    <w:rPr>
      <w:rFonts w:ascii="Arial" w:hAnsi="Arial" w:cs="Arial"/>
      <w:color w:val="000000"/>
      <w:sz w:val="24"/>
      <w:szCs w:val="24"/>
    </w:rPr>
  </w:style>
  <w:style w:type="character" w:customStyle="1" w:styleId="Heading7Char">
    <w:name w:val="Heading 7 Char"/>
    <w:basedOn w:val="DefaultParagraphFont"/>
    <w:link w:val="Heading7"/>
    <w:uiPriority w:val="9"/>
    <w:rsid w:val="00644145"/>
    <w:rPr>
      <w:rFonts w:asciiTheme="majorHAnsi" w:eastAsiaTheme="majorEastAsia" w:hAnsiTheme="majorHAnsi" w:cstheme="majorBidi"/>
      <w:i/>
      <w:iCs/>
      <w:color w:val="1F3763" w:themeColor="accent1" w:themeShade="7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5028">
      <w:bodyDiv w:val="1"/>
      <w:marLeft w:val="0"/>
      <w:marRight w:val="0"/>
      <w:marTop w:val="0"/>
      <w:marBottom w:val="0"/>
      <w:divBdr>
        <w:top w:val="none" w:sz="0" w:space="0" w:color="auto"/>
        <w:left w:val="none" w:sz="0" w:space="0" w:color="auto"/>
        <w:bottom w:val="none" w:sz="0" w:space="0" w:color="auto"/>
        <w:right w:val="none" w:sz="0" w:space="0" w:color="auto"/>
      </w:divBdr>
    </w:div>
    <w:div w:id="695735718">
      <w:bodyDiv w:val="1"/>
      <w:marLeft w:val="0"/>
      <w:marRight w:val="0"/>
      <w:marTop w:val="0"/>
      <w:marBottom w:val="0"/>
      <w:divBdr>
        <w:top w:val="none" w:sz="0" w:space="0" w:color="auto"/>
        <w:left w:val="none" w:sz="0" w:space="0" w:color="auto"/>
        <w:bottom w:val="none" w:sz="0" w:space="0" w:color="auto"/>
        <w:right w:val="none" w:sz="0" w:space="0" w:color="auto"/>
      </w:divBdr>
    </w:div>
    <w:div w:id="12937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tga.gov.au/australian-public-assessment-report-auspar-guidance" TargetMode="External"/><Relationship Id="rId26" Type="http://schemas.openxmlformats.org/officeDocument/2006/relationships/hyperlink" Target="https://www.nejm.org/doi/pdf/10.1056/NEJMoa2502984" TargetMode="External"/><Relationship Id="rId39" Type="http://schemas.openxmlformats.org/officeDocument/2006/relationships/hyperlink" Target="https://www.tga.gov.au/resources/resource/guidance/risk-management-plans-medicines-and-biologicals/australia-specific-annex-eu-rmp" TargetMode="External"/><Relationship Id="rId21" Type="http://schemas.openxmlformats.org/officeDocument/2006/relationships/hyperlink" Target="https://www.tga.gov.au/resources/sponsor/merck-sharp-dohme-australia-pty-ltd" TargetMode="External"/><Relationship Id="rId34" Type="http://schemas.openxmlformats.org/officeDocument/2006/relationships/image" Target="cid:image003.png@01DD1614.0BEB7440" TargetMode="External"/><Relationship Id="rId42" Type="http://schemas.openxmlformats.org/officeDocument/2006/relationships/hyperlink" Target="https://www.tga.gov.au/resources/publication/tga-laboratory-testing-reports" TargetMode="External"/><Relationship Id="rId47" Type="http://schemas.openxmlformats.org/officeDocument/2006/relationships/footer" Target="footer4.xml"/><Relationship Id="rId50"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nejm.org/doi/pdf/10.1056/NEJMc2506107" TargetMode="External"/><Relationship Id="rId11" Type="http://schemas.openxmlformats.org/officeDocument/2006/relationships/header" Target="header1.xml"/><Relationship Id="rId24" Type="http://schemas.openxmlformats.org/officeDocument/2006/relationships/hyperlink" Target="https://www.tga.gov.au/about-us/international-engagements/australia-canada-singapore-switzerland-united-kingdom-access-consortium/access-consortium-new-active-substance-nas-work-sharing-initiative" TargetMode="External"/><Relationship Id="rId32" Type="http://schemas.openxmlformats.org/officeDocument/2006/relationships/image" Target="cid:image002.png@01DD1613.49814060" TargetMode="External"/><Relationship Id="rId37" Type="http://schemas.openxmlformats.org/officeDocument/2006/relationships/hyperlink" Target="https://www.tga.gov.au/tgas-risk-management-approach" TargetMode="External"/><Relationship Id="rId40" Type="http://schemas.openxmlformats.org/officeDocument/2006/relationships/hyperlink" Target="https://www.tga.gov.au/committee/advisory-committee-medicines-acm" TargetMode="External"/><Relationship Id="rId45" Type="http://schemas.openxmlformats.org/officeDocument/2006/relationships/hyperlink" Target="https://www.ebs.tga.gov.au/"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tga.copyright@tga.gov.au" TargetMode="External"/><Relationship Id="rId31" Type="http://schemas.openxmlformats.org/officeDocument/2006/relationships/image" Target="media/image7.png"/><Relationship Id="rId44" Type="http://schemas.openxmlformats.org/officeDocument/2006/relationships/hyperlink" Target="https://www.tga.gov.au/guidance-7-certified-product-detail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tga.gov.au/products/medicines/find-information-about-medicine/prescribing-medicines-pregnancy-database"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9.png"/><Relationship Id="rId43" Type="http://schemas.openxmlformats.org/officeDocument/2006/relationships/hyperlink" Target="https://www.tga.gov.au/resources/resources/forms/certified-product-details-cpd-biological-prescription-medicines" TargetMode="External"/><Relationship Id="rId48" Type="http://schemas.openxmlformats.org/officeDocument/2006/relationships/hyperlink" Target="mailto:info@tga.gov.au" TargetMode="Externa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tga.gov.au/" TargetMode="External"/><Relationship Id="rId25" Type="http://schemas.openxmlformats.org/officeDocument/2006/relationships/hyperlink" Target="https://www.ema.europa.eu/en/ich-s6-r1-preclinical-safety-evaluation-biotechnology-derived-pharmaceuticals-scientific-guideline" TargetMode="External"/><Relationship Id="rId33" Type="http://schemas.openxmlformats.org/officeDocument/2006/relationships/image" Target="media/image8.png"/><Relationship Id="rId38" Type="http://schemas.openxmlformats.org/officeDocument/2006/relationships/hyperlink" Target="https://www.tga.gov.au/resources/resource/guidance/risk-management-plans-medicines-and-biologicals/australia-specific-annex-eu-rmp" TargetMode="External"/><Relationship Id="rId46" Type="http://schemas.openxmlformats.org/officeDocument/2006/relationships/header" Target="header4.xml"/><Relationship Id="rId20" Type="http://schemas.openxmlformats.org/officeDocument/2006/relationships/hyperlink" Target="https://www.tga.gov.au/black-triangle-scheme" TargetMode="External"/><Relationship Id="rId41" Type="http://schemas.openxmlformats.org/officeDocument/2006/relationships/hyperlink" Target="https://www.tga.gov.au/safety/adverse-events/medicine-adverse-events/obligations-report-adverse-events-medicines-and-biologicals/black-triangle-schem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tga.gov.au/obstetric-drug-information-services" TargetMode="External"/><Relationship Id="rId28" Type="http://schemas.openxmlformats.org/officeDocument/2006/relationships/image" Target="media/image5.png"/><Relationship Id="rId36" Type="http://schemas.openxmlformats.org/officeDocument/2006/relationships/hyperlink" Target="https://www.tga.gov.au/publication/risk-management-plans-medicines-and-biologicals" TargetMode="External"/><Relationship Id="rId49" Type="http://schemas.openxmlformats.org/officeDocument/2006/relationships/hyperlink" Target="https://www.tga.gov.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ja.com.au/journal/2025/222/11/respiratory-syncytial-virus-preventives-children-australia-current-landscap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8e007dd-a2ae-40d7-a15a-7fdace1322ad">
      <Terms xmlns="http://schemas.microsoft.com/office/infopath/2007/PartnerControls"/>
    </lcf76f155ced4ddcb4097134ff3c332f>
    <TaxCatchAll xmlns="2da0982e-0f9d-4525-92cd-42452a6082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AAFF769D30864DB32681B6C11085F2" ma:contentTypeVersion="18" ma:contentTypeDescription="Create a new document." ma:contentTypeScope="" ma:versionID="0e249cad8c02bce63a0bf07285c4bee6">
  <xsd:schema xmlns:xsd="http://www.w3.org/2001/XMLSchema" xmlns:xs="http://www.w3.org/2001/XMLSchema" xmlns:p="http://schemas.microsoft.com/office/2006/metadata/properties" xmlns:ns1="http://schemas.microsoft.com/sharepoint/v3" xmlns:ns2="f8e007dd-a2ae-40d7-a15a-7fdace1322ad" xmlns:ns3="2da0982e-0f9d-4525-92cd-42452a6082d6" targetNamespace="http://schemas.microsoft.com/office/2006/metadata/properties" ma:root="true" ma:fieldsID="83068b5e00b33072304d53376324f164" ns1:_="" ns2:_="" ns3:_="">
    <xsd:import namespace="http://schemas.microsoft.com/sharepoint/v3"/>
    <xsd:import namespace="f8e007dd-a2ae-40d7-a15a-7fdace1322ad"/>
    <xsd:import namespace="2da0982e-0f9d-4525-92cd-42452a6082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e007dd-a2ae-40d7-a15a-7fdace132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a0982e-0f9d-4525-92cd-42452a6082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1799cf-d436-4cd4-96e9-e358e7e3c8be}" ma:internalName="TaxCatchAll" ma:showField="CatchAllData" ma:web="2da0982e-0f9d-4525-92cd-42452a608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11AE68-6449-47E6-9F10-0220946BAFE5}">
  <ds:schemaRefs>
    <ds:schemaRef ds:uri="http://schemas.openxmlformats.org/officeDocument/2006/bibliography"/>
  </ds:schemaRefs>
</ds:datastoreItem>
</file>

<file path=customXml/itemProps2.xml><?xml version="1.0" encoding="utf-8"?>
<ds:datastoreItem xmlns:ds="http://schemas.openxmlformats.org/officeDocument/2006/customXml" ds:itemID="{22E5A80C-807A-4FB5-BF8A-345AA90B8DC1}">
  <ds:schemaRefs>
    <ds:schemaRef ds:uri="http://schemas.microsoft.com/office/2006/metadata/properties"/>
    <ds:schemaRef ds:uri="http://schemas.microsoft.com/office/infopath/2007/PartnerControls"/>
    <ds:schemaRef ds:uri="http://schemas.microsoft.com/sharepoint/v3"/>
    <ds:schemaRef ds:uri="f8e007dd-a2ae-40d7-a15a-7fdace1322ad"/>
    <ds:schemaRef ds:uri="2da0982e-0f9d-4525-92cd-42452a6082d6"/>
  </ds:schemaRefs>
</ds:datastoreItem>
</file>

<file path=customXml/itemProps3.xml><?xml version="1.0" encoding="utf-8"?>
<ds:datastoreItem xmlns:ds="http://schemas.openxmlformats.org/officeDocument/2006/customXml" ds:itemID="{F04EF082-C474-4E16-AF75-026EB2AE0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e007dd-a2ae-40d7-a15a-7fdace1322ad"/>
    <ds:schemaRef ds:uri="2da0982e-0f9d-4525-92cd-42452a608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1C1D9-8AFF-4ABA-BBAC-E0D10F9BE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33</Pages>
  <Words>9428</Words>
  <Characters>53740</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Australian public assessment report for</vt:lpstr>
    </vt:vector>
  </TitlesOfParts>
  <Company>Department of Health, Disability and Ageing</Company>
  <LinksUpToDate>false</LinksUpToDate>
  <CharactersWithSpaces>63042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Public Assessment Report for Enflonsia</dc:title>
  <dc:subject>Prescription medicines</dc:subject>
  <dc:creator>Therapeutic Goods Administration</dc:creator>
  <cp:keywords/>
  <dc:description/>
  <dcterms:created xsi:type="dcterms:W3CDTF">2026-08-18T05:41:00Z</dcterms:created>
  <dcterms:modified xsi:type="dcterms:W3CDTF">2026-08-19T02:08:00Z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48c0e39b,60f1b3bd,33dae6e1,7507f474,575bd30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7e282a4a,994c871,4c0439f0,615ee556,285eda09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2026-02-24T05:09:39Z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e6c271ff-d1d0-47ed-8240-a1a1720452d2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0x010100BEAAFF769D30864DB32681B6C11085F2</vt:lpwstr>
  </property>
  <property fmtid="{D5CDD505-2E9C-101B-9397-08002B2CF9AE}" pid="17" name="MSIP_Label_e81acc0d-dcc4-4dc9-a2c5-be70b05a2fe6_Enabled">
    <vt:lpwstr>true</vt:lpwstr>
  </property>
  <property fmtid="{D5CDD505-2E9C-101B-9397-08002B2CF9AE}" pid="18" name="MSIP_Label_e81acc0d-dcc4-4dc9-a2c5-be70b05a2fe6_SetDate">
    <vt:lpwstr>2026-07-15T01:58:16Z</vt:lpwstr>
  </property>
  <property fmtid="{D5CDD505-2E9C-101B-9397-08002B2CF9AE}" pid="19" name="MSIP_Label_e81acc0d-dcc4-4dc9-a2c5-be70b05a2fe6_Method">
    <vt:lpwstr>Privileged</vt:lpwstr>
  </property>
  <property fmtid="{D5CDD505-2E9C-101B-9397-08002B2CF9AE}" pid="20" name="MSIP_Label_e81acc0d-dcc4-4dc9-a2c5-be70b05a2fe6_Name">
    <vt:lpwstr>e81acc0d-dcc4-4dc9-a2c5-be70b05a2fe6</vt:lpwstr>
  </property>
  <property fmtid="{D5CDD505-2E9C-101B-9397-08002B2CF9AE}" pid="21" name="MSIP_Label_e81acc0d-dcc4-4dc9-a2c5-be70b05a2fe6_SiteId">
    <vt:lpwstr>a00de4ec-48a8-43a6-be74-e31274e2060d</vt:lpwstr>
  </property>
  <property fmtid="{D5CDD505-2E9C-101B-9397-08002B2CF9AE}" pid="22" name="MSIP_Label_e81acc0d-dcc4-4dc9-a2c5-be70b05a2fe6_ActionId">
    <vt:lpwstr>88a7c88f-4547-4d0d-88a4-9e66cd399198</vt:lpwstr>
  </property>
  <property fmtid="{D5CDD505-2E9C-101B-9397-08002B2CF9AE}" pid="23" name="MSIP_Label_e81acc0d-dcc4-4dc9-a2c5-be70b05a2fe6_ContentBits">
    <vt:lpwstr>0</vt:lpwstr>
  </property>
  <property fmtid="{D5CDD505-2E9C-101B-9397-08002B2CF9AE}" pid="24" name="MSIP_Label_e81acc0d-dcc4-4dc9-a2c5-be70b05a2fe6_Tag">
    <vt:lpwstr>10, 0, 1, 1</vt:lpwstr>
  </property>
  <property fmtid="{D5CDD505-2E9C-101B-9397-08002B2CF9AE}" pid="25" name="MediaServiceImageTags">
    <vt:lpwstr/>
  </property>
  <property fmtid="{D5CDD505-2E9C-101B-9397-08002B2CF9AE}" pid="26" name="docLang">
    <vt:lpwstr>en</vt:lpwstr>
  </property>
  <property fmtid="{D5CDD505-2E9C-101B-9397-08002B2CF9AE}" pid="27" name="_AdHocReviewCycleID">
    <vt:i4>1261773915</vt:i4>
  </property>
  <property fmtid="{D5CDD505-2E9C-101B-9397-08002B2CF9AE}" pid="28" name="_NewReviewCycle">
    <vt:lpwstr/>
  </property>
  <property fmtid="{D5CDD505-2E9C-101B-9397-08002B2CF9AE}" pid="29" name="_EmailSubject">
    <vt:lpwstr>Request for sponsor review: Draft AusPAR for Enflonsia - clesrovimab - PM-2025-00512-1-2 [SEC=OFFICIAL]</vt:lpwstr>
  </property>
  <property fmtid="{D5CDD505-2E9C-101B-9397-08002B2CF9AE}" pid="30" name="_AuthorEmail">
    <vt:lpwstr>aujoni.mauro@msd.com</vt:lpwstr>
  </property>
  <property fmtid="{D5CDD505-2E9C-101B-9397-08002B2CF9AE}" pid="31" name="_AuthorEmailDisplayName">
    <vt:lpwstr>Mauro, Aujoni</vt:lpwstr>
  </property>
  <property fmtid="{D5CDD505-2E9C-101B-9397-08002B2CF9AE}" pid="32" name="_ReviewingToolsShownOnce">
    <vt:lpwstr/>
  </property>
</Properties>
</file>