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CBFEA" w14:textId="77777777" w:rsidR="00F02AEC" w:rsidRDefault="00F02AEC" w:rsidP="00B03B68"/>
    <w:p w14:paraId="094B2949" w14:textId="77777777" w:rsidR="00692401" w:rsidRDefault="00692401" w:rsidP="00B03B68"/>
    <w:p w14:paraId="237B8E9E" w14:textId="77777777" w:rsidR="00692401" w:rsidRDefault="00692401" w:rsidP="00B03B68"/>
    <w:p w14:paraId="561B069C" w14:textId="22599CC2" w:rsidR="00692401" w:rsidRDefault="00692401" w:rsidP="0095170C">
      <w:pPr>
        <w:pStyle w:val="Title"/>
      </w:pPr>
      <w:r w:rsidRPr="00692401">
        <w:t xml:space="preserve">Notice of </w:t>
      </w:r>
      <w:r w:rsidR="00646509">
        <w:t>final</w:t>
      </w:r>
      <w:r w:rsidRPr="00692401">
        <w:t xml:space="preserve"> decision to amend the current Poisons Standard</w:t>
      </w:r>
      <w:r w:rsidR="00646509">
        <w:t xml:space="preserve"> in relation to lead</w:t>
      </w:r>
      <w:r w:rsidR="00807938">
        <w:t xml:space="preserve"> (in anti-fouling paints)</w:t>
      </w:r>
    </w:p>
    <w:p w14:paraId="4D231171" w14:textId="77777777" w:rsidR="00BF7A52" w:rsidRDefault="00BF7A52" w:rsidP="0095170C">
      <w:pPr>
        <w:pStyle w:val="Title"/>
      </w:pPr>
    </w:p>
    <w:p w14:paraId="65D965E3" w14:textId="2533EBD2" w:rsidR="00692401" w:rsidRPr="00B03B68" w:rsidRDefault="00CB7CFE" w:rsidP="0095170C">
      <w:pPr>
        <w:pStyle w:val="Subtitle"/>
        <w:ind w:left="0"/>
        <w:sectPr w:rsidR="00692401" w:rsidRPr="00B03B68" w:rsidSect="00CB055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r>
        <w:t>29</w:t>
      </w:r>
      <w:r w:rsidR="00692401" w:rsidRPr="00CB7CFE">
        <w:t xml:space="preserve"> </w:t>
      </w:r>
      <w:r w:rsidR="00AE5532" w:rsidRPr="00CB7CFE">
        <w:t>July</w:t>
      </w:r>
      <w:r w:rsidR="00692401" w:rsidRPr="00CB7CFE">
        <w:t xml:space="preserve"> </w:t>
      </w:r>
      <w:r w:rsidR="00646509">
        <w:t>2026</w:t>
      </w:r>
    </w:p>
    <w:p w14:paraId="60269FC9" w14:textId="77777777" w:rsidR="00F02AEC" w:rsidRPr="00CC381E" w:rsidRDefault="00F02AEC" w:rsidP="00CC381E">
      <w:pPr>
        <w:pStyle w:val="LegalSubheading"/>
        <w:rPr>
          <w:b/>
          <w:bCs/>
        </w:rPr>
      </w:pPr>
      <w:r w:rsidRPr="00CC381E">
        <w:rPr>
          <w:b/>
          <w:bCs/>
        </w:rPr>
        <w:lastRenderedPageBreak/>
        <w:t>Copyright</w:t>
      </w:r>
    </w:p>
    <w:p w14:paraId="44CCD88E" w14:textId="1E43B3B7" w:rsidR="00930D58" w:rsidRPr="00CC381E" w:rsidRDefault="00F02AEC" w:rsidP="00CC381E">
      <w:pPr>
        <w:pStyle w:val="LegalSubheading"/>
      </w:pPr>
      <w:r w:rsidRPr="00CC381E">
        <w:t>© Commonwealth of Australia 202</w:t>
      </w:r>
      <w:r w:rsidR="0033673D">
        <w:t>6</w:t>
      </w:r>
      <w:r w:rsidRPr="00CC381E">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Copyright Act 1968 or allowed by this copyright notice, all other rights are reserved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w:t>
      </w:r>
      <w:hyperlink r:id="rId14" w:history="1">
        <w:r w:rsidR="00447033" w:rsidRPr="00CC381E">
          <w:rPr>
            <w:rStyle w:val="Hyperlink"/>
            <w:color w:val="auto"/>
            <w:u w:val="none"/>
          </w:rPr>
          <w:t>tga.copyright@tga.gov.au</w:t>
        </w:r>
      </w:hyperlink>
      <w:r w:rsidRPr="00CC381E">
        <w:t>.</w:t>
      </w:r>
    </w:p>
    <w:p w14:paraId="019CA711" w14:textId="77777777" w:rsidR="0090744F" w:rsidRPr="00CC381E" w:rsidRDefault="0090744F" w:rsidP="00CC381E">
      <w:pPr>
        <w:pStyle w:val="LegalSubheading"/>
        <w:rPr>
          <w:b/>
          <w:bCs/>
        </w:rPr>
      </w:pPr>
      <w:r w:rsidRPr="00CC381E">
        <w:rPr>
          <w:b/>
          <w:bCs/>
        </w:rPr>
        <w:t>Confidentiality</w:t>
      </w:r>
    </w:p>
    <w:p w14:paraId="54F727B6" w14:textId="4E98087A" w:rsidR="007377E2" w:rsidRPr="007377E2" w:rsidRDefault="0090744F" w:rsidP="00F27B5E">
      <w:pPr>
        <w:pStyle w:val="LegalSubheading"/>
      </w:pPr>
      <w:r w:rsidRPr="00CC381E">
        <w:t>All submissions received will be placed on the TGA’s Internet site, unless marked confidential. Any confidential material contained within your submission should be provided under a separate cover and clearly marked “IN CONFIDENCE”. Reasons for a claim to confidentiality must be included in the space provided on the TGA submission form. For submission made by individuals, all personal details, other than your name, will be removed from your submission before it is published on the TGA’s Internet site. In addition, a list of parties making submissions will be published. If you do not wish to be identified with your submission you must specifically request this in the space provided on the submission form.</w:t>
      </w:r>
    </w:p>
    <w:sdt>
      <w:sdtPr>
        <w:rPr>
          <w:rFonts w:eastAsiaTheme="minorHAnsi" w:cstheme="minorBidi"/>
          <w:b w:val="0"/>
          <w:color w:val="auto"/>
          <w:sz w:val="20"/>
        </w:rPr>
        <w:id w:val="21514769"/>
        <w:docPartObj>
          <w:docPartGallery w:val="Table of Contents"/>
          <w:docPartUnique/>
        </w:docPartObj>
      </w:sdtPr>
      <w:sdtEndPr/>
      <w:sdtContent>
        <w:p w14:paraId="3670C48F" w14:textId="77777777" w:rsidR="00F02AEC" w:rsidRPr="00B03B68" w:rsidRDefault="00F02AEC" w:rsidP="000579C9">
          <w:pPr>
            <w:pStyle w:val="NonTOCheading2"/>
          </w:pPr>
          <w:r w:rsidRPr="00B03B68">
            <w:t>Contents</w:t>
          </w:r>
        </w:p>
        <w:p w14:paraId="6EAE0B26" w14:textId="7B384504" w:rsidR="00C44CAB" w:rsidRDefault="00F02AEC">
          <w:pPr>
            <w:pStyle w:val="TOC1"/>
            <w:rPr>
              <w:rFonts w:asciiTheme="minorHAnsi" w:eastAsiaTheme="minorEastAsia" w:hAnsiTheme="minorHAnsi" w:cstheme="minorBidi"/>
              <w:b w:val="0"/>
              <w:noProof/>
              <w:color w:val="auto"/>
              <w:kern w:val="2"/>
              <w:sz w:val="24"/>
              <w:szCs w:val="24"/>
              <w:lang w:eastAsia="en-AU"/>
              <w14:ligatures w14:val="standardContextual"/>
            </w:rPr>
          </w:pPr>
          <w:r w:rsidRPr="00B03B68">
            <w:fldChar w:fldCharType="begin"/>
          </w:r>
          <w:r w:rsidRPr="00B03B68">
            <w:instrText xml:space="preserve"> TOC \h \z \u \t "Heading 2,1,Heading 3,2,Heading 4,3" </w:instrText>
          </w:r>
          <w:r w:rsidRPr="00B03B68">
            <w:fldChar w:fldCharType="separate"/>
          </w:r>
          <w:hyperlink w:anchor="_Toc236224467" w:history="1">
            <w:r w:rsidR="00C44CAB" w:rsidRPr="006E19D6">
              <w:rPr>
                <w:rStyle w:val="Hyperlink"/>
                <w:noProof/>
              </w:rPr>
              <w:t>Notice of final decision to amend the current Poisons Standard</w:t>
            </w:r>
            <w:r w:rsidR="00C44CAB">
              <w:rPr>
                <w:noProof/>
                <w:webHidden/>
              </w:rPr>
              <w:tab/>
            </w:r>
            <w:r w:rsidR="00C44CAB">
              <w:rPr>
                <w:noProof/>
                <w:webHidden/>
              </w:rPr>
              <w:fldChar w:fldCharType="begin"/>
            </w:r>
            <w:r w:rsidR="00C44CAB">
              <w:rPr>
                <w:noProof/>
                <w:webHidden/>
              </w:rPr>
              <w:instrText xml:space="preserve"> PAGEREF _Toc236224467 \h </w:instrText>
            </w:r>
            <w:r w:rsidR="00C44CAB">
              <w:rPr>
                <w:noProof/>
                <w:webHidden/>
              </w:rPr>
            </w:r>
            <w:r w:rsidR="00C44CAB">
              <w:rPr>
                <w:noProof/>
                <w:webHidden/>
              </w:rPr>
              <w:fldChar w:fldCharType="separate"/>
            </w:r>
            <w:r w:rsidR="00C44CAB">
              <w:rPr>
                <w:noProof/>
                <w:webHidden/>
              </w:rPr>
              <w:t>4</w:t>
            </w:r>
            <w:r w:rsidR="00C44CAB">
              <w:rPr>
                <w:noProof/>
                <w:webHidden/>
              </w:rPr>
              <w:fldChar w:fldCharType="end"/>
            </w:r>
          </w:hyperlink>
        </w:p>
        <w:p w14:paraId="25EE97FC" w14:textId="3598E70F" w:rsidR="00C44CAB" w:rsidRDefault="00C44CAB">
          <w:pPr>
            <w:pStyle w:val="TOC2"/>
            <w:rPr>
              <w:rFonts w:asciiTheme="minorHAnsi" w:eastAsiaTheme="minorEastAsia" w:hAnsiTheme="minorHAnsi" w:cstheme="minorBidi"/>
              <w:noProof/>
              <w:color w:val="auto"/>
              <w:kern w:val="2"/>
              <w:szCs w:val="24"/>
              <w:lang w:eastAsia="en-AU"/>
              <w14:ligatures w14:val="standardContextual"/>
            </w:rPr>
          </w:pPr>
          <w:hyperlink w:anchor="_Toc236224468" w:history="1">
            <w:r w:rsidRPr="006E19D6">
              <w:rPr>
                <w:rStyle w:val="Hyperlink"/>
                <w:noProof/>
              </w:rPr>
              <w:t>Final decision in relation to lead (in anti-fouling paint)</w:t>
            </w:r>
            <w:r>
              <w:rPr>
                <w:noProof/>
                <w:webHidden/>
              </w:rPr>
              <w:tab/>
            </w:r>
            <w:r>
              <w:rPr>
                <w:noProof/>
                <w:webHidden/>
              </w:rPr>
              <w:fldChar w:fldCharType="begin"/>
            </w:r>
            <w:r>
              <w:rPr>
                <w:noProof/>
                <w:webHidden/>
              </w:rPr>
              <w:instrText xml:space="preserve"> PAGEREF _Toc236224468 \h </w:instrText>
            </w:r>
            <w:r>
              <w:rPr>
                <w:noProof/>
                <w:webHidden/>
              </w:rPr>
            </w:r>
            <w:r>
              <w:rPr>
                <w:noProof/>
                <w:webHidden/>
              </w:rPr>
              <w:fldChar w:fldCharType="separate"/>
            </w:r>
            <w:r>
              <w:rPr>
                <w:noProof/>
                <w:webHidden/>
              </w:rPr>
              <w:t>5</w:t>
            </w:r>
            <w:r>
              <w:rPr>
                <w:noProof/>
                <w:webHidden/>
              </w:rPr>
              <w:fldChar w:fldCharType="end"/>
            </w:r>
          </w:hyperlink>
        </w:p>
        <w:p w14:paraId="4D4956AB" w14:textId="7DB17EC0" w:rsidR="00C44CAB" w:rsidRDefault="00C44CAB">
          <w:pPr>
            <w:pStyle w:val="TOC3"/>
            <w:rPr>
              <w:rFonts w:asciiTheme="minorHAnsi" w:eastAsiaTheme="minorEastAsia" w:hAnsiTheme="minorHAnsi" w:cstheme="minorBidi"/>
              <w:noProof/>
              <w:color w:val="auto"/>
              <w:kern w:val="2"/>
              <w:sz w:val="24"/>
              <w:szCs w:val="24"/>
              <w:lang w:eastAsia="en-AU"/>
              <w14:ligatures w14:val="standardContextual"/>
            </w:rPr>
          </w:pPr>
          <w:hyperlink w:anchor="_Toc236224469" w:history="1">
            <w:r w:rsidRPr="006E19D6">
              <w:rPr>
                <w:rStyle w:val="Hyperlink"/>
                <w:noProof/>
              </w:rPr>
              <w:t>Final Decision</w:t>
            </w:r>
            <w:r>
              <w:rPr>
                <w:noProof/>
                <w:webHidden/>
              </w:rPr>
              <w:tab/>
            </w:r>
            <w:r>
              <w:rPr>
                <w:noProof/>
                <w:webHidden/>
              </w:rPr>
              <w:fldChar w:fldCharType="begin"/>
            </w:r>
            <w:r>
              <w:rPr>
                <w:noProof/>
                <w:webHidden/>
              </w:rPr>
              <w:instrText xml:space="preserve"> PAGEREF _Toc236224469 \h </w:instrText>
            </w:r>
            <w:r>
              <w:rPr>
                <w:noProof/>
                <w:webHidden/>
              </w:rPr>
            </w:r>
            <w:r>
              <w:rPr>
                <w:noProof/>
                <w:webHidden/>
              </w:rPr>
              <w:fldChar w:fldCharType="separate"/>
            </w:r>
            <w:r>
              <w:rPr>
                <w:noProof/>
                <w:webHidden/>
              </w:rPr>
              <w:t>5</w:t>
            </w:r>
            <w:r>
              <w:rPr>
                <w:noProof/>
                <w:webHidden/>
              </w:rPr>
              <w:fldChar w:fldCharType="end"/>
            </w:r>
          </w:hyperlink>
        </w:p>
        <w:p w14:paraId="118EB9D6" w14:textId="67ECCD99" w:rsidR="00C44CAB" w:rsidRDefault="00C44CAB">
          <w:pPr>
            <w:pStyle w:val="TOC3"/>
            <w:rPr>
              <w:rFonts w:asciiTheme="minorHAnsi" w:eastAsiaTheme="minorEastAsia" w:hAnsiTheme="minorHAnsi" w:cstheme="minorBidi"/>
              <w:noProof/>
              <w:color w:val="auto"/>
              <w:kern w:val="2"/>
              <w:sz w:val="24"/>
              <w:szCs w:val="24"/>
              <w:lang w:eastAsia="en-AU"/>
              <w14:ligatures w14:val="standardContextual"/>
            </w:rPr>
          </w:pPr>
          <w:hyperlink w:anchor="_Toc236224470" w:history="1">
            <w:r w:rsidRPr="006E19D6">
              <w:rPr>
                <w:rStyle w:val="Hyperlink"/>
                <w:noProof/>
              </w:rPr>
              <w:t>Materials considered</w:t>
            </w:r>
            <w:r>
              <w:rPr>
                <w:noProof/>
                <w:webHidden/>
              </w:rPr>
              <w:tab/>
            </w:r>
            <w:r>
              <w:rPr>
                <w:noProof/>
                <w:webHidden/>
              </w:rPr>
              <w:fldChar w:fldCharType="begin"/>
            </w:r>
            <w:r>
              <w:rPr>
                <w:noProof/>
                <w:webHidden/>
              </w:rPr>
              <w:instrText xml:space="preserve"> PAGEREF _Toc236224470 \h </w:instrText>
            </w:r>
            <w:r>
              <w:rPr>
                <w:noProof/>
                <w:webHidden/>
              </w:rPr>
            </w:r>
            <w:r>
              <w:rPr>
                <w:noProof/>
                <w:webHidden/>
              </w:rPr>
              <w:fldChar w:fldCharType="separate"/>
            </w:r>
            <w:r>
              <w:rPr>
                <w:noProof/>
                <w:webHidden/>
              </w:rPr>
              <w:t>5</w:t>
            </w:r>
            <w:r>
              <w:rPr>
                <w:noProof/>
                <w:webHidden/>
              </w:rPr>
              <w:fldChar w:fldCharType="end"/>
            </w:r>
          </w:hyperlink>
        </w:p>
        <w:p w14:paraId="2B7C06CF" w14:textId="2708D41B" w:rsidR="00C44CAB" w:rsidRDefault="00C44CAB">
          <w:pPr>
            <w:pStyle w:val="TOC3"/>
            <w:rPr>
              <w:rFonts w:asciiTheme="minorHAnsi" w:eastAsiaTheme="minorEastAsia" w:hAnsiTheme="minorHAnsi" w:cstheme="minorBidi"/>
              <w:noProof/>
              <w:color w:val="auto"/>
              <w:kern w:val="2"/>
              <w:sz w:val="24"/>
              <w:szCs w:val="24"/>
              <w:lang w:eastAsia="en-AU"/>
              <w14:ligatures w14:val="standardContextual"/>
            </w:rPr>
          </w:pPr>
          <w:hyperlink w:anchor="_Toc236224471" w:history="1">
            <w:r w:rsidRPr="006E19D6">
              <w:rPr>
                <w:rStyle w:val="Hyperlink"/>
                <w:noProof/>
              </w:rPr>
              <w:t>Reasons for the final decision (including findings on material questions of fact)</w:t>
            </w:r>
            <w:r>
              <w:rPr>
                <w:noProof/>
                <w:webHidden/>
              </w:rPr>
              <w:tab/>
            </w:r>
            <w:r>
              <w:rPr>
                <w:noProof/>
                <w:webHidden/>
              </w:rPr>
              <w:fldChar w:fldCharType="begin"/>
            </w:r>
            <w:r>
              <w:rPr>
                <w:noProof/>
                <w:webHidden/>
              </w:rPr>
              <w:instrText xml:space="preserve"> PAGEREF _Toc236224471 \h </w:instrText>
            </w:r>
            <w:r>
              <w:rPr>
                <w:noProof/>
                <w:webHidden/>
              </w:rPr>
            </w:r>
            <w:r>
              <w:rPr>
                <w:noProof/>
                <w:webHidden/>
              </w:rPr>
              <w:fldChar w:fldCharType="separate"/>
            </w:r>
            <w:r>
              <w:rPr>
                <w:noProof/>
                <w:webHidden/>
              </w:rPr>
              <w:t>5</w:t>
            </w:r>
            <w:r>
              <w:rPr>
                <w:noProof/>
                <w:webHidden/>
              </w:rPr>
              <w:fldChar w:fldCharType="end"/>
            </w:r>
          </w:hyperlink>
        </w:p>
        <w:p w14:paraId="501DF24A" w14:textId="4501F8C9" w:rsidR="00C44CAB" w:rsidRDefault="00C44CAB">
          <w:pPr>
            <w:pStyle w:val="TOC3"/>
            <w:rPr>
              <w:rFonts w:asciiTheme="minorHAnsi" w:eastAsiaTheme="minorEastAsia" w:hAnsiTheme="minorHAnsi" w:cstheme="minorBidi"/>
              <w:noProof/>
              <w:color w:val="auto"/>
              <w:kern w:val="2"/>
              <w:sz w:val="24"/>
              <w:szCs w:val="24"/>
              <w:lang w:eastAsia="en-AU"/>
              <w14:ligatures w14:val="standardContextual"/>
            </w:rPr>
          </w:pPr>
          <w:hyperlink w:anchor="_Toc236224472" w:history="1">
            <w:r w:rsidRPr="006E19D6">
              <w:rPr>
                <w:rStyle w:val="Hyperlink"/>
                <w:noProof/>
              </w:rPr>
              <w:t>Implementation date</w:t>
            </w:r>
            <w:r>
              <w:rPr>
                <w:noProof/>
                <w:webHidden/>
              </w:rPr>
              <w:tab/>
            </w:r>
            <w:r>
              <w:rPr>
                <w:noProof/>
                <w:webHidden/>
              </w:rPr>
              <w:fldChar w:fldCharType="begin"/>
            </w:r>
            <w:r>
              <w:rPr>
                <w:noProof/>
                <w:webHidden/>
              </w:rPr>
              <w:instrText xml:space="preserve"> PAGEREF _Toc236224472 \h </w:instrText>
            </w:r>
            <w:r>
              <w:rPr>
                <w:noProof/>
                <w:webHidden/>
              </w:rPr>
            </w:r>
            <w:r>
              <w:rPr>
                <w:noProof/>
                <w:webHidden/>
              </w:rPr>
              <w:fldChar w:fldCharType="separate"/>
            </w:r>
            <w:r>
              <w:rPr>
                <w:noProof/>
                <w:webHidden/>
              </w:rPr>
              <w:t>6</w:t>
            </w:r>
            <w:r>
              <w:rPr>
                <w:noProof/>
                <w:webHidden/>
              </w:rPr>
              <w:fldChar w:fldCharType="end"/>
            </w:r>
          </w:hyperlink>
        </w:p>
        <w:p w14:paraId="78354D7B" w14:textId="27E4D87A" w:rsidR="00F02AEC" w:rsidRPr="00B03B68" w:rsidRDefault="00F02AEC" w:rsidP="00B03B68">
          <w:r w:rsidRPr="00B03B68">
            <w:fldChar w:fldCharType="end"/>
          </w:r>
        </w:p>
      </w:sdtContent>
    </w:sdt>
    <w:p w14:paraId="2FEA51DC" w14:textId="77777777" w:rsidR="00F02AEC" w:rsidRPr="00B03B68" w:rsidRDefault="00F02AEC" w:rsidP="00B03B68">
      <w:r w:rsidRPr="00B03B68">
        <w:br w:type="page"/>
      </w:r>
    </w:p>
    <w:p w14:paraId="0CF29378" w14:textId="6A3F35E6" w:rsidR="005731D7" w:rsidRPr="00BC2009" w:rsidRDefault="005731D7" w:rsidP="005731D7">
      <w:pPr>
        <w:pStyle w:val="Heading2"/>
      </w:pPr>
      <w:bookmarkStart w:id="0" w:name="_Toc97640261"/>
      <w:bookmarkStart w:id="1" w:name="_Toc198028596"/>
      <w:bookmarkStart w:id="2" w:name="_Toc236224467"/>
      <w:r w:rsidRPr="00597B50">
        <w:lastRenderedPageBreak/>
        <w:t>Notice of final decision to amend</w:t>
      </w:r>
      <w:r w:rsidR="002A3D0B">
        <w:t xml:space="preserve"> </w:t>
      </w:r>
      <w:r w:rsidRPr="00597B50">
        <w:t>the current Poisons Standard</w:t>
      </w:r>
      <w:bookmarkEnd w:id="0"/>
      <w:bookmarkEnd w:id="1"/>
      <w:bookmarkEnd w:id="2"/>
    </w:p>
    <w:p w14:paraId="53A1E325" w14:textId="36BF00B5" w:rsidR="00307795" w:rsidRPr="007027CB" w:rsidRDefault="005731D7" w:rsidP="00307795">
      <w:r w:rsidRPr="00206027">
        <w:rPr>
          <w:rFonts w:cs="Arial"/>
        </w:rPr>
        <w:t xml:space="preserve">This web publication </w:t>
      </w:r>
      <w:r w:rsidR="00307795" w:rsidRPr="007027CB">
        <w:t>contains decisions made by the Delegate pursuant to subsection 52</w:t>
      </w:r>
      <w:proofErr w:type="gramStart"/>
      <w:r w:rsidR="00307795" w:rsidRPr="007027CB">
        <w:t>D(</w:t>
      </w:r>
      <w:proofErr w:type="gramEnd"/>
      <w:r w:rsidR="00307795" w:rsidRPr="007027CB">
        <w:t xml:space="preserve">2) of </w:t>
      </w:r>
      <w:r w:rsidR="00307795">
        <w:t xml:space="preserve">the </w:t>
      </w:r>
      <w:r w:rsidR="00307795" w:rsidRPr="00F26607">
        <w:rPr>
          <w:i/>
          <w:iCs/>
        </w:rPr>
        <w:t>Therapeutic Goods Act, 1989</w:t>
      </w:r>
      <w:r w:rsidR="00307795" w:rsidRPr="007027CB">
        <w:t xml:space="preserve"> (the </w:t>
      </w:r>
      <w:r w:rsidR="00307795" w:rsidRPr="00F26607">
        <w:rPr>
          <w:b/>
          <w:bCs/>
        </w:rPr>
        <w:t>Act</w:t>
      </w:r>
      <w:r w:rsidR="00307795" w:rsidRPr="007027CB">
        <w:t>).</w:t>
      </w:r>
    </w:p>
    <w:p w14:paraId="445D9EDF" w14:textId="77777777" w:rsidR="005731D7" w:rsidRPr="00307795" w:rsidRDefault="005731D7" w:rsidP="003B17CD">
      <w:pPr>
        <w:rPr>
          <w:b/>
          <w:bCs/>
        </w:rPr>
      </w:pPr>
      <w:r w:rsidRPr="00307795">
        <w:rPr>
          <w:b/>
          <w:bCs/>
        </w:rPr>
        <w:t>Defined terms</w:t>
      </w:r>
    </w:p>
    <w:p w14:paraId="56A4A7DB" w14:textId="77777777" w:rsidR="005731D7" w:rsidRPr="00206027" w:rsidRDefault="005731D7" w:rsidP="002E57D6">
      <w:pPr>
        <w:pStyle w:val="ListBullet"/>
        <w:numPr>
          <w:ilvl w:val="0"/>
          <w:numId w:val="0"/>
        </w:numPr>
        <w:ind w:left="360" w:hanging="360"/>
      </w:pPr>
      <w:r w:rsidRPr="00206027">
        <w:t>In this notice the following defined terms are used in addition to those above:</w:t>
      </w:r>
    </w:p>
    <w:p w14:paraId="725990B5" w14:textId="7CAF0D3A" w:rsidR="005731D7" w:rsidRPr="00206027" w:rsidRDefault="005731D7" w:rsidP="005731D7">
      <w:pPr>
        <w:pStyle w:val="ListBullet"/>
        <w:ind w:left="720" w:hanging="436"/>
        <w:rPr>
          <w:rFonts w:cs="Arial"/>
        </w:rPr>
      </w:pPr>
      <w:r w:rsidRPr="00206027">
        <w:rPr>
          <w:rFonts w:cs="Arial"/>
        </w:rPr>
        <w:t xml:space="preserve">the </w:t>
      </w:r>
      <w:hyperlink r:id="rId15" w:history="1">
        <w:r w:rsidRPr="00206027">
          <w:rPr>
            <w:rStyle w:val="Hyperlink"/>
            <w:rFonts w:cs="Arial"/>
          </w:rPr>
          <w:t>Scheduling Policy Framework</w:t>
        </w:r>
      </w:hyperlink>
      <w:r w:rsidRPr="00206027">
        <w:rPr>
          <w:rFonts w:cs="Arial"/>
        </w:rPr>
        <w:t xml:space="preserve"> 2018 (the </w:t>
      </w:r>
      <w:r w:rsidRPr="00206027">
        <w:rPr>
          <w:rFonts w:cs="Arial"/>
          <w:b/>
          <w:bCs/>
        </w:rPr>
        <w:t>SPF</w:t>
      </w:r>
      <w:r w:rsidRPr="00206027">
        <w:rPr>
          <w:rFonts w:cs="Arial"/>
        </w:rPr>
        <w:t>)</w:t>
      </w:r>
      <w:r w:rsidR="004C1CD4">
        <w:rPr>
          <w:rFonts w:cs="Arial"/>
        </w:rPr>
        <w:t>;</w:t>
      </w:r>
    </w:p>
    <w:p w14:paraId="7111562E" w14:textId="1D17E8C3" w:rsidR="005731D7" w:rsidRPr="00206027" w:rsidRDefault="005731D7" w:rsidP="005731D7">
      <w:pPr>
        <w:pStyle w:val="ListBullet"/>
        <w:ind w:left="720" w:hanging="436"/>
        <w:rPr>
          <w:rFonts w:cs="Arial"/>
        </w:rPr>
      </w:pPr>
      <w:r w:rsidRPr="00206027">
        <w:rPr>
          <w:rFonts w:cs="Arial"/>
        </w:rPr>
        <w:t xml:space="preserve">the </w:t>
      </w:r>
      <w:hyperlink r:id="rId16" w:history="1">
        <w:r w:rsidR="000402F4" w:rsidRPr="000402F4">
          <w:rPr>
            <w:rStyle w:val="Hyperlink"/>
            <w:rFonts w:cs="Arial"/>
          </w:rPr>
          <w:t>Scheduling handbook: Guidance for amending the Poisons Standard</w:t>
        </w:r>
      </w:hyperlink>
      <w:r w:rsidRPr="00206027">
        <w:rPr>
          <w:rFonts w:cs="Arial"/>
        </w:rPr>
        <w:t xml:space="preserve"> (the </w:t>
      </w:r>
      <w:r w:rsidRPr="00206027">
        <w:rPr>
          <w:rFonts w:cs="Arial"/>
          <w:b/>
          <w:bCs/>
        </w:rPr>
        <w:t>Handbook</w:t>
      </w:r>
      <w:r w:rsidRPr="00206027">
        <w:rPr>
          <w:rFonts w:cs="Arial"/>
        </w:rPr>
        <w:t>)</w:t>
      </w:r>
      <w:r w:rsidR="004C1CD4">
        <w:rPr>
          <w:rFonts w:cs="Arial"/>
        </w:rPr>
        <w:t>;</w:t>
      </w:r>
      <w:r w:rsidRPr="00206027">
        <w:rPr>
          <w:rFonts w:cs="Arial"/>
        </w:rPr>
        <w:t xml:space="preserve"> and</w:t>
      </w:r>
    </w:p>
    <w:p w14:paraId="4124083D" w14:textId="77777777" w:rsidR="005731D7" w:rsidRPr="00206027" w:rsidRDefault="005731D7" w:rsidP="005731D7">
      <w:pPr>
        <w:pStyle w:val="ListBullet"/>
        <w:ind w:left="720" w:hanging="436"/>
      </w:pPr>
      <w:r w:rsidRPr="00206027">
        <w:t xml:space="preserve">the Therapeutic Goods Administration (the </w:t>
      </w:r>
      <w:r w:rsidRPr="00206027">
        <w:rPr>
          <w:b/>
          <w:bCs/>
        </w:rPr>
        <w:t>TGA</w:t>
      </w:r>
      <w:r w:rsidRPr="00206027">
        <w:t>).</w:t>
      </w:r>
    </w:p>
    <w:p w14:paraId="638ECE24" w14:textId="030D81B2" w:rsidR="005731D7" w:rsidRPr="002A3D0B" w:rsidRDefault="005731D7" w:rsidP="00DB064B">
      <w:pPr>
        <w:pStyle w:val="ListBullet"/>
        <w:numPr>
          <w:ilvl w:val="0"/>
          <w:numId w:val="0"/>
        </w:numPr>
        <w:ind w:left="360" w:hanging="360"/>
      </w:pPr>
      <w:r w:rsidRPr="00206027">
        <w:t>Note: additional terms are also defined for individual decisions.</w:t>
      </w:r>
      <w:r>
        <w:br w:type="page"/>
      </w:r>
    </w:p>
    <w:p w14:paraId="70CDDA22" w14:textId="691F178D" w:rsidR="00F77070" w:rsidRDefault="00F77070" w:rsidP="009A370C">
      <w:pPr>
        <w:rPr>
          <w:rFonts w:eastAsia="Times New Roman" w:cs="Times New Roman"/>
          <w:b/>
          <w:bCs/>
          <w:color w:val="001871"/>
          <w:sz w:val="38"/>
          <w:szCs w:val="38"/>
        </w:rPr>
      </w:pPr>
      <w:r w:rsidRPr="00F77070">
        <w:rPr>
          <w:rFonts w:eastAsia="Times New Roman" w:cs="Times New Roman"/>
          <w:b/>
          <w:bCs/>
          <w:color w:val="001871"/>
          <w:sz w:val="38"/>
          <w:szCs w:val="38"/>
        </w:rPr>
        <w:lastRenderedPageBreak/>
        <w:t>Decision to amend the current Poisons Standard under section 52</w:t>
      </w:r>
      <w:proofErr w:type="gramStart"/>
      <w:r w:rsidRPr="00F77070">
        <w:rPr>
          <w:rFonts w:eastAsia="Times New Roman" w:cs="Times New Roman"/>
          <w:b/>
          <w:bCs/>
          <w:color w:val="001871"/>
          <w:sz w:val="38"/>
          <w:szCs w:val="38"/>
        </w:rPr>
        <w:t>D(</w:t>
      </w:r>
      <w:proofErr w:type="gramEnd"/>
      <w:r w:rsidRPr="00F77070">
        <w:rPr>
          <w:rFonts w:eastAsia="Times New Roman" w:cs="Times New Roman"/>
          <w:b/>
          <w:bCs/>
          <w:color w:val="001871"/>
          <w:sz w:val="38"/>
          <w:szCs w:val="38"/>
        </w:rPr>
        <w:t>2) of the Act</w:t>
      </w:r>
    </w:p>
    <w:p w14:paraId="4DC5AB6C" w14:textId="35FC0168" w:rsidR="009421DD" w:rsidRDefault="00D47784" w:rsidP="009A370C">
      <w:pPr>
        <w:pStyle w:val="Heading3"/>
      </w:pPr>
      <w:bookmarkStart w:id="3" w:name="_Toc236224468"/>
      <w:r>
        <w:t>Final decision in relation to lead</w:t>
      </w:r>
      <w:r w:rsidR="008135B6">
        <w:t xml:space="preserve"> (in</w:t>
      </w:r>
      <w:r w:rsidR="000B4DF8">
        <w:t xml:space="preserve"> anti-fouling</w:t>
      </w:r>
      <w:r w:rsidR="008135B6">
        <w:t xml:space="preserve"> paint)</w:t>
      </w:r>
      <w:bookmarkEnd w:id="3"/>
    </w:p>
    <w:p w14:paraId="7563AE41" w14:textId="692DF894" w:rsidR="00141AF4" w:rsidRDefault="00141AF4" w:rsidP="00141AF4">
      <w:pPr>
        <w:pStyle w:val="Heading4"/>
      </w:pPr>
      <w:bookmarkStart w:id="4" w:name="_Toc236224469"/>
      <w:r w:rsidRPr="00BB34CD">
        <w:t>Final Decision</w:t>
      </w:r>
      <w:bookmarkEnd w:id="4"/>
    </w:p>
    <w:p w14:paraId="0C20DBB1" w14:textId="751FB853" w:rsidR="00141AF4" w:rsidRPr="00F77070" w:rsidRDefault="00F77070" w:rsidP="00141AF4">
      <w:r>
        <w:t>Pursuant to section 52</w:t>
      </w:r>
      <w:proofErr w:type="gramStart"/>
      <w:r>
        <w:t>D(</w:t>
      </w:r>
      <w:proofErr w:type="gramEnd"/>
      <w:r>
        <w:t xml:space="preserve">2) of the Act, a Delegate of the Secretary has </w:t>
      </w:r>
      <w:proofErr w:type="gramStart"/>
      <w:r>
        <w:t>made a decision</w:t>
      </w:r>
      <w:proofErr w:type="gramEnd"/>
      <w:r>
        <w:t xml:space="preserve"> to amend the current Poisons Standard in relation to lead as follows:</w:t>
      </w:r>
      <w:r>
        <w:rPr>
          <w:rStyle w:val="FootnoteReference"/>
        </w:rPr>
        <w:footnoteReference w:id="1"/>
      </w:r>
    </w:p>
    <w:p w14:paraId="6398D450" w14:textId="537F2BEE" w:rsidR="00141AF4" w:rsidRPr="0016159C" w:rsidRDefault="00141AF4" w:rsidP="00141AF4">
      <w:pPr>
        <w:ind w:left="425"/>
        <w:rPr>
          <w:rFonts w:cs="Arial"/>
          <w:b/>
          <w:bCs/>
        </w:rPr>
      </w:pPr>
      <w:r w:rsidRPr="0016159C">
        <w:rPr>
          <w:rFonts w:cs="Arial"/>
          <w:b/>
          <w:bCs/>
        </w:rPr>
        <w:t xml:space="preserve">Schedule </w:t>
      </w:r>
      <w:r w:rsidR="00C67CC6">
        <w:rPr>
          <w:rFonts w:cs="Arial"/>
          <w:b/>
          <w:bCs/>
        </w:rPr>
        <w:t>10</w:t>
      </w:r>
      <w:r w:rsidRPr="0016159C">
        <w:rPr>
          <w:rFonts w:cs="Arial"/>
          <w:b/>
          <w:bCs/>
        </w:rPr>
        <w:t xml:space="preserve"> – </w:t>
      </w:r>
      <w:r w:rsidR="00C67CC6">
        <w:rPr>
          <w:rFonts w:cs="Arial"/>
          <w:b/>
          <w:bCs/>
        </w:rPr>
        <w:t>Amend</w:t>
      </w:r>
      <w:r w:rsidRPr="0016159C">
        <w:rPr>
          <w:rFonts w:cs="Arial"/>
          <w:b/>
          <w:bCs/>
        </w:rPr>
        <w:t xml:space="preserve"> Entry</w:t>
      </w:r>
    </w:p>
    <w:p w14:paraId="7915F80C" w14:textId="148967EF" w:rsidR="00141AF4" w:rsidRDefault="00391490" w:rsidP="00141AF4">
      <w:pPr>
        <w:ind w:left="709"/>
        <w:rPr>
          <w:rFonts w:eastAsia="Cambria" w:cs="Arial"/>
          <w:color w:val="000000" w:themeColor="text1"/>
          <w:kern w:val="24"/>
        </w:rPr>
      </w:pPr>
      <w:r w:rsidRPr="00391490">
        <w:rPr>
          <w:rFonts w:eastAsia="Cambria" w:cs="Arial"/>
          <w:color w:val="000000" w:themeColor="text1"/>
          <w:kern w:val="24"/>
        </w:rPr>
        <w:t>LEAD COMPOUNDS</w:t>
      </w:r>
    </w:p>
    <w:p w14:paraId="40162631" w14:textId="41BC5518" w:rsidR="00391490" w:rsidRDefault="00A84445" w:rsidP="00A84445">
      <w:pPr>
        <w:pStyle w:val="Numberbullet2"/>
      </w:pPr>
      <w:r>
        <w:t xml:space="preserve">in anti-fouling paints </w:t>
      </w:r>
      <w:r w:rsidRPr="00815BDB">
        <w:rPr>
          <w:b/>
          <w:bCs/>
        </w:rPr>
        <w:t>except</w:t>
      </w:r>
      <w:r>
        <w:t xml:space="preserve"> in preparations containing </w:t>
      </w:r>
      <w:r w:rsidRPr="000F2A00">
        <w:rPr>
          <w:strike/>
          <w:color w:val="FF0000"/>
        </w:rPr>
        <w:t>0.1</w:t>
      </w:r>
      <w:r w:rsidR="00312A29" w:rsidRPr="00312A29">
        <w:rPr>
          <w:color w:val="00B050"/>
          <w:u w:val="single"/>
        </w:rPr>
        <w:t>0.06</w:t>
      </w:r>
      <w:r w:rsidRPr="00312A29">
        <w:t>%</w:t>
      </w:r>
      <w:r w:rsidR="000F2A00">
        <w:t xml:space="preserve"> </w:t>
      </w:r>
      <w:r>
        <w:t>or less of lead calculated on the non-volatile content of the paint; or</w:t>
      </w:r>
    </w:p>
    <w:p w14:paraId="1C3793D4" w14:textId="08DE3353" w:rsidR="00A84445" w:rsidRDefault="00E232FC" w:rsidP="00A84445">
      <w:pPr>
        <w:pStyle w:val="Numberbullet2"/>
      </w:pPr>
      <w:r>
        <w:t xml:space="preserve">in paints (other than anti-fouling paints), tinters, inks or ink additives </w:t>
      </w:r>
      <w:r w:rsidRPr="00815BDB">
        <w:rPr>
          <w:b/>
          <w:bCs/>
        </w:rPr>
        <w:t>except</w:t>
      </w:r>
      <w:r>
        <w:t xml:space="preserve"> in preparations containing 0.009% or less of lead calculated on the non-volatile content of the paint, tinter, ink or ink additive</w:t>
      </w:r>
      <w:r w:rsidR="00693359">
        <w:t>; or</w:t>
      </w:r>
    </w:p>
    <w:p w14:paraId="01819AE3" w14:textId="78564760" w:rsidR="0081603D" w:rsidRPr="00391490" w:rsidRDefault="0081603D" w:rsidP="0081603D">
      <w:pPr>
        <w:pStyle w:val="Numberbullet2"/>
      </w:pPr>
      <w:r>
        <w:t>for human therapeutic use except in preparations containing 10 mg/kg or less of lead.</w:t>
      </w:r>
    </w:p>
    <w:p w14:paraId="3F4CA2DE" w14:textId="77777777" w:rsidR="00141AF4" w:rsidRDefault="00141AF4" w:rsidP="00141AF4">
      <w:pPr>
        <w:pStyle w:val="Heading4"/>
      </w:pPr>
      <w:bookmarkStart w:id="5" w:name="_Toc236224470"/>
      <w:r w:rsidRPr="00BB34CD">
        <w:t>Materials considered</w:t>
      </w:r>
      <w:bookmarkEnd w:id="5"/>
    </w:p>
    <w:p w14:paraId="5814D4E6" w14:textId="77777777" w:rsidR="003F4C77" w:rsidRDefault="00141AF4" w:rsidP="003F4C77">
      <w:r>
        <w:t>In making this final decision,</w:t>
      </w:r>
      <w:r w:rsidR="00134CB3">
        <w:t xml:space="preserve"> the Delegate considered the following material:</w:t>
      </w:r>
    </w:p>
    <w:p w14:paraId="6CB5F3F0" w14:textId="4622ABBA" w:rsidR="000B4DF8" w:rsidRDefault="000B4DF8" w:rsidP="000402F4">
      <w:pPr>
        <w:pStyle w:val="ListBullet-dotick"/>
      </w:pPr>
      <w:r>
        <w:t xml:space="preserve">the </w:t>
      </w:r>
      <w:r w:rsidR="000402F4">
        <w:t xml:space="preserve">final decision to amend the Poisons Standard in </w:t>
      </w:r>
      <w:r w:rsidR="000402F4" w:rsidRPr="000402F4">
        <w:t xml:space="preserve">relation to lead </w:t>
      </w:r>
      <w:r w:rsidR="000402F4">
        <w:t xml:space="preserve">in paint </w:t>
      </w:r>
      <w:r w:rsidR="00307795">
        <w:t xml:space="preserve">published in </w:t>
      </w:r>
      <w:r w:rsidR="000402F4">
        <w:t xml:space="preserve">September </w:t>
      </w:r>
      <w:r w:rsidR="00307795">
        <w:t>2021 (the 2021 Final Decision)</w:t>
      </w:r>
      <w:r w:rsidR="00307795" w:rsidRPr="00307795">
        <w:t xml:space="preserve"> and the materials considered in making the decision</w:t>
      </w:r>
      <w:r w:rsidR="00467F98">
        <w:rPr>
          <w:rStyle w:val="FootnoteReference"/>
        </w:rPr>
        <w:footnoteReference w:id="2"/>
      </w:r>
    </w:p>
    <w:p w14:paraId="070A3BB4" w14:textId="5DE62148" w:rsidR="003F4C77" w:rsidRDefault="000B4DF8" w:rsidP="003F4C77">
      <w:pPr>
        <w:pStyle w:val="ListBullet-dotick"/>
      </w:pPr>
      <w:r>
        <w:t>t</w:t>
      </w:r>
      <w:r w:rsidR="003F4C77" w:rsidRPr="003F4C77">
        <w:t>he</w:t>
      </w:r>
      <w:r w:rsidR="00307795">
        <w:t xml:space="preserve"> </w:t>
      </w:r>
      <w:r w:rsidR="00467F98" w:rsidRPr="00467F98">
        <w:t>final decision to amend the Poisons Standard in relation to lead</w:t>
      </w:r>
      <w:r w:rsidR="00307795">
        <w:t xml:space="preserve"> </w:t>
      </w:r>
      <w:r w:rsidR="00467F98">
        <w:t xml:space="preserve">in paint </w:t>
      </w:r>
      <w:r w:rsidR="006E300A">
        <w:t>published</w:t>
      </w:r>
      <w:r w:rsidR="003F4C77" w:rsidRPr="003F4C77">
        <w:t xml:space="preserve"> </w:t>
      </w:r>
      <w:r w:rsidR="000402F4">
        <w:t>in September</w:t>
      </w:r>
      <w:r w:rsidR="003F4C77">
        <w:rPr>
          <w:bCs/>
        </w:rPr>
        <w:t xml:space="preserve"> </w:t>
      </w:r>
      <w:r w:rsidR="003F4C77" w:rsidRPr="003F4C77">
        <w:t>202</w:t>
      </w:r>
      <w:r w:rsidR="00564A99">
        <w:t>3</w:t>
      </w:r>
      <w:r w:rsidR="00541976">
        <w:t xml:space="preserve"> (the 2023 </w:t>
      </w:r>
      <w:r>
        <w:t xml:space="preserve">Final </w:t>
      </w:r>
      <w:r w:rsidR="00541976">
        <w:t>Decision)</w:t>
      </w:r>
      <w:r w:rsidR="003F4C77" w:rsidRPr="003F4C77">
        <w:t xml:space="preserve"> and the materials considered in making th</w:t>
      </w:r>
      <w:r w:rsidR="006E300A">
        <w:t>e</w:t>
      </w:r>
      <w:r w:rsidR="003F4C77" w:rsidRPr="003F4C77">
        <w:t xml:space="preserve"> decision</w:t>
      </w:r>
      <w:r w:rsidR="00467F98">
        <w:rPr>
          <w:rStyle w:val="FootnoteReference"/>
        </w:rPr>
        <w:footnoteReference w:id="3"/>
      </w:r>
    </w:p>
    <w:p w14:paraId="6472C984" w14:textId="77777777" w:rsidR="002A7CB9" w:rsidRDefault="002A7CB9" w:rsidP="002A7CB9">
      <w:pPr>
        <w:pStyle w:val="ListBullet-dotick"/>
      </w:pPr>
      <w:r>
        <w:t>subsection 52E(1) of the Act, in particular (a) the risks and benefits of the use of a substance; (b) the purposes for which a substance is to be used and the extent of use of a substance; (c) the toxicity of a substance; (d) the dosage, formulation, labelling, packaging and presentation of a substance; and (e) the potential for abuse of a substance; and (f) any other matters considered necessary to protect public health</w:t>
      </w:r>
    </w:p>
    <w:p w14:paraId="22A9B1CF" w14:textId="77777777" w:rsidR="002A7CB9" w:rsidRDefault="002A7CB9" w:rsidP="002A7CB9">
      <w:pPr>
        <w:pStyle w:val="ListBullet-dotick"/>
      </w:pPr>
      <w:r>
        <w:t>pursuant to paragraph 52E(2)(a) of the Act, the SPF, and</w:t>
      </w:r>
    </w:p>
    <w:p w14:paraId="3296558E" w14:textId="68D32A62" w:rsidR="003858B1" w:rsidRPr="003F4C77" w:rsidRDefault="002A7CB9" w:rsidP="002A7CB9">
      <w:pPr>
        <w:pStyle w:val="ListBullet-dotick"/>
      </w:pPr>
      <w:r>
        <w:t>the Handbook.</w:t>
      </w:r>
    </w:p>
    <w:p w14:paraId="584B398A" w14:textId="77777777" w:rsidR="00541976" w:rsidRDefault="00541976" w:rsidP="00541976">
      <w:pPr>
        <w:pStyle w:val="Heading4"/>
      </w:pPr>
      <w:bookmarkStart w:id="6" w:name="_Toc236224471"/>
      <w:r w:rsidRPr="00493940">
        <w:t>Reasons for the final decision (including findings on material questions of fact)</w:t>
      </w:r>
      <w:bookmarkEnd w:id="6"/>
    </w:p>
    <w:p w14:paraId="06ED9CEB" w14:textId="77777777" w:rsidR="00467F98" w:rsidRDefault="00997AB0" w:rsidP="00D611F7">
      <w:pPr>
        <w:spacing w:before="120" w:line="240" w:lineRule="auto"/>
      </w:pPr>
      <w:r w:rsidRPr="00997AB0">
        <w:t>I have made a final decision to amend the current Poisons Standard with respect to lead. In exercising my power under section 52</w:t>
      </w:r>
      <w:proofErr w:type="gramStart"/>
      <w:r w:rsidRPr="00997AB0">
        <w:t>D(</w:t>
      </w:r>
      <w:proofErr w:type="gramEnd"/>
      <w:r w:rsidRPr="00997AB0">
        <w:t xml:space="preserve">2) of the Act, I have </w:t>
      </w:r>
      <w:proofErr w:type="gramStart"/>
      <w:r w:rsidRPr="00997AB0">
        <w:t>taken into account</w:t>
      </w:r>
      <w:proofErr w:type="gramEnd"/>
      <w:r w:rsidRPr="00997AB0">
        <w:t xml:space="preserve"> the information provided in the materials listed above.</w:t>
      </w:r>
      <w:r w:rsidR="000B4DF8">
        <w:t xml:space="preserve"> </w:t>
      </w:r>
    </w:p>
    <w:p w14:paraId="4A1A222E" w14:textId="30725375" w:rsidR="002C55BA" w:rsidRDefault="00410E50" w:rsidP="00D611F7">
      <w:pPr>
        <w:spacing w:before="120" w:line="240" w:lineRule="auto"/>
      </w:pPr>
      <w:r>
        <w:t>In March 2021, a</w:t>
      </w:r>
      <w:r w:rsidR="008135B6">
        <w:t xml:space="preserve">n </w:t>
      </w:r>
      <w:r w:rsidR="000B4DF8" w:rsidRPr="007377E2">
        <w:t>application</w:t>
      </w:r>
      <w:r w:rsidR="008135B6">
        <w:t xml:space="preserve"> to amend the </w:t>
      </w:r>
      <w:r w:rsidR="008135B6" w:rsidRPr="008135B6">
        <w:t>Schedule 10 entry for lead compounds to reduce the permissible level in paints from 0.1% to 0.009%</w:t>
      </w:r>
      <w:r w:rsidR="008135B6">
        <w:t xml:space="preserve"> was referred to the </w:t>
      </w:r>
      <w:r w:rsidR="008135B6" w:rsidRPr="008135B6">
        <w:t xml:space="preserve">Advisory Committee on Chemicals </w:t>
      </w:r>
      <w:r w:rsidR="008135B6" w:rsidRPr="008135B6">
        <w:lastRenderedPageBreak/>
        <w:t>Scheduling</w:t>
      </w:r>
      <w:r w:rsidR="008135B6">
        <w:t xml:space="preserve"> (ACCS</w:t>
      </w:r>
      <w:r w:rsidR="00307795">
        <w:t> </w:t>
      </w:r>
      <w:r w:rsidR="008135B6">
        <w:t>#30)</w:t>
      </w:r>
      <w:r w:rsidR="000B4DF8">
        <w:t>.</w:t>
      </w:r>
      <w:r w:rsidR="000B4DF8">
        <w:rPr>
          <w:rStyle w:val="FootnoteReference"/>
        </w:rPr>
        <w:footnoteReference w:id="4"/>
      </w:r>
      <w:r w:rsidR="008135B6">
        <w:t xml:space="preserve"> </w:t>
      </w:r>
      <w:r w:rsidR="00F85105">
        <w:t xml:space="preserve">Subsequently, the 2021 Final Decision amended the scheduling of lead </w:t>
      </w:r>
      <w:r w:rsidR="00541976" w:rsidRPr="00541976">
        <w:t xml:space="preserve">to reduce the maximum permissible level of lead in paints to </w:t>
      </w:r>
      <w:r w:rsidRPr="00541976">
        <w:t>0.009%</w:t>
      </w:r>
      <w:r w:rsidR="00541976" w:rsidRPr="00541976">
        <w:t xml:space="preserve"> (equivalent to 90 ppm or</w:t>
      </w:r>
      <w:r>
        <w:t xml:space="preserve"> </w:t>
      </w:r>
      <w:r w:rsidRPr="00541976">
        <w:t>90 mg/kg</w:t>
      </w:r>
      <w:r w:rsidR="00541976" w:rsidRPr="00541976">
        <w:t>)</w:t>
      </w:r>
      <w:r w:rsidR="00CC6BD3">
        <w:t>.</w:t>
      </w:r>
      <w:r w:rsidR="00541976" w:rsidRPr="00541976">
        <w:t xml:space="preserve"> </w:t>
      </w:r>
      <w:r w:rsidR="00577461">
        <w:t xml:space="preserve">In consideration of </w:t>
      </w:r>
      <w:r w:rsidRPr="00410E50">
        <w:t>significantly reduced exposure pathways from anti-fouling and anticorrosion paints compared to other paints</w:t>
      </w:r>
      <w:r w:rsidR="00FD0C6C">
        <w:t>,</w:t>
      </w:r>
      <w:r w:rsidR="00577461">
        <w:t xml:space="preserve"> and the time required to </w:t>
      </w:r>
      <w:r w:rsidR="00577461" w:rsidRPr="00541976">
        <w:t xml:space="preserve">develop </w:t>
      </w:r>
      <w:r w:rsidR="00577461">
        <w:t xml:space="preserve">such low lead containing </w:t>
      </w:r>
      <w:r w:rsidR="00577461" w:rsidRPr="00541976">
        <w:t>paints</w:t>
      </w:r>
      <w:r w:rsidR="00577461">
        <w:t>, a</w:t>
      </w:r>
      <w:r w:rsidR="00541976" w:rsidRPr="00541976">
        <w:t xml:space="preserve">nti-fouling and anti-corrosive paints were exempted from </w:t>
      </w:r>
      <w:r w:rsidR="00F85105" w:rsidRPr="00541976">
        <w:t>th</w:t>
      </w:r>
      <w:r w:rsidR="00F85105">
        <w:t>is</w:t>
      </w:r>
      <w:r w:rsidR="00F85105" w:rsidRPr="00541976">
        <w:t xml:space="preserve"> </w:t>
      </w:r>
      <w:r w:rsidR="00541976" w:rsidRPr="00541976">
        <w:t>requirement and retained the previous maximum permissible level of 0.1%</w:t>
      </w:r>
      <w:r w:rsidR="00AD4A62">
        <w:t xml:space="preserve"> lead in them</w:t>
      </w:r>
      <w:r w:rsidR="00541976" w:rsidRPr="00541976">
        <w:t xml:space="preserve">. The 2021 Final Decision foreshadowed that the exemption for anti-fouling and anti-corrosive paints would be repealed by 1 October 2023, in effect providing a two-year transition period for industry to develop </w:t>
      </w:r>
      <w:r w:rsidR="00AD4A62" w:rsidRPr="00541976">
        <w:t xml:space="preserve">anti-fouling and anti-corrosive </w:t>
      </w:r>
      <w:r w:rsidR="00541976" w:rsidRPr="00541976">
        <w:t xml:space="preserve">paints </w:t>
      </w:r>
      <w:r w:rsidR="00FD0C6C">
        <w:t>containing</w:t>
      </w:r>
      <w:r w:rsidR="00541976" w:rsidRPr="00541976">
        <w:t xml:space="preserve"> 0.009% </w:t>
      </w:r>
      <w:r w:rsidR="00AD4A62">
        <w:t>or less of lead</w:t>
      </w:r>
      <w:r w:rsidR="00541976" w:rsidRPr="00541976">
        <w:t xml:space="preserve">. </w:t>
      </w:r>
    </w:p>
    <w:p w14:paraId="453BA8A3" w14:textId="088CD0EE" w:rsidR="00997AB0" w:rsidRDefault="002C55BA" w:rsidP="00D611F7">
      <w:pPr>
        <w:spacing w:before="120" w:line="240" w:lineRule="auto"/>
      </w:pPr>
      <w:r>
        <w:t xml:space="preserve">However, </w:t>
      </w:r>
      <w:r w:rsidR="00AD4A62">
        <w:t>due to limited availability of alternatives to copper compounds</w:t>
      </w:r>
      <w:r w:rsidR="00FD0C6C">
        <w:t xml:space="preserve">, </w:t>
      </w:r>
      <w:r w:rsidR="00AD4A62">
        <w:t xml:space="preserve">the </w:t>
      </w:r>
      <w:r w:rsidR="00AD4A62" w:rsidRPr="00263AAE">
        <w:t xml:space="preserve">predominant active ingredient </w:t>
      </w:r>
      <w:r w:rsidR="00AD4A62">
        <w:t>and source of lead</w:t>
      </w:r>
      <w:r w:rsidR="00AD4A62" w:rsidRPr="00263AAE">
        <w:t xml:space="preserve"> </w:t>
      </w:r>
      <w:r w:rsidR="00AD4A62">
        <w:t>in</w:t>
      </w:r>
      <w:r w:rsidR="00AD4A62" w:rsidRPr="00263AAE">
        <w:t xml:space="preserve"> anti-fouling paints</w:t>
      </w:r>
      <w:r w:rsidR="00AD4A62">
        <w:t xml:space="preserve">, </w:t>
      </w:r>
      <w:r>
        <w:t xml:space="preserve">the 2023 </w:t>
      </w:r>
      <w:r w:rsidR="00D16DE4">
        <w:t>Final Decision</w:t>
      </w:r>
      <w:r w:rsidR="00AD4A62">
        <w:t xml:space="preserve"> retained the exemption for anti-fouling paints, and the maximum limit of </w:t>
      </w:r>
      <w:r w:rsidR="00D16DE4" w:rsidRPr="00541976">
        <w:t xml:space="preserve">0.009% </w:t>
      </w:r>
      <w:r w:rsidR="00AD4A62">
        <w:t xml:space="preserve">lead was applied to </w:t>
      </w:r>
      <w:r w:rsidR="00D16DE4">
        <w:t xml:space="preserve">anticorrosive paints </w:t>
      </w:r>
      <w:r w:rsidR="00AD4A62">
        <w:t xml:space="preserve">only </w:t>
      </w:r>
      <w:r w:rsidR="00D16DE4">
        <w:t xml:space="preserve">(effective </w:t>
      </w:r>
      <w:r w:rsidR="00D16DE4" w:rsidRPr="00541976">
        <w:t>1 October 2023</w:t>
      </w:r>
      <w:r w:rsidR="00D16DE4">
        <w:t>).</w:t>
      </w:r>
      <w:r w:rsidR="00263AAE">
        <w:t xml:space="preserve"> Th</w:t>
      </w:r>
      <w:r w:rsidR="00CE0526">
        <w:t>is</w:t>
      </w:r>
      <w:r w:rsidR="00263AAE">
        <w:t xml:space="preserve"> decision considered that a</w:t>
      </w:r>
      <w:r w:rsidR="00263AAE" w:rsidRPr="00263AAE">
        <w:t>n extended transition period</w:t>
      </w:r>
      <w:r w:rsidR="00263AAE">
        <w:t xml:space="preserve"> with lower limits imposed in a stagger</w:t>
      </w:r>
      <w:r w:rsidR="006B012A">
        <w:t>ed</w:t>
      </w:r>
      <w:r w:rsidR="00263AAE">
        <w:t xml:space="preserve"> manner</w:t>
      </w:r>
      <w:r w:rsidR="00A456F1">
        <w:t>ed</w:t>
      </w:r>
      <w:r w:rsidR="00263AAE" w:rsidRPr="00263AAE">
        <w:t xml:space="preserve"> </w:t>
      </w:r>
      <w:r w:rsidR="00263AAE">
        <w:t xml:space="preserve">would provide </w:t>
      </w:r>
      <w:r w:rsidR="00A456F1">
        <w:t>the necessary</w:t>
      </w:r>
      <w:r w:rsidR="00263AAE" w:rsidRPr="00263AAE">
        <w:t xml:space="preserve"> impetus for innovation </w:t>
      </w:r>
      <w:r w:rsidR="00A456F1">
        <w:t xml:space="preserve">and </w:t>
      </w:r>
      <w:r w:rsidR="00A456F1" w:rsidRPr="00A456F1">
        <w:t>adequate time</w:t>
      </w:r>
      <w:r w:rsidR="00A456F1">
        <w:t xml:space="preserve"> for </w:t>
      </w:r>
      <w:r w:rsidR="00A456F1" w:rsidRPr="00A456F1">
        <w:t>reformulation of anti</w:t>
      </w:r>
      <w:r w:rsidR="00CE0526">
        <w:t>-</w:t>
      </w:r>
      <w:r w:rsidR="00A456F1" w:rsidRPr="00A456F1">
        <w:t>fouling paints by manufacturers</w:t>
      </w:r>
      <w:r w:rsidR="00A456F1">
        <w:t xml:space="preserve">. </w:t>
      </w:r>
      <w:r w:rsidR="00997AB0">
        <w:t xml:space="preserve">The 2023 </w:t>
      </w:r>
      <w:r w:rsidR="0065470F">
        <w:t>Final Decision</w:t>
      </w:r>
      <w:r w:rsidR="00A456F1">
        <w:t xml:space="preserve">, therefore, </w:t>
      </w:r>
      <w:r w:rsidR="00997AB0">
        <w:t>foreshadowed further amendments to the scheduling of lead to reduce the permissible maximum level of lead in anti-fouling paints to:</w:t>
      </w:r>
    </w:p>
    <w:p w14:paraId="1CC15C9F" w14:textId="7DCF5612" w:rsidR="00997AB0" w:rsidRDefault="00997AB0" w:rsidP="00D611F7">
      <w:pPr>
        <w:pStyle w:val="ListBullet-dotick"/>
        <w:spacing w:after="120" w:line="240" w:lineRule="auto"/>
        <w:ind w:left="357" w:hanging="357"/>
      </w:pPr>
      <w:r>
        <w:t>0.06% by 1 October 2026, and</w:t>
      </w:r>
    </w:p>
    <w:p w14:paraId="1ECC3E53" w14:textId="677B347A" w:rsidR="00CC6BD3" w:rsidRDefault="00997AB0" w:rsidP="00D611F7">
      <w:pPr>
        <w:pStyle w:val="ListBullet-dotick"/>
        <w:spacing w:after="120" w:line="240" w:lineRule="auto"/>
        <w:ind w:left="357" w:hanging="357"/>
      </w:pPr>
      <w:r>
        <w:t>0.009% by 1 October 2029.</w:t>
      </w:r>
    </w:p>
    <w:p w14:paraId="10672625" w14:textId="083C933F" w:rsidR="00230E86" w:rsidRDefault="00A456F1" w:rsidP="00D611F7">
      <w:pPr>
        <w:spacing w:before="120" w:line="240" w:lineRule="auto"/>
      </w:pPr>
      <w:r>
        <w:t>My</w:t>
      </w:r>
      <w:r w:rsidRPr="008135B6">
        <w:t xml:space="preserve"> </w:t>
      </w:r>
      <w:r w:rsidR="0043720F">
        <w:t xml:space="preserve">decision implements the </w:t>
      </w:r>
      <w:r w:rsidR="00577461">
        <w:t xml:space="preserve">previously </w:t>
      </w:r>
      <w:r w:rsidR="0043720F">
        <w:t>foreshadowed</w:t>
      </w:r>
      <w:r w:rsidR="00AB1503">
        <w:t xml:space="preserve"> reduction of lead in anti-fouling paints to 0.06%</w:t>
      </w:r>
      <w:r w:rsidR="00577461">
        <w:t>.</w:t>
      </w:r>
    </w:p>
    <w:p w14:paraId="474DD320" w14:textId="38B44083" w:rsidR="007F302C" w:rsidRDefault="00AB1503" w:rsidP="00D611F7">
      <w:pPr>
        <w:spacing w:before="120" w:line="240" w:lineRule="auto"/>
      </w:pPr>
      <w:r>
        <w:t>In making this decision, I note that</w:t>
      </w:r>
      <w:r w:rsidR="00FD0C6C">
        <w:t xml:space="preserve"> various</w:t>
      </w:r>
      <w:r w:rsidR="00E722F2">
        <w:t xml:space="preserve"> </w:t>
      </w:r>
      <w:r w:rsidR="00E722F2" w:rsidRPr="00E722F2">
        <w:t xml:space="preserve">international standards highlight the need to </w:t>
      </w:r>
      <w:r w:rsidR="00D611F7">
        <w:t xml:space="preserve">eliminate or </w:t>
      </w:r>
      <w:r w:rsidR="00E722F2" w:rsidRPr="00E722F2">
        <w:t>reduce exposure to lead</w:t>
      </w:r>
      <w:r w:rsidR="00E722F2">
        <w:t xml:space="preserve"> </w:t>
      </w:r>
      <w:r w:rsidR="00E722F2" w:rsidRPr="00E722F2">
        <w:t>from various sources to as low as possible</w:t>
      </w:r>
      <w:r w:rsidR="00E722F2">
        <w:t>. Since August 2009, t</w:t>
      </w:r>
      <w:r w:rsidR="00CF466B">
        <w:t xml:space="preserve">he United States </w:t>
      </w:r>
      <w:r w:rsidR="00A456F1">
        <w:t>has restricted the amount of lead in all paints to a maximum of</w:t>
      </w:r>
      <w:r w:rsidR="00CF466B">
        <w:t xml:space="preserve"> 0.009%</w:t>
      </w:r>
      <w:r w:rsidR="00CE0526">
        <w:t xml:space="preserve"> and the US Department of Defence has set a limit of 600 ppm total lead in marine coatings</w:t>
      </w:r>
      <w:r w:rsidR="00CF466B">
        <w:t>.</w:t>
      </w:r>
      <w:r w:rsidR="00CF466B">
        <w:rPr>
          <w:rStyle w:val="FootnoteReference"/>
        </w:rPr>
        <w:footnoteReference w:id="5"/>
      </w:r>
      <w:r w:rsidR="00CE0526">
        <w:rPr>
          <w:vertAlign w:val="superscript"/>
        </w:rPr>
        <w:t>,</w:t>
      </w:r>
      <w:r w:rsidR="00CE0526">
        <w:rPr>
          <w:rStyle w:val="FootnoteReference"/>
        </w:rPr>
        <w:footnoteReference w:id="6"/>
      </w:r>
      <w:r w:rsidR="00CE0526">
        <w:t xml:space="preserve"> </w:t>
      </w:r>
      <w:r w:rsidR="00362EEB">
        <w:t>The</w:t>
      </w:r>
      <w:r w:rsidR="00362EEB" w:rsidRPr="00362EEB">
        <w:t xml:space="preserve"> E</w:t>
      </w:r>
      <w:r w:rsidR="00D611F7">
        <w:t xml:space="preserve">uropean </w:t>
      </w:r>
      <w:r w:rsidR="00362EEB" w:rsidRPr="00362EEB">
        <w:t>U</w:t>
      </w:r>
      <w:r w:rsidR="00D611F7">
        <w:t>nion</w:t>
      </w:r>
      <w:r w:rsidR="00362EEB">
        <w:t xml:space="preserve"> has</w:t>
      </w:r>
      <w:r w:rsidR="00362EEB" w:rsidRPr="00362EEB">
        <w:t xml:space="preserve"> evaluated and approved a limit of 1</w:t>
      </w:r>
      <w:r w:rsidR="00D611F7">
        <w:t>,</w:t>
      </w:r>
      <w:r w:rsidR="00362EEB" w:rsidRPr="00362EEB">
        <w:t>200 ppm residual lead contamination in cuprous oxide which often comprises less than 50% by weight in marine antifouling coatings, generally resulting in less than 600 ppm lead in the marine anti-fouling coating</w:t>
      </w:r>
      <w:r w:rsidR="00362EEB">
        <w:t>s.</w:t>
      </w:r>
      <w:r w:rsidR="00362EEB">
        <w:rPr>
          <w:rStyle w:val="FootnoteReference"/>
        </w:rPr>
        <w:footnoteReference w:id="7"/>
      </w:r>
    </w:p>
    <w:p w14:paraId="4EF60F51" w14:textId="035CADD6" w:rsidR="00230E86" w:rsidRDefault="00A456F1" w:rsidP="00D611F7">
      <w:pPr>
        <w:spacing w:before="120" w:line="240" w:lineRule="auto"/>
      </w:pPr>
      <w:r>
        <w:t>My</w:t>
      </w:r>
      <w:r w:rsidR="00E722F2">
        <w:t xml:space="preserve"> decision balances the need to allow industry time to meet the new </w:t>
      </w:r>
      <w:r w:rsidR="00CE0526">
        <w:t>reduced</w:t>
      </w:r>
      <w:r w:rsidR="00E722F2">
        <w:t xml:space="preserve"> level</w:t>
      </w:r>
      <w:r w:rsidR="00CE0526">
        <w:t>s</w:t>
      </w:r>
      <w:r w:rsidR="00E722F2">
        <w:t xml:space="preserve"> </w:t>
      </w:r>
      <w:r w:rsidR="00D611F7">
        <w:t xml:space="preserve">of lead in anti-fouling paints </w:t>
      </w:r>
      <w:r w:rsidR="00E722F2">
        <w:t>whil</w:t>
      </w:r>
      <w:r w:rsidR="00CE0526">
        <w:t>e</w:t>
      </w:r>
      <w:r w:rsidR="00E722F2">
        <w:t xml:space="preserve"> ensuring that </w:t>
      </w:r>
      <w:r w:rsidR="00A41937">
        <w:t xml:space="preserve">the </w:t>
      </w:r>
      <w:proofErr w:type="gramStart"/>
      <w:r w:rsidR="00CE0526">
        <w:t>general public</w:t>
      </w:r>
      <w:proofErr w:type="gramEnd"/>
      <w:r w:rsidR="00CE0526">
        <w:t xml:space="preserve"> including </w:t>
      </w:r>
      <w:r w:rsidR="00AB4EA2">
        <w:t xml:space="preserve">the </w:t>
      </w:r>
      <w:r w:rsidR="00E722F2">
        <w:t>users of anti-fouling paints are protected from exposure to lead</w:t>
      </w:r>
      <w:r w:rsidR="00D611F7">
        <w:t xml:space="preserve"> to the best extent possible</w:t>
      </w:r>
      <w:r w:rsidR="00E722F2">
        <w:t>.</w:t>
      </w:r>
      <w:r w:rsidR="00230E86" w:rsidRPr="00230E86">
        <w:t xml:space="preserve"> </w:t>
      </w:r>
      <w:r w:rsidR="00A41937">
        <w:t>Consistent</w:t>
      </w:r>
      <w:r w:rsidR="00230E86">
        <w:t xml:space="preserve"> with the 2023 Final Decision, I consider the risk of exposure to lead </w:t>
      </w:r>
      <w:r w:rsidR="00CE0526">
        <w:t xml:space="preserve">in anti-fouling paints </w:t>
      </w:r>
      <w:r w:rsidR="00230E86">
        <w:t>from maintenance activities on smaller watercraft to be low and to a small population</w:t>
      </w:r>
      <w:r w:rsidR="00CE0526">
        <w:t>,</w:t>
      </w:r>
      <w:r w:rsidR="00230E86">
        <w:t xml:space="preserve"> and the </w:t>
      </w:r>
      <w:r w:rsidR="00230E86" w:rsidRPr="00230E86">
        <w:t xml:space="preserve">risk of exposure </w:t>
      </w:r>
      <w:r w:rsidR="00230E86">
        <w:t xml:space="preserve">to workers undertaking </w:t>
      </w:r>
      <w:r w:rsidR="00230E86" w:rsidRPr="00230E86">
        <w:t>maintenance of larger vessels</w:t>
      </w:r>
      <w:r w:rsidR="00230E86">
        <w:t xml:space="preserve"> are managed by the workplace health and safety requirements.</w:t>
      </w:r>
      <w:r w:rsidR="00230E86" w:rsidRPr="00230E86">
        <w:t xml:space="preserve"> </w:t>
      </w:r>
      <w:r w:rsidR="00D611F7">
        <w:t>As foreshadowed in the 2023 Final Decision, further</w:t>
      </w:r>
      <w:r w:rsidR="00D611F7" w:rsidRPr="003C27DB">
        <w:t xml:space="preserve"> </w:t>
      </w:r>
      <w:r w:rsidR="00D611F7">
        <w:t xml:space="preserve">reduction of </w:t>
      </w:r>
      <w:r w:rsidR="00D611F7" w:rsidRPr="003C27DB">
        <w:t>lead in anti-fouling paints</w:t>
      </w:r>
      <w:r w:rsidR="00D611F7">
        <w:t xml:space="preserve"> to 0.009% will be implemented by 1 October 2029</w:t>
      </w:r>
      <w:r w:rsidR="00631F3D">
        <w:t xml:space="preserve">. A further, separate final decision will be made </w:t>
      </w:r>
      <w:r w:rsidR="00095F55">
        <w:t xml:space="preserve">closer </w:t>
      </w:r>
      <w:r w:rsidR="00631F3D">
        <w:t xml:space="preserve">to this </w:t>
      </w:r>
      <w:r w:rsidR="00095F55">
        <w:t>2029 implementation date</w:t>
      </w:r>
      <w:r w:rsidR="00D611F7">
        <w:t>.</w:t>
      </w:r>
      <w:r w:rsidR="00D611F7" w:rsidRPr="00230E86">
        <w:t xml:space="preserve"> </w:t>
      </w:r>
      <w:r w:rsidR="00230E86">
        <w:t xml:space="preserve">This staggered approach </w:t>
      </w:r>
      <w:r w:rsidR="00CE0526">
        <w:t>continues to provide</w:t>
      </w:r>
      <w:r w:rsidR="00230E86">
        <w:t xml:space="preserve"> ample opportunity for the</w:t>
      </w:r>
      <w:r w:rsidR="00CE0526">
        <w:t xml:space="preserve"> industry to</w:t>
      </w:r>
      <w:r w:rsidR="00230E86">
        <w:t xml:space="preserve"> </w:t>
      </w:r>
      <w:r w:rsidR="00CE0526">
        <w:t>further lower</w:t>
      </w:r>
      <w:r w:rsidR="00230E86">
        <w:t xml:space="preserve"> lead</w:t>
      </w:r>
      <w:r w:rsidR="00E84405">
        <w:t xml:space="preserve"> levels</w:t>
      </w:r>
      <w:r w:rsidR="00230E86">
        <w:t xml:space="preserve"> </w:t>
      </w:r>
      <w:r w:rsidR="00CE0526">
        <w:t xml:space="preserve">in </w:t>
      </w:r>
      <w:r w:rsidR="00230E86">
        <w:t>anti-fouling paints</w:t>
      </w:r>
      <w:r w:rsidR="00CE0526">
        <w:t xml:space="preserve">. </w:t>
      </w:r>
    </w:p>
    <w:p w14:paraId="57309629" w14:textId="2CE7B3DF" w:rsidR="00783922" w:rsidRDefault="00783922" w:rsidP="005B2DCD">
      <w:pPr>
        <w:pStyle w:val="Heading4"/>
      </w:pPr>
      <w:bookmarkStart w:id="7" w:name="_Toc236224472"/>
      <w:r>
        <w:t>Implementation date</w:t>
      </w:r>
      <w:bookmarkEnd w:id="7"/>
    </w:p>
    <w:p w14:paraId="71A3BC5B" w14:textId="4C5745A5" w:rsidR="005A76EC" w:rsidRDefault="005B2DCD" w:rsidP="00B03B68">
      <w:r>
        <w:t>1 October 2026</w:t>
      </w:r>
    </w:p>
    <w:p w14:paraId="644C3E5F" w14:textId="163D7557" w:rsidR="00AD753F" w:rsidRPr="00B03B68" w:rsidRDefault="00AD753F" w:rsidP="00B03B68">
      <w:pPr>
        <w:sectPr w:rsidR="00AD753F" w:rsidRPr="00B03B68">
          <w:headerReference w:type="default" r:id="rId17"/>
          <w:footerReference w:type="default" r:id="rId18"/>
          <w:pgSz w:w="11906" w:h="16838" w:code="9"/>
          <w:pgMar w:top="1134" w:right="1418" w:bottom="1361" w:left="1418" w:header="573" w:footer="567" w:gutter="0"/>
          <w:cols w:space="708"/>
          <w:docGrid w:linePitch="360"/>
        </w:sectPr>
      </w:pPr>
    </w:p>
    <w:tbl>
      <w:tblPr>
        <w:tblW w:w="9145" w:type="dxa"/>
        <w:jc w:val="center"/>
        <w:tblLayout w:type="fixed"/>
        <w:tblCellMar>
          <w:left w:w="0" w:type="dxa"/>
          <w:right w:w="0" w:type="dxa"/>
        </w:tblCellMar>
        <w:tblLook w:val="04A0" w:firstRow="1" w:lastRow="0" w:firstColumn="1" w:lastColumn="0" w:noHBand="0" w:noVBand="1"/>
      </w:tblPr>
      <w:tblGrid>
        <w:gridCol w:w="9145"/>
      </w:tblGrid>
      <w:tr w:rsidR="00F02AEC" w:rsidRPr="00B03B68" w14:paraId="45E34E57" w14:textId="77777777">
        <w:trPr>
          <w:trHeight w:hRule="exact" w:val="565"/>
          <w:jc w:val="center"/>
        </w:trPr>
        <w:tc>
          <w:tcPr>
            <w:tcW w:w="9145" w:type="dxa"/>
          </w:tcPr>
          <w:p w14:paraId="5C01A351" w14:textId="77777777" w:rsidR="00F02AEC" w:rsidRPr="00B03B68" w:rsidRDefault="00F02AEC" w:rsidP="000579C9">
            <w:pPr>
              <w:pStyle w:val="TGASignoff"/>
            </w:pPr>
            <w:r w:rsidRPr="00B03B68">
              <w:lastRenderedPageBreak/>
              <w:t>Therapeutic Goods Administration</w:t>
            </w:r>
          </w:p>
        </w:tc>
      </w:tr>
      <w:tr w:rsidR="00F02AEC" w:rsidRPr="00B03B68" w14:paraId="25FE1AA0" w14:textId="77777777">
        <w:trPr>
          <w:trHeight w:val="963"/>
          <w:jc w:val="center"/>
        </w:trPr>
        <w:tc>
          <w:tcPr>
            <w:tcW w:w="9145" w:type="dxa"/>
            <w:tcMar>
              <w:top w:w="28" w:type="dxa"/>
            </w:tcMar>
          </w:tcPr>
          <w:p w14:paraId="3C41395F" w14:textId="77777777" w:rsidR="00F02AEC" w:rsidRPr="00B03B68" w:rsidRDefault="00F02AEC" w:rsidP="000579C9">
            <w:pPr>
              <w:pStyle w:val="Address"/>
              <w:jc w:val="center"/>
            </w:pPr>
            <w:r w:rsidRPr="00B03B68">
              <w:t>PO Box 100 Woden ACT 2606 Australia</w:t>
            </w:r>
          </w:p>
          <w:p w14:paraId="2D42BC37" w14:textId="77777777" w:rsidR="00F02AEC" w:rsidRPr="00B03B68" w:rsidRDefault="00F02AEC" w:rsidP="000579C9">
            <w:pPr>
              <w:jc w:val="center"/>
            </w:pPr>
            <w:r w:rsidRPr="00B03B68">
              <w:t xml:space="preserve">Email: </w:t>
            </w:r>
            <w:hyperlink r:id="rId19" w:history="1">
              <w:r w:rsidRPr="00B03B68">
                <w:rPr>
                  <w:rStyle w:val="Hyperlink"/>
                </w:rPr>
                <w:t>info@tga.gov.au</w:t>
              </w:r>
            </w:hyperlink>
            <w:r w:rsidRPr="00B03B68">
              <w:t xml:space="preserve">  Phone: 1800 020 </w:t>
            </w:r>
            <w:proofErr w:type="gramStart"/>
            <w:r w:rsidRPr="00B03B68">
              <w:t>653  Fax</w:t>
            </w:r>
            <w:proofErr w:type="gramEnd"/>
            <w:r w:rsidRPr="00B03B68">
              <w:t>: 02 6203 1605</w:t>
            </w:r>
          </w:p>
          <w:p w14:paraId="743B677D" w14:textId="77777777" w:rsidR="00F02AEC" w:rsidRPr="00B03B68" w:rsidRDefault="000579C9" w:rsidP="000579C9">
            <w:pPr>
              <w:jc w:val="center"/>
            </w:pPr>
            <w:r>
              <w:t xml:space="preserve">Web: </w:t>
            </w:r>
            <w:hyperlink r:id="rId20" w:history="1">
              <w:r>
                <w:rPr>
                  <w:rStyle w:val="Hyperlink"/>
                </w:rPr>
                <w:t>tga.gov.au</w:t>
              </w:r>
            </w:hyperlink>
          </w:p>
        </w:tc>
      </w:tr>
      <w:tr w:rsidR="00F02AEC" w:rsidRPr="00B03B68" w14:paraId="41067882" w14:textId="77777777">
        <w:trPr>
          <w:trHeight w:val="251"/>
          <w:jc w:val="center"/>
        </w:trPr>
        <w:tc>
          <w:tcPr>
            <w:tcW w:w="9145" w:type="dxa"/>
            <w:tcMar>
              <w:top w:w="28" w:type="dxa"/>
            </w:tcMar>
          </w:tcPr>
          <w:p w14:paraId="20503B7A" w14:textId="77777777" w:rsidR="00F02AEC" w:rsidRPr="00B03B68" w:rsidRDefault="00F02AEC" w:rsidP="00B03B68"/>
        </w:tc>
      </w:tr>
    </w:tbl>
    <w:p w14:paraId="3049EE1E" w14:textId="77777777" w:rsidR="005B141F" w:rsidRPr="00B03B68" w:rsidRDefault="005B141F" w:rsidP="00B03B68"/>
    <w:sectPr w:rsidR="005B141F" w:rsidRPr="00B03B68">
      <w:headerReference w:type="first" r:id="rId21"/>
      <w:footerReference w:type="first" r:id="rId22"/>
      <w:pgSz w:w="11906" w:h="16838" w:code="9"/>
      <w:pgMar w:top="13571" w:right="1701" w:bottom="567" w:left="1701" w:header="1134"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0B042" w14:textId="77777777" w:rsidR="00946D7B" w:rsidRDefault="00946D7B" w:rsidP="00F02AEC">
      <w:pPr>
        <w:spacing w:after="0" w:line="240" w:lineRule="auto"/>
      </w:pPr>
      <w:r>
        <w:separator/>
      </w:r>
    </w:p>
  </w:endnote>
  <w:endnote w:type="continuationSeparator" w:id="0">
    <w:p w14:paraId="20A1A8AF" w14:textId="77777777" w:rsidR="00946D7B" w:rsidRDefault="00946D7B" w:rsidP="00F0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Bold">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FFC36" w14:textId="199FC7B5" w:rsidR="00646509" w:rsidRDefault="00646509">
    <w:pPr>
      <w:pStyle w:val="Footer"/>
    </w:pPr>
    <w:r>
      <w:rPr>
        <w:noProof/>
      </w:rPr>
      <mc:AlternateContent>
        <mc:Choice Requires="wps">
          <w:drawing>
            <wp:anchor distT="0" distB="0" distL="0" distR="0" simplePos="0" relativeHeight="251666432" behindDoc="0" locked="0" layoutInCell="1" allowOverlap="1" wp14:anchorId="21BD1D42" wp14:editId="59532CF4">
              <wp:simplePos x="635" y="635"/>
              <wp:positionH relativeFrom="page">
                <wp:align>center</wp:align>
              </wp:positionH>
              <wp:positionV relativeFrom="page">
                <wp:align>bottom</wp:align>
              </wp:positionV>
              <wp:extent cx="622300" cy="391160"/>
              <wp:effectExtent l="0" t="0" r="6350" b="0"/>
              <wp:wrapNone/>
              <wp:docPr id="193192998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23DD81E" w14:textId="5998CA11" w:rsidR="00646509" w:rsidRPr="00646509" w:rsidRDefault="00646509" w:rsidP="00646509">
                          <w:pPr>
                            <w:spacing w:after="0"/>
                            <w:rPr>
                              <w:rFonts w:ascii="Aptos" w:eastAsia="Aptos" w:hAnsi="Aptos" w:cs="Aptos"/>
                              <w:noProof/>
                              <w:color w:val="FF0000"/>
                              <w:sz w:val="24"/>
                              <w:szCs w:val="24"/>
                            </w:rPr>
                          </w:pPr>
                          <w:r w:rsidRPr="0064650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BD1D42" id="_x0000_t202" coordsize="21600,21600" o:spt="202" path="m,l,21600r21600,l21600,xe">
              <v:stroke joinstyle="miter"/>
              <v:path gradientshapeok="t" o:connecttype="rect"/>
            </v:shapetype>
            <v:shape id="Text Box 7" o:spid="_x0000_s1028" type="#_x0000_t202" alt="OFFICIAL" style="position:absolute;margin-left:0;margin-top:0;width:49pt;height:30.8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423DD81E" w14:textId="5998CA11" w:rsidR="00646509" w:rsidRPr="00646509" w:rsidRDefault="00646509" w:rsidP="00646509">
                    <w:pPr>
                      <w:spacing w:after="0"/>
                      <w:rPr>
                        <w:rFonts w:ascii="Aptos" w:eastAsia="Aptos" w:hAnsi="Aptos" w:cs="Aptos"/>
                        <w:noProof/>
                        <w:color w:val="FF0000"/>
                        <w:sz w:val="24"/>
                        <w:szCs w:val="24"/>
                      </w:rPr>
                    </w:pPr>
                    <w:r w:rsidRPr="00646509">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F02AEC" w:rsidRPr="00257138" w14:paraId="2AA6BE35" w14:textId="77777777">
      <w:trPr>
        <w:trHeight w:val="423"/>
      </w:trPr>
      <w:tc>
        <w:tcPr>
          <w:tcW w:w="4360" w:type="dxa"/>
          <w:tcBorders>
            <w:top w:val="single" w:sz="4" w:space="0" w:color="auto"/>
          </w:tcBorders>
        </w:tcPr>
        <w:p w14:paraId="30F351FE" w14:textId="33AE9F48" w:rsidR="00F02AEC" w:rsidRDefault="00646509">
          <w:pPr>
            <w:pStyle w:val="Footer"/>
          </w:pPr>
          <w:r>
            <w:rPr>
              <w:noProof/>
            </w:rPr>
            <mc:AlternateContent>
              <mc:Choice Requires="wps">
                <w:drawing>
                  <wp:anchor distT="0" distB="0" distL="0" distR="0" simplePos="0" relativeHeight="251667456" behindDoc="0" locked="0" layoutInCell="1" allowOverlap="1" wp14:anchorId="4D2162A6" wp14:editId="42E06C12">
                    <wp:simplePos x="635" y="635"/>
                    <wp:positionH relativeFrom="page">
                      <wp:align>center</wp:align>
                    </wp:positionH>
                    <wp:positionV relativeFrom="page">
                      <wp:align>bottom</wp:align>
                    </wp:positionV>
                    <wp:extent cx="622300" cy="391160"/>
                    <wp:effectExtent l="0" t="0" r="6350" b="0"/>
                    <wp:wrapNone/>
                    <wp:docPr id="164496380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92E4AD3" w14:textId="4FF9327B" w:rsidR="00646509" w:rsidRPr="00646509" w:rsidRDefault="00646509" w:rsidP="00646509">
                                <w:pPr>
                                  <w:spacing w:after="0"/>
                                  <w:rPr>
                                    <w:rFonts w:ascii="Aptos" w:eastAsia="Aptos" w:hAnsi="Aptos" w:cs="Aptos"/>
                                    <w:noProof/>
                                    <w:color w:val="FF0000"/>
                                    <w:sz w:val="24"/>
                                    <w:szCs w:val="24"/>
                                  </w:rPr>
                                </w:pPr>
                                <w:r w:rsidRPr="0064650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2162A6" id="_x0000_t202" coordsize="21600,21600" o:spt="202" path="m,l,21600r21600,l21600,xe">
                    <v:stroke joinstyle="miter"/>
                    <v:path gradientshapeok="t" o:connecttype="rect"/>
                  </v:shapetype>
                  <v:shape id="Text Box 8" o:spid="_x0000_s1029" type="#_x0000_t202" alt="OFFICIAL" style="position:absolute;margin-left:0;margin-top:0;width:49pt;height:30.8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092E4AD3" w14:textId="4FF9327B" w:rsidR="00646509" w:rsidRPr="00646509" w:rsidRDefault="00646509" w:rsidP="00646509">
                          <w:pPr>
                            <w:spacing w:after="0"/>
                            <w:rPr>
                              <w:rFonts w:ascii="Aptos" w:eastAsia="Aptos" w:hAnsi="Aptos" w:cs="Aptos"/>
                              <w:noProof/>
                              <w:color w:val="FF0000"/>
                              <w:sz w:val="24"/>
                              <w:szCs w:val="24"/>
                            </w:rPr>
                          </w:pPr>
                          <w:r w:rsidRPr="00646509">
                            <w:rPr>
                              <w:rFonts w:ascii="Aptos" w:eastAsia="Aptos" w:hAnsi="Aptos" w:cs="Aptos"/>
                              <w:noProof/>
                              <w:color w:val="FF0000"/>
                              <w:sz w:val="24"/>
                              <w:szCs w:val="24"/>
                            </w:rPr>
                            <w:t>OFFICIAL</w:t>
                          </w:r>
                        </w:p>
                      </w:txbxContent>
                    </v:textbox>
                    <w10:wrap anchorx="page" anchory="page"/>
                  </v:shape>
                </w:pict>
              </mc:Fallback>
            </mc:AlternateContent>
          </w:r>
        </w:p>
        <w:p w14:paraId="019D5578" w14:textId="77777777" w:rsidR="00F02AEC" w:rsidRPr="00257138" w:rsidRDefault="00F02AEC">
          <w:pPr>
            <w:pStyle w:val="Footer"/>
          </w:pPr>
          <w:r w:rsidRPr="00257138">
            <w:t>Document title</w:t>
          </w:r>
        </w:p>
      </w:tc>
      <w:tc>
        <w:tcPr>
          <w:tcW w:w="4360" w:type="dxa"/>
          <w:tcBorders>
            <w:top w:val="single" w:sz="4" w:space="0" w:color="auto"/>
          </w:tcBorders>
        </w:tcPr>
        <w:sdt>
          <w:sdtPr>
            <w:id w:val="1087729233"/>
            <w:docPartObj>
              <w:docPartGallery w:val="Page Numbers (Top of Page)"/>
              <w:docPartUnique/>
            </w:docPartObj>
          </w:sdtPr>
          <w:sdtEndPr/>
          <w:sdtContent>
            <w:p w14:paraId="0BE4880E" w14:textId="77777777" w:rsidR="00F02AEC" w:rsidRDefault="00F02AEC">
              <w:pPr>
                <w:pStyle w:val="Footer"/>
                <w:jc w:val="right"/>
              </w:pPr>
            </w:p>
            <w:p w14:paraId="5944420C" w14:textId="77777777" w:rsidR="00F02AEC" w:rsidRPr="00257138" w:rsidRDefault="00F02AEC">
              <w:pPr>
                <w:pStyle w:val="Footer"/>
                <w:jc w:val="right"/>
              </w:pPr>
              <w:r w:rsidRPr="00257138">
                <w:t xml:space="preserve">Page </w:t>
              </w:r>
              <w:r>
                <w:fldChar w:fldCharType="begin"/>
              </w:r>
              <w:r>
                <w:instrText xml:space="preserve"> PAGE </w:instrText>
              </w:r>
              <w:r>
                <w:fldChar w:fldCharType="separate"/>
              </w:r>
              <w:r>
                <w:rPr>
                  <w:noProof/>
                </w:rPr>
                <w:t>2</w:t>
              </w:r>
              <w:r>
                <w:rPr>
                  <w:noProof/>
                </w:rPr>
                <w:fldChar w:fldCharType="end"/>
              </w:r>
              <w:r w:rsidRPr="00257138">
                <w:t xml:space="preserve"> of </w:t>
              </w:r>
              <w:fldSimple w:instr=" NUMPAGES  ">
                <w:r>
                  <w:rPr>
                    <w:noProof/>
                  </w:rPr>
                  <w:t>2</w:t>
                </w:r>
              </w:fldSimple>
            </w:p>
          </w:sdtContent>
        </w:sdt>
      </w:tc>
    </w:tr>
    <w:tr w:rsidR="00F02AEC" w:rsidRPr="00257138" w14:paraId="785F78DB" w14:textId="77777777">
      <w:trPr>
        <w:trHeight w:val="263"/>
      </w:trPr>
      <w:tc>
        <w:tcPr>
          <w:tcW w:w="4360" w:type="dxa"/>
        </w:tcPr>
        <w:p w14:paraId="59DBD25E" w14:textId="77777777" w:rsidR="00F02AEC" w:rsidRPr="00257138" w:rsidRDefault="00F02AEC">
          <w:pPr>
            <w:pStyle w:val="Footer"/>
          </w:pPr>
          <w:r w:rsidRPr="00257138">
            <w:t xml:space="preserve">V1.0 </w:t>
          </w:r>
          <w:r>
            <w:t>Month</w:t>
          </w:r>
          <w:r w:rsidRPr="00257138">
            <w:t xml:space="preserve"> 201</w:t>
          </w:r>
          <w:r>
            <w:t>2</w:t>
          </w:r>
        </w:p>
      </w:tc>
      <w:tc>
        <w:tcPr>
          <w:tcW w:w="4360" w:type="dxa"/>
        </w:tcPr>
        <w:p w14:paraId="61223531" w14:textId="77777777" w:rsidR="00F02AEC" w:rsidRPr="00257138" w:rsidRDefault="00F02AEC">
          <w:pPr>
            <w:pStyle w:val="Footer"/>
            <w:jc w:val="right"/>
          </w:pPr>
        </w:p>
      </w:tc>
    </w:tr>
  </w:tbl>
  <w:p w14:paraId="01AC6485" w14:textId="77777777" w:rsidR="00F02AEC" w:rsidRPr="00826007" w:rsidRDefault="00F02AEC">
    <w:pPr>
      <w:pStyle w:val="Footer"/>
      <w:tabs>
        <w:tab w:val="left" w:pos="7620"/>
        <w:tab w:val="right" w:pos="850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7EEB" w14:textId="6DE78655" w:rsidR="00F02AEC" w:rsidRDefault="00F02AEC">
    <w:pPr>
      <w:pStyle w:val="Footer"/>
      <w:ind w:left="-1701"/>
    </w:pPr>
    <w:r w:rsidRPr="002B29B2">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338"/>
      <w:gridCol w:w="1734"/>
    </w:tblGrid>
    <w:tr w:rsidR="00F02AEC" w:rsidRPr="005212A2" w14:paraId="6B8A9C16" w14:textId="77777777">
      <w:trPr>
        <w:trHeight w:val="423"/>
      </w:trPr>
      <w:tc>
        <w:tcPr>
          <w:tcW w:w="7338" w:type="dxa"/>
          <w:tcBorders>
            <w:top w:val="single" w:sz="4" w:space="0" w:color="auto"/>
          </w:tcBorders>
        </w:tcPr>
        <w:p w14:paraId="20E36E50" w14:textId="67628442" w:rsidR="00F02AEC" w:rsidRPr="005212A2" w:rsidRDefault="000579C9" w:rsidP="000579C9">
          <w:pPr>
            <w:pStyle w:val="Footer"/>
          </w:pPr>
          <w:r w:rsidRPr="000579C9">
            <w:t xml:space="preserve">Notice of </w:t>
          </w:r>
          <w:r w:rsidR="0033673D">
            <w:t>final</w:t>
          </w:r>
          <w:r w:rsidRPr="000579C9">
            <w:t xml:space="preserve"> decision to amend the current Poisons Standard</w:t>
          </w:r>
          <w:r w:rsidR="0033673D">
            <w:t xml:space="preserve"> in relation to lead</w:t>
          </w:r>
          <w:r w:rsidRPr="000579C9">
            <w:t xml:space="preserve"> (</w:t>
          </w:r>
          <w:r w:rsidR="00807938">
            <w:t>in anti-fouling paints)</w:t>
          </w:r>
          <w:r w:rsidR="00F02AEC" w:rsidRPr="005212A2">
            <w:t xml:space="preserve"> </w:t>
          </w:r>
          <w:r w:rsidR="00EF7B57">
            <w:t>(July 2026)</w:t>
          </w:r>
          <w:r w:rsidR="00F02AEC" w:rsidRPr="005212A2">
            <w:br/>
          </w:r>
        </w:p>
      </w:tc>
      <w:tc>
        <w:tcPr>
          <w:tcW w:w="1734" w:type="dxa"/>
          <w:tcBorders>
            <w:top w:val="single" w:sz="4" w:space="0" w:color="auto"/>
          </w:tcBorders>
        </w:tcPr>
        <w:sdt>
          <w:sdtPr>
            <w:id w:val="11571659"/>
            <w:docPartObj>
              <w:docPartGallery w:val="Page Numbers (Top of Page)"/>
              <w:docPartUnique/>
            </w:docPartObj>
          </w:sdtPr>
          <w:sdtEndPr/>
          <w:sdtContent>
            <w:p w14:paraId="500BB0CE" w14:textId="77777777" w:rsidR="00F02AEC" w:rsidRPr="005212A2" w:rsidRDefault="00F02AEC" w:rsidP="000579C9">
              <w:pPr>
                <w:pStyle w:val="Footer"/>
                <w:jc w:val="right"/>
              </w:pPr>
              <w:r w:rsidRPr="000579C9">
                <w:t>Page</w:t>
              </w:r>
              <w:r w:rsidRPr="005212A2">
                <w:t xml:space="preserve"> </w:t>
              </w:r>
              <w:r w:rsidRPr="005212A2">
                <w:fldChar w:fldCharType="begin"/>
              </w:r>
              <w:r w:rsidRPr="005212A2">
                <w:instrText xml:space="preserve"> PAGE </w:instrText>
              </w:r>
              <w:r w:rsidRPr="005212A2">
                <w:fldChar w:fldCharType="separate"/>
              </w:r>
              <w:r w:rsidRPr="005212A2">
                <w:rPr>
                  <w:noProof/>
                </w:rPr>
                <w:t>6</w:t>
              </w:r>
              <w:r w:rsidRPr="005212A2">
                <w:rPr>
                  <w:noProof/>
                </w:rPr>
                <w:fldChar w:fldCharType="end"/>
              </w:r>
              <w:r w:rsidRPr="005212A2">
                <w:t xml:space="preserve"> of </w:t>
              </w:r>
              <w:fldSimple w:instr=" NUMPAGES  ">
                <w:r w:rsidRPr="005212A2">
                  <w:rPr>
                    <w:noProof/>
                  </w:rPr>
                  <w:t>7</w:t>
                </w:r>
              </w:fldSimple>
            </w:p>
          </w:sdtContent>
        </w:sdt>
      </w:tc>
    </w:tr>
  </w:tbl>
  <w:p w14:paraId="3F92DC3F" w14:textId="461BCAC6" w:rsidR="00F02AEC" w:rsidRPr="0090744F" w:rsidRDefault="00F02AEC" w:rsidP="00F27B5E">
    <w:pPr>
      <w:pStyle w:val="Footer"/>
      <w:tabs>
        <w:tab w:val="left" w:pos="7620"/>
        <w:tab w:val="right" w:pos="8504"/>
      </w:tabs>
      <w:rPr>
        <w:rFonts w:asciiTheme="minorHAnsi" w:hAnsiTheme="minorHAnsi" w:cstheme="minorHAnsi"/>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EEED" w14:textId="6336740E" w:rsidR="005B141F" w:rsidRPr="008E3C43" w:rsidRDefault="005B1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E82B4" w14:textId="77777777" w:rsidR="00946D7B" w:rsidRDefault="00946D7B" w:rsidP="00F02AEC">
      <w:pPr>
        <w:spacing w:after="0" w:line="240" w:lineRule="auto"/>
      </w:pPr>
      <w:r>
        <w:separator/>
      </w:r>
    </w:p>
  </w:footnote>
  <w:footnote w:type="continuationSeparator" w:id="0">
    <w:p w14:paraId="1C88D109" w14:textId="77777777" w:rsidR="00946D7B" w:rsidRDefault="00946D7B" w:rsidP="00F02AEC">
      <w:pPr>
        <w:spacing w:after="0" w:line="240" w:lineRule="auto"/>
      </w:pPr>
      <w:r>
        <w:continuationSeparator/>
      </w:r>
    </w:p>
  </w:footnote>
  <w:footnote w:id="1">
    <w:p w14:paraId="6B28D48A" w14:textId="77777777" w:rsidR="00F77070" w:rsidRPr="0094436E" w:rsidRDefault="00F77070" w:rsidP="00F77070">
      <w:pPr>
        <w:pStyle w:val="FootnoteText"/>
        <w:spacing w:line="240" w:lineRule="auto"/>
        <w:rPr>
          <w:rFonts w:cs="Arial"/>
          <w:szCs w:val="16"/>
        </w:rPr>
      </w:pPr>
      <w:r w:rsidRPr="0094436E">
        <w:rPr>
          <w:rStyle w:val="FootnoteReference"/>
          <w:rFonts w:cs="Arial"/>
          <w:szCs w:val="16"/>
        </w:rPr>
        <w:footnoteRef/>
      </w:r>
      <w:r w:rsidRPr="0094436E">
        <w:rPr>
          <w:rFonts w:cs="Arial"/>
          <w:szCs w:val="16"/>
        </w:rPr>
        <w:t xml:space="preserve"> </w:t>
      </w:r>
      <w:r w:rsidRPr="0094436E">
        <w:rPr>
          <w:rFonts w:cs="Arial"/>
          <w:color w:val="000000" w:themeColor="text1"/>
          <w:szCs w:val="16"/>
        </w:rPr>
        <w:t>Proposed additions are shown in green underlined font, proposed deletions are shown in red strikethrough font, and text without this formatting represents the current text in the Poisons Standard.</w:t>
      </w:r>
    </w:p>
  </w:footnote>
  <w:footnote w:id="2">
    <w:p w14:paraId="182B5695" w14:textId="6F602744" w:rsidR="00467F98" w:rsidRDefault="00467F98">
      <w:pPr>
        <w:pStyle w:val="FootnoteText"/>
      </w:pPr>
      <w:r>
        <w:rPr>
          <w:rStyle w:val="FootnoteReference"/>
        </w:rPr>
        <w:footnoteRef/>
      </w:r>
      <w:r>
        <w:t xml:space="preserve"> </w:t>
      </w:r>
      <w:hyperlink r:id="rId1" w:history="1">
        <w:r>
          <w:rPr>
            <w:rStyle w:val="Hyperlink"/>
          </w:rPr>
          <w:t>Notice of final decision to amend (or not amend) the current Poisons Standard</w:t>
        </w:r>
      </w:hyperlink>
      <w:r>
        <w:t>, published in September 2021.</w:t>
      </w:r>
    </w:p>
  </w:footnote>
  <w:footnote w:id="3">
    <w:p w14:paraId="40EE0EA9" w14:textId="4A2FD704" w:rsidR="00467F98" w:rsidRDefault="00467F98">
      <w:pPr>
        <w:pStyle w:val="FootnoteText"/>
      </w:pPr>
      <w:r>
        <w:rPr>
          <w:rStyle w:val="FootnoteReference"/>
        </w:rPr>
        <w:footnoteRef/>
      </w:r>
      <w:r>
        <w:t xml:space="preserve"> </w:t>
      </w:r>
      <w:hyperlink r:id="rId2" w:history="1">
        <w:r>
          <w:rPr>
            <w:rStyle w:val="Hyperlink"/>
          </w:rPr>
          <w:t>Notice of final decision to amend (or not amend) the current Poisons Standard in relation to lead</w:t>
        </w:r>
      </w:hyperlink>
      <w:r>
        <w:t>, published 18 September 2023</w:t>
      </w:r>
    </w:p>
  </w:footnote>
  <w:footnote w:id="4">
    <w:p w14:paraId="36532B7F" w14:textId="2D96E896" w:rsidR="000B4DF8" w:rsidRDefault="000B4DF8">
      <w:pPr>
        <w:pStyle w:val="FootnoteText"/>
      </w:pPr>
      <w:r>
        <w:rPr>
          <w:rStyle w:val="FootnoteReference"/>
        </w:rPr>
        <w:footnoteRef/>
      </w:r>
      <w:r>
        <w:t xml:space="preserve"> </w:t>
      </w:r>
      <w:hyperlink r:id="rId3" w:history="1">
        <w:r>
          <w:rPr>
            <w:rStyle w:val="Hyperlink"/>
          </w:rPr>
          <w:t>Consultation: Proposed amendments to the Poisons Standard - ACMS, ACCS and Joint ACMS/ACCS meetings, March 2021</w:t>
        </w:r>
      </w:hyperlink>
      <w:r>
        <w:t xml:space="preserve"> </w:t>
      </w:r>
    </w:p>
  </w:footnote>
  <w:footnote w:id="5">
    <w:p w14:paraId="7921EEE9" w14:textId="00872485" w:rsidR="00CF466B" w:rsidRDefault="00CF466B">
      <w:pPr>
        <w:pStyle w:val="FootnoteText"/>
      </w:pPr>
      <w:r>
        <w:rPr>
          <w:rStyle w:val="FootnoteReference"/>
        </w:rPr>
        <w:footnoteRef/>
      </w:r>
      <w:r>
        <w:t xml:space="preserve"> </w:t>
      </w:r>
      <w:hyperlink r:id="rId4" w:history="1">
        <w:r w:rsidR="00E42B27" w:rsidRPr="00E42B27">
          <w:rPr>
            <w:rStyle w:val="Hyperlink"/>
          </w:rPr>
          <w:t>PART 1303—BAN OF LEAD-CONTAINING PAINT AND CERTAIN CONSUMER PRODUCTS BEARING LEAD-CONTAINING PAINT</w:t>
        </w:r>
      </w:hyperlink>
      <w:r w:rsidR="00E42B27">
        <w:t>. Accessed</w:t>
      </w:r>
      <w:r w:rsidR="0040657C">
        <w:t>:</w:t>
      </w:r>
      <w:r w:rsidR="00E42B27">
        <w:t xml:space="preserve"> 18/6/2026</w:t>
      </w:r>
    </w:p>
  </w:footnote>
  <w:footnote w:id="6">
    <w:p w14:paraId="5D4534F8" w14:textId="77777777" w:rsidR="00CE0526" w:rsidRDefault="00CE0526" w:rsidP="00CE0526">
      <w:pPr>
        <w:pStyle w:val="FootnoteText"/>
      </w:pPr>
      <w:r>
        <w:rPr>
          <w:rStyle w:val="FootnoteReference"/>
        </w:rPr>
        <w:footnoteRef/>
      </w:r>
      <w:r>
        <w:t xml:space="preserve"> </w:t>
      </w:r>
      <w:r w:rsidRPr="00362EEB">
        <w:t>Performance Specification: Paint System, Anticorrosive and Antifouling, Ship Hull, U.S. Department of Defence, April 9, 2013</w:t>
      </w:r>
    </w:p>
  </w:footnote>
  <w:footnote w:id="7">
    <w:p w14:paraId="619F5394" w14:textId="11D4D489" w:rsidR="00362EEB" w:rsidRDefault="00362EEB">
      <w:pPr>
        <w:pStyle w:val="FootnoteText"/>
      </w:pPr>
      <w:r>
        <w:rPr>
          <w:rStyle w:val="FootnoteReference"/>
        </w:rPr>
        <w:footnoteRef/>
      </w:r>
      <w:r>
        <w:t xml:space="preserve"> </w:t>
      </w:r>
      <w:r w:rsidRPr="00362EEB">
        <w:t>United Nations Environment Programme</w:t>
      </w:r>
      <w:r>
        <w:t xml:space="preserve"> </w:t>
      </w:r>
      <w:r w:rsidRPr="00362EEB">
        <w:t>and the UN Lead Paint Alliance</w:t>
      </w:r>
      <w:r>
        <w:t xml:space="preserve">, available at </w:t>
      </w:r>
      <w:hyperlink r:id="rId5" w:history="1">
        <w:r>
          <w:rPr>
            <w:rStyle w:val="Hyperlink"/>
          </w:rPr>
          <w:t>www.unep.org/explore-topics/chemicals-waste/what-we-do/emerging-issues/global-alliance-eliminate-lead-paint/faq</w:t>
        </w:r>
      </w:hyperlink>
      <w:r>
        <w:t xml:space="preserve">; accessed 9 July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7947" w14:textId="059BE214" w:rsidR="00646509" w:rsidRDefault="00646509">
    <w:pPr>
      <w:pStyle w:val="Header"/>
    </w:pPr>
    <w:r>
      <w:rPr>
        <w:noProof/>
      </w:rPr>
      <mc:AlternateContent>
        <mc:Choice Requires="wps">
          <w:drawing>
            <wp:anchor distT="0" distB="0" distL="0" distR="0" simplePos="0" relativeHeight="251661312" behindDoc="0" locked="0" layoutInCell="1" allowOverlap="1" wp14:anchorId="483CBFDB" wp14:editId="403BD1DC">
              <wp:simplePos x="635" y="635"/>
              <wp:positionH relativeFrom="page">
                <wp:align>center</wp:align>
              </wp:positionH>
              <wp:positionV relativeFrom="page">
                <wp:align>top</wp:align>
              </wp:positionV>
              <wp:extent cx="622300" cy="391160"/>
              <wp:effectExtent l="0" t="0" r="6350" b="8890"/>
              <wp:wrapNone/>
              <wp:docPr id="18834961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0A5C870" w14:textId="63073459" w:rsidR="00646509" w:rsidRPr="00646509" w:rsidRDefault="00646509" w:rsidP="00646509">
                          <w:pPr>
                            <w:spacing w:after="0"/>
                            <w:rPr>
                              <w:rFonts w:ascii="Aptos" w:eastAsia="Aptos" w:hAnsi="Aptos" w:cs="Aptos"/>
                              <w:noProof/>
                              <w:color w:val="FF0000"/>
                              <w:sz w:val="24"/>
                              <w:szCs w:val="24"/>
                            </w:rPr>
                          </w:pPr>
                          <w:r w:rsidRPr="0064650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3CBFDB"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30A5C870" w14:textId="63073459" w:rsidR="00646509" w:rsidRPr="00646509" w:rsidRDefault="00646509" w:rsidP="00646509">
                    <w:pPr>
                      <w:spacing w:after="0"/>
                      <w:rPr>
                        <w:rFonts w:ascii="Aptos" w:eastAsia="Aptos" w:hAnsi="Aptos" w:cs="Aptos"/>
                        <w:noProof/>
                        <w:color w:val="FF0000"/>
                        <w:sz w:val="24"/>
                        <w:szCs w:val="24"/>
                      </w:rPr>
                    </w:pPr>
                    <w:r w:rsidRPr="00646509">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C425" w14:textId="4F94AAF3" w:rsidR="00F02AEC" w:rsidRPr="00CB0550" w:rsidRDefault="00646509" w:rsidP="00CB0550">
    <w:pPr>
      <w:pStyle w:val="Header"/>
      <w:jc w:val="left"/>
    </w:pPr>
    <w:r>
      <w:rPr>
        <w:noProof/>
      </w:rPr>
      <mc:AlternateContent>
        <mc:Choice Requires="wps">
          <w:drawing>
            <wp:anchor distT="0" distB="0" distL="0" distR="0" simplePos="0" relativeHeight="251662336" behindDoc="0" locked="0" layoutInCell="1" allowOverlap="1" wp14:anchorId="156F1448" wp14:editId="0393079A">
              <wp:simplePos x="635" y="635"/>
              <wp:positionH relativeFrom="page">
                <wp:align>center</wp:align>
              </wp:positionH>
              <wp:positionV relativeFrom="page">
                <wp:align>top</wp:align>
              </wp:positionV>
              <wp:extent cx="622300" cy="391160"/>
              <wp:effectExtent l="0" t="0" r="6350" b="8890"/>
              <wp:wrapNone/>
              <wp:docPr id="128149761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0310082" w14:textId="52ED5FEE" w:rsidR="00646509" w:rsidRPr="00646509" w:rsidRDefault="00646509" w:rsidP="00646509">
                          <w:pPr>
                            <w:spacing w:after="0"/>
                            <w:rPr>
                              <w:rFonts w:ascii="Aptos" w:eastAsia="Aptos" w:hAnsi="Aptos" w:cs="Aptos"/>
                              <w:noProof/>
                              <w:color w:val="FF0000"/>
                              <w:sz w:val="24"/>
                              <w:szCs w:val="24"/>
                            </w:rPr>
                          </w:pPr>
                          <w:r w:rsidRPr="0064650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6F1448"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60310082" w14:textId="52ED5FEE" w:rsidR="00646509" w:rsidRPr="00646509" w:rsidRDefault="00646509" w:rsidP="00646509">
                    <w:pPr>
                      <w:spacing w:after="0"/>
                      <w:rPr>
                        <w:rFonts w:ascii="Aptos" w:eastAsia="Aptos" w:hAnsi="Aptos" w:cs="Aptos"/>
                        <w:noProof/>
                        <w:color w:val="FF0000"/>
                        <w:sz w:val="24"/>
                        <w:szCs w:val="24"/>
                      </w:rPr>
                    </w:pPr>
                    <w:r w:rsidRPr="00646509">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1" w:rightFromText="181" w:vertAnchor="page" w:horzAnchor="page" w:tblpX="1" w:tblpY="8999"/>
      <w:tblOverlap w:val="never"/>
      <w:tblW w:w="11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64"/>
    </w:tblGrid>
    <w:tr w:rsidR="00F02AEC" w:rsidRPr="002B29B2" w14:paraId="684D371B" w14:textId="77777777">
      <w:trPr>
        <w:trHeight w:hRule="exact" w:val="8845"/>
      </w:trPr>
      <w:tc>
        <w:tcPr>
          <w:tcW w:w="11964" w:type="dxa"/>
          <w:vAlign w:val="center"/>
        </w:tcPr>
        <w:p w14:paraId="00877983" w14:textId="643EFE74" w:rsidR="00F02AEC" w:rsidRPr="002B29B2" w:rsidRDefault="00F02AEC">
          <w:pPr>
            <w:ind w:left="-57"/>
            <w:rPr>
              <w:noProof/>
            </w:rPr>
          </w:pPr>
        </w:p>
      </w:tc>
    </w:tr>
  </w:tbl>
  <w:p w14:paraId="75480091" w14:textId="77777777" w:rsidR="00F02AEC" w:rsidRDefault="00CB0550">
    <w:pPr>
      <w:rPr>
        <w:noProof/>
      </w:rPr>
    </w:pPr>
    <w:r>
      <w:rPr>
        <w:noProof/>
        <w:lang w:eastAsia="en-AU"/>
      </w:rPr>
      <w:drawing>
        <wp:anchor distT="0" distB="0" distL="114300" distR="114300" simplePos="0" relativeHeight="251659264" behindDoc="0" locked="0" layoutInCell="1" allowOverlap="1" wp14:anchorId="79E6D9B6" wp14:editId="6BA90D10">
          <wp:simplePos x="0" y="0"/>
          <wp:positionH relativeFrom="column">
            <wp:posOffset>-400050</wp:posOffset>
          </wp:positionH>
          <wp:positionV relativeFrom="paragraph">
            <wp:posOffset>-83185</wp:posOffset>
          </wp:positionV>
          <wp:extent cx="2676525" cy="554355"/>
          <wp:effectExtent l="0" t="0" r="9525" b="0"/>
          <wp:wrapTopAndBottom/>
          <wp:docPr id="1453641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76525" cy="5543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02AEC" w:rsidRPr="002B29B2">
      <w:rPr>
        <w:noProof/>
        <w:lang w:eastAsia="en-AU"/>
      </w:rPr>
      <w:drawing>
        <wp:anchor distT="0" distB="0" distL="114300" distR="114300" simplePos="0" relativeHeight="251657216" behindDoc="0" locked="0" layoutInCell="0" allowOverlap="1" wp14:anchorId="7B8BCD73" wp14:editId="3D55BBA6">
          <wp:simplePos x="0" y="0"/>
          <wp:positionH relativeFrom="page">
            <wp:align>left</wp:align>
          </wp:positionH>
          <wp:positionV relativeFrom="page">
            <wp:posOffset>3239495</wp:posOffset>
          </wp:positionV>
          <wp:extent cx="7663815" cy="4323091"/>
          <wp:effectExtent l="0" t="0" r="0" b="1270"/>
          <wp:wrapNone/>
          <wp:docPr id="1861527895" name="Picture 186152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663815" cy="43230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3C54" w14:textId="68426379" w:rsidR="00F02AEC" w:rsidRPr="005212A2" w:rsidRDefault="00F02AEC" w:rsidP="000579C9">
    <w:pPr>
      <w:pStyle w:val="Header"/>
    </w:pPr>
    <w:r w:rsidRPr="005212A2">
      <w:t>Therapeutic Goods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CCA8" w14:textId="78A75EB3" w:rsidR="005B141F" w:rsidRPr="00FE501F" w:rsidRDefault="005B141F">
    <w:pPr>
      <w:pStyle w:val="Headerno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B42"/>
    <w:multiLevelType w:val="hybridMultilevel"/>
    <w:tmpl w:val="5E58EFAC"/>
    <w:lvl w:ilvl="0" w:tplc="47ECA710">
      <w:start w:val="1"/>
      <w:numFmt w:val="bullet"/>
      <w:lvlText w:val=""/>
      <w:lvlJc w:val="left"/>
      <w:pPr>
        <w:ind w:left="720" w:hanging="360"/>
      </w:pPr>
      <w:rPr>
        <w:rFonts w:ascii="Symbol" w:hAnsi="Symbol"/>
      </w:rPr>
    </w:lvl>
    <w:lvl w:ilvl="1" w:tplc="88ACA27C">
      <w:start w:val="1"/>
      <w:numFmt w:val="bullet"/>
      <w:lvlText w:val=""/>
      <w:lvlJc w:val="left"/>
      <w:pPr>
        <w:ind w:left="720" w:hanging="360"/>
      </w:pPr>
      <w:rPr>
        <w:rFonts w:ascii="Symbol" w:hAnsi="Symbol"/>
      </w:rPr>
    </w:lvl>
    <w:lvl w:ilvl="2" w:tplc="D674D818">
      <w:start w:val="1"/>
      <w:numFmt w:val="bullet"/>
      <w:lvlText w:val=""/>
      <w:lvlJc w:val="left"/>
      <w:pPr>
        <w:ind w:left="720" w:hanging="360"/>
      </w:pPr>
      <w:rPr>
        <w:rFonts w:ascii="Symbol" w:hAnsi="Symbol"/>
      </w:rPr>
    </w:lvl>
    <w:lvl w:ilvl="3" w:tplc="D1B00712">
      <w:start w:val="1"/>
      <w:numFmt w:val="bullet"/>
      <w:lvlText w:val=""/>
      <w:lvlJc w:val="left"/>
      <w:pPr>
        <w:ind w:left="720" w:hanging="360"/>
      </w:pPr>
      <w:rPr>
        <w:rFonts w:ascii="Symbol" w:hAnsi="Symbol"/>
      </w:rPr>
    </w:lvl>
    <w:lvl w:ilvl="4" w:tplc="9FD8BB1C">
      <w:start w:val="1"/>
      <w:numFmt w:val="bullet"/>
      <w:lvlText w:val=""/>
      <w:lvlJc w:val="left"/>
      <w:pPr>
        <w:ind w:left="720" w:hanging="360"/>
      </w:pPr>
      <w:rPr>
        <w:rFonts w:ascii="Symbol" w:hAnsi="Symbol"/>
      </w:rPr>
    </w:lvl>
    <w:lvl w:ilvl="5" w:tplc="BC50D9F4">
      <w:start w:val="1"/>
      <w:numFmt w:val="bullet"/>
      <w:lvlText w:val=""/>
      <w:lvlJc w:val="left"/>
      <w:pPr>
        <w:ind w:left="720" w:hanging="360"/>
      </w:pPr>
      <w:rPr>
        <w:rFonts w:ascii="Symbol" w:hAnsi="Symbol"/>
      </w:rPr>
    </w:lvl>
    <w:lvl w:ilvl="6" w:tplc="1A2C64B0">
      <w:start w:val="1"/>
      <w:numFmt w:val="bullet"/>
      <w:lvlText w:val=""/>
      <w:lvlJc w:val="left"/>
      <w:pPr>
        <w:ind w:left="720" w:hanging="360"/>
      </w:pPr>
      <w:rPr>
        <w:rFonts w:ascii="Symbol" w:hAnsi="Symbol"/>
      </w:rPr>
    </w:lvl>
    <w:lvl w:ilvl="7" w:tplc="40F2D660">
      <w:start w:val="1"/>
      <w:numFmt w:val="bullet"/>
      <w:lvlText w:val=""/>
      <w:lvlJc w:val="left"/>
      <w:pPr>
        <w:ind w:left="720" w:hanging="360"/>
      </w:pPr>
      <w:rPr>
        <w:rFonts w:ascii="Symbol" w:hAnsi="Symbol"/>
      </w:rPr>
    </w:lvl>
    <w:lvl w:ilvl="8" w:tplc="D3DC305A">
      <w:start w:val="1"/>
      <w:numFmt w:val="bullet"/>
      <w:lvlText w:val=""/>
      <w:lvlJc w:val="left"/>
      <w:pPr>
        <w:ind w:left="720" w:hanging="360"/>
      </w:pPr>
      <w:rPr>
        <w:rFonts w:ascii="Symbol" w:hAnsi="Symbol"/>
      </w:rPr>
    </w:lvl>
  </w:abstractNum>
  <w:abstractNum w:abstractNumId="1" w15:restartNumberingAfterBreak="0">
    <w:nsid w:val="03AF7A3E"/>
    <w:multiLevelType w:val="hybridMultilevel"/>
    <w:tmpl w:val="B9A81880"/>
    <w:lvl w:ilvl="0" w:tplc="7444C0B6">
      <w:start w:val="1"/>
      <w:numFmt w:val="lowerLetter"/>
      <w:pStyle w:val="Legislation-list"/>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3D4E89"/>
    <w:multiLevelType w:val="hybridMultilevel"/>
    <w:tmpl w:val="58B68FD0"/>
    <w:lvl w:ilvl="0" w:tplc="CC660AB0">
      <w:start w:val="1"/>
      <w:numFmt w:val="bullet"/>
      <w:lvlText w:val=""/>
      <w:lvlJc w:val="left"/>
      <w:pPr>
        <w:ind w:left="720" w:hanging="360"/>
      </w:pPr>
      <w:rPr>
        <w:rFonts w:ascii="Symbol" w:hAnsi="Symbol"/>
      </w:rPr>
    </w:lvl>
    <w:lvl w:ilvl="1" w:tplc="7B2260C0">
      <w:start w:val="1"/>
      <w:numFmt w:val="bullet"/>
      <w:lvlText w:val=""/>
      <w:lvlJc w:val="left"/>
      <w:pPr>
        <w:ind w:left="720" w:hanging="360"/>
      </w:pPr>
      <w:rPr>
        <w:rFonts w:ascii="Symbol" w:hAnsi="Symbol"/>
      </w:rPr>
    </w:lvl>
    <w:lvl w:ilvl="2" w:tplc="0E343048">
      <w:start w:val="1"/>
      <w:numFmt w:val="bullet"/>
      <w:lvlText w:val=""/>
      <w:lvlJc w:val="left"/>
      <w:pPr>
        <w:ind w:left="720" w:hanging="360"/>
      </w:pPr>
      <w:rPr>
        <w:rFonts w:ascii="Symbol" w:hAnsi="Symbol"/>
      </w:rPr>
    </w:lvl>
    <w:lvl w:ilvl="3" w:tplc="B3B23A3C">
      <w:start w:val="1"/>
      <w:numFmt w:val="bullet"/>
      <w:lvlText w:val=""/>
      <w:lvlJc w:val="left"/>
      <w:pPr>
        <w:ind w:left="720" w:hanging="360"/>
      </w:pPr>
      <w:rPr>
        <w:rFonts w:ascii="Symbol" w:hAnsi="Symbol"/>
      </w:rPr>
    </w:lvl>
    <w:lvl w:ilvl="4" w:tplc="76B2E824">
      <w:start w:val="1"/>
      <w:numFmt w:val="bullet"/>
      <w:lvlText w:val=""/>
      <w:lvlJc w:val="left"/>
      <w:pPr>
        <w:ind w:left="720" w:hanging="360"/>
      </w:pPr>
      <w:rPr>
        <w:rFonts w:ascii="Symbol" w:hAnsi="Symbol"/>
      </w:rPr>
    </w:lvl>
    <w:lvl w:ilvl="5" w:tplc="58F62DC0">
      <w:start w:val="1"/>
      <w:numFmt w:val="bullet"/>
      <w:lvlText w:val=""/>
      <w:lvlJc w:val="left"/>
      <w:pPr>
        <w:ind w:left="720" w:hanging="360"/>
      </w:pPr>
      <w:rPr>
        <w:rFonts w:ascii="Symbol" w:hAnsi="Symbol"/>
      </w:rPr>
    </w:lvl>
    <w:lvl w:ilvl="6" w:tplc="96F60156">
      <w:start w:val="1"/>
      <w:numFmt w:val="bullet"/>
      <w:lvlText w:val=""/>
      <w:lvlJc w:val="left"/>
      <w:pPr>
        <w:ind w:left="720" w:hanging="360"/>
      </w:pPr>
      <w:rPr>
        <w:rFonts w:ascii="Symbol" w:hAnsi="Symbol"/>
      </w:rPr>
    </w:lvl>
    <w:lvl w:ilvl="7" w:tplc="911C73EC">
      <w:start w:val="1"/>
      <w:numFmt w:val="bullet"/>
      <w:lvlText w:val=""/>
      <w:lvlJc w:val="left"/>
      <w:pPr>
        <w:ind w:left="720" w:hanging="360"/>
      </w:pPr>
      <w:rPr>
        <w:rFonts w:ascii="Symbol" w:hAnsi="Symbol"/>
      </w:rPr>
    </w:lvl>
    <w:lvl w:ilvl="8" w:tplc="88C43254">
      <w:start w:val="1"/>
      <w:numFmt w:val="bullet"/>
      <w:lvlText w:val=""/>
      <w:lvlJc w:val="left"/>
      <w:pPr>
        <w:ind w:left="720" w:hanging="360"/>
      </w:pPr>
      <w:rPr>
        <w:rFonts w:ascii="Symbol" w:hAnsi="Symbol"/>
      </w:rPr>
    </w:lvl>
  </w:abstractNum>
  <w:abstractNum w:abstractNumId="3" w15:restartNumberingAfterBreak="0">
    <w:nsid w:val="0C653530"/>
    <w:multiLevelType w:val="hybridMultilevel"/>
    <w:tmpl w:val="7B0E400A"/>
    <w:lvl w:ilvl="0" w:tplc="2CAAF5B4">
      <w:start w:val="1"/>
      <w:numFmt w:val="bullet"/>
      <w:lvlText w:val=""/>
      <w:lvlJc w:val="left"/>
      <w:pPr>
        <w:ind w:left="720" w:hanging="360"/>
      </w:pPr>
      <w:rPr>
        <w:rFonts w:ascii="Symbol" w:hAnsi="Symbol"/>
      </w:rPr>
    </w:lvl>
    <w:lvl w:ilvl="1" w:tplc="8526A086">
      <w:start w:val="1"/>
      <w:numFmt w:val="bullet"/>
      <w:lvlText w:val=""/>
      <w:lvlJc w:val="left"/>
      <w:pPr>
        <w:ind w:left="720" w:hanging="360"/>
      </w:pPr>
      <w:rPr>
        <w:rFonts w:ascii="Symbol" w:hAnsi="Symbol"/>
      </w:rPr>
    </w:lvl>
    <w:lvl w:ilvl="2" w:tplc="A5FAE35E">
      <w:start w:val="1"/>
      <w:numFmt w:val="bullet"/>
      <w:lvlText w:val=""/>
      <w:lvlJc w:val="left"/>
      <w:pPr>
        <w:ind w:left="720" w:hanging="360"/>
      </w:pPr>
      <w:rPr>
        <w:rFonts w:ascii="Symbol" w:hAnsi="Symbol"/>
      </w:rPr>
    </w:lvl>
    <w:lvl w:ilvl="3" w:tplc="27AE860C">
      <w:start w:val="1"/>
      <w:numFmt w:val="bullet"/>
      <w:lvlText w:val=""/>
      <w:lvlJc w:val="left"/>
      <w:pPr>
        <w:ind w:left="720" w:hanging="360"/>
      </w:pPr>
      <w:rPr>
        <w:rFonts w:ascii="Symbol" w:hAnsi="Symbol"/>
      </w:rPr>
    </w:lvl>
    <w:lvl w:ilvl="4" w:tplc="1D546176">
      <w:start w:val="1"/>
      <w:numFmt w:val="bullet"/>
      <w:lvlText w:val=""/>
      <w:lvlJc w:val="left"/>
      <w:pPr>
        <w:ind w:left="720" w:hanging="360"/>
      </w:pPr>
      <w:rPr>
        <w:rFonts w:ascii="Symbol" w:hAnsi="Symbol"/>
      </w:rPr>
    </w:lvl>
    <w:lvl w:ilvl="5" w:tplc="80129982">
      <w:start w:val="1"/>
      <w:numFmt w:val="bullet"/>
      <w:lvlText w:val=""/>
      <w:lvlJc w:val="left"/>
      <w:pPr>
        <w:ind w:left="720" w:hanging="360"/>
      </w:pPr>
      <w:rPr>
        <w:rFonts w:ascii="Symbol" w:hAnsi="Symbol"/>
      </w:rPr>
    </w:lvl>
    <w:lvl w:ilvl="6" w:tplc="A82294BE">
      <w:start w:val="1"/>
      <w:numFmt w:val="bullet"/>
      <w:lvlText w:val=""/>
      <w:lvlJc w:val="left"/>
      <w:pPr>
        <w:ind w:left="720" w:hanging="360"/>
      </w:pPr>
      <w:rPr>
        <w:rFonts w:ascii="Symbol" w:hAnsi="Symbol"/>
      </w:rPr>
    </w:lvl>
    <w:lvl w:ilvl="7" w:tplc="A13E6DFC">
      <w:start w:val="1"/>
      <w:numFmt w:val="bullet"/>
      <w:lvlText w:val=""/>
      <w:lvlJc w:val="left"/>
      <w:pPr>
        <w:ind w:left="720" w:hanging="360"/>
      </w:pPr>
      <w:rPr>
        <w:rFonts w:ascii="Symbol" w:hAnsi="Symbol"/>
      </w:rPr>
    </w:lvl>
    <w:lvl w:ilvl="8" w:tplc="FECCA124">
      <w:start w:val="1"/>
      <w:numFmt w:val="bullet"/>
      <w:lvlText w:val=""/>
      <w:lvlJc w:val="left"/>
      <w:pPr>
        <w:ind w:left="720" w:hanging="360"/>
      </w:pPr>
      <w:rPr>
        <w:rFonts w:ascii="Symbol" w:hAnsi="Symbol"/>
      </w:rPr>
    </w:lvl>
  </w:abstractNum>
  <w:abstractNum w:abstractNumId="4" w15:restartNumberingAfterBreak="0">
    <w:nsid w:val="10053F11"/>
    <w:multiLevelType w:val="multilevel"/>
    <w:tmpl w:val="9CF4C65E"/>
    <w:styleLink w:val="NumberBullet"/>
    <w:lvl w:ilvl="0">
      <w:start w:val="1"/>
      <w:numFmt w:val="decimal"/>
      <w:pStyle w:val="Numberbullet0"/>
      <w:lvlText w:val="%1."/>
      <w:lvlJc w:val="left"/>
      <w:pPr>
        <w:ind w:left="360" w:hanging="360"/>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5"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6" w15:restartNumberingAfterBreak="0">
    <w:nsid w:val="168F13E9"/>
    <w:multiLevelType w:val="multilevel"/>
    <w:tmpl w:val="BDCE1BCC"/>
    <w:styleLink w:val="ListBullets"/>
    <w:lvl w:ilvl="0">
      <w:start w:val="4"/>
      <w:numFmt w:val="bullet"/>
      <w:pStyle w:val="ListBullet"/>
      <w:lvlText w:val="•"/>
      <w:lvlJc w:val="left"/>
      <w:pPr>
        <w:ind w:left="360" w:hanging="360"/>
      </w:pPr>
      <w:rPr>
        <w:rFonts w:ascii="Cambria" w:eastAsia="Cambria" w:hAnsi="Cambria" w:hint="default"/>
      </w:rPr>
    </w:lvl>
    <w:lvl w:ilvl="1">
      <w:start w:val="1"/>
      <w:numFmt w:val="bullet"/>
      <w:pStyle w:val="ListBullet2"/>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17AF5801"/>
    <w:multiLevelType w:val="hybridMultilevel"/>
    <w:tmpl w:val="D3E0C9D8"/>
    <w:lvl w:ilvl="0" w:tplc="1F566CB8">
      <w:start w:val="1"/>
      <w:numFmt w:val="bullet"/>
      <w:lvlText w:val=""/>
      <w:lvlJc w:val="left"/>
      <w:pPr>
        <w:ind w:left="720" w:hanging="360"/>
      </w:pPr>
      <w:rPr>
        <w:rFonts w:ascii="Symbol" w:hAnsi="Symbol"/>
      </w:rPr>
    </w:lvl>
    <w:lvl w:ilvl="1" w:tplc="51DCED36">
      <w:start w:val="1"/>
      <w:numFmt w:val="bullet"/>
      <w:lvlText w:val=""/>
      <w:lvlJc w:val="left"/>
      <w:pPr>
        <w:ind w:left="720" w:hanging="360"/>
      </w:pPr>
      <w:rPr>
        <w:rFonts w:ascii="Symbol" w:hAnsi="Symbol"/>
      </w:rPr>
    </w:lvl>
    <w:lvl w:ilvl="2" w:tplc="CD84E6A4">
      <w:start w:val="1"/>
      <w:numFmt w:val="bullet"/>
      <w:lvlText w:val=""/>
      <w:lvlJc w:val="left"/>
      <w:pPr>
        <w:ind w:left="720" w:hanging="360"/>
      </w:pPr>
      <w:rPr>
        <w:rFonts w:ascii="Symbol" w:hAnsi="Symbol"/>
      </w:rPr>
    </w:lvl>
    <w:lvl w:ilvl="3" w:tplc="B43C0282">
      <w:start w:val="1"/>
      <w:numFmt w:val="bullet"/>
      <w:lvlText w:val=""/>
      <w:lvlJc w:val="left"/>
      <w:pPr>
        <w:ind w:left="720" w:hanging="360"/>
      </w:pPr>
      <w:rPr>
        <w:rFonts w:ascii="Symbol" w:hAnsi="Symbol"/>
      </w:rPr>
    </w:lvl>
    <w:lvl w:ilvl="4" w:tplc="7C706E32">
      <w:start w:val="1"/>
      <w:numFmt w:val="bullet"/>
      <w:lvlText w:val=""/>
      <w:lvlJc w:val="left"/>
      <w:pPr>
        <w:ind w:left="720" w:hanging="360"/>
      </w:pPr>
      <w:rPr>
        <w:rFonts w:ascii="Symbol" w:hAnsi="Symbol"/>
      </w:rPr>
    </w:lvl>
    <w:lvl w:ilvl="5" w:tplc="FC7EF016">
      <w:start w:val="1"/>
      <w:numFmt w:val="bullet"/>
      <w:lvlText w:val=""/>
      <w:lvlJc w:val="left"/>
      <w:pPr>
        <w:ind w:left="720" w:hanging="360"/>
      </w:pPr>
      <w:rPr>
        <w:rFonts w:ascii="Symbol" w:hAnsi="Symbol"/>
      </w:rPr>
    </w:lvl>
    <w:lvl w:ilvl="6" w:tplc="02781960">
      <w:start w:val="1"/>
      <w:numFmt w:val="bullet"/>
      <w:lvlText w:val=""/>
      <w:lvlJc w:val="left"/>
      <w:pPr>
        <w:ind w:left="720" w:hanging="360"/>
      </w:pPr>
      <w:rPr>
        <w:rFonts w:ascii="Symbol" w:hAnsi="Symbol"/>
      </w:rPr>
    </w:lvl>
    <w:lvl w:ilvl="7" w:tplc="D7D6C4C4">
      <w:start w:val="1"/>
      <w:numFmt w:val="bullet"/>
      <w:lvlText w:val=""/>
      <w:lvlJc w:val="left"/>
      <w:pPr>
        <w:ind w:left="720" w:hanging="360"/>
      </w:pPr>
      <w:rPr>
        <w:rFonts w:ascii="Symbol" w:hAnsi="Symbol"/>
      </w:rPr>
    </w:lvl>
    <w:lvl w:ilvl="8" w:tplc="4B7E8694">
      <w:start w:val="1"/>
      <w:numFmt w:val="bullet"/>
      <w:lvlText w:val=""/>
      <w:lvlJc w:val="left"/>
      <w:pPr>
        <w:ind w:left="720" w:hanging="360"/>
      </w:pPr>
      <w:rPr>
        <w:rFonts w:ascii="Symbol" w:hAnsi="Symbol"/>
      </w:rPr>
    </w:lvl>
  </w:abstractNum>
  <w:abstractNum w:abstractNumId="8" w15:restartNumberingAfterBreak="0">
    <w:nsid w:val="1ABD74D0"/>
    <w:multiLevelType w:val="hybridMultilevel"/>
    <w:tmpl w:val="23FE21D4"/>
    <w:lvl w:ilvl="0" w:tplc="180E42A8">
      <w:start w:val="1"/>
      <w:numFmt w:val="lowerRoman"/>
      <w:pStyle w:val="ListBulleti"/>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15:restartNumberingAfterBreak="0">
    <w:nsid w:val="1CEF3ACD"/>
    <w:multiLevelType w:val="multilevel"/>
    <w:tmpl w:val="0748BD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2DD262E"/>
    <w:multiLevelType w:val="hybridMultilevel"/>
    <w:tmpl w:val="7C681CF4"/>
    <w:lvl w:ilvl="0" w:tplc="3410C290">
      <w:start w:val="1"/>
      <w:numFmt w:val="lowerLetter"/>
      <w:pStyle w:val="Numberbullet2"/>
      <w:lvlText w:val="%1)"/>
      <w:lvlJc w:val="left"/>
      <w:pPr>
        <w:ind w:left="1145" w:hanging="360"/>
      </w:pPr>
    </w:lvl>
    <w:lvl w:ilvl="1" w:tplc="0C090019">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1" w15:restartNumberingAfterBreak="0">
    <w:nsid w:val="27E409AC"/>
    <w:multiLevelType w:val="hybridMultilevel"/>
    <w:tmpl w:val="9D821366"/>
    <w:lvl w:ilvl="0" w:tplc="96F84CD4">
      <w:start w:val="1"/>
      <w:numFmt w:val="bullet"/>
      <w:lvlText w:val=""/>
      <w:lvlJc w:val="left"/>
      <w:pPr>
        <w:ind w:left="720" w:hanging="360"/>
      </w:pPr>
      <w:rPr>
        <w:rFonts w:ascii="Symbol" w:hAnsi="Symbol"/>
      </w:rPr>
    </w:lvl>
    <w:lvl w:ilvl="1" w:tplc="CF243098">
      <w:start w:val="1"/>
      <w:numFmt w:val="bullet"/>
      <w:lvlText w:val=""/>
      <w:lvlJc w:val="left"/>
      <w:pPr>
        <w:ind w:left="720" w:hanging="360"/>
      </w:pPr>
      <w:rPr>
        <w:rFonts w:ascii="Symbol" w:hAnsi="Symbol"/>
      </w:rPr>
    </w:lvl>
    <w:lvl w:ilvl="2" w:tplc="A010374C">
      <w:start w:val="1"/>
      <w:numFmt w:val="bullet"/>
      <w:lvlText w:val=""/>
      <w:lvlJc w:val="left"/>
      <w:pPr>
        <w:ind w:left="720" w:hanging="360"/>
      </w:pPr>
      <w:rPr>
        <w:rFonts w:ascii="Symbol" w:hAnsi="Symbol"/>
      </w:rPr>
    </w:lvl>
    <w:lvl w:ilvl="3" w:tplc="C47A0A34">
      <w:start w:val="1"/>
      <w:numFmt w:val="bullet"/>
      <w:lvlText w:val=""/>
      <w:lvlJc w:val="left"/>
      <w:pPr>
        <w:ind w:left="720" w:hanging="360"/>
      </w:pPr>
      <w:rPr>
        <w:rFonts w:ascii="Symbol" w:hAnsi="Symbol"/>
      </w:rPr>
    </w:lvl>
    <w:lvl w:ilvl="4" w:tplc="DEA854DE">
      <w:start w:val="1"/>
      <w:numFmt w:val="bullet"/>
      <w:lvlText w:val=""/>
      <w:lvlJc w:val="left"/>
      <w:pPr>
        <w:ind w:left="720" w:hanging="360"/>
      </w:pPr>
      <w:rPr>
        <w:rFonts w:ascii="Symbol" w:hAnsi="Symbol"/>
      </w:rPr>
    </w:lvl>
    <w:lvl w:ilvl="5" w:tplc="53BE0830">
      <w:start w:val="1"/>
      <w:numFmt w:val="bullet"/>
      <w:lvlText w:val=""/>
      <w:lvlJc w:val="left"/>
      <w:pPr>
        <w:ind w:left="720" w:hanging="360"/>
      </w:pPr>
      <w:rPr>
        <w:rFonts w:ascii="Symbol" w:hAnsi="Symbol"/>
      </w:rPr>
    </w:lvl>
    <w:lvl w:ilvl="6" w:tplc="80247880">
      <w:start w:val="1"/>
      <w:numFmt w:val="bullet"/>
      <w:lvlText w:val=""/>
      <w:lvlJc w:val="left"/>
      <w:pPr>
        <w:ind w:left="720" w:hanging="360"/>
      </w:pPr>
      <w:rPr>
        <w:rFonts w:ascii="Symbol" w:hAnsi="Symbol"/>
      </w:rPr>
    </w:lvl>
    <w:lvl w:ilvl="7" w:tplc="50BC8BCE">
      <w:start w:val="1"/>
      <w:numFmt w:val="bullet"/>
      <w:lvlText w:val=""/>
      <w:lvlJc w:val="left"/>
      <w:pPr>
        <w:ind w:left="720" w:hanging="360"/>
      </w:pPr>
      <w:rPr>
        <w:rFonts w:ascii="Symbol" w:hAnsi="Symbol"/>
      </w:rPr>
    </w:lvl>
    <w:lvl w:ilvl="8" w:tplc="BDF4C494">
      <w:start w:val="1"/>
      <w:numFmt w:val="bullet"/>
      <w:lvlText w:val=""/>
      <w:lvlJc w:val="left"/>
      <w:pPr>
        <w:ind w:left="720" w:hanging="360"/>
      </w:pPr>
      <w:rPr>
        <w:rFonts w:ascii="Symbol" w:hAnsi="Symbol"/>
      </w:rPr>
    </w:lvl>
  </w:abstractNum>
  <w:abstractNum w:abstractNumId="12" w15:restartNumberingAfterBreak="0">
    <w:nsid w:val="2E924211"/>
    <w:multiLevelType w:val="hybridMultilevel"/>
    <w:tmpl w:val="37EE0612"/>
    <w:lvl w:ilvl="0" w:tplc="2456737A">
      <w:start w:val="1"/>
      <w:numFmt w:val="lowerLetter"/>
      <w:pStyle w:val="ListBulleta"/>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3" w15:restartNumberingAfterBreak="0">
    <w:nsid w:val="3AED6669"/>
    <w:multiLevelType w:val="hybridMultilevel"/>
    <w:tmpl w:val="150E158E"/>
    <w:lvl w:ilvl="0" w:tplc="49A6BEC0">
      <w:start w:val="1"/>
      <w:numFmt w:val="bullet"/>
      <w:lvlText w:val=""/>
      <w:lvlJc w:val="left"/>
      <w:pPr>
        <w:ind w:left="720" w:hanging="360"/>
      </w:pPr>
      <w:rPr>
        <w:rFonts w:ascii="Symbol" w:hAnsi="Symbol"/>
      </w:rPr>
    </w:lvl>
    <w:lvl w:ilvl="1" w:tplc="70AA96E0">
      <w:start w:val="1"/>
      <w:numFmt w:val="bullet"/>
      <w:lvlText w:val=""/>
      <w:lvlJc w:val="left"/>
      <w:pPr>
        <w:ind w:left="720" w:hanging="360"/>
      </w:pPr>
      <w:rPr>
        <w:rFonts w:ascii="Symbol" w:hAnsi="Symbol"/>
      </w:rPr>
    </w:lvl>
    <w:lvl w:ilvl="2" w:tplc="B7362FEC">
      <w:start w:val="1"/>
      <w:numFmt w:val="bullet"/>
      <w:lvlText w:val=""/>
      <w:lvlJc w:val="left"/>
      <w:pPr>
        <w:ind w:left="720" w:hanging="360"/>
      </w:pPr>
      <w:rPr>
        <w:rFonts w:ascii="Symbol" w:hAnsi="Symbol"/>
      </w:rPr>
    </w:lvl>
    <w:lvl w:ilvl="3" w:tplc="D6E24F8A">
      <w:start w:val="1"/>
      <w:numFmt w:val="bullet"/>
      <w:lvlText w:val=""/>
      <w:lvlJc w:val="left"/>
      <w:pPr>
        <w:ind w:left="720" w:hanging="360"/>
      </w:pPr>
      <w:rPr>
        <w:rFonts w:ascii="Symbol" w:hAnsi="Symbol"/>
      </w:rPr>
    </w:lvl>
    <w:lvl w:ilvl="4" w:tplc="E790FB78">
      <w:start w:val="1"/>
      <w:numFmt w:val="bullet"/>
      <w:lvlText w:val=""/>
      <w:lvlJc w:val="left"/>
      <w:pPr>
        <w:ind w:left="720" w:hanging="360"/>
      </w:pPr>
      <w:rPr>
        <w:rFonts w:ascii="Symbol" w:hAnsi="Symbol"/>
      </w:rPr>
    </w:lvl>
    <w:lvl w:ilvl="5" w:tplc="B5504758">
      <w:start w:val="1"/>
      <w:numFmt w:val="bullet"/>
      <w:lvlText w:val=""/>
      <w:lvlJc w:val="left"/>
      <w:pPr>
        <w:ind w:left="720" w:hanging="360"/>
      </w:pPr>
      <w:rPr>
        <w:rFonts w:ascii="Symbol" w:hAnsi="Symbol"/>
      </w:rPr>
    </w:lvl>
    <w:lvl w:ilvl="6" w:tplc="7CC2B38C">
      <w:start w:val="1"/>
      <w:numFmt w:val="bullet"/>
      <w:lvlText w:val=""/>
      <w:lvlJc w:val="left"/>
      <w:pPr>
        <w:ind w:left="720" w:hanging="360"/>
      </w:pPr>
      <w:rPr>
        <w:rFonts w:ascii="Symbol" w:hAnsi="Symbol"/>
      </w:rPr>
    </w:lvl>
    <w:lvl w:ilvl="7" w:tplc="B7362C8A">
      <w:start w:val="1"/>
      <w:numFmt w:val="bullet"/>
      <w:lvlText w:val=""/>
      <w:lvlJc w:val="left"/>
      <w:pPr>
        <w:ind w:left="720" w:hanging="360"/>
      </w:pPr>
      <w:rPr>
        <w:rFonts w:ascii="Symbol" w:hAnsi="Symbol"/>
      </w:rPr>
    </w:lvl>
    <w:lvl w:ilvl="8" w:tplc="1848F662">
      <w:start w:val="1"/>
      <w:numFmt w:val="bullet"/>
      <w:lvlText w:val=""/>
      <w:lvlJc w:val="left"/>
      <w:pPr>
        <w:ind w:left="720" w:hanging="360"/>
      </w:pPr>
      <w:rPr>
        <w:rFonts w:ascii="Symbol" w:hAnsi="Symbol"/>
      </w:rPr>
    </w:lvl>
  </w:abstractNum>
  <w:abstractNum w:abstractNumId="14" w15:restartNumberingAfterBreak="0">
    <w:nsid w:val="3BF734A5"/>
    <w:multiLevelType w:val="hybridMultilevel"/>
    <w:tmpl w:val="D0F03DBC"/>
    <w:lvl w:ilvl="0" w:tplc="E9783918">
      <w:start w:val="1"/>
      <w:numFmt w:val="bullet"/>
      <w:lvlText w:val=""/>
      <w:lvlJc w:val="left"/>
      <w:pPr>
        <w:ind w:left="720" w:hanging="360"/>
      </w:pPr>
      <w:rPr>
        <w:rFonts w:ascii="Symbol" w:hAnsi="Symbol"/>
      </w:rPr>
    </w:lvl>
    <w:lvl w:ilvl="1" w:tplc="B8BA44EA">
      <w:start w:val="1"/>
      <w:numFmt w:val="bullet"/>
      <w:lvlText w:val=""/>
      <w:lvlJc w:val="left"/>
      <w:pPr>
        <w:ind w:left="720" w:hanging="360"/>
      </w:pPr>
      <w:rPr>
        <w:rFonts w:ascii="Symbol" w:hAnsi="Symbol"/>
      </w:rPr>
    </w:lvl>
    <w:lvl w:ilvl="2" w:tplc="319449A2">
      <w:start w:val="1"/>
      <w:numFmt w:val="bullet"/>
      <w:lvlText w:val=""/>
      <w:lvlJc w:val="left"/>
      <w:pPr>
        <w:ind w:left="720" w:hanging="360"/>
      </w:pPr>
      <w:rPr>
        <w:rFonts w:ascii="Symbol" w:hAnsi="Symbol"/>
      </w:rPr>
    </w:lvl>
    <w:lvl w:ilvl="3" w:tplc="35127132">
      <w:start w:val="1"/>
      <w:numFmt w:val="bullet"/>
      <w:lvlText w:val=""/>
      <w:lvlJc w:val="left"/>
      <w:pPr>
        <w:ind w:left="720" w:hanging="360"/>
      </w:pPr>
      <w:rPr>
        <w:rFonts w:ascii="Symbol" w:hAnsi="Symbol"/>
      </w:rPr>
    </w:lvl>
    <w:lvl w:ilvl="4" w:tplc="FFD8A5F6">
      <w:start w:val="1"/>
      <w:numFmt w:val="bullet"/>
      <w:lvlText w:val=""/>
      <w:lvlJc w:val="left"/>
      <w:pPr>
        <w:ind w:left="720" w:hanging="360"/>
      </w:pPr>
      <w:rPr>
        <w:rFonts w:ascii="Symbol" w:hAnsi="Symbol"/>
      </w:rPr>
    </w:lvl>
    <w:lvl w:ilvl="5" w:tplc="36E08EE8">
      <w:start w:val="1"/>
      <w:numFmt w:val="bullet"/>
      <w:lvlText w:val=""/>
      <w:lvlJc w:val="left"/>
      <w:pPr>
        <w:ind w:left="720" w:hanging="360"/>
      </w:pPr>
      <w:rPr>
        <w:rFonts w:ascii="Symbol" w:hAnsi="Symbol"/>
      </w:rPr>
    </w:lvl>
    <w:lvl w:ilvl="6" w:tplc="E1A036A6">
      <w:start w:val="1"/>
      <w:numFmt w:val="bullet"/>
      <w:lvlText w:val=""/>
      <w:lvlJc w:val="left"/>
      <w:pPr>
        <w:ind w:left="720" w:hanging="360"/>
      </w:pPr>
      <w:rPr>
        <w:rFonts w:ascii="Symbol" w:hAnsi="Symbol"/>
      </w:rPr>
    </w:lvl>
    <w:lvl w:ilvl="7" w:tplc="E1589BBC">
      <w:start w:val="1"/>
      <w:numFmt w:val="bullet"/>
      <w:lvlText w:val=""/>
      <w:lvlJc w:val="left"/>
      <w:pPr>
        <w:ind w:left="720" w:hanging="360"/>
      </w:pPr>
      <w:rPr>
        <w:rFonts w:ascii="Symbol" w:hAnsi="Symbol"/>
      </w:rPr>
    </w:lvl>
    <w:lvl w:ilvl="8" w:tplc="FC109FAC">
      <w:start w:val="1"/>
      <w:numFmt w:val="bullet"/>
      <w:lvlText w:val=""/>
      <w:lvlJc w:val="left"/>
      <w:pPr>
        <w:ind w:left="720" w:hanging="360"/>
      </w:pPr>
      <w:rPr>
        <w:rFonts w:ascii="Symbol" w:hAnsi="Symbol"/>
      </w:rPr>
    </w:lvl>
  </w:abstractNum>
  <w:abstractNum w:abstractNumId="15" w15:restartNumberingAfterBreak="0">
    <w:nsid w:val="40D73A5B"/>
    <w:multiLevelType w:val="hybridMultilevel"/>
    <w:tmpl w:val="DE8E77E2"/>
    <w:lvl w:ilvl="0" w:tplc="927E7242">
      <w:start w:val="1"/>
      <w:numFmt w:val="bullet"/>
      <w:lvlText w:val=""/>
      <w:lvlJc w:val="left"/>
      <w:pPr>
        <w:ind w:left="720" w:hanging="360"/>
      </w:pPr>
      <w:rPr>
        <w:rFonts w:ascii="Symbol" w:hAnsi="Symbol"/>
      </w:rPr>
    </w:lvl>
    <w:lvl w:ilvl="1" w:tplc="E8549852">
      <w:start w:val="1"/>
      <w:numFmt w:val="bullet"/>
      <w:lvlText w:val=""/>
      <w:lvlJc w:val="left"/>
      <w:pPr>
        <w:ind w:left="720" w:hanging="360"/>
      </w:pPr>
      <w:rPr>
        <w:rFonts w:ascii="Symbol" w:hAnsi="Symbol"/>
      </w:rPr>
    </w:lvl>
    <w:lvl w:ilvl="2" w:tplc="FF18C2E8">
      <w:start w:val="1"/>
      <w:numFmt w:val="bullet"/>
      <w:lvlText w:val=""/>
      <w:lvlJc w:val="left"/>
      <w:pPr>
        <w:ind w:left="720" w:hanging="360"/>
      </w:pPr>
      <w:rPr>
        <w:rFonts w:ascii="Symbol" w:hAnsi="Symbol"/>
      </w:rPr>
    </w:lvl>
    <w:lvl w:ilvl="3" w:tplc="C644B7D8">
      <w:start w:val="1"/>
      <w:numFmt w:val="bullet"/>
      <w:lvlText w:val=""/>
      <w:lvlJc w:val="left"/>
      <w:pPr>
        <w:ind w:left="720" w:hanging="360"/>
      </w:pPr>
      <w:rPr>
        <w:rFonts w:ascii="Symbol" w:hAnsi="Symbol"/>
      </w:rPr>
    </w:lvl>
    <w:lvl w:ilvl="4" w:tplc="476A3350">
      <w:start w:val="1"/>
      <w:numFmt w:val="bullet"/>
      <w:lvlText w:val=""/>
      <w:lvlJc w:val="left"/>
      <w:pPr>
        <w:ind w:left="720" w:hanging="360"/>
      </w:pPr>
      <w:rPr>
        <w:rFonts w:ascii="Symbol" w:hAnsi="Symbol"/>
      </w:rPr>
    </w:lvl>
    <w:lvl w:ilvl="5" w:tplc="EC6EF486">
      <w:start w:val="1"/>
      <w:numFmt w:val="bullet"/>
      <w:lvlText w:val=""/>
      <w:lvlJc w:val="left"/>
      <w:pPr>
        <w:ind w:left="720" w:hanging="360"/>
      </w:pPr>
      <w:rPr>
        <w:rFonts w:ascii="Symbol" w:hAnsi="Symbol"/>
      </w:rPr>
    </w:lvl>
    <w:lvl w:ilvl="6" w:tplc="647AF7A8">
      <w:start w:val="1"/>
      <w:numFmt w:val="bullet"/>
      <w:lvlText w:val=""/>
      <w:lvlJc w:val="left"/>
      <w:pPr>
        <w:ind w:left="720" w:hanging="360"/>
      </w:pPr>
      <w:rPr>
        <w:rFonts w:ascii="Symbol" w:hAnsi="Symbol"/>
      </w:rPr>
    </w:lvl>
    <w:lvl w:ilvl="7" w:tplc="76D2B498">
      <w:start w:val="1"/>
      <w:numFmt w:val="bullet"/>
      <w:lvlText w:val=""/>
      <w:lvlJc w:val="left"/>
      <w:pPr>
        <w:ind w:left="720" w:hanging="360"/>
      </w:pPr>
      <w:rPr>
        <w:rFonts w:ascii="Symbol" w:hAnsi="Symbol"/>
      </w:rPr>
    </w:lvl>
    <w:lvl w:ilvl="8" w:tplc="A164E518">
      <w:start w:val="1"/>
      <w:numFmt w:val="bullet"/>
      <w:lvlText w:val=""/>
      <w:lvlJc w:val="left"/>
      <w:pPr>
        <w:ind w:left="720" w:hanging="360"/>
      </w:pPr>
      <w:rPr>
        <w:rFonts w:ascii="Symbol" w:hAnsi="Symbol"/>
      </w:rPr>
    </w:lvl>
  </w:abstractNum>
  <w:abstractNum w:abstractNumId="16" w15:restartNumberingAfterBreak="0">
    <w:nsid w:val="50336B0D"/>
    <w:multiLevelType w:val="hybridMultilevel"/>
    <w:tmpl w:val="93D6F948"/>
    <w:lvl w:ilvl="0" w:tplc="F270368A">
      <w:start w:val="1"/>
      <w:numFmt w:val="lowerRoman"/>
      <w:pStyle w:val="Numberbullet3"/>
      <w:lvlText w:val="%1)"/>
      <w:lvlJc w:val="right"/>
      <w:pPr>
        <w:ind w:left="1505" w:hanging="360"/>
      </w:pPr>
    </w:lvl>
    <w:lvl w:ilvl="1" w:tplc="0C090019" w:tentative="1">
      <w:start w:val="1"/>
      <w:numFmt w:val="lowerLetter"/>
      <w:lvlText w:val="%2."/>
      <w:lvlJc w:val="left"/>
      <w:pPr>
        <w:ind w:left="2225" w:hanging="360"/>
      </w:pPr>
    </w:lvl>
    <w:lvl w:ilvl="2" w:tplc="0C09001B" w:tentative="1">
      <w:start w:val="1"/>
      <w:numFmt w:val="lowerRoman"/>
      <w:lvlText w:val="%3."/>
      <w:lvlJc w:val="right"/>
      <w:pPr>
        <w:ind w:left="2945" w:hanging="180"/>
      </w:pPr>
    </w:lvl>
    <w:lvl w:ilvl="3" w:tplc="0C09000F" w:tentative="1">
      <w:start w:val="1"/>
      <w:numFmt w:val="decimal"/>
      <w:lvlText w:val="%4."/>
      <w:lvlJc w:val="left"/>
      <w:pPr>
        <w:ind w:left="3665" w:hanging="360"/>
      </w:pPr>
    </w:lvl>
    <w:lvl w:ilvl="4" w:tplc="0C090019" w:tentative="1">
      <w:start w:val="1"/>
      <w:numFmt w:val="lowerLetter"/>
      <w:lvlText w:val="%5."/>
      <w:lvlJc w:val="left"/>
      <w:pPr>
        <w:ind w:left="4385" w:hanging="360"/>
      </w:pPr>
    </w:lvl>
    <w:lvl w:ilvl="5" w:tplc="0C09001B" w:tentative="1">
      <w:start w:val="1"/>
      <w:numFmt w:val="lowerRoman"/>
      <w:lvlText w:val="%6."/>
      <w:lvlJc w:val="right"/>
      <w:pPr>
        <w:ind w:left="5105" w:hanging="180"/>
      </w:pPr>
    </w:lvl>
    <w:lvl w:ilvl="6" w:tplc="0C09000F" w:tentative="1">
      <w:start w:val="1"/>
      <w:numFmt w:val="decimal"/>
      <w:lvlText w:val="%7."/>
      <w:lvlJc w:val="left"/>
      <w:pPr>
        <w:ind w:left="5825" w:hanging="360"/>
      </w:pPr>
    </w:lvl>
    <w:lvl w:ilvl="7" w:tplc="0C090019" w:tentative="1">
      <w:start w:val="1"/>
      <w:numFmt w:val="lowerLetter"/>
      <w:lvlText w:val="%8."/>
      <w:lvlJc w:val="left"/>
      <w:pPr>
        <w:ind w:left="6545" w:hanging="360"/>
      </w:pPr>
    </w:lvl>
    <w:lvl w:ilvl="8" w:tplc="0C09001B" w:tentative="1">
      <w:start w:val="1"/>
      <w:numFmt w:val="lowerRoman"/>
      <w:lvlText w:val="%9."/>
      <w:lvlJc w:val="right"/>
      <w:pPr>
        <w:ind w:left="7265" w:hanging="180"/>
      </w:pPr>
    </w:lvl>
  </w:abstractNum>
  <w:abstractNum w:abstractNumId="17" w15:restartNumberingAfterBreak="0">
    <w:nsid w:val="5FE6338E"/>
    <w:multiLevelType w:val="hybridMultilevel"/>
    <w:tmpl w:val="0EB6A126"/>
    <w:lvl w:ilvl="0" w:tplc="BD7A7D36">
      <w:start w:val="1"/>
      <w:numFmt w:val="bullet"/>
      <w:lvlText w:val=""/>
      <w:lvlJc w:val="left"/>
      <w:pPr>
        <w:ind w:left="720" w:hanging="360"/>
      </w:pPr>
      <w:rPr>
        <w:rFonts w:ascii="Symbol" w:hAnsi="Symbol"/>
      </w:rPr>
    </w:lvl>
    <w:lvl w:ilvl="1" w:tplc="091E0B9E">
      <w:start w:val="1"/>
      <w:numFmt w:val="bullet"/>
      <w:lvlText w:val=""/>
      <w:lvlJc w:val="left"/>
      <w:pPr>
        <w:ind w:left="720" w:hanging="360"/>
      </w:pPr>
      <w:rPr>
        <w:rFonts w:ascii="Symbol" w:hAnsi="Symbol"/>
      </w:rPr>
    </w:lvl>
    <w:lvl w:ilvl="2" w:tplc="2714795A">
      <w:start w:val="1"/>
      <w:numFmt w:val="bullet"/>
      <w:lvlText w:val=""/>
      <w:lvlJc w:val="left"/>
      <w:pPr>
        <w:ind w:left="720" w:hanging="360"/>
      </w:pPr>
      <w:rPr>
        <w:rFonts w:ascii="Symbol" w:hAnsi="Symbol"/>
      </w:rPr>
    </w:lvl>
    <w:lvl w:ilvl="3" w:tplc="E264CDD2">
      <w:start w:val="1"/>
      <w:numFmt w:val="bullet"/>
      <w:lvlText w:val=""/>
      <w:lvlJc w:val="left"/>
      <w:pPr>
        <w:ind w:left="720" w:hanging="360"/>
      </w:pPr>
      <w:rPr>
        <w:rFonts w:ascii="Symbol" w:hAnsi="Symbol"/>
      </w:rPr>
    </w:lvl>
    <w:lvl w:ilvl="4" w:tplc="732009EA">
      <w:start w:val="1"/>
      <w:numFmt w:val="bullet"/>
      <w:lvlText w:val=""/>
      <w:lvlJc w:val="left"/>
      <w:pPr>
        <w:ind w:left="720" w:hanging="360"/>
      </w:pPr>
      <w:rPr>
        <w:rFonts w:ascii="Symbol" w:hAnsi="Symbol"/>
      </w:rPr>
    </w:lvl>
    <w:lvl w:ilvl="5" w:tplc="A6CA110A">
      <w:start w:val="1"/>
      <w:numFmt w:val="bullet"/>
      <w:lvlText w:val=""/>
      <w:lvlJc w:val="left"/>
      <w:pPr>
        <w:ind w:left="720" w:hanging="360"/>
      </w:pPr>
      <w:rPr>
        <w:rFonts w:ascii="Symbol" w:hAnsi="Symbol"/>
      </w:rPr>
    </w:lvl>
    <w:lvl w:ilvl="6" w:tplc="077EDDEE">
      <w:start w:val="1"/>
      <w:numFmt w:val="bullet"/>
      <w:lvlText w:val=""/>
      <w:lvlJc w:val="left"/>
      <w:pPr>
        <w:ind w:left="720" w:hanging="360"/>
      </w:pPr>
      <w:rPr>
        <w:rFonts w:ascii="Symbol" w:hAnsi="Symbol"/>
      </w:rPr>
    </w:lvl>
    <w:lvl w:ilvl="7" w:tplc="74766932">
      <w:start w:val="1"/>
      <w:numFmt w:val="bullet"/>
      <w:lvlText w:val=""/>
      <w:lvlJc w:val="left"/>
      <w:pPr>
        <w:ind w:left="720" w:hanging="360"/>
      </w:pPr>
      <w:rPr>
        <w:rFonts w:ascii="Symbol" w:hAnsi="Symbol"/>
      </w:rPr>
    </w:lvl>
    <w:lvl w:ilvl="8" w:tplc="05DE60DC">
      <w:start w:val="1"/>
      <w:numFmt w:val="bullet"/>
      <w:lvlText w:val=""/>
      <w:lvlJc w:val="left"/>
      <w:pPr>
        <w:ind w:left="720" w:hanging="360"/>
      </w:pPr>
      <w:rPr>
        <w:rFonts w:ascii="Symbol" w:hAnsi="Symbol"/>
      </w:rPr>
    </w:lvl>
  </w:abstractNum>
  <w:abstractNum w:abstractNumId="18" w15:restartNumberingAfterBreak="0">
    <w:nsid w:val="655246E2"/>
    <w:multiLevelType w:val="hybridMultilevel"/>
    <w:tmpl w:val="0388CEAA"/>
    <w:lvl w:ilvl="0" w:tplc="0700CB88">
      <w:start w:val="1"/>
      <w:numFmt w:val="bullet"/>
      <w:lvlText w:val=""/>
      <w:lvlJc w:val="left"/>
      <w:pPr>
        <w:ind w:left="720" w:hanging="360"/>
      </w:pPr>
      <w:rPr>
        <w:rFonts w:ascii="Symbol" w:hAnsi="Symbol"/>
      </w:rPr>
    </w:lvl>
    <w:lvl w:ilvl="1" w:tplc="CAC43434">
      <w:start w:val="1"/>
      <w:numFmt w:val="bullet"/>
      <w:lvlText w:val=""/>
      <w:lvlJc w:val="left"/>
      <w:pPr>
        <w:ind w:left="720" w:hanging="360"/>
      </w:pPr>
      <w:rPr>
        <w:rFonts w:ascii="Symbol" w:hAnsi="Symbol"/>
      </w:rPr>
    </w:lvl>
    <w:lvl w:ilvl="2" w:tplc="FE6C2A78">
      <w:start w:val="1"/>
      <w:numFmt w:val="bullet"/>
      <w:lvlText w:val=""/>
      <w:lvlJc w:val="left"/>
      <w:pPr>
        <w:ind w:left="720" w:hanging="360"/>
      </w:pPr>
      <w:rPr>
        <w:rFonts w:ascii="Symbol" w:hAnsi="Symbol"/>
      </w:rPr>
    </w:lvl>
    <w:lvl w:ilvl="3" w:tplc="C16A94F6">
      <w:start w:val="1"/>
      <w:numFmt w:val="bullet"/>
      <w:lvlText w:val=""/>
      <w:lvlJc w:val="left"/>
      <w:pPr>
        <w:ind w:left="720" w:hanging="360"/>
      </w:pPr>
      <w:rPr>
        <w:rFonts w:ascii="Symbol" w:hAnsi="Symbol"/>
      </w:rPr>
    </w:lvl>
    <w:lvl w:ilvl="4" w:tplc="38A09DA8">
      <w:start w:val="1"/>
      <w:numFmt w:val="bullet"/>
      <w:lvlText w:val=""/>
      <w:lvlJc w:val="left"/>
      <w:pPr>
        <w:ind w:left="720" w:hanging="360"/>
      </w:pPr>
      <w:rPr>
        <w:rFonts w:ascii="Symbol" w:hAnsi="Symbol"/>
      </w:rPr>
    </w:lvl>
    <w:lvl w:ilvl="5" w:tplc="D7C2BCB0">
      <w:start w:val="1"/>
      <w:numFmt w:val="bullet"/>
      <w:lvlText w:val=""/>
      <w:lvlJc w:val="left"/>
      <w:pPr>
        <w:ind w:left="720" w:hanging="360"/>
      </w:pPr>
      <w:rPr>
        <w:rFonts w:ascii="Symbol" w:hAnsi="Symbol"/>
      </w:rPr>
    </w:lvl>
    <w:lvl w:ilvl="6" w:tplc="1F2AF70C">
      <w:start w:val="1"/>
      <w:numFmt w:val="bullet"/>
      <w:lvlText w:val=""/>
      <w:lvlJc w:val="left"/>
      <w:pPr>
        <w:ind w:left="720" w:hanging="360"/>
      </w:pPr>
      <w:rPr>
        <w:rFonts w:ascii="Symbol" w:hAnsi="Symbol"/>
      </w:rPr>
    </w:lvl>
    <w:lvl w:ilvl="7" w:tplc="200E29AA">
      <w:start w:val="1"/>
      <w:numFmt w:val="bullet"/>
      <w:lvlText w:val=""/>
      <w:lvlJc w:val="left"/>
      <w:pPr>
        <w:ind w:left="720" w:hanging="360"/>
      </w:pPr>
      <w:rPr>
        <w:rFonts w:ascii="Symbol" w:hAnsi="Symbol"/>
      </w:rPr>
    </w:lvl>
    <w:lvl w:ilvl="8" w:tplc="E08E30EE">
      <w:start w:val="1"/>
      <w:numFmt w:val="bullet"/>
      <w:lvlText w:val=""/>
      <w:lvlJc w:val="left"/>
      <w:pPr>
        <w:ind w:left="720" w:hanging="360"/>
      </w:pPr>
      <w:rPr>
        <w:rFonts w:ascii="Symbol" w:hAnsi="Symbol"/>
      </w:rPr>
    </w:lvl>
  </w:abstractNum>
  <w:abstractNum w:abstractNumId="19" w15:restartNumberingAfterBreak="0">
    <w:nsid w:val="6B20762F"/>
    <w:multiLevelType w:val="hybridMultilevel"/>
    <w:tmpl w:val="5CE6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3B0245"/>
    <w:multiLevelType w:val="hybridMultilevel"/>
    <w:tmpl w:val="8870922E"/>
    <w:lvl w:ilvl="0" w:tplc="7130CF2E">
      <w:start w:val="1"/>
      <w:numFmt w:val="bullet"/>
      <w:lvlText w:val=""/>
      <w:lvlJc w:val="left"/>
      <w:pPr>
        <w:ind w:left="720" w:hanging="360"/>
      </w:pPr>
      <w:rPr>
        <w:rFonts w:ascii="Symbol" w:hAnsi="Symbol"/>
      </w:rPr>
    </w:lvl>
    <w:lvl w:ilvl="1" w:tplc="B6CC598C">
      <w:start w:val="1"/>
      <w:numFmt w:val="bullet"/>
      <w:lvlText w:val=""/>
      <w:lvlJc w:val="left"/>
      <w:pPr>
        <w:ind w:left="720" w:hanging="360"/>
      </w:pPr>
      <w:rPr>
        <w:rFonts w:ascii="Symbol" w:hAnsi="Symbol"/>
      </w:rPr>
    </w:lvl>
    <w:lvl w:ilvl="2" w:tplc="D03C163A">
      <w:start w:val="1"/>
      <w:numFmt w:val="bullet"/>
      <w:lvlText w:val=""/>
      <w:lvlJc w:val="left"/>
      <w:pPr>
        <w:ind w:left="720" w:hanging="360"/>
      </w:pPr>
      <w:rPr>
        <w:rFonts w:ascii="Symbol" w:hAnsi="Symbol"/>
      </w:rPr>
    </w:lvl>
    <w:lvl w:ilvl="3" w:tplc="FFE461C2">
      <w:start w:val="1"/>
      <w:numFmt w:val="bullet"/>
      <w:lvlText w:val=""/>
      <w:lvlJc w:val="left"/>
      <w:pPr>
        <w:ind w:left="720" w:hanging="360"/>
      </w:pPr>
      <w:rPr>
        <w:rFonts w:ascii="Symbol" w:hAnsi="Symbol"/>
      </w:rPr>
    </w:lvl>
    <w:lvl w:ilvl="4" w:tplc="D03AD588">
      <w:start w:val="1"/>
      <w:numFmt w:val="bullet"/>
      <w:lvlText w:val=""/>
      <w:lvlJc w:val="left"/>
      <w:pPr>
        <w:ind w:left="720" w:hanging="360"/>
      </w:pPr>
      <w:rPr>
        <w:rFonts w:ascii="Symbol" w:hAnsi="Symbol"/>
      </w:rPr>
    </w:lvl>
    <w:lvl w:ilvl="5" w:tplc="73A03C06">
      <w:start w:val="1"/>
      <w:numFmt w:val="bullet"/>
      <w:lvlText w:val=""/>
      <w:lvlJc w:val="left"/>
      <w:pPr>
        <w:ind w:left="720" w:hanging="360"/>
      </w:pPr>
      <w:rPr>
        <w:rFonts w:ascii="Symbol" w:hAnsi="Symbol"/>
      </w:rPr>
    </w:lvl>
    <w:lvl w:ilvl="6" w:tplc="29E6A784">
      <w:start w:val="1"/>
      <w:numFmt w:val="bullet"/>
      <w:lvlText w:val=""/>
      <w:lvlJc w:val="left"/>
      <w:pPr>
        <w:ind w:left="720" w:hanging="360"/>
      </w:pPr>
      <w:rPr>
        <w:rFonts w:ascii="Symbol" w:hAnsi="Symbol"/>
      </w:rPr>
    </w:lvl>
    <w:lvl w:ilvl="7" w:tplc="1338C020">
      <w:start w:val="1"/>
      <w:numFmt w:val="bullet"/>
      <w:lvlText w:val=""/>
      <w:lvlJc w:val="left"/>
      <w:pPr>
        <w:ind w:left="720" w:hanging="360"/>
      </w:pPr>
      <w:rPr>
        <w:rFonts w:ascii="Symbol" w:hAnsi="Symbol"/>
      </w:rPr>
    </w:lvl>
    <w:lvl w:ilvl="8" w:tplc="23BAF2DC">
      <w:start w:val="1"/>
      <w:numFmt w:val="bullet"/>
      <w:lvlText w:val=""/>
      <w:lvlJc w:val="left"/>
      <w:pPr>
        <w:ind w:left="720" w:hanging="360"/>
      </w:pPr>
      <w:rPr>
        <w:rFonts w:ascii="Symbol" w:hAnsi="Symbol"/>
      </w:rPr>
    </w:lvl>
  </w:abstractNum>
  <w:abstractNum w:abstractNumId="21" w15:restartNumberingAfterBreak="0">
    <w:nsid w:val="72B71FEF"/>
    <w:multiLevelType w:val="hybridMultilevel"/>
    <w:tmpl w:val="B4500F6A"/>
    <w:lvl w:ilvl="0" w:tplc="A8BA9590">
      <w:start w:val="1"/>
      <w:numFmt w:val="bullet"/>
      <w:lvlText w:val=""/>
      <w:lvlJc w:val="left"/>
      <w:pPr>
        <w:ind w:left="720" w:hanging="360"/>
      </w:pPr>
      <w:rPr>
        <w:rFonts w:ascii="Symbol" w:hAnsi="Symbol"/>
      </w:rPr>
    </w:lvl>
    <w:lvl w:ilvl="1" w:tplc="5560C528">
      <w:start w:val="1"/>
      <w:numFmt w:val="bullet"/>
      <w:lvlText w:val=""/>
      <w:lvlJc w:val="left"/>
      <w:pPr>
        <w:ind w:left="720" w:hanging="360"/>
      </w:pPr>
      <w:rPr>
        <w:rFonts w:ascii="Symbol" w:hAnsi="Symbol"/>
      </w:rPr>
    </w:lvl>
    <w:lvl w:ilvl="2" w:tplc="254E9750">
      <w:start w:val="1"/>
      <w:numFmt w:val="bullet"/>
      <w:lvlText w:val=""/>
      <w:lvlJc w:val="left"/>
      <w:pPr>
        <w:ind w:left="720" w:hanging="360"/>
      </w:pPr>
      <w:rPr>
        <w:rFonts w:ascii="Symbol" w:hAnsi="Symbol"/>
      </w:rPr>
    </w:lvl>
    <w:lvl w:ilvl="3" w:tplc="78968A44">
      <w:start w:val="1"/>
      <w:numFmt w:val="bullet"/>
      <w:lvlText w:val=""/>
      <w:lvlJc w:val="left"/>
      <w:pPr>
        <w:ind w:left="720" w:hanging="360"/>
      </w:pPr>
      <w:rPr>
        <w:rFonts w:ascii="Symbol" w:hAnsi="Symbol"/>
      </w:rPr>
    </w:lvl>
    <w:lvl w:ilvl="4" w:tplc="DF4855CA">
      <w:start w:val="1"/>
      <w:numFmt w:val="bullet"/>
      <w:lvlText w:val=""/>
      <w:lvlJc w:val="left"/>
      <w:pPr>
        <w:ind w:left="720" w:hanging="360"/>
      </w:pPr>
      <w:rPr>
        <w:rFonts w:ascii="Symbol" w:hAnsi="Symbol"/>
      </w:rPr>
    </w:lvl>
    <w:lvl w:ilvl="5" w:tplc="A670B8EE">
      <w:start w:val="1"/>
      <w:numFmt w:val="bullet"/>
      <w:lvlText w:val=""/>
      <w:lvlJc w:val="left"/>
      <w:pPr>
        <w:ind w:left="720" w:hanging="360"/>
      </w:pPr>
      <w:rPr>
        <w:rFonts w:ascii="Symbol" w:hAnsi="Symbol"/>
      </w:rPr>
    </w:lvl>
    <w:lvl w:ilvl="6" w:tplc="FE40820C">
      <w:start w:val="1"/>
      <w:numFmt w:val="bullet"/>
      <w:lvlText w:val=""/>
      <w:lvlJc w:val="left"/>
      <w:pPr>
        <w:ind w:left="720" w:hanging="360"/>
      </w:pPr>
      <w:rPr>
        <w:rFonts w:ascii="Symbol" w:hAnsi="Symbol"/>
      </w:rPr>
    </w:lvl>
    <w:lvl w:ilvl="7" w:tplc="88C09542">
      <w:start w:val="1"/>
      <w:numFmt w:val="bullet"/>
      <w:lvlText w:val=""/>
      <w:lvlJc w:val="left"/>
      <w:pPr>
        <w:ind w:left="720" w:hanging="360"/>
      </w:pPr>
      <w:rPr>
        <w:rFonts w:ascii="Symbol" w:hAnsi="Symbol"/>
      </w:rPr>
    </w:lvl>
    <w:lvl w:ilvl="8" w:tplc="6D7CD046">
      <w:start w:val="1"/>
      <w:numFmt w:val="bullet"/>
      <w:lvlText w:val=""/>
      <w:lvlJc w:val="left"/>
      <w:pPr>
        <w:ind w:left="720" w:hanging="360"/>
      </w:pPr>
      <w:rPr>
        <w:rFonts w:ascii="Symbol" w:hAnsi="Symbol"/>
      </w:rPr>
    </w:lvl>
  </w:abstractNum>
  <w:abstractNum w:abstractNumId="22" w15:restartNumberingAfterBreak="0">
    <w:nsid w:val="79A92D71"/>
    <w:multiLevelType w:val="hybridMultilevel"/>
    <w:tmpl w:val="AC3272D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51097230">
    <w:abstractNumId w:val="4"/>
  </w:num>
  <w:num w:numId="2" w16cid:durableId="870067104">
    <w:abstractNumId w:val="6"/>
  </w:num>
  <w:num w:numId="3" w16cid:durableId="776367075">
    <w:abstractNumId w:val="1"/>
  </w:num>
  <w:num w:numId="4" w16cid:durableId="350569323">
    <w:abstractNumId w:val="5"/>
  </w:num>
  <w:num w:numId="5" w16cid:durableId="671222171">
    <w:abstractNumId w:val="12"/>
  </w:num>
  <w:num w:numId="6" w16cid:durableId="852691286">
    <w:abstractNumId w:val="8"/>
  </w:num>
  <w:num w:numId="7" w16cid:durableId="1062169600">
    <w:abstractNumId w:val="6"/>
  </w:num>
  <w:num w:numId="8" w16cid:durableId="11732394">
    <w:abstractNumId w:val="10"/>
  </w:num>
  <w:num w:numId="9" w16cid:durableId="2103913646">
    <w:abstractNumId w:val="16"/>
  </w:num>
  <w:num w:numId="10" w16cid:durableId="1479374813">
    <w:abstractNumId w:val="4"/>
  </w:num>
  <w:num w:numId="11" w16cid:durableId="1107315578">
    <w:abstractNumId w:val="22"/>
  </w:num>
  <w:num w:numId="12" w16cid:durableId="1416826317">
    <w:abstractNumId w:val="12"/>
    <w:lvlOverride w:ilvl="0">
      <w:startOverride w:val="1"/>
    </w:lvlOverride>
  </w:num>
  <w:num w:numId="13" w16cid:durableId="1323663092">
    <w:abstractNumId w:val="8"/>
    <w:lvlOverride w:ilvl="0">
      <w:startOverride w:val="1"/>
    </w:lvlOverride>
  </w:num>
  <w:num w:numId="14" w16cid:durableId="1732191398">
    <w:abstractNumId w:val="12"/>
    <w:lvlOverride w:ilvl="0">
      <w:startOverride w:val="1"/>
    </w:lvlOverride>
  </w:num>
  <w:num w:numId="15" w16cid:durableId="423890180">
    <w:abstractNumId w:val="8"/>
    <w:lvlOverride w:ilvl="0">
      <w:startOverride w:val="1"/>
    </w:lvlOverride>
  </w:num>
  <w:num w:numId="16" w16cid:durableId="963199091">
    <w:abstractNumId w:val="18"/>
  </w:num>
  <w:num w:numId="17" w16cid:durableId="636110491">
    <w:abstractNumId w:val="17"/>
  </w:num>
  <w:num w:numId="18" w16cid:durableId="1001741245">
    <w:abstractNumId w:val="20"/>
  </w:num>
  <w:num w:numId="19" w16cid:durableId="1243563578">
    <w:abstractNumId w:val="13"/>
  </w:num>
  <w:num w:numId="20" w16cid:durableId="869951291">
    <w:abstractNumId w:val="0"/>
  </w:num>
  <w:num w:numId="21" w16cid:durableId="155725221">
    <w:abstractNumId w:val="14"/>
  </w:num>
  <w:num w:numId="22" w16cid:durableId="110246264">
    <w:abstractNumId w:val="2"/>
  </w:num>
  <w:num w:numId="23" w16cid:durableId="1789742553">
    <w:abstractNumId w:val="11"/>
  </w:num>
  <w:num w:numId="24" w16cid:durableId="1408653107">
    <w:abstractNumId w:val="21"/>
  </w:num>
  <w:num w:numId="25" w16cid:durableId="1055815737">
    <w:abstractNumId w:val="15"/>
  </w:num>
  <w:num w:numId="26" w16cid:durableId="667102182">
    <w:abstractNumId w:val="7"/>
  </w:num>
  <w:num w:numId="27" w16cid:durableId="833107661">
    <w:abstractNumId w:val="3"/>
  </w:num>
  <w:num w:numId="28" w16cid:durableId="1150249122">
    <w:abstractNumId w:val="9"/>
  </w:num>
  <w:num w:numId="29" w16cid:durableId="43220686">
    <w:abstractNumId w:val="19"/>
  </w:num>
  <w:num w:numId="30" w16cid:durableId="637416339">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09"/>
    <w:rsid w:val="000402F4"/>
    <w:rsid w:val="00056AFE"/>
    <w:rsid w:val="000579C9"/>
    <w:rsid w:val="00072ECF"/>
    <w:rsid w:val="00085644"/>
    <w:rsid w:val="00090609"/>
    <w:rsid w:val="00094B81"/>
    <w:rsid w:val="00095F55"/>
    <w:rsid w:val="000B4DF8"/>
    <w:rsid w:val="000C4627"/>
    <w:rsid w:val="000F0B37"/>
    <w:rsid w:val="000F2A00"/>
    <w:rsid w:val="0011767D"/>
    <w:rsid w:val="0012473C"/>
    <w:rsid w:val="001311A6"/>
    <w:rsid w:val="001330F6"/>
    <w:rsid w:val="00133CE0"/>
    <w:rsid w:val="00134CB3"/>
    <w:rsid w:val="001378A6"/>
    <w:rsid w:val="00141AF4"/>
    <w:rsid w:val="00141D9C"/>
    <w:rsid w:val="00175CD8"/>
    <w:rsid w:val="001A20D8"/>
    <w:rsid w:val="001A5C54"/>
    <w:rsid w:val="001A69FF"/>
    <w:rsid w:val="001D5451"/>
    <w:rsid w:val="001D5E60"/>
    <w:rsid w:val="001F14FD"/>
    <w:rsid w:val="002008D8"/>
    <w:rsid w:val="00205945"/>
    <w:rsid w:val="00230E86"/>
    <w:rsid w:val="00263AAE"/>
    <w:rsid w:val="00276FEC"/>
    <w:rsid w:val="002805BA"/>
    <w:rsid w:val="00281DDA"/>
    <w:rsid w:val="002935B4"/>
    <w:rsid w:val="002A2130"/>
    <w:rsid w:val="002A3D0B"/>
    <w:rsid w:val="002A7CB9"/>
    <w:rsid w:val="002B3D8C"/>
    <w:rsid w:val="002C55BA"/>
    <w:rsid w:val="002D6D0D"/>
    <w:rsid w:val="002E57D6"/>
    <w:rsid w:val="002F5005"/>
    <w:rsid w:val="003008D8"/>
    <w:rsid w:val="00307795"/>
    <w:rsid w:val="00312A29"/>
    <w:rsid w:val="003312F4"/>
    <w:rsid w:val="0033673D"/>
    <w:rsid w:val="00336D79"/>
    <w:rsid w:val="00343453"/>
    <w:rsid w:val="0035444D"/>
    <w:rsid w:val="00361415"/>
    <w:rsid w:val="00362EEB"/>
    <w:rsid w:val="0036481C"/>
    <w:rsid w:val="003858B1"/>
    <w:rsid w:val="00391490"/>
    <w:rsid w:val="0039366C"/>
    <w:rsid w:val="003942FD"/>
    <w:rsid w:val="003A3DBB"/>
    <w:rsid w:val="003B0A7A"/>
    <w:rsid w:val="003B17CD"/>
    <w:rsid w:val="003B3C86"/>
    <w:rsid w:val="003C27DB"/>
    <w:rsid w:val="003F2D6C"/>
    <w:rsid w:val="003F3789"/>
    <w:rsid w:val="003F4C77"/>
    <w:rsid w:val="003F75F8"/>
    <w:rsid w:val="0040657C"/>
    <w:rsid w:val="00410E50"/>
    <w:rsid w:val="00421824"/>
    <w:rsid w:val="004246B8"/>
    <w:rsid w:val="0043720F"/>
    <w:rsid w:val="00447033"/>
    <w:rsid w:val="00453CB7"/>
    <w:rsid w:val="00463BED"/>
    <w:rsid w:val="004667F5"/>
    <w:rsid w:val="00467F98"/>
    <w:rsid w:val="004704F2"/>
    <w:rsid w:val="004876A3"/>
    <w:rsid w:val="00493940"/>
    <w:rsid w:val="004C1474"/>
    <w:rsid w:val="004C1CD4"/>
    <w:rsid w:val="004F046F"/>
    <w:rsid w:val="005212A2"/>
    <w:rsid w:val="00522B11"/>
    <w:rsid w:val="005302C7"/>
    <w:rsid w:val="00541976"/>
    <w:rsid w:val="00553F64"/>
    <w:rsid w:val="00564A99"/>
    <w:rsid w:val="005656F7"/>
    <w:rsid w:val="00573097"/>
    <w:rsid w:val="005731D7"/>
    <w:rsid w:val="00577461"/>
    <w:rsid w:val="0058575E"/>
    <w:rsid w:val="0058767F"/>
    <w:rsid w:val="005876C0"/>
    <w:rsid w:val="005A34E2"/>
    <w:rsid w:val="005A74A3"/>
    <w:rsid w:val="005A76EC"/>
    <w:rsid w:val="005B141F"/>
    <w:rsid w:val="005B2DCD"/>
    <w:rsid w:val="005E5CD6"/>
    <w:rsid w:val="005E631F"/>
    <w:rsid w:val="00610820"/>
    <w:rsid w:val="00621D5C"/>
    <w:rsid w:val="00630892"/>
    <w:rsid w:val="00631C1E"/>
    <w:rsid w:val="00631F3D"/>
    <w:rsid w:val="00632DD1"/>
    <w:rsid w:val="006355B2"/>
    <w:rsid w:val="006429E3"/>
    <w:rsid w:val="00646509"/>
    <w:rsid w:val="0065470F"/>
    <w:rsid w:val="006605A4"/>
    <w:rsid w:val="00676654"/>
    <w:rsid w:val="00692401"/>
    <w:rsid w:val="00693359"/>
    <w:rsid w:val="00694D49"/>
    <w:rsid w:val="006A1F0B"/>
    <w:rsid w:val="006B012A"/>
    <w:rsid w:val="006E300A"/>
    <w:rsid w:val="006E3E0E"/>
    <w:rsid w:val="006E3F78"/>
    <w:rsid w:val="006E63B5"/>
    <w:rsid w:val="006F24DD"/>
    <w:rsid w:val="006F2EF6"/>
    <w:rsid w:val="00706935"/>
    <w:rsid w:val="007377E2"/>
    <w:rsid w:val="00746990"/>
    <w:rsid w:val="00751544"/>
    <w:rsid w:val="00753587"/>
    <w:rsid w:val="007676CE"/>
    <w:rsid w:val="00783922"/>
    <w:rsid w:val="00796BA4"/>
    <w:rsid w:val="007B20A5"/>
    <w:rsid w:val="007B2FA8"/>
    <w:rsid w:val="007D10DD"/>
    <w:rsid w:val="007D46FB"/>
    <w:rsid w:val="007F0A77"/>
    <w:rsid w:val="007F302C"/>
    <w:rsid w:val="00807938"/>
    <w:rsid w:val="008135B6"/>
    <w:rsid w:val="00815BDB"/>
    <w:rsid w:val="0081603D"/>
    <w:rsid w:val="00823E0F"/>
    <w:rsid w:val="008329DB"/>
    <w:rsid w:val="00864E17"/>
    <w:rsid w:val="0089306F"/>
    <w:rsid w:val="008950E0"/>
    <w:rsid w:val="008A41D4"/>
    <w:rsid w:val="008A4AC8"/>
    <w:rsid w:val="008B6F93"/>
    <w:rsid w:val="008E79BE"/>
    <w:rsid w:val="00902156"/>
    <w:rsid w:val="009026F3"/>
    <w:rsid w:val="009031DD"/>
    <w:rsid w:val="0090744F"/>
    <w:rsid w:val="00913BF8"/>
    <w:rsid w:val="00915A60"/>
    <w:rsid w:val="009163AB"/>
    <w:rsid w:val="0092160D"/>
    <w:rsid w:val="00930D58"/>
    <w:rsid w:val="0093704F"/>
    <w:rsid w:val="009421DD"/>
    <w:rsid w:val="00945C4D"/>
    <w:rsid w:val="00946D7B"/>
    <w:rsid w:val="0095170C"/>
    <w:rsid w:val="00995210"/>
    <w:rsid w:val="00997AB0"/>
    <w:rsid w:val="009A370C"/>
    <w:rsid w:val="009C4E6E"/>
    <w:rsid w:val="009D0858"/>
    <w:rsid w:val="009D6081"/>
    <w:rsid w:val="009D6E00"/>
    <w:rsid w:val="009E37E6"/>
    <w:rsid w:val="00A042CD"/>
    <w:rsid w:val="00A24B44"/>
    <w:rsid w:val="00A418FD"/>
    <w:rsid w:val="00A41937"/>
    <w:rsid w:val="00A44821"/>
    <w:rsid w:val="00A456F1"/>
    <w:rsid w:val="00A5235C"/>
    <w:rsid w:val="00A72A82"/>
    <w:rsid w:val="00A77329"/>
    <w:rsid w:val="00A8353F"/>
    <w:rsid w:val="00A84445"/>
    <w:rsid w:val="00A94460"/>
    <w:rsid w:val="00AB1503"/>
    <w:rsid w:val="00AB4EA2"/>
    <w:rsid w:val="00AB785C"/>
    <w:rsid w:val="00AB7B01"/>
    <w:rsid w:val="00AB7CBF"/>
    <w:rsid w:val="00AD4A62"/>
    <w:rsid w:val="00AD753F"/>
    <w:rsid w:val="00AE5532"/>
    <w:rsid w:val="00B03B68"/>
    <w:rsid w:val="00B17D0C"/>
    <w:rsid w:val="00B34B32"/>
    <w:rsid w:val="00B41E17"/>
    <w:rsid w:val="00B46BC0"/>
    <w:rsid w:val="00B602D5"/>
    <w:rsid w:val="00B6426F"/>
    <w:rsid w:val="00B64F59"/>
    <w:rsid w:val="00B81089"/>
    <w:rsid w:val="00B81862"/>
    <w:rsid w:val="00B81C7F"/>
    <w:rsid w:val="00B94C08"/>
    <w:rsid w:val="00B96678"/>
    <w:rsid w:val="00BA55C4"/>
    <w:rsid w:val="00BB207B"/>
    <w:rsid w:val="00BB2D1D"/>
    <w:rsid w:val="00BB3352"/>
    <w:rsid w:val="00BD4C76"/>
    <w:rsid w:val="00BF6B60"/>
    <w:rsid w:val="00BF7A52"/>
    <w:rsid w:val="00C04ACF"/>
    <w:rsid w:val="00C404E3"/>
    <w:rsid w:val="00C44CAB"/>
    <w:rsid w:val="00C60759"/>
    <w:rsid w:val="00C67CC6"/>
    <w:rsid w:val="00C90E90"/>
    <w:rsid w:val="00CA42C9"/>
    <w:rsid w:val="00CA5B4B"/>
    <w:rsid w:val="00CB0550"/>
    <w:rsid w:val="00CB7CFE"/>
    <w:rsid w:val="00CC381E"/>
    <w:rsid w:val="00CC6BD3"/>
    <w:rsid w:val="00CD3417"/>
    <w:rsid w:val="00CE0526"/>
    <w:rsid w:val="00CE141A"/>
    <w:rsid w:val="00CF3718"/>
    <w:rsid w:val="00CF466B"/>
    <w:rsid w:val="00D078BE"/>
    <w:rsid w:val="00D126AB"/>
    <w:rsid w:val="00D13F8A"/>
    <w:rsid w:val="00D16DE4"/>
    <w:rsid w:val="00D310E0"/>
    <w:rsid w:val="00D34B6B"/>
    <w:rsid w:val="00D47784"/>
    <w:rsid w:val="00D611F7"/>
    <w:rsid w:val="00D8273E"/>
    <w:rsid w:val="00D918D5"/>
    <w:rsid w:val="00D92FD7"/>
    <w:rsid w:val="00DA2514"/>
    <w:rsid w:val="00DB064B"/>
    <w:rsid w:val="00DE3FAB"/>
    <w:rsid w:val="00E232FC"/>
    <w:rsid w:val="00E33ACD"/>
    <w:rsid w:val="00E33CDB"/>
    <w:rsid w:val="00E40E77"/>
    <w:rsid w:val="00E42B27"/>
    <w:rsid w:val="00E53D3F"/>
    <w:rsid w:val="00E722F2"/>
    <w:rsid w:val="00E81CC3"/>
    <w:rsid w:val="00E84405"/>
    <w:rsid w:val="00E84489"/>
    <w:rsid w:val="00E86AC2"/>
    <w:rsid w:val="00EA408A"/>
    <w:rsid w:val="00EA6FFF"/>
    <w:rsid w:val="00EC2418"/>
    <w:rsid w:val="00EF041C"/>
    <w:rsid w:val="00EF1329"/>
    <w:rsid w:val="00EF7B57"/>
    <w:rsid w:val="00F02AEC"/>
    <w:rsid w:val="00F27B5E"/>
    <w:rsid w:val="00F3454E"/>
    <w:rsid w:val="00F6110E"/>
    <w:rsid w:val="00F77070"/>
    <w:rsid w:val="00F85105"/>
    <w:rsid w:val="00FA49C3"/>
    <w:rsid w:val="00FD0C6C"/>
    <w:rsid w:val="00FD1B78"/>
    <w:rsid w:val="00FE6B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90309"/>
  <w15:chartTrackingRefBased/>
  <w15:docId w15:val="{FFE6764F-86BF-41F1-97C6-EC53E4FEB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81E"/>
    <w:rPr>
      <w:rFonts w:ascii="Arial" w:hAnsi="Arial"/>
    </w:rPr>
  </w:style>
  <w:style w:type="paragraph" w:styleId="Heading1">
    <w:name w:val="heading 1"/>
    <w:basedOn w:val="Normal"/>
    <w:next w:val="Normal"/>
    <w:link w:val="Heading1Char"/>
    <w:uiPriority w:val="9"/>
    <w:qFormat/>
    <w:rsid w:val="00CC38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CC381E"/>
    <w:pPr>
      <w:keepNext/>
      <w:keepLines/>
      <w:spacing w:before="480" w:line="240" w:lineRule="atLeast"/>
      <w:outlineLvl w:val="1"/>
    </w:pPr>
    <w:rPr>
      <w:rFonts w:eastAsia="Times New Roman" w:cs="Times New Roman"/>
      <w:b/>
      <w:bCs/>
      <w:color w:val="001871"/>
      <w:sz w:val="38"/>
      <w:szCs w:val="38"/>
    </w:rPr>
  </w:style>
  <w:style w:type="paragraph" w:styleId="Heading3">
    <w:name w:val="heading 3"/>
    <w:basedOn w:val="Normal"/>
    <w:next w:val="Normal"/>
    <w:link w:val="Heading3Char"/>
    <w:autoRedefine/>
    <w:qFormat/>
    <w:rsid w:val="00CC381E"/>
    <w:pPr>
      <w:keepNext/>
      <w:keepLines/>
      <w:spacing w:before="480" w:line="240" w:lineRule="atLeast"/>
      <w:outlineLvl w:val="2"/>
    </w:pPr>
    <w:rPr>
      <w:rFonts w:eastAsia="Times New Roman" w:cs="Times New Roman"/>
      <w:b/>
      <w:bCs/>
      <w:color w:val="001871"/>
      <w:sz w:val="32"/>
      <w:szCs w:val="32"/>
    </w:rPr>
  </w:style>
  <w:style w:type="paragraph" w:styleId="Heading4">
    <w:name w:val="heading 4"/>
    <w:basedOn w:val="Normal"/>
    <w:next w:val="Normal"/>
    <w:link w:val="Heading4Char"/>
    <w:autoRedefine/>
    <w:qFormat/>
    <w:rsid w:val="00CC381E"/>
    <w:pPr>
      <w:keepNext/>
      <w:keepLines/>
      <w:spacing w:before="360" w:line="240" w:lineRule="atLeast"/>
      <w:outlineLvl w:val="3"/>
    </w:pPr>
    <w:rPr>
      <w:rFonts w:eastAsia="Cambria" w:cs="Times New Roman"/>
      <w:bCs/>
      <w:color w:val="001871"/>
      <w:sz w:val="28"/>
      <w:szCs w:val="26"/>
    </w:rPr>
  </w:style>
  <w:style w:type="paragraph" w:styleId="Heading5">
    <w:name w:val="heading 5"/>
    <w:basedOn w:val="Normal"/>
    <w:next w:val="Normal"/>
    <w:link w:val="Heading5Char"/>
    <w:autoRedefine/>
    <w:uiPriority w:val="9"/>
    <w:rsid w:val="00CC381E"/>
    <w:pPr>
      <w:keepNext/>
      <w:keepLines/>
      <w:spacing w:before="240" w:line="240" w:lineRule="atLeast"/>
      <w:outlineLvl w:val="4"/>
    </w:pPr>
    <w:rPr>
      <w:rFonts w:eastAsia="Times New Roman" w:cs="Times New Roman"/>
      <w:bCs/>
      <w:i/>
      <w:color w:val="001871"/>
      <w:sz w:val="26"/>
      <w:szCs w:val="26"/>
    </w:rPr>
  </w:style>
  <w:style w:type="paragraph" w:styleId="Heading6">
    <w:name w:val="heading 6"/>
    <w:basedOn w:val="Normal"/>
    <w:next w:val="Normal"/>
    <w:link w:val="Heading6Char"/>
    <w:autoRedefine/>
    <w:uiPriority w:val="9"/>
    <w:rsid w:val="001330F6"/>
    <w:pPr>
      <w:keepNext/>
      <w:keepLines/>
      <w:spacing w:before="240" w:line="240" w:lineRule="atLeast"/>
      <w:ind w:firstLine="720"/>
      <w:outlineLvl w:val="5"/>
    </w:pPr>
    <w:rPr>
      <w:rFonts w:eastAsia="Times New Roman" w:cs="Times New Roman"/>
      <w:bCs/>
      <w:color w:val="001871"/>
      <w:sz w:val="24"/>
      <w:szCs w:val="21"/>
    </w:rPr>
  </w:style>
  <w:style w:type="paragraph" w:styleId="Heading7">
    <w:name w:val="heading 7"/>
    <w:basedOn w:val="Normal"/>
    <w:next w:val="Normal"/>
    <w:link w:val="Heading7Char"/>
    <w:uiPriority w:val="9"/>
    <w:rsid w:val="00CC381E"/>
    <w:pPr>
      <w:keepNext/>
      <w:keepLines/>
      <w:spacing w:before="240" w:after="60" w:line="180" w:lineRule="atLeast"/>
      <w:ind w:left="1296" w:hanging="1296"/>
      <w:outlineLvl w:val="6"/>
    </w:pPr>
    <w:rPr>
      <w:rFonts w:ascii="Cambria" w:eastAsia="Times New Roman" w:hAnsi="Cambria" w:cs="Times New Roman"/>
      <w:bCs/>
      <w:i/>
      <w:szCs w:val="22"/>
    </w:rPr>
  </w:style>
  <w:style w:type="paragraph" w:styleId="Heading8">
    <w:name w:val="heading 8"/>
    <w:basedOn w:val="Normal"/>
    <w:next w:val="Normal"/>
    <w:link w:val="Heading8Char"/>
    <w:autoRedefine/>
    <w:uiPriority w:val="9"/>
    <w:semiHidden/>
    <w:unhideWhenUsed/>
    <w:qFormat/>
    <w:rsid w:val="00CC381E"/>
    <w:pPr>
      <w:keepNext/>
      <w:keepLines/>
      <w:spacing w:before="200" w:after="0" w:line="240" w:lineRule="atLeast"/>
      <w:ind w:left="1440" w:hanging="1440"/>
      <w:outlineLvl w:val="7"/>
    </w:pPr>
    <w:rPr>
      <w:rFonts w:eastAsiaTheme="majorEastAsia" w:cstheme="majorBidi"/>
    </w:rPr>
  </w:style>
  <w:style w:type="paragraph" w:styleId="Heading9">
    <w:name w:val="heading 9"/>
    <w:basedOn w:val="Normal"/>
    <w:next w:val="Normal"/>
    <w:link w:val="Heading9Char"/>
    <w:uiPriority w:val="9"/>
    <w:semiHidden/>
    <w:unhideWhenUsed/>
    <w:qFormat/>
    <w:rsid w:val="00CC381E"/>
    <w:pPr>
      <w:keepNext/>
      <w:keepLines/>
      <w:spacing w:before="200" w:after="0" w:line="240" w:lineRule="atLeast"/>
      <w:ind w:left="1584" w:hanging="1584"/>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TGAblue2023">
    <w:name w:val="Table TGA blue 2023"/>
    <w:basedOn w:val="TableNormal"/>
    <w:uiPriority w:val="99"/>
    <w:qFormat/>
    <w:rsid w:val="00CC381E"/>
    <w:pPr>
      <w:spacing w:before="80" w:after="40" w:line="264" w:lineRule="auto"/>
      <w:ind w:left="113"/>
    </w:pPr>
    <w:rPr>
      <w:rFonts w:ascii="Arial" w:eastAsia="Cambria" w:hAnsi="Arial"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cPr>
      <w:shd w:val="clear" w:color="auto" w:fill="FFFFFF" w:themeFill="background1"/>
    </w:tcPr>
    <w:tblStylePr w:type="firstRow">
      <w:pPr>
        <w:keepNext/>
        <w:wordWrap/>
      </w:pPr>
      <w:rPr>
        <w:rFonts w:ascii="Arial" w:hAnsi="Arial"/>
        <w:b/>
        <w:color w:val="263287"/>
        <w:sz w:val="22"/>
      </w:rPr>
      <w:tblPr/>
      <w:trPr>
        <w:tblHeader/>
      </w:trPr>
      <w:tcPr>
        <w:shd w:val="clear" w:color="auto" w:fill="B8CCEA"/>
      </w:tcPr>
    </w:tblStylePr>
    <w:tblStylePr w:type="firstCol">
      <w:pPr>
        <w:keepNext w:val="0"/>
        <w:wordWrap/>
      </w:pPr>
    </w:tblStylePr>
  </w:style>
  <w:style w:type="character" w:customStyle="1" w:styleId="Heading2Char">
    <w:name w:val="Heading 2 Char"/>
    <w:basedOn w:val="DefaultParagraphFont"/>
    <w:link w:val="Heading2"/>
    <w:rsid w:val="00CC381E"/>
    <w:rPr>
      <w:rFonts w:ascii="Arial" w:eastAsia="Times New Roman" w:hAnsi="Arial" w:cs="Times New Roman"/>
      <w:b/>
      <w:bCs/>
      <w:color w:val="001871"/>
      <w:sz w:val="38"/>
      <w:szCs w:val="38"/>
    </w:rPr>
  </w:style>
  <w:style w:type="character" w:customStyle="1" w:styleId="Heading3Char">
    <w:name w:val="Heading 3 Char"/>
    <w:basedOn w:val="DefaultParagraphFont"/>
    <w:link w:val="Heading3"/>
    <w:rsid w:val="00CC381E"/>
    <w:rPr>
      <w:rFonts w:ascii="Arial" w:eastAsia="Times New Roman" w:hAnsi="Arial" w:cs="Times New Roman"/>
      <w:b/>
      <w:bCs/>
      <w:color w:val="001871"/>
      <w:sz w:val="32"/>
      <w:szCs w:val="32"/>
    </w:rPr>
  </w:style>
  <w:style w:type="character" w:customStyle="1" w:styleId="Heading4Char">
    <w:name w:val="Heading 4 Char"/>
    <w:basedOn w:val="DefaultParagraphFont"/>
    <w:link w:val="Heading4"/>
    <w:rsid w:val="00CC381E"/>
    <w:rPr>
      <w:rFonts w:ascii="Arial" w:eastAsia="Cambria" w:hAnsi="Arial" w:cs="Times New Roman"/>
      <w:bCs/>
      <w:color w:val="001871"/>
      <w:sz w:val="28"/>
      <w:szCs w:val="26"/>
    </w:rPr>
  </w:style>
  <w:style w:type="character" w:customStyle="1" w:styleId="Heading5Char">
    <w:name w:val="Heading 5 Char"/>
    <w:basedOn w:val="DefaultParagraphFont"/>
    <w:link w:val="Heading5"/>
    <w:uiPriority w:val="9"/>
    <w:rsid w:val="00CC381E"/>
    <w:rPr>
      <w:rFonts w:ascii="Arial" w:eastAsia="Times New Roman" w:hAnsi="Arial" w:cs="Times New Roman"/>
      <w:bCs/>
      <w:i/>
      <w:color w:val="001871"/>
      <w:sz w:val="26"/>
      <w:szCs w:val="26"/>
    </w:rPr>
  </w:style>
  <w:style w:type="character" w:customStyle="1" w:styleId="Heading6Char">
    <w:name w:val="Heading 6 Char"/>
    <w:basedOn w:val="DefaultParagraphFont"/>
    <w:link w:val="Heading6"/>
    <w:uiPriority w:val="9"/>
    <w:rsid w:val="001330F6"/>
    <w:rPr>
      <w:rFonts w:ascii="Arial" w:eastAsia="Times New Roman" w:hAnsi="Arial" w:cs="Times New Roman"/>
      <w:bCs/>
      <w:color w:val="001871"/>
      <w:sz w:val="24"/>
      <w:szCs w:val="21"/>
    </w:rPr>
  </w:style>
  <w:style w:type="paragraph" w:styleId="Date">
    <w:name w:val="Date"/>
    <w:basedOn w:val="Normal"/>
    <w:next w:val="Normal"/>
    <w:link w:val="DateChar"/>
    <w:uiPriority w:val="99"/>
    <w:rsid w:val="00CC381E"/>
    <w:pPr>
      <w:spacing w:before="120" w:after="0" w:line="240" w:lineRule="atLeast"/>
    </w:pPr>
    <w:rPr>
      <w:rFonts w:eastAsia="Cambria" w:cs="Times New Roman"/>
      <w:color w:val="333F4A"/>
      <w:sz w:val="28"/>
    </w:rPr>
  </w:style>
  <w:style w:type="character" w:customStyle="1" w:styleId="DateChar">
    <w:name w:val="Date Char"/>
    <w:basedOn w:val="DefaultParagraphFont"/>
    <w:link w:val="Date"/>
    <w:uiPriority w:val="99"/>
    <w:rsid w:val="00CC381E"/>
    <w:rPr>
      <w:rFonts w:ascii="Arial" w:eastAsia="Cambria" w:hAnsi="Arial" w:cs="Times New Roman"/>
      <w:color w:val="333F4A"/>
      <w:sz w:val="28"/>
    </w:rPr>
  </w:style>
  <w:style w:type="paragraph" w:styleId="Footer">
    <w:name w:val="footer"/>
    <w:basedOn w:val="Normal"/>
    <w:link w:val="FooterChar"/>
    <w:uiPriority w:val="99"/>
    <w:rsid w:val="00CC381E"/>
    <w:pPr>
      <w:tabs>
        <w:tab w:val="center" w:pos="4513"/>
        <w:tab w:val="right" w:pos="9026"/>
      </w:tabs>
      <w:spacing w:after="0" w:line="240" w:lineRule="auto"/>
    </w:pPr>
    <w:rPr>
      <w:rFonts w:eastAsia="Cambria" w:cs="Times New Roman"/>
      <w:color w:val="333F4A"/>
      <w:sz w:val="17"/>
    </w:rPr>
  </w:style>
  <w:style w:type="character" w:customStyle="1" w:styleId="FooterChar">
    <w:name w:val="Footer Char"/>
    <w:basedOn w:val="DefaultParagraphFont"/>
    <w:link w:val="Footer"/>
    <w:uiPriority w:val="99"/>
    <w:rsid w:val="00CC381E"/>
    <w:rPr>
      <w:rFonts w:ascii="Arial" w:eastAsia="Cambria" w:hAnsi="Arial" w:cs="Times New Roman"/>
      <w:color w:val="333F4A"/>
      <w:sz w:val="17"/>
    </w:rPr>
  </w:style>
  <w:style w:type="paragraph" w:styleId="Header">
    <w:name w:val="header"/>
    <w:basedOn w:val="Normal"/>
    <w:link w:val="HeaderChar"/>
    <w:uiPriority w:val="99"/>
    <w:rsid w:val="00CC381E"/>
    <w:pPr>
      <w:pBdr>
        <w:bottom w:val="single" w:sz="4" w:space="3" w:color="auto"/>
      </w:pBdr>
      <w:tabs>
        <w:tab w:val="center" w:pos="4513"/>
        <w:tab w:val="right" w:pos="9026"/>
      </w:tabs>
      <w:spacing w:after="0" w:line="240" w:lineRule="auto"/>
      <w:jc w:val="right"/>
    </w:pPr>
    <w:rPr>
      <w:rFonts w:eastAsia="Cambria" w:cs="Times New Roman"/>
      <w:color w:val="333F4A"/>
      <w:sz w:val="17"/>
    </w:rPr>
  </w:style>
  <w:style w:type="character" w:customStyle="1" w:styleId="HeaderChar">
    <w:name w:val="Header Char"/>
    <w:basedOn w:val="DefaultParagraphFont"/>
    <w:link w:val="Header"/>
    <w:uiPriority w:val="99"/>
    <w:rsid w:val="00CC381E"/>
    <w:rPr>
      <w:rFonts w:ascii="Arial" w:eastAsia="Cambria" w:hAnsi="Arial" w:cs="Times New Roman"/>
      <w:color w:val="333F4A"/>
      <w:sz w:val="17"/>
    </w:rPr>
  </w:style>
  <w:style w:type="character" w:styleId="Hyperlink">
    <w:name w:val="Hyperlink"/>
    <w:aliases w:val="OECD Hyperlink"/>
    <w:basedOn w:val="DefaultParagraphFont"/>
    <w:uiPriority w:val="99"/>
    <w:unhideWhenUsed/>
    <w:rsid w:val="00CC381E"/>
    <w:rPr>
      <w:rFonts w:ascii="Arial" w:hAnsi="Arial"/>
      <w:color w:val="0000FF"/>
      <w:u w:val="single"/>
    </w:rPr>
  </w:style>
  <w:style w:type="paragraph" w:customStyle="1" w:styleId="LegalCopy">
    <w:name w:val="Legal Copy"/>
    <w:basedOn w:val="Footer"/>
    <w:rsid w:val="00CC381E"/>
  </w:style>
  <w:style w:type="paragraph" w:customStyle="1" w:styleId="LegalSubheading">
    <w:name w:val="Legal Subheading"/>
    <w:basedOn w:val="Normal"/>
    <w:rsid w:val="00CC381E"/>
    <w:pPr>
      <w:outlineLvl w:val="1"/>
    </w:pPr>
    <w:rPr>
      <w:sz w:val="17"/>
    </w:rPr>
  </w:style>
  <w:style w:type="paragraph" w:styleId="ListBullet">
    <w:name w:val="List Bullet"/>
    <w:basedOn w:val="Normal"/>
    <w:autoRedefine/>
    <w:uiPriority w:val="2"/>
    <w:qFormat/>
    <w:rsid w:val="00CC381E"/>
    <w:pPr>
      <w:numPr>
        <w:numId w:val="7"/>
      </w:numPr>
      <w:spacing w:before="120" w:after="180" w:line="240" w:lineRule="atLeast"/>
    </w:pPr>
    <w:rPr>
      <w:rFonts w:eastAsia="Cambria" w:cs="Times New Roman"/>
    </w:rPr>
  </w:style>
  <w:style w:type="paragraph" w:styleId="ListBullet2">
    <w:name w:val="List Bullet 2"/>
    <w:basedOn w:val="Normal"/>
    <w:uiPriority w:val="2"/>
    <w:qFormat/>
    <w:rsid w:val="001F14FD"/>
    <w:pPr>
      <w:numPr>
        <w:ilvl w:val="1"/>
        <w:numId w:val="7"/>
      </w:numPr>
      <w:spacing w:before="120" w:after="180" w:line="240" w:lineRule="atLeast"/>
    </w:pPr>
    <w:rPr>
      <w:rFonts w:eastAsia="Cambria" w:cs="Times New Roman"/>
    </w:rPr>
  </w:style>
  <w:style w:type="paragraph" w:styleId="ListBullet3">
    <w:name w:val="List Bullet 3"/>
    <w:basedOn w:val="Normal"/>
    <w:uiPriority w:val="2"/>
    <w:qFormat/>
    <w:rsid w:val="001F14FD"/>
    <w:pPr>
      <w:numPr>
        <w:numId w:val="4"/>
      </w:numPr>
      <w:spacing w:before="120" w:after="180" w:line="240" w:lineRule="atLeast"/>
    </w:pPr>
    <w:rPr>
      <w:rFonts w:eastAsia="Cambria" w:cs="Times New Roman"/>
    </w:rPr>
  </w:style>
  <w:style w:type="numbering" w:customStyle="1" w:styleId="ListBullets">
    <w:name w:val="ListBullets"/>
    <w:uiPriority w:val="99"/>
    <w:locked/>
    <w:rsid w:val="00CC381E"/>
    <w:pPr>
      <w:numPr>
        <w:numId w:val="2"/>
      </w:numPr>
    </w:pPr>
  </w:style>
  <w:style w:type="paragraph" w:customStyle="1" w:styleId="Numberbullet0">
    <w:name w:val="Number bullet"/>
    <w:basedOn w:val="ListBullet"/>
    <w:uiPriority w:val="3"/>
    <w:qFormat/>
    <w:rsid w:val="00CC381E"/>
    <w:pPr>
      <w:numPr>
        <w:numId w:val="10"/>
      </w:numPr>
    </w:pPr>
  </w:style>
  <w:style w:type="paragraph" w:customStyle="1" w:styleId="Numberbullet2">
    <w:name w:val="Number bullet 2"/>
    <w:basedOn w:val="ListBullet2"/>
    <w:uiPriority w:val="3"/>
    <w:qFormat/>
    <w:rsid w:val="00CC381E"/>
    <w:pPr>
      <w:numPr>
        <w:ilvl w:val="0"/>
        <w:numId w:val="8"/>
      </w:numPr>
    </w:pPr>
  </w:style>
  <w:style w:type="paragraph" w:customStyle="1" w:styleId="Numberbullet3">
    <w:name w:val="Number bullet 3"/>
    <w:basedOn w:val="Normal"/>
    <w:uiPriority w:val="3"/>
    <w:qFormat/>
    <w:rsid w:val="002A2130"/>
    <w:pPr>
      <w:numPr>
        <w:numId w:val="9"/>
      </w:numPr>
      <w:spacing w:before="120" w:after="180" w:line="240" w:lineRule="atLeast"/>
    </w:pPr>
    <w:rPr>
      <w:rFonts w:eastAsia="Cambria" w:cs="Times New Roman"/>
      <w:color w:val="333F48"/>
    </w:rPr>
  </w:style>
  <w:style w:type="numbering" w:customStyle="1" w:styleId="NumberBullet">
    <w:name w:val="NumberBullet"/>
    <w:uiPriority w:val="99"/>
    <w:locked/>
    <w:rsid w:val="00CC381E"/>
    <w:pPr>
      <w:numPr>
        <w:numId w:val="1"/>
      </w:numPr>
    </w:pPr>
  </w:style>
  <w:style w:type="paragraph" w:styleId="Subtitle">
    <w:name w:val="Subtitle"/>
    <w:basedOn w:val="Normal"/>
    <w:link w:val="SubtitleChar"/>
    <w:uiPriority w:val="11"/>
    <w:rsid w:val="00CC381E"/>
    <w:pPr>
      <w:numPr>
        <w:ilvl w:val="1"/>
      </w:numPr>
      <w:spacing w:after="0" w:line="240" w:lineRule="atLeast"/>
      <w:ind w:left="170"/>
    </w:pPr>
    <w:rPr>
      <w:rFonts w:eastAsia="Times New Roman" w:cs="Times New Roman"/>
      <w:bCs/>
      <w:iCs/>
      <w:color w:val="006BA6"/>
      <w:sz w:val="40"/>
      <w:szCs w:val="24"/>
    </w:rPr>
  </w:style>
  <w:style w:type="character" w:customStyle="1" w:styleId="SubtitleChar">
    <w:name w:val="Subtitle Char"/>
    <w:basedOn w:val="DefaultParagraphFont"/>
    <w:link w:val="Subtitle"/>
    <w:uiPriority w:val="11"/>
    <w:rsid w:val="00CC381E"/>
    <w:rPr>
      <w:rFonts w:ascii="Arial" w:eastAsia="Times New Roman" w:hAnsi="Arial" w:cs="Times New Roman"/>
      <w:bCs/>
      <w:iCs/>
      <w:color w:val="006BA6"/>
      <w:sz w:val="40"/>
      <w:szCs w:val="24"/>
    </w:rPr>
  </w:style>
  <w:style w:type="table" w:styleId="TableGrid">
    <w:name w:val="Table Grid"/>
    <w:basedOn w:val="TableNormal"/>
    <w:uiPriority w:val="59"/>
    <w:rsid w:val="00CC381E"/>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GASignoff">
    <w:name w:val="TGA Signoff"/>
    <w:basedOn w:val="Normal"/>
    <w:rsid w:val="00CC381E"/>
    <w:pPr>
      <w:spacing w:before="120" w:after="360" w:line="240" w:lineRule="atLeast"/>
      <w:jc w:val="center"/>
    </w:pPr>
    <w:rPr>
      <w:rFonts w:eastAsia="Cambria" w:cs="Times New Roman"/>
      <w:b/>
      <w:color w:val="333F48"/>
      <w:sz w:val="28"/>
    </w:rPr>
  </w:style>
  <w:style w:type="paragraph" w:styleId="Title">
    <w:name w:val="Title"/>
    <w:link w:val="TitleChar"/>
    <w:uiPriority w:val="10"/>
    <w:rsid w:val="00CC381E"/>
    <w:pPr>
      <w:spacing w:line="240" w:lineRule="auto"/>
      <w:contextualSpacing/>
      <w:outlineLvl w:val="0"/>
    </w:pPr>
    <w:rPr>
      <w:rFonts w:ascii="Arial" w:eastAsia="Times New Roman" w:hAnsi="Arial" w:cs="Times New Roman"/>
      <w:color w:val="001871"/>
      <w:spacing w:val="5"/>
      <w:kern w:val="28"/>
      <w:sz w:val="52"/>
      <w:szCs w:val="52"/>
    </w:rPr>
  </w:style>
  <w:style w:type="character" w:customStyle="1" w:styleId="TitleChar">
    <w:name w:val="Title Char"/>
    <w:basedOn w:val="DefaultParagraphFont"/>
    <w:link w:val="Title"/>
    <w:uiPriority w:val="10"/>
    <w:rsid w:val="00CC381E"/>
    <w:rPr>
      <w:rFonts w:ascii="Arial" w:eastAsia="Times New Roman" w:hAnsi="Arial" w:cs="Times New Roman"/>
      <w:color w:val="001871"/>
      <w:spacing w:val="5"/>
      <w:kern w:val="28"/>
      <w:sz w:val="52"/>
      <w:szCs w:val="52"/>
    </w:rPr>
  </w:style>
  <w:style w:type="paragraph" w:styleId="TOC1">
    <w:name w:val="toc 1"/>
    <w:basedOn w:val="Normal"/>
    <w:next w:val="Normal"/>
    <w:autoRedefine/>
    <w:uiPriority w:val="39"/>
    <w:unhideWhenUsed/>
    <w:rsid w:val="00CC381E"/>
    <w:pPr>
      <w:keepNext/>
      <w:keepLines/>
      <w:tabs>
        <w:tab w:val="right" w:leader="underscore" w:pos="8505"/>
      </w:tabs>
      <w:spacing w:before="240" w:after="0" w:line="240" w:lineRule="atLeast"/>
    </w:pPr>
    <w:rPr>
      <w:rFonts w:eastAsia="Cambria" w:cs="Times New Roman"/>
      <w:b/>
      <w:color w:val="333F48"/>
      <w:sz w:val="32"/>
    </w:rPr>
  </w:style>
  <w:style w:type="paragraph" w:styleId="TOC2">
    <w:name w:val="toc 2"/>
    <w:basedOn w:val="Normal"/>
    <w:next w:val="Normal"/>
    <w:autoRedefine/>
    <w:uiPriority w:val="39"/>
    <w:unhideWhenUsed/>
    <w:rsid w:val="00CC381E"/>
    <w:pPr>
      <w:keepNext/>
      <w:keepLines/>
      <w:tabs>
        <w:tab w:val="right" w:leader="underscore" w:pos="8505"/>
      </w:tabs>
      <w:spacing w:before="60" w:after="0" w:line="240" w:lineRule="atLeast"/>
      <w:ind w:left="425"/>
    </w:pPr>
    <w:rPr>
      <w:rFonts w:eastAsia="Cambria" w:cs="Times New Roman"/>
      <w:color w:val="333F48"/>
      <w:sz w:val="24"/>
    </w:rPr>
  </w:style>
  <w:style w:type="paragraph" w:styleId="TOC3">
    <w:name w:val="toc 3"/>
    <w:basedOn w:val="Normal"/>
    <w:next w:val="Normal"/>
    <w:autoRedefine/>
    <w:uiPriority w:val="39"/>
    <w:unhideWhenUsed/>
    <w:rsid w:val="00CC381E"/>
    <w:pPr>
      <w:keepNext/>
      <w:keepLines/>
      <w:tabs>
        <w:tab w:val="right" w:leader="hyphen" w:pos="8505"/>
      </w:tabs>
      <w:spacing w:before="60" w:after="0" w:line="240" w:lineRule="atLeast"/>
      <w:ind w:left="851"/>
    </w:pPr>
    <w:rPr>
      <w:rFonts w:eastAsia="Cambria" w:cs="Times New Roman"/>
      <w:color w:val="333F48"/>
      <w:sz w:val="22"/>
    </w:rPr>
  </w:style>
  <w:style w:type="paragraph" w:styleId="FootnoteText">
    <w:name w:val="footnote text"/>
    <w:basedOn w:val="Normal"/>
    <w:link w:val="FootnoteTextChar"/>
    <w:uiPriority w:val="99"/>
    <w:rsid w:val="00CC381E"/>
    <w:pPr>
      <w:keepLines/>
      <w:spacing w:after="0" w:line="240" w:lineRule="atLeast"/>
    </w:pPr>
    <w:rPr>
      <w:rFonts w:eastAsia="Cambria" w:cs="Times New Roman"/>
      <w:color w:val="333F48"/>
      <w:sz w:val="16"/>
    </w:rPr>
  </w:style>
  <w:style w:type="character" w:customStyle="1" w:styleId="FootnoteTextChar">
    <w:name w:val="Footnote Text Char"/>
    <w:basedOn w:val="DefaultParagraphFont"/>
    <w:link w:val="FootnoteText"/>
    <w:uiPriority w:val="99"/>
    <w:rsid w:val="00CC381E"/>
    <w:rPr>
      <w:rFonts w:ascii="Arial" w:eastAsia="Cambria" w:hAnsi="Arial" w:cs="Times New Roman"/>
      <w:color w:val="333F48"/>
      <w:sz w:val="16"/>
    </w:rPr>
  </w:style>
  <w:style w:type="character" w:styleId="FootnoteReference">
    <w:name w:val="footnote reference"/>
    <w:basedOn w:val="DefaultParagraphFont"/>
    <w:uiPriority w:val="99"/>
    <w:unhideWhenUsed/>
    <w:rsid w:val="00CC381E"/>
    <w:rPr>
      <w:vertAlign w:val="superscript"/>
    </w:rPr>
  </w:style>
  <w:style w:type="paragraph" w:customStyle="1" w:styleId="NonTOCheading2">
    <w:name w:val="Non TOC heading 2"/>
    <w:basedOn w:val="Normal"/>
    <w:next w:val="Normal"/>
    <w:rsid w:val="00CC381E"/>
    <w:pPr>
      <w:keepNext/>
      <w:keepLines/>
      <w:pageBreakBefore/>
      <w:spacing w:after="180" w:line="240" w:lineRule="atLeast"/>
      <w:outlineLvl w:val="1"/>
    </w:pPr>
    <w:rPr>
      <w:rFonts w:eastAsia="Cambria" w:cs="Times New Roman"/>
      <w:b/>
      <w:color w:val="001871"/>
      <w:sz w:val="38"/>
    </w:rPr>
  </w:style>
  <w:style w:type="paragraph" w:customStyle="1" w:styleId="Headernoline">
    <w:name w:val="Header no line"/>
    <w:basedOn w:val="Header"/>
    <w:rsid w:val="00CC381E"/>
    <w:pPr>
      <w:pBdr>
        <w:bottom w:val="none" w:sz="0" w:space="0" w:color="auto"/>
      </w:pBdr>
      <w:spacing w:line="240" w:lineRule="atLeast"/>
    </w:pPr>
  </w:style>
  <w:style w:type="paragraph" w:customStyle="1" w:styleId="Tabledescription">
    <w:name w:val="Table description"/>
    <w:basedOn w:val="Normal"/>
    <w:next w:val="Normal"/>
    <w:rsid w:val="00CC381E"/>
    <w:pPr>
      <w:spacing w:before="120" w:after="240" w:line="180" w:lineRule="atLeast"/>
    </w:pPr>
    <w:rPr>
      <w:rFonts w:eastAsia="Cambria" w:cs="Times New Roman"/>
      <w:color w:val="333F48"/>
      <w:sz w:val="18"/>
    </w:rPr>
  </w:style>
  <w:style w:type="paragraph" w:customStyle="1" w:styleId="Tabletitle">
    <w:name w:val="Table title"/>
    <w:basedOn w:val="Normal"/>
    <w:next w:val="Normal"/>
    <w:rsid w:val="00CC381E"/>
    <w:pPr>
      <w:keepNext/>
      <w:spacing w:before="120" w:after="180" w:line="240" w:lineRule="atLeast"/>
    </w:pPr>
    <w:rPr>
      <w:rFonts w:eastAsia="Cambria" w:cs="Times New Roman"/>
      <w:b/>
      <w:color w:val="333F48"/>
    </w:rPr>
  </w:style>
  <w:style w:type="paragraph" w:customStyle="1" w:styleId="Address">
    <w:name w:val="Address"/>
    <w:basedOn w:val="Normal"/>
    <w:rsid w:val="00CC381E"/>
    <w:pPr>
      <w:spacing w:after="0" w:line="240" w:lineRule="auto"/>
    </w:pPr>
    <w:rPr>
      <w:rFonts w:eastAsia="Cambria" w:cs="Times New Roman"/>
      <w:color w:val="333F48"/>
      <w:sz w:val="21"/>
    </w:rPr>
  </w:style>
  <w:style w:type="paragraph" w:customStyle="1" w:styleId="ListBullet-dotick">
    <w:name w:val="List Bullet - do (tick)"/>
    <w:basedOn w:val="ListBullet"/>
    <w:autoRedefine/>
    <w:uiPriority w:val="1"/>
    <w:qFormat/>
    <w:rsid w:val="00CC381E"/>
    <w:pPr>
      <w:tabs>
        <w:tab w:val="left" w:pos="425"/>
      </w:tabs>
    </w:pPr>
  </w:style>
  <w:style w:type="paragraph" w:customStyle="1" w:styleId="ListBullet-donotcross">
    <w:name w:val="List Bullet - do not (cross)"/>
    <w:basedOn w:val="ListBullet"/>
    <w:autoRedefine/>
    <w:uiPriority w:val="1"/>
    <w:qFormat/>
    <w:rsid w:val="00CC381E"/>
    <w:pPr>
      <w:ind w:left="357" w:hanging="357"/>
    </w:pPr>
    <w:rPr>
      <w:rFonts w:eastAsiaTheme="minorHAnsi" w:cstheme="minorBidi"/>
      <w:szCs w:val="22"/>
    </w:rPr>
  </w:style>
  <w:style w:type="table" w:customStyle="1" w:styleId="TGABlack2023">
    <w:name w:val="TGA Black 2023"/>
    <w:basedOn w:val="TableTGAblue2023"/>
    <w:uiPriority w:val="99"/>
    <w:rsid w:val="00CC381E"/>
    <w:pPr>
      <w:spacing w:line="240" w:lineRule="auto"/>
    </w:pPr>
    <w:tblP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Pr>
    <w:tblStylePr w:type="firstRow">
      <w:pPr>
        <w:keepNext/>
        <w:wordWrap/>
      </w:pPr>
      <w:rPr>
        <w:rFonts w:ascii="Arial" w:hAnsi="Arial"/>
        <w:b/>
        <w:color w:val="FFFFFF" w:themeColor="background1"/>
        <w:sz w:val="22"/>
      </w:rPr>
      <w:tblPr/>
      <w:trPr>
        <w:tblHeader/>
      </w:trPr>
      <w:tcPr>
        <w:shd w:val="clear" w:color="auto" w:fill="171717" w:themeFill="background2" w:themeFillShade="1A"/>
      </w:tcPr>
    </w:tblStylePr>
    <w:tblStylePr w:type="firstCol">
      <w:pPr>
        <w:keepNext w:val="0"/>
        <w:wordWrap/>
      </w:pPr>
    </w:tblStylePr>
  </w:style>
  <w:style w:type="character" w:styleId="CommentReference">
    <w:name w:val="annotation reference"/>
    <w:basedOn w:val="DefaultParagraphFont"/>
    <w:uiPriority w:val="99"/>
    <w:semiHidden/>
    <w:unhideWhenUsed/>
    <w:rsid w:val="00CC381E"/>
    <w:rPr>
      <w:sz w:val="16"/>
      <w:szCs w:val="16"/>
    </w:rPr>
  </w:style>
  <w:style w:type="paragraph" w:styleId="CommentText">
    <w:name w:val="annotation text"/>
    <w:basedOn w:val="Normal"/>
    <w:link w:val="CommentTextChar"/>
    <w:uiPriority w:val="99"/>
    <w:unhideWhenUsed/>
    <w:rsid w:val="00CC381E"/>
    <w:pPr>
      <w:spacing w:before="120" w:after="180" w:line="240" w:lineRule="auto"/>
    </w:pPr>
    <w:rPr>
      <w:rFonts w:ascii="Cambria" w:eastAsia="Cambria" w:hAnsi="Cambria" w:cs="Times New Roman"/>
    </w:rPr>
  </w:style>
  <w:style w:type="character" w:customStyle="1" w:styleId="CommentTextChar">
    <w:name w:val="Comment Text Char"/>
    <w:basedOn w:val="DefaultParagraphFont"/>
    <w:link w:val="CommentText"/>
    <w:uiPriority w:val="99"/>
    <w:rsid w:val="00CC381E"/>
    <w:rPr>
      <w:rFonts w:ascii="Cambria" w:eastAsia="Cambria" w:hAnsi="Cambria" w:cs="Times New Roman"/>
    </w:rPr>
  </w:style>
  <w:style w:type="numbering" w:customStyle="1" w:styleId="NumberBullet1">
    <w:name w:val="NumberBullet1"/>
    <w:uiPriority w:val="99"/>
    <w:locked/>
    <w:rsid w:val="00CC381E"/>
  </w:style>
  <w:style w:type="table" w:customStyle="1" w:styleId="TableGrid1">
    <w:name w:val="Table Grid1"/>
    <w:basedOn w:val="TableNormal"/>
    <w:next w:val="TableGrid"/>
    <w:uiPriority w:val="39"/>
    <w:rsid w:val="002008D8"/>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C381E"/>
    <w:rPr>
      <w:color w:val="808080"/>
    </w:rPr>
  </w:style>
  <w:style w:type="character" w:customStyle="1" w:styleId="Heading7Char">
    <w:name w:val="Heading 7 Char"/>
    <w:basedOn w:val="DefaultParagraphFont"/>
    <w:link w:val="Heading7"/>
    <w:uiPriority w:val="9"/>
    <w:rsid w:val="00CC381E"/>
    <w:rPr>
      <w:rFonts w:ascii="Cambria" w:eastAsia="Times New Roman" w:hAnsi="Cambria" w:cs="Times New Roman"/>
      <w:bCs/>
      <w:i/>
      <w:szCs w:val="22"/>
    </w:rPr>
  </w:style>
  <w:style w:type="character" w:styleId="SubtleReference">
    <w:name w:val="Subtle Reference"/>
    <w:basedOn w:val="DefaultParagraphFont"/>
    <w:uiPriority w:val="31"/>
    <w:qFormat/>
    <w:rsid w:val="00CC381E"/>
    <w:rPr>
      <w:rFonts w:ascii="Arial" w:hAnsi="Arial"/>
      <w:smallCaps/>
      <w:color w:val="0D0D0D" w:themeColor="text1" w:themeTint="F2"/>
    </w:rPr>
  </w:style>
  <w:style w:type="character" w:styleId="SubtleEmphasis">
    <w:name w:val="Subtle Emphasis"/>
    <w:basedOn w:val="DefaultParagraphFont"/>
    <w:uiPriority w:val="19"/>
    <w:qFormat/>
    <w:rsid w:val="00CC381E"/>
    <w:rPr>
      <w:rFonts w:ascii="Arial" w:hAnsi="Arial"/>
      <w:i/>
      <w:iCs/>
      <w:color w:val="000000" w:themeColor="text1"/>
    </w:rPr>
  </w:style>
  <w:style w:type="paragraph" w:styleId="CommentSubject">
    <w:name w:val="annotation subject"/>
    <w:basedOn w:val="CommentText"/>
    <w:next w:val="CommentText"/>
    <w:link w:val="CommentSubjectChar"/>
    <w:uiPriority w:val="99"/>
    <w:semiHidden/>
    <w:unhideWhenUsed/>
    <w:rsid w:val="00CC381E"/>
    <w:rPr>
      <w:b/>
      <w:bCs/>
    </w:rPr>
  </w:style>
  <w:style w:type="character" w:customStyle="1" w:styleId="CommentSubjectChar">
    <w:name w:val="Comment Subject Char"/>
    <w:basedOn w:val="CommentTextChar"/>
    <w:link w:val="CommentSubject"/>
    <w:uiPriority w:val="99"/>
    <w:semiHidden/>
    <w:rsid w:val="00CC381E"/>
    <w:rPr>
      <w:rFonts w:ascii="Cambria" w:eastAsia="Cambria" w:hAnsi="Cambria" w:cs="Times New Roman"/>
      <w:b/>
      <w:bCs/>
    </w:rPr>
  </w:style>
  <w:style w:type="paragraph" w:styleId="NoSpacing">
    <w:name w:val="No Spacing"/>
    <w:autoRedefine/>
    <w:uiPriority w:val="1"/>
    <w:qFormat/>
    <w:rsid w:val="00CC381E"/>
    <w:pPr>
      <w:spacing w:after="0" w:line="240" w:lineRule="auto"/>
    </w:pPr>
    <w:rPr>
      <w:rFonts w:ascii="Arial" w:hAnsi="Arial"/>
      <w:color w:val="000000" w:themeColor="text1"/>
      <w:sz w:val="22"/>
    </w:rPr>
  </w:style>
  <w:style w:type="character" w:styleId="Emphasis">
    <w:name w:val="Emphasis"/>
    <w:basedOn w:val="DefaultParagraphFont"/>
    <w:uiPriority w:val="20"/>
    <w:qFormat/>
    <w:rsid w:val="00CC381E"/>
    <w:rPr>
      <w:rFonts w:ascii="Arial" w:hAnsi="Arial"/>
      <w:i/>
      <w:iCs/>
    </w:rPr>
  </w:style>
  <w:style w:type="character" w:styleId="Strong">
    <w:name w:val="Strong"/>
    <w:basedOn w:val="DefaultParagraphFont"/>
    <w:uiPriority w:val="22"/>
    <w:qFormat/>
    <w:rsid w:val="00CC381E"/>
    <w:rPr>
      <w:rFonts w:ascii="Arial" w:hAnsi="Arial"/>
      <w:b/>
      <w:bCs/>
      <w:color w:val="000000" w:themeColor="text1"/>
    </w:rPr>
  </w:style>
  <w:style w:type="paragraph" w:styleId="Quote">
    <w:name w:val="Quote"/>
    <w:basedOn w:val="Normal"/>
    <w:next w:val="Normal"/>
    <w:link w:val="QuoteChar"/>
    <w:autoRedefine/>
    <w:uiPriority w:val="29"/>
    <w:qFormat/>
    <w:rsid w:val="00CC381E"/>
    <w:pPr>
      <w:spacing w:before="200" w:after="160"/>
      <w:ind w:left="864" w:right="864"/>
      <w:jc w:val="center"/>
    </w:pPr>
    <w:rPr>
      <w:i/>
      <w:iCs/>
    </w:rPr>
  </w:style>
  <w:style w:type="character" w:customStyle="1" w:styleId="QuoteChar">
    <w:name w:val="Quote Char"/>
    <w:basedOn w:val="DefaultParagraphFont"/>
    <w:link w:val="Quote"/>
    <w:uiPriority w:val="29"/>
    <w:rsid w:val="00CC381E"/>
    <w:rPr>
      <w:rFonts w:ascii="Arial" w:hAnsi="Arial"/>
      <w:i/>
      <w:iCs/>
    </w:rPr>
  </w:style>
  <w:style w:type="character" w:styleId="BookTitle">
    <w:name w:val="Book Title"/>
    <w:basedOn w:val="DefaultParagraphFont"/>
    <w:uiPriority w:val="33"/>
    <w:qFormat/>
    <w:rsid w:val="00CC381E"/>
    <w:rPr>
      <w:rFonts w:ascii="Arial" w:hAnsi="Arial"/>
      <w:b/>
      <w:bCs/>
      <w:i/>
      <w:iCs/>
      <w:spacing w:val="5"/>
    </w:rPr>
  </w:style>
  <w:style w:type="paragraph" w:styleId="ListParagraph">
    <w:name w:val="List Paragraph"/>
    <w:basedOn w:val="ListBullet"/>
    <w:autoRedefine/>
    <w:uiPriority w:val="34"/>
    <w:qFormat/>
    <w:rsid w:val="00CC381E"/>
    <w:pPr>
      <w:ind w:left="357" w:hanging="357"/>
      <w:contextualSpacing/>
    </w:pPr>
  </w:style>
  <w:style w:type="paragraph" w:styleId="BalloonText">
    <w:name w:val="Balloon Text"/>
    <w:basedOn w:val="Normal"/>
    <w:link w:val="BalloonTextChar"/>
    <w:uiPriority w:val="99"/>
    <w:semiHidden/>
    <w:unhideWhenUsed/>
    <w:rsid w:val="00CC381E"/>
    <w:pPr>
      <w:spacing w:before="120" w:after="0" w:line="240" w:lineRule="atLeast"/>
    </w:pPr>
    <w:rPr>
      <w:rFonts w:ascii="Tahoma" w:eastAsia="Cambria" w:hAnsi="Tahoma" w:cs="Tahoma"/>
      <w:sz w:val="16"/>
      <w:szCs w:val="16"/>
    </w:rPr>
  </w:style>
  <w:style w:type="character" w:customStyle="1" w:styleId="BalloonTextChar">
    <w:name w:val="Balloon Text Char"/>
    <w:basedOn w:val="DefaultParagraphFont"/>
    <w:link w:val="BalloonText"/>
    <w:uiPriority w:val="99"/>
    <w:semiHidden/>
    <w:rsid w:val="00CC381E"/>
    <w:rPr>
      <w:rFonts w:ascii="Tahoma" w:eastAsia="Cambria" w:hAnsi="Tahoma" w:cs="Tahoma"/>
      <w:sz w:val="16"/>
      <w:szCs w:val="16"/>
    </w:rPr>
  </w:style>
  <w:style w:type="paragraph" w:customStyle="1" w:styleId="Default">
    <w:name w:val="Default"/>
    <w:rsid w:val="00CC381E"/>
    <w:pPr>
      <w:autoSpaceDE w:val="0"/>
      <w:autoSpaceDN w:val="0"/>
      <w:adjustRightInd w:val="0"/>
      <w:spacing w:after="0" w:line="240" w:lineRule="auto"/>
    </w:pPr>
    <w:rPr>
      <w:rFonts w:ascii="Times New Roman" w:eastAsia="Cambria" w:hAnsi="Times New Roman" w:cs="Times New Roman"/>
      <w:color w:val="000000"/>
      <w:sz w:val="24"/>
      <w:szCs w:val="24"/>
      <w:lang w:eastAsia="en-AU"/>
    </w:rPr>
  </w:style>
  <w:style w:type="paragraph" w:styleId="DocumentMap">
    <w:name w:val="Document Map"/>
    <w:basedOn w:val="Normal"/>
    <w:link w:val="DocumentMapChar"/>
    <w:uiPriority w:val="99"/>
    <w:semiHidden/>
    <w:unhideWhenUsed/>
    <w:rsid w:val="00CC381E"/>
    <w:pPr>
      <w:spacing w:after="0" w:line="240" w:lineRule="auto"/>
    </w:pPr>
    <w:rPr>
      <w:rFonts w:ascii="Tahoma" w:eastAsia="Cambria" w:hAnsi="Tahoma" w:cs="Tahoma"/>
      <w:sz w:val="16"/>
      <w:szCs w:val="16"/>
    </w:rPr>
  </w:style>
  <w:style w:type="character" w:customStyle="1" w:styleId="DocumentMapChar">
    <w:name w:val="Document Map Char"/>
    <w:basedOn w:val="DefaultParagraphFont"/>
    <w:link w:val="DocumentMap"/>
    <w:uiPriority w:val="99"/>
    <w:semiHidden/>
    <w:rsid w:val="00CC381E"/>
    <w:rPr>
      <w:rFonts w:ascii="Tahoma" w:eastAsia="Cambria" w:hAnsi="Tahoma" w:cs="Tahoma"/>
      <w:sz w:val="16"/>
      <w:szCs w:val="16"/>
    </w:rPr>
  </w:style>
  <w:style w:type="character" w:styleId="EndnoteReference">
    <w:name w:val="endnote reference"/>
    <w:basedOn w:val="DefaultParagraphFont"/>
    <w:uiPriority w:val="99"/>
    <w:semiHidden/>
    <w:unhideWhenUsed/>
    <w:rsid w:val="00CC381E"/>
    <w:rPr>
      <w:vertAlign w:val="superscript"/>
    </w:rPr>
  </w:style>
  <w:style w:type="paragraph" w:styleId="EndnoteText">
    <w:name w:val="endnote text"/>
    <w:basedOn w:val="FootnoteText"/>
    <w:link w:val="EndnoteTextChar"/>
    <w:semiHidden/>
    <w:unhideWhenUsed/>
    <w:rsid w:val="00CC381E"/>
    <w:rPr>
      <w:rFonts w:asciiTheme="minorHAnsi" w:hAnsiTheme="minorHAnsi" w:cstheme="minorBidi"/>
      <w:color w:val="auto"/>
      <w:szCs w:val="22"/>
    </w:rPr>
  </w:style>
  <w:style w:type="character" w:customStyle="1" w:styleId="EndnoteTextChar">
    <w:name w:val="Endnote Text Char"/>
    <w:basedOn w:val="DefaultParagraphFont"/>
    <w:link w:val="EndnoteText"/>
    <w:semiHidden/>
    <w:rsid w:val="00CC381E"/>
    <w:rPr>
      <w:rFonts w:eastAsia="Cambria"/>
      <w:sz w:val="16"/>
      <w:szCs w:val="22"/>
    </w:rPr>
  </w:style>
  <w:style w:type="character" w:styleId="FollowedHyperlink">
    <w:name w:val="FollowedHyperlink"/>
    <w:basedOn w:val="DefaultParagraphFont"/>
    <w:semiHidden/>
    <w:unhideWhenUsed/>
    <w:rsid w:val="00CC381E"/>
    <w:rPr>
      <w:color w:val="800080"/>
      <w:u w:val="single"/>
    </w:rPr>
  </w:style>
  <w:style w:type="character" w:customStyle="1" w:styleId="fontstyle01">
    <w:name w:val="fontstyle01"/>
    <w:basedOn w:val="DefaultParagraphFont"/>
    <w:rsid w:val="00CC381E"/>
    <w:rPr>
      <w:rFonts w:ascii="Cambria" w:hAnsi="Cambria" w:hint="default"/>
      <w:b w:val="0"/>
      <w:bCs w:val="0"/>
      <w:i w:val="0"/>
      <w:iCs w:val="0"/>
      <w:color w:val="000000"/>
      <w:sz w:val="22"/>
      <w:szCs w:val="22"/>
    </w:rPr>
  </w:style>
  <w:style w:type="character" w:customStyle="1" w:styleId="fontstyle21">
    <w:name w:val="fontstyle21"/>
    <w:basedOn w:val="DefaultParagraphFont"/>
    <w:rsid w:val="00CC381E"/>
    <w:rPr>
      <w:rFonts w:ascii="Cambria-Bold" w:hAnsi="Cambria-Bold" w:hint="default"/>
      <w:b/>
      <w:bCs/>
      <w:i w:val="0"/>
      <w:iCs w:val="0"/>
      <w:color w:val="000000"/>
      <w:sz w:val="22"/>
      <w:szCs w:val="22"/>
    </w:rPr>
  </w:style>
  <w:style w:type="paragraph" w:customStyle="1" w:styleId="HeaderNoLine0">
    <w:name w:val="Header No Line"/>
    <w:basedOn w:val="Header"/>
    <w:rsid w:val="00CC381E"/>
    <w:pPr>
      <w:pBdr>
        <w:bottom w:val="none" w:sz="0" w:space="0" w:color="auto"/>
      </w:pBdr>
    </w:pPr>
    <w:rPr>
      <w:rFonts w:ascii="Cambria" w:hAnsi="Cambria"/>
      <w:color w:val="auto"/>
    </w:rPr>
  </w:style>
  <w:style w:type="character" w:customStyle="1" w:styleId="Heading1Char">
    <w:name w:val="Heading 1 Char"/>
    <w:basedOn w:val="DefaultParagraphFont"/>
    <w:link w:val="Heading1"/>
    <w:uiPriority w:val="9"/>
    <w:rsid w:val="00CC381E"/>
    <w:rPr>
      <w:rFonts w:asciiTheme="majorHAnsi" w:eastAsiaTheme="majorEastAsia" w:hAnsiTheme="majorHAnsi" w:cstheme="majorBidi"/>
      <w:color w:val="2F5496" w:themeColor="accent1" w:themeShade="BF"/>
      <w:sz w:val="32"/>
      <w:szCs w:val="32"/>
    </w:rPr>
  </w:style>
  <w:style w:type="character" w:customStyle="1" w:styleId="Heading8Char">
    <w:name w:val="Heading 8 Char"/>
    <w:basedOn w:val="DefaultParagraphFont"/>
    <w:link w:val="Heading8"/>
    <w:uiPriority w:val="9"/>
    <w:semiHidden/>
    <w:rsid w:val="00CC381E"/>
    <w:rPr>
      <w:rFonts w:ascii="Arial" w:eastAsiaTheme="majorEastAsia" w:hAnsi="Arial" w:cstheme="majorBidi"/>
    </w:rPr>
  </w:style>
  <w:style w:type="character" w:customStyle="1" w:styleId="Heading9Char">
    <w:name w:val="Heading 9 Char"/>
    <w:basedOn w:val="DefaultParagraphFont"/>
    <w:link w:val="Heading9"/>
    <w:uiPriority w:val="9"/>
    <w:semiHidden/>
    <w:rsid w:val="00CC381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qFormat/>
    <w:rsid w:val="00CC381E"/>
    <w:rPr>
      <w:rFonts w:ascii="Arial" w:hAnsi="Arial"/>
      <w:i/>
      <w:iCs/>
      <w:color w:val="auto"/>
    </w:rPr>
  </w:style>
  <w:style w:type="character" w:styleId="IntenseReference">
    <w:name w:val="Intense Reference"/>
    <w:basedOn w:val="DefaultParagraphFont"/>
    <w:uiPriority w:val="32"/>
    <w:qFormat/>
    <w:rsid w:val="00CC381E"/>
    <w:rPr>
      <w:rFonts w:ascii="Arial" w:hAnsi="Arial"/>
      <w:b/>
      <w:bCs/>
      <w:smallCaps/>
      <w:color w:val="1F3864" w:themeColor="accent1" w:themeShade="80"/>
      <w:spacing w:val="5"/>
    </w:rPr>
  </w:style>
  <w:style w:type="paragraph" w:customStyle="1" w:styleId="Legislation">
    <w:name w:val="Legislation"/>
    <w:basedOn w:val="Normal"/>
    <w:qFormat/>
    <w:rsid w:val="00CC381E"/>
    <w:pPr>
      <w:jc w:val="center"/>
    </w:pPr>
    <w:rPr>
      <w:i/>
      <w:color w:val="333F48"/>
    </w:rPr>
  </w:style>
  <w:style w:type="paragraph" w:customStyle="1" w:styleId="Legislation-list">
    <w:name w:val="Legislation-list"/>
    <w:basedOn w:val="Numberbullet0"/>
    <w:rsid w:val="00CC381E"/>
    <w:pPr>
      <w:numPr>
        <w:numId w:val="3"/>
      </w:numPr>
      <w:jc w:val="center"/>
    </w:pPr>
    <w:rPr>
      <w:i/>
    </w:rPr>
  </w:style>
  <w:style w:type="table" w:styleId="LightList-Accent1">
    <w:name w:val="Light List Accent 1"/>
    <w:basedOn w:val="TableNormal"/>
    <w:uiPriority w:val="61"/>
    <w:rsid w:val="00CC381E"/>
    <w:pPr>
      <w:spacing w:after="0" w:line="240" w:lineRule="auto"/>
    </w:pPr>
    <w:rPr>
      <w:rFonts w:eastAsiaTheme="minorEastAsia"/>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2">
    <w:name w:val="Light Shading Accent 2"/>
    <w:basedOn w:val="TableNormal"/>
    <w:uiPriority w:val="60"/>
    <w:rsid w:val="00CC381E"/>
    <w:pPr>
      <w:spacing w:after="0" w:line="240" w:lineRule="auto"/>
    </w:pPr>
    <w:rPr>
      <w:rFonts w:ascii="Cambria" w:eastAsia="Calibri" w:hAnsi="Cambria" w:cs="Times New Roman"/>
      <w:color w:val="943634"/>
      <w:sz w:val="21"/>
      <w:szCs w:val="21"/>
      <w:lang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
    <w:name w:val="Light Shading1"/>
    <w:basedOn w:val="TableNormal"/>
    <w:uiPriority w:val="60"/>
    <w:rsid w:val="00CC381E"/>
    <w:pPr>
      <w:spacing w:after="0" w:line="240" w:lineRule="auto"/>
    </w:pPr>
    <w:rPr>
      <w:rFonts w:ascii="Cambria" w:eastAsia="Cambria" w:hAnsi="Cambria" w:cs="Times New Roman"/>
      <w:color w:val="000000" w:themeColor="text1" w:themeShade="BF"/>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Bulleta">
    <w:name w:val="List Bullet (a)"/>
    <w:basedOn w:val="ListBullet"/>
    <w:autoRedefine/>
    <w:uiPriority w:val="1"/>
    <w:qFormat/>
    <w:rsid w:val="00BB3352"/>
    <w:pPr>
      <w:numPr>
        <w:numId w:val="5"/>
      </w:numPr>
    </w:pPr>
  </w:style>
  <w:style w:type="paragraph" w:customStyle="1" w:styleId="ListBulleti">
    <w:name w:val="List Bullet (i)"/>
    <w:basedOn w:val="ListBullet"/>
    <w:autoRedefine/>
    <w:uiPriority w:val="1"/>
    <w:qFormat/>
    <w:rsid w:val="00BB3352"/>
    <w:pPr>
      <w:numPr>
        <w:numId w:val="6"/>
      </w:numPr>
    </w:pPr>
  </w:style>
  <w:style w:type="numbering" w:customStyle="1" w:styleId="ListBullets1">
    <w:name w:val="ListBullets1"/>
    <w:uiPriority w:val="99"/>
    <w:rsid w:val="00CC381E"/>
  </w:style>
  <w:style w:type="table" w:styleId="MediumGrid2-Accent5">
    <w:name w:val="Medium Grid 2 Accent 5"/>
    <w:basedOn w:val="TableNormal"/>
    <w:uiPriority w:val="68"/>
    <w:rsid w:val="00CC381E"/>
    <w:pPr>
      <w:spacing w:after="0" w:line="240" w:lineRule="auto"/>
    </w:pPr>
    <w:rPr>
      <w:rFonts w:ascii="Cambria" w:eastAsia="Times New Roman" w:hAnsi="Cambria" w:cs="Times New Roman"/>
      <w:color w:val="000000"/>
      <w:sz w:val="21"/>
      <w:szCs w:val="21"/>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styleId="NormalWeb">
    <w:name w:val="Normal (Web)"/>
    <w:basedOn w:val="Normal"/>
    <w:uiPriority w:val="99"/>
    <w:semiHidden/>
    <w:unhideWhenUsed/>
    <w:rsid w:val="00CC381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Quotation">
    <w:name w:val="Quotation"/>
    <w:basedOn w:val="Normal"/>
    <w:next w:val="Normal"/>
    <w:autoRedefine/>
    <w:uiPriority w:val="4"/>
    <w:qFormat/>
    <w:rsid w:val="00CC381E"/>
    <w:pPr>
      <w:spacing w:before="120" w:after="180" w:line="240" w:lineRule="atLeast"/>
      <w:ind w:left="425"/>
    </w:pPr>
    <w:rPr>
      <w:rFonts w:eastAsia="Cambria" w:cs="Times New Roman"/>
    </w:rPr>
  </w:style>
  <w:style w:type="paragraph" w:customStyle="1" w:styleId="Reference">
    <w:name w:val="Reference"/>
    <w:basedOn w:val="Normal"/>
    <w:rsid w:val="00CC381E"/>
    <w:pPr>
      <w:spacing w:before="40" w:after="0" w:line="240" w:lineRule="atLeast"/>
      <w:ind w:left="170" w:hanging="170"/>
    </w:pPr>
    <w:rPr>
      <w:rFonts w:ascii="Cambria" w:eastAsia="Cambria" w:hAnsi="Cambria" w:cs="Times New Roman"/>
      <w:sz w:val="19"/>
    </w:rPr>
  </w:style>
  <w:style w:type="character" w:customStyle="1" w:styleId="Style1">
    <w:name w:val="Style1"/>
    <w:basedOn w:val="DefaultParagraphFont"/>
    <w:uiPriority w:val="1"/>
    <w:rsid w:val="00CC381E"/>
    <w:rPr>
      <w:rFonts w:ascii="Cambria" w:hAnsi="Cambria"/>
      <w:sz w:val="22"/>
    </w:rPr>
  </w:style>
  <w:style w:type="table" w:customStyle="1" w:styleId="TableTGAblack">
    <w:name w:val="Table TGA black"/>
    <w:basedOn w:val="TableNormal"/>
    <w:uiPriority w:val="99"/>
    <w:rsid w:val="00CC381E"/>
    <w:pPr>
      <w:spacing w:before="60" w:after="0" w:line="240" w:lineRule="auto"/>
    </w:pPr>
    <w:rPr>
      <w:rFonts w:ascii="Cambria" w:eastAsia="Cambria" w:hAnsi="Cambria" w:cs="Times New Roman"/>
      <w:color w:val="000000"/>
      <w:sz w:val="22"/>
      <w:szCs w:val="21"/>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cPr>
      <w:shd w:val="clear" w:color="auto" w:fill="auto"/>
    </w:tcPr>
    <w:tblStylePr w:type="firstRow">
      <w:pPr>
        <w:keepNext/>
        <w:wordWrap/>
      </w:pPr>
      <w:rPr>
        <w:rFonts w:ascii="Cambria" w:hAnsi="Cambria"/>
        <w:b/>
        <w:color w:val="FFFFFF"/>
        <w:sz w:val="22"/>
      </w:rPr>
      <w:tblPr/>
      <w:tcPr>
        <w:shd w:val="clear" w:color="auto" w:fill="000000"/>
      </w:tcPr>
    </w:tblStylePr>
    <w:tblStylePr w:type="lastRow">
      <w:rPr>
        <w:b w:val="0"/>
      </w:rPr>
    </w:tblStylePr>
    <w:tblStylePr w:type="firstCol">
      <w:pPr>
        <w:keepNext w:val="0"/>
        <w:wordWrap/>
      </w:pPr>
    </w:tblStylePr>
    <w:tblStylePr w:type="neCell">
      <w:rPr>
        <w:b w:val="0"/>
        <w:i w:val="0"/>
      </w:rPr>
    </w:tblStylePr>
    <w:tblStylePr w:type="nwCell">
      <w:rPr>
        <w:rFonts w:ascii="Cambria" w:hAnsi="Cambria"/>
        <w:b/>
        <w:i w:val="0"/>
        <w:color w:val="FFFFFF"/>
        <w:sz w:val="22"/>
      </w:rPr>
    </w:tblStylePr>
  </w:style>
  <w:style w:type="table" w:customStyle="1" w:styleId="TableTGAblue">
    <w:name w:val="Table TGA blue"/>
    <w:basedOn w:val="TableNormal"/>
    <w:uiPriority w:val="99"/>
    <w:qFormat/>
    <w:rsid w:val="00CC381E"/>
    <w:pPr>
      <w:spacing w:after="0" w:line="240" w:lineRule="auto"/>
    </w:pPr>
    <w:rPr>
      <w:rFonts w:ascii="Cambria" w:eastAsia="Cambria" w:hAnsi="Cambria" w:cs="Times New Roman"/>
      <w:color w:val="000000"/>
      <w:sz w:val="22"/>
      <w:szCs w:val="21"/>
      <w:lang w:eastAsia="en-AU"/>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paragraph" w:customStyle="1" w:styleId="TableTitle0">
    <w:name w:val="Table Title"/>
    <w:basedOn w:val="Normal"/>
    <w:next w:val="Normal"/>
    <w:autoRedefine/>
    <w:qFormat/>
    <w:rsid w:val="00CC381E"/>
    <w:pPr>
      <w:spacing w:before="180" w:after="180" w:line="240" w:lineRule="atLeast"/>
    </w:pPr>
    <w:rPr>
      <w:rFonts w:eastAsia="Cambria" w:cs="Times New Roman"/>
      <w:b/>
    </w:rPr>
  </w:style>
  <w:style w:type="paragraph" w:styleId="TOC4">
    <w:name w:val="toc 4"/>
    <w:basedOn w:val="Normal"/>
    <w:next w:val="Normal"/>
    <w:autoRedefine/>
    <w:uiPriority w:val="39"/>
    <w:semiHidden/>
    <w:unhideWhenUsed/>
    <w:rsid w:val="00CC381E"/>
    <w:pPr>
      <w:tabs>
        <w:tab w:val="right" w:leader="hyphen" w:pos="8505"/>
      </w:tabs>
      <w:spacing w:before="120" w:after="100" w:line="240" w:lineRule="atLeast"/>
      <w:ind w:left="1276"/>
    </w:pPr>
    <w:rPr>
      <w:rFonts w:ascii="Cambria" w:eastAsia="Cambria" w:hAnsi="Cambria" w:cs="Times New Roman"/>
    </w:rPr>
  </w:style>
  <w:style w:type="paragraph" w:styleId="TOC5">
    <w:name w:val="toc 5"/>
    <w:basedOn w:val="Normal"/>
    <w:next w:val="Normal"/>
    <w:autoRedefine/>
    <w:uiPriority w:val="39"/>
    <w:semiHidden/>
    <w:unhideWhenUsed/>
    <w:rsid w:val="00CC381E"/>
    <w:pPr>
      <w:tabs>
        <w:tab w:val="right" w:leader="dot" w:pos="8505"/>
      </w:tabs>
      <w:spacing w:before="120" w:after="100" w:line="240" w:lineRule="atLeast"/>
      <w:ind w:left="1701"/>
    </w:pPr>
    <w:rPr>
      <w:rFonts w:ascii="Cambria" w:eastAsia="Cambria" w:hAnsi="Cambria" w:cs="Times New Roman"/>
      <w:noProof/>
    </w:rPr>
  </w:style>
  <w:style w:type="paragraph" w:styleId="TOC6">
    <w:name w:val="toc 6"/>
    <w:basedOn w:val="Normal"/>
    <w:next w:val="Normal"/>
    <w:autoRedefine/>
    <w:uiPriority w:val="39"/>
    <w:semiHidden/>
    <w:unhideWhenUsed/>
    <w:rsid w:val="00CC381E"/>
    <w:pPr>
      <w:tabs>
        <w:tab w:val="right" w:pos="8505"/>
      </w:tabs>
      <w:spacing w:before="120" w:after="100" w:line="240" w:lineRule="atLeast"/>
      <w:ind w:left="2126"/>
    </w:pPr>
    <w:rPr>
      <w:rFonts w:ascii="Cambria" w:eastAsia="Cambria" w:hAnsi="Cambria" w:cs="Times New Roman"/>
    </w:rPr>
  </w:style>
  <w:style w:type="paragraph" w:styleId="TOC7">
    <w:name w:val="toc 7"/>
    <w:basedOn w:val="Normal"/>
    <w:next w:val="Normal"/>
    <w:autoRedefine/>
    <w:uiPriority w:val="39"/>
    <w:semiHidden/>
    <w:unhideWhenUsed/>
    <w:rsid w:val="00CC381E"/>
    <w:pPr>
      <w:spacing w:before="120" w:after="100" w:line="240" w:lineRule="atLeast"/>
      <w:ind w:left="2211"/>
    </w:pPr>
    <w:rPr>
      <w:rFonts w:ascii="Cambria" w:eastAsia="Cambria" w:hAnsi="Cambria" w:cs="Times New Roman"/>
    </w:rPr>
  </w:style>
  <w:style w:type="paragraph" w:styleId="TOC9">
    <w:name w:val="toc 9"/>
    <w:basedOn w:val="Normal"/>
    <w:next w:val="Normal"/>
    <w:autoRedefine/>
    <w:uiPriority w:val="39"/>
    <w:semiHidden/>
    <w:unhideWhenUsed/>
    <w:rsid w:val="00CC381E"/>
    <w:pPr>
      <w:spacing w:before="120" w:after="100" w:line="240" w:lineRule="atLeast"/>
      <w:ind w:left="1760"/>
    </w:pPr>
    <w:rPr>
      <w:rFonts w:ascii="Cambria" w:eastAsia="Cambria" w:hAnsi="Cambria" w:cs="Times New Roman"/>
    </w:rPr>
  </w:style>
  <w:style w:type="paragraph" w:styleId="TOCHeading">
    <w:name w:val="TOC Heading"/>
    <w:basedOn w:val="Heading1"/>
    <w:next w:val="Normal"/>
    <w:uiPriority w:val="39"/>
    <w:unhideWhenUsed/>
    <w:qFormat/>
    <w:rsid w:val="00CC381E"/>
    <w:pPr>
      <w:outlineLvl w:val="9"/>
    </w:pPr>
    <w:rPr>
      <w:lang w:val="en-US"/>
    </w:rPr>
  </w:style>
  <w:style w:type="character" w:styleId="UnresolvedMention">
    <w:name w:val="Unresolved Mention"/>
    <w:basedOn w:val="DefaultParagraphFont"/>
    <w:uiPriority w:val="99"/>
    <w:semiHidden/>
    <w:unhideWhenUsed/>
    <w:rsid w:val="00CC381E"/>
    <w:rPr>
      <w:color w:val="605E5C"/>
      <w:shd w:val="clear" w:color="auto" w:fill="E1DFDD"/>
    </w:rPr>
  </w:style>
  <w:style w:type="paragraph" w:styleId="Revision">
    <w:name w:val="Revision"/>
    <w:hidden/>
    <w:uiPriority w:val="99"/>
    <w:semiHidden/>
    <w:rsid w:val="001D5E60"/>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tga.gov.au/resources/guidance/scheduling-handbook-guidance-amending-poisons-standard" TargetMode="External"/><Relationship Id="rId20" Type="http://schemas.openxmlformats.org/officeDocument/2006/relationships/hyperlink" Target="https://www.tg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ga.gov.au/publication/ahmac-scheduling-policy-framework-medicines-and-chemicals"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info@tga.gov.a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ga.copyright@tga.gov.au" TargetMode="Externa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www.tga.gov.au/resources/consultation/consultation-proposed-amendments-poisons-standard-acms-accs-and-joint-acmsaccs-meetings-march-2021" TargetMode="External"/><Relationship Id="rId2" Type="http://schemas.openxmlformats.org/officeDocument/2006/relationships/hyperlink" Target="https://www.tga.gov.au/sites/default/files/2023-09/notice-final-decision-amend-or-not-amend-the-current-poisons-standard-relation-lead.pdf" TargetMode="External"/><Relationship Id="rId1" Type="http://schemas.openxmlformats.org/officeDocument/2006/relationships/hyperlink" Target="https://www.tga.gov.au/sites/default/files/notice-final-decisions-amend-or-not-amend-the-current-poisons-standard.pdf" TargetMode="External"/><Relationship Id="rId5" Type="http://schemas.openxmlformats.org/officeDocument/2006/relationships/hyperlink" Target="https://www.unep.org/explore-topics/chemicals-waste/what-we-do/emerging-issues/global-alliance-eliminate-lead-paint/faq" TargetMode="External"/><Relationship Id="rId4" Type="http://schemas.openxmlformats.org/officeDocument/2006/relationships/hyperlink" Target="https://www.ecfr.gov/current/title-16/chapter-II/subchapter-B/part-1303"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Q\OneDrive%20-%20Department%20of%20Health\Desktop\Public%20notice%20of%20final%20decision%20-%20Lead%20-%20Joint%20ACMS-ACCS%233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AA4F9-C0C3-4113-8249-266DBC067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Public notice of final decision - Lead - Joint ACMS-ACCS#34.DOTM</Template>
  <TotalTime>4</TotalTime>
  <Pages>7</Pages>
  <Words>1451</Words>
  <Characters>7739</Characters>
  <Application>Microsoft Office Word</Application>
  <DocSecurity>0</DocSecurity>
  <Lines>140</Lines>
  <Paragraphs>67</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final decision to amend the current Poisons Standard in relation to lead (in anti-fouling paints)</dc:title>
  <dc:subject>scheduling</dc:subject>
  <dc:creator>Therapeutic Goods Administration</dc:creator>
  <cp:keywords/>
  <dc:description/>
  <cp:lastModifiedBy>LACK, Janet</cp:lastModifiedBy>
  <cp:revision>5</cp:revision>
  <dcterms:created xsi:type="dcterms:W3CDTF">2026-07-29T03:33:00Z</dcterms:created>
  <dcterms:modified xsi:type="dcterms:W3CDTF">2026-07-29T03:37:00Z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4493385d,7043dea7,4c621a0e,468a08a0,4ce50358</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13d260b0,7326e982,620c27db,e827d13,dc3b66d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2026-04-13T05:57:00Z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d9229cc7-e8b8-48cc-a8ec-2af35e6f3875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