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31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ED0C8B" w:rsidRPr="009401F6" w:rsidTr="00ED0C8B">
        <w:tc>
          <w:tcPr>
            <w:tcW w:w="8720" w:type="dxa"/>
          </w:tcPr>
          <w:p w:rsidR="001D480A" w:rsidRPr="009401F6" w:rsidRDefault="0029092E" w:rsidP="004E2622">
            <w:pPr>
              <w:pStyle w:val="Title"/>
            </w:pPr>
            <w:r>
              <w:t>Transition to eCTD only for prescription medicines</w:t>
            </w:r>
          </w:p>
        </w:tc>
      </w:tr>
      <w:tr w:rsidR="00ED0C8B" w:rsidRPr="009401F6" w:rsidTr="00ED0C8B">
        <w:trPr>
          <w:trHeight w:val="1387"/>
        </w:trPr>
        <w:tc>
          <w:tcPr>
            <w:tcW w:w="8720" w:type="dxa"/>
          </w:tcPr>
          <w:p w:rsidR="001D480A" w:rsidRPr="009401F6" w:rsidRDefault="001D480A" w:rsidP="00ED0C8B">
            <w:pPr>
              <w:pStyle w:val="Subtitle"/>
              <w:ind w:left="0"/>
              <w:rPr>
                <w:lang w:eastAsia="en-AU"/>
              </w:rPr>
            </w:pPr>
          </w:p>
        </w:tc>
      </w:tr>
      <w:tr w:rsidR="00ED0C8B" w:rsidRPr="009401F6" w:rsidTr="00ED0C8B">
        <w:tc>
          <w:tcPr>
            <w:tcW w:w="8720" w:type="dxa"/>
          </w:tcPr>
          <w:p w:rsidR="00ED0C8B" w:rsidRPr="009401F6" w:rsidRDefault="00ED0C8B" w:rsidP="00B16BD2">
            <w:pPr>
              <w:pStyle w:val="Date"/>
              <w:rPr>
                <w:lang w:eastAsia="en-AU"/>
              </w:rPr>
            </w:pPr>
            <w:r w:rsidRPr="004E2622">
              <w:t>Version</w:t>
            </w:r>
            <w:r w:rsidRPr="009401F6">
              <w:rPr>
                <w:lang w:eastAsia="en-AU"/>
              </w:rPr>
              <w:t xml:space="preserve"> 1.</w:t>
            </w:r>
            <w:r w:rsidR="00B16BD2">
              <w:rPr>
                <w:lang w:eastAsia="en-AU"/>
              </w:rPr>
              <w:t>1</w:t>
            </w:r>
            <w:r w:rsidRPr="009401F6">
              <w:rPr>
                <w:lang w:eastAsia="en-AU"/>
              </w:rPr>
              <w:t xml:space="preserve">, </w:t>
            </w:r>
            <w:r w:rsidR="00D531FE">
              <w:rPr>
                <w:lang w:eastAsia="en-AU"/>
              </w:rPr>
              <w:t xml:space="preserve">October </w:t>
            </w:r>
            <w:r w:rsidR="0098306F">
              <w:rPr>
                <w:lang w:eastAsia="en-AU"/>
              </w:rPr>
              <w:t>2018</w:t>
            </w:r>
          </w:p>
        </w:tc>
      </w:tr>
    </w:tbl>
    <w:p w:rsidR="00BA6FF1" w:rsidRPr="009401F6" w:rsidRDefault="00BA6FF1" w:rsidP="007C7B5B">
      <w:pPr>
        <w:rPr>
          <w:lang w:eastAsia="en-AU"/>
        </w:rPr>
      </w:pPr>
    </w:p>
    <w:p w:rsidR="001D480A" w:rsidRPr="009401F6" w:rsidRDefault="001D480A" w:rsidP="0054583D">
      <w:pPr>
        <w:rPr>
          <w:lang w:eastAsia="en-AU"/>
        </w:rPr>
        <w:sectPr w:rsidR="001D480A" w:rsidRPr="009401F6" w:rsidSect="00F8404D">
          <w:headerReference w:type="even" r:id="rId8"/>
          <w:headerReference w:type="default" r:id="rId9"/>
          <w:footerReference w:type="default" r:id="rId10"/>
          <w:headerReference w:type="first" r:id="rId11"/>
          <w:footerReference w:type="first" r:id="rId12"/>
          <w:type w:val="continuous"/>
          <w:pgSz w:w="11906" w:h="16838" w:code="9"/>
          <w:pgMar w:top="6923" w:right="1418" w:bottom="709" w:left="1418" w:header="998" w:footer="0" w:gutter="0"/>
          <w:cols w:space="708"/>
          <w:titlePg/>
          <w:docGrid w:linePitch="360"/>
        </w:sectPr>
      </w:pPr>
      <w:bookmarkStart w:id="0" w:name="_GoBack"/>
      <w:bookmarkEnd w:id="0"/>
    </w:p>
    <w:p w:rsidR="00BA6FF1" w:rsidRPr="005D4EA1" w:rsidRDefault="00BA6FF1" w:rsidP="00FE1941">
      <w:pPr>
        <w:pStyle w:val="LegalSubheading"/>
        <w:pageBreakBefore/>
      </w:pPr>
      <w:r w:rsidRPr="00691723">
        <w:lastRenderedPageBreak/>
        <w:t>Copyright</w:t>
      </w:r>
    </w:p>
    <w:p w:rsidR="00611B57" w:rsidRDefault="00EA453A" w:rsidP="00FE1941">
      <w:pPr>
        <w:pStyle w:val="LegalCopy"/>
        <w:spacing w:after="0"/>
      </w:pPr>
      <w:r w:rsidRPr="009401F6">
        <w:t>© Commonwealth of Australia 201</w:t>
      </w:r>
      <w:r w:rsidR="00C73D6C">
        <w:t>8</w:t>
      </w:r>
      <w:r w:rsidRPr="009401F6">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9401F6">
        <w:rPr>
          <w:i/>
        </w:rPr>
        <w:t>Copyright Act 1968</w:t>
      </w:r>
      <w:r w:rsidRPr="009401F6">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3" w:history="1">
        <w:r w:rsidRPr="009401F6">
          <w:rPr>
            <w:rStyle w:val="Hyperlink"/>
            <w:rFonts w:cs="Arial"/>
          </w:rPr>
          <w:t>tga.copyright@tga.gov.au</w:t>
        </w:r>
      </w:hyperlink>
      <w:r w:rsidR="004169A8" w:rsidRPr="009401F6">
        <w:t>&gt;</w:t>
      </w:r>
    </w:p>
    <w:p w:rsidR="008D2B09" w:rsidRPr="009401F6" w:rsidRDefault="008D2B09" w:rsidP="00611B57">
      <w:pPr>
        <w:pStyle w:val="LegalSubheading"/>
      </w:pPr>
      <w:r w:rsidRPr="009401F6">
        <w:t>Confidentiality</w:t>
      </w:r>
    </w:p>
    <w:p w:rsidR="00F8365F" w:rsidRPr="00EB182C" w:rsidRDefault="008D2B09" w:rsidP="003204DD">
      <w:pPr>
        <w:pStyle w:val="LegalCopy"/>
      </w:pPr>
      <w:r w:rsidRPr="00EB182C">
        <w:rPr>
          <w:lang w:eastAsia="en-AU"/>
        </w:rPr>
        <w:t>All submissions received will be placed on the TGA’s Internet site, unless marked confidential. Any confidential</w:t>
      </w:r>
      <w:r w:rsidR="00907ACE" w:rsidRPr="00EB182C">
        <w:rPr>
          <w:lang w:eastAsia="en-AU"/>
        </w:rPr>
        <w:t xml:space="preserve"> </w:t>
      </w:r>
      <w:r w:rsidRPr="00EB182C">
        <w:rPr>
          <w:lang w:eastAsia="en-AU"/>
        </w:rPr>
        <w:t>material contained within your submission should be provided under a separate cover and clearly marked</w:t>
      </w:r>
      <w:r w:rsidR="00907ACE" w:rsidRPr="00EB182C">
        <w:rPr>
          <w:lang w:eastAsia="en-AU"/>
        </w:rPr>
        <w:t xml:space="preserve"> </w:t>
      </w:r>
      <w:r w:rsidRPr="00EB182C">
        <w:rPr>
          <w:lang w:eastAsia="en-AU"/>
        </w:rPr>
        <w:t>“IN CONFIDENCE”. Reasons for a claim to confidentiality must be included in the space provided on the TGA</w:t>
      </w:r>
      <w:r w:rsidR="00907ACE" w:rsidRPr="00EB182C">
        <w:rPr>
          <w:lang w:eastAsia="en-AU"/>
        </w:rPr>
        <w:t xml:space="preserve"> </w:t>
      </w:r>
      <w:r w:rsidRPr="00EB182C">
        <w:rPr>
          <w:lang w:eastAsia="en-AU"/>
        </w:rPr>
        <w:t xml:space="preserve">submission </w:t>
      </w:r>
      <w:r w:rsidR="003C7461" w:rsidRPr="00EB182C">
        <w:rPr>
          <w:lang w:eastAsia="en-AU"/>
        </w:rPr>
        <w:t>form</w:t>
      </w:r>
      <w:r w:rsidRPr="00EB182C">
        <w:rPr>
          <w:lang w:eastAsia="en-AU"/>
        </w:rPr>
        <w:t>.</w:t>
      </w:r>
      <w:r w:rsidR="00611B57" w:rsidRPr="00EB182C">
        <w:rPr>
          <w:lang w:eastAsia="en-AU"/>
        </w:rPr>
        <w:t xml:space="preserve"> </w:t>
      </w:r>
      <w:r w:rsidRPr="00EB182C">
        <w:rPr>
          <w:lang w:eastAsia="en-AU"/>
        </w:rPr>
        <w:t>For submission made by individuals, all personal details, other than your name, will be removed from your</w:t>
      </w:r>
      <w:r w:rsidR="00611B57" w:rsidRPr="00EB182C">
        <w:rPr>
          <w:lang w:eastAsia="en-AU"/>
        </w:rPr>
        <w:t xml:space="preserve"> </w:t>
      </w:r>
      <w:r w:rsidRPr="00EB182C">
        <w:rPr>
          <w:lang w:eastAsia="en-AU"/>
        </w:rPr>
        <w:t>submission before it is published on the TGA’s Internet site.</w:t>
      </w:r>
      <w:r w:rsidR="00611B57" w:rsidRPr="00EB182C">
        <w:rPr>
          <w:lang w:eastAsia="en-AU"/>
        </w:rPr>
        <w:t xml:space="preserve"> </w:t>
      </w:r>
      <w:r w:rsidRPr="00EB182C">
        <w:rPr>
          <w:lang w:eastAsia="en-AU"/>
        </w:rPr>
        <w:t>In addition, a list of parties making submissions will be published. If you do not wish to be identified with your</w:t>
      </w:r>
      <w:r w:rsidR="00611B57" w:rsidRPr="00EB182C">
        <w:rPr>
          <w:lang w:eastAsia="en-AU"/>
        </w:rPr>
        <w:t xml:space="preserve"> </w:t>
      </w:r>
      <w:r w:rsidRPr="00EB182C">
        <w:rPr>
          <w:lang w:eastAsia="en-AU"/>
        </w:rPr>
        <w:t xml:space="preserve">submission you must specifically request this in the space provided on the submission </w:t>
      </w:r>
      <w:r w:rsidR="003C7461" w:rsidRPr="00EB182C">
        <w:rPr>
          <w:lang w:eastAsia="en-AU"/>
        </w:rPr>
        <w:t>form.</w:t>
      </w:r>
      <w:bookmarkStart w:id="1" w:name="_Toc323738670"/>
    </w:p>
    <w:sdt>
      <w:sdtPr>
        <w:rPr>
          <w:rFonts w:ascii="Cambria" w:eastAsia="Times New Roman" w:hAnsi="Cambria"/>
          <w:b w:val="0"/>
          <w:bCs/>
          <w:sz w:val="20"/>
          <w:szCs w:val="38"/>
        </w:rPr>
        <w:id w:val="3701955"/>
        <w:docPartObj>
          <w:docPartGallery w:val="Table of Contents"/>
          <w:docPartUnique/>
        </w:docPartObj>
      </w:sdtPr>
      <w:sdtEndPr>
        <w:rPr>
          <w:rFonts w:eastAsia="Cambria"/>
          <w:bCs w:val="0"/>
          <w:sz w:val="22"/>
          <w:szCs w:val="20"/>
        </w:rPr>
      </w:sdtEndPr>
      <w:sdtContent>
        <w:p w:rsidR="00B92C72" w:rsidRPr="00EA0442" w:rsidRDefault="00B92C72" w:rsidP="00AC0E1C">
          <w:pPr>
            <w:pStyle w:val="NonTOCheading2"/>
          </w:pPr>
          <w:r w:rsidRPr="00EA0442">
            <w:t>Contents</w:t>
          </w:r>
        </w:p>
        <w:p w:rsidR="00D531FE" w:rsidRDefault="006C626D">
          <w:pPr>
            <w:pStyle w:val="TOC1"/>
            <w:rPr>
              <w:rFonts w:asciiTheme="minorHAnsi" w:eastAsiaTheme="minorEastAsia" w:hAnsiTheme="minorHAnsi" w:cstheme="minorBidi"/>
              <w:b w:val="0"/>
              <w:noProof/>
              <w:sz w:val="22"/>
              <w:szCs w:val="22"/>
              <w:lang w:eastAsia="en-AU"/>
            </w:rPr>
          </w:pPr>
          <w:r w:rsidRPr="00EA0442">
            <w:rPr>
              <w:sz w:val="22"/>
            </w:rPr>
            <w:fldChar w:fldCharType="begin"/>
          </w:r>
          <w:r w:rsidR="00B92C72" w:rsidRPr="00EA0442">
            <w:rPr>
              <w:sz w:val="22"/>
            </w:rPr>
            <w:instrText xml:space="preserve"> TOC \h \z \u \t "Heading 2,1,Heading 3,2,Heading 4,3" </w:instrText>
          </w:r>
          <w:r w:rsidRPr="00EA0442">
            <w:rPr>
              <w:sz w:val="22"/>
            </w:rPr>
            <w:fldChar w:fldCharType="separate"/>
          </w:r>
          <w:hyperlink w:anchor="_Toc527966029" w:history="1">
            <w:r w:rsidR="00D531FE" w:rsidRPr="00027E6D">
              <w:rPr>
                <w:rStyle w:val="Hyperlink"/>
                <w:noProof/>
              </w:rPr>
              <w:t>Purpose and scope</w:t>
            </w:r>
            <w:r w:rsidR="00D531FE">
              <w:rPr>
                <w:noProof/>
                <w:webHidden/>
              </w:rPr>
              <w:tab/>
            </w:r>
            <w:r w:rsidR="00D531FE">
              <w:rPr>
                <w:noProof/>
                <w:webHidden/>
              </w:rPr>
              <w:fldChar w:fldCharType="begin"/>
            </w:r>
            <w:r w:rsidR="00D531FE">
              <w:rPr>
                <w:noProof/>
                <w:webHidden/>
              </w:rPr>
              <w:instrText xml:space="preserve"> PAGEREF _Toc527966029 \h </w:instrText>
            </w:r>
            <w:r w:rsidR="00D531FE">
              <w:rPr>
                <w:noProof/>
                <w:webHidden/>
              </w:rPr>
            </w:r>
            <w:r w:rsidR="00D531FE">
              <w:rPr>
                <w:noProof/>
                <w:webHidden/>
              </w:rPr>
              <w:fldChar w:fldCharType="separate"/>
            </w:r>
            <w:r w:rsidR="00D531FE">
              <w:rPr>
                <w:noProof/>
                <w:webHidden/>
              </w:rPr>
              <w:t>4</w:t>
            </w:r>
            <w:r w:rsidR="00D531FE">
              <w:rPr>
                <w:noProof/>
                <w:webHidden/>
              </w:rPr>
              <w:fldChar w:fldCharType="end"/>
            </w:r>
          </w:hyperlink>
        </w:p>
        <w:p w:rsidR="00D531FE" w:rsidRDefault="005A5D2F">
          <w:pPr>
            <w:pStyle w:val="TOC1"/>
            <w:rPr>
              <w:rFonts w:asciiTheme="minorHAnsi" w:eastAsiaTheme="minorEastAsia" w:hAnsiTheme="minorHAnsi" w:cstheme="minorBidi"/>
              <w:b w:val="0"/>
              <w:noProof/>
              <w:sz w:val="22"/>
              <w:szCs w:val="22"/>
              <w:lang w:eastAsia="en-AU"/>
            </w:rPr>
          </w:pPr>
          <w:hyperlink w:anchor="_Toc527966030" w:history="1">
            <w:r w:rsidR="00D531FE" w:rsidRPr="00027E6D">
              <w:rPr>
                <w:rStyle w:val="Hyperlink"/>
                <w:noProof/>
              </w:rPr>
              <w:t>Background</w:t>
            </w:r>
            <w:r w:rsidR="00D531FE">
              <w:rPr>
                <w:noProof/>
                <w:webHidden/>
              </w:rPr>
              <w:tab/>
            </w:r>
            <w:r w:rsidR="00D531FE">
              <w:rPr>
                <w:noProof/>
                <w:webHidden/>
              </w:rPr>
              <w:fldChar w:fldCharType="begin"/>
            </w:r>
            <w:r w:rsidR="00D531FE">
              <w:rPr>
                <w:noProof/>
                <w:webHidden/>
              </w:rPr>
              <w:instrText xml:space="preserve"> PAGEREF _Toc527966030 \h </w:instrText>
            </w:r>
            <w:r w:rsidR="00D531FE">
              <w:rPr>
                <w:noProof/>
                <w:webHidden/>
              </w:rPr>
            </w:r>
            <w:r w:rsidR="00D531FE">
              <w:rPr>
                <w:noProof/>
                <w:webHidden/>
              </w:rPr>
              <w:fldChar w:fldCharType="separate"/>
            </w:r>
            <w:r w:rsidR="00D531FE">
              <w:rPr>
                <w:noProof/>
                <w:webHidden/>
              </w:rPr>
              <w:t>4</w:t>
            </w:r>
            <w:r w:rsidR="00D531FE">
              <w:rPr>
                <w:noProof/>
                <w:webHidden/>
              </w:rPr>
              <w:fldChar w:fldCharType="end"/>
            </w:r>
          </w:hyperlink>
        </w:p>
        <w:p w:rsidR="00D531FE" w:rsidRDefault="005A5D2F">
          <w:pPr>
            <w:pStyle w:val="TOC2"/>
            <w:rPr>
              <w:rFonts w:asciiTheme="minorHAnsi" w:eastAsiaTheme="minorEastAsia" w:hAnsiTheme="minorHAnsi" w:cstheme="minorBidi"/>
              <w:b w:val="0"/>
              <w:noProof/>
              <w:sz w:val="22"/>
              <w:szCs w:val="22"/>
              <w:lang w:eastAsia="en-AU"/>
            </w:rPr>
          </w:pPr>
          <w:hyperlink w:anchor="_Toc527966031" w:history="1">
            <w:r w:rsidR="00D531FE" w:rsidRPr="00027E6D">
              <w:rPr>
                <w:rStyle w:val="Hyperlink"/>
                <w:noProof/>
              </w:rPr>
              <w:t>Current dossier formats</w:t>
            </w:r>
            <w:r w:rsidR="00D531FE">
              <w:rPr>
                <w:noProof/>
                <w:webHidden/>
              </w:rPr>
              <w:tab/>
            </w:r>
            <w:r w:rsidR="00D531FE">
              <w:rPr>
                <w:noProof/>
                <w:webHidden/>
              </w:rPr>
              <w:fldChar w:fldCharType="begin"/>
            </w:r>
            <w:r w:rsidR="00D531FE">
              <w:rPr>
                <w:noProof/>
                <w:webHidden/>
              </w:rPr>
              <w:instrText xml:space="preserve"> PAGEREF _Toc527966031 \h </w:instrText>
            </w:r>
            <w:r w:rsidR="00D531FE">
              <w:rPr>
                <w:noProof/>
                <w:webHidden/>
              </w:rPr>
            </w:r>
            <w:r w:rsidR="00D531FE">
              <w:rPr>
                <w:noProof/>
                <w:webHidden/>
              </w:rPr>
              <w:fldChar w:fldCharType="separate"/>
            </w:r>
            <w:r w:rsidR="00D531FE">
              <w:rPr>
                <w:noProof/>
                <w:webHidden/>
              </w:rPr>
              <w:t>4</w:t>
            </w:r>
            <w:r w:rsidR="00D531FE">
              <w:rPr>
                <w:noProof/>
                <w:webHidden/>
              </w:rPr>
              <w:fldChar w:fldCharType="end"/>
            </w:r>
          </w:hyperlink>
        </w:p>
        <w:p w:rsidR="00D531FE" w:rsidRDefault="005A5D2F">
          <w:pPr>
            <w:pStyle w:val="TOC3"/>
            <w:rPr>
              <w:rFonts w:asciiTheme="minorHAnsi" w:eastAsiaTheme="minorEastAsia" w:hAnsiTheme="minorHAnsi" w:cstheme="minorBidi"/>
              <w:b w:val="0"/>
              <w:noProof/>
              <w:szCs w:val="22"/>
              <w:lang w:eastAsia="en-AU"/>
            </w:rPr>
          </w:pPr>
          <w:hyperlink w:anchor="_Toc527966032" w:history="1">
            <w:r w:rsidR="00D531FE" w:rsidRPr="00027E6D">
              <w:rPr>
                <w:rStyle w:val="Hyperlink"/>
                <w:noProof/>
              </w:rPr>
              <w:t>CTD</w:t>
            </w:r>
            <w:r w:rsidR="00D531FE">
              <w:rPr>
                <w:noProof/>
                <w:webHidden/>
              </w:rPr>
              <w:tab/>
            </w:r>
            <w:r w:rsidR="00D531FE">
              <w:rPr>
                <w:noProof/>
                <w:webHidden/>
              </w:rPr>
              <w:fldChar w:fldCharType="begin"/>
            </w:r>
            <w:r w:rsidR="00D531FE">
              <w:rPr>
                <w:noProof/>
                <w:webHidden/>
              </w:rPr>
              <w:instrText xml:space="preserve"> PAGEREF _Toc527966032 \h </w:instrText>
            </w:r>
            <w:r w:rsidR="00D531FE">
              <w:rPr>
                <w:noProof/>
                <w:webHidden/>
              </w:rPr>
            </w:r>
            <w:r w:rsidR="00D531FE">
              <w:rPr>
                <w:noProof/>
                <w:webHidden/>
              </w:rPr>
              <w:fldChar w:fldCharType="separate"/>
            </w:r>
            <w:r w:rsidR="00D531FE">
              <w:rPr>
                <w:noProof/>
                <w:webHidden/>
              </w:rPr>
              <w:t>5</w:t>
            </w:r>
            <w:r w:rsidR="00D531FE">
              <w:rPr>
                <w:noProof/>
                <w:webHidden/>
              </w:rPr>
              <w:fldChar w:fldCharType="end"/>
            </w:r>
          </w:hyperlink>
        </w:p>
        <w:p w:rsidR="00D531FE" w:rsidRDefault="005A5D2F">
          <w:pPr>
            <w:pStyle w:val="TOC3"/>
            <w:rPr>
              <w:rFonts w:asciiTheme="minorHAnsi" w:eastAsiaTheme="minorEastAsia" w:hAnsiTheme="minorHAnsi" w:cstheme="minorBidi"/>
              <w:b w:val="0"/>
              <w:noProof/>
              <w:szCs w:val="22"/>
              <w:lang w:eastAsia="en-AU"/>
            </w:rPr>
          </w:pPr>
          <w:hyperlink w:anchor="_Toc527966033" w:history="1">
            <w:r w:rsidR="00D531FE" w:rsidRPr="00027E6D">
              <w:rPr>
                <w:rStyle w:val="Hyperlink"/>
                <w:noProof/>
              </w:rPr>
              <w:t>eCTD</w:t>
            </w:r>
            <w:r w:rsidR="00D531FE">
              <w:rPr>
                <w:noProof/>
                <w:webHidden/>
              </w:rPr>
              <w:tab/>
            </w:r>
            <w:r w:rsidR="00D531FE">
              <w:rPr>
                <w:noProof/>
                <w:webHidden/>
              </w:rPr>
              <w:fldChar w:fldCharType="begin"/>
            </w:r>
            <w:r w:rsidR="00D531FE">
              <w:rPr>
                <w:noProof/>
                <w:webHidden/>
              </w:rPr>
              <w:instrText xml:space="preserve"> PAGEREF _Toc527966033 \h </w:instrText>
            </w:r>
            <w:r w:rsidR="00D531FE">
              <w:rPr>
                <w:noProof/>
                <w:webHidden/>
              </w:rPr>
            </w:r>
            <w:r w:rsidR="00D531FE">
              <w:rPr>
                <w:noProof/>
                <w:webHidden/>
              </w:rPr>
              <w:fldChar w:fldCharType="separate"/>
            </w:r>
            <w:r w:rsidR="00D531FE">
              <w:rPr>
                <w:noProof/>
                <w:webHidden/>
              </w:rPr>
              <w:t>5</w:t>
            </w:r>
            <w:r w:rsidR="00D531FE">
              <w:rPr>
                <w:noProof/>
                <w:webHidden/>
              </w:rPr>
              <w:fldChar w:fldCharType="end"/>
            </w:r>
          </w:hyperlink>
        </w:p>
        <w:p w:rsidR="00D531FE" w:rsidRDefault="005A5D2F">
          <w:pPr>
            <w:pStyle w:val="TOC3"/>
            <w:rPr>
              <w:rFonts w:asciiTheme="minorHAnsi" w:eastAsiaTheme="minorEastAsia" w:hAnsiTheme="minorHAnsi" w:cstheme="minorBidi"/>
              <w:b w:val="0"/>
              <w:noProof/>
              <w:szCs w:val="22"/>
              <w:lang w:eastAsia="en-AU"/>
            </w:rPr>
          </w:pPr>
          <w:hyperlink w:anchor="_Toc527966034" w:history="1">
            <w:r w:rsidR="00D531FE" w:rsidRPr="00027E6D">
              <w:rPr>
                <w:rStyle w:val="Hyperlink"/>
                <w:noProof/>
              </w:rPr>
              <w:t>NeeS</w:t>
            </w:r>
            <w:r w:rsidR="00D531FE">
              <w:rPr>
                <w:noProof/>
                <w:webHidden/>
              </w:rPr>
              <w:tab/>
            </w:r>
            <w:r w:rsidR="00D531FE">
              <w:rPr>
                <w:noProof/>
                <w:webHidden/>
              </w:rPr>
              <w:fldChar w:fldCharType="begin"/>
            </w:r>
            <w:r w:rsidR="00D531FE">
              <w:rPr>
                <w:noProof/>
                <w:webHidden/>
              </w:rPr>
              <w:instrText xml:space="preserve"> PAGEREF _Toc527966034 \h </w:instrText>
            </w:r>
            <w:r w:rsidR="00D531FE">
              <w:rPr>
                <w:noProof/>
                <w:webHidden/>
              </w:rPr>
            </w:r>
            <w:r w:rsidR="00D531FE">
              <w:rPr>
                <w:noProof/>
                <w:webHidden/>
              </w:rPr>
              <w:fldChar w:fldCharType="separate"/>
            </w:r>
            <w:r w:rsidR="00D531FE">
              <w:rPr>
                <w:noProof/>
                <w:webHidden/>
              </w:rPr>
              <w:t>5</w:t>
            </w:r>
            <w:r w:rsidR="00D531FE">
              <w:rPr>
                <w:noProof/>
                <w:webHidden/>
              </w:rPr>
              <w:fldChar w:fldCharType="end"/>
            </w:r>
          </w:hyperlink>
        </w:p>
        <w:p w:rsidR="00D531FE" w:rsidRDefault="005A5D2F">
          <w:pPr>
            <w:pStyle w:val="TOC3"/>
            <w:rPr>
              <w:rFonts w:asciiTheme="minorHAnsi" w:eastAsiaTheme="minorEastAsia" w:hAnsiTheme="minorHAnsi" w:cstheme="minorBidi"/>
              <w:b w:val="0"/>
              <w:noProof/>
              <w:szCs w:val="22"/>
              <w:lang w:eastAsia="en-AU"/>
            </w:rPr>
          </w:pPr>
          <w:hyperlink w:anchor="_Toc527966035" w:history="1">
            <w:r w:rsidR="00D531FE" w:rsidRPr="00027E6D">
              <w:rPr>
                <w:rStyle w:val="Hyperlink"/>
                <w:noProof/>
              </w:rPr>
              <w:t>Other formats</w:t>
            </w:r>
            <w:r w:rsidR="00D531FE">
              <w:rPr>
                <w:noProof/>
                <w:webHidden/>
              </w:rPr>
              <w:tab/>
            </w:r>
            <w:r w:rsidR="00D531FE">
              <w:rPr>
                <w:noProof/>
                <w:webHidden/>
              </w:rPr>
              <w:fldChar w:fldCharType="begin"/>
            </w:r>
            <w:r w:rsidR="00D531FE">
              <w:rPr>
                <w:noProof/>
                <w:webHidden/>
              </w:rPr>
              <w:instrText xml:space="preserve"> PAGEREF _Toc527966035 \h </w:instrText>
            </w:r>
            <w:r w:rsidR="00D531FE">
              <w:rPr>
                <w:noProof/>
                <w:webHidden/>
              </w:rPr>
            </w:r>
            <w:r w:rsidR="00D531FE">
              <w:rPr>
                <w:noProof/>
                <w:webHidden/>
              </w:rPr>
              <w:fldChar w:fldCharType="separate"/>
            </w:r>
            <w:r w:rsidR="00D531FE">
              <w:rPr>
                <w:noProof/>
                <w:webHidden/>
              </w:rPr>
              <w:t>5</w:t>
            </w:r>
            <w:r w:rsidR="00D531FE">
              <w:rPr>
                <w:noProof/>
                <w:webHidden/>
              </w:rPr>
              <w:fldChar w:fldCharType="end"/>
            </w:r>
          </w:hyperlink>
        </w:p>
        <w:p w:rsidR="00D531FE" w:rsidRDefault="005A5D2F">
          <w:pPr>
            <w:pStyle w:val="TOC2"/>
            <w:rPr>
              <w:rFonts w:asciiTheme="minorHAnsi" w:eastAsiaTheme="minorEastAsia" w:hAnsiTheme="minorHAnsi" w:cstheme="minorBidi"/>
              <w:b w:val="0"/>
              <w:noProof/>
              <w:sz w:val="22"/>
              <w:szCs w:val="22"/>
              <w:lang w:eastAsia="en-AU"/>
            </w:rPr>
          </w:pPr>
          <w:hyperlink w:anchor="_Toc527966036" w:history="1">
            <w:r w:rsidR="00D531FE" w:rsidRPr="00027E6D">
              <w:rPr>
                <w:rStyle w:val="Hyperlink"/>
                <w:noProof/>
              </w:rPr>
              <w:t>Benefits of eCTD</w:t>
            </w:r>
            <w:r w:rsidR="00D531FE">
              <w:rPr>
                <w:noProof/>
                <w:webHidden/>
              </w:rPr>
              <w:tab/>
            </w:r>
            <w:r w:rsidR="00D531FE">
              <w:rPr>
                <w:noProof/>
                <w:webHidden/>
              </w:rPr>
              <w:fldChar w:fldCharType="begin"/>
            </w:r>
            <w:r w:rsidR="00D531FE">
              <w:rPr>
                <w:noProof/>
                <w:webHidden/>
              </w:rPr>
              <w:instrText xml:space="preserve"> PAGEREF _Toc527966036 \h </w:instrText>
            </w:r>
            <w:r w:rsidR="00D531FE">
              <w:rPr>
                <w:noProof/>
                <w:webHidden/>
              </w:rPr>
            </w:r>
            <w:r w:rsidR="00D531FE">
              <w:rPr>
                <w:noProof/>
                <w:webHidden/>
              </w:rPr>
              <w:fldChar w:fldCharType="separate"/>
            </w:r>
            <w:r w:rsidR="00D531FE">
              <w:rPr>
                <w:noProof/>
                <w:webHidden/>
              </w:rPr>
              <w:t>5</w:t>
            </w:r>
            <w:r w:rsidR="00D531FE">
              <w:rPr>
                <w:noProof/>
                <w:webHidden/>
              </w:rPr>
              <w:fldChar w:fldCharType="end"/>
            </w:r>
          </w:hyperlink>
        </w:p>
        <w:p w:rsidR="00D531FE" w:rsidRDefault="005A5D2F">
          <w:pPr>
            <w:pStyle w:val="TOC3"/>
            <w:rPr>
              <w:rFonts w:asciiTheme="minorHAnsi" w:eastAsiaTheme="minorEastAsia" w:hAnsiTheme="minorHAnsi" w:cstheme="minorBidi"/>
              <w:b w:val="0"/>
              <w:noProof/>
              <w:szCs w:val="22"/>
              <w:lang w:eastAsia="en-AU"/>
            </w:rPr>
          </w:pPr>
          <w:hyperlink w:anchor="_Toc527966037" w:history="1">
            <w:r w:rsidR="00D531FE" w:rsidRPr="00027E6D">
              <w:rPr>
                <w:rStyle w:val="Hyperlink"/>
                <w:noProof/>
              </w:rPr>
              <w:t>Format functionality</w:t>
            </w:r>
            <w:r w:rsidR="00D531FE">
              <w:rPr>
                <w:noProof/>
                <w:webHidden/>
              </w:rPr>
              <w:tab/>
            </w:r>
            <w:r w:rsidR="00D531FE">
              <w:rPr>
                <w:noProof/>
                <w:webHidden/>
              </w:rPr>
              <w:fldChar w:fldCharType="begin"/>
            </w:r>
            <w:r w:rsidR="00D531FE">
              <w:rPr>
                <w:noProof/>
                <w:webHidden/>
              </w:rPr>
              <w:instrText xml:space="preserve"> PAGEREF _Toc527966037 \h </w:instrText>
            </w:r>
            <w:r w:rsidR="00D531FE">
              <w:rPr>
                <w:noProof/>
                <w:webHidden/>
              </w:rPr>
            </w:r>
            <w:r w:rsidR="00D531FE">
              <w:rPr>
                <w:noProof/>
                <w:webHidden/>
              </w:rPr>
              <w:fldChar w:fldCharType="separate"/>
            </w:r>
            <w:r w:rsidR="00D531FE">
              <w:rPr>
                <w:noProof/>
                <w:webHidden/>
              </w:rPr>
              <w:t>6</w:t>
            </w:r>
            <w:r w:rsidR="00D531FE">
              <w:rPr>
                <w:noProof/>
                <w:webHidden/>
              </w:rPr>
              <w:fldChar w:fldCharType="end"/>
            </w:r>
          </w:hyperlink>
        </w:p>
        <w:p w:rsidR="00D531FE" w:rsidRDefault="005A5D2F">
          <w:pPr>
            <w:pStyle w:val="TOC3"/>
            <w:rPr>
              <w:rFonts w:asciiTheme="minorHAnsi" w:eastAsiaTheme="minorEastAsia" w:hAnsiTheme="minorHAnsi" w:cstheme="minorBidi"/>
              <w:b w:val="0"/>
              <w:noProof/>
              <w:szCs w:val="22"/>
              <w:lang w:eastAsia="en-AU"/>
            </w:rPr>
          </w:pPr>
          <w:hyperlink w:anchor="_Toc527966038" w:history="1">
            <w:r w:rsidR="00D531FE" w:rsidRPr="00027E6D">
              <w:rPr>
                <w:rStyle w:val="Hyperlink"/>
                <w:noProof/>
              </w:rPr>
              <w:t>Standardised format</w:t>
            </w:r>
            <w:r w:rsidR="00D531FE">
              <w:rPr>
                <w:noProof/>
                <w:webHidden/>
              </w:rPr>
              <w:tab/>
            </w:r>
            <w:r w:rsidR="00D531FE">
              <w:rPr>
                <w:noProof/>
                <w:webHidden/>
              </w:rPr>
              <w:fldChar w:fldCharType="begin"/>
            </w:r>
            <w:r w:rsidR="00D531FE">
              <w:rPr>
                <w:noProof/>
                <w:webHidden/>
              </w:rPr>
              <w:instrText xml:space="preserve"> PAGEREF _Toc527966038 \h </w:instrText>
            </w:r>
            <w:r w:rsidR="00D531FE">
              <w:rPr>
                <w:noProof/>
                <w:webHidden/>
              </w:rPr>
            </w:r>
            <w:r w:rsidR="00D531FE">
              <w:rPr>
                <w:noProof/>
                <w:webHidden/>
              </w:rPr>
              <w:fldChar w:fldCharType="separate"/>
            </w:r>
            <w:r w:rsidR="00D531FE">
              <w:rPr>
                <w:noProof/>
                <w:webHidden/>
              </w:rPr>
              <w:t>7</w:t>
            </w:r>
            <w:r w:rsidR="00D531FE">
              <w:rPr>
                <w:noProof/>
                <w:webHidden/>
              </w:rPr>
              <w:fldChar w:fldCharType="end"/>
            </w:r>
          </w:hyperlink>
        </w:p>
        <w:p w:rsidR="00D531FE" w:rsidRDefault="005A5D2F">
          <w:pPr>
            <w:pStyle w:val="TOC3"/>
            <w:rPr>
              <w:rFonts w:asciiTheme="minorHAnsi" w:eastAsiaTheme="minorEastAsia" w:hAnsiTheme="minorHAnsi" w:cstheme="minorBidi"/>
              <w:b w:val="0"/>
              <w:noProof/>
              <w:szCs w:val="22"/>
              <w:lang w:eastAsia="en-AU"/>
            </w:rPr>
          </w:pPr>
          <w:hyperlink w:anchor="_Toc527966039" w:history="1">
            <w:r w:rsidR="00D531FE" w:rsidRPr="00027E6D">
              <w:rPr>
                <w:rStyle w:val="Hyperlink"/>
                <w:noProof/>
              </w:rPr>
              <w:t>Access to expedited pathways</w:t>
            </w:r>
            <w:r w:rsidR="00D531FE">
              <w:rPr>
                <w:noProof/>
                <w:webHidden/>
              </w:rPr>
              <w:tab/>
            </w:r>
            <w:r w:rsidR="00D531FE">
              <w:rPr>
                <w:noProof/>
                <w:webHidden/>
              </w:rPr>
              <w:fldChar w:fldCharType="begin"/>
            </w:r>
            <w:r w:rsidR="00D531FE">
              <w:rPr>
                <w:noProof/>
                <w:webHidden/>
              </w:rPr>
              <w:instrText xml:space="preserve"> PAGEREF _Toc527966039 \h </w:instrText>
            </w:r>
            <w:r w:rsidR="00D531FE">
              <w:rPr>
                <w:noProof/>
                <w:webHidden/>
              </w:rPr>
            </w:r>
            <w:r w:rsidR="00D531FE">
              <w:rPr>
                <w:noProof/>
                <w:webHidden/>
              </w:rPr>
              <w:fldChar w:fldCharType="separate"/>
            </w:r>
            <w:r w:rsidR="00D531FE">
              <w:rPr>
                <w:noProof/>
                <w:webHidden/>
              </w:rPr>
              <w:t>7</w:t>
            </w:r>
            <w:r w:rsidR="00D531FE">
              <w:rPr>
                <w:noProof/>
                <w:webHidden/>
              </w:rPr>
              <w:fldChar w:fldCharType="end"/>
            </w:r>
          </w:hyperlink>
        </w:p>
        <w:p w:rsidR="00D531FE" w:rsidRDefault="005A5D2F">
          <w:pPr>
            <w:pStyle w:val="TOC2"/>
            <w:rPr>
              <w:rFonts w:asciiTheme="minorHAnsi" w:eastAsiaTheme="minorEastAsia" w:hAnsiTheme="minorHAnsi" w:cstheme="minorBidi"/>
              <w:b w:val="0"/>
              <w:noProof/>
              <w:sz w:val="22"/>
              <w:szCs w:val="22"/>
              <w:lang w:eastAsia="en-AU"/>
            </w:rPr>
          </w:pPr>
          <w:hyperlink w:anchor="_Toc527966040" w:history="1">
            <w:r w:rsidR="00D531FE" w:rsidRPr="00027E6D">
              <w:rPr>
                <w:rStyle w:val="Hyperlink"/>
                <w:noProof/>
              </w:rPr>
              <w:t>Development of proposal</w:t>
            </w:r>
            <w:r w:rsidR="00D531FE">
              <w:rPr>
                <w:noProof/>
                <w:webHidden/>
              </w:rPr>
              <w:tab/>
            </w:r>
            <w:r w:rsidR="00D531FE">
              <w:rPr>
                <w:noProof/>
                <w:webHidden/>
              </w:rPr>
              <w:fldChar w:fldCharType="begin"/>
            </w:r>
            <w:r w:rsidR="00D531FE">
              <w:rPr>
                <w:noProof/>
                <w:webHidden/>
              </w:rPr>
              <w:instrText xml:space="preserve"> PAGEREF _Toc527966040 \h </w:instrText>
            </w:r>
            <w:r w:rsidR="00D531FE">
              <w:rPr>
                <w:noProof/>
                <w:webHidden/>
              </w:rPr>
            </w:r>
            <w:r w:rsidR="00D531FE">
              <w:rPr>
                <w:noProof/>
                <w:webHidden/>
              </w:rPr>
              <w:fldChar w:fldCharType="separate"/>
            </w:r>
            <w:r w:rsidR="00D531FE">
              <w:rPr>
                <w:noProof/>
                <w:webHidden/>
              </w:rPr>
              <w:t>8</w:t>
            </w:r>
            <w:r w:rsidR="00D531FE">
              <w:rPr>
                <w:noProof/>
                <w:webHidden/>
              </w:rPr>
              <w:fldChar w:fldCharType="end"/>
            </w:r>
          </w:hyperlink>
        </w:p>
        <w:p w:rsidR="00D531FE" w:rsidRDefault="005A5D2F">
          <w:pPr>
            <w:pStyle w:val="TOC3"/>
            <w:rPr>
              <w:rFonts w:asciiTheme="minorHAnsi" w:eastAsiaTheme="minorEastAsia" w:hAnsiTheme="minorHAnsi" w:cstheme="minorBidi"/>
              <w:b w:val="0"/>
              <w:noProof/>
              <w:szCs w:val="22"/>
              <w:lang w:eastAsia="en-AU"/>
            </w:rPr>
          </w:pPr>
          <w:hyperlink w:anchor="_Toc527966041" w:history="1">
            <w:r w:rsidR="00D531FE" w:rsidRPr="00027E6D">
              <w:rPr>
                <w:rStyle w:val="Hyperlink"/>
                <w:noProof/>
              </w:rPr>
              <w:t>Australian sponsor considerations</w:t>
            </w:r>
            <w:r w:rsidR="00D531FE">
              <w:rPr>
                <w:noProof/>
                <w:webHidden/>
              </w:rPr>
              <w:tab/>
            </w:r>
            <w:r w:rsidR="00D531FE">
              <w:rPr>
                <w:noProof/>
                <w:webHidden/>
              </w:rPr>
              <w:fldChar w:fldCharType="begin"/>
            </w:r>
            <w:r w:rsidR="00D531FE">
              <w:rPr>
                <w:noProof/>
                <w:webHidden/>
              </w:rPr>
              <w:instrText xml:space="preserve"> PAGEREF _Toc527966041 \h </w:instrText>
            </w:r>
            <w:r w:rsidR="00D531FE">
              <w:rPr>
                <w:noProof/>
                <w:webHidden/>
              </w:rPr>
            </w:r>
            <w:r w:rsidR="00D531FE">
              <w:rPr>
                <w:noProof/>
                <w:webHidden/>
              </w:rPr>
              <w:fldChar w:fldCharType="separate"/>
            </w:r>
            <w:r w:rsidR="00D531FE">
              <w:rPr>
                <w:noProof/>
                <w:webHidden/>
              </w:rPr>
              <w:t>8</w:t>
            </w:r>
            <w:r w:rsidR="00D531FE">
              <w:rPr>
                <w:noProof/>
                <w:webHidden/>
              </w:rPr>
              <w:fldChar w:fldCharType="end"/>
            </w:r>
          </w:hyperlink>
        </w:p>
        <w:p w:rsidR="00D531FE" w:rsidRDefault="005A5D2F">
          <w:pPr>
            <w:pStyle w:val="TOC3"/>
            <w:rPr>
              <w:rFonts w:asciiTheme="minorHAnsi" w:eastAsiaTheme="minorEastAsia" w:hAnsiTheme="minorHAnsi" w:cstheme="minorBidi"/>
              <w:b w:val="0"/>
              <w:noProof/>
              <w:szCs w:val="22"/>
              <w:lang w:eastAsia="en-AU"/>
            </w:rPr>
          </w:pPr>
          <w:hyperlink w:anchor="_Toc527966042" w:history="1">
            <w:r w:rsidR="00D531FE" w:rsidRPr="00027E6D">
              <w:rPr>
                <w:rStyle w:val="Hyperlink"/>
                <w:noProof/>
              </w:rPr>
              <w:t>Alignment with Australian Government policy</w:t>
            </w:r>
            <w:r w:rsidR="00D531FE">
              <w:rPr>
                <w:noProof/>
                <w:webHidden/>
              </w:rPr>
              <w:tab/>
            </w:r>
            <w:r w:rsidR="00D531FE">
              <w:rPr>
                <w:noProof/>
                <w:webHidden/>
              </w:rPr>
              <w:fldChar w:fldCharType="begin"/>
            </w:r>
            <w:r w:rsidR="00D531FE">
              <w:rPr>
                <w:noProof/>
                <w:webHidden/>
              </w:rPr>
              <w:instrText xml:space="preserve"> PAGEREF _Toc527966042 \h </w:instrText>
            </w:r>
            <w:r w:rsidR="00D531FE">
              <w:rPr>
                <w:noProof/>
                <w:webHidden/>
              </w:rPr>
            </w:r>
            <w:r w:rsidR="00D531FE">
              <w:rPr>
                <w:noProof/>
                <w:webHidden/>
              </w:rPr>
              <w:fldChar w:fldCharType="separate"/>
            </w:r>
            <w:r w:rsidR="00D531FE">
              <w:rPr>
                <w:noProof/>
                <w:webHidden/>
              </w:rPr>
              <w:t>10</w:t>
            </w:r>
            <w:r w:rsidR="00D531FE">
              <w:rPr>
                <w:noProof/>
                <w:webHidden/>
              </w:rPr>
              <w:fldChar w:fldCharType="end"/>
            </w:r>
          </w:hyperlink>
        </w:p>
        <w:p w:rsidR="00D531FE" w:rsidRDefault="005A5D2F">
          <w:pPr>
            <w:pStyle w:val="TOC3"/>
            <w:rPr>
              <w:rFonts w:asciiTheme="minorHAnsi" w:eastAsiaTheme="minorEastAsia" w:hAnsiTheme="minorHAnsi" w:cstheme="minorBidi"/>
              <w:b w:val="0"/>
              <w:noProof/>
              <w:szCs w:val="22"/>
              <w:lang w:eastAsia="en-AU"/>
            </w:rPr>
          </w:pPr>
          <w:hyperlink w:anchor="_Toc527966043" w:history="1">
            <w:r w:rsidR="00D531FE" w:rsidRPr="00027E6D">
              <w:rPr>
                <w:rStyle w:val="Hyperlink"/>
                <w:noProof/>
              </w:rPr>
              <w:t>International considerations</w:t>
            </w:r>
            <w:r w:rsidR="00D531FE">
              <w:rPr>
                <w:noProof/>
                <w:webHidden/>
              </w:rPr>
              <w:tab/>
            </w:r>
            <w:r w:rsidR="00D531FE">
              <w:rPr>
                <w:noProof/>
                <w:webHidden/>
              </w:rPr>
              <w:fldChar w:fldCharType="begin"/>
            </w:r>
            <w:r w:rsidR="00D531FE">
              <w:rPr>
                <w:noProof/>
                <w:webHidden/>
              </w:rPr>
              <w:instrText xml:space="preserve"> PAGEREF _Toc527966043 \h </w:instrText>
            </w:r>
            <w:r w:rsidR="00D531FE">
              <w:rPr>
                <w:noProof/>
                <w:webHidden/>
              </w:rPr>
            </w:r>
            <w:r w:rsidR="00D531FE">
              <w:rPr>
                <w:noProof/>
                <w:webHidden/>
              </w:rPr>
              <w:fldChar w:fldCharType="separate"/>
            </w:r>
            <w:r w:rsidR="00D531FE">
              <w:rPr>
                <w:noProof/>
                <w:webHidden/>
              </w:rPr>
              <w:t>10</w:t>
            </w:r>
            <w:r w:rsidR="00D531FE">
              <w:rPr>
                <w:noProof/>
                <w:webHidden/>
              </w:rPr>
              <w:fldChar w:fldCharType="end"/>
            </w:r>
          </w:hyperlink>
        </w:p>
        <w:p w:rsidR="00D531FE" w:rsidRDefault="005A5D2F">
          <w:pPr>
            <w:pStyle w:val="TOC1"/>
            <w:rPr>
              <w:rFonts w:asciiTheme="minorHAnsi" w:eastAsiaTheme="minorEastAsia" w:hAnsiTheme="minorHAnsi" w:cstheme="minorBidi"/>
              <w:b w:val="0"/>
              <w:noProof/>
              <w:sz w:val="22"/>
              <w:szCs w:val="22"/>
              <w:lang w:eastAsia="en-AU"/>
            </w:rPr>
          </w:pPr>
          <w:hyperlink w:anchor="_Toc527966044" w:history="1">
            <w:r w:rsidR="00D531FE" w:rsidRPr="00027E6D">
              <w:rPr>
                <w:rStyle w:val="Hyperlink"/>
                <w:noProof/>
              </w:rPr>
              <w:t>Proposed change</w:t>
            </w:r>
            <w:r w:rsidR="00D531FE">
              <w:rPr>
                <w:noProof/>
                <w:webHidden/>
              </w:rPr>
              <w:tab/>
            </w:r>
            <w:r w:rsidR="00D531FE">
              <w:rPr>
                <w:noProof/>
                <w:webHidden/>
              </w:rPr>
              <w:fldChar w:fldCharType="begin"/>
            </w:r>
            <w:r w:rsidR="00D531FE">
              <w:rPr>
                <w:noProof/>
                <w:webHidden/>
              </w:rPr>
              <w:instrText xml:space="preserve"> PAGEREF _Toc527966044 \h </w:instrText>
            </w:r>
            <w:r w:rsidR="00D531FE">
              <w:rPr>
                <w:noProof/>
                <w:webHidden/>
              </w:rPr>
            </w:r>
            <w:r w:rsidR="00D531FE">
              <w:rPr>
                <w:noProof/>
                <w:webHidden/>
              </w:rPr>
              <w:fldChar w:fldCharType="separate"/>
            </w:r>
            <w:r w:rsidR="00D531FE">
              <w:rPr>
                <w:noProof/>
                <w:webHidden/>
              </w:rPr>
              <w:t>10</w:t>
            </w:r>
            <w:r w:rsidR="00D531FE">
              <w:rPr>
                <w:noProof/>
                <w:webHidden/>
              </w:rPr>
              <w:fldChar w:fldCharType="end"/>
            </w:r>
          </w:hyperlink>
        </w:p>
        <w:p w:rsidR="00D531FE" w:rsidRDefault="005A5D2F">
          <w:pPr>
            <w:pStyle w:val="TOC2"/>
            <w:rPr>
              <w:rFonts w:asciiTheme="minorHAnsi" w:eastAsiaTheme="minorEastAsia" w:hAnsiTheme="minorHAnsi" w:cstheme="minorBidi"/>
              <w:b w:val="0"/>
              <w:noProof/>
              <w:sz w:val="22"/>
              <w:szCs w:val="22"/>
              <w:lang w:eastAsia="en-AU"/>
            </w:rPr>
          </w:pPr>
          <w:hyperlink w:anchor="_Toc527966045" w:history="1">
            <w:r w:rsidR="00D531FE" w:rsidRPr="00027E6D">
              <w:rPr>
                <w:rStyle w:val="Hyperlink"/>
                <w:noProof/>
              </w:rPr>
              <w:t>Applications included in a future eCTD requirement</w:t>
            </w:r>
            <w:r w:rsidR="00D531FE">
              <w:rPr>
                <w:noProof/>
                <w:webHidden/>
              </w:rPr>
              <w:tab/>
            </w:r>
            <w:r w:rsidR="00D531FE">
              <w:rPr>
                <w:noProof/>
                <w:webHidden/>
              </w:rPr>
              <w:fldChar w:fldCharType="begin"/>
            </w:r>
            <w:r w:rsidR="00D531FE">
              <w:rPr>
                <w:noProof/>
                <w:webHidden/>
              </w:rPr>
              <w:instrText xml:space="preserve"> PAGEREF _Toc527966045 \h </w:instrText>
            </w:r>
            <w:r w:rsidR="00D531FE">
              <w:rPr>
                <w:noProof/>
                <w:webHidden/>
              </w:rPr>
            </w:r>
            <w:r w:rsidR="00D531FE">
              <w:rPr>
                <w:noProof/>
                <w:webHidden/>
              </w:rPr>
              <w:fldChar w:fldCharType="separate"/>
            </w:r>
            <w:r w:rsidR="00D531FE">
              <w:rPr>
                <w:noProof/>
                <w:webHidden/>
              </w:rPr>
              <w:t>11</w:t>
            </w:r>
            <w:r w:rsidR="00D531FE">
              <w:rPr>
                <w:noProof/>
                <w:webHidden/>
              </w:rPr>
              <w:fldChar w:fldCharType="end"/>
            </w:r>
          </w:hyperlink>
        </w:p>
        <w:p w:rsidR="00D531FE" w:rsidRDefault="005A5D2F">
          <w:pPr>
            <w:pStyle w:val="TOC2"/>
            <w:rPr>
              <w:rFonts w:asciiTheme="minorHAnsi" w:eastAsiaTheme="minorEastAsia" w:hAnsiTheme="minorHAnsi" w:cstheme="minorBidi"/>
              <w:b w:val="0"/>
              <w:noProof/>
              <w:sz w:val="22"/>
              <w:szCs w:val="22"/>
              <w:lang w:eastAsia="en-AU"/>
            </w:rPr>
          </w:pPr>
          <w:hyperlink w:anchor="_Toc527966046" w:history="1">
            <w:r w:rsidR="00D531FE" w:rsidRPr="00027E6D">
              <w:rPr>
                <w:rStyle w:val="Hyperlink"/>
                <w:noProof/>
              </w:rPr>
              <w:t>Not included in a future eCTD requirement</w:t>
            </w:r>
            <w:r w:rsidR="00D531FE">
              <w:rPr>
                <w:noProof/>
                <w:webHidden/>
              </w:rPr>
              <w:tab/>
            </w:r>
            <w:r w:rsidR="00D531FE">
              <w:rPr>
                <w:noProof/>
                <w:webHidden/>
              </w:rPr>
              <w:fldChar w:fldCharType="begin"/>
            </w:r>
            <w:r w:rsidR="00D531FE">
              <w:rPr>
                <w:noProof/>
                <w:webHidden/>
              </w:rPr>
              <w:instrText xml:space="preserve"> PAGEREF _Toc527966046 \h </w:instrText>
            </w:r>
            <w:r w:rsidR="00D531FE">
              <w:rPr>
                <w:noProof/>
                <w:webHidden/>
              </w:rPr>
            </w:r>
            <w:r w:rsidR="00D531FE">
              <w:rPr>
                <w:noProof/>
                <w:webHidden/>
              </w:rPr>
              <w:fldChar w:fldCharType="separate"/>
            </w:r>
            <w:r w:rsidR="00D531FE">
              <w:rPr>
                <w:noProof/>
                <w:webHidden/>
              </w:rPr>
              <w:t>11</w:t>
            </w:r>
            <w:r w:rsidR="00D531FE">
              <w:rPr>
                <w:noProof/>
                <w:webHidden/>
              </w:rPr>
              <w:fldChar w:fldCharType="end"/>
            </w:r>
          </w:hyperlink>
        </w:p>
        <w:p w:rsidR="00D531FE" w:rsidRDefault="005A5D2F">
          <w:pPr>
            <w:pStyle w:val="TOC1"/>
            <w:rPr>
              <w:rFonts w:asciiTheme="minorHAnsi" w:eastAsiaTheme="minorEastAsia" w:hAnsiTheme="minorHAnsi" w:cstheme="minorBidi"/>
              <w:b w:val="0"/>
              <w:noProof/>
              <w:sz w:val="22"/>
              <w:szCs w:val="22"/>
              <w:lang w:eastAsia="en-AU"/>
            </w:rPr>
          </w:pPr>
          <w:hyperlink w:anchor="_Toc527966047" w:history="1">
            <w:r w:rsidR="00D531FE" w:rsidRPr="00027E6D">
              <w:rPr>
                <w:rStyle w:val="Hyperlink"/>
                <w:noProof/>
              </w:rPr>
              <w:t>Proposed implementation strategy</w:t>
            </w:r>
            <w:r w:rsidR="00D531FE">
              <w:rPr>
                <w:noProof/>
                <w:webHidden/>
              </w:rPr>
              <w:tab/>
            </w:r>
            <w:r w:rsidR="00D531FE">
              <w:rPr>
                <w:noProof/>
                <w:webHidden/>
              </w:rPr>
              <w:fldChar w:fldCharType="begin"/>
            </w:r>
            <w:r w:rsidR="00D531FE">
              <w:rPr>
                <w:noProof/>
                <w:webHidden/>
              </w:rPr>
              <w:instrText xml:space="preserve"> PAGEREF _Toc527966047 \h </w:instrText>
            </w:r>
            <w:r w:rsidR="00D531FE">
              <w:rPr>
                <w:noProof/>
                <w:webHidden/>
              </w:rPr>
            </w:r>
            <w:r w:rsidR="00D531FE">
              <w:rPr>
                <w:noProof/>
                <w:webHidden/>
              </w:rPr>
              <w:fldChar w:fldCharType="separate"/>
            </w:r>
            <w:r w:rsidR="00D531FE">
              <w:rPr>
                <w:noProof/>
                <w:webHidden/>
              </w:rPr>
              <w:t>12</w:t>
            </w:r>
            <w:r w:rsidR="00D531FE">
              <w:rPr>
                <w:noProof/>
                <w:webHidden/>
              </w:rPr>
              <w:fldChar w:fldCharType="end"/>
            </w:r>
          </w:hyperlink>
        </w:p>
        <w:p w:rsidR="00D531FE" w:rsidRDefault="005A5D2F">
          <w:pPr>
            <w:pStyle w:val="TOC2"/>
            <w:rPr>
              <w:rFonts w:asciiTheme="minorHAnsi" w:eastAsiaTheme="minorEastAsia" w:hAnsiTheme="minorHAnsi" w:cstheme="minorBidi"/>
              <w:b w:val="0"/>
              <w:noProof/>
              <w:sz w:val="22"/>
              <w:szCs w:val="22"/>
              <w:lang w:eastAsia="en-AU"/>
            </w:rPr>
          </w:pPr>
          <w:hyperlink w:anchor="_Toc527966048" w:history="1">
            <w:r w:rsidR="00D531FE" w:rsidRPr="00027E6D">
              <w:rPr>
                <w:rStyle w:val="Hyperlink"/>
                <w:noProof/>
              </w:rPr>
              <w:t>Rationale for timeline</w:t>
            </w:r>
            <w:r w:rsidR="00D531FE">
              <w:rPr>
                <w:noProof/>
                <w:webHidden/>
              </w:rPr>
              <w:tab/>
            </w:r>
            <w:r w:rsidR="00D531FE">
              <w:rPr>
                <w:noProof/>
                <w:webHidden/>
              </w:rPr>
              <w:fldChar w:fldCharType="begin"/>
            </w:r>
            <w:r w:rsidR="00D531FE">
              <w:rPr>
                <w:noProof/>
                <w:webHidden/>
              </w:rPr>
              <w:instrText xml:space="preserve"> PAGEREF _Toc527966048 \h </w:instrText>
            </w:r>
            <w:r w:rsidR="00D531FE">
              <w:rPr>
                <w:noProof/>
                <w:webHidden/>
              </w:rPr>
            </w:r>
            <w:r w:rsidR="00D531FE">
              <w:rPr>
                <w:noProof/>
                <w:webHidden/>
              </w:rPr>
              <w:fldChar w:fldCharType="separate"/>
            </w:r>
            <w:r w:rsidR="00D531FE">
              <w:rPr>
                <w:noProof/>
                <w:webHidden/>
              </w:rPr>
              <w:t>13</w:t>
            </w:r>
            <w:r w:rsidR="00D531FE">
              <w:rPr>
                <w:noProof/>
                <w:webHidden/>
              </w:rPr>
              <w:fldChar w:fldCharType="end"/>
            </w:r>
          </w:hyperlink>
        </w:p>
        <w:p w:rsidR="00D531FE" w:rsidRDefault="005A5D2F">
          <w:pPr>
            <w:pStyle w:val="TOC3"/>
            <w:rPr>
              <w:rFonts w:asciiTheme="minorHAnsi" w:eastAsiaTheme="minorEastAsia" w:hAnsiTheme="minorHAnsi" w:cstheme="minorBidi"/>
              <w:b w:val="0"/>
              <w:noProof/>
              <w:szCs w:val="22"/>
              <w:lang w:eastAsia="en-AU"/>
            </w:rPr>
          </w:pPr>
          <w:hyperlink w:anchor="_Toc527966049" w:history="1">
            <w:r w:rsidR="00D531FE" w:rsidRPr="00027E6D">
              <w:rPr>
                <w:rStyle w:val="Hyperlink"/>
                <w:noProof/>
              </w:rPr>
              <w:t>Stage 1</w:t>
            </w:r>
            <w:r w:rsidR="00D531FE">
              <w:rPr>
                <w:noProof/>
                <w:webHidden/>
              </w:rPr>
              <w:tab/>
            </w:r>
            <w:r w:rsidR="00D531FE">
              <w:rPr>
                <w:noProof/>
                <w:webHidden/>
              </w:rPr>
              <w:fldChar w:fldCharType="begin"/>
            </w:r>
            <w:r w:rsidR="00D531FE">
              <w:rPr>
                <w:noProof/>
                <w:webHidden/>
              </w:rPr>
              <w:instrText xml:space="preserve"> PAGEREF _Toc527966049 \h </w:instrText>
            </w:r>
            <w:r w:rsidR="00D531FE">
              <w:rPr>
                <w:noProof/>
                <w:webHidden/>
              </w:rPr>
            </w:r>
            <w:r w:rsidR="00D531FE">
              <w:rPr>
                <w:noProof/>
                <w:webHidden/>
              </w:rPr>
              <w:fldChar w:fldCharType="separate"/>
            </w:r>
            <w:r w:rsidR="00D531FE">
              <w:rPr>
                <w:noProof/>
                <w:webHidden/>
              </w:rPr>
              <w:t>13</w:t>
            </w:r>
            <w:r w:rsidR="00D531FE">
              <w:rPr>
                <w:noProof/>
                <w:webHidden/>
              </w:rPr>
              <w:fldChar w:fldCharType="end"/>
            </w:r>
          </w:hyperlink>
        </w:p>
        <w:p w:rsidR="00D531FE" w:rsidRDefault="005A5D2F">
          <w:pPr>
            <w:pStyle w:val="TOC3"/>
            <w:rPr>
              <w:rFonts w:asciiTheme="minorHAnsi" w:eastAsiaTheme="minorEastAsia" w:hAnsiTheme="minorHAnsi" w:cstheme="minorBidi"/>
              <w:b w:val="0"/>
              <w:noProof/>
              <w:szCs w:val="22"/>
              <w:lang w:eastAsia="en-AU"/>
            </w:rPr>
          </w:pPr>
          <w:hyperlink w:anchor="_Toc527966050" w:history="1">
            <w:r w:rsidR="00D531FE" w:rsidRPr="00027E6D">
              <w:rPr>
                <w:rStyle w:val="Hyperlink"/>
                <w:noProof/>
              </w:rPr>
              <w:t>Stage 2</w:t>
            </w:r>
            <w:r w:rsidR="00D531FE">
              <w:rPr>
                <w:noProof/>
                <w:webHidden/>
              </w:rPr>
              <w:tab/>
            </w:r>
            <w:r w:rsidR="00D531FE">
              <w:rPr>
                <w:noProof/>
                <w:webHidden/>
              </w:rPr>
              <w:fldChar w:fldCharType="begin"/>
            </w:r>
            <w:r w:rsidR="00D531FE">
              <w:rPr>
                <w:noProof/>
                <w:webHidden/>
              </w:rPr>
              <w:instrText xml:space="preserve"> PAGEREF _Toc527966050 \h </w:instrText>
            </w:r>
            <w:r w:rsidR="00D531FE">
              <w:rPr>
                <w:noProof/>
                <w:webHidden/>
              </w:rPr>
            </w:r>
            <w:r w:rsidR="00D531FE">
              <w:rPr>
                <w:noProof/>
                <w:webHidden/>
              </w:rPr>
              <w:fldChar w:fldCharType="separate"/>
            </w:r>
            <w:r w:rsidR="00D531FE">
              <w:rPr>
                <w:noProof/>
                <w:webHidden/>
              </w:rPr>
              <w:t>13</w:t>
            </w:r>
            <w:r w:rsidR="00D531FE">
              <w:rPr>
                <w:noProof/>
                <w:webHidden/>
              </w:rPr>
              <w:fldChar w:fldCharType="end"/>
            </w:r>
          </w:hyperlink>
        </w:p>
        <w:p w:rsidR="00D531FE" w:rsidRDefault="005A5D2F">
          <w:pPr>
            <w:pStyle w:val="TOC3"/>
            <w:rPr>
              <w:rFonts w:asciiTheme="minorHAnsi" w:eastAsiaTheme="minorEastAsia" w:hAnsiTheme="minorHAnsi" w:cstheme="minorBidi"/>
              <w:b w:val="0"/>
              <w:noProof/>
              <w:szCs w:val="22"/>
              <w:lang w:eastAsia="en-AU"/>
            </w:rPr>
          </w:pPr>
          <w:hyperlink w:anchor="_Toc527966051" w:history="1">
            <w:r w:rsidR="00D531FE" w:rsidRPr="00027E6D">
              <w:rPr>
                <w:rStyle w:val="Hyperlink"/>
                <w:noProof/>
              </w:rPr>
              <w:t>Stage 3</w:t>
            </w:r>
            <w:r w:rsidR="00D531FE">
              <w:rPr>
                <w:noProof/>
                <w:webHidden/>
              </w:rPr>
              <w:tab/>
            </w:r>
            <w:r w:rsidR="00D531FE">
              <w:rPr>
                <w:noProof/>
                <w:webHidden/>
              </w:rPr>
              <w:fldChar w:fldCharType="begin"/>
            </w:r>
            <w:r w:rsidR="00D531FE">
              <w:rPr>
                <w:noProof/>
                <w:webHidden/>
              </w:rPr>
              <w:instrText xml:space="preserve"> PAGEREF _Toc527966051 \h </w:instrText>
            </w:r>
            <w:r w:rsidR="00D531FE">
              <w:rPr>
                <w:noProof/>
                <w:webHidden/>
              </w:rPr>
            </w:r>
            <w:r w:rsidR="00D531FE">
              <w:rPr>
                <w:noProof/>
                <w:webHidden/>
              </w:rPr>
              <w:fldChar w:fldCharType="separate"/>
            </w:r>
            <w:r w:rsidR="00D531FE">
              <w:rPr>
                <w:noProof/>
                <w:webHidden/>
              </w:rPr>
              <w:t>14</w:t>
            </w:r>
            <w:r w:rsidR="00D531FE">
              <w:rPr>
                <w:noProof/>
                <w:webHidden/>
              </w:rPr>
              <w:fldChar w:fldCharType="end"/>
            </w:r>
          </w:hyperlink>
        </w:p>
        <w:p w:rsidR="00D531FE" w:rsidRDefault="005A5D2F">
          <w:pPr>
            <w:pStyle w:val="TOC2"/>
            <w:rPr>
              <w:rFonts w:asciiTheme="minorHAnsi" w:eastAsiaTheme="minorEastAsia" w:hAnsiTheme="minorHAnsi" w:cstheme="minorBidi"/>
              <w:b w:val="0"/>
              <w:noProof/>
              <w:sz w:val="22"/>
              <w:szCs w:val="22"/>
              <w:lang w:eastAsia="en-AU"/>
            </w:rPr>
          </w:pPr>
          <w:hyperlink w:anchor="_Toc527966052" w:history="1">
            <w:r w:rsidR="00D531FE" w:rsidRPr="00027E6D">
              <w:rPr>
                <w:rStyle w:val="Hyperlink"/>
                <w:noProof/>
              </w:rPr>
              <w:t>Implications</w:t>
            </w:r>
            <w:r w:rsidR="00D531FE">
              <w:rPr>
                <w:noProof/>
                <w:webHidden/>
              </w:rPr>
              <w:tab/>
            </w:r>
            <w:r w:rsidR="00D531FE">
              <w:rPr>
                <w:noProof/>
                <w:webHidden/>
              </w:rPr>
              <w:fldChar w:fldCharType="begin"/>
            </w:r>
            <w:r w:rsidR="00D531FE">
              <w:rPr>
                <w:noProof/>
                <w:webHidden/>
              </w:rPr>
              <w:instrText xml:space="preserve"> PAGEREF _Toc527966052 \h </w:instrText>
            </w:r>
            <w:r w:rsidR="00D531FE">
              <w:rPr>
                <w:noProof/>
                <w:webHidden/>
              </w:rPr>
            </w:r>
            <w:r w:rsidR="00D531FE">
              <w:rPr>
                <w:noProof/>
                <w:webHidden/>
              </w:rPr>
              <w:fldChar w:fldCharType="separate"/>
            </w:r>
            <w:r w:rsidR="00D531FE">
              <w:rPr>
                <w:noProof/>
                <w:webHidden/>
              </w:rPr>
              <w:t>14</w:t>
            </w:r>
            <w:r w:rsidR="00D531FE">
              <w:rPr>
                <w:noProof/>
                <w:webHidden/>
              </w:rPr>
              <w:fldChar w:fldCharType="end"/>
            </w:r>
          </w:hyperlink>
        </w:p>
        <w:p w:rsidR="00D531FE" w:rsidRDefault="005A5D2F">
          <w:pPr>
            <w:pStyle w:val="TOC3"/>
            <w:rPr>
              <w:rFonts w:asciiTheme="minorHAnsi" w:eastAsiaTheme="minorEastAsia" w:hAnsiTheme="minorHAnsi" w:cstheme="minorBidi"/>
              <w:b w:val="0"/>
              <w:noProof/>
              <w:szCs w:val="22"/>
              <w:lang w:eastAsia="en-AU"/>
            </w:rPr>
          </w:pPr>
          <w:hyperlink w:anchor="_Toc527966053" w:history="1">
            <w:r w:rsidR="00D531FE" w:rsidRPr="00027E6D">
              <w:rPr>
                <w:rStyle w:val="Hyperlink"/>
                <w:noProof/>
              </w:rPr>
              <w:t>Resources and training</w:t>
            </w:r>
            <w:r w:rsidR="00D531FE">
              <w:rPr>
                <w:noProof/>
                <w:webHidden/>
              </w:rPr>
              <w:tab/>
            </w:r>
            <w:r w:rsidR="00D531FE">
              <w:rPr>
                <w:noProof/>
                <w:webHidden/>
              </w:rPr>
              <w:fldChar w:fldCharType="begin"/>
            </w:r>
            <w:r w:rsidR="00D531FE">
              <w:rPr>
                <w:noProof/>
                <w:webHidden/>
              </w:rPr>
              <w:instrText xml:space="preserve"> PAGEREF _Toc527966053 \h </w:instrText>
            </w:r>
            <w:r w:rsidR="00D531FE">
              <w:rPr>
                <w:noProof/>
                <w:webHidden/>
              </w:rPr>
            </w:r>
            <w:r w:rsidR="00D531FE">
              <w:rPr>
                <w:noProof/>
                <w:webHidden/>
              </w:rPr>
              <w:fldChar w:fldCharType="separate"/>
            </w:r>
            <w:r w:rsidR="00D531FE">
              <w:rPr>
                <w:noProof/>
                <w:webHidden/>
              </w:rPr>
              <w:t>14</w:t>
            </w:r>
            <w:r w:rsidR="00D531FE">
              <w:rPr>
                <w:noProof/>
                <w:webHidden/>
              </w:rPr>
              <w:fldChar w:fldCharType="end"/>
            </w:r>
          </w:hyperlink>
        </w:p>
        <w:p w:rsidR="00D531FE" w:rsidRDefault="005A5D2F">
          <w:pPr>
            <w:pStyle w:val="TOC3"/>
            <w:rPr>
              <w:rFonts w:asciiTheme="minorHAnsi" w:eastAsiaTheme="minorEastAsia" w:hAnsiTheme="minorHAnsi" w:cstheme="minorBidi"/>
              <w:b w:val="0"/>
              <w:noProof/>
              <w:szCs w:val="22"/>
              <w:lang w:eastAsia="en-AU"/>
            </w:rPr>
          </w:pPr>
          <w:hyperlink w:anchor="_Toc527966054" w:history="1">
            <w:r w:rsidR="00D531FE" w:rsidRPr="00027E6D">
              <w:rPr>
                <w:rStyle w:val="Hyperlink"/>
                <w:noProof/>
              </w:rPr>
              <w:t>Cost</w:t>
            </w:r>
            <w:r w:rsidR="00D531FE">
              <w:rPr>
                <w:noProof/>
                <w:webHidden/>
              </w:rPr>
              <w:tab/>
            </w:r>
            <w:r w:rsidR="00D531FE">
              <w:rPr>
                <w:noProof/>
                <w:webHidden/>
              </w:rPr>
              <w:fldChar w:fldCharType="begin"/>
            </w:r>
            <w:r w:rsidR="00D531FE">
              <w:rPr>
                <w:noProof/>
                <w:webHidden/>
              </w:rPr>
              <w:instrText xml:space="preserve"> PAGEREF _Toc527966054 \h </w:instrText>
            </w:r>
            <w:r w:rsidR="00D531FE">
              <w:rPr>
                <w:noProof/>
                <w:webHidden/>
              </w:rPr>
            </w:r>
            <w:r w:rsidR="00D531FE">
              <w:rPr>
                <w:noProof/>
                <w:webHidden/>
              </w:rPr>
              <w:fldChar w:fldCharType="separate"/>
            </w:r>
            <w:r w:rsidR="00D531FE">
              <w:rPr>
                <w:noProof/>
                <w:webHidden/>
              </w:rPr>
              <w:t>14</w:t>
            </w:r>
            <w:r w:rsidR="00D531FE">
              <w:rPr>
                <w:noProof/>
                <w:webHidden/>
              </w:rPr>
              <w:fldChar w:fldCharType="end"/>
            </w:r>
          </w:hyperlink>
        </w:p>
        <w:p w:rsidR="00D531FE" w:rsidRDefault="005A5D2F">
          <w:pPr>
            <w:pStyle w:val="TOC3"/>
            <w:rPr>
              <w:rFonts w:asciiTheme="minorHAnsi" w:eastAsiaTheme="minorEastAsia" w:hAnsiTheme="minorHAnsi" w:cstheme="minorBidi"/>
              <w:b w:val="0"/>
              <w:noProof/>
              <w:szCs w:val="22"/>
              <w:lang w:eastAsia="en-AU"/>
            </w:rPr>
          </w:pPr>
          <w:hyperlink w:anchor="_Toc527966055" w:history="1">
            <w:r w:rsidR="00D531FE" w:rsidRPr="00027E6D">
              <w:rPr>
                <w:rStyle w:val="Hyperlink"/>
                <w:noProof/>
              </w:rPr>
              <w:t>Managing older products - baselines</w:t>
            </w:r>
            <w:r w:rsidR="00D531FE">
              <w:rPr>
                <w:noProof/>
                <w:webHidden/>
              </w:rPr>
              <w:tab/>
            </w:r>
            <w:r w:rsidR="00D531FE">
              <w:rPr>
                <w:noProof/>
                <w:webHidden/>
              </w:rPr>
              <w:fldChar w:fldCharType="begin"/>
            </w:r>
            <w:r w:rsidR="00D531FE">
              <w:rPr>
                <w:noProof/>
                <w:webHidden/>
              </w:rPr>
              <w:instrText xml:space="preserve"> PAGEREF _Toc527966055 \h </w:instrText>
            </w:r>
            <w:r w:rsidR="00D531FE">
              <w:rPr>
                <w:noProof/>
                <w:webHidden/>
              </w:rPr>
            </w:r>
            <w:r w:rsidR="00D531FE">
              <w:rPr>
                <w:noProof/>
                <w:webHidden/>
              </w:rPr>
              <w:fldChar w:fldCharType="separate"/>
            </w:r>
            <w:r w:rsidR="00D531FE">
              <w:rPr>
                <w:noProof/>
                <w:webHidden/>
              </w:rPr>
              <w:t>15</w:t>
            </w:r>
            <w:r w:rsidR="00D531FE">
              <w:rPr>
                <w:noProof/>
                <w:webHidden/>
              </w:rPr>
              <w:fldChar w:fldCharType="end"/>
            </w:r>
          </w:hyperlink>
        </w:p>
        <w:p w:rsidR="00D531FE" w:rsidRDefault="005A5D2F">
          <w:pPr>
            <w:pStyle w:val="TOC1"/>
            <w:rPr>
              <w:rFonts w:asciiTheme="minorHAnsi" w:eastAsiaTheme="minorEastAsia" w:hAnsiTheme="minorHAnsi" w:cstheme="minorBidi"/>
              <w:b w:val="0"/>
              <w:noProof/>
              <w:sz w:val="22"/>
              <w:szCs w:val="22"/>
              <w:lang w:eastAsia="en-AU"/>
            </w:rPr>
          </w:pPr>
          <w:hyperlink w:anchor="_Toc527966056" w:history="1">
            <w:r w:rsidR="00D531FE" w:rsidRPr="00027E6D">
              <w:rPr>
                <w:rStyle w:val="Hyperlink"/>
                <w:noProof/>
              </w:rPr>
              <w:t>Proposed transitional arrangements</w:t>
            </w:r>
            <w:r w:rsidR="00D531FE">
              <w:rPr>
                <w:noProof/>
                <w:webHidden/>
              </w:rPr>
              <w:tab/>
            </w:r>
            <w:r w:rsidR="00D531FE">
              <w:rPr>
                <w:noProof/>
                <w:webHidden/>
              </w:rPr>
              <w:fldChar w:fldCharType="begin"/>
            </w:r>
            <w:r w:rsidR="00D531FE">
              <w:rPr>
                <w:noProof/>
                <w:webHidden/>
              </w:rPr>
              <w:instrText xml:space="preserve"> PAGEREF _Toc527966056 \h </w:instrText>
            </w:r>
            <w:r w:rsidR="00D531FE">
              <w:rPr>
                <w:noProof/>
                <w:webHidden/>
              </w:rPr>
            </w:r>
            <w:r w:rsidR="00D531FE">
              <w:rPr>
                <w:noProof/>
                <w:webHidden/>
              </w:rPr>
              <w:fldChar w:fldCharType="separate"/>
            </w:r>
            <w:r w:rsidR="00D531FE">
              <w:rPr>
                <w:noProof/>
                <w:webHidden/>
              </w:rPr>
              <w:t>15</w:t>
            </w:r>
            <w:r w:rsidR="00D531FE">
              <w:rPr>
                <w:noProof/>
                <w:webHidden/>
              </w:rPr>
              <w:fldChar w:fldCharType="end"/>
            </w:r>
          </w:hyperlink>
        </w:p>
        <w:p w:rsidR="00D531FE" w:rsidRDefault="005A5D2F">
          <w:pPr>
            <w:pStyle w:val="TOC2"/>
            <w:rPr>
              <w:rFonts w:asciiTheme="minorHAnsi" w:eastAsiaTheme="minorEastAsia" w:hAnsiTheme="minorHAnsi" w:cstheme="minorBidi"/>
              <w:b w:val="0"/>
              <w:noProof/>
              <w:sz w:val="22"/>
              <w:szCs w:val="22"/>
              <w:lang w:eastAsia="en-AU"/>
            </w:rPr>
          </w:pPr>
          <w:hyperlink w:anchor="_Toc527966057" w:history="1">
            <w:r w:rsidR="00D531FE" w:rsidRPr="00027E6D">
              <w:rPr>
                <w:rStyle w:val="Hyperlink"/>
                <w:noProof/>
              </w:rPr>
              <w:t>Education</w:t>
            </w:r>
            <w:r w:rsidR="00D531FE">
              <w:rPr>
                <w:noProof/>
                <w:webHidden/>
              </w:rPr>
              <w:tab/>
            </w:r>
            <w:r w:rsidR="00D531FE">
              <w:rPr>
                <w:noProof/>
                <w:webHidden/>
              </w:rPr>
              <w:fldChar w:fldCharType="begin"/>
            </w:r>
            <w:r w:rsidR="00D531FE">
              <w:rPr>
                <w:noProof/>
                <w:webHidden/>
              </w:rPr>
              <w:instrText xml:space="preserve"> PAGEREF _Toc527966057 \h </w:instrText>
            </w:r>
            <w:r w:rsidR="00D531FE">
              <w:rPr>
                <w:noProof/>
                <w:webHidden/>
              </w:rPr>
            </w:r>
            <w:r w:rsidR="00D531FE">
              <w:rPr>
                <w:noProof/>
                <w:webHidden/>
              </w:rPr>
              <w:fldChar w:fldCharType="separate"/>
            </w:r>
            <w:r w:rsidR="00D531FE">
              <w:rPr>
                <w:noProof/>
                <w:webHidden/>
              </w:rPr>
              <w:t>15</w:t>
            </w:r>
            <w:r w:rsidR="00D531FE">
              <w:rPr>
                <w:noProof/>
                <w:webHidden/>
              </w:rPr>
              <w:fldChar w:fldCharType="end"/>
            </w:r>
          </w:hyperlink>
        </w:p>
        <w:p w:rsidR="00D531FE" w:rsidRDefault="005A5D2F">
          <w:pPr>
            <w:pStyle w:val="TOC2"/>
            <w:rPr>
              <w:rFonts w:asciiTheme="minorHAnsi" w:eastAsiaTheme="minorEastAsia" w:hAnsiTheme="minorHAnsi" w:cstheme="minorBidi"/>
              <w:b w:val="0"/>
              <w:noProof/>
              <w:sz w:val="22"/>
              <w:szCs w:val="22"/>
              <w:lang w:eastAsia="en-AU"/>
            </w:rPr>
          </w:pPr>
          <w:hyperlink w:anchor="_Toc527966058" w:history="1">
            <w:r w:rsidR="00D531FE" w:rsidRPr="00027E6D">
              <w:rPr>
                <w:rStyle w:val="Hyperlink"/>
                <w:noProof/>
              </w:rPr>
              <w:t>Collaboration</w:t>
            </w:r>
            <w:r w:rsidR="00D531FE">
              <w:rPr>
                <w:noProof/>
                <w:webHidden/>
              </w:rPr>
              <w:tab/>
            </w:r>
            <w:r w:rsidR="00D531FE">
              <w:rPr>
                <w:noProof/>
                <w:webHidden/>
              </w:rPr>
              <w:fldChar w:fldCharType="begin"/>
            </w:r>
            <w:r w:rsidR="00D531FE">
              <w:rPr>
                <w:noProof/>
                <w:webHidden/>
              </w:rPr>
              <w:instrText xml:space="preserve"> PAGEREF _Toc527966058 \h </w:instrText>
            </w:r>
            <w:r w:rsidR="00D531FE">
              <w:rPr>
                <w:noProof/>
                <w:webHidden/>
              </w:rPr>
            </w:r>
            <w:r w:rsidR="00D531FE">
              <w:rPr>
                <w:noProof/>
                <w:webHidden/>
              </w:rPr>
              <w:fldChar w:fldCharType="separate"/>
            </w:r>
            <w:r w:rsidR="00D531FE">
              <w:rPr>
                <w:noProof/>
                <w:webHidden/>
              </w:rPr>
              <w:t>15</w:t>
            </w:r>
            <w:r w:rsidR="00D531FE">
              <w:rPr>
                <w:noProof/>
                <w:webHidden/>
              </w:rPr>
              <w:fldChar w:fldCharType="end"/>
            </w:r>
          </w:hyperlink>
        </w:p>
        <w:p w:rsidR="00D531FE" w:rsidRDefault="005A5D2F">
          <w:pPr>
            <w:pStyle w:val="TOC2"/>
            <w:rPr>
              <w:rFonts w:asciiTheme="minorHAnsi" w:eastAsiaTheme="minorEastAsia" w:hAnsiTheme="minorHAnsi" w:cstheme="minorBidi"/>
              <w:b w:val="0"/>
              <w:noProof/>
              <w:sz w:val="22"/>
              <w:szCs w:val="22"/>
              <w:lang w:eastAsia="en-AU"/>
            </w:rPr>
          </w:pPr>
          <w:hyperlink w:anchor="_Toc527966059" w:history="1">
            <w:r w:rsidR="00D531FE" w:rsidRPr="00027E6D">
              <w:rPr>
                <w:rStyle w:val="Hyperlink"/>
                <w:noProof/>
              </w:rPr>
              <w:t>Advice</w:t>
            </w:r>
            <w:r w:rsidR="00D531FE">
              <w:rPr>
                <w:noProof/>
                <w:webHidden/>
              </w:rPr>
              <w:tab/>
            </w:r>
            <w:r w:rsidR="00D531FE">
              <w:rPr>
                <w:noProof/>
                <w:webHidden/>
              </w:rPr>
              <w:fldChar w:fldCharType="begin"/>
            </w:r>
            <w:r w:rsidR="00D531FE">
              <w:rPr>
                <w:noProof/>
                <w:webHidden/>
              </w:rPr>
              <w:instrText xml:space="preserve"> PAGEREF _Toc527966059 \h </w:instrText>
            </w:r>
            <w:r w:rsidR="00D531FE">
              <w:rPr>
                <w:noProof/>
                <w:webHidden/>
              </w:rPr>
            </w:r>
            <w:r w:rsidR="00D531FE">
              <w:rPr>
                <w:noProof/>
                <w:webHidden/>
              </w:rPr>
              <w:fldChar w:fldCharType="separate"/>
            </w:r>
            <w:r w:rsidR="00D531FE">
              <w:rPr>
                <w:noProof/>
                <w:webHidden/>
              </w:rPr>
              <w:t>15</w:t>
            </w:r>
            <w:r w:rsidR="00D531FE">
              <w:rPr>
                <w:noProof/>
                <w:webHidden/>
              </w:rPr>
              <w:fldChar w:fldCharType="end"/>
            </w:r>
          </w:hyperlink>
        </w:p>
        <w:p w:rsidR="00D531FE" w:rsidRDefault="005A5D2F">
          <w:pPr>
            <w:pStyle w:val="TOC1"/>
            <w:rPr>
              <w:rFonts w:asciiTheme="minorHAnsi" w:eastAsiaTheme="minorEastAsia" w:hAnsiTheme="minorHAnsi" w:cstheme="minorBidi"/>
              <w:b w:val="0"/>
              <w:noProof/>
              <w:sz w:val="22"/>
              <w:szCs w:val="22"/>
              <w:lang w:eastAsia="en-AU"/>
            </w:rPr>
          </w:pPr>
          <w:hyperlink w:anchor="_Toc527966060" w:history="1">
            <w:r w:rsidR="00D531FE" w:rsidRPr="00027E6D">
              <w:rPr>
                <w:rStyle w:val="Hyperlink"/>
                <w:noProof/>
              </w:rPr>
              <w:t>Additional reforms</w:t>
            </w:r>
            <w:r w:rsidR="00D531FE">
              <w:rPr>
                <w:noProof/>
                <w:webHidden/>
              </w:rPr>
              <w:tab/>
            </w:r>
            <w:r w:rsidR="00D531FE">
              <w:rPr>
                <w:noProof/>
                <w:webHidden/>
              </w:rPr>
              <w:fldChar w:fldCharType="begin"/>
            </w:r>
            <w:r w:rsidR="00D531FE">
              <w:rPr>
                <w:noProof/>
                <w:webHidden/>
              </w:rPr>
              <w:instrText xml:space="preserve"> PAGEREF _Toc527966060 \h </w:instrText>
            </w:r>
            <w:r w:rsidR="00D531FE">
              <w:rPr>
                <w:noProof/>
                <w:webHidden/>
              </w:rPr>
            </w:r>
            <w:r w:rsidR="00D531FE">
              <w:rPr>
                <w:noProof/>
                <w:webHidden/>
              </w:rPr>
              <w:fldChar w:fldCharType="separate"/>
            </w:r>
            <w:r w:rsidR="00D531FE">
              <w:rPr>
                <w:noProof/>
                <w:webHidden/>
              </w:rPr>
              <w:t>16</w:t>
            </w:r>
            <w:r w:rsidR="00D531FE">
              <w:rPr>
                <w:noProof/>
                <w:webHidden/>
              </w:rPr>
              <w:fldChar w:fldCharType="end"/>
            </w:r>
          </w:hyperlink>
        </w:p>
        <w:p w:rsidR="00EA0442" w:rsidRPr="00D531FE" w:rsidRDefault="006C626D" w:rsidP="00D23E81">
          <w:pPr>
            <w:rPr>
              <w:sz w:val="2"/>
              <w:szCs w:val="2"/>
            </w:rPr>
          </w:pPr>
          <w:r w:rsidRPr="00EA0442">
            <w:rPr>
              <w:sz w:val="16"/>
            </w:rPr>
            <w:lastRenderedPageBreak/>
            <w:fldChar w:fldCharType="end"/>
          </w:r>
        </w:p>
      </w:sdtContent>
    </w:sdt>
    <w:bookmarkStart w:id="2" w:name="_Toc356305156" w:displacedByCustomXml="prev"/>
    <w:p w:rsidR="0029092E" w:rsidRDefault="0029092E" w:rsidP="00D531FE">
      <w:pPr>
        <w:pStyle w:val="Heading2"/>
        <w:spacing w:before="0"/>
      </w:pPr>
      <w:bookmarkStart w:id="3" w:name="_Toc527966029"/>
      <w:r w:rsidRPr="00F00F4E">
        <w:t>Purpose</w:t>
      </w:r>
      <w:r>
        <w:t xml:space="preserve"> and scope</w:t>
      </w:r>
      <w:bookmarkEnd w:id="3"/>
    </w:p>
    <w:p w:rsidR="00747F87" w:rsidRDefault="0029092E" w:rsidP="00234E88">
      <w:r>
        <w:t>The purpose of this consultation is to provide an opportunity for industry</w:t>
      </w:r>
      <w:r w:rsidR="00AC5B3A">
        <w:t>,</w:t>
      </w:r>
      <w:r>
        <w:t xml:space="preserve"> software vendors</w:t>
      </w:r>
      <w:r w:rsidR="00AC5B3A">
        <w:t xml:space="preserve"> and other interested parties</w:t>
      </w:r>
      <w:r>
        <w:t xml:space="preserve"> to comment on the proposed changes </w:t>
      </w:r>
      <w:r w:rsidR="00BA18EA">
        <w:t xml:space="preserve">to </w:t>
      </w:r>
      <w:r w:rsidR="008C6D8A">
        <w:t xml:space="preserve">allowable formats </w:t>
      </w:r>
      <w:r w:rsidR="00A3315F">
        <w:t>for prescription medicine</w:t>
      </w:r>
      <w:r w:rsidR="00A3315F">
        <w:rPr>
          <w:rStyle w:val="FootnoteReference"/>
        </w:rPr>
        <w:footnoteReference w:id="1"/>
      </w:r>
      <w:r>
        <w:t xml:space="preserve"> dos</w:t>
      </w:r>
      <w:r w:rsidR="00A3315F">
        <w:t>siers</w:t>
      </w:r>
      <w:r w:rsidR="00D02136">
        <w:t>.</w:t>
      </w:r>
    </w:p>
    <w:p w:rsidR="00A3315F" w:rsidRDefault="008C6D8A" w:rsidP="00A3315F">
      <w:r>
        <w:t xml:space="preserve">The </w:t>
      </w:r>
      <w:r w:rsidR="003433CD">
        <w:t xml:space="preserve">proposed </w:t>
      </w:r>
      <w:r w:rsidR="003847A7">
        <w:t>change</w:t>
      </w:r>
      <w:r>
        <w:t xml:space="preserve"> to </w:t>
      </w:r>
      <w:r w:rsidR="003847A7" w:rsidRPr="00C47230">
        <w:t xml:space="preserve">the </w:t>
      </w:r>
      <w:r w:rsidRPr="00C47230">
        <w:t>allowable</w:t>
      </w:r>
      <w:r w:rsidR="00F7192D">
        <w:t xml:space="preserve"> format</w:t>
      </w:r>
      <w:r w:rsidR="003433CD">
        <w:t>s</w:t>
      </w:r>
      <w:r w:rsidR="003847A7">
        <w:t xml:space="preserve"> is one part</w:t>
      </w:r>
      <w:r w:rsidR="00F7192D">
        <w:t xml:space="preserve"> of a broader electronic dossier reforms </w:t>
      </w:r>
      <w:r w:rsidR="00A3315F">
        <w:t>agenda to provide</w:t>
      </w:r>
      <w:r w:rsidR="00C47230">
        <w:t xml:space="preserve"> an </w:t>
      </w:r>
      <w:r w:rsidR="00C47230" w:rsidRPr="00C47230">
        <w:t xml:space="preserve">updated electronic submissions platform that is appropriate for Australian </w:t>
      </w:r>
      <w:r w:rsidR="008371FC">
        <w:t>stakeholders</w:t>
      </w:r>
      <w:r w:rsidR="008371FC" w:rsidRPr="00C47230">
        <w:t xml:space="preserve"> </w:t>
      </w:r>
      <w:r w:rsidR="00C47230" w:rsidRPr="00C47230">
        <w:t xml:space="preserve">and </w:t>
      </w:r>
      <w:r w:rsidR="00411090">
        <w:t>observes and adopts some</w:t>
      </w:r>
      <w:r w:rsidR="00C47230" w:rsidRPr="00C47230">
        <w:t xml:space="preserve"> of the best-practice initiatives that are operating in the international environment.</w:t>
      </w:r>
      <w:r w:rsidR="00A3315F">
        <w:t xml:space="preserve"> </w:t>
      </w:r>
      <w:r w:rsidR="00C47230">
        <w:t xml:space="preserve">Providing a </w:t>
      </w:r>
      <w:r w:rsidR="00D4589B">
        <w:t>single, standardised dossier f</w:t>
      </w:r>
      <w:r w:rsidR="00C47230">
        <w:t xml:space="preserve">ormat forms part of </w:t>
      </w:r>
      <w:r w:rsidR="00A3315F">
        <w:t>this agenda</w:t>
      </w:r>
      <w:r w:rsidR="00C47230">
        <w:t>.</w:t>
      </w:r>
    </w:p>
    <w:p w:rsidR="00D02136" w:rsidRDefault="00D4589B" w:rsidP="00F00F4E">
      <w:r>
        <w:t xml:space="preserve">The electronic Common Technical </w:t>
      </w:r>
      <w:r w:rsidR="006E51E8">
        <w:t xml:space="preserve">Document </w:t>
      </w:r>
      <w:r>
        <w:t xml:space="preserve">(eCTD) is </w:t>
      </w:r>
      <w:r w:rsidR="005A39F1">
        <w:t xml:space="preserve">the internationally recognised standard prescription medicine dossier format and as such the </w:t>
      </w:r>
      <w:r w:rsidR="00AC5B3A">
        <w:t>Therapeutic Goods Administration (</w:t>
      </w:r>
      <w:r w:rsidR="005A39F1">
        <w:t>TGA</w:t>
      </w:r>
      <w:r w:rsidR="00AC5B3A">
        <w:t>)</w:t>
      </w:r>
      <w:r w:rsidR="005A39F1">
        <w:t xml:space="preserve"> is proposing </w:t>
      </w:r>
      <w:r w:rsidR="0075583A">
        <w:t>a phased introduction for</w:t>
      </w:r>
      <w:r w:rsidR="00294E74">
        <w:t xml:space="preserve"> the </w:t>
      </w:r>
      <w:r w:rsidR="005A39F1">
        <w:t xml:space="preserve">mandatory use of the eCTD format for all </w:t>
      </w:r>
      <w:r w:rsidR="00DB1508">
        <w:t>prescription medicine dossiers.</w:t>
      </w:r>
    </w:p>
    <w:p w:rsidR="005A39F1" w:rsidRDefault="005A39F1" w:rsidP="00234E88">
      <w:r>
        <w:t xml:space="preserve">In order to do this </w:t>
      </w:r>
      <w:r w:rsidR="006B028E">
        <w:t>we</w:t>
      </w:r>
      <w:r>
        <w:t xml:space="preserve"> need to unders</w:t>
      </w:r>
      <w:r w:rsidR="00A3315F">
        <w:t>tand the possible impacts on</w:t>
      </w:r>
      <w:r>
        <w:t xml:space="preserve"> stakeholders. Through this consultation we seek to:</w:t>
      </w:r>
    </w:p>
    <w:p w:rsidR="005A39F1" w:rsidRDefault="005A39F1" w:rsidP="00234E88">
      <w:pPr>
        <w:pStyle w:val="ListBullet"/>
      </w:pPr>
      <w:r>
        <w:t xml:space="preserve">Outline the objectives of the electronic dossier reforms being developed by the </w:t>
      </w:r>
      <w:r w:rsidR="00D02136">
        <w:t>TGA</w:t>
      </w:r>
      <w:r>
        <w:t xml:space="preserve">, including the transition to only </w:t>
      </w:r>
      <w:r w:rsidRPr="00234E88">
        <w:t>accepting</w:t>
      </w:r>
      <w:r>
        <w:t xml:space="preserve"> dossiers in the eCTD format for prescription medicines</w:t>
      </w:r>
      <w:r w:rsidR="00A3315F">
        <w:t>;</w:t>
      </w:r>
    </w:p>
    <w:p w:rsidR="005A39F1" w:rsidRDefault="005A39F1" w:rsidP="00F00F4E">
      <w:pPr>
        <w:pStyle w:val="ListBullet"/>
      </w:pPr>
      <w:r>
        <w:t xml:space="preserve">Outline the proposed </w:t>
      </w:r>
      <w:r w:rsidR="00EB7D00">
        <w:t xml:space="preserve">phased </w:t>
      </w:r>
      <w:r>
        <w:t xml:space="preserve">transition timeframe for </w:t>
      </w:r>
      <w:r w:rsidR="006E51E8">
        <w:t>accepting eCTD only dossiers</w:t>
      </w:r>
      <w:r w:rsidR="00A3315F">
        <w:t>;</w:t>
      </w:r>
    </w:p>
    <w:p w:rsidR="0089223A" w:rsidRDefault="0089223A" w:rsidP="00F00F4E">
      <w:pPr>
        <w:pStyle w:val="ListBullet"/>
      </w:pPr>
      <w:r>
        <w:t>Seek feedback on the proposed changes via the questions listed throughout the paper</w:t>
      </w:r>
      <w:r w:rsidR="006E51E8">
        <w:t>;</w:t>
      </w:r>
    </w:p>
    <w:p w:rsidR="00411090" w:rsidRDefault="00411090" w:rsidP="00F00F4E">
      <w:pPr>
        <w:pStyle w:val="ListBullet"/>
      </w:pPr>
      <w:r>
        <w:t>Identify issues that might be faced by stakeholders as a resu</w:t>
      </w:r>
      <w:r w:rsidR="00F00F4E">
        <w:t>lt of this proposed change; and</w:t>
      </w:r>
    </w:p>
    <w:p w:rsidR="005A39F1" w:rsidRDefault="005A39F1" w:rsidP="00F00F4E">
      <w:pPr>
        <w:pStyle w:val="ListBullet"/>
      </w:pPr>
      <w:r>
        <w:t xml:space="preserve">Use feedback received to assist with devising appropriate mechanisms to implement the </w:t>
      </w:r>
      <w:r w:rsidR="00D02136">
        <w:t xml:space="preserve">proposed </w:t>
      </w:r>
      <w:r>
        <w:t>changes</w:t>
      </w:r>
      <w:r w:rsidR="00411090">
        <w:t>.</w:t>
      </w:r>
    </w:p>
    <w:p w:rsidR="00747F87" w:rsidRDefault="00830766" w:rsidP="00F7192D">
      <w:pPr>
        <w:pStyle w:val="Heading2"/>
      </w:pPr>
      <w:bookmarkStart w:id="4" w:name="_Toc527966030"/>
      <w:r>
        <w:t>Background</w:t>
      </w:r>
      <w:bookmarkEnd w:id="4"/>
    </w:p>
    <w:p w:rsidR="00830766" w:rsidRDefault="00F7192D" w:rsidP="00747F87">
      <w:pPr>
        <w:pStyle w:val="Heading3"/>
      </w:pPr>
      <w:bookmarkStart w:id="5" w:name="_Toc527966031"/>
      <w:r>
        <w:t xml:space="preserve">Current </w:t>
      </w:r>
      <w:r w:rsidR="00EA0442">
        <w:t>d</w:t>
      </w:r>
      <w:r>
        <w:t>ossier</w:t>
      </w:r>
      <w:r w:rsidR="00747F87">
        <w:t xml:space="preserve"> </w:t>
      </w:r>
      <w:r w:rsidR="00EA0442">
        <w:t>f</w:t>
      </w:r>
      <w:r w:rsidR="00747F87">
        <w:t>ormats</w:t>
      </w:r>
      <w:bookmarkEnd w:id="5"/>
    </w:p>
    <w:p w:rsidR="008107F8" w:rsidRDefault="00747F87" w:rsidP="00747F87">
      <w:r>
        <w:t xml:space="preserve">Since 2011, the </w:t>
      </w:r>
      <w:r w:rsidR="00A3315F">
        <w:t>TGA</w:t>
      </w:r>
      <w:r>
        <w:t xml:space="preserve"> has accepted medicine dossiers within an electronic format.</w:t>
      </w:r>
      <w:r w:rsidR="002316B8">
        <w:t xml:space="preserve"> The Non eCTD electronic Submission (NeeS) format was introduced first, follow</w:t>
      </w:r>
      <w:r w:rsidR="00CD14C1">
        <w:t>ed</w:t>
      </w:r>
      <w:r w:rsidR="002316B8">
        <w:t xml:space="preserve"> by the eCTD format in 2015</w:t>
      </w:r>
      <w:r w:rsidR="004A47DA">
        <w:t xml:space="preserve">. Guidance on electronic formats released by the TGA in 2011 </w:t>
      </w:r>
      <w:r w:rsidR="00CD14C1">
        <w:t xml:space="preserve">stated </w:t>
      </w:r>
      <w:r w:rsidR="004A47DA">
        <w:t xml:space="preserve">that </w:t>
      </w:r>
      <w:r w:rsidR="004A47DA" w:rsidRPr="004A47DA">
        <w:rPr>
          <w:i/>
        </w:rPr>
        <w:t>The NeeS format for electronic submission dossiers is an interim format and sponsors should plan to adopt the eCTD format for the lodgement of electronic submission dossiers</w:t>
      </w:r>
      <w:r w:rsidR="00FD2472">
        <w:rPr>
          <w:rStyle w:val="FootnoteReference"/>
          <w:i/>
        </w:rPr>
        <w:footnoteReference w:id="2"/>
      </w:r>
      <w:r w:rsidR="004A47DA">
        <w:t>.</w:t>
      </w:r>
    </w:p>
    <w:p w:rsidR="00747F87" w:rsidRDefault="00EC5704" w:rsidP="00747F87">
      <w:r>
        <w:t>For prescription medicine</w:t>
      </w:r>
      <w:r w:rsidR="00A3315F">
        <w:t>s</w:t>
      </w:r>
      <w:r w:rsidR="00A1303F">
        <w:t>,</w:t>
      </w:r>
      <w:r>
        <w:t xml:space="preserve"> </w:t>
      </w:r>
      <w:r w:rsidR="006B028E">
        <w:t>we</w:t>
      </w:r>
      <w:r>
        <w:t xml:space="preserve"> currently ex</w:t>
      </w:r>
      <w:r w:rsidR="00957C97">
        <w:t>pect dossier</w:t>
      </w:r>
      <w:r w:rsidR="00A1303F">
        <w:t>s</w:t>
      </w:r>
      <w:r w:rsidR="00CD14C1">
        <w:t xml:space="preserve"> to</w:t>
      </w:r>
      <w:r w:rsidR="00957C97">
        <w:t xml:space="preserve"> be</w:t>
      </w:r>
      <w:r>
        <w:t xml:space="preserve"> submitted</w:t>
      </w:r>
      <w:r w:rsidR="0089223A">
        <w:t xml:space="preserve"> </w:t>
      </w:r>
      <w:r>
        <w:t xml:space="preserve">in </w:t>
      </w:r>
      <w:r w:rsidR="00EB7D00">
        <w:t xml:space="preserve">either </w:t>
      </w:r>
      <w:r>
        <w:t>the</w:t>
      </w:r>
      <w:r w:rsidR="00747F87">
        <w:t xml:space="preserve"> </w:t>
      </w:r>
      <w:r w:rsidR="00A3315F">
        <w:t>eCTD</w:t>
      </w:r>
      <w:r>
        <w:t xml:space="preserve"> or the</w:t>
      </w:r>
      <w:r w:rsidR="00747F87">
        <w:t xml:space="preserve"> </w:t>
      </w:r>
      <w:r w:rsidR="0044724F">
        <w:t>NeeS format</w:t>
      </w:r>
      <w:r w:rsidR="0089223A">
        <w:t xml:space="preserve"> and</w:t>
      </w:r>
      <w:r w:rsidR="00294E74">
        <w:t xml:space="preserve"> </w:t>
      </w:r>
      <w:r w:rsidR="00CD14C1">
        <w:t>align</w:t>
      </w:r>
      <w:r w:rsidR="00EB7D00">
        <w:t>ing</w:t>
      </w:r>
      <w:r w:rsidR="00FD29A9">
        <w:t xml:space="preserve"> with the</w:t>
      </w:r>
      <w:r>
        <w:t xml:space="preserve"> Common Technical Document </w:t>
      </w:r>
      <w:r w:rsidR="00A3315F">
        <w:t xml:space="preserve">(CTD) </w:t>
      </w:r>
      <w:r>
        <w:t>structure.</w:t>
      </w:r>
    </w:p>
    <w:p w:rsidR="00EC5704" w:rsidRDefault="00EC5704" w:rsidP="00EC5704">
      <w:pPr>
        <w:pStyle w:val="Heading4"/>
      </w:pPr>
      <w:bookmarkStart w:id="6" w:name="_Toc527966032"/>
      <w:r>
        <w:lastRenderedPageBreak/>
        <w:t>CTD</w:t>
      </w:r>
      <w:bookmarkEnd w:id="6"/>
    </w:p>
    <w:p w:rsidR="00EC5704" w:rsidRDefault="00A3315F" w:rsidP="00EC5704">
      <w:r>
        <w:t>The CTD structure</w:t>
      </w:r>
      <w:r w:rsidR="00EC5704" w:rsidRPr="009822FE">
        <w:t xml:space="preserve"> is a set of specifications for a dossier for the registration of medicines. </w:t>
      </w:r>
      <w:r>
        <w:t>It</w:t>
      </w:r>
      <w:r w:rsidR="00EC5704" w:rsidRPr="009822FE">
        <w:t xml:space="preserve"> was developed by the International Conference on Harmonisation of Technical Requirements for Registration of Pharmaceuticals for Human Use (ICH) and adopted by the </w:t>
      </w:r>
      <w:r>
        <w:t>TGA</w:t>
      </w:r>
      <w:r w:rsidR="00EC5704">
        <w:t xml:space="preserve"> in 2004</w:t>
      </w:r>
      <w:r w:rsidR="00FD29A9">
        <w:t>. It is a mandatory requirement that prescription medicines use this structure.</w:t>
      </w:r>
    </w:p>
    <w:p w:rsidR="00EC5704" w:rsidRDefault="00EC5704" w:rsidP="00EC5704">
      <w:r>
        <w:t>The CTD prescribes:</w:t>
      </w:r>
    </w:p>
    <w:p w:rsidR="00EC5704" w:rsidRDefault="00EC5704" w:rsidP="006F3311">
      <w:pPr>
        <w:pStyle w:val="ListParagraph"/>
        <w:numPr>
          <w:ilvl w:val="0"/>
          <w:numId w:val="5"/>
        </w:numPr>
        <w:spacing w:before="0" w:after="200" w:line="276" w:lineRule="auto"/>
      </w:pPr>
      <w:r>
        <w:t>the organisation of the dossier across 5 modules</w:t>
      </w:r>
      <w:r w:rsidR="00A3315F">
        <w:t>; and</w:t>
      </w:r>
    </w:p>
    <w:p w:rsidR="00FD29A9" w:rsidRDefault="00EC5704" w:rsidP="006F3311">
      <w:pPr>
        <w:pStyle w:val="ListParagraph"/>
        <w:numPr>
          <w:ilvl w:val="0"/>
          <w:numId w:val="5"/>
        </w:numPr>
        <w:spacing w:before="0" w:after="200" w:line="276" w:lineRule="auto"/>
      </w:pPr>
      <w:r>
        <w:t>the order in which documents must appear so they are grouped logi</w:t>
      </w:r>
      <w:r w:rsidR="00FD29A9">
        <w:t>cally and can be easily located.</w:t>
      </w:r>
    </w:p>
    <w:p w:rsidR="00FD29A9" w:rsidRPr="00747F87" w:rsidRDefault="00FD29A9" w:rsidP="00FD29A9">
      <w:pPr>
        <w:spacing w:before="0" w:after="200" w:line="276" w:lineRule="auto"/>
      </w:pPr>
      <w:r>
        <w:t>This structure is internationally recognised</w:t>
      </w:r>
      <w:r w:rsidR="008107F8">
        <w:t xml:space="preserve"> as best practice for medicine dossiers</w:t>
      </w:r>
      <w:r>
        <w:t>.</w:t>
      </w:r>
    </w:p>
    <w:p w:rsidR="00EC5704" w:rsidRPr="00EC5704" w:rsidRDefault="00EC5704" w:rsidP="00EC5704">
      <w:pPr>
        <w:pStyle w:val="Heading4"/>
      </w:pPr>
      <w:bookmarkStart w:id="7" w:name="_Toc527966033"/>
      <w:r>
        <w:t>eCTD</w:t>
      </w:r>
      <w:bookmarkEnd w:id="7"/>
    </w:p>
    <w:p w:rsidR="00B1208A" w:rsidRDefault="00F92852" w:rsidP="00EC5704">
      <w:r>
        <w:t>E</w:t>
      </w:r>
      <w:r w:rsidR="00B1208A" w:rsidRPr="00B1208A">
        <w:t>lectro</w:t>
      </w:r>
      <w:r w:rsidR="00B1208A">
        <w:t xml:space="preserve">nic Common Technical Document </w:t>
      </w:r>
      <w:r w:rsidR="00294E74">
        <w:t xml:space="preserve">(eCTD) </w:t>
      </w:r>
      <w:r w:rsidR="00B1208A">
        <w:t xml:space="preserve">is </w:t>
      </w:r>
      <w:r w:rsidR="00B1208A" w:rsidRPr="00B1208A">
        <w:t xml:space="preserve">an electronic standard for the </w:t>
      </w:r>
      <w:r w:rsidR="00A3315F">
        <w:t>CTD</w:t>
      </w:r>
      <w:r w:rsidR="00EC31E3">
        <w:t>,</w:t>
      </w:r>
      <w:r w:rsidR="00B1208A" w:rsidRPr="00B1208A">
        <w:t xml:space="preserve"> providing the means for transferring information from pharmaceutical companies to </w:t>
      </w:r>
      <w:r w:rsidR="006E51E8">
        <w:t>regulators</w:t>
      </w:r>
      <w:r w:rsidR="00FD29A9">
        <w:t>.</w:t>
      </w:r>
      <w:r w:rsidR="008107F8">
        <w:t xml:space="preserve"> </w:t>
      </w:r>
      <w:r w:rsidR="008107F8" w:rsidRPr="008107F8">
        <w:t xml:space="preserve">eCTD </w:t>
      </w:r>
      <w:r w:rsidR="00AC5B3A">
        <w:t>involves</w:t>
      </w:r>
      <w:r w:rsidR="008107F8" w:rsidRPr="008107F8">
        <w:t xml:space="preserve"> the submission of (mostly) PDF leaf documents, </w:t>
      </w:r>
      <w:r w:rsidR="00EC31E3">
        <w:t xml:space="preserve">which are then </w:t>
      </w:r>
      <w:r w:rsidR="008107F8" w:rsidRPr="008107F8">
        <w:t>stored in the eCTD directory structure</w:t>
      </w:r>
      <w:r w:rsidR="00EC31E3">
        <w:t xml:space="preserve"> and </w:t>
      </w:r>
      <w:r w:rsidR="008107F8" w:rsidRPr="008107F8">
        <w:t>accessed through the XML backbone (index.xml)</w:t>
      </w:r>
      <w:r w:rsidR="007E1DF0">
        <w:t xml:space="preserve">. The </w:t>
      </w:r>
      <w:r w:rsidR="008107F8" w:rsidRPr="008107F8">
        <w:t>files</w:t>
      </w:r>
      <w:r w:rsidR="00EC31E3">
        <w:t>’</w:t>
      </w:r>
      <w:r w:rsidR="008107F8" w:rsidRPr="008107F8">
        <w:t xml:space="preserve"> integrity</w:t>
      </w:r>
      <w:r w:rsidR="007E1DF0">
        <w:t xml:space="preserve"> is</w:t>
      </w:r>
      <w:r w:rsidR="008107F8" w:rsidRPr="008107F8">
        <w:t xml:space="preserve"> guaranteed by the MD5 Checksum</w:t>
      </w:r>
      <w:r w:rsidR="00B17480">
        <w:t xml:space="preserve"> (</w:t>
      </w:r>
      <w:r w:rsidR="00B71F85">
        <w:t>Message-Digest algorithm 5 – a commonly used function for validating data integrity</w:t>
      </w:r>
      <w:r w:rsidR="00B17480">
        <w:t>)</w:t>
      </w:r>
      <w:r w:rsidR="00B71F85">
        <w:t>.</w:t>
      </w:r>
    </w:p>
    <w:p w:rsidR="00EC5704" w:rsidRDefault="00B1208A" w:rsidP="00EC5704">
      <w:r>
        <w:t>It is</w:t>
      </w:r>
      <w:r w:rsidR="00EC5704" w:rsidRPr="00716D97">
        <w:t xml:space="preserve"> organised according to the ICH eCTD specifications and the current version of the </w:t>
      </w:r>
      <w:r w:rsidR="00A3315F">
        <w:t xml:space="preserve">Australian </w:t>
      </w:r>
      <w:r w:rsidR="00EC5704" w:rsidRPr="00716D97">
        <w:t>Module 1 specifications.</w:t>
      </w:r>
    </w:p>
    <w:p w:rsidR="00294E74" w:rsidRDefault="00294E74" w:rsidP="00EC5704">
      <w:r>
        <w:t xml:space="preserve">It is the TGA’s expectation that once a dossier has been submitted in the eCTD format all subsequent submissions </w:t>
      </w:r>
      <w:r w:rsidR="00411090">
        <w:t xml:space="preserve">for that medicine </w:t>
      </w:r>
      <w:r>
        <w:t>will also be in eCTD.</w:t>
      </w:r>
    </w:p>
    <w:p w:rsidR="00EC5704" w:rsidRDefault="00EC5704" w:rsidP="00EC5704">
      <w:pPr>
        <w:pStyle w:val="Heading4"/>
      </w:pPr>
      <w:bookmarkStart w:id="8" w:name="_Toc527966034"/>
      <w:r>
        <w:t>NeeS</w:t>
      </w:r>
      <w:bookmarkEnd w:id="8"/>
    </w:p>
    <w:p w:rsidR="00B1208A" w:rsidRDefault="00B1208A" w:rsidP="00EC5704">
      <w:r w:rsidRPr="00B1208A">
        <w:t>N</w:t>
      </w:r>
      <w:r>
        <w:t xml:space="preserve">on-eCTD </w:t>
      </w:r>
      <w:r w:rsidR="003D2E65">
        <w:t>e</w:t>
      </w:r>
      <w:r>
        <w:t xml:space="preserve">lectronic Submission </w:t>
      </w:r>
      <w:r w:rsidR="00294E74">
        <w:t xml:space="preserve">(NeeS) </w:t>
      </w:r>
      <w:r>
        <w:t xml:space="preserve">is </w:t>
      </w:r>
      <w:r w:rsidRPr="00B1208A">
        <w:t>an alternative electronic standard to eCTD</w:t>
      </w:r>
      <w:r w:rsidR="006E51E8">
        <w:t>. It is</w:t>
      </w:r>
      <w:r w:rsidRPr="00B1208A">
        <w:t xml:space="preserve"> </w:t>
      </w:r>
      <w:r w:rsidR="00EB7D00">
        <w:t xml:space="preserve">used in a limited number of countries and </w:t>
      </w:r>
      <w:r w:rsidRPr="00B1208A">
        <w:t>consist</w:t>
      </w:r>
      <w:r w:rsidR="00EB7D00">
        <w:t>s</w:t>
      </w:r>
      <w:r w:rsidRPr="00B1208A">
        <w:t xml:space="preserve"> of PDF </w:t>
      </w:r>
      <w:r w:rsidR="003D2E65">
        <w:t>f</w:t>
      </w:r>
      <w:r w:rsidRPr="00B1208A">
        <w:t>iles and</w:t>
      </w:r>
      <w:r w:rsidR="00EC31E3">
        <w:t xml:space="preserve"> a</w:t>
      </w:r>
      <w:r w:rsidRPr="00B1208A">
        <w:t xml:space="preserve"> PDF </w:t>
      </w:r>
      <w:r w:rsidR="003D2E65">
        <w:t>t</w:t>
      </w:r>
      <w:r w:rsidRPr="00B1208A">
        <w:t xml:space="preserve">able of </w:t>
      </w:r>
      <w:r w:rsidR="003D2E65">
        <w:t>c</w:t>
      </w:r>
      <w:r w:rsidRPr="00B1208A">
        <w:t>ontents linking all content for navigational purposes</w:t>
      </w:r>
      <w:r w:rsidR="00EC31E3">
        <w:t>,</w:t>
      </w:r>
      <w:r>
        <w:t xml:space="preserve"> and should be considered as a transitional stage towards the eCTD format.</w:t>
      </w:r>
    </w:p>
    <w:p w:rsidR="00EC5704" w:rsidRDefault="00EC5704" w:rsidP="00EC5704">
      <w:r>
        <w:t xml:space="preserve">NeeS differs from eCTD in that it does not contain an XML backbone or the quantity of MD5 </w:t>
      </w:r>
      <w:r w:rsidR="00EC31E3">
        <w:t>C</w:t>
      </w:r>
      <w:r>
        <w:t>hecksu</w:t>
      </w:r>
      <w:r w:rsidR="00A3315F">
        <w:t>m values as defined by the ICH. I</w:t>
      </w:r>
      <w:r>
        <w:t>t is</w:t>
      </w:r>
      <w:r w:rsidR="00EC31E3">
        <w:t>,</w:t>
      </w:r>
      <w:r>
        <w:t xml:space="preserve"> in essence, a collection of electronic files organised in folders</w:t>
      </w:r>
      <w:r w:rsidR="0089223A">
        <w:t xml:space="preserve"> and can</w:t>
      </w:r>
      <w:r w:rsidR="00B501FC">
        <w:t xml:space="preserve"> be manually generated or compiled by publishing software.</w:t>
      </w:r>
    </w:p>
    <w:p w:rsidR="009373BB" w:rsidRDefault="009373BB" w:rsidP="00EC5704">
      <w:r>
        <w:t xml:space="preserve">NeeS </w:t>
      </w:r>
      <w:r w:rsidR="00E7074B">
        <w:t>was always envisaged to be an interim format</w:t>
      </w:r>
      <w:r w:rsidR="00CD14C1">
        <w:t>,</w:t>
      </w:r>
      <w:r w:rsidR="00E7074B">
        <w:t xml:space="preserve"> intended to assist with the transition from paper to the electronic format.</w:t>
      </w:r>
    </w:p>
    <w:p w:rsidR="00EC5704" w:rsidRDefault="00EC5704" w:rsidP="00EC5704">
      <w:pPr>
        <w:pStyle w:val="Heading4"/>
      </w:pPr>
      <w:bookmarkStart w:id="9" w:name="_Toc527966035"/>
      <w:r>
        <w:t>Other formats</w:t>
      </w:r>
      <w:bookmarkEnd w:id="9"/>
    </w:p>
    <w:p w:rsidR="00515E61" w:rsidRDefault="006B028E" w:rsidP="0010466A">
      <w:r>
        <w:t>S</w:t>
      </w:r>
      <w:r w:rsidR="0046681D">
        <w:t xml:space="preserve">ome dossiers associated with prescription medicines, </w:t>
      </w:r>
      <w:r w:rsidR="005D0D7D">
        <w:t>such</w:t>
      </w:r>
      <w:r w:rsidR="0046681D">
        <w:t xml:space="preserve"> as</w:t>
      </w:r>
      <w:r w:rsidR="00F01F79">
        <w:t xml:space="preserve"> </w:t>
      </w:r>
      <w:r w:rsidR="00AC1C22">
        <w:t xml:space="preserve">Periodic Safety Update Reports </w:t>
      </w:r>
      <w:r w:rsidR="00F01F79">
        <w:t>(</w:t>
      </w:r>
      <w:r w:rsidR="0046681D">
        <w:t>PSURs</w:t>
      </w:r>
      <w:r w:rsidR="00F01F79">
        <w:t>)</w:t>
      </w:r>
      <w:r w:rsidR="0046681D">
        <w:t>, minor variations and master files</w:t>
      </w:r>
      <w:r w:rsidR="00CD14C1">
        <w:t>,</w:t>
      </w:r>
      <w:r w:rsidR="0046681D">
        <w:t xml:space="preserve"> are</w:t>
      </w:r>
      <w:r w:rsidR="00FD0030">
        <w:t xml:space="preserve"> being </w:t>
      </w:r>
      <w:r w:rsidR="00957C97">
        <w:t>submitted</w:t>
      </w:r>
      <w:r w:rsidR="0046681D">
        <w:t xml:space="preserve"> as a single </w:t>
      </w:r>
      <w:r w:rsidR="00EC31E3">
        <w:t xml:space="preserve">PDF </w:t>
      </w:r>
      <w:r w:rsidR="0046681D">
        <w:t>document rather than within the prescribed eCTD or NeeS formats.</w:t>
      </w:r>
      <w:r w:rsidR="003D2E65">
        <w:t xml:space="preserve"> </w:t>
      </w:r>
      <w:r>
        <w:t>This</w:t>
      </w:r>
      <w:r w:rsidR="003D2E65">
        <w:t xml:space="preserve"> practice is not sustainable as TGA aligns with global standards for dossier formats</w:t>
      </w:r>
      <w:r w:rsidR="00411090">
        <w:t xml:space="preserve">, and </w:t>
      </w:r>
      <w:r w:rsidR="00514D4F">
        <w:t xml:space="preserve">needs </w:t>
      </w:r>
      <w:r w:rsidR="00411090">
        <w:t xml:space="preserve">to </w:t>
      </w:r>
      <w:r w:rsidR="00547F36">
        <w:t>utilise the data for other submissions</w:t>
      </w:r>
      <w:r w:rsidR="003D2E65">
        <w:t>.</w:t>
      </w:r>
    </w:p>
    <w:p w:rsidR="00F83221" w:rsidRDefault="00F83221" w:rsidP="00F83221">
      <w:pPr>
        <w:pStyle w:val="Heading3"/>
      </w:pPr>
      <w:bookmarkStart w:id="10" w:name="_Toc527966036"/>
      <w:r>
        <w:t>Benefits of eCTD</w:t>
      </w:r>
      <w:bookmarkEnd w:id="10"/>
    </w:p>
    <w:p w:rsidR="005D0D7D" w:rsidRDefault="00957C97" w:rsidP="00234E88">
      <w:r w:rsidRPr="003E4B65">
        <w:t>eCTD was introduced w</w:t>
      </w:r>
      <w:r w:rsidR="00015B62" w:rsidRPr="003E4B65">
        <w:t>ithin Australia in 2015</w:t>
      </w:r>
      <w:r w:rsidRPr="003E4B65">
        <w:t>, however it has been internationally utilised</w:t>
      </w:r>
      <w:r w:rsidR="005D0D7D" w:rsidRPr="003E4B65">
        <w:t xml:space="preserve"> since 2003, following sign</w:t>
      </w:r>
      <w:r w:rsidR="00CD14C1">
        <w:t>-</w:t>
      </w:r>
      <w:r w:rsidR="005D0D7D" w:rsidRPr="003E4B65">
        <w:t xml:space="preserve">off by the </w:t>
      </w:r>
      <w:r w:rsidR="00EC31E3" w:rsidRPr="003E4B65">
        <w:t>ICH</w:t>
      </w:r>
      <w:r w:rsidR="00015B62" w:rsidRPr="003E4B65">
        <w:t xml:space="preserve"> Steering Committee with the </w:t>
      </w:r>
      <w:r w:rsidR="005D0D7D" w:rsidRPr="003E4B65">
        <w:t xml:space="preserve">purpose of </w:t>
      </w:r>
      <w:r w:rsidR="00015B62" w:rsidRPr="003E4B65">
        <w:t xml:space="preserve">standardising </w:t>
      </w:r>
      <w:r w:rsidR="00015B62" w:rsidRPr="003E4B65">
        <w:lastRenderedPageBreak/>
        <w:t>dossier format</w:t>
      </w:r>
      <w:r w:rsidR="00CD14C1">
        <w:t>s</w:t>
      </w:r>
      <w:r w:rsidR="00015B62" w:rsidRPr="003E4B65">
        <w:t xml:space="preserve"> globally and making </w:t>
      </w:r>
      <w:r w:rsidR="005D0D7D" w:rsidRPr="003E4B65">
        <w:t>the process more efficie</w:t>
      </w:r>
      <w:r w:rsidR="00BC67EE" w:rsidRPr="003E4B65">
        <w:t xml:space="preserve">nt for sponsors and regulators. </w:t>
      </w:r>
      <w:r w:rsidR="0043024F" w:rsidRPr="003E4B65">
        <w:t>Globally</w:t>
      </w:r>
      <w:r w:rsidR="00015B62" w:rsidRPr="003E4B65">
        <w:t xml:space="preserve"> regulators are dealing with i</w:t>
      </w:r>
      <w:r w:rsidR="005D0D7D" w:rsidRPr="003E4B65">
        <w:t xml:space="preserve">ncreasing </w:t>
      </w:r>
      <w:r w:rsidR="007437A3" w:rsidRPr="003E4B65">
        <w:t xml:space="preserve">complexity and </w:t>
      </w:r>
      <w:r w:rsidR="005D0D7D" w:rsidRPr="003E4B65">
        <w:t>volume</w:t>
      </w:r>
      <w:r w:rsidR="00015B62" w:rsidRPr="003E4B65">
        <w:t>s</w:t>
      </w:r>
      <w:r w:rsidR="005D0D7D" w:rsidRPr="003E4B65">
        <w:t xml:space="preserve"> of applications</w:t>
      </w:r>
      <w:r w:rsidR="006E51E8">
        <w:t>. A standardised dossier format will assist with managing the challenges associated with these complex applications.</w:t>
      </w:r>
      <w:r w:rsidR="005D0D7D" w:rsidRPr="003E4B65">
        <w:t xml:space="preserve"> </w:t>
      </w:r>
      <w:r w:rsidR="00E7074B" w:rsidRPr="003E4B65">
        <w:t>eCTD provides an opportunity to do this in collaboration with other regulators</w:t>
      </w:r>
      <w:r w:rsidR="005D0D7D" w:rsidRPr="003E4B65">
        <w:t>.</w:t>
      </w:r>
    </w:p>
    <w:p w:rsidR="009A765B" w:rsidRDefault="003E0B2F" w:rsidP="002A7D0E">
      <w:pPr>
        <w:rPr>
          <w:i/>
        </w:rPr>
      </w:pPr>
      <w:r>
        <w:t xml:space="preserve">A </w:t>
      </w:r>
      <w:r w:rsidR="00547F36">
        <w:t xml:space="preserve">recommended reading is a </w:t>
      </w:r>
      <w:r>
        <w:t xml:space="preserve">2016 eCTD review article </w:t>
      </w:r>
      <w:r w:rsidR="00547F36">
        <w:t xml:space="preserve">that </w:t>
      </w:r>
      <w:r w:rsidR="005D0D7D">
        <w:t xml:space="preserve">states </w:t>
      </w:r>
      <w:r w:rsidR="005D0D7D">
        <w:rPr>
          <w:i/>
        </w:rPr>
        <w:t xml:space="preserve">Quality eCTD Submissions can save organisation money, increase the accuracy of the submission and decrease review times, giving your </w:t>
      </w:r>
      <w:r>
        <w:rPr>
          <w:i/>
        </w:rPr>
        <w:t>company a competitive advantage</w:t>
      </w:r>
      <w:r>
        <w:rPr>
          <w:rStyle w:val="FootnoteReference"/>
        </w:rPr>
        <w:footnoteReference w:id="3"/>
      </w:r>
      <w:r>
        <w:rPr>
          <w:i/>
        </w:rPr>
        <w:t>.</w:t>
      </w:r>
    </w:p>
    <w:p w:rsidR="007A0573" w:rsidRDefault="00B95ED9" w:rsidP="002A7D0E">
      <w:r>
        <w:t xml:space="preserve">These </w:t>
      </w:r>
      <w:r w:rsidR="00547F36">
        <w:t>benefits are stated to be</w:t>
      </w:r>
      <w:r>
        <w:t>:</w:t>
      </w:r>
    </w:p>
    <w:p w:rsidR="00C9707B" w:rsidRDefault="007A0573" w:rsidP="00234E88">
      <w:pPr>
        <w:pStyle w:val="ListBullet"/>
      </w:pPr>
      <w:r>
        <w:t>storing all</w:t>
      </w:r>
      <w:r w:rsidR="00C9707B">
        <w:t xml:space="preserve"> data re</w:t>
      </w:r>
      <w:r w:rsidR="006E51E8">
        <w:t>lating to a medicine</w:t>
      </w:r>
      <w:r w:rsidR="00C9707B">
        <w:t xml:space="preserve"> in a single electronic location, reducing storage cost and time</w:t>
      </w:r>
      <w:r w:rsidR="0089223A">
        <w:t xml:space="preserve"> spent</w:t>
      </w:r>
      <w:r w:rsidR="00C9707B">
        <w:t xml:space="preserve"> locating product data </w:t>
      </w:r>
      <w:r w:rsidR="007B70F4">
        <w:t>for older variations</w:t>
      </w:r>
      <w:r w:rsidR="00B95ED9">
        <w:t>;</w:t>
      </w:r>
    </w:p>
    <w:p w:rsidR="007A0573" w:rsidRDefault="00B95ED9" w:rsidP="00234E88">
      <w:pPr>
        <w:pStyle w:val="ListBullet"/>
      </w:pPr>
      <w:r>
        <w:t>use</w:t>
      </w:r>
      <w:r w:rsidR="007A0573">
        <w:t xml:space="preserve"> of enhanced e</w:t>
      </w:r>
      <w:r>
        <w:t>lectronic dossier management too</w:t>
      </w:r>
      <w:r w:rsidR="006E51E8">
        <w:t>ls by regulator</w:t>
      </w:r>
      <w:r w:rsidR="007A0573">
        <w:t xml:space="preserve">s to </w:t>
      </w:r>
      <w:r>
        <w:t>search and group submissions; and</w:t>
      </w:r>
    </w:p>
    <w:p w:rsidR="00B95ED9" w:rsidRPr="00C9707B" w:rsidRDefault="00B95ED9" w:rsidP="00234E88">
      <w:pPr>
        <w:pStyle w:val="ListBullet"/>
      </w:pPr>
      <w:r>
        <w:t>globally streamlining dossier requirements and workflows due to consistencies across regulators</w:t>
      </w:r>
      <w:r>
        <w:rPr>
          <w:vertAlign w:val="superscript"/>
        </w:rPr>
        <w:t>3</w:t>
      </w:r>
      <w:r>
        <w:t>.</w:t>
      </w:r>
    </w:p>
    <w:p w:rsidR="001A2DA7" w:rsidRDefault="00135F2C" w:rsidP="002A5464">
      <w:r>
        <w:t xml:space="preserve">In 2010 a large survey viewed by 963 </w:t>
      </w:r>
      <w:r w:rsidR="006E51E8">
        <w:t>people was undertaken to</w:t>
      </w:r>
      <w:r>
        <w:t xml:space="preserve"> quantify the advantages and disadvantages of eCTD compared to paper-based dossiers. </w:t>
      </w:r>
      <w:r w:rsidR="006E51E8">
        <w:t>This study</w:t>
      </w:r>
      <w:r w:rsidR="00CD14C1">
        <w:t xml:space="preserve"> </w:t>
      </w:r>
      <w:r w:rsidR="005D0D7D">
        <w:t xml:space="preserve">demonstrated </w:t>
      </w:r>
      <w:r w:rsidR="009A765B">
        <w:t xml:space="preserve">that </w:t>
      </w:r>
      <w:r w:rsidR="00937488">
        <w:t xml:space="preserve">although </w:t>
      </w:r>
      <w:r w:rsidR="009A765B">
        <w:t xml:space="preserve">there </w:t>
      </w:r>
      <w:r w:rsidR="00CD14C1">
        <w:t>we</w:t>
      </w:r>
      <w:r w:rsidR="009A765B">
        <w:t xml:space="preserve">re upfront outlays and </w:t>
      </w:r>
      <w:r w:rsidR="006E51E8">
        <w:t>difficulties</w:t>
      </w:r>
      <w:r w:rsidR="009A765B">
        <w:t xml:space="preserve"> </w:t>
      </w:r>
      <w:r w:rsidR="00937488">
        <w:t xml:space="preserve">when implementing eCTD, </w:t>
      </w:r>
      <w:r w:rsidR="009A765B">
        <w:t>overall the benefits outweigh</w:t>
      </w:r>
      <w:r w:rsidR="00CD14C1">
        <w:t>ed</w:t>
      </w:r>
      <w:r w:rsidR="00937488">
        <w:t xml:space="preserve"> the disadvantages.</w:t>
      </w:r>
      <w:r>
        <w:t xml:space="preserve"> </w:t>
      </w:r>
      <w:r w:rsidR="006E51E8">
        <w:t>For instance,</w:t>
      </w:r>
      <w:r>
        <w:t xml:space="preserve"> there was a reduction in costs (when compared to the considerable paper dossier related costs) and substantial </w:t>
      </w:r>
      <w:r w:rsidR="001A2DA7">
        <w:t xml:space="preserve">dossier compilation </w:t>
      </w:r>
      <w:r>
        <w:t>time saving</w:t>
      </w:r>
      <w:r w:rsidR="00B95ED9">
        <w:t>s</w:t>
      </w:r>
      <w:r>
        <w:t xml:space="preserve"> </w:t>
      </w:r>
      <w:r w:rsidR="0089223A">
        <w:t>once staff were</w:t>
      </w:r>
      <w:r>
        <w:t xml:space="preserve"> adequately trained</w:t>
      </w:r>
      <w:r w:rsidR="001A2DA7">
        <w:rPr>
          <w:vertAlign w:val="superscript"/>
        </w:rPr>
        <w:t>4</w:t>
      </w:r>
      <w:r>
        <w:t>.</w:t>
      </w:r>
    </w:p>
    <w:p w:rsidR="005D0D7D" w:rsidRDefault="00135F2C" w:rsidP="002A5464">
      <w:r>
        <w:t xml:space="preserve">The inherit advantages of the eCTD software were also </w:t>
      </w:r>
      <w:r w:rsidR="00184DBB">
        <w:t xml:space="preserve">cited, </w:t>
      </w:r>
      <w:r w:rsidR="00EC31E3" w:rsidRPr="005E2D89">
        <w:t>includ</w:t>
      </w:r>
      <w:r w:rsidR="00184DBB">
        <w:t>ing</w:t>
      </w:r>
      <w:r w:rsidR="00937488" w:rsidRPr="005E2D89">
        <w:t xml:space="preserve"> better navigation and review, searchable </w:t>
      </w:r>
      <w:r w:rsidR="00383DB1" w:rsidRPr="005E2D89">
        <w:t xml:space="preserve">and reusable </w:t>
      </w:r>
      <w:r w:rsidR="00937488" w:rsidRPr="005E2D89">
        <w:t>content</w:t>
      </w:r>
      <w:r w:rsidR="00383DB1" w:rsidRPr="00321FDD">
        <w:t>,</w:t>
      </w:r>
      <w:r w:rsidR="00937488" w:rsidRPr="005E2D89">
        <w:t xml:space="preserve"> and better lifecycle suppo</w:t>
      </w:r>
      <w:r w:rsidR="00BC67EE" w:rsidRPr="005E2D89">
        <w:t>rt</w:t>
      </w:r>
      <w:r w:rsidR="00BC67EE">
        <w:t xml:space="preserve"> </w:t>
      </w:r>
      <w:r w:rsidR="0044724F">
        <w:t xml:space="preserve">as </w:t>
      </w:r>
      <w:r w:rsidR="00184DBB">
        <w:t>stated</w:t>
      </w:r>
      <w:r w:rsidR="00BC64B9">
        <w:t xml:space="preserve"> by users</w:t>
      </w:r>
      <w:r w:rsidR="00BC64B9">
        <w:rPr>
          <w:rStyle w:val="FootnoteReference"/>
        </w:rPr>
        <w:footnoteReference w:id="4"/>
      </w:r>
      <w:r w:rsidR="009A765B">
        <w:t>.</w:t>
      </w:r>
    </w:p>
    <w:p w:rsidR="0089223A" w:rsidRDefault="0089223A" w:rsidP="002A5464">
      <w:r>
        <w:t>Overall the literature</w:t>
      </w:r>
      <w:r w:rsidR="001A2DA7">
        <w:t xml:space="preserve"> is supportive of the eCTD </w:t>
      </w:r>
      <w:r w:rsidR="00514D4F">
        <w:t>format;</w:t>
      </w:r>
      <w:r w:rsidR="001A2DA7">
        <w:t xml:space="preserve"> however </w:t>
      </w:r>
      <w:r w:rsidR="00547F36">
        <w:t xml:space="preserve">it </w:t>
      </w:r>
      <w:r w:rsidR="001A2DA7">
        <w:t>acknowledges that</w:t>
      </w:r>
      <w:r>
        <w:t xml:space="preserve"> appropriate planning, preparation and a clear knowledge of the regulatory requirements and the eCTD specifications are important elements in obtaining the benefits of eCTD.</w:t>
      </w:r>
    </w:p>
    <w:p w:rsidR="00A10B8E" w:rsidRDefault="00A10B8E" w:rsidP="00A10B8E">
      <w:pPr>
        <w:pStyle w:val="Heading4"/>
      </w:pPr>
      <w:bookmarkStart w:id="11" w:name="_Toc527966037"/>
      <w:r>
        <w:t>Format functionality</w:t>
      </w:r>
      <w:bookmarkEnd w:id="11"/>
    </w:p>
    <w:p w:rsidR="002A7D0E" w:rsidRDefault="00E7074B" w:rsidP="002A5464">
      <w:r>
        <w:t xml:space="preserve">eCTD and NeeS are both electronic formats that use the CTD structure, however </w:t>
      </w:r>
      <w:r w:rsidR="002A7D0E">
        <w:t xml:space="preserve">eCTD offers enhanced functionality </w:t>
      </w:r>
      <w:r w:rsidR="00A10B8E">
        <w:t xml:space="preserve">over </w:t>
      </w:r>
      <w:r w:rsidR="0044724F">
        <w:t>NeeS</w:t>
      </w:r>
      <w:r w:rsidR="00A10B8E">
        <w:t xml:space="preserve"> </w:t>
      </w:r>
      <w:r w:rsidR="002A7D0E">
        <w:t>including</w:t>
      </w:r>
      <w:r w:rsidR="00A10B8E">
        <w:t>:</w:t>
      </w:r>
    </w:p>
    <w:p w:rsidR="002A7D0E" w:rsidRDefault="002A7D0E" w:rsidP="002A5464">
      <w:pPr>
        <w:pStyle w:val="ListBullet"/>
      </w:pPr>
      <w:r w:rsidRPr="005E2D89">
        <w:t>lifecycle</w:t>
      </w:r>
      <w:r>
        <w:t xml:space="preserve"> management</w:t>
      </w:r>
      <w:r w:rsidR="005B52CA">
        <w:t xml:space="preserve"> (</w:t>
      </w:r>
      <w:r w:rsidR="005B52CA" w:rsidRPr="002A5464">
        <w:t>history</w:t>
      </w:r>
      <w:r w:rsidR="005B52CA">
        <w:t xml:space="preserve"> of changes)</w:t>
      </w:r>
      <w:r w:rsidR="001A2DA7">
        <w:t>;</w:t>
      </w:r>
    </w:p>
    <w:p w:rsidR="002A7D0E" w:rsidRDefault="002A7D0E" w:rsidP="002A7D0E">
      <w:pPr>
        <w:pStyle w:val="ListBullet"/>
      </w:pPr>
      <w:r>
        <w:t>reusing of files</w:t>
      </w:r>
      <w:r w:rsidR="001A2DA7">
        <w:t>; and</w:t>
      </w:r>
    </w:p>
    <w:p w:rsidR="002A7D0E" w:rsidRDefault="002A7D0E" w:rsidP="002A7D0E">
      <w:pPr>
        <w:pStyle w:val="ListBullet"/>
      </w:pPr>
      <w:r>
        <w:t>cross-referenc</w:t>
      </w:r>
      <w:r w:rsidR="00547F36">
        <w:t>ing data</w:t>
      </w:r>
      <w:r>
        <w:t>.</w:t>
      </w:r>
    </w:p>
    <w:p w:rsidR="006B1698" w:rsidRDefault="006B1698" w:rsidP="002A5464">
      <w:r>
        <w:t>This functionality assists with the efficient processing and timely evaluation of submissions.</w:t>
      </w:r>
    </w:p>
    <w:p w:rsidR="005B52CA" w:rsidRDefault="005B52CA" w:rsidP="00B0123E">
      <w:r>
        <w:t>On</w:t>
      </w:r>
      <w:r w:rsidR="004B6E0C">
        <w:t xml:space="preserve"> </w:t>
      </w:r>
      <w:r>
        <w:t xml:space="preserve">a weekly basis the TGA handles hundreds of </w:t>
      </w:r>
      <w:r w:rsidR="001A2DA7">
        <w:t>submissions</w:t>
      </w:r>
      <w:r>
        <w:t xml:space="preserve"> and a well-structured eCTD dossier </w:t>
      </w:r>
      <w:r w:rsidR="0089223A">
        <w:t>which includes</w:t>
      </w:r>
      <w:r>
        <w:t xml:space="preserve"> lifecycle management can streamline the </w:t>
      </w:r>
      <w:r w:rsidR="007437A3">
        <w:t xml:space="preserve">administrative </w:t>
      </w:r>
      <w:r>
        <w:t xml:space="preserve">processing and </w:t>
      </w:r>
      <w:r>
        <w:lastRenderedPageBreak/>
        <w:t xml:space="preserve">evaluation of the dossier. </w:t>
      </w:r>
      <w:r w:rsidR="004B6E0C">
        <w:t>The enhanced functionality and navigation ability of eCTD is particularly beneficial for the evaluation of large and complex dossiers.</w:t>
      </w:r>
      <w:r w:rsidR="00C83997">
        <w:t xml:space="preserve"> </w:t>
      </w:r>
      <w:r w:rsidR="0089223A">
        <w:t xml:space="preserve">This makes </w:t>
      </w:r>
      <w:r w:rsidR="00C83997">
        <w:t xml:space="preserve">eCTD essential </w:t>
      </w:r>
      <w:r w:rsidR="00CD14C1">
        <w:t xml:space="preserve">for </w:t>
      </w:r>
      <w:r w:rsidR="0089223A">
        <w:t>us</w:t>
      </w:r>
      <w:r w:rsidR="00C83997">
        <w:t xml:space="preserve"> to</w:t>
      </w:r>
      <w:r w:rsidR="00CD14C1">
        <w:t xml:space="preserve"> be able to</w:t>
      </w:r>
      <w:r w:rsidR="00C83997">
        <w:t xml:space="preserve"> </w:t>
      </w:r>
      <w:r w:rsidR="001A2DA7">
        <w:t xml:space="preserve">appropriately manage </w:t>
      </w:r>
      <w:r w:rsidR="00547F36">
        <w:t xml:space="preserve">large and/or </w:t>
      </w:r>
      <w:r w:rsidR="00C83997">
        <w:t>concur</w:t>
      </w:r>
      <w:r w:rsidR="00C95B13">
        <w:t>rent submissions for a medicine</w:t>
      </w:r>
      <w:r w:rsidR="00C83997">
        <w:t>, particularly where these submissions are evaluated by more than one branch.</w:t>
      </w:r>
    </w:p>
    <w:p w:rsidR="0089223A" w:rsidRDefault="0089223A" w:rsidP="00B0123E">
      <w:r>
        <w:t>Both NeeS and eCTD are electronically validated prior to being included on the TGA system.</w:t>
      </w:r>
      <w:r w:rsidR="007437A3">
        <w:t xml:space="preserve"> </w:t>
      </w:r>
      <w:r>
        <w:t xml:space="preserve">Our </w:t>
      </w:r>
      <w:r w:rsidR="007437A3">
        <w:t>d</w:t>
      </w:r>
      <w:r w:rsidR="006527B8">
        <w:t>ata de</w:t>
      </w:r>
      <w:r w:rsidR="00B17480">
        <w:t>monstrates</w:t>
      </w:r>
      <w:r w:rsidR="006527B8">
        <w:t xml:space="preserve"> that the administrative burden</w:t>
      </w:r>
      <w:r w:rsidR="00C83997">
        <w:t xml:space="preserve"> of </w:t>
      </w:r>
      <w:r>
        <w:t>this receipt and validation process</w:t>
      </w:r>
      <w:r w:rsidR="006527B8">
        <w:t xml:space="preserve"> is</w:t>
      </w:r>
      <w:r w:rsidR="00C83997">
        <w:t xml:space="preserve"> </w:t>
      </w:r>
      <w:r w:rsidR="006527B8">
        <w:t xml:space="preserve">greatly reduced when </w:t>
      </w:r>
      <w:r w:rsidR="00CD14C1">
        <w:t xml:space="preserve">using eCTD as </w:t>
      </w:r>
      <w:r w:rsidR="00B0123E">
        <w:t>compared to NeeS.</w:t>
      </w:r>
    </w:p>
    <w:p w:rsidR="00F55E72" w:rsidRDefault="00F55E72" w:rsidP="00B0123E">
      <w:r>
        <w:t>Over a period of 4</w:t>
      </w:r>
      <w:r w:rsidR="006527B8" w:rsidRPr="00F55E72">
        <w:t xml:space="preserve"> weeks </w:t>
      </w:r>
      <w:r>
        <w:t xml:space="preserve">(May 2018) 27% </w:t>
      </w:r>
      <w:r w:rsidR="0075283C">
        <w:t xml:space="preserve">of </w:t>
      </w:r>
      <w:r>
        <w:t xml:space="preserve">NeeS </w:t>
      </w:r>
      <w:r w:rsidR="006527B8" w:rsidRPr="00F55E72">
        <w:t xml:space="preserve">failed </w:t>
      </w:r>
      <w:r w:rsidR="0089223A">
        <w:t xml:space="preserve">electronic </w:t>
      </w:r>
      <w:r w:rsidR="006527B8" w:rsidRPr="00F55E72">
        <w:t>validation</w:t>
      </w:r>
      <w:r w:rsidR="00CD14C1">
        <w:t>,</w:t>
      </w:r>
      <w:r w:rsidR="006527B8">
        <w:t xml:space="preserve"> resulting in </w:t>
      </w:r>
      <w:r w:rsidR="007437A3">
        <w:t>additional</w:t>
      </w:r>
      <w:r w:rsidR="006527B8">
        <w:t xml:space="preserve"> administrative work and delays to evaluati</w:t>
      </w:r>
      <w:r w:rsidR="007437A3">
        <w:t>on timeframes</w:t>
      </w:r>
      <w:r w:rsidR="00CD14C1">
        <w:t>,</w:t>
      </w:r>
      <w:r w:rsidR="007437A3">
        <w:t xml:space="preserve"> </w:t>
      </w:r>
      <w:r w:rsidR="006527B8">
        <w:t xml:space="preserve">affecting both </w:t>
      </w:r>
      <w:r w:rsidR="00383DB1">
        <w:t xml:space="preserve">the </w:t>
      </w:r>
      <w:r w:rsidR="006527B8">
        <w:t xml:space="preserve">TGA and </w:t>
      </w:r>
      <w:r w:rsidR="007437A3">
        <w:t>the sponsor</w:t>
      </w:r>
      <w:r w:rsidR="00CD14C1">
        <w:t>s involved</w:t>
      </w:r>
      <w:r w:rsidR="006527B8">
        <w:t>.</w:t>
      </w:r>
      <w:r w:rsidR="0010490A">
        <w:t xml:space="preserve"> </w:t>
      </w:r>
      <w:r w:rsidR="007437A3">
        <w:t>In the same time period</w:t>
      </w:r>
      <w:r w:rsidR="00CD14C1">
        <w:t>,</w:t>
      </w:r>
      <w:r w:rsidR="007437A3">
        <w:t xml:space="preserve"> only 2% of eCTD</w:t>
      </w:r>
      <w:r w:rsidR="00547F36">
        <w:t xml:space="preserve"> files</w:t>
      </w:r>
      <w:r w:rsidR="007437A3">
        <w:t xml:space="preserve"> failed validation.</w:t>
      </w:r>
    </w:p>
    <w:tbl>
      <w:tblPr>
        <w:tblStyle w:val="TableTGAblue"/>
        <w:tblW w:w="0" w:type="auto"/>
        <w:tblLook w:val="04A0" w:firstRow="1" w:lastRow="0" w:firstColumn="1" w:lastColumn="0" w:noHBand="0" w:noVBand="1"/>
      </w:tblPr>
      <w:tblGrid>
        <w:gridCol w:w="1336"/>
        <w:gridCol w:w="899"/>
        <w:gridCol w:w="992"/>
        <w:gridCol w:w="992"/>
      </w:tblGrid>
      <w:tr w:rsidR="00446F43" w:rsidTr="00446F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6" w:type="dxa"/>
          </w:tcPr>
          <w:p w:rsidR="00446F43" w:rsidRDefault="00446F43" w:rsidP="00B0123E">
            <w:r>
              <w:t>May 2018</w:t>
            </w:r>
          </w:p>
        </w:tc>
        <w:tc>
          <w:tcPr>
            <w:tcW w:w="899" w:type="dxa"/>
          </w:tcPr>
          <w:p w:rsidR="00446F43" w:rsidRDefault="00446F43" w:rsidP="00B0123E">
            <w:pPr>
              <w:cnfStyle w:val="100000000000" w:firstRow="1" w:lastRow="0" w:firstColumn="0" w:lastColumn="0" w:oddVBand="0" w:evenVBand="0" w:oddHBand="0" w:evenHBand="0" w:firstRowFirstColumn="0" w:firstRowLastColumn="0" w:lastRowFirstColumn="0" w:lastRowLastColumn="0"/>
            </w:pPr>
            <w:r>
              <w:t>Pass</w:t>
            </w:r>
          </w:p>
        </w:tc>
        <w:tc>
          <w:tcPr>
            <w:tcW w:w="992" w:type="dxa"/>
          </w:tcPr>
          <w:p w:rsidR="00446F43" w:rsidRDefault="00446F43" w:rsidP="00B0123E">
            <w:pPr>
              <w:cnfStyle w:val="100000000000" w:firstRow="1" w:lastRow="0" w:firstColumn="0" w:lastColumn="0" w:oddVBand="0" w:evenVBand="0" w:oddHBand="0" w:evenHBand="0" w:firstRowFirstColumn="0" w:firstRowLastColumn="0" w:lastRowFirstColumn="0" w:lastRowLastColumn="0"/>
            </w:pPr>
            <w:r>
              <w:t>Fail</w:t>
            </w:r>
          </w:p>
        </w:tc>
        <w:tc>
          <w:tcPr>
            <w:tcW w:w="992" w:type="dxa"/>
          </w:tcPr>
          <w:p w:rsidR="00446F43" w:rsidRDefault="00446F43" w:rsidP="00B0123E">
            <w:pPr>
              <w:cnfStyle w:val="100000000000" w:firstRow="1" w:lastRow="0" w:firstColumn="0" w:lastColumn="0" w:oddVBand="0" w:evenVBand="0" w:oddHBand="0" w:evenHBand="0" w:firstRowFirstColumn="0" w:firstRowLastColumn="0" w:lastRowFirstColumn="0" w:lastRowLastColumn="0"/>
            </w:pPr>
            <w:r>
              <w:t>Total</w:t>
            </w:r>
          </w:p>
        </w:tc>
      </w:tr>
      <w:tr w:rsidR="00446F43" w:rsidTr="00446F43">
        <w:tc>
          <w:tcPr>
            <w:cnfStyle w:val="001000000000" w:firstRow="0" w:lastRow="0" w:firstColumn="1" w:lastColumn="0" w:oddVBand="0" w:evenVBand="0" w:oddHBand="0" w:evenHBand="0" w:firstRowFirstColumn="0" w:firstRowLastColumn="0" w:lastRowFirstColumn="0" w:lastRowLastColumn="0"/>
            <w:tcW w:w="1336" w:type="dxa"/>
          </w:tcPr>
          <w:p w:rsidR="00446F43" w:rsidRDefault="00446F43" w:rsidP="00B0123E">
            <w:r w:rsidRPr="00446F43">
              <w:rPr>
                <w:b/>
              </w:rPr>
              <w:t>eCTD</w:t>
            </w:r>
          </w:p>
        </w:tc>
        <w:tc>
          <w:tcPr>
            <w:tcW w:w="899" w:type="dxa"/>
          </w:tcPr>
          <w:p w:rsidR="00446F43" w:rsidRDefault="00446F43" w:rsidP="00B0123E">
            <w:pPr>
              <w:cnfStyle w:val="000000000000" w:firstRow="0" w:lastRow="0" w:firstColumn="0" w:lastColumn="0" w:oddVBand="0" w:evenVBand="0" w:oddHBand="0" w:evenHBand="0" w:firstRowFirstColumn="0" w:firstRowLastColumn="0" w:lastRowFirstColumn="0" w:lastRowLastColumn="0"/>
            </w:pPr>
            <w:r>
              <w:t>482</w:t>
            </w:r>
          </w:p>
        </w:tc>
        <w:tc>
          <w:tcPr>
            <w:tcW w:w="992" w:type="dxa"/>
          </w:tcPr>
          <w:p w:rsidR="00446F43" w:rsidRDefault="00446F43" w:rsidP="00B0123E">
            <w:pPr>
              <w:cnfStyle w:val="000000000000" w:firstRow="0" w:lastRow="0" w:firstColumn="0" w:lastColumn="0" w:oddVBand="0" w:evenVBand="0" w:oddHBand="0" w:evenHBand="0" w:firstRowFirstColumn="0" w:firstRowLastColumn="0" w:lastRowFirstColumn="0" w:lastRowLastColumn="0"/>
            </w:pPr>
            <w:r>
              <w:t>10</w:t>
            </w:r>
          </w:p>
        </w:tc>
        <w:tc>
          <w:tcPr>
            <w:tcW w:w="992" w:type="dxa"/>
          </w:tcPr>
          <w:p w:rsidR="00446F43" w:rsidRDefault="00446F43" w:rsidP="00B0123E">
            <w:pPr>
              <w:cnfStyle w:val="000000000000" w:firstRow="0" w:lastRow="0" w:firstColumn="0" w:lastColumn="0" w:oddVBand="0" w:evenVBand="0" w:oddHBand="0" w:evenHBand="0" w:firstRowFirstColumn="0" w:firstRowLastColumn="0" w:lastRowFirstColumn="0" w:lastRowLastColumn="0"/>
            </w:pPr>
            <w:r>
              <w:t>492</w:t>
            </w:r>
          </w:p>
        </w:tc>
      </w:tr>
      <w:tr w:rsidR="00446F43" w:rsidTr="00446F43">
        <w:tc>
          <w:tcPr>
            <w:cnfStyle w:val="001000000000" w:firstRow="0" w:lastRow="0" w:firstColumn="1" w:lastColumn="0" w:oddVBand="0" w:evenVBand="0" w:oddHBand="0" w:evenHBand="0" w:firstRowFirstColumn="0" w:firstRowLastColumn="0" w:lastRowFirstColumn="0" w:lastRowLastColumn="0"/>
            <w:tcW w:w="1336" w:type="dxa"/>
          </w:tcPr>
          <w:p w:rsidR="00446F43" w:rsidRDefault="00446F43" w:rsidP="00B0123E">
            <w:r w:rsidRPr="00446F43">
              <w:rPr>
                <w:b/>
              </w:rPr>
              <w:t>NeeS</w:t>
            </w:r>
          </w:p>
        </w:tc>
        <w:tc>
          <w:tcPr>
            <w:tcW w:w="899" w:type="dxa"/>
          </w:tcPr>
          <w:p w:rsidR="00446F43" w:rsidRDefault="00446F43" w:rsidP="00B0123E">
            <w:pPr>
              <w:cnfStyle w:val="000000000000" w:firstRow="0" w:lastRow="0" w:firstColumn="0" w:lastColumn="0" w:oddVBand="0" w:evenVBand="0" w:oddHBand="0" w:evenHBand="0" w:firstRowFirstColumn="0" w:firstRowLastColumn="0" w:lastRowFirstColumn="0" w:lastRowLastColumn="0"/>
            </w:pPr>
            <w:r>
              <w:t>284</w:t>
            </w:r>
          </w:p>
        </w:tc>
        <w:tc>
          <w:tcPr>
            <w:tcW w:w="992" w:type="dxa"/>
          </w:tcPr>
          <w:p w:rsidR="00446F43" w:rsidRDefault="00446F43" w:rsidP="00B0123E">
            <w:pPr>
              <w:cnfStyle w:val="000000000000" w:firstRow="0" w:lastRow="0" w:firstColumn="0" w:lastColumn="0" w:oddVBand="0" w:evenVBand="0" w:oddHBand="0" w:evenHBand="0" w:firstRowFirstColumn="0" w:firstRowLastColumn="0" w:lastRowFirstColumn="0" w:lastRowLastColumn="0"/>
            </w:pPr>
            <w:r>
              <w:t>107</w:t>
            </w:r>
          </w:p>
        </w:tc>
        <w:tc>
          <w:tcPr>
            <w:tcW w:w="992" w:type="dxa"/>
          </w:tcPr>
          <w:p w:rsidR="00446F43" w:rsidRDefault="00446F43" w:rsidP="00B0123E">
            <w:pPr>
              <w:cnfStyle w:val="000000000000" w:firstRow="0" w:lastRow="0" w:firstColumn="0" w:lastColumn="0" w:oddVBand="0" w:evenVBand="0" w:oddHBand="0" w:evenHBand="0" w:firstRowFirstColumn="0" w:firstRowLastColumn="0" w:lastRowFirstColumn="0" w:lastRowLastColumn="0"/>
            </w:pPr>
            <w:r>
              <w:t>391</w:t>
            </w:r>
          </w:p>
        </w:tc>
      </w:tr>
    </w:tbl>
    <w:p w:rsidR="001A2DA7" w:rsidRDefault="003F5C57" w:rsidP="00B0123E">
      <w:r>
        <w:t>As the data above indicates,</w:t>
      </w:r>
      <w:r w:rsidR="007437A3">
        <w:t xml:space="preserve"> we experience significantly more validation errors</w:t>
      </w:r>
      <w:r w:rsidR="00B501FC">
        <w:t xml:space="preserve"> with NeeS compared to eCTD. This may be due to the fact that some of the validation rules are difficult to manually adhere to</w:t>
      </w:r>
      <w:r w:rsidR="00547F36">
        <w:t xml:space="preserve"> for NeeS</w:t>
      </w:r>
      <w:r w:rsidR="00B501FC">
        <w:t>, for example maximum lengths for filenames.</w:t>
      </w:r>
    </w:p>
    <w:p w:rsidR="00C83997" w:rsidRDefault="001A2DA7" w:rsidP="00B0123E">
      <w:r>
        <w:t>T</w:t>
      </w:r>
      <w:r w:rsidR="007F4140">
        <w:t>he enhanced validation criteria supported by compilation and publication software ensures consistent structure and content of eCTD dossiers.</w:t>
      </w:r>
      <w:r>
        <w:t xml:space="preserve"> </w:t>
      </w:r>
      <w:r w:rsidR="007F4140">
        <w:t>In addition, f</w:t>
      </w:r>
      <w:r w:rsidR="00C83997">
        <w:t>uture automation of receipt and validation will be further developed for the eCTD format</w:t>
      </w:r>
      <w:r w:rsidR="00547F36">
        <w:t xml:space="preserve"> by the TGA</w:t>
      </w:r>
      <w:r w:rsidR="00C83997">
        <w:t>, providing enhanced cert</w:t>
      </w:r>
      <w:r w:rsidR="0044724F">
        <w:t>ainty of receipt</w:t>
      </w:r>
      <w:r w:rsidR="00C83997">
        <w:t xml:space="preserve"> and uploading.</w:t>
      </w:r>
    </w:p>
    <w:p w:rsidR="00A10B8E" w:rsidRDefault="00A10B8E" w:rsidP="00B0123E">
      <w:pPr>
        <w:pStyle w:val="Heading4"/>
      </w:pPr>
      <w:bookmarkStart w:id="12" w:name="_Toc527966038"/>
      <w:r>
        <w:t xml:space="preserve">Standardised </w:t>
      </w:r>
      <w:r w:rsidRPr="00B0123E">
        <w:t>format</w:t>
      </w:r>
      <w:bookmarkEnd w:id="12"/>
    </w:p>
    <w:p w:rsidR="00A10B8E" w:rsidRDefault="002A7D0E" w:rsidP="00B0123E">
      <w:r>
        <w:t xml:space="preserve">In addition to the </w:t>
      </w:r>
      <w:r w:rsidR="00F92537">
        <w:t xml:space="preserve">inherent </w:t>
      </w:r>
      <w:r w:rsidR="00D10F3E">
        <w:t>benefits of the format</w:t>
      </w:r>
      <w:r w:rsidR="00F92537">
        <w:t>,</w:t>
      </w:r>
      <w:r w:rsidR="00D10F3E">
        <w:t xml:space="preserve"> eCTD provides a standard dossier f</w:t>
      </w:r>
      <w:r w:rsidR="00A10B8E">
        <w:t>ormat commonly utilised by many</w:t>
      </w:r>
      <w:r w:rsidR="00D10F3E">
        <w:t xml:space="preserve"> international regulators</w:t>
      </w:r>
      <w:r w:rsidR="001A2DA7">
        <w:t xml:space="preserve"> and more widely used than NeeS</w:t>
      </w:r>
      <w:r w:rsidR="005046B0">
        <w:t>.</w:t>
      </w:r>
      <w:r w:rsidR="00A10B8E">
        <w:t xml:space="preserve"> </w:t>
      </w:r>
      <w:r w:rsidR="005046B0">
        <w:t>Indeed,</w:t>
      </w:r>
      <w:r w:rsidR="00A10B8E">
        <w:t xml:space="preserve"> it is mandato</w:t>
      </w:r>
      <w:r w:rsidR="00DA0C0F">
        <w:t xml:space="preserve">ry that </w:t>
      </w:r>
      <w:r w:rsidR="00B95ED9">
        <w:t xml:space="preserve">regulators of </w:t>
      </w:r>
      <w:r w:rsidR="00DA0C0F">
        <w:t>ICH member countries utilise</w:t>
      </w:r>
      <w:r w:rsidR="00A10B8E">
        <w:t xml:space="preserve"> this format</w:t>
      </w:r>
      <w:r w:rsidR="005046B0">
        <w:t xml:space="preserve"> </w:t>
      </w:r>
      <w:r w:rsidR="0075283C">
        <w:t xml:space="preserve">as their main dossier format </w:t>
      </w:r>
      <w:r w:rsidR="005046B0">
        <w:t>(</w:t>
      </w:r>
      <w:r w:rsidR="00F01F79">
        <w:t xml:space="preserve">while </w:t>
      </w:r>
      <w:r w:rsidR="005046B0">
        <w:t>Australia is not an ICH member country</w:t>
      </w:r>
      <w:r w:rsidR="00A51471">
        <w:t xml:space="preserve">, </w:t>
      </w:r>
      <w:r w:rsidR="00F01F79">
        <w:t>the TGA</w:t>
      </w:r>
      <w:r w:rsidR="00A51471">
        <w:t xml:space="preserve"> supports the progression towards standardised dossier formats</w:t>
      </w:r>
      <w:r w:rsidR="005046B0">
        <w:t>)</w:t>
      </w:r>
      <w:r w:rsidR="00A10B8E">
        <w:t>.</w:t>
      </w:r>
    </w:p>
    <w:p w:rsidR="00937488" w:rsidRDefault="00CD14C1" w:rsidP="00861A06">
      <w:r>
        <w:t>Moreover, u</w:t>
      </w:r>
      <w:r w:rsidR="00D10F3E">
        <w:t>sing eCTD will allow</w:t>
      </w:r>
      <w:r>
        <w:t xml:space="preserve"> for</w:t>
      </w:r>
      <w:r w:rsidR="00D10F3E">
        <w:t xml:space="preserve"> increased opportunities </w:t>
      </w:r>
      <w:r w:rsidR="00F92537">
        <w:t>to</w:t>
      </w:r>
      <w:r w:rsidR="00D10F3E">
        <w:t xml:space="preserve"> </w:t>
      </w:r>
      <w:r w:rsidR="00937488">
        <w:t>collaborate and work-share</w:t>
      </w:r>
      <w:r w:rsidR="00D10F3E">
        <w:t xml:space="preserve"> with</w:t>
      </w:r>
      <w:r w:rsidR="00937488">
        <w:t xml:space="preserve"> comparable overseas regulators</w:t>
      </w:r>
      <w:r w:rsidR="00B501FC">
        <w:t xml:space="preserve"> (CORs)</w:t>
      </w:r>
      <w:r w:rsidR="00937488">
        <w:t>, as described within the International Considerations section below.</w:t>
      </w:r>
    </w:p>
    <w:p w:rsidR="00A10B8E" w:rsidRDefault="007F4140" w:rsidP="00017448">
      <w:pPr>
        <w:pStyle w:val="Heading4"/>
      </w:pPr>
      <w:bookmarkStart w:id="13" w:name="_Toc527966039"/>
      <w:r>
        <w:t xml:space="preserve">Access to </w:t>
      </w:r>
      <w:r w:rsidRPr="00017448">
        <w:t>expedited</w:t>
      </w:r>
      <w:r w:rsidR="00A10B8E">
        <w:t xml:space="preserve"> pathways</w:t>
      </w:r>
      <w:bookmarkEnd w:id="13"/>
    </w:p>
    <w:p w:rsidR="000D5FCF" w:rsidRDefault="00990853" w:rsidP="00017448">
      <w:r>
        <w:t>Within Aust</w:t>
      </w:r>
      <w:r w:rsidR="000D5FCF">
        <w:t>ralia</w:t>
      </w:r>
      <w:r w:rsidR="00A51471">
        <w:t>,</w:t>
      </w:r>
      <w:r w:rsidR="000D5FCF">
        <w:t xml:space="preserve"> </w:t>
      </w:r>
      <w:r w:rsidR="005046B0">
        <w:t xml:space="preserve">only </w:t>
      </w:r>
      <w:r w:rsidR="000D5FCF">
        <w:t>sponsors submitting in the</w:t>
      </w:r>
      <w:r>
        <w:t xml:space="preserve"> eCTD </w:t>
      </w:r>
      <w:r w:rsidR="000D5FCF">
        <w:t xml:space="preserve">format </w:t>
      </w:r>
      <w:r>
        <w:t xml:space="preserve">have access to </w:t>
      </w:r>
      <w:r w:rsidR="00DA0C0F">
        <w:t>expedited</w:t>
      </w:r>
      <w:r>
        <w:t xml:space="preserve"> pathways such as the priority</w:t>
      </w:r>
      <w:r w:rsidR="00A51471">
        <w:t xml:space="preserve"> review</w:t>
      </w:r>
      <w:r>
        <w:t>, provisional</w:t>
      </w:r>
      <w:r w:rsidR="006C1CAB">
        <w:t xml:space="preserve"> approval, and COR report-based pathways.</w:t>
      </w:r>
      <w:r w:rsidR="00B51386">
        <w:t xml:space="preserve"> </w:t>
      </w:r>
      <w:r w:rsidR="0095028B">
        <w:t>The increased functionality and structured dossier format</w:t>
      </w:r>
      <w:r w:rsidR="007E1DF0">
        <w:t xml:space="preserve"> of eCTD</w:t>
      </w:r>
      <w:r w:rsidR="0095028B">
        <w:t xml:space="preserve"> facilitate</w:t>
      </w:r>
      <w:r w:rsidR="0089223A">
        <w:t>s</w:t>
      </w:r>
      <w:r w:rsidR="0095028B">
        <w:t xml:space="preserve"> faster evaluation through</w:t>
      </w:r>
      <w:r w:rsidR="006B11F9">
        <w:t xml:space="preserve"> enhanced navigation and reduced</w:t>
      </w:r>
      <w:r w:rsidR="0095028B">
        <w:t xml:space="preserve"> regulatory effort, </w:t>
      </w:r>
      <w:r w:rsidR="00547F36">
        <w:t>which supports</w:t>
      </w:r>
      <w:r w:rsidR="0095028B">
        <w:t xml:space="preserve"> expedited approvals.</w:t>
      </w:r>
    </w:p>
    <w:p w:rsidR="006C1CAB" w:rsidRDefault="006C1CAB" w:rsidP="00017448">
      <w:r>
        <w:t>The only pathway available to Category 1 submissions provided in the NeeS format is the ‘Standard’ Category 1 pathway which has a target timeframe of 220 working days</w:t>
      </w:r>
      <w:r w:rsidR="001A2DA7">
        <w:t>.</w:t>
      </w:r>
      <w:r>
        <w:t xml:space="preserve"> </w:t>
      </w:r>
      <w:r w:rsidR="001A2DA7">
        <w:t>T</w:t>
      </w:r>
      <w:r>
        <w:t>he priority review pathway and COR report-based process (120-175 working days)</w:t>
      </w:r>
      <w:r w:rsidR="001A2DA7">
        <w:t xml:space="preserve"> are examples of our current expedited pathways</w:t>
      </w:r>
      <w:r>
        <w:t>. It should be noted that similar to the standard pathway, the provisional approval pathway has a target timeframe of 220 working days, but submission in eCTD format is mandatory.</w:t>
      </w:r>
    </w:p>
    <w:tbl>
      <w:tblPr>
        <w:tblStyle w:val="TableTGAblue"/>
        <w:tblW w:w="0" w:type="auto"/>
        <w:tblLook w:val="04A0" w:firstRow="1" w:lastRow="0" w:firstColumn="1" w:lastColumn="0" w:noHBand="0" w:noVBand="1"/>
      </w:tblPr>
      <w:tblGrid>
        <w:gridCol w:w="4361"/>
        <w:gridCol w:w="1134"/>
        <w:gridCol w:w="1134"/>
        <w:gridCol w:w="2268"/>
      </w:tblGrid>
      <w:tr w:rsidR="00F9183D" w:rsidTr="00F918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rsidR="00F9183D" w:rsidRDefault="00F9183D" w:rsidP="00F9183D">
            <w:r>
              <w:lastRenderedPageBreak/>
              <w:t>Category 1 / COR Pathway</w:t>
            </w:r>
          </w:p>
        </w:tc>
        <w:tc>
          <w:tcPr>
            <w:tcW w:w="1134" w:type="dxa"/>
          </w:tcPr>
          <w:p w:rsidR="00F9183D" w:rsidRDefault="00F9183D" w:rsidP="00017448">
            <w:pPr>
              <w:cnfStyle w:val="100000000000" w:firstRow="1" w:lastRow="0" w:firstColumn="0" w:lastColumn="0" w:oddVBand="0" w:evenVBand="0" w:oddHBand="0" w:evenHBand="0" w:firstRowFirstColumn="0" w:firstRowLastColumn="0" w:lastRowFirstColumn="0" w:lastRowLastColumn="0"/>
            </w:pPr>
            <w:r>
              <w:t>eCTD</w:t>
            </w:r>
          </w:p>
        </w:tc>
        <w:tc>
          <w:tcPr>
            <w:tcW w:w="1134" w:type="dxa"/>
          </w:tcPr>
          <w:p w:rsidR="00F9183D" w:rsidRDefault="00F9183D" w:rsidP="00017448">
            <w:pPr>
              <w:cnfStyle w:val="100000000000" w:firstRow="1" w:lastRow="0" w:firstColumn="0" w:lastColumn="0" w:oddVBand="0" w:evenVBand="0" w:oddHBand="0" w:evenHBand="0" w:firstRowFirstColumn="0" w:firstRowLastColumn="0" w:lastRowFirstColumn="0" w:lastRowLastColumn="0"/>
            </w:pPr>
            <w:r>
              <w:t>NeeS</w:t>
            </w:r>
          </w:p>
        </w:tc>
        <w:tc>
          <w:tcPr>
            <w:tcW w:w="2268" w:type="dxa"/>
          </w:tcPr>
          <w:p w:rsidR="00F9183D" w:rsidRDefault="00F9183D" w:rsidP="00017448">
            <w:pPr>
              <w:cnfStyle w:val="100000000000" w:firstRow="1" w:lastRow="0" w:firstColumn="0" w:lastColumn="0" w:oddVBand="0" w:evenVBand="0" w:oddHBand="0" w:evenHBand="0" w:firstRowFirstColumn="0" w:firstRowLastColumn="0" w:lastRowFirstColumn="0" w:lastRowLastColumn="0"/>
            </w:pPr>
            <w:r>
              <w:t>Timeframe (WDs)</w:t>
            </w:r>
          </w:p>
        </w:tc>
      </w:tr>
      <w:tr w:rsidR="00F9183D" w:rsidTr="00F9183D">
        <w:tc>
          <w:tcPr>
            <w:cnfStyle w:val="001000000000" w:firstRow="0" w:lastRow="0" w:firstColumn="1" w:lastColumn="0" w:oddVBand="0" w:evenVBand="0" w:oddHBand="0" w:evenHBand="0" w:firstRowFirstColumn="0" w:firstRowLastColumn="0" w:lastRowFirstColumn="0" w:lastRowLastColumn="0"/>
            <w:tcW w:w="4361" w:type="dxa"/>
          </w:tcPr>
          <w:p w:rsidR="00F9183D" w:rsidRDefault="00F9183D" w:rsidP="00F9183D">
            <w:r>
              <w:t>Standard pathway (includes milestone 1)</w:t>
            </w:r>
          </w:p>
        </w:tc>
        <w:tc>
          <w:tcPr>
            <w:tcW w:w="1134" w:type="dxa"/>
          </w:tcPr>
          <w:p w:rsidR="00F9183D" w:rsidRDefault="00F9183D" w:rsidP="00017448">
            <w:pPr>
              <w:cnfStyle w:val="000000000000" w:firstRow="0" w:lastRow="0" w:firstColumn="0" w:lastColumn="0" w:oddVBand="0" w:evenVBand="0" w:oddHBand="0" w:evenHBand="0" w:firstRowFirstColumn="0" w:firstRowLastColumn="0" w:lastRowFirstColumn="0" w:lastRowLastColumn="0"/>
            </w:pPr>
            <w:r w:rsidRPr="00CF61D8">
              <w:sym w:font="Wingdings" w:char="F0FC"/>
            </w:r>
          </w:p>
        </w:tc>
        <w:tc>
          <w:tcPr>
            <w:tcW w:w="1134" w:type="dxa"/>
          </w:tcPr>
          <w:p w:rsidR="00F9183D" w:rsidRDefault="00F9183D" w:rsidP="00017448">
            <w:pPr>
              <w:cnfStyle w:val="000000000000" w:firstRow="0" w:lastRow="0" w:firstColumn="0" w:lastColumn="0" w:oddVBand="0" w:evenVBand="0" w:oddHBand="0" w:evenHBand="0" w:firstRowFirstColumn="0" w:firstRowLastColumn="0" w:lastRowFirstColumn="0" w:lastRowLastColumn="0"/>
            </w:pPr>
            <w:r w:rsidRPr="00CF61D8">
              <w:sym w:font="Wingdings" w:char="F0FC"/>
            </w:r>
          </w:p>
        </w:tc>
        <w:tc>
          <w:tcPr>
            <w:tcW w:w="2268" w:type="dxa"/>
          </w:tcPr>
          <w:p w:rsidR="00F9183D" w:rsidRDefault="00F9183D" w:rsidP="00017448">
            <w:pPr>
              <w:cnfStyle w:val="000000000000" w:firstRow="0" w:lastRow="0" w:firstColumn="0" w:lastColumn="0" w:oddVBand="0" w:evenVBand="0" w:oddHBand="0" w:evenHBand="0" w:firstRowFirstColumn="0" w:firstRowLastColumn="0" w:lastRowFirstColumn="0" w:lastRowLastColumn="0"/>
            </w:pPr>
            <w:r>
              <w:t>255*</w:t>
            </w:r>
          </w:p>
        </w:tc>
      </w:tr>
      <w:tr w:rsidR="00F9183D" w:rsidTr="00F9183D">
        <w:tc>
          <w:tcPr>
            <w:cnfStyle w:val="001000000000" w:firstRow="0" w:lastRow="0" w:firstColumn="1" w:lastColumn="0" w:oddVBand="0" w:evenVBand="0" w:oddHBand="0" w:evenHBand="0" w:firstRowFirstColumn="0" w:firstRowLastColumn="0" w:lastRowFirstColumn="0" w:lastRowLastColumn="0"/>
            <w:tcW w:w="4361" w:type="dxa"/>
          </w:tcPr>
          <w:p w:rsidR="00F9183D" w:rsidRDefault="00F9183D" w:rsidP="00017448">
            <w:r>
              <w:t>PPF-only pathway</w:t>
            </w:r>
          </w:p>
        </w:tc>
        <w:tc>
          <w:tcPr>
            <w:tcW w:w="1134" w:type="dxa"/>
          </w:tcPr>
          <w:p w:rsidR="00F9183D" w:rsidRDefault="00F9183D" w:rsidP="00017448">
            <w:pPr>
              <w:cnfStyle w:val="000000000000" w:firstRow="0" w:lastRow="0" w:firstColumn="0" w:lastColumn="0" w:oddVBand="0" w:evenVBand="0" w:oddHBand="0" w:evenHBand="0" w:firstRowFirstColumn="0" w:firstRowLastColumn="0" w:lastRowFirstColumn="0" w:lastRowLastColumn="0"/>
            </w:pPr>
            <w:r w:rsidRPr="00CF61D8">
              <w:sym w:font="Wingdings" w:char="F0FC"/>
            </w:r>
          </w:p>
        </w:tc>
        <w:tc>
          <w:tcPr>
            <w:tcW w:w="1134" w:type="dxa"/>
          </w:tcPr>
          <w:p w:rsidR="00F9183D" w:rsidRDefault="00F9183D" w:rsidP="00017448">
            <w:pPr>
              <w:cnfStyle w:val="000000000000" w:firstRow="0" w:lastRow="0" w:firstColumn="0" w:lastColumn="0" w:oddVBand="0" w:evenVBand="0" w:oddHBand="0" w:evenHBand="0" w:firstRowFirstColumn="0" w:firstRowLastColumn="0" w:lastRowFirstColumn="0" w:lastRowLastColumn="0"/>
            </w:pPr>
            <w:r w:rsidRPr="00CF61D8">
              <w:sym w:font="Wingdings" w:char="F0FB"/>
            </w:r>
          </w:p>
        </w:tc>
        <w:tc>
          <w:tcPr>
            <w:tcW w:w="2268" w:type="dxa"/>
          </w:tcPr>
          <w:p w:rsidR="00F9183D" w:rsidRDefault="00F9183D" w:rsidP="00017448">
            <w:pPr>
              <w:cnfStyle w:val="000000000000" w:firstRow="0" w:lastRow="0" w:firstColumn="0" w:lastColumn="0" w:oddVBand="0" w:evenVBand="0" w:oddHBand="0" w:evenHBand="0" w:firstRowFirstColumn="0" w:firstRowLastColumn="0" w:lastRowFirstColumn="0" w:lastRowLastColumn="0"/>
            </w:pPr>
            <w:r>
              <w:t>255*</w:t>
            </w:r>
          </w:p>
        </w:tc>
      </w:tr>
      <w:tr w:rsidR="00F9183D" w:rsidTr="00F9183D">
        <w:tc>
          <w:tcPr>
            <w:cnfStyle w:val="001000000000" w:firstRow="0" w:lastRow="0" w:firstColumn="1" w:lastColumn="0" w:oddVBand="0" w:evenVBand="0" w:oddHBand="0" w:evenHBand="0" w:firstRowFirstColumn="0" w:firstRowLastColumn="0" w:lastRowFirstColumn="0" w:lastRowLastColumn="0"/>
            <w:tcW w:w="4361" w:type="dxa"/>
          </w:tcPr>
          <w:p w:rsidR="00F9183D" w:rsidRDefault="00F9183D" w:rsidP="00017448">
            <w:r>
              <w:t>COR B</w:t>
            </w:r>
          </w:p>
        </w:tc>
        <w:tc>
          <w:tcPr>
            <w:tcW w:w="1134" w:type="dxa"/>
          </w:tcPr>
          <w:p w:rsidR="00F9183D" w:rsidRDefault="00F9183D" w:rsidP="00017448">
            <w:pPr>
              <w:cnfStyle w:val="000000000000" w:firstRow="0" w:lastRow="0" w:firstColumn="0" w:lastColumn="0" w:oddVBand="0" w:evenVBand="0" w:oddHBand="0" w:evenHBand="0" w:firstRowFirstColumn="0" w:firstRowLastColumn="0" w:lastRowFirstColumn="0" w:lastRowLastColumn="0"/>
            </w:pPr>
            <w:r w:rsidRPr="00CF61D8">
              <w:sym w:font="Wingdings" w:char="F0FC"/>
            </w:r>
          </w:p>
        </w:tc>
        <w:tc>
          <w:tcPr>
            <w:tcW w:w="1134" w:type="dxa"/>
          </w:tcPr>
          <w:p w:rsidR="00F9183D" w:rsidRDefault="00F9183D" w:rsidP="00017448">
            <w:pPr>
              <w:cnfStyle w:val="000000000000" w:firstRow="0" w:lastRow="0" w:firstColumn="0" w:lastColumn="0" w:oddVBand="0" w:evenVBand="0" w:oddHBand="0" w:evenHBand="0" w:firstRowFirstColumn="0" w:firstRowLastColumn="0" w:lastRowFirstColumn="0" w:lastRowLastColumn="0"/>
            </w:pPr>
            <w:r w:rsidRPr="00CF61D8">
              <w:sym w:font="Wingdings" w:char="F0FB"/>
            </w:r>
          </w:p>
        </w:tc>
        <w:tc>
          <w:tcPr>
            <w:tcW w:w="2268" w:type="dxa"/>
          </w:tcPr>
          <w:p w:rsidR="00F9183D" w:rsidRDefault="00F9183D" w:rsidP="00017448">
            <w:pPr>
              <w:cnfStyle w:val="000000000000" w:firstRow="0" w:lastRow="0" w:firstColumn="0" w:lastColumn="0" w:oddVBand="0" w:evenVBand="0" w:oddHBand="0" w:evenHBand="0" w:firstRowFirstColumn="0" w:firstRowLastColumn="0" w:lastRowFirstColumn="0" w:lastRowLastColumn="0"/>
            </w:pPr>
            <w:r>
              <w:t>175*</w:t>
            </w:r>
          </w:p>
        </w:tc>
      </w:tr>
      <w:tr w:rsidR="00F9183D" w:rsidTr="00F9183D">
        <w:tc>
          <w:tcPr>
            <w:cnfStyle w:val="001000000000" w:firstRow="0" w:lastRow="0" w:firstColumn="1" w:lastColumn="0" w:oddVBand="0" w:evenVBand="0" w:oddHBand="0" w:evenHBand="0" w:firstRowFirstColumn="0" w:firstRowLastColumn="0" w:lastRowFirstColumn="0" w:lastRowLastColumn="0"/>
            <w:tcW w:w="4361" w:type="dxa"/>
          </w:tcPr>
          <w:p w:rsidR="00F9183D" w:rsidRDefault="00F9183D" w:rsidP="00017448">
            <w:r>
              <w:t>Priority pathway</w:t>
            </w:r>
          </w:p>
        </w:tc>
        <w:tc>
          <w:tcPr>
            <w:tcW w:w="1134" w:type="dxa"/>
          </w:tcPr>
          <w:p w:rsidR="00F9183D" w:rsidRDefault="00F9183D" w:rsidP="00017448">
            <w:pPr>
              <w:cnfStyle w:val="000000000000" w:firstRow="0" w:lastRow="0" w:firstColumn="0" w:lastColumn="0" w:oddVBand="0" w:evenVBand="0" w:oddHBand="0" w:evenHBand="0" w:firstRowFirstColumn="0" w:firstRowLastColumn="0" w:lastRowFirstColumn="0" w:lastRowLastColumn="0"/>
            </w:pPr>
            <w:r w:rsidRPr="00CF61D8">
              <w:sym w:font="Wingdings" w:char="F0FC"/>
            </w:r>
          </w:p>
        </w:tc>
        <w:tc>
          <w:tcPr>
            <w:tcW w:w="1134" w:type="dxa"/>
          </w:tcPr>
          <w:p w:rsidR="00F9183D" w:rsidRDefault="00F9183D" w:rsidP="00017448">
            <w:pPr>
              <w:cnfStyle w:val="000000000000" w:firstRow="0" w:lastRow="0" w:firstColumn="0" w:lastColumn="0" w:oddVBand="0" w:evenVBand="0" w:oddHBand="0" w:evenHBand="0" w:firstRowFirstColumn="0" w:firstRowLastColumn="0" w:lastRowFirstColumn="0" w:lastRowLastColumn="0"/>
            </w:pPr>
            <w:r w:rsidRPr="00CF61D8">
              <w:sym w:font="Wingdings" w:char="F0FB"/>
            </w:r>
          </w:p>
        </w:tc>
        <w:tc>
          <w:tcPr>
            <w:tcW w:w="2268" w:type="dxa"/>
          </w:tcPr>
          <w:p w:rsidR="00F9183D" w:rsidRDefault="00F9183D" w:rsidP="00017448">
            <w:pPr>
              <w:cnfStyle w:val="000000000000" w:firstRow="0" w:lastRow="0" w:firstColumn="0" w:lastColumn="0" w:oddVBand="0" w:evenVBand="0" w:oddHBand="0" w:evenHBand="0" w:firstRowFirstColumn="0" w:firstRowLastColumn="0" w:lastRowFirstColumn="0" w:lastRowLastColumn="0"/>
            </w:pPr>
            <w:r>
              <w:t>150</w:t>
            </w:r>
            <w:r w:rsidRPr="0080393C">
              <w:rPr>
                <w:vertAlign w:val="superscript"/>
              </w:rPr>
              <w:t>#</w:t>
            </w:r>
          </w:p>
        </w:tc>
      </w:tr>
      <w:tr w:rsidR="00F9183D" w:rsidTr="00F9183D">
        <w:tc>
          <w:tcPr>
            <w:cnfStyle w:val="001000000000" w:firstRow="0" w:lastRow="0" w:firstColumn="1" w:lastColumn="0" w:oddVBand="0" w:evenVBand="0" w:oddHBand="0" w:evenHBand="0" w:firstRowFirstColumn="0" w:firstRowLastColumn="0" w:lastRowFirstColumn="0" w:lastRowLastColumn="0"/>
            <w:tcW w:w="4361" w:type="dxa"/>
          </w:tcPr>
          <w:p w:rsidR="00F9183D" w:rsidRDefault="00F9183D" w:rsidP="00017448">
            <w:r>
              <w:t>Provisional pathway</w:t>
            </w:r>
          </w:p>
        </w:tc>
        <w:tc>
          <w:tcPr>
            <w:tcW w:w="1134" w:type="dxa"/>
          </w:tcPr>
          <w:p w:rsidR="00F9183D" w:rsidRDefault="00F9183D" w:rsidP="00017448">
            <w:pPr>
              <w:cnfStyle w:val="000000000000" w:firstRow="0" w:lastRow="0" w:firstColumn="0" w:lastColumn="0" w:oddVBand="0" w:evenVBand="0" w:oddHBand="0" w:evenHBand="0" w:firstRowFirstColumn="0" w:firstRowLastColumn="0" w:lastRowFirstColumn="0" w:lastRowLastColumn="0"/>
            </w:pPr>
            <w:r w:rsidRPr="00CF61D8">
              <w:sym w:font="Wingdings" w:char="F0FC"/>
            </w:r>
          </w:p>
        </w:tc>
        <w:tc>
          <w:tcPr>
            <w:tcW w:w="1134" w:type="dxa"/>
          </w:tcPr>
          <w:p w:rsidR="00F9183D" w:rsidRDefault="00F9183D" w:rsidP="00017448">
            <w:pPr>
              <w:cnfStyle w:val="000000000000" w:firstRow="0" w:lastRow="0" w:firstColumn="0" w:lastColumn="0" w:oddVBand="0" w:evenVBand="0" w:oddHBand="0" w:evenHBand="0" w:firstRowFirstColumn="0" w:firstRowLastColumn="0" w:lastRowFirstColumn="0" w:lastRowLastColumn="0"/>
            </w:pPr>
            <w:r w:rsidRPr="00CF61D8">
              <w:sym w:font="Wingdings" w:char="F0FB"/>
            </w:r>
          </w:p>
        </w:tc>
        <w:tc>
          <w:tcPr>
            <w:tcW w:w="2268" w:type="dxa"/>
          </w:tcPr>
          <w:p w:rsidR="00F9183D" w:rsidRDefault="00F9183D" w:rsidP="00017448">
            <w:pPr>
              <w:cnfStyle w:val="000000000000" w:firstRow="0" w:lastRow="0" w:firstColumn="0" w:lastColumn="0" w:oddVBand="0" w:evenVBand="0" w:oddHBand="0" w:evenHBand="0" w:firstRowFirstColumn="0" w:firstRowLastColumn="0" w:lastRowFirstColumn="0" w:lastRowLastColumn="0"/>
            </w:pPr>
            <w:r>
              <w:t>255*</w:t>
            </w:r>
          </w:p>
        </w:tc>
      </w:tr>
    </w:tbl>
    <w:p w:rsidR="00DA56B7" w:rsidRDefault="00DA56B7" w:rsidP="00DA56B7">
      <w:pPr>
        <w:pStyle w:val="Reference"/>
        <w:ind w:left="0" w:firstLine="0"/>
      </w:pPr>
      <w:r w:rsidRPr="00BA1D04">
        <w:t>*Legislated timeframes</w:t>
      </w:r>
    </w:p>
    <w:p w:rsidR="00F9183D" w:rsidRDefault="00DA56B7" w:rsidP="00DA56B7">
      <w:pPr>
        <w:pStyle w:val="Reference"/>
        <w:ind w:left="0" w:firstLine="0"/>
      </w:pPr>
      <w:r w:rsidRPr="00BA1D04">
        <w:t>#Target timeframes</w:t>
      </w:r>
    </w:p>
    <w:p w:rsidR="0080393C" w:rsidRDefault="0080393C" w:rsidP="00DA56B7">
      <w:pPr>
        <w:pStyle w:val="Heading3"/>
      </w:pPr>
      <w:bookmarkStart w:id="14" w:name="_Toc527966040"/>
      <w:r w:rsidRPr="00017448">
        <w:t>Development</w:t>
      </w:r>
      <w:r>
        <w:t xml:space="preserve"> of proposal</w:t>
      </w:r>
      <w:bookmarkEnd w:id="14"/>
    </w:p>
    <w:p w:rsidR="0080393C" w:rsidRDefault="0080393C" w:rsidP="00DA56B7">
      <w:r>
        <w:t>NeeS was introduced with the purpose of assisting sponsors to transition from paper to an electronic dossier format. For prescription medicines the NeeS format has successfully facilitated the transition to electronic dossiers. Now, in 2018, seven years after the introduction of electronic dossiers</w:t>
      </w:r>
      <w:r w:rsidR="00CD14C1">
        <w:t>,</w:t>
      </w:r>
      <w:r>
        <w:t xml:space="preserve"> the TGA is proposing to phase out the NeeS format and mandate the eCTD format.</w:t>
      </w:r>
      <w:r w:rsidR="000B4F83">
        <w:t xml:space="preserve"> This </w:t>
      </w:r>
      <w:r w:rsidR="001A2DA7">
        <w:t xml:space="preserve">proposed </w:t>
      </w:r>
      <w:r w:rsidR="000B4F83">
        <w:t>transition is in agreement with information provided to industry as early as March 2011</w:t>
      </w:r>
      <w:r w:rsidR="00A045D2">
        <w:rPr>
          <w:rStyle w:val="FootnoteReference"/>
        </w:rPr>
        <w:footnoteReference w:id="5"/>
      </w:r>
      <w:r w:rsidR="007E3A80">
        <w:t>.</w:t>
      </w:r>
    </w:p>
    <w:p w:rsidR="0080393C" w:rsidRDefault="0080393C" w:rsidP="00DA56B7">
      <w:r>
        <w:t>Further, this proposal is consistent with government policy</w:t>
      </w:r>
      <w:r w:rsidR="00CD14C1">
        <w:t xml:space="preserve"> and</w:t>
      </w:r>
      <w:r>
        <w:t xml:space="preserve"> international direction</w:t>
      </w:r>
      <w:r w:rsidR="00CD14C1">
        <w:t>,</w:t>
      </w:r>
      <w:r>
        <w:t xml:space="preserve"> and incorporates feedback from Australian stakeholders.</w:t>
      </w:r>
    </w:p>
    <w:p w:rsidR="005017FE" w:rsidRDefault="005017FE" w:rsidP="00DA56B7">
      <w:pPr>
        <w:pStyle w:val="Heading4"/>
      </w:pPr>
      <w:bookmarkStart w:id="15" w:name="_Toc527966041"/>
      <w:r>
        <w:t xml:space="preserve">Australian </w:t>
      </w:r>
      <w:r w:rsidR="00EA0442" w:rsidRPr="00017448">
        <w:t>s</w:t>
      </w:r>
      <w:r w:rsidRPr="00017448">
        <w:t>ponsor</w:t>
      </w:r>
      <w:r>
        <w:t xml:space="preserve"> </w:t>
      </w:r>
      <w:r w:rsidR="00EA0442" w:rsidRPr="00DA56B7">
        <w:t>c</w:t>
      </w:r>
      <w:r w:rsidRPr="00DA56B7">
        <w:t>onsiderations</w:t>
      </w:r>
      <w:bookmarkEnd w:id="15"/>
    </w:p>
    <w:p w:rsidR="005017FE" w:rsidRPr="00A03160" w:rsidRDefault="005017FE" w:rsidP="00DA56B7">
      <w:pPr>
        <w:pStyle w:val="Heading5"/>
      </w:pPr>
      <w:r>
        <w:t xml:space="preserve">Uptake of </w:t>
      </w:r>
      <w:r w:rsidRPr="00DA56B7">
        <w:t>eCTD</w:t>
      </w:r>
    </w:p>
    <w:p w:rsidR="005017FE" w:rsidRDefault="005017FE" w:rsidP="00DA56B7">
      <w:r>
        <w:t>Data from our system has been collated to show the current break</w:t>
      </w:r>
      <w:r w:rsidR="00017448">
        <w:t>down of NeeS and eCTD dossiers.</w:t>
      </w:r>
    </w:p>
    <w:tbl>
      <w:tblPr>
        <w:tblStyle w:val="TableTGAblue"/>
        <w:tblW w:w="0" w:type="auto"/>
        <w:tblLook w:val="04A0" w:firstRow="1" w:lastRow="0" w:firstColumn="1" w:lastColumn="0" w:noHBand="0" w:noVBand="1"/>
      </w:tblPr>
      <w:tblGrid>
        <w:gridCol w:w="1857"/>
        <w:gridCol w:w="1857"/>
        <w:gridCol w:w="1857"/>
        <w:gridCol w:w="1857"/>
        <w:gridCol w:w="1858"/>
      </w:tblGrid>
      <w:tr w:rsidR="00DA56B7" w:rsidTr="00DA56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7" w:type="dxa"/>
          </w:tcPr>
          <w:p w:rsidR="00DA56B7" w:rsidRDefault="00DA56B7" w:rsidP="00DA56B7"/>
        </w:tc>
        <w:tc>
          <w:tcPr>
            <w:tcW w:w="3714" w:type="dxa"/>
            <w:gridSpan w:val="2"/>
          </w:tcPr>
          <w:p w:rsidR="00DA56B7" w:rsidRDefault="00DA56B7" w:rsidP="00DA56B7">
            <w:pPr>
              <w:cnfStyle w:val="100000000000" w:firstRow="1" w:lastRow="0" w:firstColumn="0" w:lastColumn="0" w:oddVBand="0" w:evenVBand="0" w:oddHBand="0" w:evenHBand="0" w:firstRowFirstColumn="0" w:firstRowLastColumn="0" w:lastRowFirstColumn="0" w:lastRowLastColumn="0"/>
            </w:pPr>
            <w:r>
              <w:t>Nees</w:t>
            </w:r>
          </w:p>
        </w:tc>
        <w:tc>
          <w:tcPr>
            <w:tcW w:w="3715" w:type="dxa"/>
            <w:gridSpan w:val="2"/>
          </w:tcPr>
          <w:p w:rsidR="00DA56B7" w:rsidRDefault="00DA56B7" w:rsidP="00DA56B7">
            <w:pPr>
              <w:cnfStyle w:val="100000000000" w:firstRow="1" w:lastRow="0" w:firstColumn="0" w:lastColumn="0" w:oddVBand="0" w:evenVBand="0" w:oddHBand="0" w:evenHBand="0" w:firstRowFirstColumn="0" w:firstRowLastColumn="0" w:lastRowFirstColumn="0" w:lastRowLastColumn="0"/>
            </w:pPr>
            <w:r>
              <w:t>eCTD</w:t>
            </w:r>
          </w:p>
        </w:tc>
      </w:tr>
      <w:tr w:rsidR="00DA56B7" w:rsidTr="0022316E">
        <w:tc>
          <w:tcPr>
            <w:cnfStyle w:val="001000000000" w:firstRow="0" w:lastRow="0" w:firstColumn="1" w:lastColumn="0" w:oddVBand="0" w:evenVBand="0" w:oddHBand="0" w:evenHBand="0" w:firstRowFirstColumn="0" w:firstRowLastColumn="0" w:lastRowFirstColumn="0" w:lastRowLastColumn="0"/>
            <w:tcW w:w="1857" w:type="dxa"/>
            <w:shd w:val="clear" w:color="auto" w:fill="C6D4E9"/>
          </w:tcPr>
          <w:p w:rsidR="00DA56B7" w:rsidRDefault="00DA56B7" w:rsidP="00DA56B7"/>
        </w:tc>
        <w:tc>
          <w:tcPr>
            <w:tcW w:w="1857" w:type="dxa"/>
            <w:shd w:val="clear" w:color="auto" w:fill="C6D4E9"/>
            <w:vAlign w:val="center"/>
          </w:tcPr>
          <w:p w:rsidR="00DA56B7" w:rsidRPr="00DA56B7" w:rsidRDefault="00DA56B7" w:rsidP="00DA56B7">
            <w:pPr>
              <w:cnfStyle w:val="000000000000" w:firstRow="0" w:lastRow="0" w:firstColumn="0" w:lastColumn="0" w:oddVBand="0" w:evenVBand="0" w:oddHBand="0" w:evenHBand="0" w:firstRowFirstColumn="0" w:firstRowLastColumn="0" w:lastRowFirstColumn="0" w:lastRowLastColumn="0"/>
              <w:rPr>
                <w:b/>
              </w:rPr>
            </w:pPr>
            <w:r w:rsidRPr="00DA56B7">
              <w:rPr>
                <w:b/>
              </w:rPr>
              <w:t>2017</w:t>
            </w:r>
          </w:p>
        </w:tc>
        <w:tc>
          <w:tcPr>
            <w:tcW w:w="1857" w:type="dxa"/>
            <w:shd w:val="clear" w:color="auto" w:fill="C6D4E9"/>
            <w:vAlign w:val="center"/>
          </w:tcPr>
          <w:p w:rsidR="00DA56B7" w:rsidRPr="00DA56B7" w:rsidRDefault="00DA56B7" w:rsidP="00DA56B7">
            <w:pPr>
              <w:cnfStyle w:val="000000000000" w:firstRow="0" w:lastRow="0" w:firstColumn="0" w:lastColumn="0" w:oddVBand="0" w:evenVBand="0" w:oddHBand="0" w:evenHBand="0" w:firstRowFirstColumn="0" w:firstRowLastColumn="0" w:lastRowFirstColumn="0" w:lastRowLastColumn="0"/>
              <w:rPr>
                <w:b/>
              </w:rPr>
            </w:pPr>
            <w:r w:rsidRPr="00DA56B7">
              <w:rPr>
                <w:b/>
              </w:rPr>
              <w:t>2018*</w:t>
            </w:r>
          </w:p>
        </w:tc>
        <w:tc>
          <w:tcPr>
            <w:tcW w:w="1857" w:type="dxa"/>
            <w:shd w:val="clear" w:color="auto" w:fill="C6D4E9"/>
            <w:vAlign w:val="center"/>
          </w:tcPr>
          <w:p w:rsidR="00DA56B7" w:rsidRPr="00DA56B7" w:rsidRDefault="00DA56B7" w:rsidP="00DA56B7">
            <w:pPr>
              <w:cnfStyle w:val="000000000000" w:firstRow="0" w:lastRow="0" w:firstColumn="0" w:lastColumn="0" w:oddVBand="0" w:evenVBand="0" w:oddHBand="0" w:evenHBand="0" w:firstRowFirstColumn="0" w:firstRowLastColumn="0" w:lastRowFirstColumn="0" w:lastRowLastColumn="0"/>
              <w:rPr>
                <w:b/>
              </w:rPr>
            </w:pPr>
            <w:r w:rsidRPr="00DA56B7">
              <w:rPr>
                <w:b/>
              </w:rPr>
              <w:t>2017</w:t>
            </w:r>
          </w:p>
        </w:tc>
        <w:tc>
          <w:tcPr>
            <w:tcW w:w="1858" w:type="dxa"/>
            <w:shd w:val="clear" w:color="auto" w:fill="C6D4E9"/>
            <w:vAlign w:val="center"/>
          </w:tcPr>
          <w:p w:rsidR="00DA56B7" w:rsidRPr="00DA56B7" w:rsidRDefault="00DA56B7" w:rsidP="00DA56B7">
            <w:pPr>
              <w:cnfStyle w:val="000000000000" w:firstRow="0" w:lastRow="0" w:firstColumn="0" w:lastColumn="0" w:oddVBand="0" w:evenVBand="0" w:oddHBand="0" w:evenHBand="0" w:firstRowFirstColumn="0" w:firstRowLastColumn="0" w:lastRowFirstColumn="0" w:lastRowLastColumn="0"/>
              <w:rPr>
                <w:b/>
              </w:rPr>
            </w:pPr>
            <w:r w:rsidRPr="00DA56B7">
              <w:rPr>
                <w:b/>
              </w:rPr>
              <w:t>2018*</w:t>
            </w:r>
          </w:p>
        </w:tc>
      </w:tr>
      <w:tr w:rsidR="00DA56B7" w:rsidTr="00DA56B7">
        <w:tc>
          <w:tcPr>
            <w:cnfStyle w:val="001000000000" w:firstRow="0" w:lastRow="0" w:firstColumn="1" w:lastColumn="0" w:oddVBand="0" w:evenVBand="0" w:oddHBand="0" w:evenHBand="0" w:firstRowFirstColumn="0" w:firstRowLastColumn="0" w:lastRowFirstColumn="0" w:lastRowLastColumn="0"/>
            <w:tcW w:w="1857" w:type="dxa"/>
          </w:tcPr>
          <w:p w:rsidR="00DA56B7" w:rsidRPr="00DA56B7" w:rsidRDefault="00DA56B7" w:rsidP="00DA56B7">
            <w:pPr>
              <w:rPr>
                <w:b/>
              </w:rPr>
            </w:pPr>
            <w:r w:rsidRPr="00DA56B7">
              <w:rPr>
                <w:b/>
              </w:rPr>
              <w:t>Dossiers</w:t>
            </w:r>
          </w:p>
        </w:tc>
        <w:tc>
          <w:tcPr>
            <w:tcW w:w="1857" w:type="dxa"/>
          </w:tcPr>
          <w:p w:rsidR="00DA56B7" w:rsidRDefault="00DA56B7" w:rsidP="00DA56B7">
            <w:pPr>
              <w:cnfStyle w:val="000000000000" w:firstRow="0" w:lastRow="0" w:firstColumn="0" w:lastColumn="0" w:oddVBand="0" w:evenVBand="0" w:oddHBand="0" w:evenHBand="0" w:firstRowFirstColumn="0" w:firstRowLastColumn="0" w:lastRowFirstColumn="0" w:lastRowLastColumn="0"/>
            </w:pPr>
            <w:r>
              <w:t>51%</w:t>
            </w:r>
          </w:p>
        </w:tc>
        <w:tc>
          <w:tcPr>
            <w:tcW w:w="1857" w:type="dxa"/>
          </w:tcPr>
          <w:p w:rsidR="00DA56B7" w:rsidRDefault="00DA56B7" w:rsidP="00DA56B7">
            <w:pPr>
              <w:cnfStyle w:val="000000000000" w:firstRow="0" w:lastRow="0" w:firstColumn="0" w:lastColumn="0" w:oddVBand="0" w:evenVBand="0" w:oddHBand="0" w:evenHBand="0" w:firstRowFirstColumn="0" w:firstRowLastColumn="0" w:lastRowFirstColumn="0" w:lastRowLastColumn="0"/>
            </w:pPr>
            <w:r>
              <w:t>47%</w:t>
            </w:r>
          </w:p>
        </w:tc>
        <w:tc>
          <w:tcPr>
            <w:tcW w:w="1857" w:type="dxa"/>
          </w:tcPr>
          <w:p w:rsidR="00DA56B7" w:rsidRDefault="00DA56B7" w:rsidP="00DA56B7">
            <w:pPr>
              <w:cnfStyle w:val="000000000000" w:firstRow="0" w:lastRow="0" w:firstColumn="0" w:lastColumn="0" w:oddVBand="0" w:evenVBand="0" w:oddHBand="0" w:evenHBand="0" w:firstRowFirstColumn="0" w:firstRowLastColumn="0" w:lastRowFirstColumn="0" w:lastRowLastColumn="0"/>
            </w:pPr>
            <w:r>
              <w:t>49%</w:t>
            </w:r>
          </w:p>
        </w:tc>
        <w:tc>
          <w:tcPr>
            <w:tcW w:w="1858" w:type="dxa"/>
          </w:tcPr>
          <w:p w:rsidR="00DA56B7" w:rsidRDefault="00DA56B7" w:rsidP="00DA56B7">
            <w:pPr>
              <w:cnfStyle w:val="000000000000" w:firstRow="0" w:lastRow="0" w:firstColumn="0" w:lastColumn="0" w:oddVBand="0" w:evenVBand="0" w:oddHBand="0" w:evenHBand="0" w:firstRowFirstColumn="0" w:firstRowLastColumn="0" w:lastRowFirstColumn="0" w:lastRowLastColumn="0"/>
            </w:pPr>
            <w:r>
              <w:t>53%</w:t>
            </w:r>
          </w:p>
        </w:tc>
      </w:tr>
      <w:tr w:rsidR="00DA56B7" w:rsidTr="00DA56B7">
        <w:tc>
          <w:tcPr>
            <w:cnfStyle w:val="001000000000" w:firstRow="0" w:lastRow="0" w:firstColumn="1" w:lastColumn="0" w:oddVBand="0" w:evenVBand="0" w:oddHBand="0" w:evenHBand="0" w:firstRowFirstColumn="0" w:firstRowLastColumn="0" w:lastRowFirstColumn="0" w:lastRowLastColumn="0"/>
            <w:tcW w:w="1857" w:type="dxa"/>
          </w:tcPr>
          <w:p w:rsidR="00DA56B7" w:rsidRPr="00DA56B7" w:rsidRDefault="00DA56B7" w:rsidP="00DA56B7">
            <w:pPr>
              <w:rPr>
                <w:b/>
              </w:rPr>
            </w:pPr>
            <w:r w:rsidRPr="00DA56B7">
              <w:rPr>
                <w:b/>
              </w:rPr>
              <w:t>Submissions</w:t>
            </w:r>
          </w:p>
        </w:tc>
        <w:tc>
          <w:tcPr>
            <w:tcW w:w="1857" w:type="dxa"/>
          </w:tcPr>
          <w:p w:rsidR="00DA56B7" w:rsidRDefault="00DA56B7" w:rsidP="00DA56B7">
            <w:pPr>
              <w:cnfStyle w:val="000000000000" w:firstRow="0" w:lastRow="0" w:firstColumn="0" w:lastColumn="0" w:oddVBand="0" w:evenVBand="0" w:oddHBand="0" w:evenHBand="0" w:firstRowFirstColumn="0" w:firstRowLastColumn="0" w:lastRowFirstColumn="0" w:lastRowLastColumn="0"/>
            </w:pPr>
            <w:r w:rsidRPr="003D3D43">
              <w:t>58%</w:t>
            </w:r>
          </w:p>
        </w:tc>
        <w:tc>
          <w:tcPr>
            <w:tcW w:w="1857" w:type="dxa"/>
          </w:tcPr>
          <w:p w:rsidR="00DA56B7" w:rsidRDefault="00DA56B7" w:rsidP="00DA56B7">
            <w:pPr>
              <w:cnfStyle w:val="000000000000" w:firstRow="0" w:lastRow="0" w:firstColumn="0" w:lastColumn="0" w:oddVBand="0" w:evenVBand="0" w:oddHBand="0" w:evenHBand="0" w:firstRowFirstColumn="0" w:firstRowLastColumn="0" w:lastRowFirstColumn="0" w:lastRowLastColumn="0"/>
            </w:pPr>
            <w:r>
              <w:t>52%</w:t>
            </w:r>
          </w:p>
        </w:tc>
        <w:tc>
          <w:tcPr>
            <w:tcW w:w="1857" w:type="dxa"/>
          </w:tcPr>
          <w:p w:rsidR="00DA56B7" w:rsidRDefault="00DA56B7" w:rsidP="00DA56B7">
            <w:pPr>
              <w:cnfStyle w:val="000000000000" w:firstRow="0" w:lastRow="0" w:firstColumn="0" w:lastColumn="0" w:oddVBand="0" w:evenVBand="0" w:oddHBand="0" w:evenHBand="0" w:firstRowFirstColumn="0" w:firstRowLastColumn="0" w:lastRowFirstColumn="0" w:lastRowLastColumn="0"/>
            </w:pPr>
            <w:r>
              <w:t>42%</w:t>
            </w:r>
          </w:p>
        </w:tc>
        <w:tc>
          <w:tcPr>
            <w:tcW w:w="1858" w:type="dxa"/>
          </w:tcPr>
          <w:p w:rsidR="00DA56B7" w:rsidRDefault="00DA56B7" w:rsidP="00DA56B7">
            <w:pPr>
              <w:cnfStyle w:val="000000000000" w:firstRow="0" w:lastRow="0" w:firstColumn="0" w:lastColumn="0" w:oddVBand="0" w:evenVBand="0" w:oddHBand="0" w:evenHBand="0" w:firstRowFirstColumn="0" w:firstRowLastColumn="0" w:lastRowFirstColumn="0" w:lastRowLastColumn="0"/>
            </w:pPr>
            <w:r>
              <w:t>48%</w:t>
            </w:r>
          </w:p>
        </w:tc>
      </w:tr>
    </w:tbl>
    <w:p w:rsidR="005017FE" w:rsidRPr="003D3D43" w:rsidRDefault="005017FE" w:rsidP="00DA56B7">
      <w:pPr>
        <w:pStyle w:val="Reference"/>
      </w:pPr>
      <w:r w:rsidRPr="003D3D43">
        <w:t>*Data until 30 April 2018</w:t>
      </w:r>
    </w:p>
    <w:p w:rsidR="001A2DA7" w:rsidRDefault="001A2DA7" w:rsidP="00DA56B7">
      <w:r>
        <w:t>Interrogation</w:t>
      </w:r>
      <w:r w:rsidR="00864084">
        <w:t xml:space="preserve"> of this data indicates that i</w:t>
      </w:r>
      <w:r w:rsidR="002978BB">
        <w:t xml:space="preserve">ndustry has supported the uptake of eCTD </w:t>
      </w:r>
      <w:r w:rsidR="00B95ED9">
        <w:t>for the larger submissions</w:t>
      </w:r>
      <w:r w:rsidR="002978BB">
        <w:t xml:space="preserve"> </w:t>
      </w:r>
      <w:r w:rsidR="00B95ED9">
        <w:t xml:space="preserve">(i.e. </w:t>
      </w:r>
      <w:r w:rsidR="002978BB">
        <w:t>New Chemical and Biological Entities</w:t>
      </w:r>
      <w:r w:rsidR="001D46DA">
        <w:t>, Biosimilars and New Combinations</w:t>
      </w:r>
      <w:r w:rsidR="00B95ED9">
        <w:t>)</w:t>
      </w:r>
      <w:r w:rsidR="002978BB">
        <w:t xml:space="preserve">, </w:t>
      </w:r>
      <w:r w:rsidR="002978BB" w:rsidRPr="003E3960">
        <w:t xml:space="preserve">with </w:t>
      </w:r>
      <w:r w:rsidR="006E24A0">
        <w:t>95</w:t>
      </w:r>
      <w:r w:rsidR="002978BB" w:rsidRPr="003E3960">
        <w:t>% of these</w:t>
      </w:r>
      <w:r w:rsidR="002978BB">
        <w:t xml:space="preserve"> submitted in eCTD</w:t>
      </w:r>
      <w:r w:rsidR="00913F52">
        <w:t xml:space="preserve"> between 1 January </w:t>
      </w:r>
      <w:r w:rsidR="006E24A0">
        <w:t>2017</w:t>
      </w:r>
      <w:r w:rsidR="00913F52">
        <w:t xml:space="preserve"> and 30 April 2018</w:t>
      </w:r>
      <w:r w:rsidR="002978BB">
        <w:t>.</w:t>
      </w:r>
    </w:p>
    <w:p w:rsidR="00E439D0" w:rsidRDefault="002978BB" w:rsidP="003E274A">
      <w:r>
        <w:lastRenderedPageBreak/>
        <w:t>Generally the up</w:t>
      </w:r>
      <w:r w:rsidR="001A2DA7">
        <w:t>take</w:t>
      </w:r>
      <w:r>
        <w:t xml:space="preserve"> of eCTD has been highest for the Category 1 submissions</w:t>
      </w:r>
      <w:r w:rsidR="00E439D0">
        <w:t xml:space="preserve"> while many of the minor variations continue to be submitted in NeeS</w:t>
      </w:r>
      <w:r>
        <w:t>.</w:t>
      </w:r>
      <w:r w:rsidR="00E439D0">
        <w:t xml:space="preserve"> The high volume of minor variations is reflected in the NeeS versus eCTD percentages above.</w:t>
      </w:r>
    </w:p>
    <w:p w:rsidR="005017FE" w:rsidRDefault="00E439D0" w:rsidP="005017FE">
      <w:r>
        <w:t xml:space="preserve">Further </w:t>
      </w:r>
      <w:r w:rsidR="001A2DA7">
        <w:t>examination</w:t>
      </w:r>
      <w:r w:rsidR="000C296C">
        <w:t xml:space="preserve"> of</w:t>
      </w:r>
      <w:r w:rsidR="00B95ED9">
        <w:t xml:space="preserve"> this data show</w:t>
      </w:r>
      <w:r w:rsidR="001A2DA7">
        <w:t>s</w:t>
      </w:r>
      <w:r w:rsidR="00B95ED9">
        <w:t xml:space="preserve"> that the usage of eCTD by global companies is much more prevalent than for small Australian</w:t>
      </w:r>
      <w:r w:rsidR="007E3A80">
        <w:t>-</w:t>
      </w:r>
      <w:r w:rsidR="00B95ED9">
        <w:t>only companies</w:t>
      </w:r>
      <w:r w:rsidR="0006582C">
        <w:t xml:space="preserve"> and therefore many</w:t>
      </w:r>
      <w:r>
        <w:t xml:space="preserve"> of the transition support </w:t>
      </w:r>
      <w:r w:rsidR="0006582C">
        <w:t>programs will be targeted</w:t>
      </w:r>
      <w:r>
        <w:t xml:space="preserve"> towards smaller Australian</w:t>
      </w:r>
      <w:r w:rsidR="007E3A80">
        <w:t>-</w:t>
      </w:r>
      <w:r>
        <w:t>only companies</w:t>
      </w:r>
      <w:r w:rsidR="00B95ED9">
        <w:t>.</w:t>
      </w:r>
    </w:p>
    <w:p w:rsidR="005017FE" w:rsidRPr="00A03160" w:rsidRDefault="005017FE" w:rsidP="003E274A">
      <w:pPr>
        <w:pStyle w:val="Heading6"/>
      </w:pPr>
      <w:r>
        <w:t>Industry concerns regarding cost and training</w:t>
      </w:r>
    </w:p>
    <w:p w:rsidR="005017FE" w:rsidRDefault="00E00D0A" w:rsidP="003E274A">
      <w:r>
        <w:t>In March 2018, t</w:t>
      </w:r>
      <w:r w:rsidR="00A045D2">
        <w:t>he TGA undertook a survey of</w:t>
      </w:r>
      <w:r w:rsidR="005017FE">
        <w:t xml:space="preserve"> </w:t>
      </w:r>
      <w:r w:rsidR="00CD14C1">
        <w:t xml:space="preserve">a </w:t>
      </w:r>
      <w:r w:rsidR="00A045D2">
        <w:t xml:space="preserve">subset of prescription medicine sponsors, consultants and manufacturers who have submitted dossiers in the past 2 years </w:t>
      </w:r>
      <w:r w:rsidR="005017FE">
        <w:t>t</w:t>
      </w:r>
      <w:r w:rsidR="005017FE" w:rsidRPr="000D25BA">
        <w:t>o more clearly understand</w:t>
      </w:r>
      <w:r w:rsidR="00CD14C1">
        <w:t xml:space="preserve"> their</w:t>
      </w:r>
      <w:r w:rsidR="005017FE" w:rsidRPr="000D25BA">
        <w:t xml:space="preserve"> </w:t>
      </w:r>
      <w:r w:rsidR="005017FE">
        <w:t xml:space="preserve">readiness to transition to eCTD. This survey was sent to </w:t>
      </w:r>
      <w:r w:rsidR="005017FE" w:rsidRPr="008637DE">
        <w:t>78</w:t>
      </w:r>
      <w:r w:rsidR="005017FE">
        <w:t xml:space="preserve"> stakeholders, with 53 usable responses received.</w:t>
      </w:r>
    </w:p>
    <w:p w:rsidR="005017FE" w:rsidRDefault="005017FE" w:rsidP="003E274A">
      <w:r>
        <w:t xml:space="preserve">In relation to the format in which dossiers are submitted to the TGA, </w:t>
      </w:r>
      <w:r w:rsidR="0006582C">
        <w:t>responses</w:t>
      </w:r>
      <w:r>
        <w:t xml:space="preserve"> </w:t>
      </w:r>
      <w:r w:rsidR="00B95ED9">
        <w:t xml:space="preserve">showed that </w:t>
      </w:r>
      <w:r w:rsidR="00E439D0">
        <w:t>the majority</w:t>
      </w:r>
      <w:r w:rsidR="0006582C">
        <w:t xml:space="preserve"> of those surveyed</w:t>
      </w:r>
      <w:r w:rsidR="00E439D0">
        <w:t xml:space="preserve"> </w:t>
      </w:r>
      <w:r w:rsidR="00786FF1">
        <w:t xml:space="preserve">maintain some </w:t>
      </w:r>
      <w:r w:rsidR="0006582C">
        <w:t>medicines in NeeS and provide newer medicines in eCTD</w:t>
      </w:r>
      <w:r w:rsidR="00786FF1">
        <w:t>, as shown by the data below:</w:t>
      </w:r>
    </w:p>
    <w:p w:rsidR="005017FE" w:rsidRPr="003E274A" w:rsidRDefault="005017FE" w:rsidP="003E274A">
      <w:pPr>
        <w:pStyle w:val="ListBullet"/>
      </w:pPr>
      <w:r w:rsidRPr="003E274A">
        <w:t>eCTD only - 15% (8/53)</w:t>
      </w:r>
    </w:p>
    <w:p w:rsidR="005017FE" w:rsidRPr="003E274A" w:rsidRDefault="005017FE" w:rsidP="003E274A">
      <w:pPr>
        <w:pStyle w:val="ListBullet"/>
      </w:pPr>
      <w:r w:rsidRPr="003E274A">
        <w:t>Both eCTD and NeeS - 66% (35/53)</w:t>
      </w:r>
    </w:p>
    <w:p w:rsidR="005017FE" w:rsidRDefault="005017FE" w:rsidP="003E274A">
      <w:pPr>
        <w:pStyle w:val="ListBullet"/>
      </w:pPr>
      <w:r w:rsidRPr="003E274A">
        <w:t>NeeS only - 19</w:t>
      </w:r>
      <w:r>
        <w:t>% (10/53)</w:t>
      </w:r>
    </w:p>
    <w:p w:rsidR="005017FE" w:rsidRDefault="005017FE" w:rsidP="003E274A">
      <w:r>
        <w:t>NeeS</w:t>
      </w:r>
      <w:r w:rsidR="007E3A80">
        <w:t>-</w:t>
      </w:r>
      <w:r>
        <w:t>only respondents stated cost, workload and training needs as the major reasons for remaining in NeeS</w:t>
      </w:r>
      <w:r w:rsidR="001C1E20">
        <w:t xml:space="preserve">. We </w:t>
      </w:r>
      <w:r w:rsidR="00547F36">
        <w:t>plan</w:t>
      </w:r>
      <w:r w:rsidR="001C1E20">
        <w:t xml:space="preserve"> to </w:t>
      </w:r>
      <w:r w:rsidR="00427196">
        <w:t>work with</w:t>
      </w:r>
      <w:r w:rsidR="001C1E20">
        <w:t xml:space="preserve"> this group to encourage and streamline the transition by overcoming the highlighted barriers wherever possible.</w:t>
      </w:r>
    </w:p>
    <w:p w:rsidR="005017FE" w:rsidRDefault="005017FE" w:rsidP="003E274A">
      <w:r>
        <w:t>Respondents that ind</w:t>
      </w:r>
      <w:r w:rsidR="007E3A80">
        <w:t>icated they submit in both eCTD-and-</w:t>
      </w:r>
      <w:r>
        <w:t>NeeS were asked what percentage of their current product range is managed in NeeS. Nine (9) stated less than 50% and 22 stated greater than 50%, with an additional 4 not providing a response.</w:t>
      </w:r>
    </w:p>
    <w:p w:rsidR="005017FE" w:rsidRDefault="005017FE" w:rsidP="003E274A">
      <w:r>
        <w:t>When asked about plans to transition to eCTD</w:t>
      </w:r>
      <w:r w:rsidR="007E3A80">
        <w:t>-</w:t>
      </w:r>
      <w:r>
        <w:t>only dossiers</w:t>
      </w:r>
      <w:r w:rsidR="009E2942">
        <w:t>,</w:t>
      </w:r>
      <w:r>
        <w:t xml:space="preserve"> </w:t>
      </w:r>
      <w:r w:rsidRPr="00BE657A">
        <w:t xml:space="preserve">16 </w:t>
      </w:r>
      <w:r>
        <w:t>indicated they do not have a current plan to transition to eCTD for all submissions</w:t>
      </w:r>
      <w:r w:rsidR="007E1DF0">
        <w:t>,</w:t>
      </w:r>
      <w:r>
        <w:t xml:space="preserve"> citing </w:t>
      </w:r>
      <w:r w:rsidR="007E1DF0">
        <w:t xml:space="preserve">the </w:t>
      </w:r>
      <w:r>
        <w:t>cost, training and workload</w:t>
      </w:r>
      <w:r w:rsidR="007E1DF0">
        <w:t xml:space="preserve"> required</w:t>
      </w:r>
      <w:r>
        <w:t xml:space="preserve"> to transition older products as the main reasons for remaining in NeeS.</w:t>
      </w:r>
    </w:p>
    <w:p w:rsidR="005017FE" w:rsidRDefault="005017FE" w:rsidP="005017FE">
      <w:r>
        <w:t>In addition to this, the majority of the NeeS</w:t>
      </w:r>
      <w:r w:rsidR="007E3A80">
        <w:t>-</w:t>
      </w:r>
      <w:r>
        <w:t>and</w:t>
      </w:r>
      <w:r w:rsidR="007E3A80">
        <w:t>-</w:t>
      </w:r>
      <w:r>
        <w:t>eCTD respondents stated that older products will remain in NeeS due to the small number of minor application</w:t>
      </w:r>
      <w:r w:rsidR="00C95B13">
        <w:t xml:space="preserve"> type</w:t>
      </w:r>
      <w:r>
        <w:t xml:space="preserve">s submitted and for convenience, while new products </w:t>
      </w:r>
      <w:r w:rsidR="00851EBA">
        <w:t>will continue to be</w:t>
      </w:r>
      <w:r>
        <w:t xml:space="preserve"> submitted in eCTD.</w:t>
      </w:r>
    </w:p>
    <w:p w:rsidR="005017FE" w:rsidRPr="00924696" w:rsidRDefault="005017FE" w:rsidP="003E274A">
      <w:r>
        <w:t>For those with a transition plan</w:t>
      </w:r>
      <w:r w:rsidR="00CD14C1">
        <w:t>,</w:t>
      </w:r>
      <w:r>
        <w:t xml:space="preserve"> the timeframes ranged from ‘</w:t>
      </w:r>
      <w:r w:rsidRPr="00321FDD">
        <w:rPr>
          <w:i/>
        </w:rPr>
        <w:t>well underway now</w:t>
      </w:r>
      <w:r>
        <w:t>’ to ‘</w:t>
      </w:r>
      <w:r w:rsidRPr="007F4140">
        <w:rPr>
          <w:i/>
        </w:rPr>
        <w:t>in 3 years</w:t>
      </w:r>
      <w:r>
        <w:t>’.</w:t>
      </w:r>
    </w:p>
    <w:p w:rsidR="005017FE" w:rsidRDefault="005017FE" w:rsidP="003E274A">
      <w:r>
        <w:t xml:space="preserve">Additional concerns </w:t>
      </w:r>
      <w:r w:rsidR="00C53505">
        <w:t xml:space="preserve">that were </w:t>
      </w:r>
      <w:r>
        <w:t>raised as part of the survey included:</w:t>
      </w:r>
    </w:p>
    <w:p w:rsidR="005017FE" w:rsidRDefault="005017FE" w:rsidP="005017FE">
      <w:pPr>
        <w:pStyle w:val="ListBullet"/>
      </w:pPr>
      <w:r>
        <w:t>a lack of eCTD expertise in Australian companies</w:t>
      </w:r>
      <w:r w:rsidR="007E3A80">
        <w:t>;</w:t>
      </w:r>
    </w:p>
    <w:p w:rsidR="005017FE" w:rsidRDefault="005017FE" w:rsidP="005017FE">
      <w:pPr>
        <w:pStyle w:val="ListBullet"/>
      </w:pPr>
      <w:r>
        <w:t>business requirements to have eCTD publishing occur at global head offices and the impact of this</w:t>
      </w:r>
      <w:r w:rsidR="00E00D0A">
        <w:t xml:space="preserve"> on response timeframes</w:t>
      </w:r>
      <w:r w:rsidR="007E3A80">
        <w:t>; and</w:t>
      </w:r>
    </w:p>
    <w:p w:rsidR="005017FE" w:rsidRDefault="005017FE" w:rsidP="005017FE">
      <w:pPr>
        <w:pStyle w:val="ListBullet"/>
      </w:pPr>
      <w:r>
        <w:t>a lack of clarity on baseline requirements and the process to transition to eCTD.</w:t>
      </w:r>
    </w:p>
    <w:p w:rsidR="00427196" w:rsidRDefault="00427196" w:rsidP="003E274A">
      <w:r>
        <w:t>Further comment</w:t>
      </w:r>
      <w:r w:rsidR="0006582C">
        <w:t>s</w:t>
      </w:r>
      <w:r>
        <w:t xml:space="preserve"> on these survey results will help shape our </w:t>
      </w:r>
      <w:r w:rsidR="0006582C">
        <w:t xml:space="preserve">transition </w:t>
      </w:r>
      <w:r>
        <w:t>support programs.</w:t>
      </w:r>
    </w:p>
    <w:p w:rsidR="0080393C" w:rsidRPr="006F23D0" w:rsidRDefault="0080393C" w:rsidP="003E274A">
      <w:pPr>
        <w:pStyle w:val="Heading4"/>
      </w:pPr>
      <w:bookmarkStart w:id="16" w:name="_Toc527966042"/>
      <w:r>
        <w:lastRenderedPageBreak/>
        <w:t>Alignment with Australian Government policy</w:t>
      </w:r>
      <w:bookmarkEnd w:id="16"/>
    </w:p>
    <w:p w:rsidR="0080393C" w:rsidRPr="009345CE" w:rsidRDefault="0080393C" w:rsidP="003E274A">
      <w:pPr>
        <w:pStyle w:val="Heading5"/>
      </w:pPr>
      <w:r w:rsidRPr="009345CE">
        <w:t>Digital Transformation Agenda</w:t>
      </w:r>
    </w:p>
    <w:p w:rsidR="009E2942" w:rsidRDefault="009E2942" w:rsidP="0080393C">
      <w:r>
        <w:t xml:space="preserve">The Digital </w:t>
      </w:r>
      <w:r w:rsidRPr="003E274A">
        <w:t xml:space="preserve">Transformation Agenda aims to </w:t>
      </w:r>
      <w:r w:rsidR="0080393C" w:rsidRPr="003E274A">
        <w:t>deliver simpler, clearer and faster government services. To c</w:t>
      </w:r>
      <w:r w:rsidR="0080393C">
        <w:t xml:space="preserve">ontribute to delivering this mandate, </w:t>
      </w:r>
      <w:r w:rsidR="00B43AF5">
        <w:t xml:space="preserve">the Department of </w:t>
      </w:r>
      <w:r w:rsidR="0080393C">
        <w:t>Health created a Digital Strategy</w:t>
      </w:r>
      <w:r w:rsidR="0080393C">
        <w:rPr>
          <w:rStyle w:val="FootnoteReference"/>
        </w:rPr>
        <w:footnoteReference w:id="6"/>
      </w:r>
      <w:r>
        <w:t>.</w:t>
      </w:r>
    </w:p>
    <w:p w:rsidR="0080393C" w:rsidRDefault="0080393C" w:rsidP="003E274A">
      <w:r>
        <w:t>The transition to eCTD supports this agenda by enhancing TGA’s regulatory efficiencies</w:t>
      </w:r>
      <w:r w:rsidR="00CD14C1">
        <w:t xml:space="preserve">, thus further </w:t>
      </w:r>
      <w:r w:rsidR="00D14107">
        <w:t>enabl</w:t>
      </w:r>
      <w:r w:rsidR="00CD14C1">
        <w:t>ing</w:t>
      </w:r>
      <w:r w:rsidR="00D14107">
        <w:t xml:space="preserve"> </w:t>
      </w:r>
      <w:r>
        <w:t>the provision of expedited market authorisation pathways.</w:t>
      </w:r>
    </w:p>
    <w:p w:rsidR="0080393C" w:rsidRPr="009345CE" w:rsidRDefault="0080393C" w:rsidP="003E274A">
      <w:pPr>
        <w:pStyle w:val="Heading6"/>
      </w:pPr>
      <w:r w:rsidRPr="009345CE">
        <w:t>International Engagement framework</w:t>
      </w:r>
    </w:p>
    <w:p w:rsidR="0080393C" w:rsidRDefault="0080393C" w:rsidP="003E274A">
      <w:r>
        <w:t>The Department of Health has developed an International Engagement framework</w:t>
      </w:r>
      <w:r>
        <w:rPr>
          <w:rStyle w:val="FootnoteReference"/>
        </w:rPr>
        <w:footnoteReference w:id="7"/>
      </w:r>
      <w:r>
        <w:t xml:space="preserve"> to </w:t>
      </w:r>
      <w:r w:rsidRPr="00DE5651">
        <w:t>position the Department to align domestic and international agendas, address shared challenges with valued partners, and provide Australian leadership where appropriate.</w:t>
      </w:r>
    </w:p>
    <w:p w:rsidR="0080393C" w:rsidRDefault="0080393C" w:rsidP="003E274A">
      <w:r>
        <w:t>This is central to our international efforts, with internationally harmonised standards helping reduce regulatory burden, enhance consumer access to innovative products and services, and avoid technical barriers to trade. Regulatory cooperation will prepare Australia for the implications of increased foreign investment and the impact of product shortages, while positioning us to offer and access reliable products in a growing international market.</w:t>
      </w:r>
    </w:p>
    <w:p w:rsidR="0080393C" w:rsidRPr="003E274A" w:rsidRDefault="0080393C" w:rsidP="003E274A">
      <w:pPr>
        <w:pStyle w:val="Heading4"/>
      </w:pPr>
      <w:bookmarkStart w:id="17" w:name="_Toc527966043"/>
      <w:r>
        <w:t xml:space="preserve">International </w:t>
      </w:r>
      <w:r w:rsidR="00EA0442">
        <w:t>c</w:t>
      </w:r>
      <w:r>
        <w:t>onsiderations</w:t>
      </w:r>
      <w:bookmarkEnd w:id="17"/>
    </w:p>
    <w:p w:rsidR="0080393C" w:rsidRPr="009345CE" w:rsidRDefault="0080393C" w:rsidP="003E274A">
      <w:pPr>
        <w:pStyle w:val="Heading5"/>
      </w:pPr>
      <w:r w:rsidRPr="009345CE">
        <w:t xml:space="preserve">Enhance </w:t>
      </w:r>
      <w:r w:rsidRPr="003E274A">
        <w:t>international</w:t>
      </w:r>
      <w:r w:rsidRPr="009345CE">
        <w:t xml:space="preserve"> </w:t>
      </w:r>
      <w:r w:rsidRPr="003E274A">
        <w:t>collaboration</w:t>
      </w:r>
      <w:r w:rsidRPr="009345CE">
        <w:t xml:space="preserve"> and work-sharing</w:t>
      </w:r>
    </w:p>
    <w:p w:rsidR="00A7509B" w:rsidRDefault="00A7509B" w:rsidP="003E274A">
      <w:r>
        <w:t>T</w:t>
      </w:r>
      <w:r w:rsidR="0080393C">
        <w:t xml:space="preserve">he </w:t>
      </w:r>
      <w:hyperlink r:id="rId14" w:history="1">
        <w:r w:rsidR="0080393C" w:rsidRPr="00D10F3E">
          <w:rPr>
            <w:rStyle w:val="Hyperlink"/>
          </w:rPr>
          <w:t>Review of Medicines and Medical Devices Regulation</w:t>
        </w:r>
      </w:hyperlink>
      <w:r w:rsidR="0080393C">
        <w:t xml:space="preserve"> (MMDR)</w:t>
      </w:r>
      <w:r>
        <w:t xml:space="preserve"> recommended that we better utilise opportunities to work-share with CORs. To facilitate this work we must align our dossier formats. Globally</w:t>
      </w:r>
      <w:r w:rsidR="00CD14C1">
        <w:t>,</w:t>
      </w:r>
      <w:r>
        <w:t xml:space="preserve"> CORs are transitioning </w:t>
      </w:r>
      <w:r w:rsidR="00D447DB">
        <w:t>to eCTD</w:t>
      </w:r>
      <w:r w:rsidR="007E3A80">
        <w:t>-</w:t>
      </w:r>
      <w:r w:rsidR="00D447DB">
        <w:t>only</w:t>
      </w:r>
      <w:r w:rsidR="007E3A80">
        <w:t xml:space="preserve"> </w:t>
      </w:r>
      <w:r w:rsidR="00D447DB">
        <w:t>dossiers</w:t>
      </w:r>
      <w:r w:rsidR="00CD14C1">
        <w:t>.</w:t>
      </w:r>
      <w:r>
        <w:t xml:space="preserve"> </w:t>
      </w:r>
      <w:r w:rsidR="00D447DB">
        <w:t>Therefore</w:t>
      </w:r>
      <w:r w:rsidR="00CD14C1">
        <w:t>,</w:t>
      </w:r>
      <w:r w:rsidR="00D447DB">
        <w:t xml:space="preserve"> t</w:t>
      </w:r>
      <w:r>
        <w:t>o continue and to increase our collaboration, we must also transition. Health Canada, EMA and FDA are well underway with this transition.</w:t>
      </w:r>
    </w:p>
    <w:p w:rsidR="0080393C" w:rsidRDefault="0080393C" w:rsidP="000C2120">
      <w:r>
        <w:t xml:space="preserve">As an observer on the ICH M8 IWG responsible for the development and implementation of eCTD, we are currently collaborating with other </w:t>
      </w:r>
      <w:r w:rsidRPr="003E274A">
        <w:t>regulators</w:t>
      </w:r>
      <w:r>
        <w:t xml:space="preserve"> on the development and revision of eCTD specifications</w:t>
      </w:r>
      <w:r w:rsidR="009D7FC1">
        <w:t>,</w:t>
      </w:r>
      <w:r>
        <w:t xml:space="preserve"> i</w:t>
      </w:r>
      <w:r w:rsidR="007E3A80">
        <w:t>ncluding fixes for the current v</w:t>
      </w:r>
      <w:r w:rsidR="00D447DB">
        <w:t xml:space="preserve">ersion </w:t>
      </w:r>
      <w:r>
        <w:t>3.2.2</w:t>
      </w:r>
      <w:r w:rsidR="007E3A80">
        <w:t xml:space="preserve"> and development of the v</w:t>
      </w:r>
      <w:r>
        <w:t xml:space="preserve">ersion 4.0 specifications. </w:t>
      </w:r>
      <w:r w:rsidR="005F61E1">
        <w:t>To continue to collaborate and comment on this important work our focus needs to be on</w:t>
      </w:r>
      <w:r w:rsidR="00AE0ED6">
        <w:t xml:space="preserve"> the</w:t>
      </w:r>
      <w:r w:rsidR="005F61E1">
        <w:t xml:space="preserve"> eCTD format.</w:t>
      </w:r>
    </w:p>
    <w:p w:rsidR="0068418F" w:rsidRDefault="0068418F" w:rsidP="000C2120">
      <w:pPr>
        <w:pStyle w:val="Heading2"/>
      </w:pPr>
      <w:bookmarkStart w:id="18" w:name="_Toc527966044"/>
      <w:r>
        <w:t xml:space="preserve">Proposed </w:t>
      </w:r>
      <w:r w:rsidR="00EA0442" w:rsidRPr="000C2120">
        <w:t>c</w:t>
      </w:r>
      <w:r w:rsidR="0067797B" w:rsidRPr="000C2120">
        <w:t>hange</w:t>
      </w:r>
      <w:bookmarkEnd w:id="18"/>
    </w:p>
    <w:p w:rsidR="00D01B34" w:rsidRPr="00D01B34" w:rsidRDefault="005017FE" w:rsidP="000C2120">
      <w:r>
        <w:t>Based on the information highlighted above</w:t>
      </w:r>
      <w:r w:rsidR="006C1CAB">
        <w:t>, the</w:t>
      </w:r>
      <w:r>
        <w:t xml:space="preserve"> TGA</w:t>
      </w:r>
      <w:r w:rsidR="009936B1">
        <w:t xml:space="preserve"> </w:t>
      </w:r>
      <w:r w:rsidR="00D01B34">
        <w:t>proposes to mandate the use of the eCTD format for all prescription medicine dossiers</w:t>
      </w:r>
      <w:r w:rsidR="006C1CAB">
        <w:t>.</w:t>
      </w:r>
    </w:p>
    <w:p w:rsidR="001C14E7" w:rsidRDefault="00A7509B" w:rsidP="000C2120">
      <w:pPr>
        <w:pStyle w:val="Heading3"/>
      </w:pPr>
      <w:bookmarkStart w:id="19" w:name="_Toc527966045"/>
      <w:r>
        <w:lastRenderedPageBreak/>
        <w:t>Applications i</w:t>
      </w:r>
      <w:r w:rsidR="001C14E7">
        <w:t>ncluded</w:t>
      </w:r>
      <w:r>
        <w:t xml:space="preserve"> in a future eCTD requirement</w:t>
      </w:r>
      <w:bookmarkEnd w:id="19"/>
    </w:p>
    <w:p w:rsidR="00987672" w:rsidRDefault="00987672" w:rsidP="000C2120">
      <w:pPr>
        <w:pStyle w:val="ListBullet"/>
        <w:keepNext/>
        <w:keepLines/>
      </w:pPr>
      <w:r>
        <w:t xml:space="preserve">Prescription medicine </w:t>
      </w:r>
      <w:r w:rsidRPr="000C2120">
        <w:t>application</w:t>
      </w:r>
      <w:r>
        <w:t xml:space="preserve"> types:</w:t>
      </w:r>
    </w:p>
    <w:p w:rsidR="00077C0B" w:rsidRDefault="00077C0B" w:rsidP="000C2120">
      <w:pPr>
        <w:pStyle w:val="ListBullet2"/>
      </w:pPr>
      <w:r>
        <w:t>Category 1</w:t>
      </w:r>
      <w:r w:rsidR="00987672">
        <w:t xml:space="preserve"> </w:t>
      </w:r>
      <w:r w:rsidR="00987672" w:rsidRPr="000C2120">
        <w:t>applications</w:t>
      </w:r>
      <w:r w:rsidR="00987672">
        <w:t xml:space="preserve"> via the standard pathway</w:t>
      </w:r>
    </w:p>
    <w:p w:rsidR="00077C0B" w:rsidRDefault="00077C0B" w:rsidP="000C2120">
      <w:pPr>
        <w:pStyle w:val="ListBullet3"/>
      </w:pPr>
      <w:r>
        <w:t xml:space="preserve">New </w:t>
      </w:r>
      <w:r w:rsidRPr="000C2120">
        <w:t>Chemical</w:t>
      </w:r>
      <w:r>
        <w:t xml:space="preserve"> Entity</w:t>
      </w:r>
    </w:p>
    <w:p w:rsidR="00077C0B" w:rsidRDefault="00077C0B" w:rsidP="001C14E7">
      <w:pPr>
        <w:pStyle w:val="ListBullet3"/>
      </w:pPr>
      <w:r>
        <w:t>New Biological Entity</w:t>
      </w:r>
    </w:p>
    <w:p w:rsidR="00077C0B" w:rsidRDefault="00077C0B" w:rsidP="001C14E7">
      <w:pPr>
        <w:pStyle w:val="ListBullet3"/>
      </w:pPr>
      <w:r>
        <w:t>Biosimilar</w:t>
      </w:r>
    </w:p>
    <w:p w:rsidR="00077C0B" w:rsidRDefault="00077C0B" w:rsidP="001C14E7">
      <w:pPr>
        <w:pStyle w:val="ListBullet3"/>
      </w:pPr>
      <w:r>
        <w:t>New Combination</w:t>
      </w:r>
    </w:p>
    <w:p w:rsidR="00077C0B" w:rsidRDefault="00077C0B" w:rsidP="001C14E7">
      <w:pPr>
        <w:pStyle w:val="ListBullet3"/>
      </w:pPr>
      <w:r>
        <w:t>Extension of Indications</w:t>
      </w:r>
    </w:p>
    <w:p w:rsidR="00077C0B" w:rsidRDefault="00077C0B" w:rsidP="001C14E7">
      <w:pPr>
        <w:pStyle w:val="ListBullet3"/>
      </w:pPr>
      <w:r>
        <w:t>Major Variation</w:t>
      </w:r>
    </w:p>
    <w:p w:rsidR="00077C0B" w:rsidRDefault="00077C0B" w:rsidP="001C14E7">
      <w:pPr>
        <w:pStyle w:val="ListBullet3"/>
      </w:pPr>
      <w:r>
        <w:t>New Generic Product</w:t>
      </w:r>
    </w:p>
    <w:p w:rsidR="00077C0B" w:rsidRDefault="00077C0B" w:rsidP="001C14E7">
      <w:pPr>
        <w:pStyle w:val="ListBullet3"/>
      </w:pPr>
      <w:r>
        <w:t>Minor Variation</w:t>
      </w:r>
    </w:p>
    <w:p w:rsidR="00077C0B" w:rsidRDefault="00077C0B" w:rsidP="001C14E7">
      <w:pPr>
        <w:pStyle w:val="ListBullet3"/>
      </w:pPr>
      <w:r>
        <w:t>Changes to PI involving the evaluation of data</w:t>
      </w:r>
    </w:p>
    <w:p w:rsidR="00987672" w:rsidRDefault="00987672" w:rsidP="001C14E7">
      <w:pPr>
        <w:pStyle w:val="ListBullet3"/>
      </w:pPr>
      <w:r>
        <w:t>Extension of Indications – Generic Product</w:t>
      </w:r>
    </w:p>
    <w:p w:rsidR="00987672" w:rsidRDefault="00987672" w:rsidP="001C14E7">
      <w:pPr>
        <w:pStyle w:val="ListBullet2"/>
      </w:pPr>
      <w:r>
        <w:t>Additional Trade Name</w:t>
      </w:r>
    </w:p>
    <w:p w:rsidR="00987672" w:rsidRDefault="00987672" w:rsidP="001C14E7">
      <w:pPr>
        <w:pStyle w:val="ListBullet2"/>
      </w:pPr>
      <w:r>
        <w:t>Category 3 – Variation involving only chemistry, quality control and manufacturing information</w:t>
      </w:r>
    </w:p>
    <w:p w:rsidR="00C22244" w:rsidRDefault="00C22244" w:rsidP="001C14E7">
      <w:pPr>
        <w:pStyle w:val="ListBullet2"/>
      </w:pPr>
      <w:r>
        <w:t>Minor Variations</w:t>
      </w:r>
    </w:p>
    <w:p w:rsidR="00987672" w:rsidRDefault="00987672" w:rsidP="001C14E7">
      <w:pPr>
        <w:pStyle w:val="ListBullet3"/>
      </w:pPr>
      <w:r>
        <w:t>MEC – Changes to PI where no evaluation is required</w:t>
      </w:r>
    </w:p>
    <w:p w:rsidR="00987672" w:rsidRDefault="00987672" w:rsidP="001C14E7">
      <w:pPr>
        <w:pStyle w:val="ListBullet3"/>
      </w:pPr>
      <w:r>
        <w:t>SRR – Safety Related Request with or without evaluation of data</w:t>
      </w:r>
    </w:p>
    <w:p w:rsidR="00987672" w:rsidRDefault="00987672" w:rsidP="001C14E7">
      <w:pPr>
        <w:pStyle w:val="ListBullet3"/>
      </w:pPr>
      <w:r>
        <w:t xml:space="preserve">SAR </w:t>
      </w:r>
      <w:r w:rsidR="009D7FC1">
        <w:t>–</w:t>
      </w:r>
      <w:r>
        <w:t xml:space="preserve"> Self Assessable Request</w:t>
      </w:r>
    </w:p>
    <w:p w:rsidR="00987672" w:rsidRDefault="00987672" w:rsidP="001C14E7">
      <w:pPr>
        <w:pStyle w:val="ListBullet3"/>
      </w:pPr>
      <w:r>
        <w:t xml:space="preserve">9D(1) </w:t>
      </w:r>
      <w:r w:rsidR="009D7FC1">
        <w:t xml:space="preserve">– </w:t>
      </w:r>
      <w:r>
        <w:t>Correction of a Register Entry</w:t>
      </w:r>
    </w:p>
    <w:p w:rsidR="00C22244" w:rsidRDefault="00C22244" w:rsidP="001C14E7">
      <w:pPr>
        <w:pStyle w:val="ListBullet3"/>
      </w:pPr>
      <w:r w:rsidRPr="00C22244">
        <w:t xml:space="preserve">S14 </w:t>
      </w:r>
      <w:r w:rsidR="009D7FC1">
        <w:t xml:space="preserve">– </w:t>
      </w:r>
      <w:r w:rsidRPr="00C22244">
        <w:t>Consent under S14 to waive compliance</w:t>
      </w:r>
    </w:p>
    <w:p w:rsidR="003C1B03" w:rsidRDefault="00987672" w:rsidP="001C14E7">
      <w:pPr>
        <w:pStyle w:val="ListBullet2"/>
      </w:pPr>
      <w:r>
        <w:t>Notification</w:t>
      </w:r>
      <w:r w:rsidR="001C14E7">
        <w:t>s</w:t>
      </w:r>
    </w:p>
    <w:p w:rsidR="00987672" w:rsidRDefault="00C95B13" w:rsidP="001C14E7">
      <w:pPr>
        <w:pStyle w:val="ListBullet"/>
      </w:pPr>
      <w:r>
        <w:t>Other non-applications</w:t>
      </w:r>
      <w:r w:rsidR="005046B0">
        <w:t xml:space="preserve"> related to prescription medicines</w:t>
      </w:r>
      <w:r w:rsidR="005017FE">
        <w:t>:</w:t>
      </w:r>
    </w:p>
    <w:p w:rsidR="00987672" w:rsidRDefault="00987672" w:rsidP="001C14E7">
      <w:pPr>
        <w:pStyle w:val="ListBullet2"/>
      </w:pPr>
      <w:r>
        <w:t>Master Files</w:t>
      </w:r>
    </w:p>
    <w:p w:rsidR="00987672" w:rsidRDefault="00987672" w:rsidP="001C14E7">
      <w:pPr>
        <w:pStyle w:val="ListBullet2"/>
      </w:pPr>
      <w:r>
        <w:t xml:space="preserve">Periodic </w:t>
      </w:r>
      <w:r w:rsidR="003C1B03">
        <w:t>Safety Update Reports</w:t>
      </w:r>
    </w:p>
    <w:p w:rsidR="003C1B03" w:rsidRDefault="003C1B03" w:rsidP="001C14E7">
      <w:pPr>
        <w:pStyle w:val="ListBullet2"/>
      </w:pPr>
      <w:r>
        <w:t>Risk Management Plans</w:t>
      </w:r>
    </w:p>
    <w:p w:rsidR="0067797B" w:rsidRDefault="001C14E7" w:rsidP="000C2120">
      <w:pPr>
        <w:pStyle w:val="Heading3"/>
      </w:pPr>
      <w:bookmarkStart w:id="20" w:name="_Toc527966046"/>
      <w:r>
        <w:t xml:space="preserve">Not </w:t>
      </w:r>
      <w:r w:rsidRPr="000C2120">
        <w:t>included</w:t>
      </w:r>
      <w:r w:rsidR="00A7509B">
        <w:t xml:space="preserve"> in a future eCTD requirement</w:t>
      </w:r>
      <w:bookmarkEnd w:id="20"/>
    </w:p>
    <w:p w:rsidR="0067797B" w:rsidRDefault="00186343" w:rsidP="000C2120">
      <w:r>
        <w:t>T</w:t>
      </w:r>
      <w:r w:rsidR="0067797B">
        <w:t xml:space="preserve">he following are out of </w:t>
      </w:r>
      <w:r w:rsidR="009D7FC1">
        <w:t xml:space="preserve">the </w:t>
      </w:r>
      <w:r w:rsidR="0067797B">
        <w:t xml:space="preserve">scope for filing </w:t>
      </w:r>
      <w:r w:rsidR="00E5498F">
        <w:t>in</w:t>
      </w:r>
      <w:r w:rsidR="0067797B">
        <w:t xml:space="preserve"> eCTD</w:t>
      </w:r>
      <w:r w:rsidR="00E5498F">
        <w:t>:</w:t>
      </w:r>
    </w:p>
    <w:p w:rsidR="0067797B" w:rsidRDefault="0067797B" w:rsidP="000C2120">
      <w:pPr>
        <w:pStyle w:val="ListBullet"/>
      </w:pPr>
      <w:r w:rsidRPr="000C2120">
        <w:t>Medical</w:t>
      </w:r>
      <w:r>
        <w:t xml:space="preserve"> Devices</w:t>
      </w:r>
    </w:p>
    <w:p w:rsidR="0067797B" w:rsidRDefault="0067797B" w:rsidP="001C14E7">
      <w:pPr>
        <w:pStyle w:val="ListBullet"/>
      </w:pPr>
      <w:r>
        <w:t>Listed Medicines</w:t>
      </w:r>
    </w:p>
    <w:p w:rsidR="00077C0B" w:rsidRDefault="00077C0B" w:rsidP="001C14E7">
      <w:pPr>
        <w:pStyle w:val="ListBullet"/>
      </w:pPr>
      <w:r>
        <w:lastRenderedPageBreak/>
        <w:t>Designation</w:t>
      </w:r>
      <w:r w:rsidR="00E5498F">
        <w:t xml:space="preserve"> and </w:t>
      </w:r>
      <w:r w:rsidR="000C296C">
        <w:t>D</w:t>
      </w:r>
      <w:r w:rsidR="00E5498F">
        <w:t>etermination</w:t>
      </w:r>
      <w:r>
        <w:t xml:space="preserve"> applications</w:t>
      </w:r>
    </w:p>
    <w:p w:rsidR="00077C0B" w:rsidRDefault="00186343" w:rsidP="000C2120">
      <w:r>
        <w:t>T</w:t>
      </w:r>
      <w:r w:rsidR="00077C0B">
        <w:t xml:space="preserve">he following can be provided within the eCTD format, however </w:t>
      </w:r>
      <w:r w:rsidR="00C133BB">
        <w:t>filing in eCTD is not mandatory</w:t>
      </w:r>
      <w:r w:rsidR="001C14E7">
        <w:t>:</w:t>
      </w:r>
    </w:p>
    <w:p w:rsidR="00C133BB" w:rsidRPr="000C2120" w:rsidRDefault="00C133BB" w:rsidP="000C2120">
      <w:pPr>
        <w:pStyle w:val="ListBullet"/>
      </w:pPr>
      <w:r w:rsidRPr="000C2120">
        <w:t>Biologicals</w:t>
      </w:r>
      <w:r w:rsidR="001C14E7" w:rsidRPr="000C2120">
        <w:t xml:space="preserve"> / Biological Master Files</w:t>
      </w:r>
    </w:p>
    <w:p w:rsidR="00E00D0A" w:rsidRPr="000C2120" w:rsidRDefault="00E00D0A" w:rsidP="000C2120">
      <w:pPr>
        <w:pStyle w:val="ListBullet"/>
      </w:pPr>
      <w:r w:rsidRPr="000C2120">
        <w:t>Clinical Trials</w:t>
      </w:r>
    </w:p>
    <w:p w:rsidR="00077C0B" w:rsidRPr="000C2120" w:rsidRDefault="00077C0B" w:rsidP="000C2120">
      <w:pPr>
        <w:pStyle w:val="ListBullet"/>
      </w:pPr>
      <w:r w:rsidRPr="000C2120">
        <w:t xml:space="preserve">Over the </w:t>
      </w:r>
      <w:r w:rsidR="000C296C" w:rsidRPr="000C2120">
        <w:t>C</w:t>
      </w:r>
      <w:r w:rsidRPr="000C2120">
        <w:t xml:space="preserve">ounter </w:t>
      </w:r>
      <w:r w:rsidR="000C296C" w:rsidRPr="000C2120">
        <w:t>M</w:t>
      </w:r>
      <w:r w:rsidRPr="000C2120">
        <w:t>edicines</w:t>
      </w:r>
    </w:p>
    <w:p w:rsidR="00987672" w:rsidRDefault="00077C0B" w:rsidP="000C2120">
      <w:pPr>
        <w:pStyle w:val="ListBullet"/>
      </w:pPr>
      <w:r w:rsidRPr="000C2120">
        <w:t>Registered</w:t>
      </w:r>
      <w:r>
        <w:t xml:space="preserve"> </w:t>
      </w:r>
      <w:r w:rsidR="000C296C">
        <w:t>C</w:t>
      </w:r>
      <w:r>
        <w:t xml:space="preserve">omplementary </w:t>
      </w:r>
      <w:r w:rsidR="000C296C">
        <w:t>M</w:t>
      </w:r>
      <w:r>
        <w:t>edicines</w:t>
      </w:r>
    </w:p>
    <w:tbl>
      <w:tblPr>
        <w:tblW w:w="9036" w:type="dxa"/>
        <w:tblLayout w:type="fixed"/>
        <w:tblCellMar>
          <w:left w:w="0" w:type="dxa"/>
          <w:right w:w="0" w:type="dxa"/>
        </w:tblCellMar>
        <w:tblLook w:val="04A0" w:firstRow="1" w:lastRow="0" w:firstColumn="1" w:lastColumn="0" w:noHBand="0" w:noVBand="1"/>
      </w:tblPr>
      <w:tblGrid>
        <w:gridCol w:w="1276"/>
        <w:gridCol w:w="7760"/>
      </w:tblGrid>
      <w:tr w:rsidR="00917C03" w:rsidTr="00A03160">
        <w:tc>
          <w:tcPr>
            <w:tcW w:w="1276" w:type="dxa"/>
            <w:vAlign w:val="center"/>
            <w:hideMark/>
          </w:tcPr>
          <w:p w:rsidR="00917C03" w:rsidRDefault="00917C03">
            <w:pPr>
              <w:spacing w:before="0"/>
              <w:jc w:val="center"/>
              <w:rPr>
                <w:sz w:val="20"/>
              </w:rPr>
            </w:pPr>
            <w:r>
              <w:rPr>
                <w:noProof/>
                <w:sz w:val="20"/>
                <w:lang w:eastAsia="en-AU"/>
              </w:rPr>
              <w:drawing>
                <wp:inline distT="0" distB="0" distL="0" distR="0" wp14:anchorId="02AC158F" wp14:editId="1EC3C3B3">
                  <wp:extent cx="487680" cy="487680"/>
                  <wp:effectExtent l="0" t="0" r="7620" b="7620"/>
                  <wp:docPr id="6" name="Picture 6" descr="Ques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Questi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7680" cy="487680"/>
                          </a:xfrm>
                          <a:prstGeom prst="rect">
                            <a:avLst/>
                          </a:prstGeom>
                          <a:noFill/>
                          <a:ln>
                            <a:noFill/>
                          </a:ln>
                        </pic:spPr>
                      </pic:pic>
                    </a:graphicData>
                  </a:graphic>
                </wp:inline>
              </w:drawing>
            </w:r>
          </w:p>
        </w:tc>
        <w:tc>
          <w:tcPr>
            <w:tcW w:w="7760" w:type="dxa"/>
            <w:shd w:val="clear" w:color="auto" w:fill="EAEAEA"/>
            <w:tcMar>
              <w:top w:w="170" w:type="dxa"/>
              <w:left w:w="170" w:type="dxa"/>
              <w:bottom w:w="170" w:type="dxa"/>
              <w:right w:w="170" w:type="dxa"/>
            </w:tcMar>
            <w:vAlign w:val="center"/>
            <w:hideMark/>
          </w:tcPr>
          <w:p w:rsidR="00917C03" w:rsidRPr="000C2120" w:rsidRDefault="001C14E7" w:rsidP="000C2120">
            <w:pPr>
              <w:pStyle w:val="Numberbullet0"/>
              <w:rPr>
                <w:b/>
              </w:rPr>
            </w:pPr>
            <w:r w:rsidRPr="000C2120">
              <w:rPr>
                <w:b/>
              </w:rPr>
              <w:t>Do you agree with the included and not included lists?</w:t>
            </w:r>
          </w:p>
        </w:tc>
      </w:tr>
    </w:tbl>
    <w:p w:rsidR="0067797B" w:rsidRDefault="0067797B" w:rsidP="00B75C1A">
      <w:pPr>
        <w:pStyle w:val="Heading2"/>
      </w:pPr>
      <w:bookmarkStart w:id="21" w:name="_Toc527966047"/>
      <w:r w:rsidRPr="00B75C1A">
        <w:t>Proposed</w:t>
      </w:r>
      <w:r>
        <w:t xml:space="preserve"> </w:t>
      </w:r>
      <w:r w:rsidR="00EA0442">
        <w:t>i</w:t>
      </w:r>
      <w:r>
        <w:t xml:space="preserve">mplementation </w:t>
      </w:r>
      <w:r w:rsidR="00EA0442">
        <w:t>s</w:t>
      </w:r>
      <w:r>
        <w:t>trategy</w:t>
      </w:r>
      <w:bookmarkEnd w:id="21"/>
    </w:p>
    <w:p w:rsidR="001E63EF" w:rsidRDefault="00A52FEE" w:rsidP="00B75C1A">
      <w:r>
        <w:t>Based upon data on</w:t>
      </w:r>
      <w:r w:rsidR="00A7509B">
        <w:t xml:space="preserve"> the usage of eCTD and the numbers of submissions involved, t</w:t>
      </w:r>
      <w:r w:rsidR="001E63EF">
        <w:t xml:space="preserve">he TGA proposes a staged approach for the transition to eCTD </w:t>
      </w:r>
      <w:r w:rsidR="00477E78">
        <w:t>for prescription medicines</w:t>
      </w:r>
      <w:r w:rsidR="00E5498F">
        <w:t>,</w:t>
      </w:r>
      <w:r w:rsidR="00477E78">
        <w:t xml:space="preserve"> as outlined below</w:t>
      </w:r>
      <w:r w:rsidR="00C148F1">
        <w:t>.</w:t>
      </w:r>
    </w:p>
    <w:p w:rsidR="00477E78" w:rsidRPr="00B75C1A" w:rsidRDefault="00477E78" w:rsidP="00B75C1A">
      <w:pPr>
        <w:rPr>
          <w:b/>
        </w:rPr>
      </w:pPr>
      <w:r w:rsidRPr="00B75C1A">
        <w:rPr>
          <w:b/>
        </w:rPr>
        <w:t xml:space="preserve">Stage 1 – eCTD mandatory </w:t>
      </w:r>
      <w:r w:rsidR="00174C7B" w:rsidRPr="00174C7B">
        <w:rPr>
          <w:b/>
        </w:rPr>
        <w:t>First Quarter</w:t>
      </w:r>
      <w:r w:rsidRPr="00B75C1A">
        <w:rPr>
          <w:b/>
        </w:rPr>
        <w:t xml:space="preserve"> 2019</w:t>
      </w:r>
    </w:p>
    <w:p w:rsidR="00477E78" w:rsidRPr="00B75C1A" w:rsidRDefault="00477E78" w:rsidP="00B75C1A">
      <w:pPr>
        <w:pStyle w:val="ListBullet"/>
      </w:pPr>
      <w:r w:rsidRPr="00B75C1A">
        <w:t>New Chemical Entity (NCE)</w:t>
      </w:r>
    </w:p>
    <w:p w:rsidR="00477E78" w:rsidRPr="00B75C1A" w:rsidRDefault="00477E78" w:rsidP="00B75C1A">
      <w:pPr>
        <w:pStyle w:val="ListBullet"/>
      </w:pPr>
      <w:r w:rsidRPr="00B75C1A">
        <w:t>New Biological Entity (NBE)</w:t>
      </w:r>
    </w:p>
    <w:p w:rsidR="00851EBA" w:rsidRPr="00B75C1A" w:rsidRDefault="00851EBA" w:rsidP="00B75C1A">
      <w:pPr>
        <w:pStyle w:val="ListBullet"/>
      </w:pPr>
      <w:r w:rsidRPr="00B75C1A">
        <w:t>Biosimilar</w:t>
      </w:r>
    </w:p>
    <w:p w:rsidR="00477E78" w:rsidRPr="00B75C1A" w:rsidRDefault="00477E78" w:rsidP="00B75C1A">
      <w:pPr>
        <w:pStyle w:val="ListBullet"/>
      </w:pPr>
      <w:r w:rsidRPr="00B75C1A">
        <w:t>New Combination Medicine</w:t>
      </w:r>
    </w:p>
    <w:p w:rsidR="00C148F1" w:rsidRPr="00B75C1A" w:rsidRDefault="00C148F1" w:rsidP="00B75C1A">
      <w:pPr>
        <w:rPr>
          <w:b/>
        </w:rPr>
      </w:pPr>
      <w:r w:rsidRPr="00B75C1A">
        <w:rPr>
          <w:b/>
        </w:rPr>
        <w:t>Stage 2 – eCTD mandatory 1 October 2019</w:t>
      </w:r>
    </w:p>
    <w:p w:rsidR="00C148F1" w:rsidRPr="00B75C1A" w:rsidRDefault="00C148F1" w:rsidP="00B75C1A">
      <w:pPr>
        <w:pStyle w:val="ListBullet"/>
      </w:pPr>
      <w:r w:rsidRPr="00B75C1A">
        <w:t>Extension of Indications</w:t>
      </w:r>
    </w:p>
    <w:p w:rsidR="00851EBA" w:rsidRPr="00B75C1A" w:rsidRDefault="00C148F1" w:rsidP="00B75C1A">
      <w:pPr>
        <w:pStyle w:val="ListBullet"/>
      </w:pPr>
      <w:r w:rsidRPr="00B75C1A">
        <w:t>Major Variation</w:t>
      </w:r>
    </w:p>
    <w:p w:rsidR="00C148F1" w:rsidRPr="00B75C1A" w:rsidRDefault="00851EBA" w:rsidP="00B75C1A">
      <w:pPr>
        <w:pStyle w:val="ListBullet"/>
      </w:pPr>
      <w:r w:rsidRPr="00B75C1A">
        <w:t>New Generic Product</w:t>
      </w:r>
    </w:p>
    <w:p w:rsidR="00C148F1" w:rsidRPr="00B75C1A" w:rsidRDefault="00C148F1" w:rsidP="00B75C1A">
      <w:pPr>
        <w:pStyle w:val="ListBullet"/>
      </w:pPr>
      <w:r w:rsidRPr="00B75C1A">
        <w:t xml:space="preserve">Changes to PI involving </w:t>
      </w:r>
      <w:r w:rsidR="00851EBA" w:rsidRPr="00B75C1A">
        <w:t xml:space="preserve">the </w:t>
      </w:r>
      <w:r w:rsidRPr="00B75C1A">
        <w:t>evaluation of data</w:t>
      </w:r>
    </w:p>
    <w:p w:rsidR="00525BF6" w:rsidRPr="00B75C1A" w:rsidRDefault="00C148F1" w:rsidP="00B75C1A">
      <w:pPr>
        <w:rPr>
          <w:b/>
        </w:rPr>
      </w:pPr>
      <w:r w:rsidRPr="00B75C1A">
        <w:rPr>
          <w:b/>
        </w:rPr>
        <w:t>Stage 3 – eCTD mandatory 1 July 2020</w:t>
      </w:r>
    </w:p>
    <w:p w:rsidR="00525BF6" w:rsidRPr="00B75C1A" w:rsidRDefault="00525BF6" w:rsidP="00B75C1A">
      <w:pPr>
        <w:pStyle w:val="ListBullet"/>
      </w:pPr>
      <w:r w:rsidRPr="00B75C1A">
        <w:t>Extension of Indications – Generic Product</w:t>
      </w:r>
    </w:p>
    <w:p w:rsidR="00525BF6" w:rsidRPr="00B75C1A" w:rsidRDefault="00525BF6" w:rsidP="00B75C1A">
      <w:pPr>
        <w:pStyle w:val="ListBullet"/>
      </w:pPr>
      <w:r w:rsidRPr="00B75C1A">
        <w:t>Additional Trade Name</w:t>
      </w:r>
    </w:p>
    <w:p w:rsidR="00C148F1" w:rsidRPr="00B75C1A" w:rsidRDefault="00525BF6" w:rsidP="00B75C1A">
      <w:pPr>
        <w:pStyle w:val="ListBullet"/>
      </w:pPr>
      <w:r w:rsidRPr="00B75C1A">
        <w:t>Category 3 – Variation</w:t>
      </w:r>
      <w:r w:rsidR="00C148F1" w:rsidRPr="00B75C1A">
        <w:t xml:space="preserve"> involving only chem</w:t>
      </w:r>
      <w:r w:rsidR="00924696" w:rsidRPr="00B75C1A">
        <w:t>istry</w:t>
      </w:r>
      <w:r w:rsidR="00C148F1" w:rsidRPr="00B75C1A">
        <w:t xml:space="preserve">, </w:t>
      </w:r>
      <w:r w:rsidR="00924696" w:rsidRPr="00B75C1A">
        <w:t>quality control</w:t>
      </w:r>
      <w:r w:rsidR="00C148F1" w:rsidRPr="00B75C1A">
        <w:t xml:space="preserve"> and manu</w:t>
      </w:r>
      <w:r w:rsidR="00924696" w:rsidRPr="00B75C1A">
        <w:t>facturing</w:t>
      </w:r>
      <w:r w:rsidR="00C148F1" w:rsidRPr="00B75C1A">
        <w:t xml:space="preserve"> information</w:t>
      </w:r>
    </w:p>
    <w:p w:rsidR="00525BF6" w:rsidRPr="00B75C1A" w:rsidRDefault="00525BF6" w:rsidP="00B75C1A">
      <w:pPr>
        <w:pStyle w:val="ListBullet"/>
      </w:pPr>
      <w:r w:rsidRPr="00B75C1A">
        <w:t>Minor Variations</w:t>
      </w:r>
    </w:p>
    <w:p w:rsidR="00525BF6" w:rsidRPr="00525BF6" w:rsidRDefault="00525BF6" w:rsidP="00F92852">
      <w:pPr>
        <w:pStyle w:val="ListBullet2"/>
        <w:ind w:left="720" w:hanging="360"/>
      </w:pPr>
      <w:r w:rsidRPr="00525BF6">
        <w:t xml:space="preserve">MEC – </w:t>
      </w:r>
      <w:r w:rsidR="0006582C">
        <w:t>Minor Editorial Change</w:t>
      </w:r>
    </w:p>
    <w:p w:rsidR="00525BF6" w:rsidRPr="00525BF6" w:rsidRDefault="00525BF6" w:rsidP="00F92852">
      <w:pPr>
        <w:pStyle w:val="ListBullet2"/>
        <w:ind w:left="720" w:hanging="360"/>
      </w:pPr>
      <w:r w:rsidRPr="00525BF6">
        <w:t>SRR – Safety Related Request with or without evaluation of data</w:t>
      </w:r>
    </w:p>
    <w:p w:rsidR="00525BF6" w:rsidRPr="00525BF6" w:rsidRDefault="00525BF6" w:rsidP="00F92852">
      <w:pPr>
        <w:pStyle w:val="ListBullet2"/>
        <w:ind w:left="720" w:hanging="360"/>
      </w:pPr>
      <w:r w:rsidRPr="00525BF6">
        <w:lastRenderedPageBreak/>
        <w:t>SAR – Self Assessable Request</w:t>
      </w:r>
    </w:p>
    <w:p w:rsidR="00525BF6" w:rsidRPr="00525BF6" w:rsidRDefault="00525BF6" w:rsidP="00F92852">
      <w:pPr>
        <w:pStyle w:val="ListBullet2"/>
        <w:ind w:left="720" w:hanging="360"/>
      </w:pPr>
      <w:r w:rsidRPr="00525BF6">
        <w:t>9D(1) – Correction of a Register Entry</w:t>
      </w:r>
    </w:p>
    <w:p w:rsidR="00525BF6" w:rsidRPr="00525BF6" w:rsidRDefault="00525BF6" w:rsidP="0006582C">
      <w:pPr>
        <w:pStyle w:val="ListBullet"/>
        <w:ind w:left="360" w:hanging="360"/>
      </w:pPr>
      <w:r w:rsidRPr="00525BF6">
        <w:t xml:space="preserve">S14 – </w:t>
      </w:r>
      <w:r>
        <w:t>Consent under S14 to waive</w:t>
      </w:r>
      <w:r w:rsidRPr="00525BF6">
        <w:t xml:space="preserve"> compliance</w:t>
      </w:r>
    </w:p>
    <w:p w:rsidR="00851EBA" w:rsidRDefault="00851EBA" w:rsidP="00525BF6">
      <w:pPr>
        <w:pStyle w:val="ListBullet"/>
      </w:pPr>
      <w:r>
        <w:t>Notifications</w:t>
      </w:r>
    </w:p>
    <w:p w:rsidR="00C148F1" w:rsidRDefault="00C148F1" w:rsidP="00C148F1">
      <w:pPr>
        <w:pStyle w:val="ListBullet"/>
      </w:pPr>
      <w:r>
        <w:t>Master Files</w:t>
      </w:r>
    </w:p>
    <w:p w:rsidR="00525BF6" w:rsidRDefault="00C148F1" w:rsidP="00C148F1">
      <w:pPr>
        <w:pStyle w:val="ListBullet"/>
      </w:pPr>
      <w:r>
        <w:t>P</w:t>
      </w:r>
      <w:r w:rsidR="00851EBA">
        <w:t>eriodic Safety Update Reports (PSURs)</w:t>
      </w:r>
    </w:p>
    <w:p w:rsidR="004A1EBA" w:rsidRDefault="00F366AC" w:rsidP="00B75C1A">
      <w:pPr>
        <w:pStyle w:val="Heading3"/>
      </w:pPr>
      <w:bookmarkStart w:id="22" w:name="_Toc527966048"/>
      <w:r w:rsidRPr="00B75C1A">
        <w:t>Rational</w:t>
      </w:r>
      <w:r w:rsidR="00A7509B" w:rsidRPr="00B75C1A">
        <w:t>e</w:t>
      </w:r>
      <w:r>
        <w:t xml:space="preserve"> for timeline</w:t>
      </w:r>
      <w:bookmarkEnd w:id="22"/>
    </w:p>
    <w:p w:rsidR="000C296C" w:rsidRDefault="00425ED8" w:rsidP="00B75C1A">
      <w:r>
        <w:t>A staged transition has been proposed as it balances the requirement</w:t>
      </w:r>
      <w:r w:rsidR="00BA1728">
        <w:t>s</w:t>
      </w:r>
      <w:r w:rsidR="00B952AD">
        <w:t xml:space="preserve"> of the TGA and the needs of sponsors.</w:t>
      </w:r>
    </w:p>
    <w:p w:rsidR="000C296C" w:rsidRDefault="000C296C" w:rsidP="00B75C1A">
      <w:r>
        <w:t>The proposed transition aims to:</w:t>
      </w:r>
    </w:p>
    <w:p w:rsidR="000C296C" w:rsidRDefault="000C296C" w:rsidP="00B75C1A">
      <w:pPr>
        <w:pStyle w:val="ListBullet"/>
      </w:pPr>
      <w:r>
        <w:t>allow time for an i</w:t>
      </w:r>
      <w:r w:rsidR="0006582C">
        <w:t>ncreased number of eCTD suppliers</w:t>
      </w:r>
      <w:r>
        <w:t xml:space="preserve"> to enter the Australian market and/or </w:t>
      </w:r>
      <w:r w:rsidR="0006582C">
        <w:t>current supplier</w:t>
      </w:r>
      <w:r w:rsidR="006A4548">
        <w:t xml:space="preserve"> to achieve economies of scale</w:t>
      </w:r>
    </w:p>
    <w:p w:rsidR="000C296C" w:rsidRDefault="000C296C" w:rsidP="00B75C1A">
      <w:pPr>
        <w:pStyle w:val="ListBullet"/>
      </w:pPr>
      <w:r>
        <w:t xml:space="preserve">provide time for local affiliates to more effectively leverage eCTD resources provided by a global </w:t>
      </w:r>
      <w:r w:rsidR="006A4548">
        <w:t>head office</w:t>
      </w:r>
    </w:p>
    <w:p w:rsidR="006A4548" w:rsidRDefault="006A4548" w:rsidP="00B75C1A">
      <w:pPr>
        <w:pStyle w:val="ListBullet"/>
      </w:pPr>
      <w:r>
        <w:t xml:space="preserve">allow time </w:t>
      </w:r>
      <w:r w:rsidR="00547F36">
        <w:t>for smaller Australian-</w:t>
      </w:r>
      <w:r>
        <w:t>only companies to source appropriate eCTD resources</w:t>
      </w:r>
    </w:p>
    <w:p w:rsidR="0006582C" w:rsidRDefault="000C296C" w:rsidP="00B75C1A">
      <w:pPr>
        <w:pStyle w:val="ListBullet"/>
      </w:pPr>
      <w:r>
        <w:t>allow uptake of SME Assist in the transition period.</w:t>
      </w:r>
    </w:p>
    <w:p w:rsidR="0006582C" w:rsidRDefault="0006582C" w:rsidP="006F3311">
      <w:r>
        <w:t>The benefits of eCTD such as enhanced navigation, searchability and lifecycle management are particularly evident when evaluating large and complex dossiers. As such the larger and/or ‘more complex’ application types have been included within Stages 1 and 2 to ensure the efficiencies of eCTD are incorporated where the need is greatest.</w:t>
      </w:r>
    </w:p>
    <w:p w:rsidR="00E67046" w:rsidRDefault="00E67046" w:rsidP="006F3311">
      <w:pPr>
        <w:pStyle w:val="Heading4"/>
      </w:pPr>
      <w:bookmarkStart w:id="23" w:name="_Toc527966049"/>
      <w:r w:rsidRPr="006F3311">
        <w:t>Stage</w:t>
      </w:r>
      <w:r>
        <w:t xml:space="preserve"> 1</w:t>
      </w:r>
      <w:bookmarkEnd w:id="23"/>
    </w:p>
    <w:p w:rsidR="00425ED8" w:rsidRDefault="00795DA8" w:rsidP="006F3311">
      <w:pPr>
        <w:pStyle w:val="Heading5"/>
      </w:pPr>
      <w:r w:rsidRPr="00E81A06">
        <w:t xml:space="preserve">eCTD mandatory </w:t>
      </w:r>
      <w:r w:rsidR="00BF648A" w:rsidRPr="00BF648A">
        <w:t>First Quarter</w:t>
      </w:r>
      <w:r w:rsidR="00D23E81">
        <w:t xml:space="preserve"> </w:t>
      </w:r>
      <w:r w:rsidR="00425ED8" w:rsidRPr="00E81A06">
        <w:t>2019</w:t>
      </w:r>
    </w:p>
    <w:p w:rsidR="00214A74" w:rsidRDefault="006E24A0" w:rsidP="006F3311">
      <w:r w:rsidRPr="006E24A0">
        <w:t>95</w:t>
      </w:r>
      <w:r w:rsidR="007F0885" w:rsidRPr="006E24A0">
        <w:t>%</w:t>
      </w:r>
      <w:r w:rsidR="00427196">
        <w:rPr>
          <w:rStyle w:val="FootnoteReference"/>
        </w:rPr>
        <w:footnoteReference w:id="8"/>
      </w:r>
      <w:r w:rsidR="007F0885" w:rsidRPr="006E24A0">
        <w:t xml:space="preserve"> of </w:t>
      </w:r>
      <w:r w:rsidR="007574B9" w:rsidRPr="006E24A0">
        <w:t>S</w:t>
      </w:r>
      <w:r w:rsidR="00214A74" w:rsidRPr="006E24A0">
        <w:t xml:space="preserve">tage 1 </w:t>
      </w:r>
      <w:r w:rsidR="007574B9" w:rsidRPr="006E24A0">
        <w:t xml:space="preserve">dossiers </w:t>
      </w:r>
      <w:r>
        <w:t>are</w:t>
      </w:r>
      <w:r w:rsidR="007574B9" w:rsidRPr="006E24A0">
        <w:t xml:space="preserve"> submitted </w:t>
      </w:r>
      <w:r w:rsidR="00C53505" w:rsidRPr="006E24A0">
        <w:t>in the</w:t>
      </w:r>
      <w:r w:rsidR="007574B9" w:rsidRPr="006E24A0">
        <w:t xml:space="preserve"> </w:t>
      </w:r>
      <w:r w:rsidR="00214A74" w:rsidRPr="006E24A0">
        <w:t>eCTD</w:t>
      </w:r>
      <w:r w:rsidR="00784FF0" w:rsidRPr="006E24A0">
        <w:t xml:space="preserve"> format</w:t>
      </w:r>
      <w:r>
        <w:t>.</w:t>
      </w:r>
    </w:p>
    <w:p w:rsidR="002C46D6" w:rsidRDefault="002C46D6" w:rsidP="006F3311">
      <w:r>
        <w:t>The uptake of eCT</w:t>
      </w:r>
      <w:r w:rsidR="005017FE">
        <w:t>D within applications types in S</w:t>
      </w:r>
      <w:r>
        <w:t xml:space="preserve">tage 1 is </w:t>
      </w:r>
      <w:r w:rsidR="000E1888">
        <w:t xml:space="preserve">already </w:t>
      </w:r>
      <w:r>
        <w:t>very high. In addition</w:t>
      </w:r>
      <w:r w:rsidR="00BA1728">
        <w:t>,</w:t>
      </w:r>
      <w:r>
        <w:t xml:space="preserve"> sponsor feedback indicates that new registrations are likely to be subm</w:t>
      </w:r>
      <w:r w:rsidR="00A63CFE">
        <w:t>itted in eCTD rather than NeeS.</w:t>
      </w:r>
      <w:r w:rsidR="000E1888">
        <w:t xml:space="preserve"> This stage</w:t>
      </w:r>
      <w:r w:rsidR="005017FE">
        <w:t xml:space="preserve"> therefore</w:t>
      </w:r>
      <w:r w:rsidR="000E1888">
        <w:t xml:space="preserve"> presents an opportunity </w:t>
      </w:r>
      <w:r w:rsidR="005017FE">
        <w:t xml:space="preserve">to </w:t>
      </w:r>
      <w:r w:rsidR="00C53549">
        <w:t>confirm a full transition</w:t>
      </w:r>
      <w:r w:rsidR="007574B9">
        <w:t xml:space="preserve"> with minimal changes</w:t>
      </w:r>
      <w:r w:rsidR="000E1888">
        <w:t xml:space="preserve"> for the majority of sponsors.</w:t>
      </w:r>
    </w:p>
    <w:p w:rsidR="00E67046" w:rsidRDefault="00E67046" w:rsidP="006F3311">
      <w:pPr>
        <w:pStyle w:val="Heading4"/>
      </w:pPr>
      <w:bookmarkStart w:id="24" w:name="_Toc527966050"/>
      <w:r w:rsidRPr="006F3311">
        <w:t>Stage</w:t>
      </w:r>
      <w:r>
        <w:t xml:space="preserve"> 2</w:t>
      </w:r>
      <w:bookmarkEnd w:id="24"/>
    </w:p>
    <w:p w:rsidR="00425ED8" w:rsidRPr="00425ED8" w:rsidRDefault="00425ED8" w:rsidP="006F3311">
      <w:pPr>
        <w:pStyle w:val="Heading5"/>
      </w:pPr>
      <w:r w:rsidRPr="00C148F1">
        <w:t>eCTD mandatory 1 October 2019</w:t>
      </w:r>
    </w:p>
    <w:p w:rsidR="00214A74" w:rsidRDefault="00425ED8" w:rsidP="006F3311">
      <w:r w:rsidRPr="00214A74">
        <w:t>64%</w:t>
      </w:r>
      <w:r w:rsidR="00427196">
        <w:rPr>
          <w:vertAlign w:val="superscript"/>
        </w:rPr>
        <w:t>11</w:t>
      </w:r>
      <w:r w:rsidRPr="00214A74">
        <w:t xml:space="preserve"> of </w:t>
      </w:r>
      <w:r w:rsidR="007574B9">
        <w:t>S</w:t>
      </w:r>
      <w:r w:rsidR="00EB54F7" w:rsidRPr="00214A74">
        <w:t xml:space="preserve">tage 2 </w:t>
      </w:r>
      <w:r w:rsidR="007574B9">
        <w:t xml:space="preserve">dossiers </w:t>
      </w:r>
      <w:r w:rsidR="00C53505">
        <w:t>are</w:t>
      </w:r>
      <w:r w:rsidR="00AE0ED6">
        <w:t xml:space="preserve"> submitted </w:t>
      </w:r>
      <w:r w:rsidR="007574B9">
        <w:t xml:space="preserve">in the </w:t>
      </w:r>
      <w:r w:rsidR="007574B9" w:rsidRPr="00214A74">
        <w:t>eCTD</w:t>
      </w:r>
      <w:r w:rsidR="00784FF0">
        <w:t xml:space="preserve"> format</w:t>
      </w:r>
      <w:r w:rsidR="007574B9">
        <w:t>.</w:t>
      </w:r>
    </w:p>
    <w:p w:rsidR="009F6EDC" w:rsidRDefault="00AE0ED6" w:rsidP="006F3311">
      <w:r>
        <w:t xml:space="preserve">Data </w:t>
      </w:r>
      <w:r w:rsidR="00E67046">
        <w:t xml:space="preserve">indicates that the majority of </w:t>
      </w:r>
      <w:r w:rsidR="00214A74">
        <w:t xml:space="preserve">these </w:t>
      </w:r>
      <w:r w:rsidR="00E67046">
        <w:t xml:space="preserve">sponsors </w:t>
      </w:r>
      <w:r w:rsidR="009D7FC1">
        <w:t xml:space="preserve">already </w:t>
      </w:r>
      <w:r w:rsidR="00E67046">
        <w:t>have experience submitting in eCTD</w:t>
      </w:r>
      <w:r w:rsidR="00B41455">
        <w:t xml:space="preserve"> with </w:t>
      </w:r>
      <w:r w:rsidR="00214A74">
        <w:t>83%</w:t>
      </w:r>
      <w:r w:rsidR="00B41455">
        <w:t xml:space="preserve"> having submitted at least one eCTD dossier to the TGA</w:t>
      </w:r>
      <w:r w:rsidR="009D7FC1">
        <w:t>.</w:t>
      </w:r>
      <w:r w:rsidR="008E595F">
        <w:t xml:space="preserve"> </w:t>
      </w:r>
      <w:r w:rsidR="0006582C">
        <w:t>Meaning</w:t>
      </w:r>
      <w:r w:rsidR="009D7FC1">
        <w:t>, many of these</w:t>
      </w:r>
      <w:r w:rsidR="005017FE">
        <w:t xml:space="preserve"> </w:t>
      </w:r>
      <w:r w:rsidR="005017FE">
        <w:lastRenderedPageBreak/>
        <w:t xml:space="preserve">sponsors </w:t>
      </w:r>
      <w:r w:rsidR="00E67046">
        <w:t>already have some knowledge</w:t>
      </w:r>
      <w:r w:rsidR="005017FE">
        <w:t xml:space="preserve"> of</w:t>
      </w:r>
      <w:r w:rsidR="00EB54F7">
        <w:t xml:space="preserve"> and</w:t>
      </w:r>
      <w:r w:rsidR="00E67046">
        <w:t xml:space="preserve"> infrastructu</w:t>
      </w:r>
      <w:r w:rsidR="00B41455">
        <w:t>re for eCTD available</w:t>
      </w:r>
      <w:r w:rsidR="00A52FEE">
        <w:t xml:space="preserve">, even though </w:t>
      </w:r>
      <w:r w:rsidR="009D7FC1">
        <w:t xml:space="preserve">not </w:t>
      </w:r>
      <w:r w:rsidR="00A52FEE">
        <w:t>all</w:t>
      </w:r>
      <w:r w:rsidR="009D7FC1">
        <w:t xml:space="preserve"> of their</w:t>
      </w:r>
      <w:r w:rsidR="00A52FEE">
        <w:t xml:space="preserve"> submissions are in the eCTD format</w:t>
      </w:r>
      <w:r w:rsidR="00B41455">
        <w:t>.</w:t>
      </w:r>
    </w:p>
    <w:p w:rsidR="00E67046" w:rsidRDefault="00E67046" w:rsidP="006F3311">
      <w:pPr>
        <w:pStyle w:val="Heading4"/>
      </w:pPr>
      <w:bookmarkStart w:id="25" w:name="_Toc527966051"/>
      <w:r w:rsidRPr="006F3311">
        <w:t>Stage</w:t>
      </w:r>
      <w:r>
        <w:t xml:space="preserve"> 3</w:t>
      </w:r>
      <w:bookmarkEnd w:id="25"/>
    </w:p>
    <w:p w:rsidR="000564A3" w:rsidRPr="00D22AD0" w:rsidRDefault="000564A3" w:rsidP="006F3311">
      <w:pPr>
        <w:pStyle w:val="Heading5"/>
      </w:pPr>
      <w:r w:rsidRPr="00D22AD0">
        <w:t xml:space="preserve">eCTD mandatory </w:t>
      </w:r>
      <w:r w:rsidR="009463F0" w:rsidRPr="00D22AD0">
        <w:t xml:space="preserve">across all applications </w:t>
      </w:r>
      <w:r w:rsidRPr="00D22AD0">
        <w:t>1 July 2020</w:t>
      </w:r>
    </w:p>
    <w:p w:rsidR="007574B9" w:rsidRDefault="007574B9" w:rsidP="006F3311">
      <w:r>
        <w:t>41%</w:t>
      </w:r>
      <w:r w:rsidR="00427196">
        <w:rPr>
          <w:vertAlign w:val="superscript"/>
        </w:rPr>
        <w:t>11</w:t>
      </w:r>
      <w:r w:rsidRPr="00214A74">
        <w:t xml:space="preserve"> of </w:t>
      </w:r>
      <w:r>
        <w:t>S</w:t>
      </w:r>
      <w:r w:rsidRPr="00214A74">
        <w:t>tage</w:t>
      </w:r>
      <w:r>
        <w:t xml:space="preserve"> 3</w:t>
      </w:r>
      <w:r w:rsidRPr="00214A74">
        <w:t xml:space="preserve"> </w:t>
      </w:r>
      <w:r>
        <w:t xml:space="preserve">dossiers </w:t>
      </w:r>
      <w:r w:rsidR="00C53505">
        <w:t>are</w:t>
      </w:r>
      <w:r w:rsidR="00AE0ED6">
        <w:t xml:space="preserve"> submitted i</w:t>
      </w:r>
      <w:r>
        <w:t xml:space="preserve">n the </w:t>
      </w:r>
      <w:r w:rsidRPr="00214A74">
        <w:t>eCTD</w:t>
      </w:r>
      <w:r w:rsidR="00784FF0">
        <w:t xml:space="preserve"> format</w:t>
      </w:r>
      <w:r>
        <w:t>.</w:t>
      </w:r>
    </w:p>
    <w:p w:rsidR="00784FF0" w:rsidRDefault="0006582C" w:rsidP="006F3311">
      <w:r>
        <w:t>Stakeholders</w:t>
      </w:r>
      <w:r w:rsidR="00C53549">
        <w:t xml:space="preserve"> have</w:t>
      </w:r>
      <w:r w:rsidR="000564A3">
        <w:t xml:space="preserve"> indicated </w:t>
      </w:r>
      <w:r w:rsidR="00C53549">
        <w:t xml:space="preserve">via survey responses </w:t>
      </w:r>
      <w:r w:rsidR="000564A3">
        <w:t>that</w:t>
      </w:r>
      <w:r w:rsidR="00FA2694">
        <w:t xml:space="preserve"> older products </w:t>
      </w:r>
      <w:r w:rsidR="000564A3">
        <w:t xml:space="preserve">for which </w:t>
      </w:r>
      <w:r w:rsidR="00FA2694">
        <w:t xml:space="preserve">only minor </w:t>
      </w:r>
      <w:r w:rsidR="002836EB">
        <w:t>amendments</w:t>
      </w:r>
      <w:r w:rsidR="00FA2694">
        <w:t xml:space="preserve"> are undertaken </w:t>
      </w:r>
      <w:r w:rsidR="009D7FC1">
        <w:t xml:space="preserve">will </w:t>
      </w:r>
      <w:r w:rsidR="0002360A">
        <w:t xml:space="preserve">continue to be submitted </w:t>
      </w:r>
      <w:r w:rsidR="00FA2694">
        <w:t>in NeeS.</w:t>
      </w:r>
      <w:r w:rsidR="006871ED">
        <w:t xml:space="preserve"> The data reflects this, with 51% of </w:t>
      </w:r>
      <w:r w:rsidR="00D07DE1">
        <w:t>category 3</w:t>
      </w:r>
      <w:r w:rsidR="006871ED">
        <w:t xml:space="preserve"> and 25% of </w:t>
      </w:r>
      <w:r w:rsidR="009463F0">
        <w:t>s</w:t>
      </w:r>
      <w:r w:rsidR="00784FF0">
        <w:t xml:space="preserve">ection </w:t>
      </w:r>
      <w:r w:rsidR="00C53505">
        <w:t>9D</w:t>
      </w:r>
      <w:r w:rsidR="006871ED">
        <w:t xml:space="preserve"> changes </w:t>
      </w:r>
      <w:r w:rsidR="00784FF0">
        <w:t>submitted in eCTD</w:t>
      </w:r>
      <w:r w:rsidR="006871ED">
        <w:t>.</w:t>
      </w:r>
    </w:p>
    <w:p w:rsidR="00E67046" w:rsidRDefault="00FA2694" w:rsidP="00E67046">
      <w:r>
        <w:t>Acknowledgin</w:t>
      </w:r>
      <w:r w:rsidR="002836EB">
        <w:t xml:space="preserve">g the lower </w:t>
      </w:r>
      <w:r w:rsidR="00C53549">
        <w:t>uptake of eCTD within this group,</w:t>
      </w:r>
      <w:r>
        <w:t xml:space="preserve"> the proposed transition plan allows </w:t>
      </w:r>
      <w:r w:rsidR="001C1E20">
        <w:t xml:space="preserve">greater </w:t>
      </w:r>
      <w:r>
        <w:t xml:space="preserve">time for sponsors </w:t>
      </w:r>
      <w:r w:rsidR="00784FF0">
        <w:t>submitting in NeeS</w:t>
      </w:r>
      <w:r w:rsidR="009D7FC1">
        <w:t>-</w:t>
      </w:r>
      <w:r w:rsidR="00784FF0">
        <w:t xml:space="preserve">only </w:t>
      </w:r>
      <w:r>
        <w:t>to implement an appropriate system</w:t>
      </w:r>
      <w:r w:rsidR="002836EB">
        <w:t xml:space="preserve"> to manage eCTD</w:t>
      </w:r>
      <w:r w:rsidR="00EC252D">
        <w:t xml:space="preserve"> moving forward</w:t>
      </w:r>
      <w:r w:rsidR="00784FF0">
        <w:t>.</w:t>
      </w:r>
    </w:p>
    <w:tbl>
      <w:tblPr>
        <w:tblW w:w="9036" w:type="dxa"/>
        <w:tblLayout w:type="fixed"/>
        <w:tblCellMar>
          <w:left w:w="0" w:type="dxa"/>
          <w:right w:w="0" w:type="dxa"/>
        </w:tblCellMar>
        <w:tblLook w:val="04A0" w:firstRow="1" w:lastRow="0" w:firstColumn="1" w:lastColumn="0" w:noHBand="0" w:noVBand="1"/>
      </w:tblPr>
      <w:tblGrid>
        <w:gridCol w:w="1276"/>
        <w:gridCol w:w="7760"/>
      </w:tblGrid>
      <w:tr w:rsidR="008F3609" w:rsidTr="006F3311">
        <w:tc>
          <w:tcPr>
            <w:tcW w:w="1276" w:type="dxa"/>
            <w:vAlign w:val="center"/>
            <w:hideMark/>
          </w:tcPr>
          <w:p w:rsidR="008F3609" w:rsidRDefault="008F3609" w:rsidP="00FD6000">
            <w:pPr>
              <w:spacing w:before="0"/>
              <w:jc w:val="center"/>
              <w:rPr>
                <w:sz w:val="20"/>
              </w:rPr>
            </w:pPr>
            <w:r>
              <w:rPr>
                <w:noProof/>
                <w:sz w:val="20"/>
                <w:lang w:eastAsia="en-AU"/>
              </w:rPr>
              <w:drawing>
                <wp:inline distT="0" distB="0" distL="0" distR="0" wp14:anchorId="57377F12" wp14:editId="0712CC9B">
                  <wp:extent cx="487680" cy="487680"/>
                  <wp:effectExtent l="0" t="0" r="7620" b="7620"/>
                  <wp:docPr id="5" name="Picture 5" descr="Ques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Questi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7680" cy="487680"/>
                          </a:xfrm>
                          <a:prstGeom prst="rect">
                            <a:avLst/>
                          </a:prstGeom>
                          <a:noFill/>
                          <a:ln>
                            <a:noFill/>
                          </a:ln>
                        </pic:spPr>
                      </pic:pic>
                    </a:graphicData>
                  </a:graphic>
                </wp:inline>
              </w:drawing>
            </w:r>
          </w:p>
        </w:tc>
        <w:tc>
          <w:tcPr>
            <w:tcW w:w="7760" w:type="dxa"/>
            <w:shd w:val="clear" w:color="auto" w:fill="EAEAEA"/>
            <w:tcMar>
              <w:top w:w="170" w:type="dxa"/>
              <w:left w:w="170" w:type="dxa"/>
              <w:bottom w:w="170" w:type="dxa"/>
              <w:right w:w="170" w:type="dxa"/>
            </w:tcMar>
            <w:vAlign w:val="center"/>
            <w:hideMark/>
          </w:tcPr>
          <w:p w:rsidR="006F3311" w:rsidRPr="006F3311" w:rsidRDefault="008F3609" w:rsidP="006F3311">
            <w:pPr>
              <w:pStyle w:val="Numberbullet0"/>
              <w:numPr>
                <w:ilvl w:val="0"/>
                <w:numId w:val="6"/>
              </w:numPr>
              <w:rPr>
                <w:b/>
              </w:rPr>
            </w:pPr>
            <w:r w:rsidRPr="006F3311">
              <w:rPr>
                <w:b/>
              </w:rPr>
              <w:t>Do you support the staged approach?</w:t>
            </w:r>
          </w:p>
          <w:p w:rsidR="001C1E20" w:rsidRPr="006F3311" w:rsidRDefault="001C1E20" w:rsidP="006F3311">
            <w:pPr>
              <w:pStyle w:val="Numberbullet0"/>
              <w:numPr>
                <w:ilvl w:val="0"/>
                <w:numId w:val="6"/>
              </w:numPr>
              <w:rPr>
                <w:b/>
              </w:rPr>
            </w:pPr>
            <w:r w:rsidRPr="006F3311">
              <w:rPr>
                <w:b/>
              </w:rPr>
              <w:t>Do you support the timing of the stages?</w:t>
            </w:r>
          </w:p>
        </w:tc>
      </w:tr>
    </w:tbl>
    <w:p w:rsidR="001E63EF" w:rsidRDefault="001E63EF" w:rsidP="006F3311">
      <w:pPr>
        <w:pStyle w:val="Heading3"/>
      </w:pPr>
      <w:bookmarkStart w:id="26" w:name="_Toc527966052"/>
      <w:r w:rsidRPr="006F3311">
        <w:t>Implications</w:t>
      </w:r>
      <w:bookmarkEnd w:id="26"/>
    </w:p>
    <w:p w:rsidR="002836EB" w:rsidRDefault="002836EB" w:rsidP="001E63EF">
      <w:r>
        <w:t xml:space="preserve">The potential mandating of </w:t>
      </w:r>
      <w:r w:rsidR="00C53549">
        <w:t>the eCTD</w:t>
      </w:r>
      <w:r w:rsidR="009D7FC1">
        <w:t xml:space="preserve"> format</w:t>
      </w:r>
      <w:r w:rsidR="00C53549">
        <w:t xml:space="preserve"> presents an additional activity</w:t>
      </w:r>
      <w:r>
        <w:t xml:space="preserve"> for those sponsors who still submit using the NeeS format.</w:t>
      </w:r>
    </w:p>
    <w:p w:rsidR="00FB0C9B" w:rsidRDefault="00FB0C9B" w:rsidP="006F3311">
      <w:pPr>
        <w:pStyle w:val="Heading4"/>
      </w:pPr>
      <w:bookmarkStart w:id="27" w:name="_Toc527966053"/>
      <w:r w:rsidRPr="006F3311">
        <w:t>Resources</w:t>
      </w:r>
      <w:r>
        <w:t xml:space="preserve"> and </w:t>
      </w:r>
      <w:r w:rsidR="00EA0442">
        <w:t>t</w:t>
      </w:r>
      <w:r>
        <w:t>raining</w:t>
      </w:r>
      <w:bookmarkEnd w:id="27"/>
    </w:p>
    <w:p w:rsidR="002836EB" w:rsidRDefault="00D03BE7" w:rsidP="006F3311">
      <w:r>
        <w:t xml:space="preserve">Considering </w:t>
      </w:r>
      <w:r w:rsidR="009D7FC1">
        <w:t xml:space="preserve">that, </w:t>
      </w:r>
      <w:r>
        <w:t>currently</w:t>
      </w:r>
      <w:r w:rsidR="009D7FC1">
        <w:t>, only</w:t>
      </w:r>
      <w:r>
        <w:t xml:space="preserve"> 48% of </w:t>
      </w:r>
      <w:r w:rsidR="00186343">
        <w:t>submissions</w:t>
      </w:r>
      <w:r>
        <w:t xml:space="preserve"> are submitted in eCTD, the mandating of the</w:t>
      </w:r>
      <w:r w:rsidR="005D0512">
        <w:t xml:space="preserve"> eCTD format within Australia</w:t>
      </w:r>
      <w:r w:rsidR="00C53549">
        <w:t xml:space="preserve"> over the next two years</w:t>
      </w:r>
      <w:r w:rsidR="005D0512">
        <w:t xml:space="preserve"> is</w:t>
      </w:r>
      <w:r>
        <w:t xml:space="preserve"> likely to increase the demand for</w:t>
      </w:r>
      <w:r w:rsidR="002836EB">
        <w:t>:</w:t>
      </w:r>
    </w:p>
    <w:p w:rsidR="002836EB" w:rsidRPr="006F3311" w:rsidRDefault="002836EB" w:rsidP="006F3311">
      <w:pPr>
        <w:pStyle w:val="ListBullet"/>
      </w:pPr>
      <w:r w:rsidRPr="006F3311">
        <w:t>publication software;</w:t>
      </w:r>
    </w:p>
    <w:p w:rsidR="002836EB" w:rsidRPr="006F3311" w:rsidRDefault="002836EB" w:rsidP="006F3311">
      <w:pPr>
        <w:pStyle w:val="ListBullet"/>
      </w:pPr>
      <w:r w:rsidRPr="006F3311">
        <w:t>training; and</w:t>
      </w:r>
    </w:p>
    <w:p w:rsidR="002836EB" w:rsidRDefault="00D03BE7" w:rsidP="006F3311">
      <w:pPr>
        <w:pStyle w:val="ListBullet"/>
      </w:pPr>
      <w:r w:rsidRPr="006F3311">
        <w:t>publication services</w:t>
      </w:r>
      <w:r>
        <w:t>.</w:t>
      </w:r>
    </w:p>
    <w:p w:rsidR="00D03BE7" w:rsidRDefault="00D03BE7" w:rsidP="002836EB">
      <w:pPr>
        <w:pStyle w:val="ListBullet"/>
        <w:numPr>
          <w:ilvl w:val="0"/>
          <w:numId w:val="0"/>
        </w:numPr>
      </w:pPr>
      <w:r>
        <w:t>Stakeholders within the software publication industry should give due consideration to this.</w:t>
      </w:r>
    </w:p>
    <w:p w:rsidR="005D0512" w:rsidRDefault="005D0512" w:rsidP="006F3311">
      <w:r>
        <w:t xml:space="preserve">There will also be increased demand for resources </w:t>
      </w:r>
      <w:r w:rsidR="00851EBA">
        <w:t>from</w:t>
      </w:r>
      <w:r>
        <w:t xml:space="preserve"> global publishing centres. Australia mandating eCTD creates an opportunity </w:t>
      </w:r>
      <w:r w:rsidR="00C53549">
        <w:t xml:space="preserve">for local </w:t>
      </w:r>
      <w:r w:rsidR="006A4548">
        <w:t xml:space="preserve">affiliates </w:t>
      </w:r>
      <w:r>
        <w:t>to engage with publishing house</w:t>
      </w:r>
      <w:r w:rsidR="00202476">
        <w:t>s</w:t>
      </w:r>
      <w:r w:rsidR="00FF6B63">
        <w:t xml:space="preserve"> and </w:t>
      </w:r>
      <w:r w:rsidR="006A4548">
        <w:t xml:space="preserve">global head offices to </w:t>
      </w:r>
      <w:r w:rsidR="00FF6B63">
        <w:t>discuss requirements.</w:t>
      </w:r>
    </w:p>
    <w:p w:rsidR="00FB0C9B" w:rsidRDefault="00FB0C9B" w:rsidP="006F3311">
      <w:pPr>
        <w:pStyle w:val="Heading4"/>
      </w:pPr>
      <w:bookmarkStart w:id="28" w:name="_Toc527966054"/>
      <w:r w:rsidRPr="006F3311">
        <w:t>Cost</w:t>
      </w:r>
      <w:bookmarkEnd w:id="28"/>
    </w:p>
    <w:p w:rsidR="00FF6B63" w:rsidRDefault="00F04FD6" w:rsidP="00F04FD6">
      <w:r>
        <w:t>The cost of eCTD publishing software has been reported by sponsors as a barrie</w:t>
      </w:r>
      <w:r w:rsidR="00FF6B63">
        <w:t>r to adopting the eCTD format.</w:t>
      </w:r>
    </w:p>
    <w:p w:rsidR="00FF6B63" w:rsidRDefault="000F6BC0" w:rsidP="00F04FD6">
      <w:r>
        <w:t>There are a number of options and price points available in the Australian and international market</w:t>
      </w:r>
      <w:r w:rsidR="00427196">
        <w:t>s</w:t>
      </w:r>
      <w:r>
        <w:t xml:space="preserve"> and </w:t>
      </w:r>
      <w:r w:rsidR="00793172">
        <w:t xml:space="preserve">the most cost effective method </w:t>
      </w:r>
      <w:r w:rsidR="0006582C">
        <w:t xml:space="preserve">to implement eCTD </w:t>
      </w:r>
      <w:r w:rsidR="00793172">
        <w:t xml:space="preserve">will </w:t>
      </w:r>
      <w:r w:rsidR="00427196">
        <w:t xml:space="preserve">depend on </w:t>
      </w:r>
      <w:r w:rsidR="0006582C">
        <w:t xml:space="preserve">each </w:t>
      </w:r>
      <w:r w:rsidR="00EA4E51">
        <w:t>company’s</w:t>
      </w:r>
      <w:r w:rsidR="0006582C">
        <w:t xml:space="preserve"> unique requirements</w:t>
      </w:r>
      <w:r w:rsidR="00793172">
        <w:t>.</w:t>
      </w:r>
    </w:p>
    <w:p w:rsidR="000F6BC0" w:rsidRDefault="000F6BC0" w:rsidP="00F04FD6">
      <w:r>
        <w:t>For example</w:t>
      </w:r>
      <w:r w:rsidR="0006582C">
        <w:t>,</w:t>
      </w:r>
      <w:r>
        <w:t xml:space="preserve"> a small Australian company submitting between 0 to 3 </w:t>
      </w:r>
      <w:r w:rsidR="0006582C">
        <w:t>minor submissions to the TGA each year may determine</w:t>
      </w:r>
      <w:r>
        <w:t xml:space="preserve"> that it is more</w:t>
      </w:r>
      <w:r w:rsidR="0006582C">
        <w:t xml:space="preserve"> cost and time effective to out</w:t>
      </w:r>
      <w:r>
        <w:t xml:space="preserve">source eCTD </w:t>
      </w:r>
      <w:r>
        <w:lastRenderedPageBreak/>
        <w:t>publishing</w:t>
      </w:r>
      <w:r w:rsidR="00427196">
        <w:t xml:space="preserve"> to an eCTD consultant</w:t>
      </w:r>
      <w:r>
        <w:t>. While a</w:t>
      </w:r>
      <w:r w:rsidR="001D642A">
        <w:t xml:space="preserve"> slightly</w:t>
      </w:r>
      <w:r>
        <w:t xml:space="preserve"> larger company submitting more than 10 submissions to </w:t>
      </w:r>
      <w:r w:rsidR="0006582C">
        <w:t>the TGA each</w:t>
      </w:r>
      <w:r>
        <w:t xml:space="preserve"> ye</w:t>
      </w:r>
      <w:r w:rsidR="00427196">
        <w:t>ar may decide to invest in</w:t>
      </w:r>
      <w:r>
        <w:t xml:space="preserve"> eCTD publishing software and the associated training.</w:t>
      </w:r>
    </w:p>
    <w:p w:rsidR="00427196" w:rsidRDefault="00427196" w:rsidP="00F04FD6">
      <w:r>
        <w:t>Considerations should be given to the different eCTD options and which product type aligns with your business requirements.</w:t>
      </w:r>
    </w:p>
    <w:p w:rsidR="00FB0C9B" w:rsidRDefault="00724263" w:rsidP="006F3311">
      <w:pPr>
        <w:pStyle w:val="Heading4"/>
      </w:pPr>
      <w:bookmarkStart w:id="29" w:name="_Toc527966055"/>
      <w:r>
        <w:t>Managing</w:t>
      </w:r>
      <w:r w:rsidR="00FB0C9B">
        <w:t xml:space="preserve"> older </w:t>
      </w:r>
      <w:r w:rsidR="00FB0C9B" w:rsidRPr="006F3311">
        <w:t>products</w:t>
      </w:r>
      <w:r>
        <w:t xml:space="preserve"> - baselines</w:t>
      </w:r>
      <w:bookmarkEnd w:id="29"/>
    </w:p>
    <w:p w:rsidR="00724263" w:rsidRDefault="00724263" w:rsidP="00F04FD6">
      <w:r>
        <w:t>A baseline is the resubmission of currently valid documents that have previously been provided to the TGA in another format such as NeeS or paper.</w:t>
      </w:r>
    </w:p>
    <w:p w:rsidR="00FB0C9B" w:rsidRDefault="00FB0C9B" w:rsidP="006F3311">
      <w:r>
        <w:t>Baselines are not mandatory when transitio</w:t>
      </w:r>
      <w:r w:rsidR="00FF6B63">
        <w:t>ning to eCTD, however</w:t>
      </w:r>
      <w:r w:rsidR="009D7FC1">
        <w:t xml:space="preserve"> they</w:t>
      </w:r>
      <w:r w:rsidR="00FF6B63">
        <w:t xml:space="preserve"> are</w:t>
      </w:r>
      <w:r>
        <w:t xml:space="preserve"> useful to collate all the information asso</w:t>
      </w:r>
      <w:r w:rsidR="00186343">
        <w:t>ciated with a product. Baselines or partial baselines</w:t>
      </w:r>
      <w:r>
        <w:t xml:space="preserve"> can be submitted at any time during the product lifecycle and should not be a hurdle for transition to eCTD.</w:t>
      </w:r>
    </w:p>
    <w:tbl>
      <w:tblPr>
        <w:tblW w:w="9036" w:type="dxa"/>
        <w:tblLayout w:type="fixed"/>
        <w:tblCellMar>
          <w:left w:w="0" w:type="dxa"/>
          <w:right w:w="0" w:type="dxa"/>
        </w:tblCellMar>
        <w:tblLook w:val="04A0" w:firstRow="1" w:lastRow="0" w:firstColumn="1" w:lastColumn="0" w:noHBand="0" w:noVBand="1"/>
      </w:tblPr>
      <w:tblGrid>
        <w:gridCol w:w="1276"/>
        <w:gridCol w:w="7760"/>
      </w:tblGrid>
      <w:tr w:rsidR="008F3609" w:rsidTr="006F3311">
        <w:tc>
          <w:tcPr>
            <w:tcW w:w="1276" w:type="dxa"/>
            <w:vAlign w:val="center"/>
            <w:hideMark/>
          </w:tcPr>
          <w:p w:rsidR="008F3609" w:rsidRDefault="008F3609" w:rsidP="00FD6000">
            <w:pPr>
              <w:spacing w:before="0"/>
              <w:jc w:val="center"/>
              <w:rPr>
                <w:sz w:val="20"/>
              </w:rPr>
            </w:pPr>
            <w:r>
              <w:rPr>
                <w:noProof/>
                <w:sz w:val="20"/>
                <w:lang w:eastAsia="en-AU"/>
              </w:rPr>
              <w:drawing>
                <wp:inline distT="0" distB="0" distL="0" distR="0" wp14:anchorId="773FFB78" wp14:editId="6C9F2E64">
                  <wp:extent cx="487680" cy="487680"/>
                  <wp:effectExtent l="0" t="0" r="7620" b="7620"/>
                  <wp:docPr id="8" name="Picture 8" descr="Ques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Questi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7680" cy="487680"/>
                          </a:xfrm>
                          <a:prstGeom prst="rect">
                            <a:avLst/>
                          </a:prstGeom>
                          <a:noFill/>
                          <a:ln>
                            <a:noFill/>
                          </a:ln>
                        </pic:spPr>
                      </pic:pic>
                    </a:graphicData>
                  </a:graphic>
                </wp:inline>
              </w:drawing>
            </w:r>
          </w:p>
        </w:tc>
        <w:tc>
          <w:tcPr>
            <w:tcW w:w="7760" w:type="dxa"/>
            <w:shd w:val="clear" w:color="auto" w:fill="EAEAEA"/>
            <w:tcMar>
              <w:top w:w="170" w:type="dxa"/>
              <w:left w:w="170" w:type="dxa"/>
              <w:bottom w:w="170" w:type="dxa"/>
              <w:right w:w="170" w:type="dxa"/>
            </w:tcMar>
            <w:vAlign w:val="center"/>
            <w:hideMark/>
          </w:tcPr>
          <w:p w:rsidR="008F3609" w:rsidRPr="006F3311" w:rsidRDefault="008F3609" w:rsidP="006F3311">
            <w:pPr>
              <w:pStyle w:val="Numberbullet0"/>
              <w:numPr>
                <w:ilvl w:val="0"/>
                <w:numId w:val="7"/>
              </w:numPr>
              <w:rPr>
                <w:b/>
              </w:rPr>
            </w:pPr>
            <w:r w:rsidRPr="006F3311">
              <w:rPr>
                <w:b/>
              </w:rPr>
              <w:t xml:space="preserve">Please outline any additional hurdles and </w:t>
            </w:r>
            <w:r w:rsidR="009D7FC1" w:rsidRPr="006F3311">
              <w:rPr>
                <w:b/>
              </w:rPr>
              <w:t xml:space="preserve">also </w:t>
            </w:r>
            <w:r w:rsidRPr="006F3311">
              <w:rPr>
                <w:b/>
              </w:rPr>
              <w:t xml:space="preserve">strategies to </w:t>
            </w:r>
            <w:r w:rsidR="008065F8" w:rsidRPr="006F3311">
              <w:rPr>
                <w:b/>
              </w:rPr>
              <w:t>mitigate</w:t>
            </w:r>
            <w:r w:rsidRPr="006F3311">
              <w:rPr>
                <w:b/>
              </w:rPr>
              <w:t xml:space="preserve"> these</w:t>
            </w:r>
            <w:r w:rsidR="009D7FC1" w:rsidRPr="006F3311">
              <w:rPr>
                <w:b/>
              </w:rPr>
              <w:t xml:space="preserve"> hurdles</w:t>
            </w:r>
            <w:r w:rsidRPr="006F3311">
              <w:rPr>
                <w:b/>
              </w:rPr>
              <w:t>.</w:t>
            </w:r>
          </w:p>
        </w:tc>
      </w:tr>
    </w:tbl>
    <w:p w:rsidR="001E63EF" w:rsidRDefault="001E63EF" w:rsidP="006F3311">
      <w:pPr>
        <w:pStyle w:val="Heading2"/>
      </w:pPr>
      <w:bookmarkStart w:id="30" w:name="_Toc527966056"/>
      <w:r>
        <w:t xml:space="preserve">Proposed </w:t>
      </w:r>
      <w:r w:rsidR="00EA0442">
        <w:t>t</w:t>
      </w:r>
      <w:r>
        <w:t xml:space="preserve">ransitional </w:t>
      </w:r>
      <w:r w:rsidR="00EA0442">
        <w:t>a</w:t>
      </w:r>
      <w:r>
        <w:t>rrangements</w:t>
      </w:r>
      <w:bookmarkEnd w:id="30"/>
    </w:p>
    <w:p w:rsidR="00917C03" w:rsidRDefault="00917C03" w:rsidP="006F3311">
      <w:pPr>
        <w:pStyle w:val="Heading3"/>
      </w:pPr>
      <w:bookmarkStart w:id="31" w:name="_Toc527966057"/>
      <w:r w:rsidRPr="006F3311">
        <w:t>Education</w:t>
      </w:r>
      <w:bookmarkEnd w:id="31"/>
    </w:p>
    <w:p w:rsidR="001B245A" w:rsidRDefault="001B245A" w:rsidP="006F3311">
      <w:r>
        <w:t>In order to foster greater understanding of eCTD</w:t>
      </w:r>
      <w:r w:rsidR="008C6D8A">
        <w:t xml:space="preserve">, </w:t>
      </w:r>
      <w:r w:rsidR="0006582C">
        <w:t>we</w:t>
      </w:r>
      <w:r w:rsidR="008C6D8A">
        <w:t xml:space="preserve"> plan to undertake:</w:t>
      </w:r>
    </w:p>
    <w:p w:rsidR="00FB5AEE" w:rsidRPr="006F3311" w:rsidRDefault="008C6D8A" w:rsidP="006F3311">
      <w:pPr>
        <w:pStyle w:val="ListBullet"/>
      </w:pPr>
      <w:r>
        <w:t xml:space="preserve">A sponsor education and awareness program on the strategies and benefits </w:t>
      </w:r>
      <w:r w:rsidR="009D7FC1">
        <w:t>of</w:t>
      </w:r>
      <w:r>
        <w:t xml:space="preserve"> transitioning to </w:t>
      </w:r>
      <w:r w:rsidRPr="006F3311">
        <w:t>the eCTD format</w:t>
      </w:r>
      <w:r w:rsidR="005D0512" w:rsidRPr="006F3311">
        <w:t>, including information on baselines and the best way</w:t>
      </w:r>
      <w:r w:rsidR="007A6049" w:rsidRPr="006F3311">
        <w:t>s to transition older products;</w:t>
      </w:r>
    </w:p>
    <w:p w:rsidR="00FB5AEE" w:rsidRPr="006F3311" w:rsidRDefault="008C6D8A" w:rsidP="006F3311">
      <w:pPr>
        <w:pStyle w:val="ListBullet"/>
      </w:pPr>
      <w:r w:rsidRPr="006F3311">
        <w:t>Updates to eCTD guidance on the TGA website</w:t>
      </w:r>
      <w:r w:rsidR="007A6049" w:rsidRPr="006F3311">
        <w:t>;</w:t>
      </w:r>
    </w:p>
    <w:p w:rsidR="00FB5AEE" w:rsidRPr="006F3311" w:rsidRDefault="00FB5AEE" w:rsidP="006F3311">
      <w:pPr>
        <w:pStyle w:val="ListBullet"/>
      </w:pPr>
      <w:r w:rsidRPr="006F3311">
        <w:t>Presentations</w:t>
      </w:r>
      <w:r w:rsidR="008C6D8A" w:rsidRPr="006F3311">
        <w:t xml:space="preserve"> on the transition program at a range of conferences and meetings</w:t>
      </w:r>
      <w:r w:rsidR="006A4548" w:rsidRPr="006F3311">
        <w:t>; and</w:t>
      </w:r>
    </w:p>
    <w:p w:rsidR="006A4548" w:rsidRDefault="00CE7B8C" w:rsidP="006F3311">
      <w:pPr>
        <w:pStyle w:val="ListBullet"/>
      </w:pPr>
      <w:r w:rsidRPr="006F3311">
        <w:t>Engagement</w:t>
      </w:r>
      <w:r w:rsidR="006A4548" w:rsidRPr="006F3311">
        <w:t xml:space="preserve"> with SME Assist</w:t>
      </w:r>
      <w:r w:rsidR="001D642A">
        <w:t xml:space="preserve"> to provide support</w:t>
      </w:r>
      <w:r w:rsidR="006A4548">
        <w:t>.</w:t>
      </w:r>
    </w:p>
    <w:p w:rsidR="00917C03" w:rsidRDefault="00917C03" w:rsidP="006F3311">
      <w:pPr>
        <w:pStyle w:val="Heading3"/>
      </w:pPr>
      <w:bookmarkStart w:id="32" w:name="_Toc527966058"/>
      <w:r w:rsidRPr="006F3311">
        <w:t>Collaboration</w:t>
      </w:r>
      <w:bookmarkEnd w:id="32"/>
    </w:p>
    <w:p w:rsidR="001B245A" w:rsidRDefault="008C6D8A" w:rsidP="006F3311">
      <w:r>
        <w:t>To ensure that the transition to eCTD</w:t>
      </w:r>
      <w:r w:rsidR="00CE7B8C">
        <w:t xml:space="preserve"> </w:t>
      </w:r>
      <w:r>
        <w:t>formatted dossiers is smooth</w:t>
      </w:r>
      <w:r w:rsidR="009D7FC1">
        <w:t>,</w:t>
      </w:r>
      <w:r>
        <w:t xml:space="preserve"> we will be seeking input from industry and vendor</w:t>
      </w:r>
      <w:r w:rsidR="007A6049">
        <w:t>s along the way</w:t>
      </w:r>
      <w:r w:rsidR="009D7FC1">
        <w:t>,</w:t>
      </w:r>
      <w:r w:rsidR="007A6049">
        <w:t xml:space="preserve"> facilitated via:</w:t>
      </w:r>
    </w:p>
    <w:p w:rsidR="00FB5AEE" w:rsidRPr="006F3311" w:rsidRDefault="00FB5AEE" w:rsidP="006F3311">
      <w:pPr>
        <w:pStyle w:val="ListBullet"/>
      </w:pPr>
      <w:r w:rsidRPr="006F3311">
        <w:t>Working group</w:t>
      </w:r>
      <w:r w:rsidR="004E048B" w:rsidRPr="006F3311">
        <w:t>s</w:t>
      </w:r>
      <w:r w:rsidR="008065F8" w:rsidRPr="006F3311">
        <w:t xml:space="preserve"> / meetings</w:t>
      </w:r>
      <w:r w:rsidR="007A6049" w:rsidRPr="006F3311">
        <w:t>; and</w:t>
      </w:r>
    </w:p>
    <w:p w:rsidR="00FB5AEE" w:rsidRPr="006F3311" w:rsidRDefault="00FB5AEE" w:rsidP="006F3311">
      <w:pPr>
        <w:pStyle w:val="ListBullet"/>
      </w:pPr>
      <w:r w:rsidRPr="006F3311">
        <w:t>Vendor presentations</w:t>
      </w:r>
      <w:r w:rsidR="007A6049" w:rsidRPr="006F3311">
        <w:t>.</w:t>
      </w:r>
    </w:p>
    <w:p w:rsidR="00917C03" w:rsidRDefault="00917C03" w:rsidP="006F3311">
      <w:pPr>
        <w:pStyle w:val="Heading3"/>
      </w:pPr>
      <w:bookmarkStart w:id="33" w:name="_Toc527966059"/>
      <w:r w:rsidRPr="006F3311">
        <w:t>Advice</w:t>
      </w:r>
      <w:bookmarkEnd w:id="33"/>
    </w:p>
    <w:p w:rsidR="00FB5AEE" w:rsidRDefault="001B245A" w:rsidP="006F3311">
      <w:r>
        <w:t>T</w:t>
      </w:r>
      <w:r w:rsidR="009F56EE">
        <w:t xml:space="preserve">o assist with </w:t>
      </w:r>
      <w:r>
        <w:t xml:space="preserve">specific issues in transitioning </w:t>
      </w:r>
      <w:r w:rsidR="009F56EE">
        <w:t>to eCTD</w:t>
      </w:r>
      <w:r w:rsidR="004E048B">
        <w:t>,</w:t>
      </w:r>
      <w:r w:rsidR="009F56EE">
        <w:t xml:space="preserve"> </w:t>
      </w:r>
      <w:r w:rsidR="00CE7B8C">
        <w:t>we</w:t>
      </w:r>
      <w:r w:rsidR="009F56EE">
        <w:t xml:space="preserve"> </w:t>
      </w:r>
      <w:r>
        <w:t xml:space="preserve">will be available for </w:t>
      </w:r>
      <w:r w:rsidR="009D7FC1">
        <w:t>p</w:t>
      </w:r>
      <w:r w:rsidR="00FB5AEE">
        <w:t>re-eCTD tra</w:t>
      </w:r>
      <w:r>
        <w:t xml:space="preserve">nsition meetings to discuss transition plans and technical issues. We </w:t>
      </w:r>
      <w:r w:rsidR="002978BB">
        <w:t>will</w:t>
      </w:r>
      <w:r>
        <w:t xml:space="preserve"> </w:t>
      </w:r>
      <w:r w:rsidR="009D7FC1">
        <w:t xml:space="preserve">also </w:t>
      </w:r>
      <w:r>
        <w:t>accept test dossiers from sponsors with limited eCTD experience.</w:t>
      </w:r>
    </w:p>
    <w:tbl>
      <w:tblPr>
        <w:tblW w:w="9036" w:type="dxa"/>
        <w:tblLayout w:type="fixed"/>
        <w:tblCellMar>
          <w:left w:w="0" w:type="dxa"/>
          <w:right w:w="0" w:type="dxa"/>
        </w:tblCellMar>
        <w:tblLook w:val="04A0" w:firstRow="1" w:lastRow="0" w:firstColumn="1" w:lastColumn="0" w:noHBand="0" w:noVBand="1"/>
      </w:tblPr>
      <w:tblGrid>
        <w:gridCol w:w="1276"/>
        <w:gridCol w:w="7760"/>
      </w:tblGrid>
      <w:tr w:rsidR="00917C03" w:rsidTr="005B3C95">
        <w:tc>
          <w:tcPr>
            <w:tcW w:w="1276" w:type="dxa"/>
            <w:vAlign w:val="center"/>
            <w:hideMark/>
          </w:tcPr>
          <w:p w:rsidR="00917C03" w:rsidRDefault="00917C03">
            <w:pPr>
              <w:spacing w:before="0"/>
              <w:jc w:val="center"/>
              <w:rPr>
                <w:sz w:val="20"/>
              </w:rPr>
            </w:pPr>
            <w:r>
              <w:rPr>
                <w:noProof/>
                <w:sz w:val="20"/>
                <w:lang w:eastAsia="en-AU"/>
              </w:rPr>
              <w:lastRenderedPageBreak/>
              <w:drawing>
                <wp:inline distT="0" distB="0" distL="0" distR="0" wp14:anchorId="31C39FA6" wp14:editId="38D07DBE">
                  <wp:extent cx="487680" cy="487680"/>
                  <wp:effectExtent l="0" t="0" r="7620" b="7620"/>
                  <wp:docPr id="4" name="Picture 4" descr="Ques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Questi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7680" cy="487680"/>
                          </a:xfrm>
                          <a:prstGeom prst="rect">
                            <a:avLst/>
                          </a:prstGeom>
                          <a:noFill/>
                          <a:ln>
                            <a:noFill/>
                          </a:ln>
                        </pic:spPr>
                      </pic:pic>
                    </a:graphicData>
                  </a:graphic>
                </wp:inline>
              </w:drawing>
            </w:r>
          </w:p>
        </w:tc>
        <w:tc>
          <w:tcPr>
            <w:tcW w:w="7760" w:type="dxa"/>
            <w:shd w:val="clear" w:color="auto" w:fill="EAEAEA"/>
            <w:tcMar>
              <w:top w:w="170" w:type="dxa"/>
              <w:left w:w="170" w:type="dxa"/>
              <w:bottom w:w="170" w:type="dxa"/>
              <w:right w:w="170" w:type="dxa"/>
            </w:tcMar>
            <w:vAlign w:val="center"/>
            <w:hideMark/>
          </w:tcPr>
          <w:p w:rsidR="00917C03" w:rsidRPr="006F3311" w:rsidRDefault="00917C03" w:rsidP="006F3311">
            <w:pPr>
              <w:pStyle w:val="Numberbullet0"/>
              <w:numPr>
                <w:ilvl w:val="0"/>
                <w:numId w:val="8"/>
              </w:numPr>
              <w:rPr>
                <w:b/>
              </w:rPr>
            </w:pPr>
            <w:r w:rsidRPr="006F3311">
              <w:rPr>
                <w:b/>
              </w:rPr>
              <w:t>Are there any other tools or services the TGA could provide to assist with the transition?</w:t>
            </w:r>
          </w:p>
        </w:tc>
      </w:tr>
    </w:tbl>
    <w:p w:rsidR="005B3C95" w:rsidRDefault="005B3C95" w:rsidP="006F3311">
      <w:pPr>
        <w:pStyle w:val="Heading2"/>
      </w:pPr>
      <w:bookmarkStart w:id="34" w:name="_Toc527966060"/>
      <w:r w:rsidRPr="006F3311">
        <w:t>Additional</w:t>
      </w:r>
      <w:r>
        <w:t xml:space="preserve"> reforms</w:t>
      </w:r>
      <w:bookmarkEnd w:id="34"/>
    </w:p>
    <w:p w:rsidR="005B3C95" w:rsidRDefault="005B3C95" w:rsidP="006F3311">
      <w:r>
        <w:t>Moving all pr</w:t>
      </w:r>
      <w:r w:rsidR="008065F8">
        <w:t>escription medicine application types</w:t>
      </w:r>
      <w:r>
        <w:t xml:space="preserve"> to an eCTD format will allow us to develop further enhancements to the dossier submission process </w:t>
      </w:r>
      <w:r w:rsidR="004E048B">
        <w:t>including</w:t>
      </w:r>
      <w:r>
        <w:t>:</w:t>
      </w:r>
    </w:p>
    <w:p w:rsidR="00C51195" w:rsidRPr="006F3311" w:rsidRDefault="00C51195" w:rsidP="006F3311">
      <w:pPr>
        <w:pStyle w:val="ListBullet"/>
      </w:pPr>
      <w:r w:rsidRPr="006F3311">
        <w:t>Updates to the regional Australian specifications</w:t>
      </w:r>
      <w:r w:rsidR="001D642A" w:rsidRPr="006F3311">
        <w:t>;</w:t>
      </w:r>
    </w:p>
    <w:p w:rsidR="005B3C95" w:rsidRPr="006F3311" w:rsidRDefault="005B3C95" w:rsidP="006F3311">
      <w:pPr>
        <w:pStyle w:val="ListBullet"/>
      </w:pPr>
      <w:r w:rsidRPr="006F3311">
        <w:t>Dossier submission gateway</w:t>
      </w:r>
      <w:r w:rsidR="001D642A" w:rsidRPr="006F3311">
        <w:t>; and</w:t>
      </w:r>
    </w:p>
    <w:p w:rsidR="005B3C95" w:rsidRPr="006F3311" w:rsidRDefault="005B3C95" w:rsidP="006F3311">
      <w:pPr>
        <w:pStyle w:val="ListBullet"/>
      </w:pPr>
      <w:r w:rsidRPr="006F3311">
        <w:t xml:space="preserve">Implementation of </w:t>
      </w:r>
      <w:r w:rsidR="00911643" w:rsidRPr="006F3311">
        <w:t xml:space="preserve">ICH </w:t>
      </w:r>
      <w:r w:rsidRPr="006F3311">
        <w:t>eCTD version 4.0</w:t>
      </w:r>
      <w:r w:rsidR="001D642A" w:rsidRPr="006F3311">
        <w:t>.</w:t>
      </w:r>
    </w:p>
    <w:p w:rsidR="00C51195" w:rsidRDefault="00C51195" w:rsidP="006F3311">
      <w:r>
        <w:t>Significant collaboration with industry will be needed to deliver these reforms.</w:t>
      </w:r>
    </w:p>
    <w:p w:rsidR="00C51195" w:rsidRDefault="00C51195" w:rsidP="006F3311">
      <w:r>
        <w:t>As Australian sponsors and the TGA obtain a greater understanding of the efficiencies of eCTD</w:t>
      </w:r>
      <w:r w:rsidR="004E048B">
        <w:t>,</w:t>
      </w:r>
      <w:r>
        <w:t xml:space="preserve"> further enhancements to the regional specifications are needed. </w:t>
      </w:r>
      <w:r w:rsidR="005B3C95">
        <w:t>The TGA is proposing to amend the Australian regional specifications in 2019 to</w:t>
      </w:r>
      <w:r>
        <w:t>:</w:t>
      </w:r>
    </w:p>
    <w:p w:rsidR="00C51195" w:rsidRPr="006F3311" w:rsidRDefault="005B3C95" w:rsidP="006F3311">
      <w:pPr>
        <w:pStyle w:val="ListBullet"/>
      </w:pPr>
      <w:r w:rsidRPr="006F3311">
        <w:t>align more closely with the prescrip</w:t>
      </w:r>
      <w:r w:rsidR="00C51195" w:rsidRPr="006F3311">
        <w:t>tion medicine application types</w:t>
      </w:r>
      <w:r w:rsidR="007A6049" w:rsidRPr="006F3311">
        <w:t>; and</w:t>
      </w:r>
    </w:p>
    <w:p w:rsidR="005D0512" w:rsidRPr="006F3311" w:rsidRDefault="005D0512" w:rsidP="006F3311">
      <w:pPr>
        <w:pStyle w:val="ListBullet"/>
      </w:pPr>
      <w:r w:rsidRPr="006F3311">
        <w:t>allow further autom</w:t>
      </w:r>
      <w:r w:rsidR="00C51195" w:rsidRPr="006F3311">
        <w:t xml:space="preserve">ation of </w:t>
      </w:r>
      <w:r w:rsidR="008065F8" w:rsidRPr="006F3311">
        <w:t>processing steps</w:t>
      </w:r>
      <w:r w:rsidR="007A6049" w:rsidRPr="006F3311">
        <w:t>.</w:t>
      </w:r>
    </w:p>
    <w:p w:rsidR="00C51195" w:rsidRDefault="007A6049" w:rsidP="006F3311">
      <w:r>
        <w:t>In addition to specification</w:t>
      </w:r>
      <w:r w:rsidR="00C51195">
        <w:t xml:space="preserve"> update</w:t>
      </w:r>
      <w:r w:rsidR="007119A7">
        <w:t>s,</w:t>
      </w:r>
      <w:r w:rsidR="00C51195">
        <w:t xml:space="preserve"> the TGA is also </w:t>
      </w:r>
      <w:r w:rsidR="006A4548">
        <w:t xml:space="preserve">planning </w:t>
      </w:r>
      <w:r w:rsidR="00C51195">
        <w:t>work on the electronic submission gateway. The gateway will allow sponsors to upload dossiers rather than provide them via email or on CD. The web gateway will be connected to our validator and dossier management system</w:t>
      </w:r>
      <w:r w:rsidR="009D7FC1">
        <w:t>,</w:t>
      </w:r>
      <w:r w:rsidR="00C51195">
        <w:t xml:space="preserve"> allowing the dossier to be automatically validated and uploaded to our system at any time. The eCTD format, with the XML backbone and envelope </w:t>
      </w:r>
      <w:r>
        <w:t>will allow</w:t>
      </w:r>
      <w:r w:rsidR="008065F8">
        <w:t xml:space="preserve"> the </w:t>
      </w:r>
      <w:r w:rsidR="00C51195">
        <w:t xml:space="preserve">data </w:t>
      </w:r>
      <w:r w:rsidR="008065F8">
        <w:t xml:space="preserve">to be </w:t>
      </w:r>
      <w:r w:rsidR="00C51195">
        <w:t xml:space="preserve">forwarded directly to the relevant </w:t>
      </w:r>
      <w:r>
        <w:t xml:space="preserve">TGA </w:t>
      </w:r>
      <w:r w:rsidR="00C51195">
        <w:t>section</w:t>
      </w:r>
      <w:r w:rsidR="007119A7">
        <w:t>,</w:t>
      </w:r>
      <w:r w:rsidR="00C51195">
        <w:t xml:space="preserve"> significantly reducing the </w:t>
      </w:r>
      <w:r w:rsidR="008065F8">
        <w:t>administration processing time</w:t>
      </w:r>
      <w:r w:rsidR="00C51195">
        <w:t>.</w:t>
      </w:r>
    </w:p>
    <w:p w:rsidR="0069488C" w:rsidRDefault="00C51195" w:rsidP="006F3311">
      <w:r>
        <w:t>This work is al</w:t>
      </w:r>
      <w:r w:rsidR="007F0885">
        <w:t>so</w:t>
      </w:r>
      <w:r>
        <w:t xml:space="preserve"> preparing</w:t>
      </w:r>
      <w:r w:rsidR="005B3C95">
        <w:t xml:space="preserve"> Australia for our transition to the ICH version 4.0 eCTD specifications</w:t>
      </w:r>
      <w:r w:rsidR="007F0885">
        <w:t>, which will feature enhanced functionality over version 3.2.2</w:t>
      </w:r>
      <w:r w:rsidR="005B3C95">
        <w:t xml:space="preserve">. Based on the </w:t>
      </w:r>
      <w:r w:rsidR="008C0134">
        <w:t xml:space="preserve">initial </w:t>
      </w:r>
      <w:r w:rsidR="005B3C95">
        <w:t>proposed timeline</w:t>
      </w:r>
      <w:r w:rsidR="007119A7">
        <w:t>,</w:t>
      </w:r>
      <w:r w:rsidR="005B3C95">
        <w:t xml:space="preserve"> the TGA will begin a transition period in late 2020</w:t>
      </w:r>
      <w:r w:rsidR="007F0885">
        <w:t>, following other CORs</w:t>
      </w:r>
      <w:r w:rsidR="005B3C95">
        <w:t>. To ensure harmonisation and global collaboration</w:t>
      </w:r>
      <w:r w:rsidR="009D7FC1">
        <w:t>,</w:t>
      </w:r>
      <w:r w:rsidR="005B3C95">
        <w:t xml:space="preserve"> it</w:t>
      </w:r>
      <w:r w:rsidR="007119A7">
        <w:t xml:space="preserve"> is</w:t>
      </w:r>
      <w:r w:rsidR="005B3C95">
        <w:t xml:space="preserve"> important that Australia progress</w:t>
      </w:r>
      <w:r w:rsidR="007E1DF0">
        <w:t>es</w:t>
      </w:r>
      <w:r w:rsidR="005B3C95">
        <w:t xml:space="preserve"> to eCTD version 4.0 </w:t>
      </w:r>
      <w:r w:rsidR="007119A7">
        <w:t>in</w:t>
      </w:r>
      <w:r w:rsidR="005B3C95">
        <w:t xml:space="preserve"> a similar timeframe to ICH members. The timeframe for transition to eCTD</w:t>
      </w:r>
      <w:r w:rsidR="007E1DF0">
        <w:t>-</w:t>
      </w:r>
      <w:r w:rsidR="005B3C95">
        <w:t>formatted dossiers has been determined with eCTD version 4.0 in mind.</w:t>
      </w:r>
    </w:p>
    <w:bookmarkEnd w:id="1"/>
    <w:bookmarkEnd w:id="2"/>
    <w:p w:rsidR="00BA6FF1" w:rsidRPr="009401F6" w:rsidRDefault="00FB0C9B" w:rsidP="00195FC7">
      <w:pPr>
        <w:pStyle w:val="NonTOCheading2"/>
        <w:pageBreakBefore/>
        <w:spacing w:before="0"/>
      </w:pPr>
      <w:r>
        <w:lastRenderedPageBreak/>
        <w:t>Ve</w:t>
      </w:r>
      <w:r w:rsidR="00BA6FF1" w:rsidRPr="009401F6">
        <w:t>rsion history</w:t>
      </w:r>
    </w:p>
    <w:tbl>
      <w:tblPr>
        <w:tblStyle w:val="TableTGAblack"/>
        <w:tblW w:w="9038" w:type="dxa"/>
        <w:tblLayout w:type="fixed"/>
        <w:tblLook w:val="04A0" w:firstRow="1" w:lastRow="0" w:firstColumn="1" w:lastColumn="0" w:noHBand="0" w:noVBand="1"/>
      </w:tblPr>
      <w:tblGrid>
        <w:gridCol w:w="1276"/>
        <w:gridCol w:w="3242"/>
        <w:gridCol w:w="2712"/>
        <w:gridCol w:w="1808"/>
      </w:tblGrid>
      <w:tr w:rsidR="00BA6FF1" w:rsidRPr="009401F6" w:rsidTr="008C6D8A">
        <w:trPr>
          <w:cnfStyle w:val="100000000000" w:firstRow="1" w:lastRow="0" w:firstColumn="0" w:lastColumn="0" w:oddVBand="0" w:evenVBand="0" w:oddHBand="0" w:evenHBand="0" w:firstRowFirstColumn="0" w:firstRowLastColumn="0" w:lastRowFirstColumn="0" w:lastRowLastColumn="0"/>
          <w:cantSplit w:val="0"/>
          <w:tblHeader/>
        </w:trPr>
        <w:tc>
          <w:tcPr>
            <w:cnfStyle w:val="001000000100" w:firstRow="0" w:lastRow="0" w:firstColumn="1" w:lastColumn="0" w:oddVBand="0" w:evenVBand="0" w:oddHBand="0" w:evenHBand="0" w:firstRowFirstColumn="1" w:firstRowLastColumn="0" w:lastRowFirstColumn="0" w:lastRowLastColumn="0"/>
            <w:tcW w:w="1276" w:type="dxa"/>
          </w:tcPr>
          <w:p w:rsidR="00BA6FF1" w:rsidRPr="009401F6" w:rsidRDefault="00BA6FF1" w:rsidP="008C6D8A">
            <w:r w:rsidRPr="009401F6">
              <w:t>Version</w:t>
            </w:r>
          </w:p>
        </w:tc>
        <w:tc>
          <w:tcPr>
            <w:tcW w:w="3242" w:type="dxa"/>
          </w:tcPr>
          <w:p w:rsidR="00BA6FF1" w:rsidRPr="009401F6" w:rsidRDefault="00BA6FF1" w:rsidP="008C6D8A">
            <w:pPr>
              <w:cnfStyle w:val="100000000000" w:firstRow="1" w:lastRow="0" w:firstColumn="0" w:lastColumn="0" w:oddVBand="0" w:evenVBand="0" w:oddHBand="0" w:evenHBand="0" w:firstRowFirstColumn="0" w:firstRowLastColumn="0" w:lastRowFirstColumn="0" w:lastRowLastColumn="0"/>
            </w:pPr>
            <w:r w:rsidRPr="009401F6">
              <w:t>Description of change</w:t>
            </w:r>
          </w:p>
        </w:tc>
        <w:tc>
          <w:tcPr>
            <w:tcW w:w="2712" w:type="dxa"/>
          </w:tcPr>
          <w:p w:rsidR="00BA6FF1" w:rsidRPr="009401F6" w:rsidRDefault="00BA6FF1" w:rsidP="008C6D8A">
            <w:pPr>
              <w:cnfStyle w:val="100000000000" w:firstRow="1" w:lastRow="0" w:firstColumn="0" w:lastColumn="0" w:oddVBand="0" w:evenVBand="0" w:oddHBand="0" w:evenHBand="0" w:firstRowFirstColumn="0" w:firstRowLastColumn="0" w:lastRowFirstColumn="0" w:lastRowLastColumn="0"/>
            </w:pPr>
            <w:r w:rsidRPr="009401F6">
              <w:t>Author</w:t>
            </w:r>
          </w:p>
        </w:tc>
        <w:tc>
          <w:tcPr>
            <w:tcW w:w="1808" w:type="dxa"/>
          </w:tcPr>
          <w:p w:rsidR="00BA6FF1" w:rsidRPr="009401F6" w:rsidRDefault="00BA6FF1" w:rsidP="008C6D8A">
            <w:pPr>
              <w:cnfStyle w:val="100000000000" w:firstRow="1" w:lastRow="0" w:firstColumn="0" w:lastColumn="0" w:oddVBand="0" w:evenVBand="0" w:oddHBand="0" w:evenHBand="0" w:firstRowFirstColumn="0" w:firstRowLastColumn="0" w:lastRowFirstColumn="0" w:lastRowLastColumn="0"/>
            </w:pPr>
            <w:r w:rsidRPr="009401F6">
              <w:t>Effective date</w:t>
            </w:r>
          </w:p>
        </w:tc>
      </w:tr>
      <w:tr w:rsidR="00BA6FF1" w:rsidRPr="009401F6" w:rsidTr="008C6D8A">
        <w:trPr>
          <w:cantSplit w:val="0"/>
          <w:trHeight w:val="1418"/>
        </w:trPr>
        <w:tc>
          <w:tcPr>
            <w:cnfStyle w:val="001000000000" w:firstRow="0" w:lastRow="0" w:firstColumn="1" w:lastColumn="0" w:oddVBand="0" w:evenVBand="0" w:oddHBand="0" w:evenHBand="0" w:firstRowFirstColumn="0" w:firstRowLastColumn="0" w:lastRowFirstColumn="0" w:lastRowLastColumn="0"/>
            <w:tcW w:w="1276" w:type="dxa"/>
          </w:tcPr>
          <w:p w:rsidR="00BA6FF1" w:rsidRPr="009401F6" w:rsidRDefault="00BA6FF1" w:rsidP="008C6D8A">
            <w:r w:rsidRPr="009401F6">
              <w:t>V1.0</w:t>
            </w:r>
          </w:p>
        </w:tc>
        <w:tc>
          <w:tcPr>
            <w:tcW w:w="3242" w:type="dxa"/>
          </w:tcPr>
          <w:p w:rsidR="00BA6FF1" w:rsidRPr="009401F6" w:rsidRDefault="00BA6FF1" w:rsidP="008C6D8A">
            <w:pPr>
              <w:cnfStyle w:val="000000000000" w:firstRow="0" w:lastRow="0" w:firstColumn="0" w:lastColumn="0" w:oddVBand="0" w:evenVBand="0" w:oddHBand="0" w:evenHBand="0" w:firstRowFirstColumn="0" w:firstRowLastColumn="0" w:lastRowFirstColumn="0" w:lastRowLastColumn="0"/>
            </w:pPr>
            <w:r w:rsidRPr="009401F6">
              <w:t>Original publication</w:t>
            </w:r>
          </w:p>
        </w:tc>
        <w:tc>
          <w:tcPr>
            <w:tcW w:w="2712" w:type="dxa"/>
          </w:tcPr>
          <w:p w:rsidR="00BA6FF1" w:rsidRPr="009401F6" w:rsidRDefault="0098306F" w:rsidP="00725B6A">
            <w:pPr>
              <w:cnfStyle w:val="000000000000" w:firstRow="0" w:lastRow="0" w:firstColumn="0" w:lastColumn="0" w:oddVBand="0" w:evenVBand="0" w:oddHBand="0" w:evenHBand="0" w:firstRowFirstColumn="0" w:firstRowLastColumn="0" w:lastRowFirstColumn="0" w:lastRowLastColumn="0"/>
            </w:pPr>
            <w:r>
              <w:t xml:space="preserve">Prescription </w:t>
            </w:r>
            <w:r w:rsidR="00725B6A">
              <w:t>M</w:t>
            </w:r>
            <w:r>
              <w:t xml:space="preserve">edicines </w:t>
            </w:r>
            <w:r w:rsidR="00725B6A">
              <w:t>A</w:t>
            </w:r>
            <w:r>
              <w:t xml:space="preserve">uthorisation </w:t>
            </w:r>
            <w:r w:rsidR="00725B6A">
              <w:t>B</w:t>
            </w:r>
            <w:r>
              <w:t>ranch</w:t>
            </w:r>
          </w:p>
        </w:tc>
        <w:tc>
          <w:tcPr>
            <w:tcW w:w="1808" w:type="dxa"/>
          </w:tcPr>
          <w:p w:rsidR="00BA6FF1" w:rsidRPr="009401F6" w:rsidRDefault="00725B6A" w:rsidP="00E973B2">
            <w:pPr>
              <w:cnfStyle w:val="000000000000" w:firstRow="0" w:lastRow="0" w:firstColumn="0" w:lastColumn="0" w:oddVBand="0" w:evenVBand="0" w:oddHBand="0" w:evenHBand="0" w:firstRowFirstColumn="0" w:firstRowLastColumn="0" w:lastRowFirstColumn="0" w:lastRowLastColumn="0"/>
            </w:pPr>
            <w:r>
              <w:t xml:space="preserve">October </w:t>
            </w:r>
            <w:r w:rsidR="00270395">
              <w:t>2018</w:t>
            </w:r>
          </w:p>
        </w:tc>
      </w:tr>
      <w:tr w:rsidR="00725B6A" w:rsidRPr="009401F6" w:rsidTr="008C6D8A">
        <w:trPr>
          <w:cantSplit w:val="0"/>
          <w:trHeight w:val="1418"/>
        </w:trPr>
        <w:tc>
          <w:tcPr>
            <w:cnfStyle w:val="001000000000" w:firstRow="0" w:lastRow="0" w:firstColumn="1" w:lastColumn="0" w:oddVBand="0" w:evenVBand="0" w:oddHBand="0" w:evenHBand="0" w:firstRowFirstColumn="0" w:firstRowLastColumn="0" w:lastRowFirstColumn="0" w:lastRowLastColumn="0"/>
            <w:tcW w:w="1276" w:type="dxa"/>
          </w:tcPr>
          <w:p w:rsidR="00725B6A" w:rsidRPr="009401F6" w:rsidRDefault="00725B6A" w:rsidP="008C6D8A">
            <w:r>
              <w:t>V1.1</w:t>
            </w:r>
          </w:p>
        </w:tc>
        <w:tc>
          <w:tcPr>
            <w:tcW w:w="3242" w:type="dxa"/>
          </w:tcPr>
          <w:p w:rsidR="00725B6A" w:rsidRPr="009401F6" w:rsidRDefault="00725B6A" w:rsidP="008C6D8A">
            <w:pPr>
              <w:cnfStyle w:val="000000000000" w:firstRow="0" w:lastRow="0" w:firstColumn="0" w:lastColumn="0" w:oddVBand="0" w:evenVBand="0" w:oddHBand="0" w:evenHBand="0" w:firstRowFirstColumn="0" w:firstRowLastColumn="0" w:lastRowFirstColumn="0" w:lastRowLastColumn="0"/>
            </w:pPr>
            <w:r w:rsidRPr="00725B6A">
              <w:t>Amended Stage 1 Implementation Date</w:t>
            </w:r>
          </w:p>
        </w:tc>
        <w:tc>
          <w:tcPr>
            <w:tcW w:w="2712" w:type="dxa"/>
          </w:tcPr>
          <w:p w:rsidR="00725B6A" w:rsidRDefault="00725B6A" w:rsidP="008C6D8A">
            <w:pPr>
              <w:cnfStyle w:val="000000000000" w:firstRow="0" w:lastRow="0" w:firstColumn="0" w:lastColumn="0" w:oddVBand="0" w:evenVBand="0" w:oddHBand="0" w:evenHBand="0" w:firstRowFirstColumn="0" w:firstRowLastColumn="0" w:lastRowFirstColumn="0" w:lastRowLastColumn="0"/>
            </w:pPr>
            <w:r>
              <w:t>Prescription Medicines Authorisation Branch</w:t>
            </w:r>
          </w:p>
        </w:tc>
        <w:tc>
          <w:tcPr>
            <w:tcW w:w="1808" w:type="dxa"/>
          </w:tcPr>
          <w:p w:rsidR="00725B6A" w:rsidRPr="009401F6" w:rsidRDefault="00725B6A" w:rsidP="006E7952">
            <w:pPr>
              <w:cnfStyle w:val="000000000000" w:firstRow="0" w:lastRow="0" w:firstColumn="0" w:lastColumn="0" w:oddVBand="0" w:evenVBand="0" w:oddHBand="0" w:evenHBand="0" w:firstRowFirstColumn="0" w:firstRowLastColumn="0" w:lastRowFirstColumn="0" w:lastRowLastColumn="0"/>
            </w:pPr>
            <w:r>
              <w:t>October 2018</w:t>
            </w:r>
          </w:p>
        </w:tc>
      </w:tr>
    </w:tbl>
    <w:p w:rsidR="00BA6FF1" w:rsidRDefault="00BA6FF1" w:rsidP="00F8404D">
      <w:r>
        <w:br w:type="page"/>
      </w:r>
    </w:p>
    <w:p w:rsidR="003E3D34" w:rsidRPr="009401F6" w:rsidRDefault="003E3D34" w:rsidP="00F8404D">
      <w:pPr>
        <w:sectPr w:rsidR="003E3D34" w:rsidRPr="009401F6" w:rsidSect="00A72DE4">
          <w:headerReference w:type="even" r:id="rId16"/>
          <w:headerReference w:type="default" r:id="rId17"/>
          <w:footerReference w:type="default" r:id="rId18"/>
          <w:headerReference w:type="first" r:id="rId19"/>
          <w:type w:val="continuous"/>
          <w:pgSz w:w="11906" w:h="16838" w:code="9"/>
          <w:pgMar w:top="1418" w:right="1418" w:bottom="1361" w:left="1418" w:header="998" w:footer="283" w:gutter="0"/>
          <w:cols w:space="708"/>
          <w:titlePg/>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F8404D" w:rsidRPr="009401F6" w:rsidTr="008C6D8A">
        <w:trPr>
          <w:trHeight w:hRule="exact" w:val="565"/>
          <w:jc w:val="center"/>
        </w:trPr>
        <w:tc>
          <w:tcPr>
            <w:tcW w:w="9145" w:type="dxa"/>
          </w:tcPr>
          <w:p w:rsidR="00F8404D" w:rsidRPr="009401F6" w:rsidRDefault="00F8404D" w:rsidP="008C6D8A">
            <w:pPr>
              <w:pStyle w:val="TGASignoff"/>
            </w:pPr>
            <w:r w:rsidRPr="009401F6">
              <w:lastRenderedPageBreak/>
              <w:t>Therapeutic Goods Administration</w:t>
            </w:r>
          </w:p>
        </w:tc>
      </w:tr>
      <w:tr w:rsidR="00F8404D" w:rsidRPr="009401F6" w:rsidTr="008C6D8A">
        <w:trPr>
          <w:trHeight w:val="963"/>
          <w:jc w:val="center"/>
        </w:trPr>
        <w:tc>
          <w:tcPr>
            <w:tcW w:w="9145" w:type="dxa"/>
            <w:tcMar>
              <w:top w:w="28" w:type="dxa"/>
            </w:tcMar>
          </w:tcPr>
          <w:p w:rsidR="00F8404D" w:rsidRPr="009401F6" w:rsidRDefault="00F8404D" w:rsidP="008C6D8A">
            <w:pPr>
              <w:pStyle w:val="Address"/>
              <w:jc w:val="center"/>
            </w:pPr>
            <w:r w:rsidRPr="009401F6">
              <w:t>PO Box 100 Woden ACT 2606 Australia</w:t>
            </w:r>
          </w:p>
          <w:p w:rsidR="00F8404D" w:rsidRPr="009401F6" w:rsidRDefault="00F8404D" w:rsidP="008C6D8A">
            <w:pPr>
              <w:pStyle w:val="Address"/>
              <w:jc w:val="center"/>
            </w:pPr>
            <w:r w:rsidRPr="009401F6">
              <w:t xml:space="preserve">Email: </w:t>
            </w:r>
            <w:hyperlink r:id="rId20" w:history="1">
              <w:r w:rsidRPr="009401F6">
                <w:rPr>
                  <w:rStyle w:val="Hyperlink"/>
                </w:rPr>
                <w:t>info@tga.gov.au</w:t>
              </w:r>
            </w:hyperlink>
            <w:r w:rsidRPr="009401F6">
              <w:t xml:space="preserve">  Phone: 1800 020 653  Fax: 02 62</w:t>
            </w:r>
            <w:r w:rsidR="003204DD">
              <w:t>0</w:t>
            </w:r>
            <w:r w:rsidRPr="009401F6">
              <w:t xml:space="preserve">3 </w:t>
            </w:r>
            <w:r w:rsidR="003204DD">
              <w:t>1</w:t>
            </w:r>
            <w:r w:rsidRPr="009401F6">
              <w:t>605</w:t>
            </w:r>
          </w:p>
          <w:p w:rsidR="00F8404D" w:rsidRPr="009401F6" w:rsidRDefault="005A5D2F" w:rsidP="008C6D8A">
            <w:pPr>
              <w:pStyle w:val="Address"/>
              <w:spacing w:line="260" w:lineRule="atLeast"/>
              <w:jc w:val="center"/>
              <w:rPr>
                <w:rStyle w:val="Hyperlink"/>
                <w:b/>
              </w:rPr>
            </w:pPr>
            <w:hyperlink r:id="rId21" w:history="1">
              <w:r w:rsidR="009401F6" w:rsidRPr="009401F6">
                <w:rPr>
                  <w:rStyle w:val="Hyperlink"/>
                  <w:b/>
                </w:rPr>
                <w:t>https://www.tga.gov.au</w:t>
              </w:r>
            </w:hyperlink>
          </w:p>
        </w:tc>
      </w:tr>
      <w:tr w:rsidR="00F8404D" w:rsidRPr="009401F6" w:rsidTr="008C6D8A">
        <w:trPr>
          <w:trHeight w:val="251"/>
          <w:jc w:val="center"/>
        </w:trPr>
        <w:tc>
          <w:tcPr>
            <w:tcW w:w="9145" w:type="dxa"/>
            <w:tcMar>
              <w:top w:w="28" w:type="dxa"/>
            </w:tcMar>
          </w:tcPr>
          <w:p w:rsidR="00F8404D" w:rsidRPr="009401F6" w:rsidRDefault="00F8404D" w:rsidP="008C6D8A">
            <w:pPr>
              <w:pStyle w:val="Address"/>
              <w:jc w:val="center"/>
            </w:pPr>
            <w:r w:rsidRPr="009401F6">
              <w:t>Reference/Publication #</w:t>
            </w:r>
            <w:r w:rsidR="00DB1508">
              <w:t xml:space="preserve"> D18-10614102</w:t>
            </w:r>
          </w:p>
        </w:tc>
      </w:tr>
    </w:tbl>
    <w:p w:rsidR="0084580B" w:rsidRPr="009401F6" w:rsidRDefault="0084580B" w:rsidP="00F8404D">
      <w:pPr>
        <w:pStyle w:val="Footer"/>
      </w:pPr>
    </w:p>
    <w:sectPr w:rsidR="0084580B" w:rsidRPr="009401F6" w:rsidSect="00F8404D">
      <w:headerReference w:type="even" r:id="rId22"/>
      <w:headerReference w:type="default" r:id="rId23"/>
      <w:headerReference w:type="first" r:id="rId24"/>
      <w:footerReference w:type="first" r:id="rId25"/>
      <w:type w:val="continuous"/>
      <w:pgSz w:w="11906" w:h="16838" w:code="9"/>
      <w:pgMar w:top="13718" w:right="1701" w:bottom="709" w:left="1701" w:header="1134" w:footer="6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2876" w:rsidRDefault="00602876" w:rsidP="00C40A36">
      <w:pPr>
        <w:spacing w:after="0"/>
      </w:pPr>
      <w:r>
        <w:separator/>
      </w:r>
    </w:p>
    <w:p w:rsidR="00602876" w:rsidRDefault="00602876"/>
  </w:endnote>
  <w:endnote w:type="continuationSeparator" w:id="0">
    <w:p w:rsidR="00602876" w:rsidRDefault="00602876" w:rsidP="00C40A36">
      <w:pPr>
        <w:spacing w:after="0"/>
      </w:pPr>
      <w:r>
        <w:continuationSeparator/>
      </w:r>
    </w:p>
    <w:p w:rsidR="00602876" w:rsidRDefault="006028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16E" w:rsidRDefault="0022316E" w:rsidP="00A3654F">
    <w:pPr>
      <w:pStyle w:val="Footer"/>
      <w:tabs>
        <w:tab w:val="left" w:pos="7620"/>
        <w:tab w:val="right" w:pos="8504"/>
      </w:tabs>
      <w:rPr>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22316E" w:rsidRPr="00257138" w:rsidTr="00A3654F">
      <w:trPr>
        <w:trHeight w:val="423"/>
      </w:trPr>
      <w:tc>
        <w:tcPr>
          <w:tcW w:w="4360" w:type="dxa"/>
          <w:tcBorders>
            <w:top w:val="single" w:sz="4" w:space="0" w:color="auto"/>
          </w:tcBorders>
        </w:tcPr>
        <w:p w:rsidR="0022316E" w:rsidRDefault="0022316E" w:rsidP="008D4740">
          <w:pPr>
            <w:pStyle w:val="Footer"/>
          </w:pPr>
        </w:p>
        <w:p w:rsidR="0022316E" w:rsidRPr="00257138" w:rsidRDefault="0022316E" w:rsidP="009B15F1">
          <w:pPr>
            <w:pStyle w:val="Footer"/>
          </w:pPr>
          <w:r>
            <w:t>Document title</w:t>
          </w:r>
        </w:p>
      </w:tc>
      <w:tc>
        <w:tcPr>
          <w:tcW w:w="4360" w:type="dxa"/>
          <w:tcBorders>
            <w:top w:val="single" w:sz="4" w:space="0" w:color="auto"/>
          </w:tcBorders>
        </w:tcPr>
        <w:sdt>
          <w:sdtPr>
            <w:id w:val="3702144"/>
            <w:docPartObj>
              <w:docPartGallery w:val="Page Numbers (Top of Page)"/>
              <w:docPartUnique/>
            </w:docPartObj>
          </w:sdtPr>
          <w:sdtEndPr/>
          <w:sdtContent>
            <w:p w:rsidR="0022316E" w:rsidRDefault="0022316E" w:rsidP="008D4740">
              <w:pPr>
                <w:pStyle w:val="Footer"/>
                <w:jc w:val="right"/>
              </w:pPr>
            </w:p>
            <w:p w:rsidR="0022316E" w:rsidRPr="00257138" w:rsidRDefault="0022316E" w:rsidP="008D4740">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rsidR="005A5D2F">
                <w:fldChar w:fldCharType="begin"/>
              </w:r>
              <w:r w:rsidR="005A5D2F">
                <w:instrText xml:space="preserve"> NUMPAGES  </w:instrText>
              </w:r>
              <w:r w:rsidR="005A5D2F">
                <w:fldChar w:fldCharType="separate"/>
              </w:r>
              <w:r>
                <w:rPr>
                  <w:noProof/>
                </w:rPr>
                <w:t>18</w:t>
              </w:r>
              <w:r w:rsidR="005A5D2F">
                <w:rPr>
                  <w:noProof/>
                </w:rPr>
                <w:fldChar w:fldCharType="end"/>
              </w:r>
            </w:p>
          </w:sdtContent>
        </w:sdt>
      </w:tc>
    </w:tr>
    <w:tr w:rsidR="0022316E" w:rsidRPr="00257138" w:rsidTr="00A3654F">
      <w:trPr>
        <w:trHeight w:val="263"/>
      </w:trPr>
      <w:tc>
        <w:tcPr>
          <w:tcW w:w="4360" w:type="dxa"/>
        </w:tcPr>
        <w:p w:rsidR="0022316E" w:rsidRPr="00257138" w:rsidRDefault="0022316E" w:rsidP="008D4740">
          <w:pPr>
            <w:pStyle w:val="Footer"/>
          </w:pPr>
          <w:r w:rsidRPr="00257138">
            <w:t xml:space="preserve">V1.0 </w:t>
          </w:r>
          <w:r>
            <w:t>Month</w:t>
          </w:r>
          <w:r w:rsidRPr="00257138">
            <w:t xml:space="preserve"> 201</w:t>
          </w:r>
          <w:r>
            <w:t>2</w:t>
          </w:r>
        </w:p>
      </w:tc>
      <w:tc>
        <w:tcPr>
          <w:tcW w:w="4360" w:type="dxa"/>
        </w:tcPr>
        <w:p w:rsidR="0022316E" w:rsidRPr="00257138" w:rsidRDefault="0022316E" w:rsidP="008D4740">
          <w:pPr>
            <w:pStyle w:val="Footer"/>
            <w:jc w:val="right"/>
          </w:pPr>
        </w:p>
      </w:tc>
    </w:tr>
  </w:tbl>
  <w:p w:rsidR="0022316E" w:rsidRPr="00826007" w:rsidRDefault="0022316E" w:rsidP="00A3654F">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16E" w:rsidRDefault="0022316E" w:rsidP="00FF7B50">
    <w:pPr>
      <w:pStyle w:val="Footer"/>
      <w:ind w:left="-1757" w:right="-22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1241"/>
    </w:tblGrid>
    <w:tr w:rsidR="0022316E" w:rsidRPr="00257138" w:rsidTr="00EE1482">
      <w:trPr>
        <w:trHeight w:val="423"/>
      </w:trPr>
      <w:tc>
        <w:tcPr>
          <w:tcW w:w="7479" w:type="dxa"/>
        </w:tcPr>
        <w:p w:rsidR="0022316E" w:rsidRPr="00257138" w:rsidRDefault="0022316E" w:rsidP="001A06CE">
          <w:pPr>
            <w:pStyle w:val="Footer"/>
            <w:spacing w:before="120" w:after="120"/>
          </w:pPr>
          <w:r>
            <w:t>Transition to eCTD only for prescription medicines</w:t>
          </w:r>
          <w:r>
            <w:br/>
          </w:r>
          <w:r w:rsidRPr="00257138">
            <w:t>V1.</w:t>
          </w:r>
          <w:r w:rsidR="001A06CE">
            <w:t>1</w:t>
          </w:r>
          <w:r w:rsidRPr="00257138">
            <w:t xml:space="preserve"> </w:t>
          </w:r>
          <w:r w:rsidR="00E973B2">
            <w:t>October</w:t>
          </w:r>
          <w:r>
            <w:t xml:space="preserve"> 2018</w:t>
          </w:r>
        </w:p>
      </w:tc>
      <w:tc>
        <w:tcPr>
          <w:tcW w:w="1241" w:type="dxa"/>
        </w:tcPr>
        <w:sdt>
          <w:sdtPr>
            <w:id w:val="3702141"/>
            <w:docPartObj>
              <w:docPartGallery w:val="Page Numbers (Top of Page)"/>
              <w:docPartUnique/>
            </w:docPartObj>
          </w:sdtPr>
          <w:sdtEndPr/>
          <w:sdtContent>
            <w:p w:rsidR="0022316E" w:rsidRPr="00257138" w:rsidRDefault="0022316E" w:rsidP="00EE1482">
              <w:pPr>
                <w:pStyle w:val="Footer"/>
                <w:spacing w:before="120" w:after="120"/>
                <w:jc w:val="right"/>
              </w:pPr>
              <w:r w:rsidRPr="00257138">
                <w:t xml:space="preserve">Page </w:t>
              </w:r>
              <w:r>
                <w:fldChar w:fldCharType="begin"/>
              </w:r>
              <w:r>
                <w:instrText xml:space="preserve"> PAGE </w:instrText>
              </w:r>
              <w:r>
                <w:fldChar w:fldCharType="separate"/>
              </w:r>
              <w:r w:rsidR="005A5D2F">
                <w:rPr>
                  <w:noProof/>
                </w:rPr>
                <w:t>3</w:t>
              </w:r>
              <w:r>
                <w:rPr>
                  <w:noProof/>
                </w:rPr>
                <w:fldChar w:fldCharType="end"/>
              </w:r>
              <w:r w:rsidRPr="00257138">
                <w:t xml:space="preserve"> of </w:t>
              </w:r>
              <w:r w:rsidR="005A5D2F">
                <w:fldChar w:fldCharType="begin"/>
              </w:r>
              <w:r w:rsidR="005A5D2F">
                <w:instrText xml:space="preserve"> NUMPAGES  </w:instrText>
              </w:r>
              <w:r w:rsidR="005A5D2F">
                <w:fldChar w:fldCharType="separate"/>
              </w:r>
              <w:r w:rsidR="005A5D2F">
                <w:rPr>
                  <w:noProof/>
                </w:rPr>
                <w:t>18</w:t>
              </w:r>
              <w:r w:rsidR="005A5D2F">
                <w:rPr>
                  <w:noProof/>
                </w:rPr>
                <w:fldChar w:fldCharType="end"/>
              </w:r>
            </w:p>
          </w:sdtContent>
        </w:sdt>
      </w:tc>
    </w:tr>
  </w:tbl>
  <w:p w:rsidR="0022316E" w:rsidRPr="00826007" w:rsidRDefault="0022316E" w:rsidP="00F4663D">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16E" w:rsidRPr="00F8404D" w:rsidRDefault="0022316E" w:rsidP="00F84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2876" w:rsidRDefault="00602876" w:rsidP="00FE1941">
      <w:pPr>
        <w:spacing w:after="0"/>
      </w:pPr>
      <w:r>
        <w:separator/>
      </w:r>
    </w:p>
  </w:footnote>
  <w:footnote w:type="continuationSeparator" w:id="0">
    <w:p w:rsidR="00602876" w:rsidRDefault="00602876" w:rsidP="00C40A36">
      <w:pPr>
        <w:spacing w:after="0"/>
      </w:pPr>
      <w:r>
        <w:continuationSeparator/>
      </w:r>
    </w:p>
    <w:p w:rsidR="00602876" w:rsidRDefault="00602876"/>
  </w:footnote>
  <w:footnote w:id="1">
    <w:p w:rsidR="0022316E" w:rsidRDefault="0022316E" w:rsidP="001F271A">
      <w:pPr>
        <w:pStyle w:val="FootnoteText"/>
      </w:pPr>
      <w:r>
        <w:rPr>
          <w:rStyle w:val="FootnoteReference"/>
        </w:rPr>
        <w:footnoteRef/>
      </w:r>
      <w:r>
        <w:t xml:space="preserve"> </w:t>
      </w:r>
      <w:r w:rsidRPr="00D02136">
        <w:t xml:space="preserve">Prescription medicine </w:t>
      </w:r>
      <w:r w:rsidRPr="001F271A">
        <w:t>submissions</w:t>
      </w:r>
      <w:r w:rsidRPr="00D02136">
        <w:t xml:space="preserve"> relate to the registration – and subsequent variations to the registration – of human medicinal products described in Part 1 of Schedule 10 of the </w:t>
      </w:r>
      <w:r w:rsidRPr="001F271A">
        <w:rPr>
          <w:i/>
        </w:rPr>
        <w:t>Therapeutic Goods Regulations 1990</w:t>
      </w:r>
      <w:r w:rsidRPr="00D02136">
        <w:t>. This includes periodic safety update reports (PSURs) and active substance master files.</w:t>
      </w:r>
    </w:p>
  </w:footnote>
  <w:footnote w:id="2">
    <w:p w:rsidR="0022316E" w:rsidRDefault="0022316E" w:rsidP="001F271A">
      <w:pPr>
        <w:pStyle w:val="FootnoteText"/>
      </w:pPr>
      <w:r>
        <w:rPr>
          <w:rStyle w:val="FootnoteReference"/>
        </w:rPr>
        <w:footnoteRef/>
      </w:r>
      <w:r>
        <w:t xml:space="preserve"> </w:t>
      </w:r>
      <w:r w:rsidRPr="001F271A">
        <w:t>Guidance</w:t>
      </w:r>
      <w:r w:rsidRPr="00A045D2">
        <w:t xml:space="preserve"> – Electronic format requirements for industry for providing regulatory information March 2011 (page 5) https://www.tga.gov.au/sites/default/files/consult-pm-nees-110321-a.</w:t>
      </w:r>
      <w:r w:rsidRPr="00FD2472">
        <w:t>pdf</w:t>
      </w:r>
    </w:p>
  </w:footnote>
  <w:footnote w:id="3">
    <w:p w:rsidR="0022316E" w:rsidRPr="00B17480" w:rsidRDefault="0022316E" w:rsidP="000C461C">
      <w:pPr>
        <w:pStyle w:val="FootnoteText"/>
      </w:pPr>
      <w:r w:rsidRPr="00B17480">
        <w:rPr>
          <w:rStyle w:val="FootnoteReference"/>
          <w:sz w:val="16"/>
        </w:rPr>
        <w:footnoteRef/>
      </w:r>
      <w:r w:rsidRPr="00B17480">
        <w:t xml:space="preserve"> Raju Sama, Swarna Latha K, Sathish M, Gowthami </w:t>
      </w:r>
      <w:r w:rsidRPr="000C461C">
        <w:t>Krishna</w:t>
      </w:r>
      <w:r w:rsidRPr="00B17480">
        <w:t xml:space="preserve"> M &amp; Santhosh P, </w:t>
      </w:r>
      <w:r w:rsidRPr="000C461C">
        <w:rPr>
          <w:i/>
        </w:rPr>
        <w:t>Electronic Common Technical Document (eCTD): A Review of History, Benefits of Implementing, Challenges Modules, Risks Involved in eCTD Publishing and Quality Control</w:t>
      </w:r>
      <w:r w:rsidRPr="00B17480">
        <w:t>, International Journal of Pharmaceutical, Chemical and Biological Sciences 6(2) (2016):133-149. Page 146</w:t>
      </w:r>
      <w:r>
        <w:t xml:space="preserve"> for quote</w:t>
      </w:r>
      <w:r w:rsidRPr="00B17480">
        <w:t>.</w:t>
      </w:r>
    </w:p>
  </w:footnote>
  <w:footnote w:id="4">
    <w:p w:rsidR="0022316E" w:rsidRPr="00BC64B9" w:rsidRDefault="0022316E" w:rsidP="000C461C">
      <w:pPr>
        <w:pStyle w:val="FootnoteText"/>
      </w:pPr>
      <w:r w:rsidRPr="00B17480">
        <w:rPr>
          <w:rStyle w:val="FootnoteReference"/>
          <w:sz w:val="16"/>
        </w:rPr>
        <w:footnoteRef/>
      </w:r>
      <w:r w:rsidRPr="00B17480">
        <w:t xml:space="preserve"> Andreas Suchanek &amp; </w:t>
      </w:r>
      <w:r w:rsidRPr="000C461C">
        <w:t>Herwig</w:t>
      </w:r>
      <w:r w:rsidRPr="00B17480">
        <w:t xml:space="preserve"> Ostermann,</w:t>
      </w:r>
      <w:r w:rsidRPr="000C461C">
        <w:rPr>
          <w:i/>
        </w:rPr>
        <w:t xml:space="preserve"> The Electronic Common Technical Document (eCTD): An International Pro/Con Analysis of the Pharmaceutical Product Electronic Submission Process</w:t>
      </w:r>
      <w:r w:rsidRPr="00B17480">
        <w:t>, Drug Information Journal 46(1) (2012): 124-139.</w:t>
      </w:r>
    </w:p>
  </w:footnote>
  <w:footnote w:id="5">
    <w:p w:rsidR="0022316E" w:rsidRPr="00A045D2" w:rsidRDefault="0022316E" w:rsidP="00DA56B7">
      <w:pPr>
        <w:pStyle w:val="FootnoteText"/>
      </w:pPr>
      <w:r>
        <w:rPr>
          <w:rStyle w:val="FootnoteReference"/>
        </w:rPr>
        <w:footnoteRef/>
      </w:r>
      <w:r>
        <w:t xml:space="preserve"> </w:t>
      </w:r>
      <w:r w:rsidRPr="00A045D2">
        <w:t xml:space="preserve">Guidance – Electronic </w:t>
      </w:r>
      <w:r w:rsidRPr="00DA56B7">
        <w:t>format</w:t>
      </w:r>
      <w:r w:rsidRPr="00A045D2">
        <w:t xml:space="preserve"> requirements for industry for providing regulatory information March 2011 (page 5) https://www.tga.gov.au/sites/default/files/consult-pm-nees-110321-a.</w:t>
      </w:r>
      <w:r>
        <w:t>pdf</w:t>
      </w:r>
    </w:p>
  </w:footnote>
  <w:footnote w:id="6">
    <w:p w:rsidR="0022316E" w:rsidRDefault="0022316E" w:rsidP="000C2120">
      <w:pPr>
        <w:pStyle w:val="FootnoteText"/>
      </w:pPr>
      <w:r w:rsidRPr="00B17480">
        <w:rPr>
          <w:rStyle w:val="FootnoteReference"/>
          <w:sz w:val="16"/>
        </w:rPr>
        <w:footnoteRef/>
      </w:r>
      <w:r w:rsidRPr="00B17480">
        <w:t xml:space="preserve"> </w:t>
      </w:r>
      <w:r w:rsidRPr="000C2120">
        <w:t xml:space="preserve">Australia's National Digital Health Strategy </w:t>
      </w:r>
      <w:r>
        <w:t xml:space="preserve">- </w:t>
      </w:r>
      <w:r w:rsidRPr="00B17480">
        <w:t>https://www.digitalhealth.gov.au/about-the-agency/</w:t>
      </w:r>
      <w:r w:rsidRPr="000C2120">
        <w:t>publications</w:t>
      </w:r>
      <w:r w:rsidRPr="00B17480">
        <w:t>/australias-national-digital-health-strategy</w:t>
      </w:r>
    </w:p>
  </w:footnote>
  <w:footnote w:id="7">
    <w:p w:rsidR="0022316E" w:rsidRDefault="0022316E" w:rsidP="000C2120">
      <w:pPr>
        <w:pStyle w:val="FootnoteText"/>
      </w:pPr>
      <w:r w:rsidRPr="00B17480">
        <w:rPr>
          <w:rStyle w:val="FootnoteReference"/>
          <w:sz w:val="16"/>
        </w:rPr>
        <w:footnoteRef/>
      </w:r>
      <w:r w:rsidRPr="00B17480">
        <w:t xml:space="preserve"> </w:t>
      </w:r>
      <w:r w:rsidRPr="000C2120">
        <w:t>International Engagement - Our objectives</w:t>
      </w:r>
      <w:r>
        <w:t xml:space="preserve">: </w:t>
      </w:r>
      <w:r w:rsidRPr="000C2120">
        <w:t>3. Promote evidence-based international norms and standards to support robust health systems and better health in Australia and internationally</w:t>
      </w:r>
      <w:r>
        <w:t xml:space="preserve"> - </w:t>
      </w:r>
      <w:r w:rsidRPr="00B17480">
        <w:t>http://www.health.gov.au/internet/main/publishing.nsf/Content/international-engagement-our-objectives#3</w:t>
      </w:r>
    </w:p>
  </w:footnote>
  <w:footnote w:id="8">
    <w:p w:rsidR="0022316E" w:rsidRPr="00427196" w:rsidRDefault="0022316E" w:rsidP="006F3311">
      <w:pPr>
        <w:pStyle w:val="FootnoteText"/>
      </w:pPr>
      <w:r w:rsidRPr="00427196">
        <w:rPr>
          <w:rStyle w:val="FootnoteReference"/>
          <w:szCs w:val="18"/>
        </w:rPr>
        <w:footnoteRef/>
      </w:r>
      <w:r w:rsidRPr="00427196">
        <w:t xml:space="preserve"> Data from 1 January 2017 to 30 April 2018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D2F" w:rsidRDefault="005A5D2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67829" o:spid="_x0000_s4098" type="#_x0000_t136" style="position:absolute;left:0;text-align:left;margin-left:0;margin-top:0;width:587.5pt;height:51.8pt;rotation:315;z-index:-251653120;mso-position-horizontal:center;mso-position-horizontal-relative:margin;mso-position-vertical:center;mso-position-vertical-relative:margin" o:allowincell="f" fillcolor="#c0d3d4" stroked="f">
          <v:textpath style="font-family:&quot;Arial Black&quot;;font-size:1pt" string="Historical consultation document"/>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16E" w:rsidRPr="00920FF4" w:rsidRDefault="005A5D2F" w:rsidP="00920FF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67830" o:spid="_x0000_s4099" type="#_x0000_t136" style="position:absolute;left:0;text-align:left;margin-left:0;margin-top:0;width:587.5pt;height:51.8pt;rotation:315;z-index:-251651072;mso-position-horizontal:center;mso-position-horizontal-relative:margin;mso-position-vertical:center;mso-position-vertical-relative:margin" o:allowincell="f" fillcolor="#c0d3d4" stroked="f">
          <v:textpath style="font-family:&quot;Arial Black&quot;;font-size:1pt" string="Historical consultation document"/>
        </v:shape>
      </w:pict>
    </w:r>
    <w:r w:rsidR="0022316E">
      <w:t>Therapeutic Goods Administration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16E" w:rsidRPr="00E32326" w:rsidRDefault="005A5D2F" w:rsidP="00F202AB">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67828" o:spid="_x0000_s4097" type="#_x0000_t136" style="position:absolute;margin-left:0;margin-top:0;width:587.5pt;height:51.8pt;rotation:315;z-index:-251655168;mso-position-horizontal:center;mso-position-horizontal-relative:margin;mso-position-vertical:center;mso-position-vertical-relative:margin" o:allowincell="f" fillcolor="#c0d3d4" stroked="f">
          <v:textpath style="font-family:&quot;Arial Black&quot;;font-size:1pt" string="Historical consultation document"/>
        </v:shape>
      </w:pict>
    </w:r>
    <w:r w:rsidR="0022316E" w:rsidRPr="00F3255D">
      <w:rPr>
        <w:noProof/>
        <w:lang w:eastAsia="en-AU"/>
      </w:rPr>
      <w:drawing>
        <wp:anchor distT="0" distB="0" distL="114300" distR="114300" simplePos="0" relativeHeight="251664384" behindDoc="0" locked="0" layoutInCell="1" allowOverlap="1" wp14:anchorId="1F3310FF" wp14:editId="051FCE59">
          <wp:simplePos x="0" y="0"/>
          <wp:positionH relativeFrom="column">
            <wp:posOffset>-195580</wp:posOffset>
          </wp:positionH>
          <wp:positionV relativeFrom="paragraph">
            <wp:posOffset>-62230</wp:posOffset>
          </wp:positionV>
          <wp:extent cx="3524250" cy="1209675"/>
          <wp:effectExtent l="19050" t="0" r="0" b="0"/>
          <wp:wrapTopAndBottom/>
          <wp:docPr id="109" name="Picture 109"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1"/>
                  <a:srcRect/>
                  <a:stretch>
                    <a:fillRect/>
                  </a:stretch>
                </pic:blipFill>
                <pic:spPr bwMode="auto">
                  <a:xfrm>
                    <a:off x="0" y="0"/>
                    <a:ext cx="3524250" cy="1209675"/>
                  </a:xfrm>
                  <a:prstGeom prst="rect">
                    <a:avLst/>
                  </a:prstGeom>
                  <a:noFill/>
                  <a:ln w="9525">
                    <a:noFill/>
                    <a:miter lim="800000"/>
                    <a:headEnd/>
                    <a:tailEnd/>
                  </a:ln>
                </pic:spPr>
              </pic:pic>
            </a:graphicData>
          </a:graphic>
        </wp:anchor>
      </w:drawing>
    </w:r>
  </w:p>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22316E" w:rsidRPr="00FF7B50" w:rsidTr="008C6D8A">
      <w:trPr>
        <w:trHeight w:hRule="exact" w:val="8845"/>
      </w:trPr>
      <w:tc>
        <w:tcPr>
          <w:tcW w:w="11964" w:type="dxa"/>
        </w:tcPr>
        <w:p w:rsidR="0022316E" w:rsidRPr="00FF7B50" w:rsidRDefault="005A5D2F" w:rsidP="00AE0320">
          <w:pPr>
            <w:pStyle w:val="Header"/>
            <w:ind w:left="-57"/>
            <w:jc w:val="left"/>
            <w:rPr>
              <w:noProof/>
              <w:lang w:eastAsia="en-AU"/>
            </w:rPr>
          </w:pPr>
          <w:sdt>
            <w:sdtPr>
              <w:rPr>
                <w:noProof/>
                <w:lang w:eastAsia="en-AU"/>
              </w:rPr>
              <w:id w:val="3702145"/>
              <w:showingPlcHdr/>
              <w:picture/>
            </w:sdtPr>
            <w:sdtEndPr/>
            <w:sdtContent>
              <w:r>
                <w:rPr>
                  <w:noProof/>
                  <w:lang w:eastAsia="en-AU"/>
                </w:rPr>
                <w:drawing>
                  <wp:inline distT="0" distB="0" distL="0" distR="0">
                    <wp:extent cx="66675" cy="66675"/>
                    <wp:effectExtent l="0" t="0" r="9525" b="9525"/>
                    <wp:docPr id="1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H="1">
                              <a:off x="0" y="0"/>
                              <a:ext cx="66675" cy="66675"/>
                            </a:xfrm>
                            <a:prstGeom prst="rect">
                              <a:avLst/>
                            </a:prstGeom>
                            <a:noFill/>
                            <a:ln>
                              <a:noFill/>
                            </a:ln>
                          </pic:spPr>
                        </pic:pic>
                      </a:graphicData>
                    </a:graphic>
                  </wp:inline>
                </w:drawing>
              </w:r>
            </w:sdtContent>
          </w:sdt>
        </w:p>
      </w:tc>
    </w:tr>
  </w:tbl>
  <w:p w:rsidR="0022316E" w:rsidRPr="00E32326" w:rsidRDefault="0022316E" w:rsidP="00F202AB">
    <w:r>
      <w:rPr>
        <w:noProof/>
        <w:lang w:eastAsia="en-AU"/>
      </w:rPr>
      <w:drawing>
        <wp:anchor distT="0" distB="0" distL="114300" distR="114300" simplePos="0" relativeHeight="251656192" behindDoc="1" locked="0" layoutInCell="0" allowOverlap="1" wp14:anchorId="75961CE9" wp14:editId="1AE01102">
          <wp:simplePos x="0" y="0"/>
          <wp:positionH relativeFrom="column">
            <wp:posOffset>-900430</wp:posOffset>
          </wp:positionH>
          <wp:positionV relativeFrom="page">
            <wp:posOffset>4171950</wp:posOffset>
          </wp:positionV>
          <wp:extent cx="7600950" cy="2457450"/>
          <wp:effectExtent l="19050" t="0" r="0" b="0"/>
          <wp:wrapNone/>
          <wp:docPr id="111" name="Picture 8"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fletct\Desktop\TGA-Swoosh-w-Wordmark-Green-CMYK.gif"/>
                  <pic:cNvPicPr>
                    <a:picLocks noChangeAspect="1" noChangeArrowheads="1"/>
                  </pic:cNvPicPr>
                </pic:nvPicPr>
                <pic:blipFill>
                  <a:blip r:embed="rId3" cstate="print"/>
                  <a:srcRect/>
                  <a:stretch>
                    <a:fillRect/>
                  </a:stretch>
                </pic:blipFill>
                <pic:spPr bwMode="auto">
                  <a:xfrm>
                    <a:off x="0" y="0"/>
                    <a:ext cx="7600950" cy="2457450"/>
                  </a:xfrm>
                  <a:prstGeom prst="rect">
                    <a:avLst/>
                  </a:prstGeom>
                  <a:noFill/>
                  <a:ln w="9525">
                    <a:noFill/>
                    <a:miter lim="800000"/>
                    <a:headEnd/>
                    <a:tailEnd/>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D2F" w:rsidRDefault="005A5D2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67832" o:spid="_x0000_s4101" type="#_x0000_t136" style="position:absolute;left:0;text-align:left;margin-left:0;margin-top:0;width:587.5pt;height:51.8pt;rotation:315;z-index:-251646976;mso-position-horizontal:center;mso-position-horizontal-relative:margin;mso-position-vertical:center;mso-position-vertical-relative:margin" o:allowincell="f" fillcolor="#c0d3d4" stroked="f">
          <v:textpath style="font-family:&quot;Arial Black&quot;;font-size:1pt" string="Historical consultation document"/>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16E" w:rsidRPr="00920FF4" w:rsidRDefault="005A5D2F" w:rsidP="00920FF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67833" o:spid="_x0000_s4102" type="#_x0000_t136" style="position:absolute;left:0;text-align:left;margin-left:0;margin-top:0;width:587.5pt;height:51.8pt;rotation:315;z-index:-251644928;mso-position-horizontal:center;mso-position-horizontal-relative:margin;mso-position-vertical:center;mso-position-vertical-relative:margin" o:allowincell="f" fillcolor="#c0d3d4" stroked="f">
          <v:textpath style="font-family:&quot;Arial Black&quot;;font-size:1pt" string="Historical consultation document"/>
        </v:shape>
      </w:pict>
    </w:r>
    <w:r w:rsidR="0022316E">
      <w:t>Therapeutic Goods Administration</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16E" w:rsidRPr="00920FF4" w:rsidRDefault="005A5D2F" w:rsidP="001D480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67831" o:spid="_x0000_s4100" type="#_x0000_t136" style="position:absolute;left:0;text-align:left;margin-left:0;margin-top:0;width:587.5pt;height:51.8pt;rotation:315;z-index:-251649024;mso-position-horizontal:center;mso-position-horizontal-relative:margin;mso-position-vertical:center;mso-position-vertical-relative:margin" o:allowincell="f" fillcolor="#c0d3d4" stroked="f">
          <v:textpath style="font-family:&quot;Arial Black&quot;;font-size:1pt" string="Historical consultation document"/>
        </v:shape>
      </w:pict>
    </w:r>
    <w:r w:rsidR="0022316E">
      <w:t>Therapeutic Goods Administration</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D2F" w:rsidRDefault="005A5D2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67835" o:spid="_x0000_s4104" type="#_x0000_t136" style="position:absolute;left:0;text-align:left;margin-left:0;margin-top:0;width:587.5pt;height:51.8pt;rotation:315;z-index:-251640832;mso-position-horizontal:center;mso-position-horizontal-relative:margin;mso-position-vertical:center;mso-position-vertical-relative:margin" o:allowincell="f" fillcolor="#c0d3d4" stroked="f">
          <v:textpath style="font-family:&quot;Arial Black&quot;;font-size:1pt" string="Historical consultation document"/>
        </v:shape>
      </w:pic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D2F" w:rsidRDefault="005A5D2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67836" o:spid="_x0000_s4105" type="#_x0000_t136" style="position:absolute;left:0;text-align:left;margin-left:0;margin-top:0;width:587.5pt;height:51.8pt;rotation:315;z-index:-251638784;mso-position-horizontal:center;mso-position-horizontal-relative:margin;mso-position-vertical:center;mso-position-vertical-relative:margin" o:allowincell="f" fillcolor="#c0d3d4" stroked="f">
          <v:textpath style="font-family:&quot;Arial Black&quot;;font-size:1pt" string="Historical consultation document"/>
        </v:shape>
      </w:pic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16E" w:rsidRPr="009401F6" w:rsidRDefault="005A5D2F" w:rsidP="0047772E">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67834" o:spid="_x0000_s4103" type="#_x0000_t136" style="position:absolute;margin-left:0;margin-top:0;width:587.5pt;height:51.8pt;rotation:315;z-index:-251642880;mso-position-horizontal:center;mso-position-horizontal-relative:margin;mso-position-vertical:center;mso-position-vertical-relative:margin" o:allowincell="f" fillcolor="#c0d3d4" stroked="f">
          <v:textpath style="font-family:&quot;Arial Black&quot;;font-size:1pt" string="Historical consultation document"/>
        </v:shape>
      </w:pict>
    </w:r>
  </w:p>
  <w:p w:rsidR="0022316E" w:rsidRPr="002B0C2E" w:rsidRDefault="0022316E" w:rsidP="002B0C2E">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 w15:restartNumberingAfterBreak="0">
    <w:nsid w:val="168F13E9"/>
    <w:multiLevelType w:val="multilevel"/>
    <w:tmpl w:val="388E04BC"/>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 w15:restartNumberingAfterBreak="0">
    <w:nsid w:val="32FC353D"/>
    <w:multiLevelType w:val="hybridMultilevel"/>
    <w:tmpl w:val="C36445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1"/>
    <w:lvlOverride w:ilvl="0">
      <w:lvl w:ilvl="0">
        <w:start w:val="1"/>
        <w:numFmt w:val="bullet"/>
        <w:pStyle w:val="ListBullet"/>
        <w:lvlText w:val=""/>
        <w:lvlJc w:val="left"/>
        <w:pPr>
          <w:ind w:left="360" w:hanging="360"/>
        </w:pPr>
        <w:rPr>
          <w:rFonts w:ascii="Symbol" w:hAnsi="Symbol" w:hint="default"/>
        </w:rPr>
      </w:lvl>
    </w:lvlOverride>
    <w:lvlOverride w:ilvl="1">
      <w:lvl w:ilvl="1">
        <w:start w:val="1"/>
        <w:numFmt w:val="bullet"/>
        <w:pStyle w:val="ListBullet2"/>
        <w:lvlText w:val="–"/>
        <w:lvlJc w:val="left"/>
        <w:pPr>
          <w:ind w:left="720" w:hanging="360"/>
        </w:pPr>
        <w:rPr>
          <w:rFonts w:ascii="Arial" w:hAnsi="Arial" w:hint="default"/>
        </w:rPr>
      </w:lvl>
    </w:lvlOverride>
    <w:lvlOverride w:ilvl="2">
      <w:lvl w:ilvl="2">
        <w:start w:val="1"/>
        <w:numFmt w:val="bullet"/>
        <w:pStyle w:val="ListBullet3"/>
        <w:lvlText w:val=""/>
        <w:lvlJc w:val="left"/>
        <w:pPr>
          <w:ind w:left="1080" w:hanging="360"/>
        </w:pPr>
        <w:rPr>
          <w:rFonts w:ascii="Wingdings" w:hAnsi="Wingdings" w:hint="default"/>
        </w:rPr>
      </w:lvl>
    </w:lvlOverride>
    <w:lvlOverride w:ilvl="3">
      <w:lvl w:ilvl="3">
        <w:start w:val="1"/>
        <w:numFmt w:val="none"/>
        <w:lvlText w:val=""/>
        <w:lvlJc w:val="left"/>
        <w:pPr>
          <w:ind w:left="1440" w:hanging="360"/>
        </w:pPr>
        <w:rPr>
          <w:rFonts w:hint="default"/>
        </w:rPr>
      </w:lvl>
    </w:lvlOverride>
    <w:lvlOverride w:ilvl="4">
      <w:lvl w:ilvl="4">
        <w:start w:val="1"/>
        <w:numFmt w:val="none"/>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7"/>
        <w:lvlJc w:val="left"/>
        <w:pPr>
          <w:ind w:left="2520" w:hanging="360"/>
        </w:pPr>
        <w:rPr>
          <w:rFonts w:hint="default"/>
        </w:rPr>
      </w:lvl>
    </w:lvlOverride>
    <w:lvlOverride w:ilvl="7">
      <w:lvl w:ilvl="7">
        <w:start w:val="1"/>
        <w:numFmt w:val="none"/>
        <w:lvlText w:val="%8"/>
        <w:lvlJc w:val="left"/>
        <w:pPr>
          <w:ind w:left="2880" w:hanging="360"/>
        </w:pPr>
        <w:rPr>
          <w:rFonts w:hint="default"/>
        </w:rPr>
      </w:lvl>
    </w:lvlOverride>
    <w:lvlOverride w:ilvl="8">
      <w:lvl w:ilvl="8">
        <w:start w:val="1"/>
        <w:numFmt w:val="none"/>
        <w:lvlText w:val="%9"/>
        <w:lvlJc w:val="left"/>
        <w:pPr>
          <w:ind w:left="3240" w:hanging="360"/>
        </w:pPr>
        <w:rPr>
          <w:rFonts w:hint="default"/>
        </w:rPr>
      </w:lvl>
    </w:lvlOverride>
  </w:num>
  <w:num w:numId="4">
    <w:abstractNumId w:val="0"/>
  </w:num>
  <w:num w:numId="5">
    <w:abstractNumId w:val="2"/>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106"/>
    <o:shapelayout v:ext="edit">
      <o:idmap v:ext="edit" data="4"/>
    </o:shapelayout>
  </w:hdrShapeDefault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92E"/>
    <w:rsid w:val="00002031"/>
    <w:rsid w:val="00002B3E"/>
    <w:rsid w:val="00004734"/>
    <w:rsid w:val="00006B22"/>
    <w:rsid w:val="0001276A"/>
    <w:rsid w:val="00015B62"/>
    <w:rsid w:val="00017448"/>
    <w:rsid w:val="0002360A"/>
    <w:rsid w:val="000246AE"/>
    <w:rsid w:val="00025C67"/>
    <w:rsid w:val="0002686E"/>
    <w:rsid w:val="0003306D"/>
    <w:rsid w:val="00044CA7"/>
    <w:rsid w:val="00055129"/>
    <w:rsid w:val="000554B4"/>
    <w:rsid w:val="0005559E"/>
    <w:rsid w:val="000564A3"/>
    <w:rsid w:val="00061E51"/>
    <w:rsid w:val="00062AF5"/>
    <w:rsid w:val="00063028"/>
    <w:rsid w:val="0006582C"/>
    <w:rsid w:val="00067080"/>
    <w:rsid w:val="00072FD0"/>
    <w:rsid w:val="00077775"/>
    <w:rsid w:val="00077C0B"/>
    <w:rsid w:val="00081F8B"/>
    <w:rsid w:val="00090471"/>
    <w:rsid w:val="000958DF"/>
    <w:rsid w:val="000A0965"/>
    <w:rsid w:val="000A0F7A"/>
    <w:rsid w:val="000B0A5D"/>
    <w:rsid w:val="000B3532"/>
    <w:rsid w:val="000B3A75"/>
    <w:rsid w:val="000B4F83"/>
    <w:rsid w:val="000B7084"/>
    <w:rsid w:val="000C2120"/>
    <w:rsid w:val="000C296C"/>
    <w:rsid w:val="000C461C"/>
    <w:rsid w:val="000C5A31"/>
    <w:rsid w:val="000D25BA"/>
    <w:rsid w:val="000D2C49"/>
    <w:rsid w:val="000D391B"/>
    <w:rsid w:val="000D3D6D"/>
    <w:rsid w:val="000D49E3"/>
    <w:rsid w:val="000D4FC7"/>
    <w:rsid w:val="000D5FCF"/>
    <w:rsid w:val="000E1888"/>
    <w:rsid w:val="000E7996"/>
    <w:rsid w:val="000F4869"/>
    <w:rsid w:val="000F5B42"/>
    <w:rsid w:val="000F6BC0"/>
    <w:rsid w:val="000F6E6F"/>
    <w:rsid w:val="001003F2"/>
    <w:rsid w:val="0010466A"/>
    <w:rsid w:val="0010490A"/>
    <w:rsid w:val="0010601F"/>
    <w:rsid w:val="00107378"/>
    <w:rsid w:val="00110EA5"/>
    <w:rsid w:val="001119DF"/>
    <w:rsid w:val="00115240"/>
    <w:rsid w:val="00116A50"/>
    <w:rsid w:val="00125091"/>
    <w:rsid w:val="00125318"/>
    <w:rsid w:val="001277A2"/>
    <w:rsid w:val="001305A2"/>
    <w:rsid w:val="00133238"/>
    <w:rsid w:val="00135F2C"/>
    <w:rsid w:val="00140FE3"/>
    <w:rsid w:val="0014197B"/>
    <w:rsid w:val="001447CD"/>
    <w:rsid w:val="0014549A"/>
    <w:rsid w:val="001516B1"/>
    <w:rsid w:val="001525B4"/>
    <w:rsid w:val="00154ABF"/>
    <w:rsid w:val="00156316"/>
    <w:rsid w:val="00160006"/>
    <w:rsid w:val="00165389"/>
    <w:rsid w:val="00170CED"/>
    <w:rsid w:val="0017476A"/>
    <w:rsid w:val="00174C7B"/>
    <w:rsid w:val="0017693F"/>
    <w:rsid w:val="00180318"/>
    <w:rsid w:val="0018110E"/>
    <w:rsid w:val="00181684"/>
    <w:rsid w:val="001843C6"/>
    <w:rsid w:val="00184DBB"/>
    <w:rsid w:val="001850E0"/>
    <w:rsid w:val="00186343"/>
    <w:rsid w:val="0018693C"/>
    <w:rsid w:val="0019255A"/>
    <w:rsid w:val="00195FC7"/>
    <w:rsid w:val="001A06CE"/>
    <w:rsid w:val="001A2DA7"/>
    <w:rsid w:val="001A525F"/>
    <w:rsid w:val="001A69AB"/>
    <w:rsid w:val="001B09F9"/>
    <w:rsid w:val="001B245A"/>
    <w:rsid w:val="001B6448"/>
    <w:rsid w:val="001C14E7"/>
    <w:rsid w:val="001C1A15"/>
    <w:rsid w:val="001C1E20"/>
    <w:rsid w:val="001D46DA"/>
    <w:rsid w:val="001D480A"/>
    <w:rsid w:val="001D642A"/>
    <w:rsid w:val="001E07CF"/>
    <w:rsid w:val="001E59F1"/>
    <w:rsid w:val="001E63EF"/>
    <w:rsid w:val="001F271A"/>
    <w:rsid w:val="001F3F3C"/>
    <w:rsid w:val="001F49EB"/>
    <w:rsid w:val="001F6CBA"/>
    <w:rsid w:val="001F78B9"/>
    <w:rsid w:val="00201D4E"/>
    <w:rsid w:val="00202476"/>
    <w:rsid w:val="00207515"/>
    <w:rsid w:val="00211C7B"/>
    <w:rsid w:val="00214A74"/>
    <w:rsid w:val="00220B8A"/>
    <w:rsid w:val="0022316E"/>
    <w:rsid w:val="002232C2"/>
    <w:rsid w:val="002257F3"/>
    <w:rsid w:val="002302EC"/>
    <w:rsid w:val="002303B0"/>
    <w:rsid w:val="002314E8"/>
    <w:rsid w:val="002316B8"/>
    <w:rsid w:val="00233456"/>
    <w:rsid w:val="0023397F"/>
    <w:rsid w:val="002339A5"/>
    <w:rsid w:val="00234E88"/>
    <w:rsid w:val="002452E7"/>
    <w:rsid w:val="00245F98"/>
    <w:rsid w:val="00246194"/>
    <w:rsid w:val="0024634B"/>
    <w:rsid w:val="002538AE"/>
    <w:rsid w:val="002541E7"/>
    <w:rsid w:val="00257138"/>
    <w:rsid w:val="00257848"/>
    <w:rsid w:val="002660B3"/>
    <w:rsid w:val="00270395"/>
    <w:rsid w:val="0027084A"/>
    <w:rsid w:val="00271109"/>
    <w:rsid w:val="00274225"/>
    <w:rsid w:val="002777A0"/>
    <w:rsid w:val="00277EF5"/>
    <w:rsid w:val="002836EB"/>
    <w:rsid w:val="00285533"/>
    <w:rsid w:val="00286434"/>
    <w:rsid w:val="00286C59"/>
    <w:rsid w:val="0029092E"/>
    <w:rsid w:val="002942D1"/>
    <w:rsid w:val="00294E74"/>
    <w:rsid w:val="002978BB"/>
    <w:rsid w:val="002A0556"/>
    <w:rsid w:val="002A4037"/>
    <w:rsid w:val="002A5464"/>
    <w:rsid w:val="002A70F7"/>
    <w:rsid w:val="002A7D0E"/>
    <w:rsid w:val="002B0C2E"/>
    <w:rsid w:val="002B1638"/>
    <w:rsid w:val="002B42C3"/>
    <w:rsid w:val="002C1D7D"/>
    <w:rsid w:val="002C2511"/>
    <w:rsid w:val="002C445F"/>
    <w:rsid w:val="002C46D6"/>
    <w:rsid w:val="002C5F36"/>
    <w:rsid w:val="002D1EDF"/>
    <w:rsid w:val="002E2B42"/>
    <w:rsid w:val="002E4C9A"/>
    <w:rsid w:val="002F11F8"/>
    <w:rsid w:val="002F3F56"/>
    <w:rsid w:val="002F44B5"/>
    <w:rsid w:val="00304835"/>
    <w:rsid w:val="00311AC0"/>
    <w:rsid w:val="00315F8C"/>
    <w:rsid w:val="003204DD"/>
    <w:rsid w:val="00321FDD"/>
    <w:rsid w:val="00331DBB"/>
    <w:rsid w:val="00332680"/>
    <w:rsid w:val="003433CD"/>
    <w:rsid w:val="00347C3B"/>
    <w:rsid w:val="003521E8"/>
    <w:rsid w:val="00362E47"/>
    <w:rsid w:val="00365DDD"/>
    <w:rsid w:val="003664BF"/>
    <w:rsid w:val="003728F3"/>
    <w:rsid w:val="00383DB1"/>
    <w:rsid w:val="003847A7"/>
    <w:rsid w:val="003850B3"/>
    <w:rsid w:val="00390900"/>
    <w:rsid w:val="0039186F"/>
    <w:rsid w:val="003A35BD"/>
    <w:rsid w:val="003B00C5"/>
    <w:rsid w:val="003B1146"/>
    <w:rsid w:val="003B443E"/>
    <w:rsid w:val="003B53AE"/>
    <w:rsid w:val="003B7E39"/>
    <w:rsid w:val="003C1B03"/>
    <w:rsid w:val="003C30DC"/>
    <w:rsid w:val="003C58DC"/>
    <w:rsid w:val="003C7461"/>
    <w:rsid w:val="003D0CD9"/>
    <w:rsid w:val="003D2E65"/>
    <w:rsid w:val="003D3D43"/>
    <w:rsid w:val="003D77A7"/>
    <w:rsid w:val="003E0B2F"/>
    <w:rsid w:val="003E2310"/>
    <w:rsid w:val="003E274A"/>
    <w:rsid w:val="003E3208"/>
    <w:rsid w:val="003E3960"/>
    <w:rsid w:val="003E3D34"/>
    <w:rsid w:val="003E4B65"/>
    <w:rsid w:val="003E7EAA"/>
    <w:rsid w:val="003F0B04"/>
    <w:rsid w:val="003F5C57"/>
    <w:rsid w:val="0040134E"/>
    <w:rsid w:val="004026DC"/>
    <w:rsid w:val="00404D8E"/>
    <w:rsid w:val="00410839"/>
    <w:rsid w:val="00411090"/>
    <w:rsid w:val="0041452B"/>
    <w:rsid w:val="004169A8"/>
    <w:rsid w:val="00425ED8"/>
    <w:rsid w:val="00427196"/>
    <w:rsid w:val="0043024F"/>
    <w:rsid w:val="00440A2D"/>
    <w:rsid w:val="004414E4"/>
    <w:rsid w:val="00446F43"/>
    <w:rsid w:val="0044724F"/>
    <w:rsid w:val="00455A6F"/>
    <w:rsid w:val="004564A7"/>
    <w:rsid w:val="004617BF"/>
    <w:rsid w:val="00462BB1"/>
    <w:rsid w:val="004634F1"/>
    <w:rsid w:val="00465E90"/>
    <w:rsid w:val="0046681D"/>
    <w:rsid w:val="0047772E"/>
    <w:rsid w:val="00477BB1"/>
    <w:rsid w:val="00477E78"/>
    <w:rsid w:val="004923FF"/>
    <w:rsid w:val="00494E60"/>
    <w:rsid w:val="00496BAC"/>
    <w:rsid w:val="004A0EFC"/>
    <w:rsid w:val="004A1EBA"/>
    <w:rsid w:val="004A47DA"/>
    <w:rsid w:val="004B5A6B"/>
    <w:rsid w:val="004B6E0C"/>
    <w:rsid w:val="004B7B76"/>
    <w:rsid w:val="004C0070"/>
    <w:rsid w:val="004C2E63"/>
    <w:rsid w:val="004D335D"/>
    <w:rsid w:val="004D51A6"/>
    <w:rsid w:val="004E048B"/>
    <w:rsid w:val="004E2622"/>
    <w:rsid w:val="004F0F38"/>
    <w:rsid w:val="004F1A46"/>
    <w:rsid w:val="004F4D12"/>
    <w:rsid w:val="005017FE"/>
    <w:rsid w:val="00501921"/>
    <w:rsid w:val="005046B0"/>
    <w:rsid w:val="00511904"/>
    <w:rsid w:val="00514D4F"/>
    <w:rsid w:val="00515E61"/>
    <w:rsid w:val="00522A0C"/>
    <w:rsid w:val="00525BF6"/>
    <w:rsid w:val="00530354"/>
    <w:rsid w:val="00531B11"/>
    <w:rsid w:val="00533A4C"/>
    <w:rsid w:val="005405D5"/>
    <w:rsid w:val="00542505"/>
    <w:rsid w:val="005434C6"/>
    <w:rsid w:val="00543B39"/>
    <w:rsid w:val="0054583D"/>
    <w:rsid w:val="005477E7"/>
    <w:rsid w:val="00547F36"/>
    <w:rsid w:val="00550096"/>
    <w:rsid w:val="0055532D"/>
    <w:rsid w:val="00557FF9"/>
    <w:rsid w:val="00576378"/>
    <w:rsid w:val="00577279"/>
    <w:rsid w:val="00577E38"/>
    <w:rsid w:val="00585322"/>
    <w:rsid w:val="00593AD1"/>
    <w:rsid w:val="00594C84"/>
    <w:rsid w:val="00594D03"/>
    <w:rsid w:val="00597877"/>
    <w:rsid w:val="005A1131"/>
    <w:rsid w:val="005A2876"/>
    <w:rsid w:val="005A39F1"/>
    <w:rsid w:val="005A5D2F"/>
    <w:rsid w:val="005A61CE"/>
    <w:rsid w:val="005B3C95"/>
    <w:rsid w:val="005B52CA"/>
    <w:rsid w:val="005C35A4"/>
    <w:rsid w:val="005C5570"/>
    <w:rsid w:val="005C79A4"/>
    <w:rsid w:val="005D0512"/>
    <w:rsid w:val="005D0D7D"/>
    <w:rsid w:val="005D4EA1"/>
    <w:rsid w:val="005D5442"/>
    <w:rsid w:val="005E2D89"/>
    <w:rsid w:val="005E6592"/>
    <w:rsid w:val="005F61E1"/>
    <w:rsid w:val="005F6325"/>
    <w:rsid w:val="00601FCF"/>
    <w:rsid w:val="00602876"/>
    <w:rsid w:val="00607563"/>
    <w:rsid w:val="00611B57"/>
    <w:rsid w:val="00617EAC"/>
    <w:rsid w:val="00623515"/>
    <w:rsid w:val="006239CD"/>
    <w:rsid w:val="00637079"/>
    <w:rsid w:val="00640190"/>
    <w:rsid w:val="006403FA"/>
    <w:rsid w:val="006405A9"/>
    <w:rsid w:val="00640FC3"/>
    <w:rsid w:val="00642020"/>
    <w:rsid w:val="00651C87"/>
    <w:rsid w:val="006527B8"/>
    <w:rsid w:val="00652AB1"/>
    <w:rsid w:val="0065337B"/>
    <w:rsid w:val="00653FBF"/>
    <w:rsid w:val="0065419D"/>
    <w:rsid w:val="00656781"/>
    <w:rsid w:val="006604D8"/>
    <w:rsid w:val="00663736"/>
    <w:rsid w:val="00664A5B"/>
    <w:rsid w:val="00665F8C"/>
    <w:rsid w:val="00667942"/>
    <w:rsid w:val="00667B4F"/>
    <w:rsid w:val="0067797B"/>
    <w:rsid w:val="00680C08"/>
    <w:rsid w:val="0068418F"/>
    <w:rsid w:val="006871ED"/>
    <w:rsid w:val="0068741A"/>
    <w:rsid w:val="00691723"/>
    <w:rsid w:val="006931B1"/>
    <w:rsid w:val="00693CDB"/>
    <w:rsid w:val="0069488C"/>
    <w:rsid w:val="006A15C0"/>
    <w:rsid w:val="006A4548"/>
    <w:rsid w:val="006A7632"/>
    <w:rsid w:val="006B028E"/>
    <w:rsid w:val="006B11F9"/>
    <w:rsid w:val="006B1698"/>
    <w:rsid w:val="006B188D"/>
    <w:rsid w:val="006B302F"/>
    <w:rsid w:val="006B4F14"/>
    <w:rsid w:val="006C1CAB"/>
    <w:rsid w:val="006C1F3B"/>
    <w:rsid w:val="006C3E2A"/>
    <w:rsid w:val="006C4FCA"/>
    <w:rsid w:val="006C626D"/>
    <w:rsid w:val="006C642F"/>
    <w:rsid w:val="006C6EDB"/>
    <w:rsid w:val="006D039E"/>
    <w:rsid w:val="006D03E5"/>
    <w:rsid w:val="006D0C3B"/>
    <w:rsid w:val="006D5D3E"/>
    <w:rsid w:val="006D7F89"/>
    <w:rsid w:val="006E0591"/>
    <w:rsid w:val="006E08B3"/>
    <w:rsid w:val="006E24A0"/>
    <w:rsid w:val="006E51E8"/>
    <w:rsid w:val="006E5AB4"/>
    <w:rsid w:val="006F23D0"/>
    <w:rsid w:val="006F3311"/>
    <w:rsid w:val="006F4350"/>
    <w:rsid w:val="006F572E"/>
    <w:rsid w:val="00701994"/>
    <w:rsid w:val="007046D6"/>
    <w:rsid w:val="00705DB0"/>
    <w:rsid w:val="00706AFE"/>
    <w:rsid w:val="00710E67"/>
    <w:rsid w:val="007119A7"/>
    <w:rsid w:val="00717A7F"/>
    <w:rsid w:val="00724263"/>
    <w:rsid w:val="00725A8B"/>
    <w:rsid w:val="00725B6A"/>
    <w:rsid w:val="00731E5A"/>
    <w:rsid w:val="0074066C"/>
    <w:rsid w:val="00742004"/>
    <w:rsid w:val="0074253D"/>
    <w:rsid w:val="007437A3"/>
    <w:rsid w:val="0074429B"/>
    <w:rsid w:val="007477F8"/>
    <w:rsid w:val="00747F87"/>
    <w:rsid w:val="0075283C"/>
    <w:rsid w:val="0075583A"/>
    <w:rsid w:val="007574B9"/>
    <w:rsid w:val="007615BC"/>
    <w:rsid w:val="00762F05"/>
    <w:rsid w:val="00763336"/>
    <w:rsid w:val="00764EB9"/>
    <w:rsid w:val="007652FF"/>
    <w:rsid w:val="00766F39"/>
    <w:rsid w:val="00771329"/>
    <w:rsid w:val="007713C7"/>
    <w:rsid w:val="00773EF7"/>
    <w:rsid w:val="00774E1D"/>
    <w:rsid w:val="0077675A"/>
    <w:rsid w:val="00780355"/>
    <w:rsid w:val="00784FF0"/>
    <w:rsid w:val="00785721"/>
    <w:rsid w:val="007860E3"/>
    <w:rsid w:val="00786FF1"/>
    <w:rsid w:val="00793172"/>
    <w:rsid w:val="00793A59"/>
    <w:rsid w:val="00795DA8"/>
    <w:rsid w:val="007A0573"/>
    <w:rsid w:val="007A2162"/>
    <w:rsid w:val="007A22F8"/>
    <w:rsid w:val="007A505D"/>
    <w:rsid w:val="007A5DD8"/>
    <w:rsid w:val="007A6049"/>
    <w:rsid w:val="007B00B7"/>
    <w:rsid w:val="007B302B"/>
    <w:rsid w:val="007B43ED"/>
    <w:rsid w:val="007B4BF9"/>
    <w:rsid w:val="007B70F4"/>
    <w:rsid w:val="007B7378"/>
    <w:rsid w:val="007C0F3D"/>
    <w:rsid w:val="007C1AF7"/>
    <w:rsid w:val="007C7A6D"/>
    <w:rsid w:val="007C7B5B"/>
    <w:rsid w:val="007E1DF0"/>
    <w:rsid w:val="007E3A80"/>
    <w:rsid w:val="007E7BF8"/>
    <w:rsid w:val="007F0885"/>
    <w:rsid w:val="007F2FF0"/>
    <w:rsid w:val="007F4140"/>
    <w:rsid w:val="00801DC8"/>
    <w:rsid w:val="0080393C"/>
    <w:rsid w:val="008065F8"/>
    <w:rsid w:val="00807BBE"/>
    <w:rsid w:val="00810598"/>
    <w:rsid w:val="008107F8"/>
    <w:rsid w:val="00811166"/>
    <w:rsid w:val="00814492"/>
    <w:rsid w:val="00821776"/>
    <w:rsid w:val="0082410C"/>
    <w:rsid w:val="00826007"/>
    <w:rsid w:val="00830766"/>
    <w:rsid w:val="008321F5"/>
    <w:rsid w:val="00832369"/>
    <w:rsid w:val="00833888"/>
    <w:rsid w:val="00834660"/>
    <w:rsid w:val="00834C8E"/>
    <w:rsid w:val="00836BC2"/>
    <w:rsid w:val="008371FC"/>
    <w:rsid w:val="0084011A"/>
    <w:rsid w:val="00844AE1"/>
    <w:rsid w:val="0084580B"/>
    <w:rsid w:val="00845BCA"/>
    <w:rsid w:val="00846395"/>
    <w:rsid w:val="00851EBA"/>
    <w:rsid w:val="00853C8F"/>
    <w:rsid w:val="0085641B"/>
    <w:rsid w:val="00857136"/>
    <w:rsid w:val="00861A06"/>
    <w:rsid w:val="008637DE"/>
    <w:rsid w:val="00864084"/>
    <w:rsid w:val="00870B12"/>
    <w:rsid w:val="008752CE"/>
    <w:rsid w:val="008821AA"/>
    <w:rsid w:val="008855B8"/>
    <w:rsid w:val="0089223A"/>
    <w:rsid w:val="00896018"/>
    <w:rsid w:val="008A07FF"/>
    <w:rsid w:val="008A226D"/>
    <w:rsid w:val="008A2B9D"/>
    <w:rsid w:val="008A5E0B"/>
    <w:rsid w:val="008A5E18"/>
    <w:rsid w:val="008A6D59"/>
    <w:rsid w:val="008B2D31"/>
    <w:rsid w:val="008B4B03"/>
    <w:rsid w:val="008B596F"/>
    <w:rsid w:val="008C0134"/>
    <w:rsid w:val="008C015A"/>
    <w:rsid w:val="008C159F"/>
    <w:rsid w:val="008C1623"/>
    <w:rsid w:val="008C51A9"/>
    <w:rsid w:val="008C56D9"/>
    <w:rsid w:val="008C6D8A"/>
    <w:rsid w:val="008D2B09"/>
    <w:rsid w:val="008D4740"/>
    <w:rsid w:val="008D522B"/>
    <w:rsid w:val="008E595F"/>
    <w:rsid w:val="008E7B83"/>
    <w:rsid w:val="008F1CCC"/>
    <w:rsid w:val="008F2967"/>
    <w:rsid w:val="008F3609"/>
    <w:rsid w:val="008F407A"/>
    <w:rsid w:val="0090354E"/>
    <w:rsid w:val="00907ACE"/>
    <w:rsid w:val="00911643"/>
    <w:rsid w:val="00913F52"/>
    <w:rsid w:val="00916DD9"/>
    <w:rsid w:val="00917C03"/>
    <w:rsid w:val="00920330"/>
    <w:rsid w:val="00920FF4"/>
    <w:rsid w:val="009219D7"/>
    <w:rsid w:val="00922D53"/>
    <w:rsid w:val="00923B70"/>
    <w:rsid w:val="00924696"/>
    <w:rsid w:val="00925DC5"/>
    <w:rsid w:val="0092600B"/>
    <w:rsid w:val="00930237"/>
    <w:rsid w:val="00934397"/>
    <w:rsid w:val="009345CE"/>
    <w:rsid w:val="009373BB"/>
    <w:rsid w:val="00937488"/>
    <w:rsid w:val="009401F6"/>
    <w:rsid w:val="00940F44"/>
    <w:rsid w:val="00941988"/>
    <w:rsid w:val="009463F0"/>
    <w:rsid w:val="0095028B"/>
    <w:rsid w:val="00952562"/>
    <w:rsid w:val="0095637C"/>
    <w:rsid w:val="00957C97"/>
    <w:rsid w:val="00963C08"/>
    <w:rsid w:val="0098306F"/>
    <w:rsid w:val="00987672"/>
    <w:rsid w:val="00990853"/>
    <w:rsid w:val="009936B1"/>
    <w:rsid w:val="00995AAB"/>
    <w:rsid w:val="00997420"/>
    <w:rsid w:val="009A09AA"/>
    <w:rsid w:val="009A4495"/>
    <w:rsid w:val="009A474D"/>
    <w:rsid w:val="009A4CED"/>
    <w:rsid w:val="009A74CB"/>
    <w:rsid w:val="009A765B"/>
    <w:rsid w:val="009B15F1"/>
    <w:rsid w:val="009B1D12"/>
    <w:rsid w:val="009B416B"/>
    <w:rsid w:val="009C42F3"/>
    <w:rsid w:val="009C4BD5"/>
    <w:rsid w:val="009C4C86"/>
    <w:rsid w:val="009D2E04"/>
    <w:rsid w:val="009D7B77"/>
    <w:rsid w:val="009D7FC1"/>
    <w:rsid w:val="009E0BB0"/>
    <w:rsid w:val="009E2942"/>
    <w:rsid w:val="009E3FBB"/>
    <w:rsid w:val="009E71F4"/>
    <w:rsid w:val="009F018D"/>
    <w:rsid w:val="009F56EE"/>
    <w:rsid w:val="009F6EDC"/>
    <w:rsid w:val="009F7D61"/>
    <w:rsid w:val="00A03160"/>
    <w:rsid w:val="00A03C05"/>
    <w:rsid w:val="00A045D2"/>
    <w:rsid w:val="00A052B5"/>
    <w:rsid w:val="00A0533B"/>
    <w:rsid w:val="00A10B8E"/>
    <w:rsid w:val="00A1235B"/>
    <w:rsid w:val="00A1303F"/>
    <w:rsid w:val="00A13220"/>
    <w:rsid w:val="00A14DF7"/>
    <w:rsid w:val="00A15861"/>
    <w:rsid w:val="00A16D58"/>
    <w:rsid w:val="00A23F3C"/>
    <w:rsid w:val="00A3246D"/>
    <w:rsid w:val="00A3315F"/>
    <w:rsid w:val="00A3654F"/>
    <w:rsid w:val="00A36FA7"/>
    <w:rsid w:val="00A37F86"/>
    <w:rsid w:val="00A475B7"/>
    <w:rsid w:val="00A47AF7"/>
    <w:rsid w:val="00A47C3E"/>
    <w:rsid w:val="00A50226"/>
    <w:rsid w:val="00A51471"/>
    <w:rsid w:val="00A51BE3"/>
    <w:rsid w:val="00A52FEE"/>
    <w:rsid w:val="00A539AC"/>
    <w:rsid w:val="00A56488"/>
    <w:rsid w:val="00A60BAD"/>
    <w:rsid w:val="00A63CFE"/>
    <w:rsid w:val="00A63FE1"/>
    <w:rsid w:val="00A64387"/>
    <w:rsid w:val="00A72DE4"/>
    <w:rsid w:val="00A736F3"/>
    <w:rsid w:val="00A73A8D"/>
    <w:rsid w:val="00A7509B"/>
    <w:rsid w:val="00A84503"/>
    <w:rsid w:val="00A85B04"/>
    <w:rsid w:val="00A87334"/>
    <w:rsid w:val="00A945D8"/>
    <w:rsid w:val="00A96B61"/>
    <w:rsid w:val="00AA0A77"/>
    <w:rsid w:val="00AB6F47"/>
    <w:rsid w:val="00AC0E1C"/>
    <w:rsid w:val="00AC1C22"/>
    <w:rsid w:val="00AC21ED"/>
    <w:rsid w:val="00AC2B40"/>
    <w:rsid w:val="00AC2BB2"/>
    <w:rsid w:val="00AC2C3C"/>
    <w:rsid w:val="00AC3BD9"/>
    <w:rsid w:val="00AC5B3A"/>
    <w:rsid w:val="00AC7EB0"/>
    <w:rsid w:val="00AD79E2"/>
    <w:rsid w:val="00AE0320"/>
    <w:rsid w:val="00AE0ED6"/>
    <w:rsid w:val="00AE1767"/>
    <w:rsid w:val="00AE5064"/>
    <w:rsid w:val="00AE65EB"/>
    <w:rsid w:val="00AF1D94"/>
    <w:rsid w:val="00AF60C5"/>
    <w:rsid w:val="00B009C6"/>
    <w:rsid w:val="00B011FB"/>
    <w:rsid w:val="00B0123E"/>
    <w:rsid w:val="00B01548"/>
    <w:rsid w:val="00B04A44"/>
    <w:rsid w:val="00B1208A"/>
    <w:rsid w:val="00B16BD2"/>
    <w:rsid w:val="00B17480"/>
    <w:rsid w:val="00B2013B"/>
    <w:rsid w:val="00B21D29"/>
    <w:rsid w:val="00B21FC5"/>
    <w:rsid w:val="00B21FEE"/>
    <w:rsid w:val="00B25034"/>
    <w:rsid w:val="00B33863"/>
    <w:rsid w:val="00B36D1B"/>
    <w:rsid w:val="00B37D17"/>
    <w:rsid w:val="00B41455"/>
    <w:rsid w:val="00B4175E"/>
    <w:rsid w:val="00B43AF5"/>
    <w:rsid w:val="00B501FC"/>
    <w:rsid w:val="00B510E1"/>
    <w:rsid w:val="00B51386"/>
    <w:rsid w:val="00B53EF8"/>
    <w:rsid w:val="00B54C25"/>
    <w:rsid w:val="00B600DA"/>
    <w:rsid w:val="00B64F68"/>
    <w:rsid w:val="00B71F85"/>
    <w:rsid w:val="00B75C1A"/>
    <w:rsid w:val="00B76B91"/>
    <w:rsid w:val="00B92C72"/>
    <w:rsid w:val="00B952AD"/>
    <w:rsid w:val="00B95ED9"/>
    <w:rsid w:val="00B97FD8"/>
    <w:rsid w:val="00BA1728"/>
    <w:rsid w:val="00BA18EA"/>
    <w:rsid w:val="00BA1D04"/>
    <w:rsid w:val="00BA6FF1"/>
    <w:rsid w:val="00BB0909"/>
    <w:rsid w:val="00BB281D"/>
    <w:rsid w:val="00BB6529"/>
    <w:rsid w:val="00BB7FA1"/>
    <w:rsid w:val="00BC1CAB"/>
    <w:rsid w:val="00BC622A"/>
    <w:rsid w:val="00BC64B9"/>
    <w:rsid w:val="00BC67EE"/>
    <w:rsid w:val="00BD6F8A"/>
    <w:rsid w:val="00BE0A78"/>
    <w:rsid w:val="00BE657A"/>
    <w:rsid w:val="00BE79F0"/>
    <w:rsid w:val="00BF046D"/>
    <w:rsid w:val="00BF440E"/>
    <w:rsid w:val="00BF5D04"/>
    <w:rsid w:val="00BF648A"/>
    <w:rsid w:val="00C12C40"/>
    <w:rsid w:val="00C133BB"/>
    <w:rsid w:val="00C13563"/>
    <w:rsid w:val="00C148F1"/>
    <w:rsid w:val="00C22244"/>
    <w:rsid w:val="00C339C6"/>
    <w:rsid w:val="00C36871"/>
    <w:rsid w:val="00C404A6"/>
    <w:rsid w:val="00C409B1"/>
    <w:rsid w:val="00C40A36"/>
    <w:rsid w:val="00C43BAC"/>
    <w:rsid w:val="00C44419"/>
    <w:rsid w:val="00C45E7B"/>
    <w:rsid w:val="00C471B1"/>
    <w:rsid w:val="00C47230"/>
    <w:rsid w:val="00C50BF5"/>
    <w:rsid w:val="00C51195"/>
    <w:rsid w:val="00C52BEE"/>
    <w:rsid w:val="00C53505"/>
    <w:rsid w:val="00C53549"/>
    <w:rsid w:val="00C62706"/>
    <w:rsid w:val="00C6316B"/>
    <w:rsid w:val="00C634A9"/>
    <w:rsid w:val="00C672F0"/>
    <w:rsid w:val="00C70E56"/>
    <w:rsid w:val="00C73D6C"/>
    <w:rsid w:val="00C772FF"/>
    <w:rsid w:val="00C77BC8"/>
    <w:rsid w:val="00C801AF"/>
    <w:rsid w:val="00C80256"/>
    <w:rsid w:val="00C83997"/>
    <w:rsid w:val="00C95B13"/>
    <w:rsid w:val="00C9647C"/>
    <w:rsid w:val="00C9707B"/>
    <w:rsid w:val="00CA0685"/>
    <w:rsid w:val="00CA77CC"/>
    <w:rsid w:val="00CB1C9C"/>
    <w:rsid w:val="00CB6BC0"/>
    <w:rsid w:val="00CC1B7C"/>
    <w:rsid w:val="00CC727F"/>
    <w:rsid w:val="00CD14C1"/>
    <w:rsid w:val="00CD2699"/>
    <w:rsid w:val="00CD308D"/>
    <w:rsid w:val="00CD455A"/>
    <w:rsid w:val="00CD7871"/>
    <w:rsid w:val="00CE5BB0"/>
    <w:rsid w:val="00CE7B8C"/>
    <w:rsid w:val="00CF15C3"/>
    <w:rsid w:val="00CF2B6F"/>
    <w:rsid w:val="00CF3409"/>
    <w:rsid w:val="00CF61D8"/>
    <w:rsid w:val="00D017ED"/>
    <w:rsid w:val="00D01B34"/>
    <w:rsid w:val="00D02136"/>
    <w:rsid w:val="00D03BE7"/>
    <w:rsid w:val="00D0603A"/>
    <w:rsid w:val="00D07DE1"/>
    <w:rsid w:val="00D10F3E"/>
    <w:rsid w:val="00D14107"/>
    <w:rsid w:val="00D153B1"/>
    <w:rsid w:val="00D224FE"/>
    <w:rsid w:val="00D229BA"/>
    <w:rsid w:val="00D22AD0"/>
    <w:rsid w:val="00D23E81"/>
    <w:rsid w:val="00D26B84"/>
    <w:rsid w:val="00D30865"/>
    <w:rsid w:val="00D437D6"/>
    <w:rsid w:val="00D447DB"/>
    <w:rsid w:val="00D4589B"/>
    <w:rsid w:val="00D531FE"/>
    <w:rsid w:val="00D5616E"/>
    <w:rsid w:val="00D634FE"/>
    <w:rsid w:val="00D6493E"/>
    <w:rsid w:val="00D94288"/>
    <w:rsid w:val="00D94697"/>
    <w:rsid w:val="00DA0C0F"/>
    <w:rsid w:val="00DA1124"/>
    <w:rsid w:val="00DA1DEF"/>
    <w:rsid w:val="00DA3043"/>
    <w:rsid w:val="00DA56B7"/>
    <w:rsid w:val="00DB1508"/>
    <w:rsid w:val="00DD4C9F"/>
    <w:rsid w:val="00DD5696"/>
    <w:rsid w:val="00DD75A3"/>
    <w:rsid w:val="00DD7A91"/>
    <w:rsid w:val="00DE02AE"/>
    <w:rsid w:val="00DE0D32"/>
    <w:rsid w:val="00DE5651"/>
    <w:rsid w:val="00DE6A0C"/>
    <w:rsid w:val="00DE6C04"/>
    <w:rsid w:val="00DE75AC"/>
    <w:rsid w:val="00DF1D7F"/>
    <w:rsid w:val="00E00D0A"/>
    <w:rsid w:val="00E02FB4"/>
    <w:rsid w:val="00E04BDF"/>
    <w:rsid w:val="00E10AEF"/>
    <w:rsid w:val="00E1340C"/>
    <w:rsid w:val="00E20571"/>
    <w:rsid w:val="00E21651"/>
    <w:rsid w:val="00E235F7"/>
    <w:rsid w:val="00E239D4"/>
    <w:rsid w:val="00E32326"/>
    <w:rsid w:val="00E40B22"/>
    <w:rsid w:val="00E439D0"/>
    <w:rsid w:val="00E44C25"/>
    <w:rsid w:val="00E4588F"/>
    <w:rsid w:val="00E46B65"/>
    <w:rsid w:val="00E46DA3"/>
    <w:rsid w:val="00E46EA8"/>
    <w:rsid w:val="00E51164"/>
    <w:rsid w:val="00E512FF"/>
    <w:rsid w:val="00E5498F"/>
    <w:rsid w:val="00E64B07"/>
    <w:rsid w:val="00E67046"/>
    <w:rsid w:val="00E7074B"/>
    <w:rsid w:val="00E8120B"/>
    <w:rsid w:val="00E81A06"/>
    <w:rsid w:val="00E91B2E"/>
    <w:rsid w:val="00E973B2"/>
    <w:rsid w:val="00EA0442"/>
    <w:rsid w:val="00EA16DE"/>
    <w:rsid w:val="00EA406B"/>
    <w:rsid w:val="00EA453A"/>
    <w:rsid w:val="00EA4E51"/>
    <w:rsid w:val="00EB0029"/>
    <w:rsid w:val="00EB0798"/>
    <w:rsid w:val="00EB182C"/>
    <w:rsid w:val="00EB19F8"/>
    <w:rsid w:val="00EB40AD"/>
    <w:rsid w:val="00EB54F7"/>
    <w:rsid w:val="00EB586E"/>
    <w:rsid w:val="00EB5FC8"/>
    <w:rsid w:val="00EB7D00"/>
    <w:rsid w:val="00EC1271"/>
    <w:rsid w:val="00EC252D"/>
    <w:rsid w:val="00EC31E3"/>
    <w:rsid w:val="00EC5704"/>
    <w:rsid w:val="00ED0C8B"/>
    <w:rsid w:val="00ED5A41"/>
    <w:rsid w:val="00EE1482"/>
    <w:rsid w:val="00EE255A"/>
    <w:rsid w:val="00EF578B"/>
    <w:rsid w:val="00F00F4E"/>
    <w:rsid w:val="00F01F79"/>
    <w:rsid w:val="00F033EC"/>
    <w:rsid w:val="00F04F68"/>
    <w:rsid w:val="00F04FD6"/>
    <w:rsid w:val="00F0627D"/>
    <w:rsid w:val="00F11A17"/>
    <w:rsid w:val="00F12670"/>
    <w:rsid w:val="00F14B27"/>
    <w:rsid w:val="00F202AB"/>
    <w:rsid w:val="00F3148D"/>
    <w:rsid w:val="00F3255D"/>
    <w:rsid w:val="00F35298"/>
    <w:rsid w:val="00F3529E"/>
    <w:rsid w:val="00F366AC"/>
    <w:rsid w:val="00F36C32"/>
    <w:rsid w:val="00F40DFB"/>
    <w:rsid w:val="00F40F73"/>
    <w:rsid w:val="00F42351"/>
    <w:rsid w:val="00F4305F"/>
    <w:rsid w:val="00F44B0D"/>
    <w:rsid w:val="00F4663D"/>
    <w:rsid w:val="00F467A6"/>
    <w:rsid w:val="00F47E37"/>
    <w:rsid w:val="00F55E72"/>
    <w:rsid w:val="00F61EC9"/>
    <w:rsid w:val="00F623FD"/>
    <w:rsid w:val="00F637C7"/>
    <w:rsid w:val="00F63C0D"/>
    <w:rsid w:val="00F640B6"/>
    <w:rsid w:val="00F67B16"/>
    <w:rsid w:val="00F7192D"/>
    <w:rsid w:val="00F739D1"/>
    <w:rsid w:val="00F80E40"/>
    <w:rsid w:val="00F80EF3"/>
    <w:rsid w:val="00F83221"/>
    <w:rsid w:val="00F8365F"/>
    <w:rsid w:val="00F8404D"/>
    <w:rsid w:val="00F87B87"/>
    <w:rsid w:val="00F9183D"/>
    <w:rsid w:val="00F92537"/>
    <w:rsid w:val="00F92852"/>
    <w:rsid w:val="00FA2694"/>
    <w:rsid w:val="00FA4D6D"/>
    <w:rsid w:val="00FA5B82"/>
    <w:rsid w:val="00FA639E"/>
    <w:rsid w:val="00FB0C9B"/>
    <w:rsid w:val="00FB2675"/>
    <w:rsid w:val="00FB59CE"/>
    <w:rsid w:val="00FB5AEE"/>
    <w:rsid w:val="00FB5DC1"/>
    <w:rsid w:val="00FB7FAF"/>
    <w:rsid w:val="00FC03C8"/>
    <w:rsid w:val="00FC25E4"/>
    <w:rsid w:val="00FC260C"/>
    <w:rsid w:val="00FC4EF7"/>
    <w:rsid w:val="00FD0030"/>
    <w:rsid w:val="00FD2472"/>
    <w:rsid w:val="00FD29A9"/>
    <w:rsid w:val="00FD6000"/>
    <w:rsid w:val="00FD6B90"/>
    <w:rsid w:val="00FE121D"/>
    <w:rsid w:val="00FE1941"/>
    <w:rsid w:val="00FE1DEE"/>
    <w:rsid w:val="00FF2126"/>
    <w:rsid w:val="00FF69BE"/>
    <w:rsid w:val="00FF6B63"/>
    <w:rsid w:val="00FF7B50"/>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4106"/>
    <o:shapelayout v:ext="edit">
      <o:idmap v:ext="edit" data="1"/>
    </o:shapelayout>
  </w:shapeDefaults>
  <w:decimalSymbol w:val="."/>
  <w:listSeparator w:val=","/>
  <w15:docId w15:val="{6D82955E-7C4C-4DE2-840A-02FA3D8CC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qFormat="1"/>
    <w:lsdException w:name="List Bullet 3" w:semiHidden="1" w:uiPriority="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59CE"/>
    <w:pPr>
      <w:spacing w:before="120" w:after="180" w:line="240" w:lineRule="atLeast"/>
    </w:pPr>
    <w:rPr>
      <w:sz w:val="22"/>
      <w:lang w:eastAsia="en-US"/>
    </w:rPr>
  </w:style>
  <w:style w:type="paragraph" w:styleId="Heading1">
    <w:name w:val="heading 1"/>
    <w:basedOn w:val="Normal"/>
    <w:next w:val="Normal"/>
    <w:link w:val="Heading1Char"/>
    <w:rsid w:val="00EE1482"/>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EE1482"/>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EE1482"/>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EE1482"/>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EE1482"/>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EE1482"/>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EE1482"/>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0C2E"/>
    <w:rPr>
      <w:rFonts w:ascii="Arial" w:eastAsia="Times New Roman" w:hAnsi="Arial"/>
      <w:b/>
      <w:bCs/>
      <w:sz w:val="48"/>
      <w:szCs w:val="48"/>
      <w:lang w:eastAsia="en-US"/>
    </w:rPr>
  </w:style>
  <w:style w:type="character" w:customStyle="1" w:styleId="Heading2Char">
    <w:name w:val="Heading 2 Char"/>
    <w:basedOn w:val="DefaultParagraphFont"/>
    <w:link w:val="Heading2"/>
    <w:rsid w:val="000C5A31"/>
    <w:rPr>
      <w:rFonts w:ascii="Arial" w:eastAsia="Times New Roman" w:hAnsi="Arial"/>
      <w:b/>
      <w:bCs/>
      <w:sz w:val="38"/>
      <w:szCs w:val="38"/>
      <w:lang w:eastAsia="en-US"/>
    </w:rPr>
  </w:style>
  <w:style w:type="character" w:customStyle="1" w:styleId="Heading3Char">
    <w:name w:val="Heading 3 Char"/>
    <w:basedOn w:val="DefaultParagraphFont"/>
    <w:link w:val="Heading3"/>
    <w:rsid w:val="002B0C2E"/>
    <w:rPr>
      <w:rFonts w:ascii="Arial" w:eastAsia="Times New Roman" w:hAnsi="Arial"/>
      <w:b/>
      <w:bCs/>
      <w:sz w:val="32"/>
      <w:szCs w:val="32"/>
      <w:lang w:eastAsia="en-US"/>
    </w:rPr>
  </w:style>
  <w:style w:type="paragraph" w:customStyle="1" w:styleId="Address">
    <w:name w:val="Address"/>
    <w:basedOn w:val="Normal"/>
    <w:rsid w:val="00140FE3"/>
    <w:pPr>
      <w:spacing w:before="0" w:after="0" w:line="240" w:lineRule="auto"/>
    </w:pPr>
    <w:rPr>
      <w:sz w:val="21"/>
    </w:rPr>
  </w:style>
  <w:style w:type="paragraph" w:styleId="DocumentMap">
    <w:name w:val="Document Map"/>
    <w:basedOn w:val="Normal"/>
    <w:link w:val="DocumentMapChar"/>
    <w:uiPriority w:val="99"/>
    <w:semiHidden/>
    <w:unhideWhenUsed/>
    <w:rsid w:val="00FB59CE"/>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B59CE"/>
    <w:rPr>
      <w:rFonts w:ascii="Tahoma" w:hAnsi="Tahoma" w:cs="Tahoma"/>
      <w:sz w:val="16"/>
      <w:szCs w:val="16"/>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TOC4">
    <w:name w:val="toc 4"/>
    <w:basedOn w:val="Normal"/>
    <w:next w:val="Normal"/>
    <w:autoRedefine/>
    <w:uiPriority w:val="39"/>
    <w:semiHidden/>
    <w:unhideWhenUsed/>
    <w:rsid w:val="008A07FF"/>
    <w:pPr>
      <w:tabs>
        <w:tab w:val="right" w:leader="hyphen" w:pos="8505"/>
      </w:tabs>
      <w:spacing w:after="100"/>
      <w:ind w:left="1276"/>
    </w:pPr>
  </w:style>
  <w:style w:type="paragraph" w:styleId="TOC5">
    <w:name w:val="toc 5"/>
    <w:basedOn w:val="Normal"/>
    <w:next w:val="Normal"/>
    <w:autoRedefine/>
    <w:uiPriority w:val="39"/>
    <w:semiHidden/>
    <w:unhideWhenUsed/>
    <w:rsid w:val="008A07FF"/>
    <w:pPr>
      <w:tabs>
        <w:tab w:val="right" w:leader="dot" w:pos="8505"/>
      </w:tabs>
      <w:spacing w:after="100"/>
      <w:ind w:left="1701"/>
    </w:pPr>
    <w:rPr>
      <w:noProof/>
    </w:rPr>
  </w:style>
  <w:style w:type="paragraph" w:styleId="Date">
    <w:name w:val="Date"/>
    <w:basedOn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paragraph" w:styleId="TOC6">
    <w:name w:val="toc 6"/>
    <w:basedOn w:val="Normal"/>
    <w:next w:val="Normal"/>
    <w:autoRedefine/>
    <w:uiPriority w:val="39"/>
    <w:semiHidden/>
    <w:unhideWhenUsed/>
    <w:rsid w:val="008A07FF"/>
    <w:pPr>
      <w:tabs>
        <w:tab w:val="right" w:pos="8505"/>
      </w:tabs>
      <w:spacing w:after="100"/>
      <w:ind w:left="2126"/>
    </w:pPr>
  </w:style>
  <w:style w:type="paragraph" w:styleId="TOC7">
    <w:name w:val="toc 7"/>
    <w:basedOn w:val="Normal"/>
    <w:next w:val="Normal"/>
    <w:autoRedefine/>
    <w:uiPriority w:val="39"/>
    <w:semiHidden/>
    <w:unhideWhenUsed/>
    <w:rsid w:val="008A07FF"/>
    <w:pPr>
      <w:spacing w:after="100"/>
      <w:ind w:left="2211"/>
    </w:pPr>
  </w:style>
  <w:style w:type="character" w:customStyle="1" w:styleId="Heading4Char">
    <w:name w:val="Heading 4 Char"/>
    <w:basedOn w:val="DefaultParagraphFont"/>
    <w:link w:val="Heading4"/>
    <w:rsid w:val="00C339C6"/>
    <w:rPr>
      <w:rFonts w:ascii="Arial" w:hAnsi="Arial"/>
      <w:b/>
      <w:bCs/>
      <w:sz w:val="26"/>
      <w:szCs w:val="26"/>
      <w:lang w:eastAsia="en-US"/>
    </w:rPr>
  </w:style>
  <w:style w:type="character" w:styleId="FollowedHyperlink">
    <w:name w:val="FollowedHyperlink"/>
    <w:basedOn w:val="DefaultParagraphFont"/>
    <w:semiHidden/>
    <w:unhideWhenUsed/>
    <w:rsid w:val="00EE1482"/>
    <w:rPr>
      <w:color w:val="800080"/>
      <w:u w:val="single"/>
    </w:rPr>
  </w:style>
  <w:style w:type="paragraph" w:styleId="Footer">
    <w:name w:val="footer"/>
    <w:basedOn w:val="Normal"/>
    <w:link w:val="FooterChar"/>
    <w:uiPriority w:val="99"/>
    <w:rsid w:val="00EE1482"/>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EE1482"/>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paragraph" w:customStyle="1" w:styleId="HeaderNoLine">
    <w:name w:val="Header No Line"/>
    <w:basedOn w:val="Header"/>
    <w:rsid w:val="002B0C2E"/>
    <w:pPr>
      <w:pBdr>
        <w:bottom w:val="none" w:sz="0" w:space="0" w:color="auto"/>
      </w:pBdr>
    </w:pPr>
  </w:style>
  <w:style w:type="character" w:customStyle="1" w:styleId="Heading5Char">
    <w:name w:val="Heading 5 Char"/>
    <w:basedOn w:val="DefaultParagraphFont"/>
    <w:link w:val="Heading5"/>
    <w:uiPriority w:val="9"/>
    <w:rsid w:val="00C339C6"/>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C339C6"/>
    <w:rPr>
      <w:rFonts w:eastAsia="Times New Roman"/>
      <w:b/>
      <w:bCs/>
      <w:i/>
      <w:sz w:val="22"/>
      <w:szCs w:val="21"/>
      <w:lang w:eastAsia="en-US"/>
    </w:rPr>
  </w:style>
  <w:style w:type="character" w:customStyle="1" w:styleId="Heading7Char">
    <w:name w:val="Heading 7 Char"/>
    <w:basedOn w:val="DefaultParagraphFont"/>
    <w:link w:val="Heading7"/>
    <w:uiPriority w:val="9"/>
    <w:rsid w:val="00C339C6"/>
    <w:rPr>
      <w:rFonts w:eastAsia="Times New Roman"/>
      <w:bCs/>
      <w:i/>
      <w:sz w:val="22"/>
      <w:szCs w:val="22"/>
      <w:lang w:eastAsia="en-US"/>
    </w:rPr>
  </w:style>
  <w:style w:type="character" w:styleId="Hyperlink">
    <w:name w:val="Hyperlink"/>
    <w:basedOn w:val="DefaultParagraphFont"/>
    <w:uiPriority w:val="99"/>
    <w:unhideWhenUsed/>
    <w:rsid w:val="00EE1482"/>
    <w:rPr>
      <w:color w:val="0000FF"/>
      <w:u w:val="single"/>
    </w:rPr>
  </w:style>
  <w:style w:type="paragraph" w:customStyle="1" w:styleId="LegalCopy">
    <w:name w:val="Legal Copy"/>
    <w:basedOn w:val="Footer"/>
    <w:rsid w:val="008855B8"/>
    <w:pPr>
      <w:spacing w:after="180"/>
    </w:pPr>
  </w:style>
  <w:style w:type="paragraph" w:customStyle="1" w:styleId="LegalSubheading">
    <w:name w:val="Legal Subheading"/>
    <w:basedOn w:val="Footer"/>
    <w:rsid w:val="004634F1"/>
    <w:pPr>
      <w:spacing w:before="120"/>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1"/>
    <w:qFormat/>
    <w:rsid w:val="004B5A6B"/>
    <w:pPr>
      <w:numPr>
        <w:numId w:val="3"/>
      </w:numPr>
      <w:ind w:left="425" w:hanging="425"/>
    </w:pPr>
  </w:style>
  <w:style w:type="paragraph" w:styleId="ListBullet2">
    <w:name w:val="List Bullet 2"/>
    <w:basedOn w:val="Normal"/>
    <w:uiPriority w:val="1"/>
    <w:qFormat/>
    <w:rsid w:val="004B5A6B"/>
    <w:pPr>
      <w:numPr>
        <w:ilvl w:val="1"/>
        <w:numId w:val="3"/>
      </w:numPr>
      <w:ind w:left="850" w:hanging="425"/>
    </w:pPr>
  </w:style>
  <w:style w:type="paragraph" w:styleId="ListBullet3">
    <w:name w:val="List Bullet 3"/>
    <w:basedOn w:val="Normal"/>
    <w:uiPriority w:val="1"/>
    <w:qFormat/>
    <w:rsid w:val="004B5A6B"/>
    <w:pPr>
      <w:numPr>
        <w:ilvl w:val="2"/>
        <w:numId w:val="3"/>
      </w:numPr>
      <w:ind w:left="1276" w:hanging="425"/>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2"/>
    <w:qFormat/>
    <w:rsid w:val="00EE1482"/>
    <w:pPr>
      <w:numPr>
        <w:numId w:val="4"/>
      </w:numPr>
    </w:pPr>
  </w:style>
  <w:style w:type="paragraph" w:customStyle="1" w:styleId="Numberbullet2">
    <w:name w:val="Number bullet 2"/>
    <w:basedOn w:val="ListBullet2"/>
    <w:uiPriority w:val="2"/>
    <w:qFormat/>
    <w:rsid w:val="00EE1482"/>
    <w:pPr>
      <w:numPr>
        <w:numId w:val="4"/>
      </w:numPr>
    </w:pPr>
  </w:style>
  <w:style w:type="paragraph" w:customStyle="1" w:styleId="Numberbullet3">
    <w:name w:val="Number bullet 3"/>
    <w:basedOn w:val="ListBullet3"/>
    <w:uiPriority w:val="2"/>
    <w:qFormat/>
    <w:rsid w:val="00EE1482"/>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EE1482"/>
    <w:pPr>
      <w:spacing w:before="40" w:after="0"/>
      <w:ind w:left="170" w:hanging="170"/>
    </w:pPr>
    <w:rPr>
      <w:sz w:val="19"/>
    </w:rPr>
  </w:style>
  <w:style w:type="paragraph" w:styleId="Subtitle">
    <w:name w:val="Subtitle"/>
    <w:basedOn w:val="Normal"/>
    <w:link w:val="SubtitleChar"/>
    <w:uiPriority w:val="11"/>
    <w:rsid w:val="0054583D"/>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54583D"/>
    <w:rPr>
      <w:rFonts w:ascii="Arial" w:eastAsia="Times New Roman" w:hAnsi="Arial"/>
      <w:bCs/>
      <w:iCs/>
      <w:color w:val="006DA7"/>
      <w:sz w:val="40"/>
      <w:szCs w:val="24"/>
      <w:lang w:eastAsia="en-US"/>
    </w:rPr>
  </w:style>
  <w:style w:type="paragraph" w:styleId="EndnoteText">
    <w:name w:val="endnote text"/>
    <w:basedOn w:val="FootnoteText"/>
    <w:link w:val="EndnoteTextChar"/>
    <w:semiHidden/>
    <w:unhideWhenUsed/>
    <w:rsid w:val="00594D03"/>
    <w:rPr>
      <w:rFonts w:asciiTheme="minorHAnsi" w:hAnsiTheme="minorHAnsi" w:cstheme="minorBidi"/>
      <w:szCs w:val="22"/>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2303B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2303B0"/>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F3148D"/>
    <w:pPr>
      <w:jc w:val="center"/>
    </w:pPr>
    <w:rPr>
      <w:rFonts w:ascii="Arial" w:hAnsi="Arial"/>
      <w:b/>
      <w:sz w:val="28"/>
    </w:rPr>
  </w:style>
  <w:style w:type="paragraph" w:styleId="Title">
    <w:name w:val="Title"/>
    <w:link w:val="TitleChar"/>
    <w:uiPriority w:val="10"/>
    <w:rsid w:val="00F3529E"/>
    <w:pPr>
      <w:spacing w:after="120"/>
      <w:contextualSpacing/>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F3529E"/>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8A07F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8A07F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8A07F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DA56B7"/>
    <w:pPr>
      <w:keepLines/>
      <w:spacing w:before="0" w:after="0"/>
    </w:pPr>
    <w:rPr>
      <w:sz w:val="18"/>
    </w:rPr>
  </w:style>
  <w:style w:type="character" w:customStyle="1" w:styleId="FootnoteTextChar">
    <w:name w:val="Footnote Text Char"/>
    <w:basedOn w:val="DefaultParagraphFont"/>
    <w:link w:val="FootnoteText"/>
    <w:rsid w:val="00DA56B7"/>
    <w:rPr>
      <w:sz w:val="18"/>
      <w:lang w:eastAsia="en-US"/>
    </w:rPr>
  </w:style>
  <w:style w:type="character" w:styleId="FootnoteReference">
    <w:name w:val="footnote reference"/>
    <w:basedOn w:val="DefaultParagraphFont"/>
    <w:uiPriority w:val="99"/>
    <w:semiHidden/>
    <w:unhideWhenUsed/>
    <w:rsid w:val="001525B4"/>
    <w:rPr>
      <w:vertAlign w:val="superscript"/>
    </w:rPr>
  </w:style>
  <w:style w:type="character" w:customStyle="1" w:styleId="EndnoteTextChar">
    <w:name w:val="Endnote Text Char"/>
    <w:basedOn w:val="DefaultParagraphFont"/>
    <w:link w:val="EndnoteText"/>
    <w:semiHidden/>
    <w:rsid w:val="0084580B"/>
    <w:rPr>
      <w:rFonts w:asciiTheme="minorHAnsi" w:hAnsiTheme="minorHAnsi" w:cstheme="minorBidi"/>
      <w:szCs w:val="22"/>
      <w:lang w:eastAsia="en-US"/>
    </w:rPr>
  </w:style>
  <w:style w:type="character" w:styleId="EndnoteReference">
    <w:name w:val="endnote reference"/>
    <w:basedOn w:val="DefaultParagraphFont"/>
    <w:uiPriority w:val="99"/>
    <w:semiHidden/>
    <w:unhideWhenUsed/>
    <w:rsid w:val="0084580B"/>
    <w:rPr>
      <w:vertAlign w:val="superscript"/>
    </w:rPr>
  </w:style>
  <w:style w:type="table" w:customStyle="1" w:styleId="LightShading1">
    <w:name w:val="Light Shading1"/>
    <w:basedOn w:val="TableNormal"/>
    <w:uiPriority w:val="60"/>
    <w:rsid w:val="0054583D"/>
    <w:rPr>
      <w:color w:val="002035" w:themeColor="text1" w:themeShade="BF"/>
    </w:rPr>
    <w:tblPr>
      <w:tblStyleRowBandSize w:val="1"/>
      <w:tblStyleColBandSize w:val="1"/>
      <w:tblBorders>
        <w:top w:val="single" w:sz="8" w:space="0" w:color="002C47" w:themeColor="text1"/>
        <w:bottom w:val="single" w:sz="8" w:space="0" w:color="002C47" w:themeColor="text1"/>
      </w:tblBorders>
    </w:tblPr>
    <w:tblStylePr w:type="fir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la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D5FF" w:themeFill="text1" w:themeFillTint="3F"/>
      </w:tcPr>
    </w:tblStylePr>
    <w:tblStylePr w:type="band1Horz">
      <w:tblPr/>
      <w:tcPr>
        <w:tcBorders>
          <w:left w:val="nil"/>
          <w:right w:val="nil"/>
          <w:insideH w:val="nil"/>
          <w:insideV w:val="nil"/>
        </w:tcBorders>
        <w:shd w:val="clear" w:color="auto" w:fill="92D5FF" w:themeFill="text1" w:themeFillTint="3F"/>
      </w:tcPr>
    </w:tblStylePr>
  </w:style>
  <w:style w:type="paragraph" w:customStyle="1" w:styleId="NonTOCheading2">
    <w:name w:val="Non TOC heading 2"/>
    <w:basedOn w:val="Normal"/>
    <w:next w:val="Normal"/>
    <w:rsid w:val="00EE1482"/>
    <w:pPr>
      <w:keepNext/>
      <w:keepLines/>
      <w:spacing w:before="360"/>
    </w:pPr>
    <w:rPr>
      <w:rFonts w:ascii="Arial" w:hAnsi="Arial"/>
      <w:b/>
      <w:sz w:val="38"/>
    </w:rPr>
  </w:style>
  <w:style w:type="paragraph" w:customStyle="1" w:styleId="Figuredescription">
    <w:name w:val="Figure description"/>
    <w:basedOn w:val="Normal"/>
    <w:next w:val="Normal"/>
    <w:rsid w:val="00EE1482"/>
    <w:pPr>
      <w:spacing w:after="240" w:line="180" w:lineRule="atLeast"/>
    </w:pPr>
    <w:rPr>
      <w:sz w:val="18"/>
    </w:rPr>
  </w:style>
  <w:style w:type="paragraph" w:customStyle="1" w:styleId="Figuretitle">
    <w:name w:val="Figure title"/>
    <w:basedOn w:val="Normal"/>
    <w:next w:val="Normal"/>
    <w:rsid w:val="00FE1941"/>
    <w:pPr>
      <w:keepNext/>
      <w:keepLines/>
      <w:outlineLvl w:val="4"/>
    </w:pPr>
    <w:rPr>
      <w:b/>
    </w:rPr>
  </w:style>
  <w:style w:type="paragraph" w:customStyle="1" w:styleId="Headernoline0">
    <w:name w:val="Header no line"/>
    <w:basedOn w:val="Header"/>
    <w:rsid w:val="00EE1482"/>
    <w:pPr>
      <w:pBdr>
        <w:bottom w:val="none" w:sz="0" w:space="0" w:color="auto"/>
      </w:pBdr>
      <w:spacing w:line="240" w:lineRule="atLeast"/>
    </w:pPr>
  </w:style>
  <w:style w:type="paragraph" w:customStyle="1" w:styleId="Quotation">
    <w:name w:val="Quotation"/>
    <w:basedOn w:val="Normal"/>
    <w:next w:val="Normal"/>
    <w:uiPriority w:val="3"/>
    <w:qFormat/>
    <w:rsid w:val="00EE1482"/>
    <w:pPr>
      <w:ind w:left="425"/>
    </w:pPr>
    <w:rPr>
      <w:sz w:val="20"/>
    </w:rPr>
  </w:style>
  <w:style w:type="paragraph" w:customStyle="1" w:styleId="Tabledescription">
    <w:name w:val="Table description"/>
    <w:basedOn w:val="Figuredescription"/>
    <w:next w:val="Normal"/>
    <w:rsid w:val="00EE1482"/>
  </w:style>
  <w:style w:type="paragraph" w:customStyle="1" w:styleId="Tabletitle">
    <w:name w:val="Table title"/>
    <w:basedOn w:val="Normal"/>
    <w:next w:val="Normal"/>
    <w:rsid w:val="00EE1482"/>
    <w:pPr>
      <w:keepNext/>
      <w:outlineLvl w:val="4"/>
    </w:pPr>
    <w:rPr>
      <w:b/>
    </w:rPr>
  </w:style>
  <w:style w:type="character" w:styleId="CommentReference">
    <w:name w:val="annotation reference"/>
    <w:basedOn w:val="DefaultParagraphFont"/>
    <w:uiPriority w:val="99"/>
    <w:semiHidden/>
    <w:unhideWhenUsed/>
    <w:rsid w:val="000B0A5D"/>
    <w:rPr>
      <w:sz w:val="16"/>
      <w:szCs w:val="16"/>
    </w:rPr>
  </w:style>
  <w:style w:type="paragraph" w:styleId="CommentText">
    <w:name w:val="annotation text"/>
    <w:basedOn w:val="Normal"/>
    <w:link w:val="CommentTextChar"/>
    <w:uiPriority w:val="99"/>
    <w:semiHidden/>
    <w:unhideWhenUsed/>
    <w:rsid w:val="000B0A5D"/>
    <w:pPr>
      <w:spacing w:line="240" w:lineRule="auto"/>
    </w:pPr>
    <w:rPr>
      <w:sz w:val="20"/>
    </w:rPr>
  </w:style>
  <w:style w:type="character" w:customStyle="1" w:styleId="CommentTextChar">
    <w:name w:val="Comment Text Char"/>
    <w:basedOn w:val="DefaultParagraphFont"/>
    <w:link w:val="CommentText"/>
    <w:uiPriority w:val="99"/>
    <w:semiHidden/>
    <w:rsid w:val="000B0A5D"/>
    <w:rPr>
      <w:lang w:eastAsia="en-US"/>
    </w:rPr>
  </w:style>
  <w:style w:type="paragraph" w:styleId="CommentSubject">
    <w:name w:val="annotation subject"/>
    <w:basedOn w:val="CommentText"/>
    <w:next w:val="CommentText"/>
    <w:link w:val="CommentSubjectChar"/>
    <w:uiPriority w:val="99"/>
    <w:semiHidden/>
    <w:unhideWhenUsed/>
    <w:rsid w:val="000B0A5D"/>
    <w:rPr>
      <w:b/>
      <w:bCs/>
    </w:rPr>
  </w:style>
  <w:style w:type="character" w:customStyle="1" w:styleId="CommentSubjectChar">
    <w:name w:val="Comment Subject Char"/>
    <w:basedOn w:val="CommentTextChar"/>
    <w:link w:val="CommentSubject"/>
    <w:uiPriority w:val="99"/>
    <w:semiHidden/>
    <w:rsid w:val="000B0A5D"/>
    <w:rPr>
      <w:b/>
      <w:bCs/>
      <w:lang w:eastAsia="en-US"/>
    </w:rPr>
  </w:style>
  <w:style w:type="paragraph" w:styleId="ListParagraph">
    <w:name w:val="List Paragraph"/>
    <w:basedOn w:val="Normal"/>
    <w:uiPriority w:val="34"/>
    <w:qFormat/>
    <w:rsid w:val="00830766"/>
    <w:pPr>
      <w:ind w:left="720"/>
      <w:contextualSpacing/>
    </w:pPr>
  </w:style>
  <w:style w:type="table" w:customStyle="1" w:styleId="TableTGAblue1">
    <w:name w:val="Table TGA blue1"/>
    <w:basedOn w:val="TableNormal"/>
    <w:uiPriority w:val="99"/>
    <w:qFormat/>
    <w:rsid w:val="003D3D43"/>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paragraph" w:styleId="Revision">
    <w:name w:val="Revision"/>
    <w:hidden/>
    <w:uiPriority w:val="99"/>
    <w:semiHidden/>
    <w:rsid w:val="00525BF6"/>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934813">
      <w:bodyDiv w:val="1"/>
      <w:marLeft w:val="0"/>
      <w:marRight w:val="0"/>
      <w:marTop w:val="0"/>
      <w:marBottom w:val="0"/>
      <w:divBdr>
        <w:top w:val="none" w:sz="0" w:space="0" w:color="auto"/>
        <w:left w:val="none" w:sz="0" w:space="0" w:color="auto"/>
        <w:bottom w:val="none" w:sz="0" w:space="0" w:color="auto"/>
        <w:right w:val="none" w:sz="0" w:space="0" w:color="auto"/>
      </w:divBdr>
    </w:div>
    <w:div w:id="564921502">
      <w:bodyDiv w:val="1"/>
      <w:marLeft w:val="0"/>
      <w:marRight w:val="0"/>
      <w:marTop w:val="0"/>
      <w:marBottom w:val="0"/>
      <w:divBdr>
        <w:top w:val="none" w:sz="0" w:space="0" w:color="auto"/>
        <w:left w:val="none" w:sz="0" w:space="0" w:color="auto"/>
        <w:bottom w:val="none" w:sz="0" w:space="0" w:color="auto"/>
        <w:right w:val="none" w:sz="0" w:space="0" w:color="auto"/>
      </w:divBdr>
    </w:div>
    <w:div w:id="715666060">
      <w:bodyDiv w:val="1"/>
      <w:marLeft w:val="0"/>
      <w:marRight w:val="0"/>
      <w:marTop w:val="0"/>
      <w:marBottom w:val="0"/>
      <w:divBdr>
        <w:top w:val="none" w:sz="0" w:space="0" w:color="auto"/>
        <w:left w:val="none" w:sz="0" w:space="0" w:color="auto"/>
        <w:bottom w:val="none" w:sz="0" w:space="0" w:color="auto"/>
        <w:right w:val="none" w:sz="0" w:space="0" w:color="auto"/>
      </w:divBdr>
    </w:div>
    <w:div w:id="795954673">
      <w:bodyDiv w:val="1"/>
      <w:marLeft w:val="0"/>
      <w:marRight w:val="0"/>
      <w:marTop w:val="0"/>
      <w:marBottom w:val="0"/>
      <w:divBdr>
        <w:top w:val="none" w:sz="0" w:space="0" w:color="auto"/>
        <w:left w:val="none" w:sz="0" w:space="0" w:color="auto"/>
        <w:bottom w:val="none" w:sz="0" w:space="0" w:color="auto"/>
        <w:right w:val="none" w:sz="0" w:space="0" w:color="auto"/>
      </w:divBdr>
    </w:div>
    <w:div w:id="1182163512">
      <w:bodyDiv w:val="1"/>
      <w:marLeft w:val="0"/>
      <w:marRight w:val="0"/>
      <w:marTop w:val="0"/>
      <w:marBottom w:val="0"/>
      <w:divBdr>
        <w:top w:val="none" w:sz="0" w:space="0" w:color="auto"/>
        <w:left w:val="none" w:sz="0" w:space="0" w:color="auto"/>
        <w:bottom w:val="none" w:sz="0" w:space="0" w:color="auto"/>
        <w:right w:val="none" w:sz="0" w:space="0" w:color="auto"/>
      </w:divBdr>
    </w:div>
    <w:div w:id="1269044944">
      <w:bodyDiv w:val="1"/>
      <w:marLeft w:val="0"/>
      <w:marRight w:val="0"/>
      <w:marTop w:val="0"/>
      <w:marBottom w:val="0"/>
      <w:divBdr>
        <w:top w:val="none" w:sz="0" w:space="0" w:color="auto"/>
        <w:left w:val="none" w:sz="0" w:space="0" w:color="auto"/>
        <w:bottom w:val="none" w:sz="0" w:space="0" w:color="auto"/>
        <w:right w:val="none" w:sz="0" w:space="0" w:color="auto"/>
      </w:divBdr>
    </w:div>
    <w:div w:id="1418862680">
      <w:bodyDiv w:val="1"/>
      <w:marLeft w:val="0"/>
      <w:marRight w:val="0"/>
      <w:marTop w:val="0"/>
      <w:marBottom w:val="0"/>
      <w:divBdr>
        <w:top w:val="none" w:sz="0" w:space="0" w:color="auto"/>
        <w:left w:val="none" w:sz="0" w:space="0" w:color="auto"/>
        <w:bottom w:val="none" w:sz="0" w:space="0" w:color="auto"/>
        <w:right w:val="none" w:sz="0" w:space="0" w:color="auto"/>
      </w:divBdr>
    </w:div>
    <w:div w:id="162858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tga.copyright@tga.gov.au" TargetMode="Externa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tga.gov.au"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mailto:info@tga.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eader" Target="header8.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tga.gov.au/mmdr" TargetMode="External"/><Relationship Id="rId22" Type="http://schemas.openxmlformats.org/officeDocument/2006/relationships/header" Target="header7.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C8BD7-CD64-44D0-B52A-54965B664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822</TotalTime>
  <Pages>18</Pages>
  <Words>4383</Words>
  <Characters>27222</Characters>
  <Application>Microsoft Office Word</Application>
  <DocSecurity>0</DocSecurity>
  <Lines>461</Lines>
  <Paragraphs>265</Paragraphs>
  <ScaleCrop>false</ScaleCrop>
  <HeadingPairs>
    <vt:vector size="2" baseType="variant">
      <vt:variant>
        <vt:lpstr>Title</vt:lpstr>
      </vt:variant>
      <vt:variant>
        <vt:i4>1</vt:i4>
      </vt:variant>
    </vt:vector>
  </HeadingPairs>
  <TitlesOfParts>
    <vt:vector size="1" baseType="lpstr">
      <vt:lpstr>Consultation: Transition to eCTD only for prescription medicines</vt:lpstr>
    </vt:vector>
  </TitlesOfParts>
  <Company>TGA</Company>
  <LinksUpToDate>false</LinksUpToDate>
  <CharactersWithSpaces>31340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Transition to eCTD only for prescription medicines</dc:title>
  <dc:subject>prescription medicines</dc:subject>
  <dc:creator>Therapeutic Goods Administration</dc:creator>
  <cp:lastPrinted>2018-09-19T07:17:00Z</cp:lastPrinted>
  <dcterms:created xsi:type="dcterms:W3CDTF">2018-08-20T03:34:00Z</dcterms:created>
  <dcterms:modified xsi:type="dcterms:W3CDTF">2020-03-03T02:10:00Z</dcterms:modified>
</cp:coreProperties>
</file>