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02AEC" w:rsidRPr="00215D48" w14:paraId="08AE1D54" w14:textId="77777777" w:rsidTr="00346EC2">
        <w:trPr>
          <w:trHeight w:val="1558"/>
        </w:trPr>
        <w:tc>
          <w:tcPr>
            <w:tcW w:w="8720" w:type="dxa"/>
          </w:tcPr>
          <w:p w14:paraId="2538A211" w14:textId="69616FB5" w:rsidR="00F02AEC" w:rsidRPr="00215D48" w:rsidRDefault="00346EC2" w:rsidP="007452E8">
            <w:pPr>
              <w:pStyle w:val="Title"/>
            </w:pPr>
            <w:r w:rsidRPr="00346EC2">
              <w:t xml:space="preserve">Australian Public Assessment Report for </w:t>
            </w:r>
            <w:r w:rsidR="00036E0D">
              <w:t>Tzield</w:t>
            </w:r>
          </w:p>
        </w:tc>
      </w:tr>
      <w:tr w:rsidR="00F02AEC" w:rsidRPr="00215D48" w14:paraId="318A40A3" w14:textId="77777777" w:rsidTr="00346EC2">
        <w:trPr>
          <w:trHeight w:val="995"/>
        </w:trPr>
        <w:tc>
          <w:tcPr>
            <w:tcW w:w="8720" w:type="dxa"/>
          </w:tcPr>
          <w:p w14:paraId="1AA7C701" w14:textId="2CBD52AF" w:rsidR="00F02AEC" w:rsidRPr="00215D48" w:rsidRDefault="00346EC2" w:rsidP="007452E8">
            <w:pPr>
              <w:pStyle w:val="Subtitle"/>
              <w:ind w:left="0"/>
            </w:pPr>
            <w:r w:rsidRPr="00346EC2">
              <w:t xml:space="preserve">Active ingredient: </w:t>
            </w:r>
            <w:r w:rsidR="00917EB3">
              <w:t>T</w:t>
            </w:r>
            <w:r w:rsidR="0083112F">
              <w:t>eplizumab</w:t>
            </w:r>
          </w:p>
        </w:tc>
      </w:tr>
      <w:tr w:rsidR="00346EC2" w:rsidRPr="00215D48" w14:paraId="362CCAE4" w14:textId="77777777" w:rsidTr="007452E8">
        <w:trPr>
          <w:trHeight w:val="1916"/>
        </w:trPr>
        <w:tc>
          <w:tcPr>
            <w:tcW w:w="8720" w:type="dxa"/>
          </w:tcPr>
          <w:p w14:paraId="709C45C0" w14:textId="1A601969" w:rsidR="00346EC2" w:rsidRPr="00215D48" w:rsidRDefault="00346EC2" w:rsidP="007452E8">
            <w:pPr>
              <w:pStyle w:val="Subtitle"/>
              <w:ind w:left="0"/>
            </w:pPr>
            <w:r w:rsidRPr="00346EC2">
              <w:t>Sponsor:</w:t>
            </w:r>
            <w:r w:rsidR="008F49AB">
              <w:t xml:space="preserve"> Sanofi-Aventis</w:t>
            </w:r>
            <w:r w:rsidR="008356B4">
              <w:t xml:space="preserve"> Australia Pty Ltd</w:t>
            </w:r>
          </w:p>
        </w:tc>
      </w:tr>
      <w:tr w:rsidR="00F02AEC" w:rsidRPr="00215D48" w14:paraId="37F2AA1F" w14:textId="77777777" w:rsidTr="007452E8">
        <w:tc>
          <w:tcPr>
            <w:tcW w:w="8720" w:type="dxa"/>
          </w:tcPr>
          <w:p w14:paraId="1FDE8DCD" w14:textId="7BAAA2F7" w:rsidR="00F02AEC" w:rsidRPr="00215D48" w:rsidRDefault="008356B4" w:rsidP="007452E8">
            <w:pPr>
              <w:pStyle w:val="Date"/>
            </w:pPr>
            <w:r>
              <w:t>Ju</w:t>
            </w:r>
            <w:r w:rsidR="00877A4F">
              <w:t>ly</w:t>
            </w:r>
            <w:r>
              <w:t xml:space="preserve"> 2026</w:t>
            </w:r>
          </w:p>
        </w:tc>
      </w:tr>
    </w:tbl>
    <w:p w14:paraId="73752706" w14:textId="77777777" w:rsidR="00F02AEC" w:rsidRPr="00215D48" w:rsidRDefault="00F02AEC" w:rsidP="007452E8">
      <w:pPr>
        <w:pStyle w:val="ListBullet"/>
        <w:numPr>
          <w:ilvl w:val="0"/>
          <w:numId w:val="0"/>
        </w:numPr>
        <w:sectPr w:rsidR="00F02AEC" w:rsidRPr="00215D48" w:rsidSect="00CB0550">
          <w:headerReference w:type="even" r:id="rId11"/>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p w14:paraId="2170A423" w14:textId="77777777" w:rsidR="00346EC2" w:rsidRPr="001F6CBA" w:rsidRDefault="00346EC2" w:rsidP="00346EC2">
      <w:pPr>
        <w:pStyle w:val="NonTOCHeading20"/>
      </w:pPr>
      <w:r w:rsidRPr="001F6CBA">
        <w:lastRenderedPageBreak/>
        <w:t>About the Therapeutic Goods Administration (TGA)</w:t>
      </w:r>
    </w:p>
    <w:p w14:paraId="79558AE9" w14:textId="038D0DA4" w:rsidR="00346EC2" w:rsidRPr="00391B0C" w:rsidRDefault="00346EC2" w:rsidP="0056766D">
      <w:pPr>
        <w:pStyle w:val="ListBullet"/>
      </w:pPr>
      <w:r w:rsidRPr="00391B0C">
        <w:t xml:space="preserve">The Therapeutic Goods Administration (TGA) is part of the Australian Government </w:t>
      </w:r>
      <w:r w:rsidRPr="00C22214">
        <w:t>Department of Health</w:t>
      </w:r>
      <w:r w:rsidR="0006693A">
        <w:t>, Disability</w:t>
      </w:r>
      <w:r w:rsidRPr="00C22214">
        <w:t xml:space="preserve"> and Ag</w:t>
      </w:r>
      <w:r w:rsidR="0006693A">
        <w:t>eing</w:t>
      </w:r>
      <w:r>
        <w:t xml:space="preserve"> </w:t>
      </w:r>
      <w:r w:rsidRPr="00391B0C">
        <w:t>and is responsible for regulating therapeutic goods, including medicines, medical devices, and biologicals.</w:t>
      </w:r>
    </w:p>
    <w:p w14:paraId="61BEFDB6" w14:textId="77777777" w:rsidR="00346EC2" w:rsidRPr="00391B0C" w:rsidRDefault="00346EC2" w:rsidP="00346EC2">
      <w:pPr>
        <w:pStyle w:val="ListBullet"/>
      </w:pPr>
      <w:r w:rsidRPr="00391B0C">
        <w:t xml:space="preserve">The TGA administers the </w:t>
      </w:r>
      <w:r w:rsidRPr="00822FCB">
        <w:rPr>
          <w:i/>
          <w:iCs/>
        </w:rPr>
        <w:t>Therapeutic Goods Act 1989</w:t>
      </w:r>
      <w:r w:rsidRPr="00391B0C">
        <w:t xml:space="preserve"> (the Act), applying a risk management approach designed to ensure therapeutic goods supplied in Australia meet acceptable standards of quality, safety, and efficacy.</w:t>
      </w:r>
    </w:p>
    <w:p w14:paraId="77180CB3" w14:textId="77777777" w:rsidR="00346EC2" w:rsidRPr="003C6D1F" w:rsidRDefault="00346EC2" w:rsidP="00346EC2">
      <w:pPr>
        <w:pStyle w:val="ListBullet"/>
      </w:pPr>
      <w:r w:rsidRPr="003C6D1F">
        <w:t xml:space="preserve">The work of the TGA is based on applying scientific and clinical expertise to decision-making, to ensure that the benefits to </w:t>
      </w:r>
      <w:r>
        <w:t>the Australian public</w:t>
      </w:r>
      <w:r w:rsidRPr="003C6D1F">
        <w:t xml:space="preserve"> outweigh any risks associated with the use of </w:t>
      </w:r>
      <w:r>
        <w:t>therapeutic goods</w:t>
      </w:r>
      <w:r w:rsidRPr="003C6D1F">
        <w:t>.</w:t>
      </w:r>
    </w:p>
    <w:p w14:paraId="70AC2A35" w14:textId="77777777" w:rsidR="00346EC2" w:rsidRPr="003C6D1F" w:rsidRDefault="00346EC2" w:rsidP="00346EC2">
      <w:pPr>
        <w:pStyle w:val="ListBullet"/>
      </w:pPr>
      <w:r w:rsidRPr="003C6D1F">
        <w:t xml:space="preserve">The TGA relies on the public, healthcare professionals and industry to report problems with </w:t>
      </w:r>
      <w:r>
        <w:t>therapeutic goods</w:t>
      </w:r>
      <w:r w:rsidRPr="003C6D1F">
        <w:t>.</w:t>
      </w:r>
      <w:r>
        <w:t xml:space="preserve"> The</w:t>
      </w:r>
      <w:r w:rsidRPr="003C6D1F">
        <w:t xml:space="preserve"> TGA investigates reports received to determine any necessary regulatory action.</w:t>
      </w:r>
    </w:p>
    <w:p w14:paraId="17DC24C6" w14:textId="1C976CB8" w:rsidR="00346EC2" w:rsidRDefault="00346EC2" w:rsidP="00346EC2">
      <w:pPr>
        <w:pStyle w:val="ListBullet"/>
      </w:pPr>
      <w:r w:rsidRPr="003C6D1F">
        <w:t xml:space="preserve">To report a problem with a </w:t>
      </w:r>
      <w:r>
        <w:t>therapeutic good</w:t>
      </w:r>
      <w:r w:rsidRPr="003C6D1F">
        <w:t xml:space="preserve">, please see the information on the </w:t>
      </w:r>
      <w:hyperlink r:id="rId16" w:history="1">
        <w:r w:rsidRPr="00A63C07">
          <w:rPr>
            <w:rStyle w:val="Hyperlink"/>
          </w:rPr>
          <w:t>TGA website</w:t>
        </w:r>
      </w:hyperlink>
      <w:r w:rsidRPr="003C6D1F">
        <w:t>.</w:t>
      </w:r>
    </w:p>
    <w:p w14:paraId="737B7A99" w14:textId="77777777" w:rsidR="00346EC2" w:rsidRDefault="00346EC2" w:rsidP="00346EC2">
      <w:pPr>
        <w:pStyle w:val="NonTOCHeading20"/>
      </w:pPr>
      <w:r>
        <w:t>About AusPARs</w:t>
      </w:r>
    </w:p>
    <w:p w14:paraId="631B2209" w14:textId="010FE2EE" w:rsidR="00346EC2" w:rsidRPr="003C6D1F" w:rsidRDefault="00346EC2" w:rsidP="00346EC2">
      <w:pPr>
        <w:pStyle w:val="ListBullet"/>
      </w:pPr>
      <w:r>
        <w:t>The</w:t>
      </w:r>
      <w:r w:rsidRPr="003C6D1F">
        <w:t xml:space="preserve"> Australian Public Assessment Report (AusPAR) provides information about the evaluation of a prescription medicine and the considerations that led the TGA to approve or not approve a prescription medicine submission.</w:t>
      </w:r>
      <w:r>
        <w:t xml:space="preserve"> Further information can be found in </w:t>
      </w:r>
      <w:hyperlink r:id="rId17" w:history="1">
        <w:r w:rsidRPr="005A2EB8">
          <w:rPr>
            <w:rStyle w:val="Hyperlink"/>
          </w:rPr>
          <w:t>Australian Public Assessment Report (AusPAR) guidance</w:t>
        </w:r>
      </w:hyperlink>
      <w:r>
        <w:t>.</w:t>
      </w:r>
    </w:p>
    <w:p w14:paraId="22F5A730" w14:textId="77777777" w:rsidR="00346EC2" w:rsidRPr="003C6D1F" w:rsidRDefault="00346EC2" w:rsidP="00346EC2">
      <w:pPr>
        <w:pStyle w:val="ListBullet"/>
      </w:pPr>
      <w:r w:rsidRPr="003C6D1F">
        <w:t>AusPARs are prepared and published by the TGA.</w:t>
      </w:r>
    </w:p>
    <w:p w14:paraId="451B8FD7" w14:textId="77777777" w:rsidR="00346EC2" w:rsidRPr="003C6D1F" w:rsidRDefault="00346EC2" w:rsidP="00346EC2">
      <w:pPr>
        <w:pStyle w:val="ListBullet"/>
      </w:pPr>
      <w:r w:rsidRPr="003C6D1F">
        <w:t>AusPAR</w:t>
      </w:r>
      <w:r>
        <w:t xml:space="preserve">s are </w:t>
      </w:r>
      <w:r w:rsidRPr="003C6D1F">
        <w:t>static document</w:t>
      </w:r>
      <w:r>
        <w:t xml:space="preserve">s that </w:t>
      </w:r>
      <w:r w:rsidRPr="003C6D1F">
        <w:t>provide information that relates to a submission at a particular point in time.</w:t>
      </w:r>
      <w:r>
        <w:t xml:space="preserve"> The publication of an AusPAR is an important part of the transparency of the TGA’s decision-making process.</w:t>
      </w:r>
    </w:p>
    <w:p w14:paraId="4D69F5CF" w14:textId="77777777" w:rsidR="00346EC2" w:rsidRPr="003C6D1F" w:rsidRDefault="00346EC2" w:rsidP="00346EC2">
      <w:pPr>
        <w:pStyle w:val="ListBullet"/>
      </w:pPr>
      <w:r w:rsidRPr="003C6D1F">
        <w:t xml:space="preserve">A new AusPAR </w:t>
      </w:r>
      <w:r>
        <w:t xml:space="preserve">may be provided </w:t>
      </w:r>
      <w:r w:rsidRPr="003C6D1F">
        <w:t>to reflect changes to indications or major variations to a prescription medicine subject to evaluation by the TGA.</w:t>
      </w:r>
    </w:p>
    <w:p w14:paraId="7067011F" w14:textId="510D5C5C" w:rsidR="00F02AEC" w:rsidRPr="00E1198B" w:rsidRDefault="00F02AEC" w:rsidP="00FE087C">
      <w:pPr>
        <w:pStyle w:val="LegalSubheading"/>
        <w:spacing w:before="3600"/>
      </w:pPr>
      <w:r w:rsidRPr="00BA0DFC">
        <w:t>Copyright</w:t>
      </w:r>
    </w:p>
    <w:p w14:paraId="170A8A5D" w14:textId="48874929" w:rsidR="00175CD8" w:rsidRPr="00346EC2" w:rsidRDefault="00F02AEC" w:rsidP="00346EC2">
      <w:pPr>
        <w:pStyle w:val="LegalCopy"/>
        <w:rPr>
          <w:rFonts w:cs="Arial"/>
        </w:rPr>
      </w:pPr>
      <w:r w:rsidRPr="00215D48">
        <w:rPr>
          <w:rFonts w:cs="Arial"/>
        </w:rPr>
        <w:t>© Commonwealth of Australia 20</w:t>
      </w:r>
      <w:r>
        <w:rPr>
          <w:rFonts w:cs="Arial"/>
        </w:rPr>
        <w:t>2</w:t>
      </w:r>
      <w:r w:rsidR="004E16C6">
        <w:rPr>
          <w:rFonts w:cs="Arial"/>
        </w:rPr>
        <w:t>6</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w:t>
      </w:r>
      <w:r w:rsidR="000C5432" w:rsidRPr="00215D48">
        <w:rPr>
          <w:rFonts w:cs="Arial"/>
        </w:rPr>
        <w:t>reserved,</w:t>
      </w:r>
      <w:r w:rsidRPr="00215D48">
        <w:rPr>
          <w:rFonts w:cs="Arial"/>
        </w:rPr>
        <w:t xml:space="preserve">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8" w:history="1">
        <w:r w:rsidRPr="00215D48">
          <w:rPr>
            <w:rStyle w:val="Hyperlink"/>
            <w:rFonts w:cs="Arial"/>
          </w:rPr>
          <w:t>tga.copyright@tga.gov.au</w:t>
        </w:r>
      </w:hyperlink>
      <w:r w:rsidRPr="00215D48">
        <w:rPr>
          <w:rFonts w:cs="Arial"/>
        </w:rPr>
        <w:t>&gt;.</w:t>
      </w:r>
    </w:p>
    <w:sdt>
      <w:sdtPr>
        <w:rPr>
          <w:rFonts w:ascii="Cambria" w:eastAsiaTheme="minorEastAsia" w:hAnsi="Cambria" w:cstheme="minorBidi"/>
          <w:b w:val="0"/>
          <w:color w:val="auto"/>
          <w:sz w:val="22"/>
          <w:szCs w:val="22"/>
        </w:rPr>
        <w:id w:val="21514769"/>
        <w:docPartObj>
          <w:docPartGallery w:val="Table of Contents"/>
          <w:docPartUnique/>
        </w:docPartObj>
      </w:sdtPr>
      <w:sdtEndPr/>
      <w:sdtContent>
        <w:p w14:paraId="0A6ADA2B" w14:textId="77777777" w:rsidR="00F02AEC" w:rsidRPr="00215D48" w:rsidRDefault="00F02AEC" w:rsidP="007452E8">
          <w:pPr>
            <w:pStyle w:val="NonTOCheading2"/>
          </w:pPr>
          <w:r w:rsidRPr="00215D48">
            <w:t>Contents</w:t>
          </w:r>
        </w:p>
        <w:p w14:paraId="3C2BBE35" w14:textId="0205DC5A" w:rsidR="00EA490F"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5627199" w:history="1">
            <w:r w:rsidR="00EA490F" w:rsidRPr="00D914C9">
              <w:rPr>
                <w:rStyle w:val="Hyperlink"/>
                <w:noProof/>
              </w:rPr>
              <w:t>List of abbreviations</w:t>
            </w:r>
            <w:r w:rsidR="00EA490F">
              <w:rPr>
                <w:noProof/>
                <w:webHidden/>
              </w:rPr>
              <w:tab/>
            </w:r>
            <w:r w:rsidR="00EA490F">
              <w:rPr>
                <w:noProof/>
                <w:webHidden/>
              </w:rPr>
              <w:fldChar w:fldCharType="begin"/>
            </w:r>
            <w:r w:rsidR="00EA490F">
              <w:rPr>
                <w:noProof/>
                <w:webHidden/>
              </w:rPr>
              <w:instrText xml:space="preserve"> PAGEREF _Toc235627199 \h </w:instrText>
            </w:r>
            <w:r w:rsidR="00EA490F">
              <w:rPr>
                <w:noProof/>
                <w:webHidden/>
              </w:rPr>
            </w:r>
            <w:r w:rsidR="00EA490F">
              <w:rPr>
                <w:noProof/>
                <w:webHidden/>
              </w:rPr>
              <w:fldChar w:fldCharType="separate"/>
            </w:r>
            <w:r w:rsidR="00EA490F">
              <w:rPr>
                <w:noProof/>
                <w:webHidden/>
              </w:rPr>
              <w:t>4</w:t>
            </w:r>
            <w:r w:rsidR="00EA490F">
              <w:rPr>
                <w:noProof/>
                <w:webHidden/>
              </w:rPr>
              <w:fldChar w:fldCharType="end"/>
            </w:r>
          </w:hyperlink>
        </w:p>
        <w:p w14:paraId="752CBFB5" w14:textId="64385B9B" w:rsidR="00EA490F" w:rsidRDefault="00EA490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27200" w:history="1">
            <w:r w:rsidRPr="00D914C9">
              <w:rPr>
                <w:rStyle w:val="Hyperlink"/>
                <w:noProof/>
              </w:rPr>
              <w:t>Product submission</w:t>
            </w:r>
            <w:r>
              <w:rPr>
                <w:noProof/>
                <w:webHidden/>
              </w:rPr>
              <w:tab/>
            </w:r>
            <w:r>
              <w:rPr>
                <w:noProof/>
                <w:webHidden/>
              </w:rPr>
              <w:fldChar w:fldCharType="begin"/>
            </w:r>
            <w:r>
              <w:rPr>
                <w:noProof/>
                <w:webHidden/>
              </w:rPr>
              <w:instrText xml:space="preserve"> PAGEREF _Toc235627200 \h </w:instrText>
            </w:r>
            <w:r>
              <w:rPr>
                <w:noProof/>
                <w:webHidden/>
              </w:rPr>
            </w:r>
            <w:r>
              <w:rPr>
                <w:noProof/>
                <w:webHidden/>
              </w:rPr>
              <w:fldChar w:fldCharType="separate"/>
            </w:r>
            <w:r>
              <w:rPr>
                <w:noProof/>
                <w:webHidden/>
              </w:rPr>
              <w:t>6</w:t>
            </w:r>
            <w:r>
              <w:rPr>
                <w:noProof/>
                <w:webHidden/>
              </w:rPr>
              <w:fldChar w:fldCharType="end"/>
            </w:r>
          </w:hyperlink>
        </w:p>
        <w:p w14:paraId="50C37565" w14:textId="059F376F"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01" w:history="1">
            <w:r w:rsidRPr="00D914C9">
              <w:rPr>
                <w:rStyle w:val="Hyperlink"/>
                <w:noProof/>
                <w:lang w:eastAsia="en-AU"/>
              </w:rPr>
              <w:t>Submission details</w:t>
            </w:r>
            <w:r>
              <w:rPr>
                <w:noProof/>
                <w:webHidden/>
              </w:rPr>
              <w:tab/>
            </w:r>
            <w:r>
              <w:rPr>
                <w:noProof/>
                <w:webHidden/>
              </w:rPr>
              <w:fldChar w:fldCharType="begin"/>
            </w:r>
            <w:r>
              <w:rPr>
                <w:noProof/>
                <w:webHidden/>
              </w:rPr>
              <w:instrText xml:space="preserve"> PAGEREF _Toc235627201 \h </w:instrText>
            </w:r>
            <w:r>
              <w:rPr>
                <w:noProof/>
                <w:webHidden/>
              </w:rPr>
            </w:r>
            <w:r>
              <w:rPr>
                <w:noProof/>
                <w:webHidden/>
              </w:rPr>
              <w:fldChar w:fldCharType="separate"/>
            </w:r>
            <w:r>
              <w:rPr>
                <w:noProof/>
                <w:webHidden/>
              </w:rPr>
              <w:t>6</w:t>
            </w:r>
            <w:r>
              <w:rPr>
                <w:noProof/>
                <w:webHidden/>
              </w:rPr>
              <w:fldChar w:fldCharType="end"/>
            </w:r>
          </w:hyperlink>
        </w:p>
        <w:p w14:paraId="757B7A3B" w14:textId="4D59824B"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02" w:history="1">
            <w:r w:rsidRPr="00D914C9">
              <w:rPr>
                <w:rStyle w:val="Hyperlink"/>
                <w:noProof/>
              </w:rPr>
              <w:t>Product background</w:t>
            </w:r>
            <w:r>
              <w:rPr>
                <w:noProof/>
                <w:webHidden/>
              </w:rPr>
              <w:tab/>
            </w:r>
            <w:r>
              <w:rPr>
                <w:noProof/>
                <w:webHidden/>
              </w:rPr>
              <w:fldChar w:fldCharType="begin"/>
            </w:r>
            <w:r>
              <w:rPr>
                <w:noProof/>
                <w:webHidden/>
              </w:rPr>
              <w:instrText xml:space="preserve"> PAGEREF _Toc235627202 \h </w:instrText>
            </w:r>
            <w:r>
              <w:rPr>
                <w:noProof/>
                <w:webHidden/>
              </w:rPr>
            </w:r>
            <w:r>
              <w:rPr>
                <w:noProof/>
                <w:webHidden/>
              </w:rPr>
              <w:fldChar w:fldCharType="separate"/>
            </w:r>
            <w:r>
              <w:rPr>
                <w:noProof/>
                <w:webHidden/>
              </w:rPr>
              <w:t>7</w:t>
            </w:r>
            <w:r>
              <w:rPr>
                <w:noProof/>
                <w:webHidden/>
              </w:rPr>
              <w:fldChar w:fldCharType="end"/>
            </w:r>
          </w:hyperlink>
        </w:p>
        <w:p w14:paraId="1D0D21C5" w14:textId="53143AD4"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03" w:history="1">
            <w:r w:rsidRPr="00D914C9">
              <w:rPr>
                <w:rStyle w:val="Hyperlink"/>
                <w:noProof/>
              </w:rPr>
              <w:t>Disease or condition</w:t>
            </w:r>
            <w:r>
              <w:rPr>
                <w:noProof/>
                <w:webHidden/>
              </w:rPr>
              <w:tab/>
            </w:r>
            <w:r>
              <w:rPr>
                <w:noProof/>
                <w:webHidden/>
              </w:rPr>
              <w:fldChar w:fldCharType="begin"/>
            </w:r>
            <w:r>
              <w:rPr>
                <w:noProof/>
                <w:webHidden/>
              </w:rPr>
              <w:instrText xml:space="preserve"> PAGEREF _Toc235627203 \h </w:instrText>
            </w:r>
            <w:r>
              <w:rPr>
                <w:noProof/>
                <w:webHidden/>
              </w:rPr>
            </w:r>
            <w:r>
              <w:rPr>
                <w:noProof/>
                <w:webHidden/>
              </w:rPr>
              <w:fldChar w:fldCharType="separate"/>
            </w:r>
            <w:r>
              <w:rPr>
                <w:noProof/>
                <w:webHidden/>
              </w:rPr>
              <w:t>7</w:t>
            </w:r>
            <w:r>
              <w:rPr>
                <w:noProof/>
                <w:webHidden/>
              </w:rPr>
              <w:fldChar w:fldCharType="end"/>
            </w:r>
          </w:hyperlink>
        </w:p>
        <w:p w14:paraId="1BD5519E" w14:textId="0BF1B78F"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04" w:history="1">
            <w:r w:rsidRPr="00D914C9">
              <w:rPr>
                <w:rStyle w:val="Hyperlink"/>
                <w:noProof/>
              </w:rPr>
              <w:t>Current treatment options</w:t>
            </w:r>
            <w:r>
              <w:rPr>
                <w:noProof/>
                <w:webHidden/>
              </w:rPr>
              <w:tab/>
            </w:r>
            <w:r>
              <w:rPr>
                <w:noProof/>
                <w:webHidden/>
              </w:rPr>
              <w:fldChar w:fldCharType="begin"/>
            </w:r>
            <w:r>
              <w:rPr>
                <w:noProof/>
                <w:webHidden/>
              </w:rPr>
              <w:instrText xml:space="preserve"> PAGEREF _Toc235627204 \h </w:instrText>
            </w:r>
            <w:r>
              <w:rPr>
                <w:noProof/>
                <w:webHidden/>
              </w:rPr>
            </w:r>
            <w:r>
              <w:rPr>
                <w:noProof/>
                <w:webHidden/>
              </w:rPr>
              <w:fldChar w:fldCharType="separate"/>
            </w:r>
            <w:r>
              <w:rPr>
                <w:noProof/>
                <w:webHidden/>
              </w:rPr>
              <w:t>8</w:t>
            </w:r>
            <w:r>
              <w:rPr>
                <w:noProof/>
                <w:webHidden/>
              </w:rPr>
              <w:fldChar w:fldCharType="end"/>
            </w:r>
          </w:hyperlink>
        </w:p>
        <w:p w14:paraId="61A8E613" w14:textId="654CD344"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05" w:history="1">
            <w:r w:rsidRPr="00D914C9">
              <w:rPr>
                <w:rStyle w:val="Hyperlink"/>
                <w:noProof/>
              </w:rPr>
              <w:t>Clinical rationale</w:t>
            </w:r>
            <w:r>
              <w:rPr>
                <w:noProof/>
                <w:webHidden/>
              </w:rPr>
              <w:tab/>
            </w:r>
            <w:r>
              <w:rPr>
                <w:noProof/>
                <w:webHidden/>
              </w:rPr>
              <w:fldChar w:fldCharType="begin"/>
            </w:r>
            <w:r>
              <w:rPr>
                <w:noProof/>
                <w:webHidden/>
              </w:rPr>
              <w:instrText xml:space="preserve"> PAGEREF _Toc235627205 \h </w:instrText>
            </w:r>
            <w:r>
              <w:rPr>
                <w:noProof/>
                <w:webHidden/>
              </w:rPr>
            </w:r>
            <w:r>
              <w:rPr>
                <w:noProof/>
                <w:webHidden/>
              </w:rPr>
              <w:fldChar w:fldCharType="separate"/>
            </w:r>
            <w:r>
              <w:rPr>
                <w:noProof/>
                <w:webHidden/>
              </w:rPr>
              <w:t>9</w:t>
            </w:r>
            <w:r>
              <w:rPr>
                <w:noProof/>
                <w:webHidden/>
              </w:rPr>
              <w:fldChar w:fldCharType="end"/>
            </w:r>
          </w:hyperlink>
        </w:p>
        <w:p w14:paraId="278F5247" w14:textId="11C371BB"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06" w:history="1">
            <w:r w:rsidRPr="00D914C9">
              <w:rPr>
                <w:rStyle w:val="Hyperlink"/>
                <w:noProof/>
              </w:rPr>
              <w:t>Regulatory status</w:t>
            </w:r>
            <w:r>
              <w:rPr>
                <w:noProof/>
                <w:webHidden/>
              </w:rPr>
              <w:tab/>
            </w:r>
            <w:r>
              <w:rPr>
                <w:noProof/>
                <w:webHidden/>
              </w:rPr>
              <w:fldChar w:fldCharType="begin"/>
            </w:r>
            <w:r>
              <w:rPr>
                <w:noProof/>
                <w:webHidden/>
              </w:rPr>
              <w:instrText xml:space="preserve"> PAGEREF _Toc235627206 \h </w:instrText>
            </w:r>
            <w:r>
              <w:rPr>
                <w:noProof/>
                <w:webHidden/>
              </w:rPr>
            </w:r>
            <w:r>
              <w:rPr>
                <w:noProof/>
                <w:webHidden/>
              </w:rPr>
              <w:fldChar w:fldCharType="separate"/>
            </w:r>
            <w:r>
              <w:rPr>
                <w:noProof/>
                <w:webHidden/>
              </w:rPr>
              <w:t>9</w:t>
            </w:r>
            <w:r>
              <w:rPr>
                <w:noProof/>
                <w:webHidden/>
              </w:rPr>
              <w:fldChar w:fldCharType="end"/>
            </w:r>
          </w:hyperlink>
        </w:p>
        <w:p w14:paraId="40542C6F" w14:textId="13E1D1EB"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07" w:history="1">
            <w:r w:rsidRPr="00D914C9">
              <w:rPr>
                <w:rStyle w:val="Hyperlink"/>
                <w:noProof/>
              </w:rPr>
              <w:t>Australian regulatory status</w:t>
            </w:r>
            <w:r>
              <w:rPr>
                <w:noProof/>
                <w:webHidden/>
              </w:rPr>
              <w:tab/>
            </w:r>
            <w:r>
              <w:rPr>
                <w:noProof/>
                <w:webHidden/>
              </w:rPr>
              <w:fldChar w:fldCharType="begin"/>
            </w:r>
            <w:r>
              <w:rPr>
                <w:noProof/>
                <w:webHidden/>
              </w:rPr>
              <w:instrText xml:space="preserve"> PAGEREF _Toc235627207 \h </w:instrText>
            </w:r>
            <w:r>
              <w:rPr>
                <w:noProof/>
                <w:webHidden/>
              </w:rPr>
            </w:r>
            <w:r>
              <w:rPr>
                <w:noProof/>
                <w:webHidden/>
              </w:rPr>
              <w:fldChar w:fldCharType="separate"/>
            </w:r>
            <w:r>
              <w:rPr>
                <w:noProof/>
                <w:webHidden/>
              </w:rPr>
              <w:t>9</w:t>
            </w:r>
            <w:r>
              <w:rPr>
                <w:noProof/>
                <w:webHidden/>
              </w:rPr>
              <w:fldChar w:fldCharType="end"/>
            </w:r>
          </w:hyperlink>
        </w:p>
        <w:p w14:paraId="78397277" w14:textId="5BF9A559"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08" w:history="1">
            <w:r w:rsidRPr="00D914C9">
              <w:rPr>
                <w:rStyle w:val="Hyperlink"/>
                <w:noProof/>
              </w:rPr>
              <w:t>International regulatory status</w:t>
            </w:r>
            <w:r>
              <w:rPr>
                <w:noProof/>
                <w:webHidden/>
              </w:rPr>
              <w:tab/>
            </w:r>
            <w:r>
              <w:rPr>
                <w:noProof/>
                <w:webHidden/>
              </w:rPr>
              <w:fldChar w:fldCharType="begin"/>
            </w:r>
            <w:r>
              <w:rPr>
                <w:noProof/>
                <w:webHidden/>
              </w:rPr>
              <w:instrText xml:space="preserve"> PAGEREF _Toc235627208 \h </w:instrText>
            </w:r>
            <w:r>
              <w:rPr>
                <w:noProof/>
                <w:webHidden/>
              </w:rPr>
            </w:r>
            <w:r>
              <w:rPr>
                <w:noProof/>
                <w:webHidden/>
              </w:rPr>
              <w:fldChar w:fldCharType="separate"/>
            </w:r>
            <w:r>
              <w:rPr>
                <w:noProof/>
                <w:webHidden/>
              </w:rPr>
              <w:t>9</w:t>
            </w:r>
            <w:r>
              <w:rPr>
                <w:noProof/>
                <w:webHidden/>
              </w:rPr>
              <w:fldChar w:fldCharType="end"/>
            </w:r>
          </w:hyperlink>
        </w:p>
        <w:p w14:paraId="4EE93EC2" w14:textId="76E96DE5" w:rsidR="00EA490F" w:rsidRDefault="00EA490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27209" w:history="1">
            <w:r w:rsidRPr="00D914C9">
              <w:rPr>
                <w:rStyle w:val="Hyperlink"/>
                <w:noProof/>
              </w:rPr>
              <w:t>Registration timeline</w:t>
            </w:r>
            <w:r>
              <w:rPr>
                <w:noProof/>
                <w:webHidden/>
              </w:rPr>
              <w:tab/>
            </w:r>
            <w:r>
              <w:rPr>
                <w:noProof/>
                <w:webHidden/>
              </w:rPr>
              <w:fldChar w:fldCharType="begin"/>
            </w:r>
            <w:r>
              <w:rPr>
                <w:noProof/>
                <w:webHidden/>
              </w:rPr>
              <w:instrText xml:space="preserve"> PAGEREF _Toc235627209 \h </w:instrText>
            </w:r>
            <w:r>
              <w:rPr>
                <w:noProof/>
                <w:webHidden/>
              </w:rPr>
            </w:r>
            <w:r>
              <w:rPr>
                <w:noProof/>
                <w:webHidden/>
              </w:rPr>
              <w:fldChar w:fldCharType="separate"/>
            </w:r>
            <w:r>
              <w:rPr>
                <w:noProof/>
                <w:webHidden/>
              </w:rPr>
              <w:t>10</w:t>
            </w:r>
            <w:r>
              <w:rPr>
                <w:noProof/>
                <w:webHidden/>
              </w:rPr>
              <w:fldChar w:fldCharType="end"/>
            </w:r>
          </w:hyperlink>
        </w:p>
        <w:p w14:paraId="6519784F" w14:textId="0717B62F" w:rsidR="00EA490F" w:rsidRDefault="00EA490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27210" w:history="1">
            <w:r w:rsidRPr="00D914C9">
              <w:rPr>
                <w:rStyle w:val="Hyperlink"/>
                <w:noProof/>
              </w:rPr>
              <w:t>Assessment overview</w:t>
            </w:r>
            <w:r>
              <w:rPr>
                <w:noProof/>
                <w:webHidden/>
              </w:rPr>
              <w:tab/>
            </w:r>
            <w:r>
              <w:rPr>
                <w:noProof/>
                <w:webHidden/>
              </w:rPr>
              <w:fldChar w:fldCharType="begin"/>
            </w:r>
            <w:r>
              <w:rPr>
                <w:noProof/>
                <w:webHidden/>
              </w:rPr>
              <w:instrText xml:space="preserve"> PAGEREF _Toc235627210 \h </w:instrText>
            </w:r>
            <w:r>
              <w:rPr>
                <w:noProof/>
                <w:webHidden/>
              </w:rPr>
            </w:r>
            <w:r>
              <w:rPr>
                <w:noProof/>
                <w:webHidden/>
              </w:rPr>
              <w:fldChar w:fldCharType="separate"/>
            </w:r>
            <w:r>
              <w:rPr>
                <w:noProof/>
                <w:webHidden/>
              </w:rPr>
              <w:t>10</w:t>
            </w:r>
            <w:r>
              <w:rPr>
                <w:noProof/>
                <w:webHidden/>
              </w:rPr>
              <w:fldChar w:fldCharType="end"/>
            </w:r>
          </w:hyperlink>
        </w:p>
        <w:p w14:paraId="1D2954C1" w14:textId="3C3EA1BD"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11" w:history="1">
            <w:r w:rsidRPr="00D914C9">
              <w:rPr>
                <w:rStyle w:val="Hyperlink"/>
                <w:noProof/>
              </w:rPr>
              <w:t>Quality evaluation summary</w:t>
            </w:r>
            <w:r>
              <w:rPr>
                <w:noProof/>
                <w:webHidden/>
              </w:rPr>
              <w:tab/>
            </w:r>
            <w:r>
              <w:rPr>
                <w:noProof/>
                <w:webHidden/>
              </w:rPr>
              <w:fldChar w:fldCharType="begin"/>
            </w:r>
            <w:r>
              <w:rPr>
                <w:noProof/>
                <w:webHidden/>
              </w:rPr>
              <w:instrText xml:space="preserve"> PAGEREF _Toc235627211 \h </w:instrText>
            </w:r>
            <w:r>
              <w:rPr>
                <w:noProof/>
                <w:webHidden/>
              </w:rPr>
            </w:r>
            <w:r>
              <w:rPr>
                <w:noProof/>
                <w:webHidden/>
              </w:rPr>
              <w:fldChar w:fldCharType="separate"/>
            </w:r>
            <w:r>
              <w:rPr>
                <w:noProof/>
                <w:webHidden/>
              </w:rPr>
              <w:t>10</w:t>
            </w:r>
            <w:r>
              <w:rPr>
                <w:noProof/>
                <w:webHidden/>
              </w:rPr>
              <w:fldChar w:fldCharType="end"/>
            </w:r>
          </w:hyperlink>
        </w:p>
        <w:p w14:paraId="55A532B9" w14:textId="40ABCDE5"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12" w:history="1">
            <w:r w:rsidRPr="00D914C9">
              <w:rPr>
                <w:rStyle w:val="Hyperlink"/>
                <w:noProof/>
              </w:rPr>
              <w:t>Recommendations to the clinical delegate</w:t>
            </w:r>
            <w:r>
              <w:rPr>
                <w:noProof/>
                <w:webHidden/>
              </w:rPr>
              <w:tab/>
            </w:r>
            <w:r>
              <w:rPr>
                <w:noProof/>
                <w:webHidden/>
              </w:rPr>
              <w:fldChar w:fldCharType="begin"/>
            </w:r>
            <w:r>
              <w:rPr>
                <w:noProof/>
                <w:webHidden/>
              </w:rPr>
              <w:instrText xml:space="preserve"> PAGEREF _Toc235627212 \h </w:instrText>
            </w:r>
            <w:r>
              <w:rPr>
                <w:noProof/>
                <w:webHidden/>
              </w:rPr>
            </w:r>
            <w:r>
              <w:rPr>
                <w:noProof/>
                <w:webHidden/>
              </w:rPr>
              <w:fldChar w:fldCharType="separate"/>
            </w:r>
            <w:r>
              <w:rPr>
                <w:noProof/>
                <w:webHidden/>
              </w:rPr>
              <w:t>11</w:t>
            </w:r>
            <w:r>
              <w:rPr>
                <w:noProof/>
                <w:webHidden/>
              </w:rPr>
              <w:fldChar w:fldCharType="end"/>
            </w:r>
          </w:hyperlink>
        </w:p>
        <w:p w14:paraId="3D97CF67" w14:textId="09CFEF9A"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13" w:history="1">
            <w:r w:rsidRPr="00D914C9">
              <w:rPr>
                <w:rStyle w:val="Hyperlink"/>
                <w:noProof/>
              </w:rPr>
              <w:t>Nonclinical evaluation summary</w:t>
            </w:r>
            <w:r>
              <w:rPr>
                <w:noProof/>
                <w:webHidden/>
              </w:rPr>
              <w:tab/>
            </w:r>
            <w:r>
              <w:rPr>
                <w:noProof/>
                <w:webHidden/>
              </w:rPr>
              <w:fldChar w:fldCharType="begin"/>
            </w:r>
            <w:r>
              <w:rPr>
                <w:noProof/>
                <w:webHidden/>
              </w:rPr>
              <w:instrText xml:space="preserve"> PAGEREF _Toc235627213 \h </w:instrText>
            </w:r>
            <w:r>
              <w:rPr>
                <w:noProof/>
                <w:webHidden/>
              </w:rPr>
            </w:r>
            <w:r>
              <w:rPr>
                <w:noProof/>
                <w:webHidden/>
              </w:rPr>
              <w:fldChar w:fldCharType="separate"/>
            </w:r>
            <w:r>
              <w:rPr>
                <w:noProof/>
                <w:webHidden/>
              </w:rPr>
              <w:t>11</w:t>
            </w:r>
            <w:r>
              <w:rPr>
                <w:noProof/>
                <w:webHidden/>
              </w:rPr>
              <w:fldChar w:fldCharType="end"/>
            </w:r>
          </w:hyperlink>
        </w:p>
        <w:p w14:paraId="03FC875A" w14:textId="4FFCEBAA"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14" w:history="1">
            <w:r w:rsidRPr="00D914C9">
              <w:rPr>
                <w:rStyle w:val="Hyperlink"/>
                <w:noProof/>
              </w:rPr>
              <w:t>Clinical evaluation summary</w:t>
            </w:r>
            <w:r>
              <w:rPr>
                <w:noProof/>
                <w:webHidden/>
              </w:rPr>
              <w:tab/>
            </w:r>
            <w:r>
              <w:rPr>
                <w:noProof/>
                <w:webHidden/>
              </w:rPr>
              <w:fldChar w:fldCharType="begin"/>
            </w:r>
            <w:r>
              <w:rPr>
                <w:noProof/>
                <w:webHidden/>
              </w:rPr>
              <w:instrText xml:space="preserve"> PAGEREF _Toc235627214 \h </w:instrText>
            </w:r>
            <w:r>
              <w:rPr>
                <w:noProof/>
                <w:webHidden/>
              </w:rPr>
            </w:r>
            <w:r>
              <w:rPr>
                <w:noProof/>
                <w:webHidden/>
              </w:rPr>
              <w:fldChar w:fldCharType="separate"/>
            </w:r>
            <w:r>
              <w:rPr>
                <w:noProof/>
                <w:webHidden/>
              </w:rPr>
              <w:t>13</w:t>
            </w:r>
            <w:r>
              <w:rPr>
                <w:noProof/>
                <w:webHidden/>
              </w:rPr>
              <w:fldChar w:fldCharType="end"/>
            </w:r>
          </w:hyperlink>
        </w:p>
        <w:p w14:paraId="09E12E83" w14:textId="044D2B12"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15" w:history="1">
            <w:r w:rsidRPr="00D914C9">
              <w:rPr>
                <w:rStyle w:val="Hyperlink"/>
                <w:noProof/>
              </w:rPr>
              <w:t>Pharmacology</w:t>
            </w:r>
            <w:r>
              <w:rPr>
                <w:noProof/>
                <w:webHidden/>
              </w:rPr>
              <w:tab/>
            </w:r>
            <w:r>
              <w:rPr>
                <w:noProof/>
                <w:webHidden/>
              </w:rPr>
              <w:fldChar w:fldCharType="begin"/>
            </w:r>
            <w:r>
              <w:rPr>
                <w:noProof/>
                <w:webHidden/>
              </w:rPr>
              <w:instrText xml:space="preserve"> PAGEREF _Toc235627215 \h </w:instrText>
            </w:r>
            <w:r>
              <w:rPr>
                <w:noProof/>
                <w:webHidden/>
              </w:rPr>
            </w:r>
            <w:r>
              <w:rPr>
                <w:noProof/>
                <w:webHidden/>
              </w:rPr>
              <w:fldChar w:fldCharType="separate"/>
            </w:r>
            <w:r>
              <w:rPr>
                <w:noProof/>
                <w:webHidden/>
              </w:rPr>
              <w:t>13</w:t>
            </w:r>
            <w:r>
              <w:rPr>
                <w:noProof/>
                <w:webHidden/>
              </w:rPr>
              <w:fldChar w:fldCharType="end"/>
            </w:r>
          </w:hyperlink>
        </w:p>
        <w:p w14:paraId="1EC20E84" w14:textId="2433DDC0"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16" w:history="1">
            <w:r w:rsidRPr="00D914C9">
              <w:rPr>
                <w:rStyle w:val="Hyperlink"/>
                <w:noProof/>
              </w:rPr>
              <w:t>Efficacy</w:t>
            </w:r>
            <w:r>
              <w:rPr>
                <w:noProof/>
                <w:webHidden/>
              </w:rPr>
              <w:tab/>
            </w:r>
            <w:r>
              <w:rPr>
                <w:noProof/>
                <w:webHidden/>
              </w:rPr>
              <w:fldChar w:fldCharType="begin"/>
            </w:r>
            <w:r>
              <w:rPr>
                <w:noProof/>
                <w:webHidden/>
              </w:rPr>
              <w:instrText xml:space="preserve"> PAGEREF _Toc235627216 \h </w:instrText>
            </w:r>
            <w:r>
              <w:rPr>
                <w:noProof/>
                <w:webHidden/>
              </w:rPr>
            </w:r>
            <w:r>
              <w:rPr>
                <w:noProof/>
                <w:webHidden/>
              </w:rPr>
              <w:fldChar w:fldCharType="separate"/>
            </w:r>
            <w:r>
              <w:rPr>
                <w:noProof/>
                <w:webHidden/>
              </w:rPr>
              <w:t>18</w:t>
            </w:r>
            <w:r>
              <w:rPr>
                <w:noProof/>
                <w:webHidden/>
              </w:rPr>
              <w:fldChar w:fldCharType="end"/>
            </w:r>
          </w:hyperlink>
        </w:p>
        <w:p w14:paraId="15B396E7" w14:textId="4044FFF6"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17" w:history="1">
            <w:r w:rsidRPr="00D914C9">
              <w:rPr>
                <w:rStyle w:val="Hyperlink"/>
                <w:noProof/>
              </w:rPr>
              <w:t>Safety</w:t>
            </w:r>
            <w:r>
              <w:rPr>
                <w:noProof/>
                <w:webHidden/>
              </w:rPr>
              <w:tab/>
            </w:r>
            <w:r>
              <w:rPr>
                <w:noProof/>
                <w:webHidden/>
              </w:rPr>
              <w:fldChar w:fldCharType="begin"/>
            </w:r>
            <w:r>
              <w:rPr>
                <w:noProof/>
                <w:webHidden/>
              </w:rPr>
              <w:instrText xml:space="preserve"> PAGEREF _Toc235627217 \h </w:instrText>
            </w:r>
            <w:r>
              <w:rPr>
                <w:noProof/>
                <w:webHidden/>
              </w:rPr>
            </w:r>
            <w:r>
              <w:rPr>
                <w:noProof/>
                <w:webHidden/>
              </w:rPr>
              <w:fldChar w:fldCharType="separate"/>
            </w:r>
            <w:r>
              <w:rPr>
                <w:noProof/>
                <w:webHidden/>
              </w:rPr>
              <w:t>28</w:t>
            </w:r>
            <w:r>
              <w:rPr>
                <w:noProof/>
                <w:webHidden/>
              </w:rPr>
              <w:fldChar w:fldCharType="end"/>
            </w:r>
          </w:hyperlink>
        </w:p>
        <w:p w14:paraId="25B0D132" w14:textId="01DD960A"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18" w:history="1">
            <w:r w:rsidRPr="00D914C9">
              <w:rPr>
                <w:rStyle w:val="Hyperlink"/>
                <w:noProof/>
                <w:lang w:eastAsia="en-AU"/>
              </w:rPr>
              <w:t>Risk management plan</w:t>
            </w:r>
            <w:r>
              <w:rPr>
                <w:noProof/>
                <w:webHidden/>
              </w:rPr>
              <w:tab/>
            </w:r>
            <w:r>
              <w:rPr>
                <w:noProof/>
                <w:webHidden/>
              </w:rPr>
              <w:fldChar w:fldCharType="begin"/>
            </w:r>
            <w:r>
              <w:rPr>
                <w:noProof/>
                <w:webHidden/>
              </w:rPr>
              <w:instrText xml:space="preserve"> PAGEREF _Toc235627218 \h </w:instrText>
            </w:r>
            <w:r>
              <w:rPr>
                <w:noProof/>
                <w:webHidden/>
              </w:rPr>
            </w:r>
            <w:r>
              <w:rPr>
                <w:noProof/>
                <w:webHidden/>
              </w:rPr>
              <w:fldChar w:fldCharType="separate"/>
            </w:r>
            <w:r>
              <w:rPr>
                <w:noProof/>
                <w:webHidden/>
              </w:rPr>
              <w:t>41</w:t>
            </w:r>
            <w:r>
              <w:rPr>
                <w:noProof/>
                <w:webHidden/>
              </w:rPr>
              <w:fldChar w:fldCharType="end"/>
            </w:r>
          </w:hyperlink>
        </w:p>
        <w:p w14:paraId="0B562443" w14:textId="009332BC"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19" w:history="1">
            <w:r w:rsidRPr="00D914C9">
              <w:rPr>
                <w:rStyle w:val="Hyperlink"/>
                <w:noProof/>
              </w:rPr>
              <w:t>Risk-benefit analysis</w:t>
            </w:r>
            <w:r>
              <w:rPr>
                <w:noProof/>
                <w:webHidden/>
              </w:rPr>
              <w:tab/>
            </w:r>
            <w:r>
              <w:rPr>
                <w:noProof/>
                <w:webHidden/>
              </w:rPr>
              <w:fldChar w:fldCharType="begin"/>
            </w:r>
            <w:r>
              <w:rPr>
                <w:noProof/>
                <w:webHidden/>
              </w:rPr>
              <w:instrText xml:space="preserve"> PAGEREF _Toc235627219 \h </w:instrText>
            </w:r>
            <w:r>
              <w:rPr>
                <w:noProof/>
                <w:webHidden/>
              </w:rPr>
            </w:r>
            <w:r>
              <w:rPr>
                <w:noProof/>
                <w:webHidden/>
              </w:rPr>
              <w:fldChar w:fldCharType="separate"/>
            </w:r>
            <w:r>
              <w:rPr>
                <w:noProof/>
                <w:webHidden/>
              </w:rPr>
              <w:t>43</w:t>
            </w:r>
            <w:r>
              <w:rPr>
                <w:noProof/>
                <w:webHidden/>
              </w:rPr>
              <w:fldChar w:fldCharType="end"/>
            </w:r>
          </w:hyperlink>
        </w:p>
        <w:p w14:paraId="02B9E18E" w14:textId="760FF451"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20" w:history="1">
            <w:r w:rsidRPr="00D914C9">
              <w:rPr>
                <w:rStyle w:val="Hyperlink"/>
                <w:noProof/>
              </w:rPr>
              <w:t>Delegate’s considerations</w:t>
            </w:r>
            <w:r>
              <w:rPr>
                <w:noProof/>
                <w:webHidden/>
              </w:rPr>
              <w:tab/>
            </w:r>
            <w:r>
              <w:rPr>
                <w:noProof/>
                <w:webHidden/>
              </w:rPr>
              <w:fldChar w:fldCharType="begin"/>
            </w:r>
            <w:r>
              <w:rPr>
                <w:noProof/>
                <w:webHidden/>
              </w:rPr>
              <w:instrText xml:space="preserve"> PAGEREF _Toc235627220 \h </w:instrText>
            </w:r>
            <w:r>
              <w:rPr>
                <w:noProof/>
                <w:webHidden/>
              </w:rPr>
            </w:r>
            <w:r>
              <w:rPr>
                <w:noProof/>
                <w:webHidden/>
              </w:rPr>
              <w:fldChar w:fldCharType="separate"/>
            </w:r>
            <w:r>
              <w:rPr>
                <w:noProof/>
                <w:webHidden/>
              </w:rPr>
              <w:t>43</w:t>
            </w:r>
            <w:r>
              <w:rPr>
                <w:noProof/>
                <w:webHidden/>
              </w:rPr>
              <w:fldChar w:fldCharType="end"/>
            </w:r>
          </w:hyperlink>
        </w:p>
        <w:p w14:paraId="300EB571" w14:textId="342A6CE0"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21" w:history="1">
            <w:r w:rsidRPr="00D914C9">
              <w:rPr>
                <w:rStyle w:val="Hyperlink"/>
                <w:noProof/>
              </w:rPr>
              <w:t>Proposed action</w:t>
            </w:r>
            <w:r>
              <w:rPr>
                <w:noProof/>
                <w:webHidden/>
              </w:rPr>
              <w:tab/>
            </w:r>
            <w:r>
              <w:rPr>
                <w:noProof/>
                <w:webHidden/>
              </w:rPr>
              <w:fldChar w:fldCharType="begin"/>
            </w:r>
            <w:r>
              <w:rPr>
                <w:noProof/>
                <w:webHidden/>
              </w:rPr>
              <w:instrText xml:space="preserve"> PAGEREF _Toc235627221 \h </w:instrText>
            </w:r>
            <w:r>
              <w:rPr>
                <w:noProof/>
                <w:webHidden/>
              </w:rPr>
            </w:r>
            <w:r>
              <w:rPr>
                <w:noProof/>
                <w:webHidden/>
              </w:rPr>
              <w:fldChar w:fldCharType="separate"/>
            </w:r>
            <w:r>
              <w:rPr>
                <w:noProof/>
                <w:webHidden/>
              </w:rPr>
              <w:t>45</w:t>
            </w:r>
            <w:r>
              <w:rPr>
                <w:noProof/>
                <w:webHidden/>
              </w:rPr>
              <w:fldChar w:fldCharType="end"/>
            </w:r>
          </w:hyperlink>
        </w:p>
        <w:p w14:paraId="3F537403" w14:textId="38C7E733" w:rsidR="00EA490F" w:rsidRDefault="00EA490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627222" w:history="1">
            <w:r w:rsidRPr="00D914C9">
              <w:rPr>
                <w:rStyle w:val="Hyperlink"/>
                <w:noProof/>
              </w:rPr>
              <w:t>Advisory Committee considerations</w:t>
            </w:r>
            <w:r>
              <w:rPr>
                <w:noProof/>
                <w:webHidden/>
              </w:rPr>
              <w:tab/>
            </w:r>
            <w:r>
              <w:rPr>
                <w:noProof/>
                <w:webHidden/>
              </w:rPr>
              <w:fldChar w:fldCharType="begin"/>
            </w:r>
            <w:r>
              <w:rPr>
                <w:noProof/>
                <w:webHidden/>
              </w:rPr>
              <w:instrText xml:space="preserve"> PAGEREF _Toc235627222 \h </w:instrText>
            </w:r>
            <w:r>
              <w:rPr>
                <w:noProof/>
                <w:webHidden/>
              </w:rPr>
            </w:r>
            <w:r>
              <w:rPr>
                <w:noProof/>
                <w:webHidden/>
              </w:rPr>
              <w:fldChar w:fldCharType="separate"/>
            </w:r>
            <w:r>
              <w:rPr>
                <w:noProof/>
                <w:webHidden/>
              </w:rPr>
              <w:t>45</w:t>
            </w:r>
            <w:r>
              <w:rPr>
                <w:noProof/>
                <w:webHidden/>
              </w:rPr>
              <w:fldChar w:fldCharType="end"/>
            </w:r>
          </w:hyperlink>
        </w:p>
        <w:p w14:paraId="7F967E43" w14:textId="7C591401" w:rsidR="00EA490F" w:rsidRDefault="00EA490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627223" w:history="1">
            <w:r w:rsidRPr="00D914C9">
              <w:rPr>
                <w:rStyle w:val="Hyperlink"/>
                <w:noProof/>
              </w:rPr>
              <w:t>Assessment outcome</w:t>
            </w:r>
            <w:r>
              <w:rPr>
                <w:noProof/>
                <w:webHidden/>
              </w:rPr>
              <w:tab/>
            </w:r>
            <w:r>
              <w:rPr>
                <w:noProof/>
                <w:webHidden/>
              </w:rPr>
              <w:fldChar w:fldCharType="begin"/>
            </w:r>
            <w:r>
              <w:rPr>
                <w:noProof/>
                <w:webHidden/>
              </w:rPr>
              <w:instrText xml:space="preserve"> PAGEREF _Toc235627223 \h </w:instrText>
            </w:r>
            <w:r>
              <w:rPr>
                <w:noProof/>
                <w:webHidden/>
              </w:rPr>
            </w:r>
            <w:r>
              <w:rPr>
                <w:noProof/>
                <w:webHidden/>
              </w:rPr>
              <w:fldChar w:fldCharType="separate"/>
            </w:r>
            <w:r>
              <w:rPr>
                <w:noProof/>
                <w:webHidden/>
              </w:rPr>
              <w:t>46</w:t>
            </w:r>
            <w:r>
              <w:rPr>
                <w:noProof/>
                <w:webHidden/>
              </w:rPr>
              <w:fldChar w:fldCharType="end"/>
            </w:r>
          </w:hyperlink>
        </w:p>
        <w:p w14:paraId="4B76D51D" w14:textId="3198CD26"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24" w:history="1">
            <w:r w:rsidRPr="00D914C9">
              <w:rPr>
                <w:rStyle w:val="Hyperlink"/>
                <w:noProof/>
              </w:rPr>
              <w:t>Specific conditions of registration</w:t>
            </w:r>
            <w:r>
              <w:rPr>
                <w:noProof/>
                <w:webHidden/>
              </w:rPr>
              <w:tab/>
            </w:r>
            <w:r>
              <w:rPr>
                <w:noProof/>
                <w:webHidden/>
              </w:rPr>
              <w:fldChar w:fldCharType="begin"/>
            </w:r>
            <w:r>
              <w:rPr>
                <w:noProof/>
                <w:webHidden/>
              </w:rPr>
              <w:instrText xml:space="preserve"> PAGEREF _Toc235627224 \h </w:instrText>
            </w:r>
            <w:r>
              <w:rPr>
                <w:noProof/>
                <w:webHidden/>
              </w:rPr>
            </w:r>
            <w:r>
              <w:rPr>
                <w:noProof/>
                <w:webHidden/>
              </w:rPr>
              <w:fldChar w:fldCharType="separate"/>
            </w:r>
            <w:r>
              <w:rPr>
                <w:noProof/>
                <w:webHidden/>
              </w:rPr>
              <w:t>46</w:t>
            </w:r>
            <w:r>
              <w:rPr>
                <w:noProof/>
                <w:webHidden/>
              </w:rPr>
              <w:fldChar w:fldCharType="end"/>
            </w:r>
          </w:hyperlink>
        </w:p>
        <w:p w14:paraId="28DA8E48" w14:textId="63BF3A8B" w:rsidR="00EA490F" w:rsidRDefault="00EA490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627225" w:history="1">
            <w:r w:rsidRPr="00D914C9">
              <w:rPr>
                <w:rStyle w:val="Hyperlink"/>
                <w:noProof/>
              </w:rPr>
              <w:t>Product Information and Consumer Medicine Information</w:t>
            </w:r>
            <w:r>
              <w:rPr>
                <w:noProof/>
                <w:webHidden/>
              </w:rPr>
              <w:tab/>
            </w:r>
            <w:r>
              <w:rPr>
                <w:noProof/>
                <w:webHidden/>
              </w:rPr>
              <w:fldChar w:fldCharType="begin"/>
            </w:r>
            <w:r>
              <w:rPr>
                <w:noProof/>
                <w:webHidden/>
              </w:rPr>
              <w:instrText xml:space="preserve"> PAGEREF _Toc235627225 \h </w:instrText>
            </w:r>
            <w:r>
              <w:rPr>
                <w:noProof/>
                <w:webHidden/>
              </w:rPr>
            </w:r>
            <w:r>
              <w:rPr>
                <w:noProof/>
                <w:webHidden/>
              </w:rPr>
              <w:fldChar w:fldCharType="separate"/>
            </w:r>
            <w:r>
              <w:rPr>
                <w:noProof/>
                <w:webHidden/>
              </w:rPr>
              <w:t>48</w:t>
            </w:r>
            <w:r>
              <w:rPr>
                <w:noProof/>
                <w:webHidden/>
              </w:rPr>
              <w:fldChar w:fldCharType="end"/>
            </w:r>
          </w:hyperlink>
        </w:p>
        <w:p w14:paraId="77659F2D" w14:textId="63912457" w:rsidR="00F02AEC" w:rsidRPr="00215D48" w:rsidRDefault="00F02AEC" w:rsidP="007452E8">
          <w:r w:rsidRPr="00215D48">
            <w:fldChar w:fldCharType="end"/>
          </w:r>
        </w:p>
      </w:sdtContent>
    </w:sdt>
    <w:p w14:paraId="10987AE2" w14:textId="77777777" w:rsidR="00F02AEC" w:rsidRPr="00215D48" w:rsidRDefault="00F02AEC" w:rsidP="007452E8">
      <w:r w:rsidRPr="00215D48">
        <w:br w:type="page"/>
      </w:r>
    </w:p>
    <w:p w14:paraId="1E73AB93" w14:textId="77777777" w:rsidR="00324B33" w:rsidRDefault="00324B33" w:rsidP="00324B33">
      <w:pPr>
        <w:pStyle w:val="Heading2"/>
      </w:pPr>
      <w:bookmarkStart w:id="0" w:name="_Toc98931917"/>
      <w:bookmarkStart w:id="1" w:name="_Toc103679287"/>
      <w:bookmarkStart w:id="2" w:name="_Toc323739589"/>
      <w:bookmarkStart w:id="3" w:name="_Toc356305216"/>
      <w:bookmarkStart w:id="4" w:name="_Toc235627199"/>
      <w:r>
        <w:lastRenderedPageBreak/>
        <w:t>List of abbreviations</w:t>
      </w:r>
      <w:bookmarkEnd w:id="0"/>
      <w:bookmarkEnd w:id="1"/>
      <w:bookmarkEnd w:id="4"/>
    </w:p>
    <w:tbl>
      <w:tblPr>
        <w:tblStyle w:val="TableTGAblue2023"/>
        <w:tblW w:w="5000" w:type="pct"/>
        <w:tblLook w:val="04A0" w:firstRow="1" w:lastRow="0" w:firstColumn="1" w:lastColumn="0" w:noHBand="0" w:noVBand="1"/>
      </w:tblPr>
      <w:tblGrid>
        <w:gridCol w:w="2174"/>
        <w:gridCol w:w="6886"/>
      </w:tblGrid>
      <w:tr w:rsidR="00324B33" w:rsidRPr="00D01DDB" w14:paraId="2117AEF6" w14:textId="77777777" w:rsidTr="00BD5DBD">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00" w:type="pct"/>
          </w:tcPr>
          <w:p w14:paraId="1207B6A7" w14:textId="67F7D360" w:rsidR="00324B33" w:rsidRPr="00D01DDB" w:rsidRDefault="00324B33" w:rsidP="00324B33">
            <w:pPr>
              <w:rPr>
                <w:szCs w:val="22"/>
              </w:rPr>
            </w:pPr>
            <w:r w:rsidRPr="00D01DDB">
              <w:rPr>
                <w:szCs w:val="22"/>
              </w:rPr>
              <w:t>Abbreviation</w:t>
            </w:r>
          </w:p>
        </w:tc>
        <w:tc>
          <w:tcPr>
            <w:tcW w:w="3800" w:type="pct"/>
          </w:tcPr>
          <w:p w14:paraId="4CF6D0CD" w14:textId="2974FA0B"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Meaning</w:t>
            </w:r>
          </w:p>
        </w:tc>
      </w:tr>
      <w:tr w:rsidR="00324B33" w:rsidRPr="00D01DDB" w14:paraId="16C5C8C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6DE09A4" w14:textId="07A94E9E" w:rsidR="00324B33" w:rsidRPr="00D01DDB" w:rsidRDefault="00324B33" w:rsidP="00324B33">
            <w:pPr>
              <w:rPr>
                <w:szCs w:val="22"/>
              </w:rPr>
            </w:pPr>
            <w:r w:rsidRPr="00D01DDB">
              <w:rPr>
                <w:szCs w:val="22"/>
              </w:rPr>
              <w:t>ACM</w:t>
            </w:r>
          </w:p>
        </w:tc>
        <w:tc>
          <w:tcPr>
            <w:tcW w:w="3800" w:type="pct"/>
          </w:tcPr>
          <w:p w14:paraId="4F24A873" w14:textId="0539B5FB"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Advisory Committee on Medicines</w:t>
            </w:r>
          </w:p>
        </w:tc>
      </w:tr>
      <w:tr w:rsidR="00AB4C19" w:rsidRPr="00D01DDB" w14:paraId="7E11BC57"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5DE6F87" w14:textId="6CE943DD" w:rsidR="00AB4C19" w:rsidRPr="00D01DDB" w:rsidRDefault="00AB4C19" w:rsidP="00324B33">
            <w:pPr>
              <w:rPr>
                <w:szCs w:val="22"/>
              </w:rPr>
            </w:pPr>
            <w:r>
              <w:rPr>
                <w:szCs w:val="22"/>
              </w:rPr>
              <w:t>ADA</w:t>
            </w:r>
          </w:p>
        </w:tc>
        <w:tc>
          <w:tcPr>
            <w:tcW w:w="3800" w:type="pct"/>
          </w:tcPr>
          <w:p w14:paraId="416941E5" w14:textId="1EB3E193" w:rsidR="00AB4C19" w:rsidRPr="00D01DDB" w:rsidRDefault="00AB4C19"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Anti-drug antibodies</w:t>
            </w:r>
          </w:p>
        </w:tc>
      </w:tr>
      <w:tr w:rsidR="00E3421E" w:rsidRPr="00D01DDB" w14:paraId="0277BB7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D984DB2" w14:textId="411951D7" w:rsidR="00E3421E" w:rsidRPr="00D01DDB" w:rsidRDefault="00E3421E" w:rsidP="00324B33">
            <w:pPr>
              <w:rPr>
                <w:szCs w:val="22"/>
              </w:rPr>
            </w:pPr>
            <w:r>
              <w:rPr>
                <w:szCs w:val="22"/>
              </w:rPr>
              <w:t>ADCC</w:t>
            </w:r>
          </w:p>
        </w:tc>
        <w:tc>
          <w:tcPr>
            <w:tcW w:w="3800" w:type="pct"/>
          </w:tcPr>
          <w:p w14:paraId="46E96295" w14:textId="103F4BD0" w:rsidR="00E3421E" w:rsidRPr="00D01DDB" w:rsidRDefault="00E3421E" w:rsidP="00324B33">
            <w:pPr>
              <w:cnfStyle w:val="000000000000" w:firstRow="0" w:lastRow="0" w:firstColumn="0" w:lastColumn="0" w:oddVBand="0" w:evenVBand="0" w:oddHBand="0" w:evenHBand="0" w:firstRowFirstColumn="0" w:firstRowLastColumn="0" w:lastRowFirstColumn="0" w:lastRowLastColumn="0"/>
              <w:rPr>
                <w:szCs w:val="22"/>
              </w:rPr>
            </w:pPr>
            <w:r w:rsidRPr="00E3421E">
              <w:rPr>
                <w:szCs w:val="22"/>
              </w:rPr>
              <w:t>Antibody dependent cellular cytotoxicity</w:t>
            </w:r>
          </w:p>
        </w:tc>
      </w:tr>
      <w:tr w:rsidR="00A459F3" w:rsidRPr="00D01DDB" w14:paraId="4544316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6C61652" w14:textId="1BC6A604" w:rsidR="00A459F3" w:rsidRDefault="00A459F3" w:rsidP="00324B33">
            <w:pPr>
              <w:rPr>
                <w:szCs w:val="22"/>
              </w:rPr>
            </w:pPr>
            <w:r>
              <w:rPr>
                <w:szCs w:val="22"/>
              </w:rPr>
              <w:t>AE</w:t>
            </w:r>
          </w:p>
        </w:tc>
        <w:tc>
          <w:tcPr>
            <w:tcW w:w="3800" w:type="pct"/>
          </w:tcPr>
          <w:p w14:paraId="18530DC6" w14:textId="31B10EF3" w:rsidR="00A459F3" w:rsidRPr="00E3421E" w:rsidRDefault="00A459F3"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Adverse event</w:t>
            </w:r>
          </w:p>
        </w:tc>
      </w:tr>
      <w:tr w:rsidR="00E84881" w:rsidRPr="00D01DDB" w14:paraId="56972D6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7A5B031" w14:textId="0F153400" w:rsidR="00E84881" w:rsidRDefault="00E84881" w:rsidP="00324B33">
            <w:pPr>
              <w:rPr>
                <w:szCs w:val="22"/>
              </w:rPr>
            </w:pPr>
            <w:r w:rsidRPr="00E84881">
              <w:rPr>
                <w:szCs w:val="22"/>
              </w:rPr>
              <w:t>AESI</w:t>
            </w:r>
          </w:p>
        </w:tc>
        <w:tc>
          <w:tcPr>
            <w:tcW w:w="3800" w:type="pct"/>
          </w:tcPr>
          <w:p w14:paraId="3A652DB4" w14:textId="7C002B1B" w:rsidR="00E84881" w:rsidRPr="00E3421E" w:rsidRDefault="00E8488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Adverse events of special interest</w:t>
            </w:r>
          </w:p>
        </w:tc>
      </w:tr>
      <w:tr w:rsidR="00324B33" w:rsidRPr="00D01DDB" w14:paraId="6965466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43A7AEA" w14:textId="6D49EBE6" w:rsidR="00324B33" w:rsidRPr="00D01DDB" w:rsidRDefault="00324B33" w:rsidP="00324B33">
            <w:pPr>
              <w:rPr>
                <w:szCs w:val="22"/>
              </w:rPr>
            </w:pPr>
            <w:r w:rsidRPr="00D01DDB">
              <w:rPr>
                <w:szCs w:val="22"/>
              </w:rPr>
              <w:t>ARTG</w:t>
            </w:r>
          </w:p>
        </w:tc>
        <w:tc>
          <w:tcPr>
            <w:tcW w:w="3800" w:type="pct"/>
          </w:tcPr>
          <w:p w14:paraId="228A203A" w14:textId="47EBCFA3"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Australian Register of Therapeutic Goods</w:t>
            </w:r>
          </w:p>
        </w:tc>
      </w:tr>
      <w:tr w:rsidR="00324B33" w:rsidRPr="00D01DDB" w14:paraId="0536676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0516A80" w14:textId="1329E9D5" w:rsidR="00324B33" w:rsidRPr="00D01DDB" w:rsidRDefault="00324B33" w:rsidP="00324B33">
            <w:pPr>
              <w:rPr>
                <w:szCs w:val="22"/>
              </w:rPr>
            </w:pPr>
            <w:r w:rsidRPr="00D01DDB">
              <w:rPr>
                <w:szCs w:val="22"/>
              </w:rPr>
              <w:t>ASA</w:t>
            </w:r>
          </w:p>
        </w:tc>
        <w:tc>
          <w:tcPr>
            <w:tcW w:w="3800" w:type="pct"/>
          </w:tcPr>
          <w:p w14:paraId="4E6F5284" w14:textId="21C063B1"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Australia</w:t>
            </w:r>
            <w:r w:rsidR="00873D7A">
              <w:rPr>
                <w:szCs w:val="22"/>
              </w:rPr>
              <w:noBreakHyphen/>
            </w:r>
            <w:r w:rsidRPr="00D01DDB">
              <w:rPr>
                <w:szCs w:val="22"/>
              </w:rPr>
              <w:t>specific annex</w:t>
            </w:r>
          </w:p>
        </w:tc>
      </w:tr>
      <w:tr w:rsidR="00EA08B9" w:rsidRPr="00D01DDB" w14:paraId="0C22AF5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7323683" w14:textId="5B8EC991" w:rsidR="00EA08B9" w:rsidRPr="00D01DDB" w:rsidRDefault="00EA08B9" w:rsidP="00324B33">
            <w:pPr>
              <w:rPr>
                <w:szCs w:val="22"/>
              </w:rPr>
            </w:pPr>
            <w:r>
              <w:rPr>
                <w:szCs w:val="22"/>
              </w:rPr>
              <w:t>AUC</w:t>
            </w:r>
          </w:p>
        </w:tc>
        <w:tc>
          <w:tcPr>
            <w:tcW w:w="3800" w:type="pct"/>
          </w:tcPr>
          <w:p w14:paraId="6C622497" w14:textId="5B615DBF" w:rsidR="00EA08B9" w:rsidRPr="00D01DDB" w:rsidRDefault="00EA08B9" w:rsidP="00324B33">
            <w:pPr>
              <w:cnfStyle w:val="000000000000" w:firstRow="0" w:lastRow="0" w:firstColumn="0" w:lastColumn="0" w:oddVBand="0" w:evenVBand="0" w:oddHBand="0" w:evenHBand="0" w:firstRowFirstColumn="0" w:firstRowLastColumn="0" w:lastRowFirstColumn="0" w:lastRowLastColumn="0"/>
              <w:rPr>
                <w:szCs w:val="22"/>
              </w:rPr>
            </w:pPr>
            <w:r w:rsidRPr="00EA08B9">
              <w:rPr>
                <w:szCs w:val="22"/>
              </w:rPr>
              <w:t>Area under the concentration-time curve</w:t>
            </w:r>
          </w:p>
        </w:tc>
      </w:tr>
      <w:tr w:rsidR="006114B0" w:rsidRPr="00D01DDB" w14:paraId="290E068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488EEFA" w14:textId="387F9DAA" w:rsidR="006114B0" w:rsidRPr="00D01DDB" w:rsidRDefault="006114B0" w:rsidP="00324B33">
            <w:pPr>
              <w:rPr>
                <w:szCs w:val="22"/>
              </w:rPr>
            </w:pPr>
            <w:r w:rsidRPr="006114B0">
              <w:rPr>
                <w:szCs w:val="22"/>
              </w:rPr>
              <w:t>AUC</w:t>
            </w:r>
            <w:r w:rsidRPr="006114B0">
              <w:rPr>
                <w:szCs w:val="22"/>
                <w:vertAlign w:val="subscript"/>
              </w:rPr>
              <w:t>inf</w:t>
            </w:r>
          </w:p>
        </w:tc>
        <w:tc>
          <w:tcPr>
            <w:tcW w:w="3800" w:type="pct"/>
          </w:tcPr>
          <w:p w14:paraId="1444A8D7" w14:textId="27C223D9" w:rsidR="006114B0" w:rsidRPr="00D01DDB" w:rsidRDefault="009D5EED" w:rsidP="00324B33">
            <w:pPr>
              <w:cnfStyle w:val="000000000000" w:firstRow="0" w:lastRow="0" w:firstColumn="0" w:lastColumn="0" w:oddVBand="0" w:evenVBand="0" w:oddHBand="0" w:evenHBand="0" w:firstRowFirstColumn="0" w:firstRowLastColumn="0" w:lastRowFirstColumn="0" w:lastRowLastColumn="0"/>
              <w:rPr>
                <w:szCs w:val="22"/>
              </w:rPr>
            </w:pPr>
            <w:r w:rsidRPr="009D5EED">
              <w:rPr>
                <w:szCs w:val="22"/>
              </w:rPr>
              <w:t>Area under the concentration time curve from time zero to infinity</w:t>
            </w:r>
          </w:p>
        </w:tc>
      </w:tr>
      <w:tr w:rsidR="00C96F38" w:rsidRPr="00D01DDB" w14:paraId="034C6FF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9D69FF4" w14:textId="521E971E" w:rsidR="00C96F38" w:rsidRPr="00D01DDB" w:rsidRDefault="00C96F38" w:rsidP="00324B33">
            <w:pPr>
              <w:rPr>
                <w:szCs w:val="22"/>
              </w:rPr>
            </w:pPr>
            <w:r>
              <w:rPr>
                <w:szCs w:val="22"/>
              </w:rPr>
              <w:t>BSA</w:t>
            </w:r>
          </w:p>
        </w:tc>
        <w:tc>
          <w:tcPr>
            <w:tcW w:w="3800" w:type="pct"/>
          </w:tcPr>
          <w:p w14:paraId="69C34574" w14:textId="26706E76" w:rsidR="00C96F38" w:rsidRPr="00D01DDB" w:rsidRDefault="00C96F38" w:rsidP="00324B33">
            <w:pPr>
              <w:cnfStyle w:val="000000000000" w:firstRow="0" w:lastRow="0" w:firstColumn="0" w:lastColumn="0" w:oddVBand="0" w:evenVBand="0" w:oddHBand="0" w:evenHBand="0" w:firstRowFirstColumn="0" w:firstRowLastColumn="0" w:lastRowFirstColumn="0" w:lastRowLastColumn="0"/>
              <w:rPr>
                <w:szCs w:val="22"/>
              </w:rPr>
            </w:pPr>
            <w:r w:rsidRPr="00C96F38">
              <w:rPr>
                <w:szCs w:val="22"/>
              </w:rPr>
              <w:t>Body Surface Area</w:t>
            </w:r>
          </w:p>
        </w:tc>
      </w:tr>
      <w:tr w:rsidR="00617747" w:rsidRPr="00D01DDB" w14:paraId="6344586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417785A" w14:textId="1D1698A2" w:rsidR="00617747" w:rsidRDefault="00617747" w:rsidP="00324B33">
            <w:pPr>
              <w:rPr>
                <w:szCs w:val="22"/>
              </w:rPr>
            </w:pPr>
            <w:r w:rsidRPr="00617747">
              <w:rPr>
                <w:szCs w:val="22"/>
              </w:rPr>
              <w:t>CD3</w:t>
            </w:r>
          </w:p>
        </w:tc>
        <w:tc>
          <w:tcPr>
            <w:tcW w:w="3800" w:type="pct"/>
          </w:tcPr>
          <w:p w14:paraId="43710E74" w14:textId="69F60254" w:rsidR="00617747" w:rsidRPr="00C96F38" w:rsidRDefault="00617747"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w:t>
            </w:r>
            <w:r w:rsidRPr="00617747">
              <w:rPr>
                <w:szCs w:val="22"/>
              </w:rPr>
              <w:t xml:space="preserve"> cell surface antigen present on T lymphocytes</w:t>
            </w:r>
          </w:p>
        </w:tc>
      </w:tr>
      <w:tr w:rsidR="0030368B" w:rsidRPr="00D01DDB" w14:paraId="54FBF338"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4CABDBC" w14:textId="3DEBCEA7" w:rsidR="0030368B" w:rsidRPr="00617747" w:rsidRDefault="0030368B" w:rsidP="00324B33">
            <w:pPr>
              <w:rPr>
                <w:szCs w:val="22"/>
              </w:rPr>
            </w:pPr>
            <w:r>
              <w:rPr>
                <w:szCs w:val="22"/>
              </w:rPr>
              <w:t>CDC</w:t>
            </w:r>
          </w:p>
        </w:tc>
        <w:tc>
          <w:tcPr>
            <w:tcW w:w="3800" w:type="pct"/>
          </w:tcPr>
          <w:p w14:paraId="00DDB882" w14:textId="62463C3B" w:rsidR="0030368B" w:rsidRDefault="0030368B"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C</w:t>
            </w:r>
            <w:r w:rsidRPr="0030368B">
              <w:rPr>
                <w:szCs w:val="22"/>
              </w:rPr>
              <w:t>omplement dependant cytotoxicity </w:t>
            </w:r>
          </w:p>
        </w:tc>
      </w:tr>
      <w:tr w:rsidR="00D67060" w:rsidRPr="00D01DDB" w14:paraId="68A6E7D4"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57E45F2" w14:textId="5A1C3DCF" w:rsidR="00D67060" w:rsidRDefault="00D67060" w:rsidP="00324B33">
            <w:pPr>
              <w:rPr>
                <w:szCs w:val="22"/>
              </w:rPr>
            </w:pPr>
            <w:r>
              <w:rPr>
                <w:szCs w:val="22"/>
              </w:rPr>
              <w:t>CI</w:t>
            </w:r>
          </w:p>
        </w:tc>
        <w:tc>
          <w:tcPr>
            <w:tcW w:w="3800" w:type="pct"/>
          </w:tcPr>
          <w:p w14:paraId="784E2323" w14:textId="6FF60CB9" w:rsidR="00D67060" w:rsidRDefault="00D67060"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Confidence interval</w:t>
            </w:r>
          </w:p>
        </w:tc>
      </w:tr>
      <w:tr w:rsidR="006114B0" w:rsidRPr="00D01DDB" w14:paraId="566AF41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401CC26" w14:textId="6023EF79" w:rsidR="006114B0" w:rsidRDefault="006114B0" w:rsidP="00324B33">
            <w:pPr>
              <w:rPr>
                <w:szCs w:val="22"/>
              </w:rPr>
            </w:pPr>
            <w:proofErr w:type="spellStart"/>
            <w:r w:rsidRPr="006114B0">
              <w:rPr>
                <w:szCs w:val="22"/>
              </w:rPr>
              <w:t>C</w:t>
            </w:r>
            <w:r w:rsidRPr="006114B0">
              <w:rPr>
                <w:szCs w:val="22"/>
                <w:vertAlign w:val="subscript"/>
              </w:rPr>
              <w:t>max</w:t>
            </w:r>
            <w:proofErr w:type="spellEnd"/>
          </w:p>
        </w:tc>
        <w:tc>
          <w:tcPr>
            <w:tcW w:w="3800" w:type="pct"/>
          </w:tcPr>
          <w:p w14:paraId="54017178" w14:textId="3F0D3E88" w:rsidR="006114B0" w:rsidRDefault="006114B0"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Maximum serum concentration</w:t>
            </w:r>
          </w:p>
        </w:tc>
      </w:tr>
      <w:tr w:rsidR="00395140" w:rsidRPr="00D01DDB" w14:paraId="7694A4E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AC18809" w14:textId="14711A93" w:rsidR="00395140" w:rsidRPr="00D01DDB" w:rsidRDefault="00395140" w:rsidP="00324B33">
            <w:pPr>
              <w:rPr>
                <w:szCs w:val="22"/>
              </w:rPr>
            </w:pPr>
            <w:r w:rsidRPr="00D01DDB">
              <w:rPr>
                <w:szCs w:val="22"/>
              </w:rPr>
              <w:t>CMI</w:t>
            </w:r>
          </w:p>
        </w:tc>
        <w:tc>
          <w:tcPr>
            <w:tcW w:w="3800" w:type="pct"/>
          </w:tcPr>
          <w:p w14:paraId="5D8C9DF5" w14:textId="60C23379" w:rsidR="00395140" w:rsidRPr="00D01DDB" w:rsidRDefault="00395140"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Consumer Medicines Information</w:t>
            </w:r>
          </w:p>
        </w:tc>
      </w:tr>
      <w:tr w:rsidR="00FE1725" w:rsidRPr="00D01DDB" w14:paraId="5F255124"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A48C491" w14:textId="1E2CCA9B" w:rsidR="00FE1725" w:rsidRPr="00D01DDB" w:rsidRDefault="00FE1725" w:rsidP="00324B33">
            <w:pPr>
              <w:rPr>
                <w:szCs w:val="22"/>
              </w:rPr>
            </w:pPr>
            <w:r>
              <w:rPr>
                <w:szCs w:val="22"/>
              </w:rPr>
              <w:t>CMV</w:t>
            </w:r>
          </w:p>
        </w:tc>
        <w:tc>
          <w:tcPr>
            <w:tcW w:w="3800" w:type="pct"/>
          </w:tcPr>
          <w:p w14:paraId="64A9BF86" w14:textId="59EA1C3D" w:rsidR="00FE1725" w:rsidRPr="00D01DDB" w:rsidRDefault="00FE1725" w:rsidP="00324B33">
            <w:pPr>
              <w:cnfStyle w:val="000000000000" w:firstRow="0" w:lastRow="0" w:firstColumn="0" w:lastColumn="0" w:oddVBand="0" w:evenVBand="0" w:oddHBand="0" w:evenHBand="0" w:firstRowFirstColumn="0" w:firstRowLastColumn="0" w:lastRowFirstColumn="0" w:lastRowLastColumn="0"/>
              <w:rPr>
                <w:szCs w:val="22"/>
              </w:rPr>
            </w:pPr>
            <w:r w:rsidRPr="00FE1725">
              <w:rPr>
                <w:szCs w:val="22"/>
              </w:rPr>
              <w:t>Cytomegalo</w:t>
            </w:r>
            <w:r w:rsidRPr="00FE1725">
              <w:rPr>
                <w:szCs w:val="22"/>
              </w:rPr>
              <w:softHyphen/>
              <w:t xml:space="preserve">virus </w:t>
            </w:r>
          </w:p>
        </w:tc>
      </w:tr>
      <w:tr w:rsidR="00EF30B1" w:rsidRPr="00D01DDB" w14:paraId="2E816A3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B1F6840" w14:textId="74A42ED3" w:rsidR="00EF30B1" w:rsidRPr="00D01DDB" w:rsidRDefault="00EF30B1" w:rsidP="00324B33">
            <w:pPr>
              <w:rPr>
                <w:szCs w:val="22"/>
              </w:rPr>
            </w:pPr>
            <w:r>
              <w:rPr>
                <w:szCs w:val="22"/>
              </w:rPr>
              <w:t>CRS</w:t>
            </w:r>
          </w:p>
        </w:tc>
        <w:tc>
          <w:tcPr>
            <w:tcW w:w="3800" w:type="pct"/>
          </w:tcPr>
          <w:p w14:paraId="2EEF544A" w14:textId="193EE265" w:rsidR="00EF30B1" w:rsidRPr="00D01DDB" w:rsidRDefault="00EF30B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C</w:t>
            </w:r>
            <w:r w:rsidRPr="00EF30B1">
              <w:rPr>
                <w:szCs w:val="22"/>
              </w:rPr>
              <w:t>ytokine release syndrome</w:t>
            </w:r>
          </w:p>
        </w:tc>
      </w:tr>
      <w:tr w:rsidR="00E740DB" w:rsidRPr="00D01DDB" w14:paraId="2275B59B"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7E1FEB2" w14:textId="15CC2714" w:rsidR="00E740DB" w:rsidRPr="00D01DDB" w:rsidRDefault="00E740DB" w:rsidP="00324B33">
            <w:pPr>
              <w:rPr>
                <w:szCs w:val="22"/>
              </w:rPr>
            </w:pPr>
            <w:r>
              <w:rPr>
                <w:szCs w:val="22"/>
              </w:rPr>
              <w:t>DDIs</w:t>
            </w:r>
          </w:p>
        </w:tc>
        <w:tc>
          <w:tcPr>
            <w:tcW w:w="3800" w:type="pct"/>
          </w:tcPr>
          <w:p w14:paraId="43F4D3FF" w14:textId="1B8B9B1B" w:rsidR="00E740DB" w:rsidRPr="00D01DDB" w:rsidRDefault="00E740DB" w:rsidP="00324B33">
            <w:pPr>
              <w:cnfStyle w:val="000000000000" w:firstRow="0" w:lastRow="0" w:firstColumn="0" w:lastColumn="0" w:oddVBand="0" w:evenVBand="0" w:oddHBand="0" w:evenHBand="0" w:firstRowFirstColumn="0" w:firstRowLastColumn="0" w:lastRowFirstColumn="0" w:lastRowLastColumn="0"/>
              <w:rPr>
                <w:szCs w:val="22"/>
              </w:rPr>
            </w:pPr>
            <w:r w:rsidRPr="00E740DB">
              <w:rPr>
                <w:szCs w:val="22"/>
              </w:rPr>
              <w:t>Drug‑drug interaction</w:t>
            </w:r>
            <w:r>
              <w:rPr>
                <w:szCs w:val="22"/>
              </w:rPr>
              <w:t>s</w:t>
            </w:r>
          </w:p>
        </w:tc>
      </w:tr>
      <w:tr w:rsidR="00C176DB" w:rsidRPr="00D01DDB" w14:paraId="3076625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1F69BC5" w14:textId="3466EB52" w:rsidR="00C176DB" w:rsidRPr="00D01DDB" w:rsidRDefault="00C176DB" w:rsidP="00324B33">
            <w:pPr>
              <w:rPr>
                <w:szCs w:val="22"/>
              </w:rPr>
            </w:pPr>
            <w:r>
              <w:rPr>
                <w:szCs w:val="22"/>
              </w:rPr>
              <w:t>DKA</w:t>
            </w:r>
          </w:p>
        </w:tc>
        <w:tc>
          <w:tcPr>
            <w:tcW w:w="3800" w:type="pct"/>
          </w:tcPr>
          <w:p w14:paraId="5CC2990D" w14:textId="4283466D" w:rsidR="00C176DB" w:rsidRPr="00D01DDB" w:rsidRDefault="00661938"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D</w:t>
            </w:r>
            <w:r w:rsidR="00C176DB" w:rsidRPr="00C176DB">
              <w:rPr>
                <w:szCs w:val="22"/>
              </w:rPr>
              <w:t>iabetic ketoacidosis</w:t>
            </w:r>
          </w:p>
        </w:tc>
      </w:tr>
      <w:tr w:rsidR="00324B33" w:rsidRPr="00D01DDB" w14:paraId="7B87377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CE05B04" w14:textId="0D6731AA" w:rsidR="00324B33" w:rsidRPr="00D01DDB" w:rsidRDefault="00324B33" w:rsidP="00324B33">
            <w:pPr>
              <w:rPr>
                <w:szCs w:val="22"/>
              </w:rPr>
            </w:pPr>
            <w:r w:rsidRPr="00D01DDB">
              <w:rPr>
                <w:szCs w:val="22"/>
              </w:rPr>
              <w:t>DLP</w:t>
            </w:r>
          </w:p>
        </w:tc>
        <w:tc>
          <w:tcPr>
            <w:tcW w:w="3800" w:type="pct"/>
          </w:tcPr>
          <w:p w14:paraId="26109D0B" w14:textId="4AE8F60A"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Data lock point</w:t>
            </w:r>
          </w:p>
        </w:tc>
      </w:tr>
      <w:tr w:rsidR="009913B9" w:rsidRPr="00D01DDB" w14:paraId="2100739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5F13A5C" w14:textId="005B2969" w:rsidR="009913B9" w:rsidRPr="00D01DDB" w:rsidRDefault="009913B9" w:rsidP="00324B33">
            <w:pPr>
              <w:rPr>
                <w:szCs w:val="22"/>
              </w:rPr>
            </w:pPr>
            <w:r w:rsidRPr="009913B9">
              <w:rPr>
                <w:szCs w:val="22"/>
              </w:rPr>
              <w:t>DNA</w:t>
            </w:r>
          </w:p>
        </w:tc>
        <w:tc>
          <w:tcPr>
            <w:tcW w:w="3800" w:type="pct"/>
          </w:tcPr>
          <w:p w14:paraId="0258BABC" w14:textId="5AD1E5C9" w:rsidR="009913B9" w:rsidRPr="00D01DDB" w:rsidRDefault="003459F5" w:rsidP="00324B33">
            <w:pPr>
              <w:cnfStyle w:val="000000000000" w:firstRow="0" w:lastRow="0" w:firstColumn="0" w:lastColumn="0" w:oddVBand="0" w:evenVBand="0" w:oddHBand="0" w:evenHBand="0" w:firstRowFirstColumn="0" w:firstRowLastColumn="0" w:lastRowFirstColumn="0" w:lastRowLastColumn="0"/>
              <w:rPr>
                <w:szCs w:val="22"/>
              </w:rPr>
            </w:pPr>
            <w:r w:rsidRPr="003459F5">
              <w:rPr>
                <w:szCs w:val="22"/>
              </w:rPr>
              <w:t>Deoxyribonucleic acid</w:t>
            </w:r>
          </w:p>
        </w:tc>
      </w:tr>
      <w:tr w:rsidR="005C5DD9" w:rsidRPr="00D01DDB" w14:paraId="14B0228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8BEB8F4" w14:textId="60A9E33A" w:rsidR="005C5DD9" w:rsidRPr="009913B9" w:rsidRDefault="005C5DD9" w:rsidP="00324B33">
            <w:pPr>
              <w:rPr>
                <w:szCs w:val="22"/>
              </w:rPr>
            </w:pPr>
            <w:r>
              <w:rPr>
                <w:szCs w:val="22"/>
              </w:rPr>
              <w:t>DP</w:t>
            </w:r>
          </w:p>
        </w:tc>
        <w:tc>
          <w:tcPr>
            <w:tcW w:w="3800" w:type="pct"/>
          </w:tcPr>
          <w:p w14:paraId="27CA3DC3" w14:textId="4F7A5A2E" w:rsidR="005C5DD9" w:rsidRPr="003459F5" w:rsidRDefault="005C5DD9"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Drug product</w:t>
            </w:r>
          </w:p>
        </w:tc>
      </w:tr>
      <w:tr w:rsidR="0005204D" w:rsidRPr="00D01DDB" w14:paraId="08EC4B6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12A6E8F" w14:textId="19CB8294" w:rsidR="0005204D" w:rsidRDefault="0005204D" w:rsidP="00324B33">
            <w:pPr>
              <w:rPr>
                <w:szCs w:val="22"/>
              </w:rPr>
            </w:pPr>
            <w:r>
              <w:rPr>
                <w:szCs w:val="22"/>
              </w:rPr>
              <w:t>DS</w:t>
            </w:r>
          </w:p>
        </w:tc>
        <w:tc>
          <w:tcPr>
            <w:tcW w:w="3800" w:type="pct"/>
          </w:tcPr>
          <w:p w14:paraId="43E024B0" w14:textId="54677574" w:rsidR="0005204D" w:rsidRDefault="0005204D"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D</w:t>
            </w:r>
            <w:r w:rsidRPr="0005204D">
              <w:rPr>
                <w:szCs w:val="22"/>
              </w:rPr>
              <w:t>rug substance</w:t>
            </w:r>
          </w:p>
        </w:tc>
      </w:tr>
      <w:tr w:rsidR="003426FC" w:rsidRPr="00D01DDB" w14:paraId="66A95DA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B633E28" w14:textId="74DFF575" w:rsidR="003426FC" w:rsidRDefault="003426FC" w:rsidP="00324B33">
            <w:pPr>
              <w:rPr>
                <w:szCs w:val="22"/>
              </w:rPr>
            </w:pPr>
            <w:r>
              <w:rPr>
                <w:szCs w:val="22"/>
              </w:rPr>
              <w:t>EBV</w:t>
            </w:r>
          </w:p>
        </w:tc>
        <w:tc>
          <w:tcPr>
            <w:tcW w:w="3800" w:type="pct"/>
          </w:tcPr>
          <w:p w14:paraId="69546B68" w14:textId="095CCECF" w:rsidR="003426FC" w:rsidRPr="003426FC" w:rsidRDefault="003426FC" w:rsidP="003426FC">
            <w:pPr>
              <w:ind w:left="0"/>
              <w:cnfStyle w:val="000000000000" w:firstRow="0" w:lastRow="0" w:firstColumn="0" w:lastColumn="0" w:oddVBand="0" w:evenVBand="0" w:oddHBand="0" w:evenHBand="0" w:firstRowFirstColumn="0" w:firstRowLastColumn="0" w:lastRowFirstColumn="0" w:lastRowLastColumn="0"/>
              <w:rPr>
                <w:szCs w:val="22"/>
              </w:rPr>
            </w:pPr>
            <w:r>
              <w:rPr>
                <w:szCs w:val="22"/>
              </w:rPr>
              <w:t xml:space="preserve">  </w:t>
            </w:r>
            <w:r w:rsidRPr="003426FC">
              <w:rPr>
                <w:szCs w:val="22"/>
              </w:rPr>
              <w:t>Epstein Barr Virus</w:t>
            </w:r>
          </w:p>
        </w:tc>
      </w:tr>
      <w:tr w:rsidR="0065752B" w:rsidRPr="00D01DDB" w14:paraId="610D24D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3C7BCD6" w14:textId="59D0EEDB" w:rsidR="0065752B" w:rsidRDefault="0065752B" w:rsidP="00324B33">
            <w:pPr>
              <w:rPr>
                <w:szCs w:val="22"/>
              </w:rPr>
            </w:pPr>
            <w:r>
              <w:rPr>
                <w:szCs w:val="22"/>
              </w:rPr>
              <w:t>EU</w:t>
            </w:r>
          </w:p>
        </w:tc>
        <w:tc>
          <w:tcPr>
            <w:tcW w:w="3800" w:type="pct"/>
          </w:tcPr>
          <w:p w14:paraId="70A4102B" w14:textId="7B6C944D" w:rsidR="0065752B" w:rsidRDefault="0065752B" w:rsidP="003426FC">
            <w:pPr>
              <w:cnfStyle w:val="000000000000" w:firstRow="0" w:lastRow="0" w:firstColumn="0" w:lastColumn="0" w:oddVBand="0" w:evenVBand="0" w:oddHBand="0" w:evenHBand="0" w:firstRowFirstColumn="0" w:firstRowLastColumn="0" w:lastRowFirstColumn="0" w:lastRowLastColumn="0"/>
              <w:rPr>
                <w:szCs w:val="22"/>
              </w:rPr>
            </w:pPr>
            <w:r>
              <w:rPr>
                <w:szCs w:val="22"/>
              </w:rPr>
              <w:t>European Union</w:t>
            </w:r>
          </w:p>
        </w:tc>
      </w:tr>
      <w:tr w:rsidR="00E66744" w:rsidRPr="00D01DDB" w14:paraId="06C5FA0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8311A07" w14:textId="6FCE9793" w:rsidR="00E66744" w:rsidRDefault="00E66744" w:rsidP="00324B33">
            <w:pPr>
              <w:rPr>
                <w:szCs w:val="22"/>
              </w:rPr>
            </w:pPr>
            <w:r>
              <w:rPr>
                <w:szCs w:val="22"/>
              </w:rPr>
              <w:t>Fc</w:t>
            </w:r>
          </w:p>
        </w:tc>
        <w:tc>
          <w:tcPr>
            <w:tcW w:w="3800" w:type="pct"/>
          </w:tcPr>
          <w:p w14:paraId="0EC06A98" w14:textId="1C053A54" w:rsidR="00E66744" w:rsidRDefault="00E66744" w:rsidP="00324B33">
            <w:pPr>
              <w:cnfStyle w:val="000000000000" w:firstRow="0" w:lastRow="0" w:firstColumn="0" w:lastColumn="0" w:oddVBand="0" w:evenVBand="0" w:oddHBand="0" w:evenHBand="0" w:firstRowFirstColumn="0" w:firstRowLastColumn="0" w:lastRowFirstColumn="0" w:lastRowLastColumn="0"/>
              <w:rPr>
                <w:szCs w:val="22"/>
              </w:rPr>
            </w:pPr>
            <w:r w:rsidRPr="00E66744">
              <w:rPr>
                <w:szCs w:val="22"/>
              </w:rPr>
              <w:t>Fragment crystallizable</w:t>
            </w:r>
          </w:p>
        </w:tc>
      </w:tr>
      <w:tr w:rsidR="000B4D82" w:rsidRPr="00D01DDB" w14:paraId="1193CC6B"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17C3962" w14:textId="6E15CD68" w:rsidR="000B4D82" w:rsidRDefault="000B4D82" w:rsidP="00324B33">
            <w:pPr>
              <w:rPr>
                <w:szCs w:val="22"/>
              </w:rPr>
            </w:pPr>
            <w:r w:rsidRPr="000B4D82">
              <w:rPr>
                <w:szCs w:val="22"/>
              </w:rPr>
              <w:t>GLP</w:t>
            </w:r>
          </w:p>
        </w:tc>
        <w:tc>
          <w:tcPr>
            <w:tcW w:w="3800" w:type="pct"/>
          </w:tcPr>
          <w:p w14:paraId="35B23B25" w14:textId="3296A462" w:rsidR="000B4D82" w:rsidRDefault="00CC1C72" w:rsidP="00324B33">
            <w:pPr>
              <w:cnfStyle w:val="000000000000" w:firstRow="0" w:lastRow="0" w:firstColumn="0" w:lastColumn="0" w:oddVBand="0" w:evenVBand="0" w:oddHBand="0" w:evenHBand="0" w:firstRowFirstColumn="0" w:firstRowLastColumn="0" w:lastRowFirstColumn="0" w:lastRowLastColumn="0"/>
              <w:rPr>
                <w:szCs w:val="22"/>
              </w:rPr>
            </w:pPr>
            <w:r w:rsidRPr="00CC1C72">
              <w:rPr>
                <w:szCs w:val="22"/>
              </w:rPr>
              <w:t xml:space="preserve">Good </w:t>
            </w:r>
            <w:r>
              <w:rPr>
                <w:szCs w:val="22"/>
              </w:rPr>
              <w:t>l</w:t>
            </w:r>
            <w:r w:rsidRPr="00CC1C72">
              <w:rPr>
                <w:szCs w:val="22"/>
              </w:rPr>
              <w:t xml:space="preserve">aboratory </w:t>
            </w:r>
            <w:r>
              <w:rPr>
                <w:szCs w:val="22"/>
              </w:rPr>
              <w:t>p</w:t>
            </w:r>
            <w:r w:rsidRPr="00CC1C72">
              <w:rPr>
                <w:szCs w:val="22"/>
              </w:rPr>
              <w:t>ractice</w:t>
            </w:r>
          </w:p>
        </w:tc>
      </w:tr>
      <w:tr w:rsidR="00AB10A6" w:rsidRPr="00D01DDB" w14:paraId="127BF524"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88B4537" w14:textId="7F4718B0" w:rsidR="00AB10A6" w:rsidRPr="00D01DDB" w:rsidRDefault="00AB10A6" w:rsidP="00324B33">
            <w:pPr>
              <w:rPr>
                <w:szCs w:val="22"/>
              </w:rPr>
            </w:pPr>
            <w:r>
              <w:rPr>
                <w:szCs w:val="22"/>
              </w:rPr>
              <w:t>HLA</w:t>
            </w:r>
          </w:p>
        </w:tc>
        <w:tc>
          <w:tcPr>
            <w:tcW w:w="3800" w:type="pct"/>
          </w:tcPr>
          <w:p w14:paraId="61EB1470" w14:textId="2F235AC9" w:rsidR="00AB10A6" w:rsidRPr="00D01DDB" w:rsidRDefault="00AB10A6"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H</w:t>
            </w:r>
            <w:r w:rsidRPr="00AB10A6">
              <w:rPr>
                <w:szCs w:val="22"/>
              </w:rPr>
              <w:t>uman leukocyte antigen</w:t>
            </w:r>
          </w:p>
        </w:tc>
      </w:tr>
      <w:tr w:rsidR="0074174E" w:rsidRPr="00D01DDB" w14:paraId="322ECB87"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AB4FD14" w14:textId="5982A6A3" w:rsidR="0074174E" w:rsidRDefault="0074174E" w:rsidP="00324B33">
            <w:pPr>
              <w:rPr>
                <w:szCs w:val="22"/>
              </w:rPr>
            </w:pPr>
            <w:r>
              <w:rPr>
                <w:szCs w:val="22"/>
              </w:rPr>
              <w:t>HRs</w:t>
            </w:r>
          </w:p>
        </w:tc>
        <w:tc>
          <w:tcPr>
            <w:tcW w:w="3800" w:type="pct"/>
          </w:tcPr>
          <w:p w14:paraId="7C5DB67D" w14:textId="1E73BF67" w:rsidR="0074174E" w:rsidRDefault="0074174E"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H</w:t>
            </w:r>
            <w:r w:rsidRPr="0074174E">
              <w:rPr>
                <w:szCs w:val="22"/>
              </w:rPr>
              <w:t>azard ratios</w:t>
            </w:r>
          </w:p>
        </w:tc>
      </w:tr>
      <w:tr w:rsidR="00732A22" w:rsidRPr="00D01DDB" w14:paraId="1A29D7FB"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7E8883A" w14:textId="0CA5CA72" w:rsidR="00732A22" w:rsidRDefault="00732A22" w:rsidP="00324B33">
            <w:pPr>
              <w:rPr>
                <w:szCs w:val="22"/>
              </w:rPr>
            </w:pPr>
            <w:r>
              <w:rPr>
                <w:szCs w:val="22"/>
              </w:rPr>
              <w:t>Ig</w:t>
            </w:r>
          </w:p>
        </w:tc>
        <w:tc>
          <w:tcPr>
            <w:tcW w:w="3800" w:type="pct"/>
          </w:tcPr>
          <w:p w14:paraId="1EBED624" w14:textId="524F74CD" w:rsidR="00732A22" w:rsidRDefault="00732A22" w:rsidP="00324B33">
            <w:pPr>
              <w:cnfStyle w:val="000000000000" w:firstRow="0" w:lastRow="0" w:firstColumn="0" w:lastColumn="0" w:oddVBand="0" w:evenVBand="0" w:oddHBand="0" w:evenHBand="0" w:firstRowFirstColumn="0" w:firstRowLastColumn="0" w:lastRowFirstColumn="0" w:lastRowLastColumn="0"/>
              <w:rPr>
                <w:szCs w:val="22"/>
              </w:rPr>
            </w:pPr>
            <w:r w:rsidRPr="00732A22">
              <w:rPr>
                <w:szCs w:val="22"/>
              </w:rPr>
              <w:t>immunoglobulin</w:t>
            </w:r>
          </w:p>
        </w:tc>
      </w:tr>
      <w:tr w:rsidR="00EA08B9" w:rsidRPr="00D01DDB" w14:paraId="6D59321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D8B3107" w14:textId="42BC8FC0" w:rsidR="00EA08B9" w:rsidRDefault="00EA08B9" w:rsidP="00324B33">
            <w:pPr>
              <w:rPr>
                <w:szCs w:val="22"/>
              </w:rPr>
            </w:pPr>
            <w:r>
              <w:rPr>
                <w:szCs w:val="22"/>
              </w:rPr>
              <w:t>ITT</w:t>
            </w:r>
          </w:p>
        </w:tc>
        <w:tc>
          <w:tcPr>
            <w:tcW w:w="3800" w:type="pct"/>
          </w:tcPr>
          <w:p w14:paraId="2FE48899" w14:textId="105516B4" w:rsidR="00EA08B9" w:rsidRPr="00732A22" w:rsidRDefault="00EA08B9"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Intent to treat</w:t>
            </w:r>
          </w:p>
        </w:tc>
      </w:tr>
      <w:tr w:rsidR="00E64407" w:rsidRPr="00D01DDB" w14:paraId="378D6E8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0F36538" w14:textId="5EDE23A1" w:rsidR="00E64407" w:rsidRDefault="00E64407" w:rsidP="00324B33">
            <w:pPr>
              <w:rPr>
                <w:szCs w:val="22"/>
              </w:rPr>
            </w:pPr>
            <w:r>
              <w:rPr>
                <w:szCs w:val="22"/>
              </w:rPr>
              <w:t>IV</w:t>
            </w:r>
          </w:p>
        </w:tc>
        <w:tc>
          <w:tcPr>
            <w:tcW w:w="3800" w:type="pct"/>
          </w:tcPr>
          <w:p w14:paraId="247F0271" w14:textId="2A9EAFD3" w:rsidR="00E64407" w:rsidRDefault="00E64407"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Intravenous</w:t>
            </w:r>
          </w:p>
        </w:tc>
      </w:tr>
      <w:tr w:rsidR="00924DD7" w:rsidRPr="00D01DDB" w14:paraId="705D065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0E0B58F" w14:textId="41864B9B" w:rsidR="00924DD7" w:rsidRDefault="00924DD7" w:rsidP="00324B33">
            <w:pPr>
              <w:rPr>
                <w:szCs w:val="22"/>
              </w:rPr>
            </w:pPr>
            <w:proofErr w:type="spellStart"/>
            <w:r>
              <w:rPr>
                <w:szCs w:val="22"/>
              </w:rPr>
              <w:lastRenderedPageBreak/>
              <w:t>mA</w:t>
            </w:r>
            <w:r w:rsidR="000A2C0D">
              <w:rPr>
                <w:szCs w:val="22"/>
              </w:rPr>
              <w:t>b</w:t>
            </w:r>
            <w:proofErr w:type="spellEnd"/>
          </w:p>
        </w:tc>
        <w:tc>
          <w:tcPr>
            <w:tcW w:w="3800" w:type="pct"/>
          </w:tcPr>
          <w:p w14:paraId="07A2171A" w14:textId="208E46DD" w:rsidR="00924DD7" w:rsidRDefault="000A2C0D" w:rsidP="00324B33">
            <w:pPr>
              <w:cnfStyle w:val="000000000000" w:firstRow="0" w:lastRow="0" w:firstColumn="0" w:lastColumn="0" w:oddVBand="0" w:evenVBand="0" w:oddHBand="0" w:evenHBand="0" w:firstRowFirstColumn="0" w:firstRowLastColumn="0" w:lastRowFirstColumn="0" w:lastRowLastColumn="0"/>
              <w:rPr>
                <w:szCs w:val="22"/>
              </w:rPr>
            </w:pPr>
            <w:r w:rsidRPr="000A2C0D">
              <w:rPr>
                <w:szCs w:val="22"/>
              </w:rPr>
              <w:t>Monoclonal antibody</w:t>
            </w:r>
          </w:p>
        </w:tc>
      </w:tr>
      <w:tr w:rsidR="00AB10A6" w:rsidRPr="00D01DDB" w14:paraId="5F641C6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5B7FCAA" w14:textId="59ABD060" w:rsidR="00AB10A6" w:rsidRPr="00D01DDB" w:rsidRDefault="007D4683" w:rsidP="00324B33">
            <w:pPr>
              <w:rPr>
                <w:szCs w:val="22"/>
              </w:rPr>
            </w:pPr>
            <w:r>
              <w:rPr>
                <w:szCs w:val="22"/>
              </w:rPr>
              <w:t>MHC</w:t>
            </w:r>
          </w:p>
        </w:tc>
        <w:tc>
          <w:tcPr>
            <w:tcW w:w="3800" w:type="pct"/>
          </w:tcPr>
          <w:p w14:paraId="5E64E2F8" w14:textId="46BA9774" w:rsidR="00AB10A6" w:rsidRPr="007D4683" w:rsidRDefault="007D4683" w:rsidP="00324B33">
            <w:pPr>
              <w:cnfStyle w:val="000000000000" w:firstRow="0" w:lastRow="0" w:firstColumn="0" w:lastColumn="0" w:oddVBand="0" w:evenVBand="0" w:oddHBand="0" w:evenHBand="0" w:firstRowFirstColumn="0" w:firstRowLastColumn="0" w:lastRowFirstColumn="0" w:lastRowLastColumn="0"/>
              <w:rPr>
                <w:szCs w:val="22"/>
              </w:rPr>
            </w:pPr>
            <w:r w:rsidRPr="007D4683">
              <w:rPr>
                <w:szCs w:val="22"/>
              </w:rPr>
              <w:t>Major histocompatibility complex</w:t>
            </w:r>
          </w:p>
        </w:tc>
      </w:tr>
      <w:tr w:rsidR="009F457F" w:rsidRPr="00D01DDB" w14:paraId="553062A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4633CE8" w14:textId="14F72C22" w:rsidR="009F457F" w:rsidRDefault="009F457F" w:rsidP="00324B33">
            <w:pPr>
              <w:rPr>
                <w:szCs w:val="22"/>
              </w:rPr>
            </w:pPr>
            <w:r w:rsidRPr="009F457F">
              <w:rPr>
                <w:szCs w:val="22"/>
              </w:rPr>
              <w:t xml:space="preserve">MMRM </w:t>
            </w:r>
          </w:p>
        </w:tc>
        <w:tc>
          <w:tcPr>
            <w:tcW w:w="3800" w:type="pct"/>
          </w:tcPr>
          <w:p w14:paraId="7E24647F" w14:textId="5E5233A5" w:rsidR="009F457F" w:rsidRPr="007D4683" w:rsidRDefault="009F457F"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M</w:t>
            </w:r>
            <w:r w:rsidRPr="009F457F">
              <w:rPr>
                <w:szCs w:val="22"/>
              </w:rPr>
              <w:t>ixed model repeated measures</w:t>
            </w:r>
          </w:p>
        </w:tc>
      </w:tr>
      <w:tr w:rsidR="009F072C" w:rsidRPr="00D01DDB" w14:paraId="5A94E0E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BD1A406" w14:textId="36204817" w:rsidR="009F072C" w:rsidRDefault="009F072C" w:rsidP="00324B33">
            <w:pPr>
              <w:rPr>
                <w:szCs w:val="22"/>
              </w:rPr>
            </w:pPr>
            <w:r>
              <w:rPr>
                <w:szCs w:val="22"/>
              </w:rPr>
              <w:t>OGTT</w:t>
            </w:r>
          </w:p>
        </w:tc>
        <w:tc>
          <w:tcPr>
            <w:tcW w:w="3800" w:type="pct"/>
          </w:tcPr>
          <w:p w14:paraId="348E8519" w14:textId="7B9C2479" w:rsidR="009F072C" w:rsidRPr="007D4683" w:rsidRDefault="009F072C"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Oral glucose tolerance test</w:t>
            </w:r>
          </w:p>
        </w:tc>
      </w:tr>
      <w:tr w:rsidR="00245738" w:rsidRPr="00D01DDB" w14:paraId="420746C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50BC164" w14:textId="2C338E6C" w:rsidR="00245738" w:rsidRDefault="00245738" w:rsidP="00324B33">
            <w:pPr>
              <w:rPr>
                <w:szCs w:val="22"/>
              </w:rPr>
            </w:pPr>
            <w:r w:rsidRPr="00245738">
              <w:rPr>
                <w:szCs w:val="22"/>
              </w:rPr>
              <w:t>PBMC</w:t>
            </w:r>
          </w:p>
        </w:tc>
        <w:tc>
          <w:tcPr>
            <w:tcW w:w="3800" w:type="pct"/>
          </w:tcPr>
          <w:p w14:paraId="7F06C6D8" w14:textId="74FFEB0A" w:rsidR="00245738" w:rsidRPr="007D4683" w:rsidRDefault="000B4FEE"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Peripheral blood mononuclear cell</w:t>
            </w:r>
          </w:p>
        </w:tc>
      </w:tr>
      <w:tr w:rsidR="00395140" w:rsidRPr="00D01DDB" w14:paraId="2756B6F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2AA960E" w14:textId="72403C37" w:rsidR="00395140" w:rsidRPr="00D01DDB" w:rsidRDefault="00395140" w:rsidP="00324B33">
            <w:pPr>
              <w:rPr>
                <w:szCs w:val="22"/>
              </w:rPr>
            </w:pPr>
            <w:r w:rsidRPr="00D01DDB">
              <w:rPr>
                <w:szCs w:val="22"/>
              </w:rPr>
              <w:t>PI</w:t>
            </w:r>
          </w:p>
        </w:tc>
        <w:tc>
          <w:tcPr>
            <w:tcW w:w="3800" w:type="pct"/>
          </w:tcPr>
          <w:p w14:paraId="354B5DB5" w14:textId="3DAE38C1" w:rsidR="00395140" w:rsidRPr="007D4683" w:rsidRDefault="00395140" w:rsidP="00324B33">
            <w:pPr>
              <w:cnfStyle w:val="000000000000" w:firstRow="0" w:lastRow="0" w:firstColumn="0" w:lastColumn="0" w:oddVBand="0" w:evenVBand="0" w:oddHBand="0" w:evenHBand="0" w:firstRowFirstColumn="0" w:firstRowLastColumn="0" w:lastRowFirstColumn="0" w:lastRowLastColumn="0"/>
              <w:rPr>
                <w:szCs w:val="22"/>
              </w:rPr>
            </w:pPr>
            <w:r w:rsidRPr="007D4683">
              <w:rPr>
                <w:szCs w:val="22"/>
              </w:rPr>
              <w:t>Product Information</w:t>
            </w:r>
          </w:p>
        </w:tc>
      </w:tr>
      <w:tr w:rsidR="00E21FC7" w:rsidRPr="00D01DDB" w14:paraId="2B56436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45EA550" w14:textId="6FCD5A72" w:rsidR="00E21FC7" w:rsidRPr="00D01DDB" w:rsidRDefault="00E21FC7" w:rsidP="00324B33">
            <w:pPr>
              <w:rPr>
                <w:szCs w:val="22"/>
              </w:rPr>
            </w:pPr>
            <w:r>
              <w:rPr>
                <w:szCs w:val="22"/>
              </w:rPr>
              <w:t>PK</w:t>
            </w:r>
          </w:p>
        </w:tc>
        <w:tc>
          <w:tcPr>
            <w:tcW w:w="3800" w:type="pct"/>
          </w:tcPr>
          <w:p w14:paraId="5DF8C2CE" w14:textId="390A334D" w:rsidR="00E21FC7" w:rsidRPr="007D4683" w:rsidRDefault="00E21FC7"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P</w:t>
            </w:r>
            <w:r w:rsidRPr="00E21FC7">
              <w:rPr>
                <w:szCs w:val="22"/>
              </w:rPr>
              <w:t>harmacokinetics</w:t>
            </w:r>
          </w:p>
        </w:tc>
      </w:tr>
      <w:tr w:rsidR="00A704DC" w:rsidRPr="00D01DDB" w14:paraId="3D3C703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6FC5D65" w14:textId="2915A0B8" w:rsidR="00A704DC" w:rsidRPr="00D01DDB" w:rsidRDefault="00A704DC" w:rsidP="00A704DC">
            <w:pPr>
              <w:rPr>
                <w:szCs w:val="22"/>
              </w:rPr>
            </w:pPr>
            <w:r w:rsidRPr="00D01DDB">
              <w:rPr>
                <w:szCs w:val="22"/>
              </w:rPr>
              <w:t>PSUR</w:t>
            </w:r>
          </w:p>
        </w:tc>
        <w:tc>
          <w:tcPr>
            <w:tcW w:w="3800" w:type="pct"/>
          </w:tcPr>
          <w:p w14:paraId="4A97D112" w14:textId="3DC38D82" w:rsidR="00A704DC" w:rsidRPr="00D01DDB" w:rsidRDefault="00A704DC" w:rsidP="00A704DC">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Periodic safety update report</w:t>
            </w:r>
          </w:p>
        </w:tc>
      </w:tr>
      <w:tr w:rsidR="00B01D5E" w:rsidRPr="00D01DDB" w14:paraId="7A3A2B3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D6B3F44" w14:textId="332D8F1A" w:rsidR="00B01D5E" w:rsidRPr="00D01DDB" w:rsidRDefault="00B01D5E" w:rsidP="00A704DC">
            <w:pPr>
              <w:rPr>
                <w:szCs w:val="22"/>
              </w:rPr>
            </w:pPr>
            <w:r>
              <w:rPr>
                <w:szCs w:val="22"/>
              </w:rPr>
              <w:t>QTc</w:t>
            </w:r>
          </w:p>
        </w:tc>
        <w:tc>
          <w:tcPr>
            <w:tcW w:w="3800" w:type="pct"/>
          </w:tcPr>
          <w:p w14:paraId="46670BBD" w14:textId="2D4A1849" w:rsidR="00B01D5E" w:rsidRPr="00D01DDB" w:rsidRDefault="00A75B5A" w:rsidP="00A75B5A">
            <w:pPr>
              <w:ind w:left="0"/>
              <w:cnfStyle w:val="000000000000" w:firstRow="0" w:lastRow="0" w:firstColumn="0" w:lastColumn="0" w:oddVBand="0" w:evenVBand="0" w:oddHBand="0" w:evenHBand="0" w:firstRowFirstColumn="0" w:firstRowLastColumn="0" w:lastRowFirstColumn="0" w:lastRowLastColumn="0"/>
              <w:rPr>
                <w:szCs w:val="22"/>
              </w:rPr>
            </w:pPr>
            <w:r>
              <w:rPr>
                <w:szCs w:val="22"/>
              </w:rPr>
              <w:t xml:space="preserve">  </w:t>
            </w:r>
            <w:r w:rsidRPr="00A75B5A">
              <w:rPr>
                <w:szCs w:val="22"/>
              </w:rPr>
              <w:t>Corrected QT interval</w:t>
            </w:r>
          </w:p>
        </w:tc>
      </w:tr>
      <w:tr w:rsidR="00A704DC" w:rsidRPr="00D01DDB" w14:paraId="07F3695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9390BCA" w14:textId="201D691B" w:rsidR="00A704DC" w:rsidRPr="00D01DDB" w:rsidRDefault="00A704DC" w:rsidP="00A704DC">
            <w:pPr>
              <w:rPr>
                <w:szCs w:val="22"/>
              </w:rPr>
            </w:pPr>
            <w:r w:rsidRPr="00D01DDB">
              <w:rPr>
                <w:szCs w:val="22"/>
              </w:rPr>
              <w:t>RMP</w:t>
            </w:r>
          </w:p>
        </w:tc>
        <w:tc>
          <w:tcPr>
            <w:tcW w:w="3800" w:type="pct"/>
          </w:tcPr>
          <w:p w14:paraId="2C862F75" w14:textId="2355E842" w:rsidR="00A704DC" w:rsidRPr="00D01DDB" w:rsidRDefault="00A704DC" w:rsidP="00A704DC">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Risk management plan</w:t>
            </w:r>
          </w:p>
        </w:tc>
      </w:tr>
      <w:tr w:rsidR="00C32DDE" w:rsidRPr="00D01DDB" w14:paraId="51E2B04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CE6BE19" w14:textId="25BD2120" w:rsidR="00C32DDE" w:rsidRPr="00D01DDB" w:rsidRDefault="00D67060" w:rsidP="00A704DC">
            <w:pPr>
              <w:rPr>
                <w:szCs w:val="22"/>
              </w:rPr>
            </w:pPr>
            <w:r>
              <w:rPr>
                <w:szCs w:val="22"/>
              </w:rPr>
              <w:t>RSE</w:t>
            </w:r>
          </w:p>
        </w:tc>
        <w:tc>
          <w:tcPr>
            <w:tcW w:w="3800" w:type="pct"/>
          </w:tcPr>
          <w:p w14:paraId="7B178F55" w14:textId="0BDAE5A8" w:rsidR="00C32DDE" w:rsidRPr="00D01DDB" w:rsidRDefault="00D67060"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Relative standard error</w:t>
            </w:r>
          </w:p>
        </w:tc>
      </w:tr>
      <w:tr w:rsidR="00E84881" w:rsidRPr="00D01DDB" w14:paraId="37D6365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09F59D9" w14:textId="32A428FC" w:rsidR="00E84881" w:rsidRDefault="00E84881" w:rsidP="00A704DC">
            <w:pPr>
              <w:rPr>
                <w:szCs w:val="22"/>
              </w:rPr>
            </w:pPr>
            <w:r>
              <w:rPr>
                <w:szCs w:val="22"/>
              </w:rPr>
              <w:t>SAEs</w:t>
            </w:r>
          </w:p>
        </w:tc>
        <w:tc>
          <w:tcPr>
            <w:tcW w:w="3800" w:type="pct"/>
          </w:tcPr>
          <w:p w14:paraId="7C46812B" w14:textId="1FDF0DEB" w:rsidR="00E84881" w:rsidRDefault="00D349C8"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Serious adverse events</w:t>
            </w:r>
          </w:p>
        </w:tc>
      </w:tr>
      <w:tr w:rsidR="004F24F0" w:rsidRPr="00D01DDB" w14:paraId="1B5F9E6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B7559D4" w14:textId="0087D447" w:rsidR="004F24F0" w:rsidRDefault="004F24F0" w:rsidP="00A704DC">
            <w:pPr>
              <w:rPr>
                <w:szCs w:val="22"/>
              </w:rPr>
            </w:pPr>
            <w:r>
              <w:rPr>
                <w:szCs w:val="22"/>
              </w:rPr>
              <w:t>SAP</w:t>
            </w:r>
          </w:p>
        </w:tc>
        <w:tc>
          <w:tcPr>
            <w:tcW w:w="3800" w:type="pct"/>
          </w:tcPr>
          <w:p w14:paraId="3003C314" w14:textId="190E7A3C" w:rsidR="004F24F0" w:rsidRDefault="004F24F0" w:rsidP="00A704DC">
            <w:pPr>
              <w:cnfStyle w:val="000000000000" w:firstRow="0" w:lastRow="0" w:firstColumn="0" w:lastColumn="0" w:oddVBand="0" w:evenVBand="0" w:oddHBand="0" w:evenHBand="0" w:firstRowFirstColumn="0" w:firstRowLastColumn="0" w:lastRowFirstColumn="0" w:lastRowLastColumn="0"/>
              <w:rPr>
                <w:szCs w:val="22"/>
              </w:rPr>
            </w:pPr>
            <w:r w:rsidRPr="004F24F0">
              <w:rPr>
                <w:szCs w:val="22"/>
              </w:rPr>
              <w:t>Statistical analysis plan</w:t>
            </w:r>
          </w:p>
        </w:tc>
      </w:tr>
      <w:tr w:rsidR="00C32DDE" w:rsidRPr="00D01DDB" w14:paraId="0ECF3B6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48E4F70" w14:textId="2C9882DD" w:rsidR="00C32DDE" w:rsidRPr="00D01DDB" w:rsidRDefault="00D84F63" w:rsidP="00A704DC">
            <w:pPr>
              <w:rPr>
                <w:szCs w:val="22"/>
              </w:rPr>
            </w:pPr>
            <w:r>
              <w:rPr>
                <w:szCs w:val="22"/>
              </w:rPr>
              <w:t xml:space="preserve">SC </w:t>
            </w:r>
          </w:p>
        </w:tc>
        <w:tc>
          <w:tcPr>
            <w:tcW w:w="3800" w:type="pct"/>
          </w:tcPr>
          <w:p w14:paraId="028A4D97" w14:textId="3DC570D5" w:rsidR="00C32DDE" w:rsidRPr="00D01DDB" w:rsidRDefault="00D84F63"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Subcutaneous</w:t>
            </w:r>
          </w:p>
        </w:tc>
      </w:tr>
      <w:tr w:rsidR="00F35A23" w:rsidRPr="00D01DDB" w14:paraId="2DD9251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DAA4E59" w14:textId="5E01A55F" w:rsidR="00F35A23" w:rsidRDefault="00F35A23" w:rsidP="00A704DC">
            <w:pPr>
              <w:rPr>
                <w:szCs w:val="22"/>
              </w:rPr>
            </w:pPr>
            <w:r>
              <w:rPr>
                <w:szCs w:val="22"/>
              </w:rPr>
              <w:t>SD</w:t>
            </w:r>
          </w:p>
        </w:tc>
        <w:tc>
          <w:tcPr>
            <w:tcW w:w="3800" w:type="pct"/>
          </w:tcPr>
          <w:p w14:paraId="498C7E61" w14:textId="0FCF0C8F" w:rsidR="00F35A23" w:rsidRDefault="00F35A23"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Standard deviation</w:t>
            </w:r>
          </w:p>
        </w:tc>
      </w:tr>
      <w:tr w:rsidR="00C32DDE" w:rsidRPr="00D01DDB" w14:paraId="5E8942E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6F4B0F2" w14:textId="06523A83" w:rsidR="00C32DDE" w:rsidRPr="00D01DDB" w:rsidRDefault="00C32DDE" w:rsidP="00A704DC">
            <w:pPr>
              <w:rPr>
                <w:szCs w:val="22"/>
              </w:rPr>
            </w:pPr>
            <w:r w:rsidRPr="00C32DDE">
              <w:rPr>
                <w:szCs w:val="22"/>
              </w:rPr>
              <w:t>T1D</w:t>
            </w:r>
            <w:r w:rsidR="008B5F79">
              <w:rPr>
                <w:szCs w:val="22"/>
              </w:rPr>
              <w:t>(</w:t>
            </w:r>
            <w:r w:rsidRPr="00C32DDE">
              <w:rPr>
                <w:szCs w:val="22"/>
              </w:rPr>
              <w:t>M</w:t>
            </w:r>
            <w:r w:rsidR="008B5F79">
              <w:rPr>
                <w:szCs w:val="22"/>
              </w:rPr>
              <w:t>)</w:t>
            </w:r>
          </w:p>
        </w:tc>
        <w:tc>
          <w:tcPr>
            <w:tcW w:w="3800" w:type="pct"/>
          </w:tcPr>
          <w:p w14:paraId="6434F433" w14:textId="54A24EB4" w:rsidR="00C32DDE" w:rsidRPr="00D01DDB" w:rsidRDefault="00C32DDE" w:rsidP="00A704DC">
            <w:pPr>
              <w:cnfStyle w:val="000000000000" w:firstRow="0" w:lastRow="0" w:firstColumn="0" w:lastColumn="0" w:oddVBand="0" w:evenVBand="0" w:oddHBand="0" w:evenHBand="0" w:firstRowFirstColumn="0" w:firstRowLastColumn="0" w:lastRowFirstColumn="0" w:lastRowLastColumn="0"/>
              <w:rPr>
                <w:szCs w:val="22"/>
              </w:rPr>
            </w:pPr>
            <w:r w:rsidRPr="00C32DDE">
              <w:rPr>
                <w:szCs w:val="22"/>
              </w:rPr>
              <w:t>Type 1 diabetes mellitus</w:t>
            </w:r>
          </w:p>
        </w:tc>
      </w:tr>
      <w:tr w:rsidR="00F57E9B" w:rsidRPr="00D01DDB" w14:paraId="5783DF7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B96236B" w14:textId="13493DA4" w:rsidR="00F57E9B" w:rsidRPr="00C32DDE" w:rsidRDefault="00F57E9B" w:rsidP="00A704DC">
            <w:pPr>
              <w:rPr>
                <w:szCs w:val="22"/>
              </w:rPr>
            </w:pPr>
            <w:r w:rsidRPr="00F57E9B">
              <w:rPr>
                <w:szCs w:val="22"/>
              </w:rPr>
              <w:t>TEAEs</w:t>
            </w:r>
          </w:p>
        </w:tc>
        <w:tc>
          <w:tcPr>
            <w:tcW w:w="3800" w:type="pct"/>
          </w:tcPr>
          <w:p w14:paraId="69D97C56" w14:textId="741F3967" w:rsidR="00F57E9B" w:rsidRPr="00C32DDE" w:rsidRDefault="00F57E9B" w:rsidP="00A704DC">
            <w:pPr>
              <w:cnfStyle w:val="000000000000" w:firstRow="0" w:lastRow="0" w:firstColumn="0" w:lastColumn="0" w:oddVBand="0" w:evenVBand="0" w:oddHBand="0" w:evenHBand="0" w:firstRowFirstColumn="0" w:firstRowLastColumn="0" w:lastRowFirstColumn="0" w:lastRowLastColumn="0"/>
              <w:rPr>
                <w:szCs w:val="22"/>
              </w:rPr>
            </w:pPr>
            <w:r w:rsidRPr="00F57E9B">
              <w:rPr>
                <w:szCs w:val="22"/>
              </w:rPr>
              <w:t>T</w:t>
            </w:r>
            <w:r>
              <w:rPr>
                <w:szCs w:val="22"/>
              </w:rPr>
              <w:t>reatment emergent adverse e</w:t>
            </w:r>
            <w:r w:rsidR="00970D01">
              <w:rPr>
                <w:szCs w:val="22"/>
              </w:rPr>
              <w:t>vents</w:t>
            </w:r>
          </w:p>
        </w:tc>
      </w:tr>
      <w:tr w:rsidR="00970D01" w:rsidRPr="00D01DDB" w14:paraId="3EAD099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3338740" w14:textId="0F54A478" w:rsidR="00970D01" w:rsidRPr="00F57E9B" w:rsidRDefault="00970D01" w:rsidP="00A704DC">
            <w:pPr>
              <w:rPr>
                <w:szCs w:val="22"/>
              </w:rPr>
            </w:pPr>
            <w:r w:rsidRPr="00970D01">
              <w:rPr>
                <w:szCs w:val="22"/>
                <w:lang w:val="en-GB"/>
              </w:rPr>
              <w:t>TESAE</w:t>
            </w:r>
          </w:p>
        </w:tc>
        <w:tc>
          <w:tcPr>
            <w:tcW w:w="3800" w:type="pct"/>
          </w:tcPr>
          <w:p w14:paraId="5AD87FD6" w14:textId="4E102CF6" w:rsidR="00970D01" w:rsidRPr="00F57E9B" w:rsidRDefault="00970D01" w:rsidP="00A704DC">
            <w:pPr>
              <w:cnfStyle w:val="000000000000" w:firstRow="0" w:lastRow="0" w:firstColumn="0" w:lastColumn="0" w:oddVBand="0" w:evenVBand="0" w:oddHBand="0" w:evenHBand="0" w:firstRowFirstColumn="0" w:firstRowLastColumn="0" w:lastRowFirstColumn="0" w:lastRowLastColumn="0"/>
              <w:rPr>
                <w:szCs w:val="22"/>
              </w:rPr>
            </w:pPr>
            <w:r w:rsidRPr="00970D01">
              <w:rPr>
                <w:szCs w:val="22"/>
              </w:rPr>
              <w:t xml:space="preserve">Treatment emergent </w:t>
            </w:r>
            <w:r>
              <w:rPr>
                <w:szCs w:val="22"/>
              </w:rPr>
              <w:t xml:space="preserve">serious </w:t>
            </w:r>
            <w:r w:rsidRPr="00970D01">
              <w:rPr>
                <w:szCs w:val="22"/>
              </w:rPr>
              <w:t>adverse e</w:t>
            </w:r>
            <w:r>
              <w:rPr>
                <w:szCs w:val="22"/>
              </w:rPr>
              <w:t>vents</w:t>
            </w:r>
          </w:p>
        </w:tc>
      </w:tr>
      <w:tr w:rsidR="00A704DC" w:rsidRPr="00D01DDB" w14:paraId="254AC9B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74FC2A0" w14:textId="41297C79" w:rsidR="00A704DC" w:rsidRPr="00D01DDB" w:rsidRDefault="00A704DC" w:rsidP="00A704DC">
            <w:pPr>
              <w:rPr>
                <w:szCs w:val="22"/>
              </w:rPr>
            </w:pPr>
            <w:r w:rsidRPr="00D01DDB">
              <w:rPr>
                <w:szCs w:val="22"/>
              </w:rPr>
              <w:t>TGA</w:t>
            </w:r>
          </w:p>
        </w:tc>
        <w:tc>
          <w:tcPr>
            <w:tcW w:w="3800" w:type="pct"/>
          </w:tcPr>
          <w:p w14:paraId="29EA6BA3" w14:textId="6F99059F" w:rsidR="00A704DC" w:rsidRPr="00D01DDB" w:rsidRDefault="00A704DC" w:rsidP="00A704DC">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Therapeutic Goods Administration</w:t>
            </w:r>
          </w:p>
        </w:tc>
      </w:tr>
      <w:tr w:rsidR="00067E0A" w:rsidRPr="00D01DDB" w14:paraId="7FC61D0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B7B0820" w14:textId="3B589C0D" w:rsidR="00067E0A" w:rsidRPr="00D01DDB" w:rsidRDefault="00067E0A" w:rsidP="00A704DC">
            <w:pPr>
              <w:rPr>
                <w:szCs w:val="22"/>
              </w:rPr>
            </w:pPr>
            <w:r w:rsidRPr="00067E0A">
              <w:rPr>
                <w:szCs w:val="22"/>
              </w:rPr>
              <w:t>TMDD</w:t>
            </w:r>
          </w:p>
        </w:tc>
        <w:tc>
          <w:tcPr>
            <w:tcW w:w="3800" w:type="pct"/>
          </w:tcPr>
          <w:p w14:paraId="29F38F1D" w14:textId="4D6100F0" w:rsidR="00067E0A" w:rsidRPr="00D01DDB" w:rsidRDefault="00067E0A"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T</w:t>
            </w:r>
            <w:r w:rsidRPr="00067E0A">
              <w:rPr>
                <w:szCs w:val="22"/>
              </w:rPr>
              <w:t xml:space="preserve">arget mediated drug disposition </w:t>
            </w:r>
          </w:p>
        </w:tc>
      </w:tr>
      <w:tr w:rsidR="00A704DC" w:rsidRPr="00D01DDB" w14:paraId="4BDC33D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1819C5F" w14:textId="1F76C8FA" w:rsidR="00A704DC" w:rsidRPr="00D01DDB" w:rsidRDefault="00D56FCE" w:rsidP="00A704DC">
            <w:pPr>
              <w:rPr>
                <w:szCs w:val="22"/>
              </w:rPr>
            </w:pPr>
            <w:proofErr w:type="spellStart"/>
            <w:r>
              <w:rPr>
                <w:szCs w:val="22"/>
              </w:rPr>
              <w:t>Vd</w:t>
            </w:r>
            <w:proofErr w:type="spellEnd"/>
          </w:p>
        </w:tc>
        <w:tc>
          <w:tcPr>
            <w:tcW w:w="3800" w:type="pct"/>
          </w:tcPr>
          <w:p w14:paraId="4458E485" w14:textId="10DB8D2B" w:rsidR="00A704DC" w:rsidRPr="00D01DDB" w:rsidRDefault="00D56FCE"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V</w:t>
            </w:r>
            <w:r w:rsidRPr="00D56FCE">
              <w:rPr>
                <w:szCs w:val="22"/>
              </w:rPr>
              <w:t>olume of distribution</w:t>
            </w:r>
          </w:p>
        </w:tc>
      </w:tr>
    </w:tbl>
    <w:p w14:paraId="7378F926" w14:textId="77777777" w:rsidR="00324B33" w:rsidRDefault="00324B33" w:rsidP="00324B33"/>
    <w:p w14:paraId="02FB1F38" w14:textId="44C5B9EF" w:rsidR="00324B33" w:rsidRPr="00FD119B" w:rsidRDefault="00144D67" w:rsidP="00324B33">
      <w:pPr>
        <w:spacing w:after="200" w:line="0" w:lineRule="auto"/>
        <w:rPr>
          <w:b/>
          <w:i/>
          <w:sz w:val="24"/>
          <w:szCs w:val="24"/>
        </w:rPr>
      </w:pPr>
      <w:r w:rsidRPr="00144D67">
        <w:rPr>
          <w:b/>
          <w:i/>
          <w:sz w:val="24"/>
          <w:szCs w:val="24"/>
        </w:rPr>
        <w:t xml:space="preserve"> </w:t>
      </w:r>
      <w:r w:rsidR="00324B33" w:rsidRPr="00FD119B">
        <w:rPr>
          <w:b/>
          <w:i/>
          <w:sz w:val="24"/>
          <w:szCs w:val="24"/>
        </w:rPr>
        <w:br w:type="page"/>
      </w:r>
    </w:p>
    <w:p w14:paraId="44C2A39C" w14:textId="77777777" w:rsidR="00324B33" w:rsidRDefault="00324B33" w:rsidP="00324B33">
      <w:pPr>
        <w:pStyle w:val="Heading2"/>
      </w:pPr>
      <w:bookmarkStart w:id="5" w:name="_Toc103679288"/>
      <w:bookmarkStart w:id="6" w:name="_Toc235627200"/>
      <w:r>
        <w:lastRenderedPageBreak/>
        <w:t>Product submission</w:t>
      </w:r>
      <w:bookmarkEnd w:id="5"/>
      <w:bookmarkEnd w:id="6"/>
    </w:p>
    <w:p w14:paraId="21D559DF" w14:textId="77777777" w:rsidR="00324B33" w:rsidRDefault="00324B33" w:rsidP="00324B33">
      <w:pPr>
        <w:pStyle w:val="Heading3"/>
        <w:rPr>
          <w:lang w:eastAsia="en-AU"/>
        </w:rPr>
      </w:pPr>
      <w:bookmarkStart w:id="7" w:name="_Toc247691502"/>
      <w:bookmarkStart w:id="8" w:name="_Toc314842483"/>
      <w:bookmarkStart w:id="9" w:name="_Toc103679289"/>
      <w:bookmarkStart w:id="10" w:name="_Toc235627201"/>
      <w:r>
        <w:rPr>
          <w:lang w:eastAsia="en-AU"/>
        </w:rPr>
        <w:t>Submission details</w:t>
      </w:r>
      <w:bookmarkEnd w:id="7"/>
      <w:bookmarkEnd w:id="8"/>
      <w:bookmarkEnd w:id="9"/>
      <w:bookmarkEnd w:id="10"/>
    </w:p>
    <w:tbl>
      <w:tblPr>
        <w:tblW w:w="5000" w:type="pct"/>
        <w:tblLook w:val="01E0" w:firstRow="1" w:lastRow="1" w:firstColumn="1" w:lastColumn="1" w:noHBand="0" w:noVBand="0"/>
      </w:tblPr>
      <w:tblGrid>
        <w:gridCol w:w="2977"/>
        <w:gridCol w:w="6093"/>
      </w:tblGrid>
      <w:tr w:rsidR="00324B33" w:rsidRPr="00BD5DBD" w14:paraId="77D11C95" w14:textId="77777777" w:rsidTr="00917EB3">
        <w:tc>
          <w:tcPr>
            <w:tcW w:w="1641" w:type="pct"/>
          </w:tcPr>
          <w:p w14:paraId="10E57D62" w14:textId="054870A2" w:rsidR="00324B33" w:rsidRPr="00BD5DBD" w:rsidRDefault="00324B33" w:rsidP="007452E8">
            <w:pPr>
              <w:rPr>
                <w:i/>
                <w:szCs w:val="22"/>
              </w:rPr>
            </w:pPr>
            <w:r w:rsidRPr="00BD5DBD">
              <w:rPr>
                <w:i/>
                <w:szCs w:val="22"/>
              </w:rPr>
              <w:t>Type of submission:</w:t>
            </w:r>
          </w:p>
        </w:tc>
        <w:tc>
          <w:tcPr>
            <w:tcW w:w="3359" w:type="pct"/>
          </w:tcPr>
          <w:p w14:paraId="4F07C303" w14:textId="7335B37E" w:rsidR="00324B33" w:rsidRPr="00BD5DBD" w:rsidRDefault="00324B33" w:rsidP="007452E8">
            <w:pPr>
              <w:rPr>
                <w:szCs w:val="22"/>
              </w:rPr>
            </w:pPr>
            <w:r w:rsidRPr="00BD5DBD">
              <w:rPr>
                <w:szCs w:val="22"/>
              </w:rPr>
              <w:t xml:space="preserve">New </w:t>
            </w:r>
            <w:r w:rsidR="00D67C3B">
              <w:rPr>
                <w:szCs w:val="22"/>
              </w:rPr>
              <w:t>bio</w:t>
            </w:r>
            <w:r w:rsidR="00A432DE">
              <w:rPr>
                <w:szCs w:val="22"/>
              </w:rPr>
              <w:t>logical entity</w:t>
            </w:r>
          </w:p>
        </w:tc>
      </w:tr>
      <w:tr w:rsidR="00324B33" w:rsidRPr="00BD5DBD" w14:paraId="13482B61" w14:textId="77777777" w:rsidTr="00917EB3">
        <w:tc>
          <w:tcPr>
            <w:tcW w:w="1641" w:type="pct"/>
          </w:tcPr>
          <w:p w14:paraId="2C427FCF" w14:textId="44F6FB72" w:rsidR="00324B33" w:rsidRPr="00BD5DBD" w:rsidRDefault="00324B33" w:rsidP="007452E8">
            <w:pPr>
              <w:rPr>
                <w:i/>
                <w:szCs w:val="22"/>
              </w:rPr>
            </w:pPr>
            <w:r w:rsidRPr="00BD5DBD">
              <w:rPr>
                <w:i/>
                <w:szCs w:val="22"/>
              </w:rPr>
              <w:t>Product name:</w:t>
            </w:r>
          </w:p>
        </w:tc>
        <w:tc>
          <w:tcPr>
            <w:tcW w:w="3359" w:type="pct"/>
          </w:tcPr>
          <w:p w14:paraId="0E2DEF76" w14:textId="014DB812" w:rsidR="00324B33" w:rsidRPr="00BD5DBD" w:rsidRDefault="00A432DE" w:rsidP="007452E8">
            <w:pPr>
              <w:rPr>
                <w:szCs w:val="22"/>
              </w:rPr>
            </w:pPr>
            <w:r>
              <w:rPr>
                <w:szCs w:val="22"/>
              </w:rPr>
              <w:t>Tzield</w:t>
            </w:r>
          </w:p>
        </w:tc>
      </w:tr>
      <w:tr w:rsidR="00324B33" w:rsidRPr="00BD5DBD" w14:paraId="01255B5B" w14:textId="77777777" w:rsidTr="00917EB3">
        <w:tc>
          <w:tcPr>
            <w:tcW w:w="1641" w:type="pct"/>
          </w:tcPr>
          <w:p w14:paraId="52B4F3D7" w14:textId="4B45884A" w:rsidR="00324B33" w:rsidRPr="00BD5DBD" w:rsidRDefault="00324B33" w:rsidP="007452E8">
            <w:pPr>
              <w:rPr>
                <w:i/>
                <w:szCs w:val="22"/>
              </w:rPr>
            </w:pPr>
            <w:r w:rsidRPr="00BD5DBD">
              <w:rPr>
                <w:i/>
                <w:szCs w:val="22"/>
              </w:rPr>
              <w:t>Active ingredient:</w:t>
            </w:r>
          </w:p>
        </w:tc>
        <w:tc>
          <w:tcPr>
            <w:tcW w:w="3359" w:type="pct"/>
          </w:tcPr>
          <w:p w14:paraId="02FB6383" w14:textId="6949CD7D" w:rsidR="00324B33" w:rsidRPr="00BD5DBD" w:rsidRDefault="002F2139" w:rsidP="007452E8">
            <w:pPr>
              <w:rPr>
                <w:szCs w:val="22"/>
              </w:rPr>
            </w:pPr>
            <w:r w:rsidRPr="002F2139">
              <w:rPr>
                <w:szCs w:val="22"/>
              </w:rPr>
              <w:t>Teplizumab</w:t>
            </w:r>
          </w:p>
        </w:tc>
      </w:tr>
      <w:tr w:rsidR="00324B33" w:rsidRPr="00BD5DBD" w14:paraId="219A281B" w14:textId="77777777" w:rsidTr="00917EB3">
        <w:tc>
          <w:tcPr>
            <w:tcW w:w="1641" w:type="pct"/>
          </w:tcPr>
          <w:p w14:paraId="112E5F78" w14:textId="77777777" w:rsidR="00324B33" w:rsidRPr="00BD5DBD" w:rsidRDefault="00324B33" w:rsidP="007452E8">
            <w:pPr>
              <w:rPr>
                <w:i/>
                <w:szCs w:val="22"/>
              </w:rPr>
            </w:pPr>
            <w:r w:rsidRPr="00BD5DBD">
              <w:rPr>
                <w:i/>
                <w:szCs w:val="22"/>
              </w:rPr>
              <w:t>Decision:</w:t>
            </w:r>
          </w:p>
        </w:tc>
        <w:tc>
          <w:tcPr>
            <w:tcW w:w="3359" w:type="pct"/>
          </w:tcPr>
          <w:p w14:paraId="3B114BEA" w14:textId="4F5D16DE" w:rsidR="00324B33" w:rsidRPr="00BD5DBD" w:rsidRDefault="00324B33" w:rsidP="007452E8">
            <w:pPr>
              <w:rPr>
                <w:szCs w:val="22"/>
              </w:rPr>
            </w:pPr>
            <w:r w:rsidRPr="00BD5DBD">
              <w:rPr>
                <w:szCs w:val="22"/>
              </w:rPr>
              <w:t xml:space="preserve">Approved </w:t>
            </w:r>
          </w:p>
        </w:tc>
      </w:tr>
      <w:tr w:rsidR="00AE1947" w:rsidRPr="00BD5DBD" w14:paraId="32B72632" w14:textId="77777777" w:rsidTr="00917EB3">
        <w:tc>
          <w:tcPr>
            <w:tcW w:w="1641" w:type="pct"/>
          </w:tcPr>
          <w:p w14:paraId="332A5CD5" w14:textId="65682B5F" w:rsidR="00AE1947" w:rsidRPr="00BD5DBD" w:rsidRDefault="00AE1947" w:rsidP="007F1E37">
            <w:r w:rsidRPr="00BD5DBD">
              <w:rPr>
                <w:i/>
                <w:szCs w:val="22"/>
              </w:rPr>
              <w:t>Date of decision:</w:t>
            </w:r>
          </w:p>
        </w:tc>
        <w:tc>
          <w:tcPr>
            <w:tcW w:w="3359" w:type="pct"/>
          </w:tcPr>
          <w:p w14:paraId="7B381CD6" w14:textId="6879F7E7" w:rsidR="00AE1947" w:rsidRPr="00BD5DBD" w:rsidRDefault="000C69FA" w:rsidP="00333C81">
            <w:pPr>
              <w:rPr>
                <w:szCs w:val="22"/>
              </w:rPr>
            </w:pPr>
            <w:r>
              <w:rPr>
                <w:szCs w:val="22"/>
              </w:rPr>
              <w:t>21 May 2026</w:t>
            </w:r>
          </w:p>
        </w:tc>
      </w:tr>
      <w:tr w:rsidR="00324B33" w:rsidRPr="00BD5DBD" w14:paraId="60A25F5A" w14:textId="77777777" w:rsidTr="00917EB3">
        <w:tc>
          <w:tcPr>
            <w:tcW w:w="1641" w:type="pct"/>
          </w:tcPr>
          <w:p w14:paraId="5C5E4CBA" w14:textId="77777777" w:rsidR="00324B33" w:rsidRPr="00BD5DBD" w:rsidRDefault="00324B33" w:rsidP="007452E8">
            <w:pPr>
              <w:rPr>
                <w:i/>
                <w:szCs w:val="22"/>
              </w:rPr>
            </w:pPr>
            <w:r w:rsidRPr="00BD5DBD">
              <w:rPr>
                <w:i/>
                <w:szCs w:val="22"/>
              </w:rPr>
              <w:t>Date of entry onto ARTG:</w:t>
            </w:r>
          </w:p>
        </w:tc>
        <w:tc>
          <w:tcPr>
            <w:tcW w:w="3359" w:type="pct"/>
          </w:tcPr>
          <w:p w14:paraId="28B270E9" w14:textId="6C6230F2" w:rsidR="00324B33" w:rsidRPr="00BD5DBD" w:rsidRDefault="003535B2" w:rsidP="007452E8">
            <w:pPr>
              <w:rPr>
                <w:szCs w:val="22"/>
              </w:rPr>
            </w:pPr>
            <w:r>
              <w:rPr>
                <w:szCs w:val="22"/>
              </w:rPr>
              <w:t>21 May 2026</w:t>
            </w:r>
          </w:p>
        </w:tc>
      </w:tr>
      <w:tr w:rsidR="00324B33" w:rsidRPr="00BD5DBD" w14:paraId="547E08D7" w14:textId="77777777" w:rsidTr="00917EB3">
        <w:tc>
          <w:tcPr>
            <w:tcW w:w="1641" w:type="pct"/>
          </w:tcPr>
          <w:p w14:paraId="5030EF30" w14:textId="362F45EC" w:rsidR="00324B33" w:rsidRPr="00BD5DBD" w:rsidRDefault="00324B33" w:rsidP="007452E8">
            <w:pPr>
              <w:rPr>
                <w:i/>
                <w:szCs w:val="22"/>
              </w:rPr>
            </w:pPr>
            <w:r w:rsidRPr="00BD5DBD">
              <w:rPr>
                <w:i/>
                <w:szCs w:val="22"/>
              </w:rPr>
              <w:t>ARTG numbe</w:t>
            </w:r>
            <w:r w:rsidR="00AF7C4E">
              <w:rPr>
                <w:i/>
                <w:szCs w:val="22"/>
              </w:rPr>
              <w:t>r</w:t>
            </w:r>
            <w:r w:rsidRPr="00BD5DBD">
              <w:rPr>
                <w:i/>
                <w:szCs w:val="22"/>
              </w:rPr>
              <w:t>:</w:t>
            </w:r>
          </w:p>
        </w:tc>
        <w:tc>
          <w:tcPr>
            <w:tcW w:w="3359" w:type="pct"/>
          </w:tcPr>
          <w:p w14:paraId="0054E912" w14:textId="2B470671" w:rsidR="00324B33" w:rsidRPr="00AF7C4E" w:rsidRDefault="00AF7C4E" w:rsidP="00AF7C4E">
            <w:pPr>
              <w:rPr>
                <w:szCs w:val="22"/>
              </w:rPr>
            </w:pPr>
            <w:r w:rsidRPr="00AF7C4E">
              <w:rPr>
                <w:szCs w:val="22"/>
              </w:rPr>
              <w:t>476208</w:t>
            </w:r>
          </w:p>
        </w:tc>
      </w:tr>
      <w:tr w:rsidR="00324B33" w:rsidRPr="00BD5DBD" w14:paraId="7618393F" w14:textId="77777777" w:rsidTr="00917EB3">
        <w:tc>
          <w:tcPr>
            <w:tcW w:w="1641" w:type="pct"/>
          </w:tcPr>
          <w:p w14:paraId="6C24CEB6" w14:textId="6A7FE944" w:rsidR="00E47E0C" w:rsidRPr="00BD5DBD" w:rsidRDefault="00324B33" w:rsidP="007452E8">
            <w:pPr>
              <w:rPr>
                <w:rStyle w:val="Hyperlink"/>
                <w:i/>
                <w:szCs w:val="22"/>
              </w:rPr>
            </w:pPr>
            <w:r w:rsidRPr="00BD5DBD">
              <w:rPr>
                <w:rFonts w:ascii="Wingdings 3" w:hAnsi="Wingdings 3"/>
                <w:szCs w:val="22"/>
                <w:lang w:eastAsia="en-AU"/>
              </w:rPr>
              <w:t></w:t>
            </w:r>
            <w:hyperlink r:id="rId19" w:history="1">
              <w:r w:rsidRPr="00BD5DBD">
                <w:rPr>
                  <w:rStyle w:val="Hyperlink"/>
                  <w:i/>
                  <w:szCs w:val="22"/>
                </w:rPr>
                <w:t>Black Triangle Scheme</w:t>
              </w:r>
            </w:hyperlink>
          </w:p>
          <w:p w14:paraId="02260DE2" w14:textId="1FC334AE" w:rsidR="00324B33" w:rsidRPr="00BD5DBD" w:rsidRDefault="00E47E0C" w:rsidP="007452E8">
            <w:pPr>
              <w:rPr>
                <w:i/>
                <w:szCs w:val="22"/>
              </w:rPr>
            </w:pPr>
            <w:r w:rsidRPr="00BD5DBD">
              <w:rPr>
                <w:i/>
                <w:szCs w:val="22"/>
              </w:rPr>
              <w:t xml:space="preserve">for </w:t>
            </w:r>
            <w:r w:rsidR="007B04DE" w:rsidRPr="00BD5DBD">
              <w:rPr>
                <w:i/>
                <w:szCs w:val="22"/>
              </w:rPr>
              <w:t>the current</w:t>
            </w:r>
            <w:r w:rsidRPr="00BD5DBD">
              <w:rPr>
                <w:i/>
                <w:szCs w:val="22"/>
              </w:rPr>
              <w:t xml:space="preserve"> submission</w:t>
            </w:r>
            <w:r w:rsidR="00324B33" w:rsidRPr="00BD5DBD">
              <w:rPr>
                <w:i/>
                <w:szCs w:val="22"/>
              </w:rPr>
              <w:t>:</w:t>
            </w:r>
          </w:p>
        </w:tc>
        <w:tc>
          <w:tcPr>
            <w:tcW w:w="3359" w:type="pct"/>
          </w:tcPr>
          <w:p w14:paraId="6FF3C6A2" w14:textId="48164FD5" w:rsidR="00324B33" w:rsidRPr="00BD5DBD" w:rsidRDefault="00324B33" w:rsidP="007452E8">
            <w:pPr>
              <w:rPr>
                <w:szCs w:val="22"/>
              </w:rPr>
            </w:pPr>
            <w:r w:rsidRPr="00E83D18">
              <w:rPr>
                <w:szCs w:val="22"/>
              </w:rPr>
              <w:t>Yes</w:t>
            </w:r>
          </w:p>
        </w:tc>
      </w:tr>
      <w:tr w:rsidR="00324B33" w:rsidRPr="00BD5DBD" w14:paraId="179E09FE" w14:textId="77777777" w:rsidTr="00917EB3">
        <w:tc>
          <w:tcPr>
            <w:tcW w:w="1641" w:type="pct"/>
          </w:tcPr>
          <w:p w14:paraId="1A592498" w14:textId="77777777" w:rsidR="00324B33" w:rsidRPr="00BD5DBD" w:rsidRDefault="00324B33" w:rsidP="007452E8">
            <w:pPr>
              <w:rPr>
                <w:i/>
                <w:szCs w:val="22"/>
              </w:rPr>
            </w:pPr>
            <w:r w:rsidRPr="00BD5DBD">
              <w:rPr>
                <w:i/>
                <w:szCs w:val="22"/>
              </w:rPr>
              <w:t>Sponsor’s name and address:</w:t>
            </w:r>
          </w:p>
        </w:tc>
        <w:tc>
          <w:tcPr>
            <w:tcW w:w="3359" w:type="pct"/>
          </w:tcPr>
          <w:p w14:paraId="5F7CB2D7" w14:textId="77777777" w:rsidR="00324B33" w:rsidRDefault="00492340" w:rsidP="007452E8">
            <w:pPr>
              <w:rPr>
                <w:szCs w:val="22"/>
              </w:rPr>
            </w:pPr>
            <w:r w:rsidRPr="00492340">
              <w:rPr>
                <w:szCs w:val="22"/>
              </w:rPr>
              <w:t>Sanofi-Aventis Australia Pty Ltd</w:t>
            </w:r>
          </w:p>
          <w:p w14:paraId="2D3795EE" w14:textId="77777777" w:rsidR="00DC1C47" w:rsidRPr="00DC1C47" w:rsidRDefault="00DC1C47" w:rsidP="00DC1C47">
            <w:pPr>
              <w:rPr>
                <w:szCs w:val="22"/>
              </w:rPr>
            </w:pPr>
            <w:r w:rsidRPr="00DC1C47">
              <w:rPr>
                <w:szCs w:val="22"/>
              </w:rPr>
              <w:t xml:space="preserve">Level 23, Tower 3 </w:t>
            </w:r>
          </w:p>
          <w:p w14:paraId="487F91BE" w14:textId="77777777" w:rsidR="00DC1C47" w:rsidRPr="00DC1C47" w:rsidRDefault="00DC1C47" w:rsidP="00DC1C47">
            <w:pPr>
              <w:rPr>
                <w:szCs w:val="22"/>
              </w:rPr>
            </w:pPr>
            <w:r w:rsidRPr="00DC1C47">
              <w:rPr>
                <w:szCs w:val="22"/>
              </w:rPr>
              <w:t xml:space="preserve">300 Barangaroo Ave </w:t>
            </w:r>
          </w:p>
          <w:p w14:paraId="768F093E" w14:textId="77777777" w:rsidR="00DC1C47" w:rsidRDefault="00DC1C47" w:rsidP="00DC1C47">
            <w:pPr>
              <w:rPr>
                <w:szCs w:val="22"/>
              </w:rPr>
            </w:pPr>
            <w:r w:rsidRPr="00DC1C47">
              <w:rPr>
                <w:szCs w:val="22"/>
              </w:rPr>
              <w:t>Barangaroo NSW 2000</w:t>
            </w:r>
          </w:p>
          <w:p w14:paraId="68DD94B0" w14:textId="2A2AE9EC" w:rsidR="001D7E8F" w:rsidRPr="00BD5DBD" w:rsidRDefault="001D7E8F" w:rsidP="00DC1C47">
            <w:pPr>
              <w:rPr>
                <w:szCs w:val="22"/>
              </w:rPr>
            </w:pPr>
            <w:r>
              <w:rPr>
                <w:szCs w:val="22"/>
              </w:rPr>
              <w:t>Australia</w:t>
            </w:r>
          </w:p>
        </w:tc>
      </w:tr>
      <w:tr w:rsidR="00324B33" w:rsidRPr="00BD5DBD" w14:paraId="5322B989" w14:textId="77777777" w:rsidTr="00917EB3">
        <w:tc>
          <w:tcPr>
            <w:tcW w:w="1641" w:type="pct"/>
          </w:tcPr>
          <w:p w14:paraId="24F217E3" w14:textId="6AD46529" w:rsidR="00324B33" w:rsidRPr="00BD5DBD" w:rsidRDefault="00324B33" w:rsidP="007452E8">
            <w:pPr>
              <w:rPr>
                <w:i/>
                <w:szCs w:val="22"/>
              </w:rPr>
            </w:pPr>
            <w:r w:rsidRPr="00BD5DBD">
              <w:rPr>
                <w:i/>
                <w:szCs w:val="22"/>
              </w:rPr>
              <w:t>Dose form:</w:t>
            </w:r>
          </w:p>
        </w:tc>
        <w:tc>
          <w:tcPr>
            <w:tcW w:w="3359" w:type="pct"/>
          </w:tcPr>
          <w:p w14:paraId="768B254C" w14:textId="5F4F7B4D" w:rsidR="00324B33" w:rsidRPr="00BD5DBD" w:rsidRDefault="002F222F" w:rsidP="007452E8">
            <w:pPr>
              <w:rPr>
                <w:szCs w:val="22"/>
              </w:rPr>
            </w:pPr>
            <w:r w:rsidRPr="002F222F">
              <w:rPr>
                <w:szCs w:val="22"/>
              </w:rPr>
              <w:t xml:space="preserve">Concentrated injection </w:t>
            </w:r>
          </w:p>
        </w:tc>
      </w:tr>
      <w:tr w:rsidR="00324B33" w:rsidRPr="00BD5DBD" w14:paraId="115243E6" w14:textId="77777777" w:rsidTr="00917EB3">
        <w:tc>
          <w:tcPr>
            <w:tcW w:w="1641" w:type="pct"/>
          </w:tcPr>
          <w:p w14:paraId="7634B062" w14:textId="760F7480" w:rsidR="00324B33" w:rsidRPr="00BD5DBD" w:rsidRDefault="00324B33" w:rsidP="007452E8">
            <w:pPr>
              <w:rPr>
                <w:i/>
                <w:szCs w:val="22"/>
              </w:rPr>
            </w:pPr>
            <w:r w:rsidRPr="00BD5DBD">
              <w:rPr>
                <w:i/>
                <w:szCs w:val="22"/>
              </w:rPr>
              <w:t>Strength:</w:t>
            </w:r>
          </w:p>
        </w:tc>
        <w:tc>
          <w:tcPr>
            <w:tcW w:w="3359" w:type="pct"/>
          </w:tcPr>
          <w:p w14:paraId="5E5F83DB" w14:textId="635D0C82" w:rsidR="00324B33" w:rsidRPr="00BD5DBD" w:rsidRDefault="004F510F" w:rsidP="004F510F">
            <w:pPr>
              <w:rPr>
                <w:szCs w:val="22"/>
              </w:rPr>
            </w:pPr>
            <w:r w:rsidRPr="004F510F">
              <w:rPr>
                <w:szCs w:val="22"/>
              </w:rPr>
              <w:t>Each vial contains 2 mg of teplizumab in 2 mL of concentrated solution (2 mg/2 mL).</w:t>
            </w:r>
          </w:p>
        </w:tc>
      </w:tr>
      <w:tr w:rsidR="00324B33" w:rsidRPr="00BD5DBD" w14:paraId="34B07BA6" w14:textId="77777777" w:rsidTr="00917EB3">
        <w:tc>
          <w:tcPr>
            <w:tcW w:w="1641" w:type="pct"/>
          </w:tcPr>
          <w:p w14:paraId="1C039224" w14:textId="72C1A80E" w:rsidR="00324B33" w:rsidRPr="00BD5DBD" w:rsidRDefault="00324B33" w:rsidP="007452E8">
            <w:pPr>
              <w:rPr>
                <w:i/>
                <w:szCs w:val="22"/>
              </w:rPr>
            </w:pPr>
            <w:r w:rsidRPr="00BD5DBD">
              <w:rPr>
                <w:i/>
                <w:szCs w:val="22"/>
              </w:rPr>
              <w:t>Container:</w:t>
            </w:r>
          </w:p>
        </w:tc>
        <w:tc>
          <w:tcPr>
            <w:tcW w:w="3359" w:type="pct"/>
          </w:tcPr>
          <w:p w14:paraId="500A42C6" w14:textId="365CE244" w:rsidR="00324B33" w:rsidRPr="00BD5DBD" w:rsidRDefault="00A0215B" w:rsidP="007452E8">
            <w:pPr>
              <w:rPr>
                <w:szCs w:val="22"/>
              </w:rPr>
            </w:pPr>
            <w:r w:rsidRPr="00A0215B">
              <w:rPr>
                <w:szCs w:val="22"/>
              </w:rPr>
              <w:t>Glass Type I Clear</w:t>
            </w:r>
            <w:r>
              <w:rPr>
                <w:szCs w:val="22"/>
              </w:rPr>
              <w:t xml:space="preserve"> vial</w:t>
            </w:r>
          </w:p>
        </w:tc>
      </w:tr>
      <w:tr w:rsidR="00324B33" w:rsidRPr="00BD5DBD" w14:paraId="176B6773" w14:textId="77777777" w:rsidTr="00917EB3">
        <w:tc>
          <w:tcPr>
            <w:tcW w:w="1641" w:type="pct"/>
          </w:tcPr>
          <w:p w14:paraId="71846159" w14:textId="608D755F" w:rsidR="00324B33" w:rsidRPr="00BD5DBD" w:rsidRDefault="00324B33" w:rsidP="007452E8">
            <w:pPr>
              <w:rPr>
                <w:i/>
                <w:szCs w:val="22"/>
              </w:rPr>
            </w:pPr>
            <w:r w:rsidRPr="00BD5DBD">
              <w:rPr>
                <w:i/>
                <w:szCs w:val="22"/>
              </w:rPr>
              <w:t>Pack size:</w:t>
            </w:r>
          </w:p>
        </w:tc>
        <w:tc>
          <w:tcPr>
            <w:tcW w:w="3359" w:type="pct"/>
          </w:tcPr>
          <w:p w14:paraId="7E978F8F" w14:textId="342EE02E" w:rsidR="00324B33" w:rsidRPr="00BD5DBD" w:rsidRDefault="00262A40" w:rsidP="007452E8">
            <w:pPr>
              <w:rPr>
                <w:szCs w:val="22"/>
              </w:rPr>
            </w:pPr>
            <w:r>
              <w:rPr>
                <w:szCs w:val="22"/>
              </w:rPr>
              <w:t>Single pack</w:t>
            </w:r>
          </w:p>
        </w:tc>
      </w:tr>
      <w:tr w:rsidR="00324B33" w:rsidRPr="00BD5DBD" w14:paraId="19A2544A" w14:textId="77777777" w:rsidTr="00917EB3">
        <w:tc>
          <w:tcPr>
            <w:tcW w:w="1641" w:type="pct"/>
          </w:tcPr>
          <w:p w14:paraId="0E6C5C0E" w14:textId="7DB3FC66" w:rsidR="00324B33" w:rsidRPr="00BD5DBD" w:rsidRDefault="00324B33" w:rsidP="007452E8">
            <w:pPr>
              <w:rPr>
                <w:i/>
                <w:szCs w:val="22"/>
              </w:rPr>
            </w:pPr>
            <w:r w:rsidRPr="00BD5DBD">
              <w:rPr>
                <w:i/>
                <w:szCs w:val="22"/>
              </w:rPr>
              <w:t>Approved therapeutic use</w:t>
            </w:r>
            <w:r w:rsidR="00E47E0C" w:rsidRPr="00BD5DBD">
              <w:rPr>
                <w:i/>
                <w:szCs w:val="22"/>
              </w:rPr>
              <w:t xml:space="preserve"> </w:t>
            </w:r>
            <w:r w:rsidR="007B04DE" w:rsidRPr="00BD5DBD">
              <w:rPr>
                <w:i/>
                <w:szCs w:val="22"/>
              </w:rPr>
              <w:t>for the current</w:t>
            </w:r>
            <w:r w:rsidR="00E47E0C" w:rsidRPr="00BD5DBD">
              <w:rPr>
                <w:i/>
                <w:szCs w:val="22"/>
              </w:rPr>
              <w:t xml:space="preserve"> submission</w:t>
            </w:r>
            <w:r w:rsidRPr="00BD5DBD">
              <w:rPr>
                <w:i/>
                <w:szCs w:val="22"/>
              </w:rPr>
              <w:t>:</w:t>
            </w:r>
          </w:p>
        </w:tc>
        <w:tc>
          <w:tcPr>
            <w:tcW w:w="3359" w:type="pct"/>
          </w:tcPr>
          <w:p w14:paraId="6E143E2E" w14:textId="20AA1C2E" w:rsidR="00324B33" w:rsidRPr="00DC669B" w:rsidRDefault="00DC669B" w:rsidP="00DC669B">
            <w:pPr>
              <w:rPr>
                <w:i/>
                <w:iCs/>
                <w:szCs w:val="22"/>
              </w:rPr>
            </w:pPr>
            <w:r w:rsidRPr="00DC669B">
              <w:rPr>
                <w:i/>
                <w:iCs/>
                <w:szCs w:val="22"/>
              </w:rPr>
              <w:t>Tzield is indicated to delay the onset of Stage 3 type 1 diabetes mellitus (T1D) in adult and paediatric patients aged 8 years and older with Stage 2 type 1 diabetes mellitus (see Section 5.1 Pharmacodynamic Properties – Clinical trials).</w:t>
            </w:r>
          </w:p>
        </w:tc>
      </w:tr>
      <w:tr w:rsidR="00324B33" w:rsidRPr="00BD5DBD" w14:paraId="5AFDEED3" w14:textId="77777777" w:rsidTr="00917EB3">
        <w:tc>
          <w:tcPr>
            <w:tcW w:w="1641" w:type="pct"/>
          </w:tcPr>
          <w:p w14:paraId="03884BD1" w14:textId="2E85D92B" w:rsidR="00324B33" w:rsidRPr="00BD5DBD" w:rsidRDefault="00324B33" w:rsidP="007452E8">
            <w:pPr>
              <w:rPr>
                <w:i/>
                <w:szCs w:val="22"/>
              </w:rPr>
            </w:pPr>
            <w:r w:rsidRPr="00BD5DBD">
              <w:rPr>
                <w:i/>
                <w:szCs w:val="22"/>
              </w:rPr>
              <w:t>Route of administration:</w:t>
            </w:r>
          </w:p>
        </w:tc>
        <w:tc>
          <w:tcPr>
            <w:tcW w:w="3359" w:type="pct"/>
          </w:tcPr>
          <w:p w14:paraId="1ED1357E" w14:textId="601A1C29" w:rsidR="00324B33" w:rsidRPr="00BD5DBD" w:rsidRDefault="006A372F" w:rsidP="007452E8">
            <w:pPr>
              <w:rPr>
                <w:szCs w:val="22"/>
              </w:rPr>
            </w:pPr>
            <w:r w:rsidRPr="006A372F">
              <w:rPr>
                <w:szCs w:val="22"/>
              </w:rPr>
              <w:t>Intravenous Infusion</w:t>
            </w:r>
          </w:p>
        </w:tc>
      </w:tr>
      <w:tr w:rsidR="00324B33" w:rsidRPr="00BD5DBD" w14:paraId="70D7E9FA" w14:textId="77777777" w:rsidTr="00917EB3">
        <w:tc>
          <w:tcPr>
            <w:tcW w:w="1641" w:type="pct"/>
          </w:tcPr>
          <w:p w14:paraId="5ABFFC80" w14:textId="77777777" w:rsidR="00324B33" w:rsidRPr="00BD5DBD" w:rsidRDefault="00324B33" w:rsidP="007452E8">
            <w:pPr>
              <w:rPr>
                <w:i/>
                <w:szCs w:val="22"/>
              </w:rPr>
            </w:pPr>
            <w:r w:rsidRPr="00BD5DBD">
              <w:rPr>
                <w:i/>
                <w:szCs w:val="22"/>
              </w:rPr>
              <w:t>Dosage:</w:t>
            </w:r>
          </w:p>
        </w:tc>
        <w:tc>
          <w:tcPr>
            <w:tcW w:w="3359" w:type="pct"/>
          </w:tcPr>
          <w:p w14:paraId="2A1425EA" w14:textId="77777777" w:rsidR="006A4651" w:rsidRPr="006A4651" w:rsidRDefault="006A4651" w:rsidP="006A4651">
            <w:pPr>
              <w:rPr>
                <w:szCs w:val="22"/>
              </w:rPr>
            </w:pPr>
            <w:r w:rsidRPr="006A4651">
              <w:rPr>
                <w:szCs w:val="22"/>
              </w:rPr>
              <w:t xml:space="preserve">Tzield should be administered by intravenous infusion (over a minimum of 30 minutes), using a Body Surface Area (BSA) - based dosing, once daily for 14 consecutive days as follows: </w:t>
            </w:r>
          </w:p>
          <w:p w14:paraId="61FF4B36" w14:textId="165354A1" w:rsidR="006A4651" w:rsidRPr="006A4651" w:rsidRDefault="006A4651" w:rsidP="006A4651">
            <w:pPr>
              <w:pStyle w:val="ListBullet"/>
            </w:pPr>
            <w:r w:rsidRPr="006A4651">
              <w:t xml:space="preserve">Day 1: 65 micrograms/m2 </w:t>
            </w:r>
          </w:p>
          <w:p w14:paraId="19F54238" w14:textId="29D393B2" w:rsidR="006A4651" w:rsidRPr="006A4651" w:rsidRDefault="006A4651" w:rsidP="006A4651">
            <w:pPr>
              <w:pStyle w:val="ListBullet"/>
            </w:pPr>
            <w:r w:rsidRPr="006A4651">
              <w:t xml:space="preserve">Day 2: 125 micrograms/m2 </w:t>
            </w:r>
          </w:p>
          <w:p w14:paraId="70FA0B86" w14:textId="09147871" w:rsidR="006A4651" w:rsidRPr="006A4651" w:rsidRDefault="006A4651" w:rsidP="006A4651">
            <w:pPr>
              <w:pStyle w:val="ListBullet"/>
            </w:pPr>
            <w:r w:rsidRPr="006A4651">
              <w:t xml:space="preserve">Day 3: 250 micrograms/m2 </w:t>
            </w:r>
          </w:p>
          <w:p w14:paraId="439901D3" w14:textId="2210CDE8" w:rsidR="006A4651" w:rsidRPr="006A4651" w:rsidRDefault="006A4651" w:rsidP="006A4651">
            <w:pPr>
              <w:pStyle w:val="ListBullet"/>
            </w:pPr>
            <w:r w:rsidRPr="006A4651">
              <w:t xml:space="preserve">Day 4: 500 micrograms/m2 </w:t>
            </w:r>
          </w:p>
          <w:p w14:paraId="5FE7D617" w14:textId="20BE9299" w:rsidR="006A4651" w:rsidRPr="006A4651" w:rsidRDefault="006A4651" w:rsidP="006A4651">
            <w:pPr>
              <w:pStyle w:val="ListBullet"/>
            </w:pPr>
            <w:r w:rsidRPr="006A4651">
              <w:t xml:space="preserve">Days 5 through 14: 1030 micrograms/m2 </w:t>
            </w:r>
          </w:p>
          <w:p w14:paraId="4BD4ECF7" w14:textId="5A5CE5BB" w:rsidR="00666911" w:rsidRDefault="00666911" w:rsidP="007452E8">
            <w:pPr>
              <w:rPr>
                <w:szCs w:val="22"/>
              </w:rPr>
            </w:pPr>
          </w:p>
          <w:p w14:paraId="3D0B2D5C" w14:textId="6E29920D" w:rsidR="00324B33" w:rsidRPr="00BD5DBD" w:rsidRDefault="00324B33" w:rsidP="007452E8">
            <w:pPr>
              <w:rPr>
                <w:szCs w:val="22"/>
              </w:rPr>
            </w:pPr>
            <w:r w:rsidRPr="00BD5DBD">
              <w:rPr>
                <w:szCs w:val="22"/>
              </w:rPr>
              <w:lastRenderedPageBreak/>
              <w:t xml:space="preserve">For further information regarding dosage, </w:t>
            </w:r>
            <w:r w:rsidR="006B7126">
              <w:rPr>
                <w:szCs w:val="22"/>
              </w:rPr>
              <w:t xml:space="preserve">such as dosage modifications to manage adverse reactions, </w:t>
            </w:r>
            <w:r w:rsidRPr="00BD5DBD">
              <w:rPr>
                <w:szCs w:val="22"/>
              </w:rPr>
              <w:t>refer to the Product Information.</w:t>
            </w:r>
          </w:p>
        </w:tc>
      </w:tr>
      <w:tr w:rsidR="0017005C" w:rsidRPr="00BD5DBD" w14:paraId="7B7BB6AE" w14:textId="77777777" w:rsidTr="00917EB3">
        <w:tc>
          <w:tcPr>
            <w:tcW w:w="1641" w:type="pct"/>
          </w:tcPr>
          <w:p w14:paraId="3A76AFF7" w14:textId="7C436DD9" w:rsidR="0017005C" w:rsidRPr="00F8083B" w:rsidRDefault="0070330F" w:rsidP="0017005C">
            <w:r w:rsidRPr="00BD5DBD">
              <w:rPr>
                <w:i/>
                <w:szCs w:val="22"/>
              </w:rPr>
              <w:lastRenderedPageBreak/>
              <w:t>Pregnancy category:</w:t>
            </w:r>
          </w:p>
        </w:tc>
        <w:tc>
          <w:tcPr>
            <w:tcW w:w="3359" w:type="pct"/>
          </w:tcPr>
          <w:p w14:paraId="7AF9DA6D" w14:textId="5CDEFF61" w:rsidR="0070330F" w:rsidRPr="007967C3" w:rsidRDefault="004E6995" w:rsidP="007967C3">
            <w:r w:rsidRPr="004E6995">
              <w:rPr>
                <w:b/>
                <w:bCs/>
              </w:rPr>
              <w:t>Category B3</w:t>
            </w:r>
          </w:p>
          <w:p w14:paraId="48C6FAB7" w14:textId="77777777" w:rsidR="00DB6360" w:rsidRPr="00DB6360" w:rsidRDefault="00DB6360" w:rsidP="00DB6360">
            <w:pPr>
              <w:rPr>
                <w:szCs w:val="22"/>
              </w:rPr>
            </w:pPr>
            <w:r w:rsidRPr="00DB6360">
              <w:rPr>
                <w:szCs w:val="22"/>
              </w:rPr>
              <w:t xml:space="preserve">There are no clinical data available for teplizumab on the effects on fertility. Fertility and reproductive performance were unaffected in female and male mice treated with a surrogate anti-mouse CD3 antibody up to 20 mg/kg by SC administration. </w:t>
            </w:r>
          </w:p>
          <w:p w14:paraId="3A163E17" w14:textId="508533C8" w:rsidR="00DB6360" w:rsidRDefault="00DB6360" w:rsidP="00DB6360">
            <w:pPr>
              <w:rPr>
                <w:szCs w:val="22"/>
              </w:rPr>
            </w:pPr>
            <w:r w:rsidRPr="00DB6360">
              <w:rPr>
                <w:szCs w:val="22"/>
              </w:rPr>
              <w:t>Available case reports from clinical trials with Tzield are insufficient to identify a drug-associated risk of major birth defects, miscarriage or other adverse maternal or foetal outcomes. Tzield is not recommended during pregnancy.</w:t>
            </w:r>
          </w:p>
          <w:p w14:paraId="76497789" w14:textId="2644D7C4" w:rsidR="0017005C" w:rsidRPr="00BD5DBD" w:rsidRDefault="0070330F" w:rsidP="00DB6360">
            <w:pPr>
              <w:rPr>
                <w:szCs w:val="22"/>
              </w:rPr>
            </w:pPr>
            <w:r w:rsidRPr="00BD5DBD">
              <w:rPr>
                <w:szCs w:val="22"/>
              </w:rPr>
              <w:t xml:space="preserve">The use of any medicine during pregnancy requires careful consideration of both risks and benefits by the treating health professional. </w:t>
            </w:r>
            <w:r w:rsidR="00721059">
              <w:rPr>
                <w:szCs w:val="22"/>
              </w:rPr>
              <w:t xml:space="preserve">The </w:t>
            </w:r>
            <w:hyperlink r:id="rId20" w:history="1">
              <w:r w:rsidR="00721059" w:rsidRPr="00065FDF">
                <w:rPr>
                  <w:rStyle w:val="Hyperlink"/>
                  <w:szCs w:val="22"/>
                </w:rPr>
                <w:t>pregnancy database</w:t>
              </w:r>
            </w:hyperlink>
            <w:r w:rsidR="00387984">
              <w:t xml:space="preserve"> </w:t>
            </w:r>
            <w:r w:rsidRPr="00BD5DBD">
              <w:rPr>
                <w:szCs w:val="22"/>
              </w:rPr>
              <w:t xml:space="preserve">must not be used as the sole basis of decision making in the use of medicines during pregnancy. The TGA does not provide advice on the use of medicines in pregnancy for specific cases. More information is available from </w:t>
            </w:r>
            <w:hyperlink r:id="rId21" w:history="1">
              <w:r w:rsidRPr="00C059D0">
                <w:rPr>
                  <w:rStyle w:val="Hyperlink"/>
                  <w:szCs w:val="22"/>
                </w:rPr>
                <w:t>obstetric drug information services</w:t>
              </w:r>
            </w:hyperlink>
            <w:r w:rsidRPr="00BD5DBD">
              <w:rPr>
                <w:szCs w:val="22"/>
              </w:rPr>
              <w:t xml:space="preserve"> in your </w:t>
            </w:r>
            <w:r w:rsidR="00306E72">
              <w:rPr>
                <w:szCs w:val="22"/>
              </w:rPr>
              <w:t>s</w:t>
            </w:r>
            <w:r w:rsidRPr="00BD5DBD">
              <w:rPr>
                <w:szCs w:val="22"/>
              </w:rPr>
              <w:t xml:space="preserve">tate or </w:t>
            </w:r>
            <w:r w:rsidR="00306E72">
              <w:rPr>
                <w:szCs w:val="22"/>
              </w:rPr>
              <w:t>t</w:t>
            </w:r>
            <w:r w:rsidRPr="00BD5DBD">
              <w:rPr>
                <w:szCs w:val="22"/>
              </w:rPr>
              <w:t>erritory.</w:t>
            </w:r>
          </w:p>
        </w:tc>
      </w:tr>
    </w:tbl>
    <w:p w14:paraId="51F2479F" w14:textId="1E34B277" w:rsidR="00324B33" w:rsidRDefault="00324B33" w:rsidP="00324B33">
      <w:pPr>
        <w:pStyle w:val="Heading3"/>
      </w:pPr>
      <w:bookmarkStart w:id="11" w:name="_Toc247691503"/>
      <w:bookmarkStart w:id="12" w:name="_Toc314842484"/>
      <w:bookmarkStart w:id="13" w:name="_Toc103679290"/>
      <w:bookmarkStart w:id="14" w:name="_Toc235627202"/>
      <w:r>
        <w:t>Product background</w:t>
      </w:r>
      <w:bookmarkEnd w:id="11"/>
      <w:bookmarkEnd w:id="12"/>
      <w:bookmarkEnd w:id="13"/>
      <w:bookmarkEnd w:id="14"/>
    </w:p>
    <w:p w14:paraId="59BF31D1" w14:textId="6BF461B4" w:rsidR="001500A8" w:rsidRPr="00065839" w:rsidRDefault="00324B33" w:rsidP="00756852">
      <w:r w:rsidRPr="00065839">
        <w:t>This AusPAR describes the submission by</w:t>
      </w:r>
      <w:r w:rsidR="00756852" w:rsidRPr="00756852">
        <w:rPr>
          <w:szCs w:val="22"/>
        </w:rPr>
        <w:t xml:space="preserve"> </w:t>
      </w:r>
      <w:r w:rsidR="00756852" w:rsidRPr="00756852">
        <w:t>Sanofi-Aventis Australia Pty Ltd</w:t>
      </w:r>
      <w:r w:rsidR="00756852">
        <w:t xml:space="preserve"> </w:t>
      </w:r>
      <w:r w:rsidR="0087384A">
        <w:t>(the Sp</w:t>
      </w:r>
      <w:r w:rsidR="00EF6A1F">
        <w:t>o</w:t>
      </w:r>
      <w:r w:rsidR="0087384A">
        <w:t xml:space="preserve">nsor) </w:t>
      </w:r>
      <w:r w:rsidRPr="00065839">
        <w:t xml:space="preserve">to register </w:t>
      </w:r>
      <w:r w:rsidR="00756852">
        <w:t>Tzield (</w:t>
      </w:r>
      <w:r w:rsidR="00750774">
        <w:t>t</w:t>
      </w:r>
      <w:r w:rsidR="00756852">
        <w:t>eplizuma</w:t>
      </w:r>
      <w:r w:rsidR="00750774">
        <w:t>b</w:t>
      </w:r>
      <w:r w:rsidRPr="00065839">
        <w:t xml:space="preserve">) </w:t>
      </w:r>
      <w:r w:rsidR="001F61B0" w:rsidRPr="001F61B0">
        <w:t>2 mg/2 mL Concentrated injection vial</w:t>
      </w:r>
      <w:r w:rsidRPr="00065839">
        <w:t xml:space="preserve"> for the following proposed indication:</w:t>
      </w:r>
      <w:r w:rsidR="00D63760" w:rsidRPr="00065839">
        <w:rPr>
          <w:vertAlign w:val="superscript"/>
        </w:rPr>
        <w:footnoteReference w:id="1"/>
      </w:r>
    </w:p>
    <w:p w14:paraId="23D8ED73" w14:textId="502D4B04" w:rsidR="00324B33" w:rsidRPr="0014646B" w:rsidRDefault="0014646B" w:rsidP="00CF0F80">
      <w:pPr>
        <w:ind w:left="720"/>
        <w:rPr>
          <w:i/>
        </w:rPr>
      </w:pPr>
      <w:r w:rsidRPr="0014646B">
        <w:rPr>
          <w:i/>
        </w:rPr>
        <w:t>Tzield is a disease modifying agent that preserves beta cell function indicated</w:t>
      </w:r>
      <w:r w:rsidR="00CF0F80">
        <w:rPr>
          <w:i/>
        </w:rPr>
        <w:t xml:space="preserve"> </w:t>
      </w:r>
      <w:r w:rsidRPr="0014646B">
        <w:rPr>
          <w:i/>
        </w:rPr>
        <w:t>to delay the onset of Stage 3 type 1 diabetes (T1D) in adult and paediatric patients 8 years of age and older with Stage 2 T1D.</w:t>
      </w:r>
    </w:p>
    <w:p w14:paraId="1E63A2AE" w14:textId="5FCD6C6F" w:rsidR="00CB6813" w:rsidRDefault="00005DFC" w:rsidP="00CB6813">
      <w:pPr>
        <w:pStyle w:val="Heading4"/>
      </w:pPr>
      <w:bookmarkStart w:id="15" w:name="_Toc314842485"/>
      <w:bookmarkStart w:id="16" w:name="_Toc247691504"/>
      <w:bookmarkStart w:id="17" w:name="_Toc235627203"/>
      <w:r>
        <w:t>D</w:t>
      </w:r>
      <w:r w:rsidR="00CB6813" w:rsidRPr="00C12D65">
        <w:t>isease</w:t>
      </w:r>
      <w:r w:rsidR="006428C5">
        <w:t xml:space="preserve"> or condition</w:t>
      </w:r>
      <w:bookmarkEnd w:id="17"/>
    </w:p>
    <w:p w14:paraId="48D5B449" w14:textId="54EF4F96" w:rsidR="00A917B7" w:rsidRDefault="0093690E" w:rsidP="00917EB3">
      <w:r>
        <w:t>Type 1 diabetes mellitus (T1DM</w:t>
      </w:r>
      <w:r w:rsidR="0086183B">
        <w:t xml:space="preserve"> or T1D</w:t>
      </w:r>
      <w:r>
        <w:t>) is a chronic disease secondary to pancreatic insufficiency of insulin production. This results in dysregulation of glucose homeostasis, mainly hyperglycaemia and its potential flow-on effects, e.g. neuropathy, nephropathy, retinopathy, or atherosclerosis.</w:t>
      </w:r>
    </w:p>
    <w:p w14:paraId="2E796F54" w14:textId="1C0D6D73" w:rsidR="0093690E" w:rsidRDefault="0093690E" w:rsidP="00917EB3">
      <w:r>
        <w:t xml:space="preserve">There are a variety of causes of pancreatic insufficiency of insulin production which are typically grouped into genetic and environmental factors. In </w:t>
      </w:r>
      <w:r w:rsidR="00A917B7">
        <w:t>most</w:t>
      </w:r>
      <w:r>
        <w:t xml:space="preserve"> patients newly diagnosed with T1DM, anti-islet autoantibodies have been present. There is an influence of genetic factors (especially </w:t>
      </w:r>
      <w:r w:rsidRPr="003B0A0D">
        <w:t>regarding MHC/HLA), as close relatives of</w:t>
      </w:r>
      <w:r>
        <w:t xml:space="preserve"> people with T1DM are at higher risk. Environmental factors (e.g. infections) may potentially be a trigger for the immune processes leading to T1DM. </w:t>
      </w:r>
    </w:p>
    <w:p w14:paraId="76128C00" w14:textId="77777777" w:rsidR="006B7372" w:rsidRDefault="0093690E" w:rsidP="00917EB3">
      <w:pPr>
        <w:pStyle w:val="Heading5"/>
      </w:pPr>
      <w:r w:rsidRPr="00D66AED">
        <w:lastRenderedPageBreak/>
        <w:t xml:space="preserve">Stages of T1DM </w:t>
      </w:r>
    </w:p>
    <w:p w14:paraId="781F1EF3" w14:textId="1F5CDBE9" w:rsidR="006D289D" w:rsidRDefault="0093690E" w:rsidP="00917EB3">
      <w:r>
        <w:t xml:space="preserve">An overview of T1DM stages is shown in Table </w:t>
      </w:r>
      <w:r w:rsidR="00D66AED">
        <w:t>1</w:t>
      </w:r>
      <w:r>
        <w:t>. T1DM starts at Stage 1, but clinical features are usually not present until Stage 3 (e.g. polyuria, polydipsia, blurred vision, weight loss, and fatigue) and potentially life-threatening complication such as diabetic ketoacidosis (DKA).</w:t>
      </w:r>
    </w:p>
    <w:p w14:paraId="7A69E77E" w14:textId="38E11BCE" w:rsidR="00917EB3" w:rsidRDefault="00917EB3" w:rsidP="00917EB3">
      <w:pPr>
        <w:pStyle w:val="TableTitle"/>
      </w:pPr>
      <w:r w:rsidRPr="004C3ED1">
        <w:t xml:space="preserve">Table </w:t>
      </w:r>
      <w:r>
        <w:t>1</w:t>
      </w:r>
      <w:r w:rsidRPr="004C3ED1">
        <w:t>. Overview of T1DM stages.</w:t>
      </w:r>
      <w:r>
        <w:rPr>
          <w:rStyle w:val="FootnoteReference"/>
          <w:bCs/>
        </w:rPr>
        <w:footnoteReference w:id="2"/>
      </w:r>
      <w:r w:rsidRPr="001227F6">
        <w:rPr>
          <w:vertAlign w:val="superscript"/>
        </w:rPr>
        <w:t>,</w:t>
      </w:r>
      <w:r w:rsidR="00B2032E">
        <w:rPr>
          <w:rStyle w:val="FootnoteReference"/>
          <w:bCs/>
        </w:rPr>
        <w:footnoteReference w:id="3"/>
      </w:r>
    </w:p>
    <w:p w14:paraId="53970A54" w14:textId="76214276" w:rsidR="00917EB3" w:rsidRDefault="00917EB3" w:rsidP="000D10A6">
      <w:pPr>
        <w:rPr>
          <w:b/>
          <w:bCs/>
        </w:rPr>
      </w:pPr>
      <w:r w:rsidRPr="00F86487">
        <w:rPr>
          <w:b/>
          <w:bCs/>
          <w:noProof/>
          <w:szCs w:val="22"/>
          <w:vertAlign w:val="superscript"/>
        </w:rPr>
        <w:drawing>
          <wp:inline distT="0" distB="0" distL="0" distR="0" wp14:anchorId="74FFA685" wp14:editId="76C8C02D">
            <wp:extent cx="5759450" cy="3564931"/>
            <wp:effectExtent l="0" t="0" r="0" b="0"/>
            <wp:docPr id="443436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36529" name=""/>
                    <pic:cNvPicPr/>
                  </pic:nvPicPr>
                  <pic:blipFill>
                    <a:blip r:embed="rId22">
                      <a:extLst>
                        <a:ext uri="{BEBA8EAE-BF5A-486C-A8C5-ECC9F3942E4B}">
                          <a14:imgProps xmlns:a14="http://schemas.microsoft.com/office/drawing/2010/main">
                            <a14:imgLayer r:embed="rId23">
                              <a14:imgEffect>
                                <a14:colorTemperature colorTemp="5900"/>
                              </a14:imgEffect>
                            </a14:imgLayer>
                          </a14:imgProps>
                        </a:ext>
                      </a:extLst>
                    </a:blip>
                    <a:stretch>
                      <a:fillRect/>
                    </a:stretch>
                  </pic:blipFill>
                  <pic:spPr>
                    <a:xfrm>
                      <a:off x="0" y="0"/>
                      <a:ext cx="5759450" cy="3564931"/>
                    </a:xfrm>
                    <a:prstGeom prst="rect">
                      <a:avLst/>
                    </a:prstGeom>
                  </pic:spPr>
                </pic:pic>
              </a:graphicData>
            </a:graphic>
          </wp:inline>
        </w:drawing>
      </w:r>
    </w:p>
    <w:p w14:paraId="5C2BAA8C" w14:textId="4BE2B719" w:rsidR="000D10A6" w:rsidRPr="00C176DB" w:rsidRDefault="000D10A6" w:rsidP="00917EB3">
      <w:pPr>
        <w:pStyle w:val="Heading6"/>
      </w:pPr>
      <w:r w:rsidRPr="00C176DB">
        <w:t xml:space="preserve">Australian epidemiology </w:t>
      </w:r>
    </w:p>
    <w:p w14:paraId="089674E8" w14:textId="1ED93D8A" w:rsidR="000D10A6" w:rsidRPr="0093690E" w:rsidRDefault="000D10A6" w:rsidP="000D10A6">
      <w:r w:rsidRPr="000D10A6">
        <w:t>Overall, the incidence</w:t>
      </w:r>
      <w:r w:rsidR="004742E7">
        <w:t xml:space="preserve"> of </w:t>
      </w:r>
      <w:r w:rsidR="004742E7" w:rsidRPr="004742E7">
        <w:t>type 1 diabetes in Australia</w:t>
      </w:r>
      <w:r w:rsidRPr="000D10A6">
        <w:t xml:space="preserve"> is approximately 12 per 100,000.</w:t>
      </w:r>
      <w:bookmarkStart w:id="18" w:name="_Ref233361553"/>
      <w:r w:rsidR="00200D63">
        <w:rPr>
          <w:rStyle w:val="FootnoteReference"/>
        </w:rPr>
        <w:footnoteReference w:id="4"/>
      </w:r>
      <w:bookmarkEnd w:id="18"/>
      <w:r w:rsidRPr="000D10A6">
        <w:t xml:space="preserve"> In 2021, 81% of children, adolescents and young adults with type 1 diabetes mellitus were aged 10 to 19 years. In 2021, by age group, the prevalence was 27.4 per 100,000 (0-4 y), 127.2 per 100,000 (5-9 y), 279.5 per 100,000 (10-14 y), and 415.8 per 100,000 (15-19 y).</w:t>
      </w:r>
      <w:r w:rsidR="00A2221B" w:rsidRPr="00A2221B">
        <w:rPr>
          <w:vertAlign w:val="superscript"/>
        </w:rPr>
        <w:fldChar w:fldCharType="begin"/>
      </w:r>
      <w:r w:rsidR="00A2221B" w:rsidRPr="00A2221B">
        <w:rPr>
          <w:vertAlign w:val="superscript"/>
        </w:rPr>
        <w:instrText xml:space="preserve"> NOTEREF _Ref233361553 \h </w:instrText>
      </w:r>
      <w:r w:rsidR="00A2221B">
        <w:rPr>
          <w:vertAlign w:val="superscript"/>
        </w:rPr>
        <w:instrText xml:space="preserve"> \* MERGEFORMAT </w:instrText>
      </w:r>
      <w:r w:rsidR="00A2221B" w:rsidRPr="00A2221B">
        <w:rPr>
          <w:vertAlign w:val="superscript"/>
        </w:rPr>
      </w:r>
      <w:r w:rsidR="00A2221B" w:rsidRPr="00A2221B">
        <w:rPr>
          <w:vertAlign w:val="superscript"/>
        </w:rPr>
        <w:fldChar w:fldCharType="separate"/>
      </w:r>
      <w:r w:rsidR="00A2221B" w:rsidRPr="00A2221B">
        <w:rPr>
          <w:vertAlign w:val="superscript"/>
        </w:rPr>
        <w:t>2</w:t>
      </w:r>
      <w:r w:rsidR="00A2221B" w:rsidRPr="00A2221B">
        <w:rPr>
          <w:vertAlign w:val="superscript"/>
        </w:rPr>
        <w:fldChar w:fldCharType="end"/>
      </w:r>
      <w:r w:rsidRPr="00A2221B">
        <w:rPr>
          <w:vertAlign w:val="superscript"/>
        </w:rPr>
        <w:t xml:space="preserve"> </w:t>
      </w:r>
      <w:r w:rsidRPr="000D10A6">
        <w:t>After adjusting for age, First Nations children, adolescents and young adults were approximately 21% less likely to have T1DM compared to their non-Indigenous counterparts.</w:t>
      </w:r>
    </w:p>
    <w:p w14:paraId="255E083A" w14:textId="14AEB9A4" w:rsidR="00CB6813" w:rsidRDefault="00CB6813" w:rsidP="00CB6813">
      <w:pPr>
        <w:pStyle w:val="Heading4"/>
      </w:pPr>
      <w:bookmarkStart w:id="19" w:name="_Toc235627204"/>
      <w:r>
        <w:t>Cu</w:t>
      </w:r>
      <w:r w:rsidR="00616D3E">
        <w:t>r</w:t>
      </w:r>
      <w:r>
        <w:t>rent treatment options</w:t>
      </w:r>
      <w:bookmarkEnd w:id="19"/>
    </w:p>
    <w:p w14:paraId="5D261D50" w14:textId="7C61595D" w:rsidR="009C6ED3" w:rsidRPr="009C6ED3" w:rsidRDefault="009C6ED3" w:rsidP="009C6ED3">
      <w:pPr>
        <w:rPr>
          <w:iCs/>
        </w:rPr>
      </w:pPr>
      <w:r w:rsidRPr="009C6ED3">
        <w:rPr>
          <w:iCs/>
        </w:rPr>
        <w:t>At this stage, insulin therapy is the mainstay of direct pharmacological T1DM treatment in Australia. No disease-modifying or preventative therapies are currently registered. The availability of such therapies would be highly advantageous. Those therapies could target T1DM at various stage along the disease process, e.g. preventing or delaying the onset, preserving insulin secretion, preserving β-cell function, β-cell replacement (including stem cell therapy).</w:t>
      </w:r>
    </w:p>
    <w:p w14:paraId="37C47E09" w14:textId="14D3762D" w:rsidR="00CB6813" w:rsidRDefault="00CB6813" w:rsidP="00CB6813">
      <w:pPr>
        <w:pStyle w:val="Heading4"/>
      </w:pPr>
      <w:bookmarkStart w:id="20" w:name="_Toc235627205"/>
      <w:r>
        <w:lastRenderedPageBreak/>
        <w:t>C</w:t>
      </w:r>
      <w:r w:rsidRPr="00DE1344">
        <w:t>linical rational</w:t>
      </w:r>
      <w:r w:rsidR="0025785B">
        <w:t>e</w:t>
      </w:r>
      <w:bookmarkEnd w:id="20"/>
    </w:p>
    <w:p w14:paraId="0CC91BA7" w14:textId="06F3CEAF" w:rsidR="00652F03" w:rsidRDefault="00652F03" w:rsidP="00CB6813">
      <w:pPr>
        <w:rPr>
          <w:i/>
          <w:color w:val="007099"/>
        </w:rPr>
      </w:pPr>
      <w:r>
        <w:rPr>
          <w:sz w:val="23"/>
          <w:szCs w:val="23"/>
        </w:rPr>
        <w:t>Teplizumab preserves beta cell function by binding to CD3 (a cell surface antigen present on T lymphocytes) and delays the onset of Stage 3 T1D in Stage 2 patients. The mechanism may involve partial agonistic signalling and deactivation of pancreatic beta cell autoreactive T lymphocytes. Teplizumab leads to an increase in the proportion of regulatory T cells and of exhausted CD8+ T cells in peripheral blood.</w:t>
      </w:r>
    </w:p>
    <w:p w14:paraId="0D615854" w14:textId="77777777" w:rsidR="00324B33" w:rsidRPr="003F31A2" w:rsidRDefault="00324B33" w:rsidP="00324B33">
      <w:pPr>
        <w:pStyle w:val="Heading3"/>
      </w:pPr>
      <w:bookmarkStart w:id="21" w:name="_Toc103679291"/>
      <w:bookmarkStart w:id="22" w:name="_Toc235627206"/>
      <w:r>
        <w:t>Regulatory status</w:t>
      </w:r>
      <w:bookmarkEnd w:id="15"/>
      <w:bookmarkEnd w:id="16"/>
      <w:bookmarkEnd w:id="21"/>
      <w:bookmarkEnd w:id="22"/>
    </w:p>
    <w:p w14:paraId="72C889D6" w14:textId="7E200950" w:rsidR="0017005C" w:rsidRPr="00BD5DBD" w:rsidRDefault="0017005C" w:rsidP="00741AB9">
      <w:pPr>
        <w:pStyle w:val="Heading4"/>
      </w:pPr>
      <w:bookmarkStart w:id="23" w:name="_Toc235627207"/>
      <w:r w:rsidRPr="00BD5DBD">
        <w:t>Australian regulatory</w:t>
      </w:r>
      <w:r>
        <w:t xml:space="preserve"> sta</w:t>
      </w:r>
      <w:r w:rsidR="0025785B">
        <w:t>t</w:t>
      </w:r>
      <w:r>
        <w:t>us</w:t>
      </w:r>
      <w:bookmarkEnd w:id="23"/>
    </w:p>
    <w:p w14:paraId="51DB7C71" w14:textId="013FE787" w:rsidR="001F5520" w:rsidRPr="001F5520" w:rsidRDefault="00324B33" w:rsidP="001F5520">
      <w:pPr>
        <w:rPr>
          <w:szCs w:val="22"/>
        </w:rPr>
      </w:pPr>
      <w:r w:rsidRPr="00BD5DBD">
        <w:rPr>
          <w:szCs w:val="22"/>
        </w:rPr>
        <w:t>This product is considered a new biological entity for Australian regulatory purposes.</w:t>
      </w:r>
      <w:r w:rsidR="001F5520" w:rsidRPr="001F5520">
        <w:rPr>
          <w:rFonts w:eastAsia="Cambria" w:cs="Times New Roman"/>
          <w:szCs w:val="22"/>
          <w:lang w:eastAsia="ja-JP"/>
        </w:rPr>
        <w:t xml:space="preserve"> </w:t>
      </w:r>
      <w:r w:rsidR="001F5520" w:rsidRPr="001F5520">
        <w:rPr>
          <w:szCs w:val="22"/>
        </w:rPr>
        <w:t>T</w:t>
      </w:r>
      <w:r w:rsidR="001F5520">
        <w:rPr>
          <w:szCs w:val="22"/>
        </w:rPr>
        <w:t xml:space="preserve">zield </w:t>
      </w:r>
      <w:r w:rsidR="001F5520" w:rsidRPr="001F5520">
        <w:rPr>
          <w:szCs w:val="22"/>
        </w:rPr>
        <w:t>has not been registered on the ARTG previously.</w:t>
      </w:r>
    </w:p>
    <w:p w14:paraId="546C1031" w14:textId="4EF98FA1" w:rsidR="0017005C" w:rsidRDefault="00131B1B" w:rsidP="0017005C">
      <w:pPr>
        <w:pStyle w:val="Heading4"/>
      </w:pPr>
      <w:bookmarkStart w:id="24" w:name="_Toc235627208"/>
      <w:r>
        <w:t xml:space="preserve">International </w:t>
      </w:r>
      <w:r w:rsidR="0017005C" w:rsidRPr="00BD5DBD">
        <w:t>regulatory</w:t>
      </w:r>
      <w:r w:rsidR="0017005C">
        <w:t xml:space="preserve"> status</w:t>
      </w:r>
      <w:bookmarkEnd w:id="24"/>
    </w:p>
    <w:p w14:paraId="3C09389F" w14:textId="104662FD" w:rsidR="00C133AB" w:rsidRDefault="00C133AB" w:rsidP="00C133AB">
      <w:pPr>
        <w:rPr>
          <w:i/>
          <w:color w:val="007099"/>
        </w:rPr>
      </w:pPr>
      <w:r w:rsidRPr="00BD5DBD">
        <w:rPr>
          <w:szCs w:val="22"/>
        </w:rPr>
        <w:t xml:space="preserve">This submission was evaluated as part of the </w:t>
      </w:r>
      <w:hyperlink r:id="rId24" w:history="1">
        <w:r w:rsidRPr="00BD5DBD">
          <w:rPr>
            <w:rStyle w:val="Hyperlink"/>
            <w:szCs w:val="22"/>
          </w:rPr>
          <w:t>Australia-Canada-Singapore-Switzerland-United Kingdom (ACCESS) Consortium</w:t>
        </w:r>
      </w:hyperlink>
      <w:r w:rsidRPr="00BD5DBD">
        <w:rPr>
          <w:szCs w:val="22"/>
        </w:rPr>
        <w:t xml:space="preserve"> with work-sharing between the TGA</w:t>
      </w:r>
      <w:r w:rsidR="00237B44">
        <w:rPr>
          <w:szCs w:val="22"/>
        </w:rPr>
        <w:t xml:space="preserve"> and</w:t>
      </w:r>
      <w:r w:rsidRPr="00BD5DBD">
        <w:rPr>
          <w:szCs w:val="22"/>
        </w:rPr>
        <w:t xml:space="preserve"> </w:t>
      </w:r>
      <w:proofErr w:type="spellStart"/>
      <w:r w:rsidR="00912ED7">
        <w:rPr>
          <w:szCs w:val="22"/>
        </w:rPr>
        <w:t>Swiss</w:t>
      </w:r>
      <w:r w:rsidR="00237B44">
        <w:rPr>
          <w:szCs w:val="22"/>
        </w:rPr>
        <w:t>medic</w:t>
      </w:r>
      <w:proofErr w:type="spellEnd"/>
      <w:r w:rsidRPr="00BD5DBD">
        <w:rPr>
          <w:iCs/>
          <w:szCs w:val="22"/>
        </w:rPr>
        <w:t>.</w:t>
      </w:r>
      <w:r w:rsidRPr="00BD5DBD">
        <w:rPr>
          <w:szCs w:val="22"/>
        </w:rPr>
        <w:t xml:space="preserve"> Each regulator made independent decisions regarding </w:t>
      </w:r>
      <w:r w:rsidRPr="0017005C">
        <w:t xml:space="preserve">approval </w:t>
      </w:r>
      <w:r w:rsidRPr="00774789">
        <w:t>(market authorisation) of the new medicine</w:t>
      </w:r>
      <w:r w:rsidR="00474FB7">
        <w:t xml:space="preserve">. </w:t>
      </w:r>
    </w:p>
    <w:p w14:paraId="7FDF4A0B" w14:textId="6F5E91AF" w:rsidR="008F4A62" w:rsidRPr="0017005C" w:rsidRDefault="008F4A62" w:rsidP="008F4A62">
      <w:r w:rsidRPr="00BD5DBD">
        <w:rPr>
          <w:szCs w:val="22"/>
        </w:rPr>
        <w:t>At the time the TGA considered this submission, similar submission</w:t>
      </w:r>
      <w:r w:rsidR="00777901">
        <w:rPr>
          <w:szCs w:val="22"/>
        </w:rPr>
        <w:t>s</w:t>
      </w:r>
      <w:r w:rsidRPr="00BD5DBD">
        <w:rPr>
          <w:szCs w:val="22"/>
        </w:rPr>
        <w:t xml:space="preserve"> had been approved in </w:t>
      </w:r>
      <w:r w:rsidR="007E0CF8">
        <w:rPr>
          <w:szCs w:val="22"/>
        </w:rPr>
        <w:t xml:space="preserve">the United States, Canada, </w:t>
      </w:r>
      <w:r w:rsidR="002F4AEE">
        <w:rPr>
          <w:szCs w:val="22"/>
        </w:rPr>
        <w:t>United Kingdom and the European Union</w:t>
      </w:r>
      <w:r w:rsidRPr="00BD5DBD">
        <w:rPr>
          <w:szCs w:val="22"/>
        </w:rPr>
        <w:t>. The following table summarises these submissions and provides the</w:t>
      </w:r>
      <w:r w:rsidR="002F4AEE">
        <w:rPr>
          <w:szCs w:val="22"/>
        </w:rPr>
        <w:t xml:space="preserve"> approved</w:t>
      </w:r>
      <w:r w:rsidRPr="00BD5DBD">
        <w:rPr>
          <w:szCs w:val="22"/>
        </w:rPr>
        <w:t xml:space="preserve"> indications.</w:t>
      </w:r>
      <w:r>
        <w:rPr>
          <w:szCs w:val="22"/>
        </w:rPr>
        <w:t xml:space="preserve"> </w:t>
      </w:r>
    </w:p>
    <w:p w14:paraId="19B9E0AC" w14:textId="11B0E0BD" w:rsidR="00324B33" w:rsidRDefault="00324B33" w:rsidP="00324B33">
      <w:pPr>
        <w:pStyle w:val="TableTitle"/>
      </w:pPr>
      <w:bookmarkStart w:id="25" w:name="_Ref99705479"/>
      <w:r>
        <w:t xml:space="preserve">Table </w:t>
      </w:r>
      <w:bookmarkEnd w:id="25"/>
      <w:r w:rsidR="00140244">
        <w:t>2</w:t>
      </w:r>
      <w:r w:rsidR="001A79D7">
        <w:t>.</w:t>
      </w:r>
      <w:r>
        <w:t xml:space="preserve"> International regulatory status</w:t>
      </w:r>
      <w:r w:rsidR="00BE36F7">
        <w:t>.</w:t>
      </w:r>
    </w:p>
    <w:tbl>
      <w:tblPr>
        <w:tblStyle w:val="TableTGAblue2023"/>
        <w:tblW w:w="5082" w:type="pct"/>
        <w:tblLook w:val="04A0" w:firstRow="1" w:lastRow="0" w:firstColumn="1" w:lastColumn="0" w:noHBand="0" w:noVBand="1"/>
      </w:tblPr>
      <w:tblGrid>
        <w:gridCol w:w="1554"/>
        <w:gridCol w:w="1558"/>
        <w:gridCol w:w="1844"/>
        <w:gridCol w:w="4253"/>
      </w:tblGrid>
      <w:tr w:rsidR="00324B33" w:rsidRPr="00D01DDB" w14:paraId="405E5D78" w14:textId="16839333" w:rsidTr="00966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4" w:type="pct"/>
          </w:tcPr>
          <w:p w14:paraId="185B099B" w14:textId="7A4C0E6C" w:rsidR="00324B33" w:rsidRPr="00D01DDB" w:rsidRDefault="00324B33" w:rsidP="00324B33">
            <w:pPr>
              <w:rPr>
                <w:szCs w:val="22"/>
              </w:rPr>
            </w:pPr>
            <w:r w:rsidRPr="00D01DDB">
              <w:rPr>
                <w:szCs w:val="22"/>
              </w:rPr>
              <w:t>Region</w:t>
            </w:r>
          </w:p>
        </w:tc>
        <w:tc>
          <w:tcPr>
            <w:tcW w:w="846" w:type="pct"/>
          </w:tcPr>
          <w:p w14:paraId="778C35C7" w14:textId="52D23C85"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Submission date</w:t>
            </w:r>
          </w:p>
        </w:tc>
        <w:tc>
          <w:tcPr>
            <w:tcW w:w="1001" w:type="pct"/>
          </w:tcPr>
          <w:p w14:paraId="58F81584" w14:textId="66689ABF"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Status</w:t>
            </w:r>
          </w:p>
        </w:tc>
        <w:tc>
          <w:tcPr>
            <w:tcW w:w="2309" w:type="pct"/>
          </w:tcPr>
          <w:p w14:paraId="50B2D435" w14:textId="560588D2"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Approved indications</w:t>
            </w:r>
          </w:p>
        </w:tc>
      </w:tr>
      <w:tr w:rsidR="00324B33" w:rsidRPr="00D01DDB" w14:paraId="38D24E86" w14:textId="77777777" w:rsidTr="00966373">
        <w:tc>
          <w:tcPr>
            <w:cnfStyle w:val="001000000000" w:firstRow="0" w:lastRow="0" w:firstColumn="1" w:lastColumn="0" w:oddVBand="0" w:evenVBand="0" w:oddHBand="0" w:evenHBand="0" w:firstRowFirstColumn="0" w:firstRowLastColumn="0" w:lastRowFirstColumn="0" w:lastRowLastColumn="0"/>
            <w:tcW w:w="844" w:type="pct"/>
          </w:tcPr>
          <w:p w14:paraId="4C540DE5" w14:textId="41310729" w:rsidR="00324B33" w:rsidRPr="00D01DDB" w:rsidRDefault="00777901" w:rsidP="00324B33">
            <w:pPr>
              <w:rPr>
                <w:szCs w:val="22"/>
              </w:rPr>
            </w:pPr>
            <w:r>
              <w:rPr>
                <w:szCs w:val="22"/>
              </w:rPr>
              <w:t>U</w:t>
            </w:r>
            <w:r w:rsidR="002241C4">
              <w:rPr>
                <w:szCs w:val="22"/>
              </w:rPr>
              <w:t>nited States of America</w:t>
            </w:r>
          </w:p>
        </w:tc>
        <w:tc>
          <w:tcPr>
            <w:tcW w:w="846" w:type="pct"/>
          </w:tcPr>
          <w:p w14:paraId="4FA5DDA9" w14:textId="1FBE76C0" w:rsidR="00324B33" w:rsidRPr="00D01DDB" w:rsidRDefault="007E2F95"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31 October 2020</w:t>
            </w:r>
          </w:p>
        </w:tc>
        <w:tc>
          <w:tcPr>
            <w:tcW w:w="1001" w:type="pct"/>
          </w:tcPr>
          <w:p w14:paraId="29358393" w14:textId="62BA906D"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Approved on</w:t>
            </w:r>
            <w:r w:rsidR="002241C4">
              <w:rPr>
                <w:szCs w:val="22"/>
              </w:rPr>
              <w:t xml:space="preserve"> 17 November 2022</w:t>
            </w:r>
          </w:p>
        </w:tc>
        <w:tc>
          <w:tcPr>
            <w:tcW w:w="2309" w:type="pct"/>
          </w:tcPr>
          <w:p w14:paraId="05055674" w14:textId="58567C4E" w:rsidR="00324B33" w:rsidRPr="00D01DDB" w:rsidRDefault="009310E1" w:rsidP="009310E1">
            <w:pPr>
              <w:ind w:left="0"/>
              <w:cnfStyle w:val="000000000000" w:firstRow="0" w:lastRow="0" w:firstColumn="0" w:lastColumn="0" w:oddVBand="0" w:evenVBand="0" w:oddHBand="0" w:evenHBand="0" w:firstRowFirstColumn="0" w:firstRowLastColumn="0" w:lastRowFirstColumn="0" w:lastRowLastColumn="0"/>
              <w:rPr>
                <w:szCs w:val="22"/>
              </w:rPr>
            </w:pPr>
            <w:r w:rsidRPr="009310E1">
              <w:rPr>
                <w:szCs w:val="22"/>
              </w:rPr>
              <w:t>T</w:t>
            </w:r>
            <w:r w:rsidR="00AB7454">
              <w:rPr>
                <w:szCs w:val="22"/>
              </w:rPr>
              <w:t>zield</w:t>
            </w:r>
            <w:r w:rsidRPr="009310E1">
              <w:rPr>
                <w:szCs w:val="22"/>
              </w:rPr>
              <w:t xml:space="preserve"> is indicated to delay the onset of Stage 3 type 1 diabetes (T1D) in adult and </w:t>
            </w:r>
            <w:proofErr w:type="spellStart"/>
            <w:r w:rsidRPr="009310E1">
              <w:rPr>
                <w:szCs w:val="22"/>
              </w:rPr>
              <w:t>pediatric</w:t>
            </w:r>
            <w:proofErr w:type="spellEnd"/>
            <w:r w:rsidRPr="009310E1">
              <w:rPr>
                <w:szCs w:val="22"/>
              </w:rPr>
              <w:t xml:space="preserve"> patients 1 year of age and older with Stage 2 type 1 diabetes</w:t>
            </w:r>
            <w:r>
              <w:rPr>
                <w:szCs w:val="22"/>
              </w:rPr>
              <w:t>.</w:t>
            </w:r>
          </w:p>
        </w:tc>
      </w:tr>
      <w:tr w:rsidR="007E2F95" w:rsidRPr="00D01DDB" w14:paraId="164331DE" w14:textId="77777777" w:rsidTr="00966373">
        <w:tc>
          <w:tcPr>
            <w:cnfStyle w:val="001000000000" w:firstRow="0" w:lastRow="0" w:firstColumn="1" w:lastColumn="0" w:oddVBand="0" w:evenVBand="0" w:oddHBand="0" w:evenHBand="0" w:firstRowFirstColumn="0" w:firstRowLastColumn="0" w:lastRowFirstColumn="0" w:lastRowLastColumn="0"/>
            <w:tcW w:w="844" w:type="pct"/>
          </w:tcPr>
          <w:p w14:paraId="790E3E40" w14:textId="6504EFED" w:rsidR="007E2F95" w:rsidRDefault="007E2F95" w:rsidP="00324B33">
            <w:pPr>
              <w:rPr>
                <w:szCs w:val="22"/>
              </w:rPr>
            </w:pPr>
            <w:r>
              <w:rPr>
                <w:szCs w:val="22"/>
              </w:rPr>
              <w:t xml:space="preserve">Canada </w:t>
            </w:r>
          </w:p>
        </w:tc>
        <w:tc>
          <w:tcPr>
            <w:tcW w:w="846" w:type="pct"/>
          </w:tcPr>
          <w:p w14:paraId="32771AE8" w14:textId="30916ACB" w:rsidR="007E2F95" w:rsidRPr="00D01DDB" w:rsidRDefault="00F92B60"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30 August 2024</w:t>
            </w:r>
          </w:p>
        </w:tc>
        <w:tc>
          <w:tcPr>
            <w:tcW w:w="1001" w:type="pct"/>
          </w:tcPr>
          <w:p w14:paraId="1E500149" w14:textId="5C2EB862" w:rsidR="007E2F95" w:rsidRDefault="006737BE"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Approved on </w:t>
            </w:r>
            <w:r w:rsidR="00F92B60">
              <w:rPr>
                <w:szCs w:val="22"/>
              </w:rPr>
              <w:t>5 May 2025</w:t>
            </w:r>
          </w:p>
        </w:tc>
        <w:tc>
          <w:tcPr>
            <w:tcW w:w="2309" w:type="pct"/>
          </w:tcPr>
          <w:p w14:paraId="7E4E2089" w14:textId="0230EAD3" w:rsidR="007E2F95" w:rsidRPr="00D01DDB" w:rsidRDefault="00EC34B1" w:rsidP="00EC34B1">
            <w:pPr>
              <w:ind w:left="0"/>
              <w:cnfStyle w:val="000000000000" w:firstRow="0" w:lastRow="0" w:firstColumn="0" w:lastColumn="0" w:oddVBand="0" w:evenVBand="0" w:oddHBand="0" w:evenHBand="0" w:firstRowFirstColumn="0" w:firstRowLastColumn="0" w:lastRowFirstColumn="0" w:lastRowLastColumn="0"/>
              <w:rPr>
                <w:szCs w:val="22"/>
              </w:rPr>
            </w:pPr>
            <w:r w:rsidRPr="00EC34B1">
              <w:rPr>
                <w:szCs w:val="22"/>
              </w:rPr>
              <w:t>T</w:t>
            </w:r>
            <w:r>
              <w:rPr>
                <w:szCs w:val="22"/>
              </w:rPr>
              <w:t>zield</w:t>
            </w:r>
            <w:r w:rsidRPr="00EC34B1">
              <w:rPr>
                <w:szCs w:val="22"/>
              </w:rPr>
              <w:t xml:space="preserve"> is indicated to delay the onset of Stage 3 type 1 diabetes in adult and p</w:t>
            </w:r>
            <w:r>
              <w:rPr>
                <w:szCs w:val="22"/>
              </w:rPr>
              <w:t>a</w:t>
            </w:r>
            <w:r w:rsidRPr="00EC34B1">
              <w:rPr>
                <w:szCs w:val="22"/>
              </w:rPr>
              <w:t>ediatric patients 8 years of age and older with Stage 2 type 1 diabetes.</w:t>
            </w:r>
          </w:p>
        </w:tc>
      </w:tr>
      <w:tr w:rsidR="007E2F95" w:rsidRPr="00D01DDB" w14:paraId="0A55009B" w14:textId="77777777" w:rsidTr="00966373">
        <w:tc>
          <w:tcPr>
            <w:cnfStyle w:val="001000000000" w:firstRow="0" w:lastRow="0" w:firstColumn="1" w:lastColumn="0" w:oddVBand="0" w:evenVBand="0" w:oddHBand="0" w:evenHBand="0" w:firstRowFirstColumn="0" w:firstRowLastColumn="0" w:lastRowFirstColumn="0" w:lastRowLastColumn="0"/>
            <w:tcW w:w="844" w:type="pct"/>
          </w:tcPr>
          <w:p w14:paraId="3A65D481" w14:textId="6CA761E2" w:rsidR="007E2F95" w:rsidRDefault="00F92B60" w:rsidP="00324B33">
            <w:pPr>
              <w:rPr>
                <w:szCs w:val="22"/>
              </w:rPr>
            </w:pPr>
            <w:r>
              <w:rPr>
                <w:szCs w:val="22"/>
              </w:rPr>
              <w:t>United Kingdom</w:t>
            </w:r>
          </w:p>
        </w:tc>
        <w:tc>
          <w:tcPr>
            <w:tcW w:w="846" w:type="pct"/>
          </w:tcPr>
          <w:p w14:paraId="6F9629B5" w14:textId="4886CA74" w:rsidR="007E2F95" w:rsidRPr="00D01DDB" w:rsidRDefault="00F92B60"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30 August 2024</w:t>
            </w:r>
          </w:p>
        </w:tc>
        <w:tc>
          <w:tcPr>
            <w:tcW w:w="1001" w:type="pct"/>
          </w:tcPr>
          <w:p w14:paraId="6ECB0494" w14:textId="5850C965" w:rsidR="007E2F95" w:rsidRDefault="006737BE"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Approved on 14 August 2025</w:t>
            </w:r>
          </w:p>
        </w:tc>
        <w:tc>
          <w:tcPr>
            <w:tcW w:w="2309" w:type="pct"/>
          </w:tcPr>
          <w:p w14:paraId="7D7B9D78" w14:textId="58616E3C" w:rsidR="007E2F95" w:rsidRPr="00D01DDB" w:rsidRDefault="00662947" w:rsidP="00662947">
            <w:pPr>
              <w:ind w:left="0"/>
              <w:cnfStyle w:val="000000000000" w:firstRow="0" w:lastRow="0" w:firstColumn="0" w:lastColumn="0" w:oddVBand="0" w:evenVBand="0" w:oddHBand="0" w:evenHBand="0" w:firstRowFirstColumn="0" w:firstRowLastColumn="0" w:lastRowFirstColumn="0" w:lastRowLastColumn="0"/>
              <w:rPr>
                <w:szCs w:val="22"/>
              </w:rPr>
            </w:pPr>
            <w:r w:rsidRPr="00662947">
              <w:rPr>
                <w:szCs w:val="22"/>
              </w:rPr>
              <w:t>Tzield is indicated to delay the onset of Stage 3 type 1 diabetes in adult and paediatric patients 8 years of age and older with Stage 2 type 1 diabetes (T1D).</w:t>
            </w:r>
          </w:p>
        </w:tc>
      </w:tr>
      <w:tr w:rsidR="00F176AC" w:rsidRPr="00D01DDB" w14:paraId="3AC1111F" w14:textId="77777777" w:rsidTr="00966373">
        <w:tc>
          <w:tcPr>
            <w:cnfStyle w:val="001000000000" w:firstRow="0" w:lastRow="0" w:firstColumn="1" w:lastColumn="0" w:oddVBand="0" w:evenVBand="0" w:oddHBand="0" w:evenHBand="0" w:firstRowFirstColumn="0" w:firstRowLastColumn="0" w:lastRowFirstColumn="0" w:lastRowLastColumn="0"/>
            <w:tcW w:w="844" w:type="pct"/>
          </w:tcPr>
          <w:p w14:paraId="4D57AEAD" w14:textId="74303C1E" w:rsidR="00F176AC" w:rsidRDefault="00F176AC" w:rsidP="00F176AC">
            <w:pPr>
              <w:rPr>
                <w:szCs w:val="22"/>
              </w:rPr>
            </w:pPr>
            <w:r>
              <w:rPr>
                <w:szCs w:val="22"/>
              </w:rPr>
              <w:t>European Union</w:t>
            </w:r>
          </w:p>
        </w:tc>
        <w:tc>
          <w:tcPr>
            <w:tcW w:w="846" w:type="pct"/>
          </w:tcPr>
          <w:p w14:paraId="37D4FEEF" w14:textId="797F4E05" w:rsidR="00F176AC" w:rsidRPr="00D01DDB" w:rsidRDefault="00F176AC" w:rsidP="00F176AC">
            <w:pPr>
              <w:cnfStyle w:val="000000000000" w:firstRow="0" w:lastRow="0" w:firstColumn="0" w:lastColumn="0" w:oddVBand="0" w:evenVBand="0" w:oddHBand="0" w:evenHBand="0" w:firstRowFirstColumn="0" w:firstRowLastColumn="0" w:lastRowFirstColumn="0" w:lastRowLastColumn="0"/>
              <w:rPr>
                <w:szCs w:val="22"/>
              </w:rPr>
            </w:pPr>
            <w:r>
              <w:rPr>
                <w:szCs w:val="22"/>
              </w:rPr>
              <w:t>19 December 2024</w:t>
            </w:r>
          </w:p>
        </w:tc>
        <w:tc>
          <w:tcPr>
            <w:tcW w:w="1001" w:type="pct"/>
          </w:tcPr>
          <w:p w14:paraId="0144F9BC" w14:textId="23E1113A" w:rsidR="00F176AC" w:rsidRDefault="00F176AC" w:rsidP="00F176AC">
            <w:pPr>
              <w:cnfStyle w:val="000000000000" w:firstRow="0" w:lastRow="0" w:firstColumn="0" w:lastColumn="0" w:oddVBand="0" w:evenVBand="0" w:oddHBand="0" w:evenHBand="0" w:firstRowFirstColumn="0" w:firstRowLastColumn="0" w:lastRowFirstColumn="0" w:lastRowLastColumn="0"/>
              <w:rPr>
                <w:szCs w:val="22"/>
              </w:rPr>
            </w:pPr>
            <w:r>
              <w:rPr>
                <w:szCs w:val="22"/>
              </w:rPr>
              <w:t>Approved on 12 February 2026</w:t>
            </w:r>
          </w:p>
        </w:tc>
        <w:tc>
          <w:tcPr>
            <w:tcW w:w="2309" w:type="pct"/>
          </w:tcPr>
          <w:p w14:paraId="4E2D4BC8" w14:textId="190F4841" w:rsidR="00F176AC" w:rsidRPr="00D01DDB" w:rsidRDefault="0013550A" w:rsidP="00662947">
            <w:pPr>
              <w:ind w:left="0"/>
              <w:cnfStyle w:val="000000000000" w:firstRow="0" w:lastRow="0" w:firstColumn="0" w:lastColumn="0" w:oddVBand="0" w:evenVBand="0" w:oddHBand="0" w:evenHBand="0" w:firstRowFirstColumn="0" w:firstRowLastColumn="0" w:lastRowFirstColumn="0" w:lastRowLastColumn="0"/>
              <w:rPr>
                <w:szCs w:val="22"/>
              </w:rPr>
            </w:pPr>
            <w:proofErr w:type="spellStart"/>
            <w:r w:rsidRPr="0013550A">
              <w:rPr>
                <w:szCs w:val="22"/>
              </w:rPr>
              <w:t>Teizeild</w:t>
            </w:r>
            <w:proofErr w:type="spellEnd"/>
            <w:r w:rsidRPr="0013550A">
              <w:rPr>
                <w:szCs w:val="22"/>
              </w:rPr>
              <w:t xml:space="preserve"> is indicated to delay the onset of stage 3 type 1 diabetes (T1D) in adult and paediatric patients 8 years of age and older with stage 2 T1D.</w:t>
            </w:r>
          </w:p>
        </w:tc>
      </w:tr>
    </w:tbl>
    <w:p w14:paraId="6D92589C" w14:textId="09786CEF" w:rsidR="00324B33" w:rsidRDefault="00324B33" w:rsidP="00324B33">
      <w:pPr>
        <w:pStyle w:val="Heading2"/>
      </w:pPr>
      <w:bookmarkStart w:id="26" w:name="_Toc504480011"/>
      <w:bookmarkStart w:id="27" w:name="_Toc103679293"/>
      <w:bookmarkStart w:id="28" w:name="_Toc235627209"/>
      <w:r>
        <w:lastRenderedPageBreak/>
        <w:t>Registration timeline</w:t>
      </w:r>
      <w:bookmarkEnd w:id="26"/>
      <w:bookmarkEnd w:id="27"/>
      <w:bookmarkEnd w:id="28"/>
    </w:p>
    <w:p w14:paraId="6BB76942" w14:textId="0E1475D2" w:rsidR="00477C4E" w:rsidRPr="00BD5DBD" w:rsidRDefault="00324B33" w:rsidP="00324B33">
      <w:pPr>
        <w:rPr>
          <w:szCs w:val="22"/>
        </w:rPr>
      </w:pPr>
      <w:r w:rsidRPr="00BD5DBD">
        <w:rPr>
          <w:szCs w:val="22"/>
        </w:rPr>
        <w:t>The following table captures the key steps and dates for this submission.</w:t>
      </w:r>
      <w:r w:rsidR="006E5797">
        <w:rPr>
          <w:szCs w:val="22"/>
        </w:rPr>
        <w:t xml:space="preserve"> </w:t>
      </w:r>
      <w:r w:rsidR="00477C4E" w:rsidRPr="00BD5DBD">
        <w:rPr>
          <w:szCs w:val="22"/>
        </w:rPr>
        <w:t xml:space="preserve">This submission was evaluated under the </w:t>
      </w:r>
      <w:hyperlink r:id="rId25" w:history="1">
        <w:r w:rsidR="00477C4E" w:rsidRPr="00BD5DBD">
          <w:rPr>
            <w:rStyle w:val="Hyperlink"/>
            <w:szCs w:val="22"/>
          </w:rPr>
          <w:t>standard prescription medicines registration process</w:t>
        </w:r>
      </w:hyperlink>
      <w:r w:rsidR="00477C4E" w:rsidRPr="00BD5DBD">
        <w:rPr>
          <w:szCs w:val="22"/>
        </w:rPr>
        <w:t>.</w:t>
      </w:r>
    </w:p>
    <w:p w14:paraId="5263E729" w14:textId="7EB11E88" w:rsidR="005B02A2" w:rsidRPr="003C1192" w:rsidRDefault="00324B33" w:rsidP="0078567E">
      <w:pPr>
        <w:pStyle w:val="TableTitle"/>
        <w:rPr>
          <w:iCs/>
        </w:rPr>
      </w:pPr>
      <w:r w:rsidRPr="002C1232">
        <w:t xml:space="preserve">Table </w:t>
      </w:r>
      <w:r w:rsidR="00140244">
        <w:t>3</w:t>
      </w:r>
      <w:r w:rsidR="009913B9">
        <w:t xml:space="preserve">. </w:t>
      </w:r>
      <w:r w:rsidRPr="002C1232">
        <w:t>Timeline for Submission PM-202</w:t>
      </w:r>
      <w:r w:rsidR="008A29D2">
        <w:t>5-</w:t>
      </w:r>
      <w:r w:rsidR="009736AC">
        <w:t>00088-1-5</w:t>
      </w:r>
      <w:r w:rsidR="00BE36F7">
        <w:t>.</w:t>
      </w:r>
    </w:p>
    <w:tbl>
      <w:tblPr>
        <w:tblStyle w:val="TableTGAblue2023"/>
        <w:tblW w:w="9209" w:type="dxa"/>
        <w:tblLook w:val="04A0" w:firstRow="1" w:lastRow="0" w:firstColumn="1" w:lastColumn="0" w:noHBand="0" w:noVBand="1"/>
      </w:tblPr>
      <w:tblGrid>
        <w:gridCol w:w="6658"/>
        <w:gridCol w:w="2551"/>
      </w:tblGrid>
      <w:tr w:rsidR="00324B33" w:rsidRPr="00D01DDB" w14:paraId="6C59BE9C" w14:textId="77777777" w:rsidTr="00917E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16D80E78" w14:textId="3EC0CCAF" w:rsidR="00324B33" w:rsidRPr="00D01DDB" w:rsidRDefault="00324B33" w:rsidP="00324B33">
            <w:pPr>
              <w:rPr>
                <w:szCs w:val="22"/>
              </w:rPr>
            </w:pPr>
            <w:r w:rsidRPr="00D01DDB">
              <w:rPr>
                <w:szCs w:val="22"/>
              </w:rPr>
              <w:t>Description</w:t>
            </w:r>
          </w:p>
        </w:tc>
        <w:tc>
          <w:tcPr>
            <w:tcW w:w="2551" w:type="dxa"/>
          </w:tcPr>
          <w:p w14:paraId="79AFDC4B" w14:textId="05792035"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Date</w:t>
            </w:r>
          </w:p>
        </w:tc>
      </w:tr>
      <w:tr w:rsidR="00324B33" w:rsidRPr="00D01DDB" w14:paraId="23610C53" w14:textId="77777777" w:rsidTr="00917EB3">
        <w:tc>
          <w:tcPr>
            <w:cnfStyle w:val="001000000000" w:firstRow="0" w:lastRow="0" w:firstColumn="1" w:lastColumn="0" w:oddVBand="0" w:evenVBand="0" w:oddHBand="0" w:evenHBand="0" w:firstRowFirstColumn="0" w:firstRowLastColumn="0" w:lastRowFirstColumn="0" w:lastRowLastColumn="0"/>
            <w:tcW w:w="6658" w:type="dxa"/>
          </w:tcPr>
          <w:p w14:paraId="759D2A12" w14:textId="0D705F83" w:rsidR="00324B33" w:rsidRPr="00E679D1" w:rsidRDefault="00324B33" w:rsidP="00E679D1">
            <w:r w:rsidRPr="00E679D1">
              <w:t>Submission dossier accepted and first round evaluation commenced</w:t>
            </w:r>
          </w:p>
        </w:tc>
        <w:tc>
          <w:tcPr>
            <w:tcW w:w="2551" w:type="dxa"/>
          </w:tcPr>
          <w:p w14:paraId="2963D9D8" w14:textId="7DA7AFBC" w:rsidR="00324B33" w:rsidRPr="00D01DDB" w:rsidRDefault="00B818ED"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28 February 2025</w:t>
            </w:r>
          </w:p>
        </w:tc>
      </w:tr>
      <w:tr w:rsidR="00803926" w:rsidRPr="00D01DDB" w14:paraId="16D13F79" w14:textId="77777777" w:rsidTr="00917EB3">
        <w:tc>
          <w:tcPr>
            <w:cnfStyle w:val="001000000000" w:firstRow="0" w:lastRow="0" w:firstColumn="1" w:lastColumn="0" w:oddVBand="0" w:evenVBand="0" w:oddHBand="0" w:evenHBand="0" w:firstRowFirstColumn="0" w:firstRowLastColumn="0" w:lastRowFirstColumn="0" w:lastRowLastColumn="0"/>
            <w:tcW w:w="6658" w:type="dxa"/>
          </w:tcPr>
          <w:p w14:paraId="6858B45A" w14:textId="615A218B" w:rsidR="00803926" w:rsidRPr="00E679D1" w:rsidDel="00C62B1C" w:rsidRDefault="00803926" w:rsidP="00E679D1">
            <w:r>
              <w:t>Evaluation completed</w:t>
            </w:r>
            <w:r w:rsidR="005775D0">
              <w:t xml:space="preserve"> (End of round </w:t>
            </w:r>
            <w:r w:rsidR="00C00844">
              <w:t>2)</w:t>
            </w:r>
          </w:p>
        </w:tc>
        <w:tc>
          <w:tcPr>
            <w:tcW w:w="2551" w:type="dxa"/>
          </w:tcPr>
          <w:p w14:paraId="2E0BD403" w14:textId="0030599F" w:rsidR="00803926" w:rsidRPr="00D01DDB" w:rsidRDefault="00EC7387"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19 December 2025</w:t>
            </w:r>
          </w:p>
        </w:tc>
      </w:tr>
      <w:tr w:rsidR="00324B33" w:rsidRPr="00D01DDB" w14:paraId="5754F7AC" w14:textId="77777777" w:rsidTr="00917EB3">
        <w:tc>
          <w:tcPr>
            <w:cnfStyle w:val="001000000000" w:firstRow="0" w:lastRow="0" w:firstColumn="1" w:lastColumn="0" w:oddVBand="0" w:evenVBand="0" w:oddHBand="0" w:evenHBand="0" w:firstRowFirstColumn="0" w:firstRowLastColumn="0" w:lastRowFirstColumn="0" w:lastRowLastColumn="0"/>
            <w:tcW w:w="6658" w:type="dxa"/>
          </w:tcPr>
          <w:p w14:paraId="789DE187" w14:textId="438F4A68" w:rsidR="00324B33" w:rsidRPr="00E679D1" w:rsidRDefault="00324B33" w:rsidP="00E679D1">
            <w:r w:rsidRPr="00E679D1">
              <w:t xml:space="preserve">Advisory </w:t>
            </w:r>
            <w:r w:rsidR="00F8568E">
              <w:t>c</w:t>
            </w:r>
            <w:r w:rsidRPr="00E679D1">
              <w:t>ommittee meeting</w:t>
            </w:r>
          </w:p>
        </w:tc>
        <w:tc>
          <w:tcPr>
            <w:tcW w:w="2551" w:type="dxa"/>
          </w:tcPr>
          <w:p w14:paraId="5BE1EDE7" w14:textId="04D6EE63" w:rsidR="00324B33" w:rsidRPr="00D01DDB" w:rsidRDefault="00341729"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9 – 10 April 2026</w:t>
            </w:r>
          </w:p>
        </w:tc>
      </w:tr>
      <w:tr w:rsidR="00324B33" w:rsidRPr="00D01DDB" w14:paraId="6E5D32FE" w14:textId="77777777" w:rsidTr="00917EB3">
        <w:tc>
          <w:tcPr>
            <w:cnfStyle w:val="001000000000" w:firstRow="0" w:lastRow="0" w:firstColumn="1" w:lastColumn="0" w:oddVBand="0" w:evenVBand="0" w:oddHBand="0" w:evenHBand="0" w:firstRowFirstColumn="0" w:firstRowLastColumn="0" w:lastRowFirstColumn="0" w:lastRowLastColumn="0"/>
            <w:tcW w:w="6658" w:type="dxa"/>
          </w:tcPr>
          <w:p w14:paraId="4E95C44C" w14:textId="7A91C710" w:rsidR="00324B33" w:rsidRPr="00E679D1" w:rsidRDefault="00324B33" w:rsidP="00E679D1">
            <w:r w:rsidRPr="00E679D1">
              <w:t>Registration decision (Outcome)</w:t>
            </w:r>
          </w:p>
        </w:tc>
        <w:tc>
          <w:tcPr>
            <w:tcW w:w="2551" w:type="dxa"/>
          </w:tcPr>
          <w:p w14:paraId="62987ABD" w14:textId="56E8D873" w:rsidR="00324B33" w:rsidRPr="00D01DDB" w:rsidRDefault="00966362"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21 May 2026</w:t>
            </w:r>
          </w:p>
        </w:tc>
      </w:tr>
      <w:tr w:rsidR="00324B33" w:rsidRPr="00D01DDB" w14:paraId="6DDCDDA4" w14:textId="77777777" w:rsidTr="00917EB3">
        <w:tc>
          <w:tcPr>
            <w:cnfStyle w:val="001000000000" w:firstRow="0" w:lastRow="0" w:firstColumn="1" w:lastColumn="0" w:oddVBand="0" w:evenVBand="0" w:oddHBand="0" w:evenHBand="0" w:firstRowFirstColumn="0" w:firstRowLastColumn="0" w:lastRowFirstColumn="0" w:lastRowLastColumn="0"/>
            <w:tcW w:w="6658" w:type="dxa"/>
          </w:tcPr>
          <w:p w14:paraId="192FD19D" w14:textId="3A0D1BCD" w:rsidR="00324B33" w:rsidRPr="00E679D1" w:rsidRDefault="0013132F" w:rsidP="007311B9">
            <w:pPr>
              <w:ind w:left="0"/>
            </w:pPr>
            <w:r w:rsidRPr="00E679D1">
              <w:t xml:space="preserve"> </w:t>
            </w:r>
            <w:r w:rsidR="00C00844">
              <w:t>R</w:t>
            </w:r>
            <w:r w:rsidRPr="00E679D1">
              <w:t xml:space="preserve">egistration </w:t>
            </w:r>
            <w:r w:rsidR="005C4B46" w:rsidRPr="00E679D1">
              <w:t xml:space="preserve">in </w:t>
            </w:r>
            <w:r w:rsidRPr="00E679D1">
              <w:t>the ARTG completed</w:t>
            </w:r>
          </w:p>
        </w:tc>
        <w:tc>
          <w:tcPr>
            <w:tcW w:w="2551" w:type="dxa"/>
          </w:tcPr>
          <w:p w14:paraId="5A8923FD" w14:textId="13B79BE5" w:rsidR="00324B33" w:rsidRPr="00D01DDB" w:rsidRDefault="00966362"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21 May 2026</w:t>
            </w:r>
          </w:p>
        </w:tc>
      </w:tr>
      <w:tr w:rsidR="00324B33" w:rsidRPr="00D01DDB" w14:paraId="56D922E2" w14:textId="77777777" w:rsidTr="00917EB3">
        <w:tc>
          <w:tcPr>
            <w:cnfStyle w:val="001000000000" w:firstRow="0" w:lastRow="0" w:firstColumn="1" w:lastColumn="0" w:oddVBand="0" w:evenVBand="0" w:oddHBand="0" w:evenHBand="0" w:firstRowFirstColumn="0" w:firstRowLastColumn="0" w:lastRowFirstColumn="0" w:lastRowLastColumn="0"/>
            <w:tcW w:w="6658" w:type="dxa"/>
          </w:tcPr>
          <w:p w14:paraId="787FD8DD" w14:textId="0E0CF97F" w:rsidR="00324B33" w:rsidRPr="00E679D1" w:rsidRDefault="00324B33" w:rsidP="00E679D1">
            <w:r w:rsidRPr="00E679D1">
              <w:t>Number of working days from submission dossier acceptance to registration decision*</w:t>
            </w:r>
          </w:p>
        </w:tc>
        <w:tc>
          <w:tcPr>
            <w:tcW w:w="2551" w:type="dxa"/>
          </w:tcPr>
          <w:p w14:paraId="5BAF9FA1" w14:textId="61B778BF" w:rsidR="00324B33" w:rsidRPr="00D01DDB" w:rsidRDefault="00C97DD1"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218</w:t>
            </w:r>
          </w:p>
        </w:tc>
      </w:tr>
    </w:tbl>
    <w:p w14:paraId="7B02554C" w14:textId="77777777" w:rsidR="00433318" w:rsidRDefault="00433318" w:rsidP="00433318">
      <w:pPr>
        <w:pStyle w:val="TableDescription"/>
      </w:pPr>
      <w:r>
        <w:t>*</w:t>
      </w:r>
      <w:r w:rsidRPr="00BF3774">
        <w:t xml:space="preserve">Statutory </w:t>
      </w:r>
      <w:r>
        <w:t>timeframe for standard submissions is 255 working days</w:t>
      </w:r>
    </w:p>
    <w:p w14:paraId="220925F1" w14:textId="75C7430A" w:rsidR="00C22214" w:rsidRPr="00792A32" w:rsidRDefault="00083763" w:rsidP="00C22214">
      <w:pPr>
        <w:pStyle w:val="Heading2"/>
      </w:pPr>
      <w:bookmarkStart w:id="29" w:name="_Toc196046504"/>
      <w:bookmarkStart w:id="30" w:name="_Toc247691527"/>
      <w:bookmarkStart w:id="31" w:name="_Toc314842510"/>
      <w:bookmarkStart w:id="32" w:name="_Toc103679294"/>
      <w:bookmarkStart w:id="33" w:name="_Toc235627210"/>
      <w:r>
        <w:t xml:space="preserve">Assessment </w:t>
      </w:r>
      <w:r w:rsidR="00C22214" w:rsidRPr="00006FAB">
        <w:t>overview</w:t>
      </w:r>
      <w:bookmarkEnd w:id="33"/>
      <w:r w:rsidR="00C22214" w:rsidRPr="00006FAB">
        <w:t xml:space="preserve"> </w:t>
      </w:r>
      <w:bookmarkEnd w:id="29"/>
      <w:bookmarkEnd w:id="30"/>
      <w:bookmarkEnd w:id="31"/>
      <w:bookmarkEnd w:id="32"/>
    </w:p>
    <w:p w14:paraId="540151FC" w14:textId="77777777" w:rsidR="00C22214" w:rsidRPr="00BD5DBD" w:rsidRDefault="00C22214" w:rsidP="00BD5DBD">
      <w:pPr>
        <w:rPr>
          <w:szCs w:val="22"/>
        </w:rPr>
      </w:pPr>
      <w:bookmarkStart w:id="34" w:name="_Toc247691528"/>
      <w:bookmarkStart w:id="35" w:name="_Toc314842511"/>
      <w:r w:rsidRPr="00BD5DBD">
        <w:rPr>
          <w:szCs w:val="22"/>
        </w:rPr>
        <w:t>A summary of the TGA’s assessment for this submission is provided below.</w:t>
      </w:r>
    </w:p>
    <w:p w14:paraId="5F5FAA14" w14:textId="77777777" w:rsidR="00C22214" w:rsidRPr="00BD5DBD" w:rsidRDefault="00C22214" w:rsidP="00C22214">
      <w:pPr>
        <w:rPr>
          <w:szCs w:val="22"/>
        </w:rPr>
      </w:pPr>
      <w:r w:rsidRPr="00BD5DBD">
        <w:rPr>
          <w:szCs w:val="22"/>
        </w:rPr>
        <w:t>This section is a TGA summary of wording used in TGA’s evaluation report, which discussed numerous aspects of overseas evaluation reports and included some information that was commercial-in-confidence.</w:t>
      </w:r>
    </w:p>
    <w:p w14:paraId="37F5A1C0" w14:textId="5D3D5FE0" w:rsidR="00C22214" w:rsidRDefault="00095C6A" w:rsidP="00C22214">
      <w:pPr>
        <w:pStyle w:val="Heading3"/>
      </w:pPr>
      <w:bookmarkStart w:id="36" w:name="_Toc103679295"/>
      <w:bookmarkStart w:id="37" w:name="_Toc235627211"/>
      <w:r>
        <w:t>Q</w:t>
      </w:r>
      <w:r w:rsidR="00C22214">
        <w:t>uality</w:t>
      </w:r>
      <w:bookmarkEnd w:id="34"/>
      <w:bookmarkEnd w:id="35"/>
      <w:bookmarkEnd w:id="36"/>
      <w:r w:rsidR="007E6443">
        <w:t xml:space="preserve"> evaluation</w:t>
      </w:r>
      <w:r>
        <w:t xml:space="preserve"> summary</w:t>
      </w:r>
      <w:bookmarkEnd w:id="37"/>
    </w:p>
    <w:p w14:paraId="4A8DF1C9" w14:textId="41F88AEB" w:rsidR="00B55033" w:rsidRDefault="00B55033" w:rsidP="00731864">
      <w:r>
        <w:t xml:space="preserve">The proposed medicine is identical to that evaluated and approved within the SMC package </w:t>
      </w:r>
      <w:r w:rsidR="002D6A98">
        <w:t>regarding</w:t>
      </w:r>
      <w:r>
        <w:t xml:space="preserve"> strength or size, formulation, manufacturer and manufacturing process. </w:t>
      </w:r>
    </w:p>
    <w:p w14:paraId="428177C6" w14:textId="0A773EE4" w:rsidR="00B55033" w:rsidRPr="00323777" w:rsidRDefault="00B55033" w:rsidP="00731864">
      <w:pPr>
        <w:rPr>
          <w:b/>
          <w:bCs/>
        </w:rPr>
      </w:pPr>
      <w:r w:rsidRPr="00323777">
        <w:rPr>
          <w:b/>
          <w:bCs/>
        </w:rPr>
        <w:t xml:space="preserve">Drug substance </w:t>
      </w:r>
    </w:p>
    <w:p w14:paraId="4FE2DFF6" w14:textId="71C6205E" w:rsidR="00EF7EED" w:rsidRDefault="006D5AB3" w:rsidP="00EF7EED">
      <w:r w:rsidRPr="006D5AB3">
        <w:t>Teplizumab is a glycosylated IgG1 kappa monoclonal antibody that selectively binds to the</w:t>
      </w:r>
      <w:r>
        <w:t xml:space="preserve"> </w:t>
      </w:r>
      <w:r w:rsidRPr="006D5AB3">
        <w:t>CD3 complex of T lymphocytes</w:t>
      </w:r>
      <w:r>
        <w:t xml:space="preserve">. </w:t>
      </w:r>
      <w:r w:rsidR="00027C6F" w:rsidRPr="00027C6F">
        <w:t xml:space="preserve">The active ingredient was produced using recombinant DNA technology. </w:t>
      </w:r>
    </w:p>
    <w:p w14:paraId="46BD250F" w14:textId="77777777" w:rsidR="00DA486E" w:rsidRPr="00DA486E" w:rsidRDefault="00083FD0" w:rsidP="00DA486E">
      <w:r>
        <w:t xml:space="preserve">Teplizumab </w:t>
      </w:r>
      <w:r w:rsidR="005C5DD9">
        <w:t>drug product (</w:t>
      </w:r>
      <w:r>
        <w:t>DP</w:t>
      </w:r>
      <w:r w:rsidR="005C5DD9">
        <w:t>)</w:t>
      </w:r>
      <w:r>
        <w:t xml:space="preserve"> is supplied as a sterile solution with a concentration of 1.0 mg/mL for IV infusion. The formulation is the same as the drug substance. </w:t>
      </w:r>
      <w:r w:rsidR="00DA486E" w:rsidRPr="00DA486E">
        <w:rPr>
          <w:lang w:val="en-US"/>
        </w:rPr>
        <w:t>The teplizumab DP contains 1.0 mg/mL teplizumab in a buffer composed of 10 mM sodium phosphate at pH 6.1 containing 150 mM sodium chloride and 0.05 mg/mL polysorbate 80. There are no novel excipients, and no excipients of human or animal origin.</w:t>
      </w:r>
      <w:r w:rsidR="00DA486E" w:rsidRPr="00DA486E">
        <w:t xml:space="preserve"> </w:t>
      </w:r>
    </w:p>
    <w:p w14:paraId="7FBB6AF7" w14:textId="77777777" w:rsidR="00917EB3" w:rsidRDefault="00083FD0" w:rsidP="006A7B51">
      <w:r>
        <w:t xml:space="preserve">The DP is packaged in </w:t>
      </w:r>
      <w:r w:rsidR="00E05EED">
        <w:t xml:space="preserve">a </w:t>
      </w:r>
      <w:r>
        <w:t>Type I borosilicate glass vial with a</w:t>
      </w:r>
      <w:r w:rsidR="00587C77">
        <w:t xml:space="preserve"> </w:t>
      </w:r>
      <w:r>
        <w:t>butyl rubber stopper</w:t>
      </w:r>
      <w:r w:rsidR="00F45B33">
        <w:t xml:space="preserve"> </w:t>
      </w:r>
      <w:r w:rsidR="00F45B33" w:rsidRPr="00F45B33">
        <w:t>and an aluminium seal with a coloured polypropylene flip-off cap</w:t>
      </w:r>
      <w:r>
        <w:t xml:space="preserve">. The nominal fill volume is 2 </w:t>
      </w:r>
      <w:proofErr w:type="spellStart"/>
      <w:r>
        <w:t>mL.</w:t>
      </w:r>
      <w:proofErr w:type="spellEnd"/>
      <w:r>
        <w:t xml:space="preserve"> </w:t>
      </w:r>
    </w:p>
    <w:p w14:paraId="1920A06E" w14:textId="3FFD9EA1" w:rsidR="006A7B51" w:rsidRPr="006A7B51" w:rsidRDefault="001F29FC" w:rsidP="006A7B51">
      <w:pPr>
        <w:rPr>
          <w:lang w:val="en-US"/>
        </w:rPr>
      </w:pPr>
      <w:r>
        <w:t>T</w:t>
      </w:r>
      <w:r w:rsidR="006A7B51" w:rsidRPr="006A7B51">
        <w:t xml:space="preserve">he vial </w:t>
      </w:r>
      <w:r>
        <w:t xml:space="preserve">should </w:t>
      </w:r>
      <w:r w:rsidR="00C35D23">
        <w:t xml:space="preserve">be stored upright and </w:t>
      </w:r>
      <w:r>
        <w:t>remain</w:t>
      </w:r>
      <w:r w:rsidR="007C105D">
        <w:t xml:space="preserve"> </w:t>
      </w:r>
      <w:r w:rsidR="006A7B51" w:rsidRPr="006A7B51">
        <w:t xml:space="preserve">in the outer carton to protect </w:t>
      </w:r>
      <w:r w:rsidR="007C105D">
        <w:t xml:space="preserve">it </w:t>
      </w:r>
      <w:r w:rsidR="006A7B51" w:rsidRPr="006A7B51">
        <w:t>from light</w:t>
      </w:r>
      <w:r w:rsidR="00C35D23">
        <w:t>.</w:t>
      </w:r>
      <w:r w:rsidR="00C35D23" w:rsidRPr="00C35D23">
        <w:t xml:space="preserve"> Do not freeze or shake the vials. </w:t>
      </w:r>
    </w:p>
    <w:p w14:paraId="23CBEF4E" w14:textId="77777777" w:rsidR="00917EB3" w:rsidRDefault="00917EB3" w:rsidP="00ED2C86"/>
    <w:p w14:paraId="38073D9A" w14:textId="540375D3" w:rsidR="007C0F3C" w:rsidRPr="00083FD0" w:rsidRDefault="007C0F3C" w:rsidP="00ED2C86">
      <w:r w:rsidRPr="007C0F3C">
        <w:lastRenderedPageBreak/>
        <w:t>Stability data provided supports a shelf life of 36</w:t>
      </w:r>
      <w:r w:rsidR="002E2E0E">
        <w:t>-</w:t>
      </w:r>
      <w:r w:rsidRPr="007C0F3C">
        <w:t>months at a storage condition</w:t>
      </w:r>
      <w:r>
        <w:t xml:space="preserve"> </w:t>
      </w:r>
      <w:r w:rsidRPr="007C0F3C">
        <w:t>of 2</w:t>
      </w:r>
      <w:r w:rsidR="00D32C6F">
        <w:t xml:space="preserve"> </w:t>
      </w:r>
      <w:r w:rsidR="00AE77CC" w:rsidRPr="00AE77CC">
        <w:t xml:space="preserve">°C </w:t>
      </w:r>
      <w:r w:rsidR="00556A44">
        <w:t>to</w:t>
      </w:r>
      <w:r w:rsidR="00D32C6F">
        <w:t xml:space="preserve"> </w:t>
      </w:r>
      <w:r w:rsidRPr="007C0F3C">
        <w:t>8 °C.</w:t>
      </w:r>
      <w:r w:rsidR="00ED2C86" w:rsidRPr="00ED2C86">
        <w:rPr>
          <w:rFonts w:cs="Cambria"/>
          <w:szCs w:val="22"/>
        </w:rPr>
        <w:t xml:space="preserve"> </w:t>
      </w:r>
      <w:r w:rsidR="00ED2C86" w:rsidRPr="00ED2C86">
        <w:t>For IV infusion bags the diluted solution for infusion can be held at room</w:t>
      </w:r>
      <w:r w:rsidR="00ED2C86">
        <w:t xml:space="preserve"> </w:t>
      </w:r>
      <w:r w:rsidR="00ED2C86" w:rsidRPr="00ED2C86">
        <w:t>temperature (15</w:t>
      </w:r>
      <w:r w:rsidR="00244697">
        <w:t xml:space="preserve"> </w:t>
      </w:r>
      <w:r w:rsidR="00ED2C86" w:rsidRPr="00ED2C86">
        <w:t>°C to 25</w:t>
      </w:r>
      <w:r w:rsidR="00244697">
        <w:t xml:space="preserve"> </w:t>
      </w:r>
      <w:r w:rsidR="00ED2C86" w:rsidRPr="00ED2C86">
        <w:t>°C) and the infusion completed within 6 hours of the</w:t>
      </w:r>
      <w:r w:rsidR="00ED2C86">
        <w:t xml:space="preserve"> </w:t>
      </w:r>
      <w:r w:rsidR="00ED2C86" w:rsidRPr="00ED2C86">
        <w:t>start of preparation (i.e., removing the cap from the vial). For syringe infusions</w:t>
      </w:r>
      <w:r w:rsidR="00ED2C86">
        <w:t xml:space="preserve"> </w:t>
      </w:r>
      <w:r w:rsidR="00ED2C86" w:rsidRPr="00ED2C86">
        <w:t>the diluted solution for infusion can be held for 12 hours under refrigerated</w:t>
      </w:r>
      <w:r w:rsidR="00ED2C86">
        <w:t xml:space="preserve"> </w:t>
      </w:r>
      <w:r w:rsidR="00ED2C86" w:rsidRPr="00ED2C86">
        <w:t>conditions (2 °C to 8 °C), followed by no more than 6 hours at ambient</w:t>
      </w:r>
      <w:r w:rsidR="00ED2C86">
        <w:t xml:space="preserve"> </w:t>
      </w:r>
      <w:r w:rsidR="00ED2C86" w:rsidRPr="00ED2C86">
        <w:t>temperature (15 °C to 25 °C).</w:t>
      </w:r>
    </w:p>
    <w:p w14:paraId="7950426B" w14:textId="0DC735AD" w:rsidR="007C25CD" w:rsidRPr="009003D7" w:rsidRDefault="007C25CD" w:rsidP="00917EB3">
      <w:pPr>
        <w:pStyle w:val="Heading4"/>
      </w:pPr>
      <w:bookmarkStart w:id="38" w:name="_Toc235627212"/>
      <w:r w:rsidRPr="009003D7">
        <w:t xml:space="preserve">Recommendations to the </w:t>
      </w:r>
      <w:r w:rsidR="00917EB3" w:rsidRPr="009003D7">
        <w:t>clinical d</w:t>
      </w:r>
      <w:r w:rsidRPr="009003D7">
        <w:t>elegate</w:t>
      </w:r>
      <w:bookmarkEnd w:id="38"/>
      <w:r w:rsidRPr="009003D7">
        <w:t xml:space="preserve"> </w:t>
      </w:r>
    </w:p>
    <w:p w14:paraId="1F298FB2" w14:textId="21B84DE2" w:rsidR="007C25CD" w:rsidRPr="009003D7" w:rsidRDefault="007C25CD" w:rsidP="007C25CD">
      <w:r w:rsidRPr="009003D7">
        <w:t>There are no objections on quality grounds to the approval of T</w:t>
      </w:r>
      <w:r w:rsidR="00B9755E">
        <w:t>zield</w:t>
      </w:r>
      <w:r w:rsidRPr="009003D7">
        <w:t>.</w:t>
      </w:r>
    </w:p>
    <w:p w14:paraId="2BE90AAE" w14:textId="35796FD3" w:rsidR="00C22214" w:rsidRDefault="00C22214" w:rsidP="00C22214">
      <w:pPr>
        <w:pStyle w:val="Heading3"/>
      </w:pPr>
      <w:bookmarkStart w:id="39" w:name="_Toc314842512"/>
      <w:bookmarkStart w:id="40" w:name="_Toc103679296"/>
      <w:bookmarkStart w:id="41" w:name="_Toc235627213"/>
      <w:r>
        <w:t>Nonclinical</w:t>
      </w:r>
      <w:bookmarkEnd w:id="39"/>
      <w:bookmarkEnd w:id="40"/>
      <w:r w:rsidR="007E6443">
        <w:t xml:space="preserve"> evaluation</w:t>
      </w:r>
      <w:r w:rsidR="00095C6A">
        <w:t xml:space="preserve"> summary</w:t>
      </w:r>
      <w:bookmarkEnd w:id="41"/>
    </w:p>
    <w:p w14:paraId="265D83A4" w14:textId="644840DD" w:rsidR="00BC5F3F" w:rsidRPr="00BC5F3F" w:rsidRDefault="00BC5F3F" w:rsidP="00BC5F3F">
      <w:r w:rsidRPr="00BC5F3F">
        <w:t>The nonclinical dossier was adequate in scope in accordance with the relevant TGA-adopted guidelines</w:t>
      </w:r>
      <w:r w:rsidR="00E0094A">
        <w:t xml:space="preserve"> </w:t>
      </w:r>
      <w:r w:rsidRPr="00BC5F3F">
        <w:t xml:space="preserve">and all pivotal safety-related studies were GLP-compliant. </w:t>
      </w:r>
    </w:p>
    <w:p w14:paraId="6C8FFFC5" w14:textId="334ED583" w:rsidR="00BC5F3F" w:rsidRPr="00BC5F3F" w:rsidRDefault="00BC5F3F" w:rsidP="00BC5F3F">
      <w:r w:rsidRPr="00BC5F3F">
        <w:t xml:space="preserve">The target of teplizumab, human CD3 shares high protein sequence homology with the chimpanzee CD3 epitope region, whereas CD3 of other species (rodent, monkey/macaque, pig, cat, dog) have less homology. For this reason, the chimpanzee was identified as the sole species likely to be pharmacologically responsive to teplizumab. </w:t>
      </w:r>
      <w:r w:rsidRPr="00BC5F3F">
        <w:rPr>
          <w:i/>
          <w:iCs/>
        </w:rPr>
        <w:t>In vitro</w:t>
      </w:r>
      <w:r w:rsidRPr="00BC5F3F">
        <w:t xml:space="preserve">, binding of teplizumab to soluble human CD3 and binding of a mouse surrogate </w:t>
      </w:r>
      <w:proofErr w:type="spellStart"/>
      <w:r w:rsidRPr="00BC5F3F">
        <w:t>mAb</w:t>
      </w:r>
      <w:proofErr w:type="spellEnd"/>
      <w:r w:rsidR="00E403FF">
        <w:t xml:space="preserve"> (</w:t>
      </w:r>
      <w:r w:rsidR="008E2B9D">
        <w:t>Monoclonal antibody)</w:t>
      </w:r>
      <w:r w:rsidRPr="00BC5F3F">
        <w:t>, 2C11-mG2a(Ala-Ala), to soluble mouse CD3, indicated comparable binding affinity (</w:t>
      </w:r>
      <w:proofErr w:type="spellStart"/>
      <w:r w:rsidRPr="00BC5F3F">
        <w:t>Kd</w:t>
      </w:r>
      <w:proofErr w:type="spellEnd"/>
      <w:r w:rsidRPr="00BC5F3F">
        <w:t xml:space="preserve">: 2.3 and 3.0 </w:t>
      </w:r>
      <w:proofErr w:type="spellStart"/>
      <w:r w:rsidRPr="00BC5F3F">
        <w:t>μM</w:t>
      </w:r>
      <w:proofErr w:type="spellEnd"/>
      <w:r w:rsidRPr="00BC5F3F">
        <w:t xml:space="preserve">, respectively). </w:t>
      </w:r>
    </w:p>
    <w:p w14:paraId="13F25EAB" w14:textId="0CCE869A" w:rsidR="00BC5F3F" w:rsidRPr="00BC5F3F" w:rsidRDefault="00BC5F3F" w:rsidP="00BC5F3F">
      <w:r w:rsidRPr="00BC5F3F">
        <w:t xml:space="preserve">In an </w:t>
      </w:r>
      <w:r w:rsidRPr="00BC5F3F">
        <w:rPr>
          <w:i/>
          <w:iCs/>
        </w:rPr>
        <w:t xml:space="preserve">in vivo </w:t>
      </w:r>
      <w:r w:rsidRPr="00BC5F3F">
        <w:t xml:space="preserve">study, the mouse </w:t>
      </w:r>
      <w:proofErr w:type="spellStart"/>
      <w:r w:rsidRPr="00BC5F3F">
        <w:t>mAb</w:t>
      </w:r>
      <w:proofErr w:type="spellEnd"/>
      <w:r w:rsidRPr="00BC5F3F">
        <w:t xml:space="preserve"> surrogate 2C11-mG2a(Ala-Ala) delayed onset of diabetes and reduced incidence of diabetes in a mouse model of pre-diabetes (non-obese diabetic, NOD mice). However, subsequent exposures to surrogate </w:t>
      </w:r>
      <w:proofErr w:type="spellStart"/>
      <w:r w:rsidRPr="00BC5F3F">
        <w:t>mAb</w:t>
      </w:r>
      <w:proofErr w:type="spellEnd"/>
      <w:r w:rsidRPr="00BC5F3F">
        <w:t xml:space="preserve"> (and to an isotype control </w:t>
      </w:r>
      <w:proofErr w:type="spellStart"/>
      <w:r w:rsidRPr="00BC5F3F">
        <w:t>mAb</w:t>
      </w:r>
      <w:proofErr w:type="spellEnd"/>
      <w:r w:rsidRPr="00BC5F3F">
        <w:t xml:space="preserve">) caused hypersensitivity reactions, with high mortality observed due to anaphylactic reactions. </w:t>
      </w:r>
    </w:p>
    <w:p w14:paraId="54267D31" w14:textId="2258A41C" w:rsidR="00BC5F3F" w:rsidRPr="00BC5F3F" w:rsidRDefault="00BC5F3F" w:rsidP="00BC5F3F">
      <w:r w:rsidRPr="00BC5F3F">
        <w:t xml:space="preserve">Modifications to two amino acids in the Fc portion of teplizumab immunoglobulin (Ig) are intended to reduce Fc mediated effector functions and complement binding. </w:t>
      </w:r>
      <w:r w:rsidRPr="00BC5F3F">
        <w:rPr>
          <w:i/>
          <w:iCs/>
        </w:rPr>
        <w:t xml:space="preserve">In vitro </w:t>
      </w:r>
      <w:r w:rsidRPr="00BC5F3F">
        <w:t xml:space="preserve">cellular assays did not identify discernible </w:t>
      </w:r>
      <w:r w:rsidR="0030368B" w:rsidRPr="0030368B">
        <w:t xml:space="preserve">complement dependant cytotoxicity </w:t>
      </w:r>
      <w:r w:rsidR="0030368B">
        <w:t>(</w:t>
      </w:r>
      <w:r w:rsidRPr="00BC5F3F">
        <w:t>CDC</w:t>
      </w:r>
      <w:r w:rsidR="0030368B">
        <w:t>)</w:t>
      </w:r>
      <w:r w:rsidRPr="00BC5F3F">
        <w:t xml:space="preserve"> and </w:t>
      </w:r>
      <w:r w:rsidR="00E3421E">
        <w:t>a</w:t>
      </w:r>
      <w:r w:rsidR="00E3421E" w:rsidRPr="00E3421E">
        <w:t xml:space="preserve">ntibody dependent cellular cytotoxicity </w:t>
      </w:r>
      <w:r w:rsidR="00E3421E">
        <w:t>(</w:t>
      </w:r>
      <w:r w:rsidRPr="00BC5F3F">
        <w:t>ADCC</w:t>
      </w:r>
      <w:r w:rsidR="00E3421E">
        <w:t>)</w:t>
      </w:r>
      <w:r w:rsidRPr="00BC5F3F">
        <w:t xml:space="preserve"> activity by teplizumab under test conditions. </w:t>
      </w:r>
    </w:p>
    <w:p w14:paraId="639DAE0B" w14:textId="4CFB2B57" w:rsidR="00BC5F3F" w:rsidRPr="00BC5F3F" w:rsidRDefault="00BC5F3F" w:rsidP="00BC5F3F">
      <w:r w:rsidRPr="00BC5F3F">
        <w:t xml:space="preserve">In tissue cross-reactivity studies teplizumab showed targeted binding to T lymphocytes present in various tissues from a human tissue panel, but no binding to B or non-T regions of lymphoid tissues. Teplizumab induced mild increases of cytokine release in human PBMCs </w:t>
      </w:r>
      <w:r w:rsidR="000B4FEE">
        <w:t>(p</w:t>
      </w:r>
      <w:r w:rsidR="000B4FEE" w:rsidRPr="000B4FEE">
        <w:t>eripheral blood mononuclear c</w:t>
      </w:r>
      <w:r w:rsidR="000B4FEE">
        <w:t>e</w:t>
      </w:r>
      <w:r w:rsidR="000B4FEE" w:rsidRPr="000B4FEE">
        <w:t>ll</w:t>
      </w:r>
      <w:r w:rsidR="000B4FEE">
        <w:t>s)</w:t>
      </w:r>
      <w:r w:rsidR="000B4FEE" w:rsidRPr="000B4FEE">
        <w:rPr>
          <w:i/>
          <w:iCs/>
        </w:rPr>
        <w:t xml:space="preserve"> </w:t>
      </w:r>
      <w:r w:rsidRPr="00BC5F3F">
        <w:rPr>
          <w:i/>
          <w:iCs/>
        </w:rPr>
        <w:t>in vitro</w:t>
      </w:r>
      <w:r w:rsidRPr="00BC5F3F">
        <w:t xml:space="preserve">, while </w:t>
      </w:r>
      <w:r w:rsidRPr="00BC5F3F">
        <w:rPr>
          <w:i/>
          <w:iCs/>
        </w:rPr>
        <w:t xml:space="preserve">in vivo </w:t>
      </w:r>
      <w:r w:rsidRPr="00BC5F3F">
        <w:t xml:space="preserve">mouse surrogate </w:t>
      </w:r>
      <w:proofErr w:type="spellStart"/>
      <w:r w:rsidRPr="00BC5F3F">
        <w:t>mAb</w:t>
      </w:r>
      <w:proofErr w:type="spellEnd"/>
      <w:r w:rsidRPr="00BC5F3F">
        <w:t xml:space="preserve"> also mildly induced cytokine release (IL-6 and IL-12, ≤3.5-fold). </w:t>
      </w:r>
    </w:p>
    <w:p w14:paraId="65F49AC1" w14:textId="332AD5C1" w:rsidR="00BC5F3F" w:rsidRDefault="00BC5F3F" w:rsidP="00BC5F3F">
      <w:r w:rsidRPr="00BC5F3F">
        <w:t>Safety pharmacology assessments incorporated in the toxicity study designs did not indicate any organ system hazards of using teplizumab in patients.</w:t>
      </w:r>
    </w:p>
    <w:p w14:paraId="1D739419" w14:textId="26762F6D" w:rsidR="00EB5221" w:rsidRDefault="00EB5221" w:rsidP="00EB5221">
      <w:r>
        <w:t xml:space="preserve">A study that compared the pharmacokinetic profiles of early manufacturing process lots of teplizumab in rats showed bioequivalence between the two processes. The pharmacokinetics of teplizumab in chimpanzees and human patients was generally consistent with the protein nature of the antibody drug (i.e., long half-lives) and considered acceptably similar in chimpanzees and human subjects. The pharmacokinetics of the surrogate </w:t>
      </w:r>
      <w:proofErr w:type="spellStart"/>
      <w:r>
        <w:t>mAb</w:t>
      </w:r>
      <w:proofErr w:type="spellEnd"/>
      <w:r>
        <w:t xml:space="preserve"> in mice also displayed a long half-life and considered acceptably similar. Therefore, </w:t>
      </w:r>
      <w:r w:rsidR="00CF691B">
        <w:t>most</w:t>
      </w:r>
      <w:r>
        <w:t xml:space="preserve"> nonclinical safety studies have been conducted with the surrogate </w:t>
      </w:r>
      <w:proofErr w:type="spellStart"/>
      <w:r>
        <w:t>mAb</w:t>
      </w:r>
      <w:proofErr w:type="spellEnd"/>
      <w:r>
        <w:t xml:space="preserve"> in mice.</w:t>
      </w:r>
    </w:p>
    <w:p w14:paraId="760542EB" w14:textId="4D73A3DB" w:rsidR="00EB5221" w:rsidRDefault="00EB5221" w:rsidP="00EB5221">
      <w:r>
        <w:t xml:space="preserve">The pivotal single dose </w:t>
      </w:r>
      <w:r w:rsidR="00A2152F">
        <w:t>subcutaneous (</w:t>
      </w:r>
      <w:r>
        <w:t>SC</w:t>
      </w:r>
      <w:r w:rsidR="00A2152F">
        <w:t>)</w:t>
      </w:r>
      <w:r>
        <w:t xml:space="preserve"> toxicity study in chimpanzees showed teplizumab exerting a pharmacodynamic effect against T cells resulting in complete (albeit, transient) depletion of CD3+ T cells. At the highest dose this was associated with mortalities that were attributed to bacterial and viral infections (necro</w:t>
      </w:r>
      <w:r w:rsidR="00A2152F">
        <w:t>-</w:t>
      </w:r>
      <w:r>
        <w:t>suppurative bacterial pneumonia, lympho-</w:t>
      </w:r>
      <w:r>
        <w:lastRenderedPageBreak/>
        <w:t xml:space="preserve">proliferative disease, secondary to T cell suppression and </w:t>
      </w:r>
      <w:r w:rsidR="00054776">
        <w:t>Epstein Barr Virus (</w:t>
      </w:r>
      <w:r>
        <w:t>EBV</w:t>
      </w:r>
      <w:r w:rsidR="00054776">
        <w:t>)</w:t>
      </w:r>
      <w:r>
        <w:t xml:space="preserve">-like </w:t>
      </w:r>
      <w:proofErr w:type="spellStart"/>
      <w:r>
        <w:t>lymphocryptovirus</w:t>
      </w:r>
      <w:proofErr w:type="spellEnd"/>
      <w:r>
        <w:t xml:space="preserve"> infection).</w:t>
      </w:r>
    </w:p>
    <w:p w14:paraId="42E52848" w14:textId="77777777" w:rsidR="00EB5221" w:rsidRDefault="00EB5221" w:rsidP="00EB5221">
      <w:r>
        <w:t>At all doses there were decreases in T cell subpopulations, concurrent decreases in CD19+ B cells (transient) and increased circulating levels of TNF-α, IL-6, and IL-10 (peak at 6h and resolved at 2 weeks post-dose). There were no clinical signs of inflammation or irritation at the injection site. Dose-dependent release of cytokines (TNFα, IL-6, IL-10) peaked 6 h post-dose.</w:t>
      </w:r>
    </w:p>
    <w:p w14:paraId="6C47362F" w14:textId="77777777" w:rsidR="00EB5221" w:rsidRDefault="00EB5221" w:rsidP="00EB5221">
      <w:r>
        <w:t xml:space="preserve">Repeat-dose toxicity studies in mice with the surrogate </w:t>
      </w:r>
      <w:proofErr w:type="spellStart"/>
      <w:r>
        <w:t>mAb</w:t>
      </w:r>
      <w:proofErr w:type="spellEnd"/>
      <w:r>
        <w:t xml:space="preserve"> [2C11-mG2a(Ala-Ala) indicated toxicities were primarily due to pharmacological actions on lymphocytes (decreased counts), correlating with findings in thymus (reduction in cellularity of the medulla) and spleen (haematopoiesis increase). B cells and NK cells were slightly lower throughout the 6-day study (6-week recovery) in spleen and/or only on Day 2 in peripheral blood. There were also findings in mandibular lymph nodes (neutrophil infiltration) and bone marrow (myeloid hyperplasia comprised primarily of mature neutrophils). All findings were generally reversible or partially reversible after the recovery period. Anaphylaxis and mortality based on hypersensitivity reactions after the 4th dose (IV dosing every 3 days) with the surrogate </w:t>
      </w:r>
      <w:proofErr w:type="spellStart"/>
      <w:r>
        <w:t>mAb</w:t>
      </w:r>
      <w:proofErr w:type="spellEnd"/>
      <w:r>
        <w:t xml:space="preserve"> was evident in a submitted (albeit incomplete) study.</w:t>
      </w:r>
    </w:p>
    <w:p w14:paraId="02F695B9" w14:textId="77777777" w:rsidR="00EB5221" w:rsidRDefault="00EB5221" w:rsidP="00EB5221">
      <w:r>
        <w:t>No genotoxicity studies were submitted, which is acceptable for a biotechnology product.</w:t>
      </w:r>
    </w:p>
    <w:p w14:paraId="48DA9C5E" w14:textId="77777777" w:rsidR="00EB5221" w:rsidRDefault="00EB5221" w:rsidP="00EB5221">
      <w:r>
        <w:t>A carcinogenicity risk assessment considered published literature related to CD3 inhibition, nonclinical toxicology data, current human safety data and its short-term use, and concluded that risk of teplizumab being carcinogenic to patients is low under the proposed conditions of use.</w:t>
      </w:r>
    </w:p>
    <w:p w14:paraId="05ADAAE8" w14:textId="5A6CE2FD" w:rsidR="00EB5221" w:rsidRDefault="00EB5221" w:rsidP="00EB5221">
      <w:r>
        <w:t>There were no adverse treatment</w:t>
      </w:r>
      <w:r w:rsidR="00F767D3">
        <w:t>-</w:t>
      </w:r>
      <w:r>
        <w:t xml:space="preserve">related histological findings in reproductive organs in chimpanzees of either sex following a single SC dose of teplizumab, nor were there any effects on male or female fertility with mouse surrogate </w:t>
      </w:r>
      <w:proofErr w:type="spellStart"/>
      <w:r>
        <w:t>mAb</w:t>
      </w:r>
      <w:proofErr w:type="spellEnd"/>
      <w:r>
        <w:t xml:space="preserve"> treatment in mice.</w:t>
      </w:r>
    </w:p>
    <w:p w14:paraId="728227D9" w14:textId="77777777" w:rsidR="00EB5221" w:rsidRDefault="00EB5221" w:rsidP="00EB5221">
      <w:r>
        <w:t xml:space="preserve">In the mouse embryofetal development study, the surrogate </w:t>
      </w:r>
      <w:proofErr w:type="spellStart"/>
      <w:r>
        <w:t>mAb</w:t>
      </w:r>
      <w:proofErr w:type="spellEnd"/>
      <w:r>
        <w:t xml:space="preserve"> increased post-implantation loss and decreased the live litter size of dams at 20 mg/kg (a dose associated with maternal toxicity, low body weight gain). There were no other litter findings or effects on embryofetal development. Placental transfer of surrogate </w:t>
      </w:r>
      <w:proofErr w:type="spellStart"/>
      <w:r>
        <w:t>mAb</w:t>
      </w:r>
      <w:proofErr w:type="spellEnd"/>
      <w:r>
        <w:t xml:space="preserve"> was not assessed nor was it determined whether the Fc-modifications on the surrogate </w:t>
      </w:r>
      <w:proofErr w:type="spellStart"/>
      <w:r>
        <w:t>mAb</w:t>
      </w:r>
      <w:proofErr w:type="spellEnd"/>
      <w:r>
        <w:t xml:space="preserve"> or teplizumab can impair FcRn binding and affect placental transfer. The draft Australian Product Information includes a statement on possible placental transfer of antibodies.</w:t>
      </w:r>
    </w:p>
    <w:p w14:paraId="063F9810" w14:textId="77777777" w:rsidR="00EB5221" w:rsidRDefault="00EB5221" w:rsidP="00EB5221">
      <w:r>
        <w:t xml:space="preserve">In the mouse pre/postnatal development study with the surrogate </w:t>
      </w:r>
      <w:proofErr w:type="spellStart"/>
      <w:r>
        <w:t>mAb</w:t>
      </w:r>
      <w:proofErr w:type="spellEnd"/>
      <w:r>
        <w:t>, notable treatment related effects were observed in F1 offspring from dams treated at the HD and included reduced sperm count and motility and lower number of resulting pregnancies.</w:t>
      </w:r>
    </w:p>
    <w:p w14:paraId="50B94466" w14:textId="77777777" w:rsidR="00EB5221" w:rsidRDefault="00EB5221" w:rsidP="00EB5221">
      <w:r>
        <w:t>Treatment was also associated with decreases in the primary IgM/IgG response and secondary IgG response in F1 offspring of dams treated at the HD (determined in the TDAR assay), indicating impairments to humoral immunity. No corresponding effect was seen in F2 offspring.</w:t>
      </w:r>
    </w:p>
    <w:p w14:paraId="6E81EBCC" w14:textId="77777777" w:rsidR="00EB5221" w:rsidRDefault="00EB5221" w:rsidP="00EB5221">
      <w:r>
        <w:t xml:space="preserve">Local tolerance (by IV infusion) will need to be addressed by clinical data. There were no SC injection site reactions in chimpanzees and mice following a single dose of teplizumab or multiple doses of the surrogate </w:t>
      </w:r>
      <w:proofErr w:type="spellStart"/>
      <w:r>
        <w:t>mAb</w:t>
      </w:r>
      <w:proofErr w:type="spellEnd"/>
      <w:r>
        <w:t>, respectively.</w:t>
      </w:r>
    </w:p>
    <w:p w14:paraId="047C0480" w14:textId="05A2DB98" w:rsidR="00EB5221" w:rsidRDefault="00EB5221" w:rsidP="00E46DCF">
      <w:pPr>
        <w:pStyle w:val="Heading5"/>
      </w:pPr>
      <w:r w:rsidRPr="002740A9">
        <w:t>Conclusions and recommendations</w:t>
      </w:r>
    </w:p>
    <w:p w14:paraId="24C54E1C" w14:textId="498FACDC" w:rsidR="00EB5221" w:rsidRDefault="00EB5221" w:rsidP="00EB5221">
      <w:r>
        <w:t>Teplizumab DS used in nonclinical studies/early clinical trials were from the early-stage manufacturing site</w:t>
      </w:r>
      <w:r w:rsidR="004C4D05">
        <w:t>; while l</w:t>
      </w:r>
      <w:r>
        <w:t>ater clinical studies were conducted using teplizumab DS from</w:t>
      </w:r>
      <w:r w:rsidR="004C4D05">
        <w:t xml:space="preserve"> </w:t>
      </w:r>
      <w:r w:rsidR="00842EFE">
        <w:t xml:space="preserve">two </w:t>
      </w:r>
      <w:r w:rsidR="004C4D05">
        <w:t>alternative</w:t>
      </w:r>
      <w:r w:rsidR="007F6E05">
        <w:t xml:space="preserve"> sites. </w:t>
      </w:r>
      <w:r>
        <w:t xml:space="preserve"> No bridging </w:t>
      </w:r>
      <w:r w:rsidR="00095F37" w:rsidRPr="008E257F">
        <w:t>pharmacokinetics/</w:t>
      </w:r>
      <w:r w:rsidR="008E257F" w:rsidRPr="008E257F">
        <w:rPr>
          <w:iCs/>
        </w:rPr>
        <w:t xml:space="preserve"> </w:t>
      </w:r>
      <w:r w:rsidR="008E257F">
        <w:rPr>
          <w:iCs/>
        </w:rPr>
        <w:t>p</w:t>
      </w:r>
      <w:r w:rsidR="008E257F" w:rsidRPr="008E257F">
        <w:rPr>
          <w:iCs/>
        </w:rPr>
        <w:t>harmacodynamics</w:t>
      </w:r>
      <w:r w:rsidR="00095F37" w:rsidRPr="008E257F">
        <w:t xml:space="preserve"> </w:t>
      </w:r>
      <w:r w:rsidR="008E257F" w:rsidRPr="008E257F">
        <w:t>(</w:t>
      </w:r>
      <w:r w:rsidRPr="008E257F">
        <w:t>PK</w:t>
      </w:r>
      <w:r>
        <w:t>/PD</w:t>
      </w:r>
      <w:r w:rsidR="008E257F">
        <w:t>)</w:t>
      </w:r>
      <w:r>
        <w:t xml:space="preserve"> studies were conducted to confirm </w:t>
      </w:r>
      <w:r w:rsidR="00935193">
        <w:t>bioequivalence</w:t>
      </w:r>
      <w:r w:rsidR="00715C9C">
        <w:t xml:space="preserve"> </w:t>
      </w:r>
      <w:r>
        <w:t xml:space="preserve">in the pharmacology and pharmacokinetics of the drug substance manufactured </w:t>
      </w:r>
      <w:r w:rsidR="00935193">
        <w:t>across t</w:t>
      </w:r>
      <w:r>
        <w:t xml:space="preserve">he 3 sites. Advice on comparability should be sought from the </w:t>
      </w:r>
      <w:r>
        <w:lastRenderedPageBreak/>
        <w:t xml:space="preserve">TGA Module 3 evaluator indicating that the drug substance/product from the early-stage manufacturing site and the commercial site are comparable. The applicability of the nonclinical findings is dependent on acceptable similarities between the </w:t>
      </w:r>
      <w:r w:rsidR="00982F97">
        <w:t>two</w:t>
      </w:r>
      <w:r>
        <w:t xml:space="preserve"> drug substances.</w:t>
      </w:r>
    </w:p>
    <w:p w14:paraId="40525712" w14:textId="1247BBEA" w:rsidR="00EB5221" w:rsidRDefault="00EB5221" w:rsidP="00EB5221">
      <w:r>
        <w:t xml:space="preserve">Provided that the drug manufactured by </w:t>
      </w:r>
      <w:r w:rsidR="00C20263">
        <w:t>each site is</w:t>
      </w:r>
      <w:r w:rsidR="00A3163B">
        <w:t xml:space="preserve"> considered</w:t>
      </w:r>
      <w:r w:rsidR="00C20263">
        <w:t xml:space="preserve"> </w:t>
      </w:r>
      <w:r>
        <w:t>identical or highly comparable by the Module 3 evaluator, there are no other nonclinical objections to the registration of T</w:t>
      </w:r>
      <w:r w:rsidR="004D598A">
        <w:t>zield</w:t>
      </w:r>
      <w:r>
        <w:t xml:space="preserve"> for the proposed indication.</w:t>
      </w:r>
    </w:p>
    <w:p w14:paraId="73F45431" w14:textId="77777777" w:rsidR="00EB5221" w:rsidRPr="00BF0122" w:rsidRDefault="00EB5221" w:rsidP="00917EB3">
      <w:pPr>
        <w:pStyle w:val="Heading6"/>
      </w:pPr>
      <w:r w:rsidRPr="00BF0122">
        <w:t>Pregnancy category</w:t>
      </w:r>
    </w:p>
    <w:p w14:paraId="7F4EC00D" w14:textId="5DD7F23D" w:rsidR="00EB5221" w:rsidRDefault="00EB5221" w:rsidP="00EB5221">
      <w:r>
        <w:t>There were no Module 4 data on teplizumab interactions with the neonatal Fc receptor (FcRn), noting also that potential FcRn binding was not discussed</w:t>
      </w:r>
      <w:r w:rsidR="00F1073F">
        <w:t>.</w:t>
      </w:r>
      <w:r>
        <w:t xml:space="preserve"> As an IgG1, </w:t>
      </w:r>
      <w:proofErr w:type="spellStart"/>
      <w:r>
        <w:t>mAb</w:t>
      </w:r>
      <w:proofErr w:type="spellEnd"/>
      <w:r>
        <w:t xml:space="preserve"> teplizumab would be expected to bind FcRn but the Module 4 data do not appear to have addressed whether Fc-modifications also affect FcRn binding and the implications to antibody half-life or potential placental transfer if used during pregnancy. The draft Australian Product Information contains statements that strongly suggest teplizumab is capable of being actively transported across the placenta.</w:t>
      </w:r>
    </w:p>
    <w:p w14:paraId="262B5B8D" w14:textId="6CE0A6B6" w:rsidR="00EB5221" w:rsidRPr="00BC5F3F" w:rsidRDefault="00EB5221" w:rsidP="00EB5221">
      <w:r>
        <w:t xml:space="preserve">Assignment to Pregnancy Category B3 is supported. The clinical statements (including “avoiding use of Tzield during pregnancy and avoiding use for at least 30 days prior to planned pregnancy”) should be commented on by the clinical evaluator. The nonclinical statements are supported by submitted </w:t>
      </w:r>
      <w:r w:rsidR="00A07A18">
        <w:t>M</w:t>
      </w:r>
      <w:r>
        <w:t>odule 4 data but should be updated to include details of the doses that were tested. Additionally, salient findings from the submitted pre-/postnatal development study should be included.</w:t>
      </w:r>
    </w:p>
    <w:p w14:paraId="35B580A5" w14:textId="40B226DC" w:rsidR="00C22214" w:rsidRDefault="00C22214" w:rsidP="008804CF">
      <w:pPr>
        <w:pStyle w:val="Heading3"/>
      </w:pPr>
      <w:bookmarkStart w:id="42" w:name="_Toc247691530"/>
      <w:bookmarkStart w:id="43" w:name="_Toc314842513"/>
      <w:bookmarkStart w:id="44" w:name="_Toc103679297"/>
      <w:bookmarkStart w:id="45" w:name="_Toc235627214"/>
      <w:r>
        <w:t>Clinical</w:t>
      </w:r>
      <w:bookmarkEnd w:id="42"/>
      <w:bookmarkEnd w:id="43"/>
      <w:bookmarkEnd w:id="44"/>
      <w:r w:rsidR="00095C6A">
        <w:t xml:space="preserve"> evaluation summary</w:t>
      </w:r>
      <w:bookmarkEnd w:id="45"/>
    </w:p>
    <w:p w14:paraId="17A52410" w14:textId="77777777" w:rsidR="00BF4237" w:rsidRPr="00BF4237" w:rsidRDefault="00BF4237" w:rsidP="00923A02">
      <w:pPr>
        <w:pStyle w:val="Heading4"/>
      </w:pPr>
      <w:bookmarkStart w:id="46" w:name="_Toc235627215"/>
      <w:r w:rsidRPr="00BF4237">
        <w:t>Pharmacology</w:t>
      </w:r>
      <w:bookmarkEnd w:id="46"/>
      <w:r w:rsidRPr="00BF4237">
        <w:t xml:space="preserve"> </w:t>
      </w:r>
    </w:p>
    <w:p w14:paraId="140B0E9A" w14:textId="2729177F" w:rsidR="002B5861" w:rsidRDefault="00BF4237" w:rsidP="00BB7FA9">
      <w:r w:rsidRPr="00BF4237">
        <w:t>Pharmacology data were derived from 5 clinical studies</w:t>
      </w:r>
      <w:r w:rsidR="00CD622C">
        <w:t>:</w:t>
      </w:r>
      <w:r w:rsidR="00F4238C">
        <w:t xml:space="preserve"> </w:t>
      </w:r>
    </w:p>
    <w:p w14:paraId="4120E883" w14:textId="6C06FB8C" w:rsidR="002B5861" w:rsidRPr="002B5861" w:rsidRDefault="002B5861" w:rsidP="007D2D03">
      <w:pPr>
        <w:pStyle w:val="ListBullet"/>
        <w:rPr>
          <w:lang w:val="en-GB"/>
        </w:rPr>
      </w:pPr>
      <w:r w:rsidRPr="002B5861">
        <w:rPr>
          <w:lang w:val="en-GB"/>
        </w:rPr>
        <w:t>1 bioequivalence study in healthy participants (</w:t>
      </w:r>
      <w:r w:rsidRPr="00CD622C">
        <w:rPr>
          <w:lang w:val="en-GB"/>
        </w:rPr>
        <w:t>PRV031-004</w:t>
      </w:r>
      <w:r w:rsidRPr="002B5861">
        <w:rPr>
          <w:lang w:val="en-GB"/>
        </w:rPr>
        <w:t xml:space="preserve">), </w:t>
      </w:r>
    </w:p>
    <w:p w14:paraId="2684BC76" w14:textId="3C2C1F53" w:rsidR="002B5861" w:rsidRPr="00F44F50" w:rsidRDefault="002B5861" w:rsidP="007D2D03">
      <w:pPr>
        <w:pStyle w:val="ListBullet"/>
        <w:rPr>
          <w:lang w:val="en-GB"/>
        </w:rPr>
      </w:pPr>
      <w:r w:rsidRPr="002B5861">
        <w:rPr>
          <w:lang w:val="en-GB"/>
        </w:rPr>
        <w:t xml:space="preserve">1 study in participants with Stage 2 T1D at risk for </w:t>
      </w:r>
      <w:r w:rsidRPr="00F44F50">
        <w:rPr>
          <w:lang w:val="en-GB"/>
        </w:rPr>
        <w:t>developing Stage 3 T1D (pivotal TN-10 study)</w:t>
      </w:r>
    </w:p>
    <w:p w14:paraId="4D3ED0A9" w14:textId="77777777" w:rsidR="002B5861" w:rsidRPr="002B5861" w:rsidRDefault="002B5861" w:rsidP="007D2D03">
      <w:pPr>
        <w:pStyle w:val="ListBullet"/>
        <w:rPr>
          <w:lang w:val="en-GB"/>
        </w:rPr>
      </w:pPr>
      <w:r w:rsidRPr="002B5861">
        <w:rPr>
          <w:lang w:val="en-GB"/>
        </w:rPr>
        <w:t>3 studies in participants with Stage 3 T1D</w:t>
      </w:r>
    </w:p>
    <w:p w14:paraId="7DD7BC68" w14:textId="24167C99" w:rsidR="002B5861" w:rsidRPr="002B5861" w:rsidRDefault="002B5861" w:rsidP="007D2D03">
      <w:pPr>
        <w:pStyle w:val="ListBullet2"/>
        <w:rPr>
          <w:lang w:val="en-GB"/>
        </w:rPr>
      </w:pPr>
      <w:r w:rsidRPr="00CD622C">
        <w:rPr>
          <w:lang w:val="en-GB"/>
        </w:rPr>
        <w:t>Protégé</w:t>
      </w:r>
      <w:r w:rsidRPr="002B5861">
        <w:rPr>
          <w:lang w:val="en-GB"/>
        </w:rPr>
        <w:t xml:space="preserve"> CP-MGA031-01, </w:t>
      </w:r>
    </w:p>
    <w:p w14:paraId="5863D9E4" w14:textId="36AC2C82" w:rsidR="002B5861" w:rsidRPr="002B5861" w:rsidRDefault="002B5861" w:rsidP="007D2D03">
      <w:pPr>
        <w:pStyle w:val="ListBullet2"/>
        <w:rPr>
          <w:lang w:val="en-GB"/>
        </w:rPr>
      </w:pPr>
      <w:r w:rsidRPr="00CD622C">
        <w:rPr>
          <w:lang w:val="en-GB"/>
        </w:rPr>
        <w:t>Encore</w:t>
      </w:r>
      <w:r w:rsidRPr="002B5861">
        <w:rPr>
          <w:lang w:val="en-GB"/>
        </w:rPr>
        <w:t xml:space="preserve"> CP-MGA-031-03 and the </w:t>
      </w:r>
    </w:p>
    <w:p w14:paraId="77F9F5ED" w14:textId="084FB82D" w:rsidR="00F44F50" w:rsidRDefault="002B5861" w:rsidP="007D2D03">
      <w:pPr>
        <w:pStyle w:val="ListBullet2"/>
      </w:pPr>
      <w:r w:rsidRPr="00477A21">
        <w:rPr>
          <w:lang w:val="en-GB"/>
        </w:rPr>
        <w:t>PK/PD sub</w:t>
      </w:r>
      <w:r w:rsidR="00F44F50" w:rsidRPr="00477A21">
        <w:rPr>
          <w:lang w:val="en-GB"/>
        </w:rPr>
        <w:t>-</w:t>
      </w:r>
      <w:r w:rsidRPr="00477A21">
        <w:rPr>
          <w:lang w:val="en-GB"/>
        </w:rPr>
        <w:t xml:space="preserve">study of the pivotal PROTECT study PRV-031-001. </w:t>
      </w:r>
    </w:p>
    <w:p w14:paraId="45718789" w14:textId="319BE7CC" w:rsidR="00BB7FA9" w:rsidRPr="00BB7FA9" w:rsidRDefault="00BB7FA9" w:rsidP="00477A21">
      <w:pPr>
        <w:spacing w:after="0" w:line="240" w:lineRule="auto"/>
      </w:pPr>
      <w:r w:rsidRPr="00BB7FA9">
        <w:t>In ENCORE, PROTÉGÉ, TN-10 and PROTECT, sparse sampling (</w:t>
      </w:r>
      <w:proofErr w:type="spellStart"/>
      <w:r w:rsidRPr="00BB7FA9">
        <w:t>C</w:t>
      </w:r>
      <w:r w:rsidRPr="0027749F">
        <w:rPr>
          <w:vertAlign w:val="subscript"/>
        </w:rPr>
        <w:t>trough</w:t>
      </w:r>
      <w:proofErr w:type="spellEnd"/>
      <w:r w:rsidRPr="00BB7FA9">
        <w:t xml:space="preserve"> on different days depending on the study, with one or two timepoints post-infusion in ENCORE, PROTÉGÉ, and PROTECT) was performed and analysed using a population PK approach, while non-compartmental analysis was used for study PRV-031-004</w:t>
      </w:r>
      <w:r w:rsidR="00D325AF">
        <w:t xml:space="preserve">, </w:t>
      </w:r>
      <w:r w:rsidRPr="00BB7FA9">
        <w:t xml:space="preserve">which is also included in the </w:t>
      </w:r>
      <w:r w:rsidR="009B19C0" w:rsidRPr="009B19C0">
        <w:t>population pharmacokinetics</w:t>
      </w:r>
      <w:r w:rsidRPr="00BB7FA9">
        <w:t xml:space="preserve"> analyses. </w:t>
      </w:r>
    </w:p>
    <w:p w14:paraId="2F6970F5" w14:textId="1EBBD12D" w:rsidR="00BB7FA9" w:rsidRPr="00BB7FA9" w:rsidRDefault="00BB7FA9" w:rsidP="00923A02">
      <w:pPr>
        <w:pStyle w:val="Heading5"/>
      </w:pPr>
      <w:r w:rsidRPr="00BB7FA9">
        <w:t xml:space="preserve">Population </w:t>
      </w:r>
      <w:r w:rsidR="00917EB3">
        <w:t>p</w:t>
      </w:r>
      <w:r w:rsidR="00B35BAD">
        <w:t>harma</w:t>
      </w:r>
      <w:r w:rsidR="00157A69">
        <w:t>cokinetics</w:t>
      </w:r>
      <w:r w:rsidRPr="00BB7FA9">
        <w:t xml:space="preserve"> data </w:t>
      </w:r>
    </w:p>
    <w:p w14:paraId="3B67E97D" w14:textId="26CC553B" w:rsidR="00657D2E" w:rsidRDefault="00BB7FA9" w:rsidP="00BB7FA9">
      <w:proofErr w:type="gramStart"/>
      <w:r w:rsidRPr="00BB7FA9">
        <w:t xml:space="preserve">A number </w:t>
      </w:r>
      <w:r w:rsidRPr="00157A69">
        <w:t>of</w:t>
      </w:r>
      <w:proofErr w:type="gramEnd"/>
      <w:r w:rsidR="00157A69" w:rsidRPr="00157A69">
        <w:t xml:space="preserve"> </w:t>
      </w:r>
      <w:r w:rsidR="00157A69">
        <w:t>p</w:t>
      </w:r>
      <w:r w:rsidR="00157A69" w:rsidRPr="00157A69">
        <w:t xml:space="preserve">opulation </w:t>
      </w:r>
      <w:r w:rsidR="00157A69">
        <w:t>p</w:t>
      </w:r>
      <w:r w:rsidR="00157A69" w:rsidRPr="00157A69">
        <w:t>harmacokinetics</w:t>
      </w:r>
      <w:r w:rsidRPr="00157A69">
        <w:t xml:space="preserve"> </w:t>
      </w:r>
      <w:r w:rsidR="00157A69">
        <w:t>(</w:t>
      </w:r>
      <w:proofErr w:type="spellStart"/>
      <w:r w:rsidRPr="00157A69">
        <w:t>popPK</w:t>
      </w:r>
      <w:proofErr w:type="spellEnd"/>
      <w:r w:rsidR="00157A69">
        <w:t xml:space="preserve">) </w:t>
      </w:r>
      <w:r w:rsidRPr="00157A69">
        <w:t>analyses have been submitted. Each reflected the data available at the time including</w:t>
      </w:r>
      <w:r w:rsidRPr="00BB7FA9">
        <w:t xml:space="preserve"> the non-availability of final PROTECT study data whilst the study was ongoing. Most relevant to this application is the final report referenced </w:t>
      </w:r>
      <w:r w:rsidRPr="00BB7FA9">
        <w:lastRenderedPageBreak/>
        <w:t>below</w:t>
      </w:r>
      <w:r w:rsidR="00374CAF">
        <w:t xml:space="preserve">, </w:t>
      </w:r>
      <w:r w:rsidRPr="00BB7FA9">
        <w:t>Population PK report 20231107</w:t>
      </w:r>
      <w:r w:rsidR="00374CAF">
        <w:t xml:space="preserve"> (Table </w:t>
      </w:r>
      <w:r w:rsidR="00DA7C06">
        <w:t>4</w:t>
      </w:r>
      <w:r w:rsidRPr="00BB7FA9">
        <w:t>)</w:t>
      </w:r>
      <w:r w:rsidR="006A0A1E">
        <w:t>,</w:t>
      </w:r>
      <w:r w:rsidRPr="00BB7FA9">
        <w:t xml:space="preserve"> incorporating Models 411 and 436, as well as a regulatory authority requested re-estimation resulting in Model 460.</w:t>
      </w:r>
    </w:p>
    <w:p w14:paraId="4117C96D" w14:textId="77777777" w:rsidR="003959DB" w:rsidRDefault="00A30B39" w:rsidP="007A65AC">
      <w:pPr>
        <w:pStyle w:val="TableTitle"/>
      </w:pPr>
      <w:r w:rsidRPr="00A30B39">
        <w:t xml:space="preserve">Table </w:t>
      </w:r>
      <w:r w:rsidR="00DA7C06">
        <w:t>4</w:t>
      </w:r>
      <w:r w:rsidRPr="00A30B39">
        <w:t xml:space="preserve">. Population PK report 20231107. </w:t>
      </w:r>
      <w:r w:rsidR="00976FEB" w:rsidRPr="00976FEB">
        <w:t>Source data</w:t>
      </w:r>
      <w:r w:rsidR="00976FEB">
        <w:t xml:space="preserve">, </w:t>
      </w:r>
      <w:r w:rsidR="00976FEB" w:rsidRPr="00976FEB">
        <w:t>excluding the PROTECT study.</w:t>
      </w:r>
    </w:p>
    <w:p w14:paraId="4BB5D508" w14:textId="7B993F21" w:rsidR="00056E5F" w:rsidRDefault="00C963FE" w:rsidP="003959DB">
      <w:r w:rsidRPr="00C963FE">
        <w:rPr>
          <w:noProof/>
        </w:rPr>
        <w:drawing>
          <wp:inline distT="0" distB="0" distL="0" distR="0" wp14:anchorId="3B77352A" wp14:editId="0514E37D">
            <wp:extent cx="5829300" cy="2745100"/>
            <wp:effectExtent l="0" t="0" r="0" b="0"/>
            <wp:docPr id="1317722904" name="Picture 1" descr="Table 4. Population PK report 20231107. Source data, excluding the PROTECT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22904" name="Picture 1" descr="Table 4. Population PK report 20231107. Source data, excluding the PROTECT study."/>
                    <pic:cNvPicPr/>
                  </pic:nvPicPr>
                  <pic:blipFill>
                    <a:blip r:embed="rId26"/>
                    <a:stretch>
                      <a:fillRect/>
                    </a:stretch>
                  </pic:blipFill>
                  <pic:spPr>
                    <a:xfrm>
                      <a:off x="0" y="0"/>
                      <a:ext cx="5834805" cy="2747693"/>
                    </a:xfrm>
                    <a:prstGeom prst="rect">
                      <a:avLst/>
                    </a:prstGeom>
                  </pic:spPr>
                </pic:pic>
              </a:graphicData>
            </a:graphic>
          </wp:inline>
        </w:drawing>
      </w:r>
    </w:p>
    <w:p w14:paraId="1B6BDDF0" w14:textId="77777777" w:rsidR="009708AE" w:rsidRPr="003959DB" w:rsidRDefault="009708AE" w:rsidP="003959DB">
      <w:pPr>
        <w:pStyle w:val="Heading6"/>
      </w:pPr>
      <w:r w:rsidRPr="003959DB">
        <w:t xml:space="preserve">Methods </w:t>
      </w:r>
    </w:p>
    <w:p w14:paraId="142DFC0F" w14:textId="7A67B477" w:rsidR="009708AE" w:rsidRPr="009708AE" w:rsidRDefault="009708AE" w:rsidP="009708AE">
      <w:r w:rsidRPr="009708AE">
        <w:t xml:space="preserve">Source data: PK clinical data source (4 studies): PROTÉGÉ (Course 1), TN-10, and PRV-031-004 studies (Table </w:t>
      </w:r>
      <w:r w:rsidR="00480BC1">
        <w:t>4</w:t>
      </w:r>
      <w:r w:rsidRPr="009708AE">
        <w:t xml:space="preserve">), and PROTECT study final PK data (incorporating Course 1 and 2; </w:t>
      </w:r>
      <w:r w:rsidR="005F2D67">
        <w:t xml:space="preserve">as per </w:t>
      </w:r>
      <w:r w:rsidRPr="009708AE">
        <w:t xml:space="preserve">Table </w:t>
      </w:r>
      <w:r w:rsidR="00480BC1">
        <w:t>5</w:t>
      </w:r>
      <w:r w:rsidRPr="009708AE">
        <w:t xml:space="preserve">). </w:t>
      </w:r>
    </w:p>
    <w:p w14:paraId="432B83F2" w14:textId="616F0AFF" w:rsidR="009708AE" w:rsidRPr="009708AE" w:rsidRDefault="009708AE" w:rsidP="009708AE">
      <w:r w:rsidRPr="009708AE">
        <w:t xml:space="preserve">Model: The population PK analysis was conducted via nonlinear mixed-effects modelling with NONMEM and R. This Population PK report built on previously developed models. </w:t>
      </w:r>
    </w:p>
    <w:p w14:paraId="2B7AABBE" w14:textId="77777777" w:rsidR="003959DB" w:rsidRDefault="00A30B39" w:rsidP="003959DB">
      <w:pPr>
        <w:pStyle w:val="TableTitle"/>
      </w:pPr>
      <w:r w:rsidRPr="00A30B39">
        <w:t xml:space="preserve">Table </w:t>
      </w:r>
      <w:r w:rsidR="00480BC1">
        <w:t>5</w:t>
      </w:r>
      <w:r w:rsidRPr="00A30B39">
        <w:t>. Population PK report 20231107. Source data</w:t>
      </w:r>
      <w:r w:rsidR="00FB2822">
        <w:t xml:space="preserve">, </w:t>
      </w:r>
      <w:r w:rsidRPr="00A30B39">
        <w:t>from the PROTECT study.</w:t>
      </w:r>
    </w:p>
    <w:p w14:paraId="74FC8492" w14:textId="4DAAC5FF" w:rsidR="002068DA" w:rsidRDefault="002068DA" w:rsidP="003959DB">
      <w:r w:rsidRPr="002068DA">
        <w:rPr>
          <w:noProof/>
        </w:rPr>
        <w:drawing>
          <wp:inline distT="0" distB="0" distL="0" distR="0" wp14:anchorId="791D0CDD" wp14:editId="5C5236B6">
            <wp:extent cx="5849937" cy="2190750"/>
            <wp:effectExtent l="0" t="0" r="0" b="0"/>
            <wp:docPr id="777776322" name="Picture 1" descr="Table 5. Population PK report 20231107. Source data, from the PROTECT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776322" name="Picture 1" descr="Table 5. Population PK report 20231107. Source data, from the PROTECT study."/>
                    <pic:cNvPicPr/>
                  </pic:nvPicPr>
                  <pic:blipFill>
                    <a:blip r:embed="rId27"/>
                    <a:stretch>
                      <a:fillRect/>
                    </a:stretch>
                  </pic:blipFill>
                  <pic:spPr>
                    <a:xfrm>
                      <a:off x="0" y="0"/>
                      <a:ext cx="5855567" cy="2192858"/>
                    </a:xfrm>
                    <a:prstGeom prst="rect">
                      <a:avLst/>
                    </a:prstGeom>
                  </pic:spPr>
                </pic:pic>
              </a:graphicData>
            </a:graphic>
          </wp:inline>
        </w:drawing>
      </w:r>
    </w:p>
    <w:p w14:paraId="68AD4ADE" w14:textId="77777777" w:rsidR="00A15ECE" w:rsidRPr="005F2D67" w:rsidRDefault="00A15ECE" w:rsidP="003959DB">
      <w:pPr>
        <w:pStyle w:val="Heading6"/>
      </w:pPr>
      <w:r w:rsidRPr="005F2D67">
        <w:t xml:space="preserve">Results </w:t>
      </w:r>
    </w:p>
    <w:p w14:paraId="5B1E06A1" w14:textId="395668DE" w:rsidR="00A15ECE" w:rsidRPr="00A15ECE" w:rsidRDefault="00A15ECE" w:rsidP="00A15ECE">
      <w:r w:rsidRPr="00A15ECE">
        <w:t xml:space="preserve">The </w:t>
      </w:r>
      <w:r w:rsidR="00E21FC7" w:rsidRPr="00E21FC7">
        <w:t xml:space="preserve">pharmacokinetics </w:t>
      </w:r>
      <w:r w:rsidR="00E21FC7">
        <w:t>(</w:t>
      </w:r>
      <w:r w:rsidRPr="00A15ECE">
        <w:t>PK</w:t>
      </w:r>
      <w:r w:rsidR="00E21FC7">
        <w:t>)</w:t>
      </w:r>
      <w:r w:rsidRPr="00A15ECE">
        <w:t xml:space="preserve"> of teplizumab was described by a three-compartment quasi steady-state target-mediated drug disposition (TMDD) model (central, peripheral, and an additional, very fast peripheral compartment). The model included binding and TMDD elimination in all compartments and linear non-specific elimination from the central compartment. In addition, a non-renewable target undergoes TMDD elimination from the peripheral compartment. This joint population PK model described all populations (healthy, at-risk [Stage 2] and recently diagnosed </w:t>
      </w:r>
      <w:r w:rsidRPr="00A15ECE">
        <w:lastRenderedPageBreak/>
        <w:t xml:space="preserve">[Stage 3] T1DM participants), all dosing regimens, and all teplizumab products employed in these studies and the model was qualified to be used for prediction of exposures. </w:t>
      </w:r>
    </w:p>
    <w:p w14:paraId="29F1427B" w14:textId="77777777" w:rsidR="00A15ECE" w:rsidRPr="00A15ECE" w:rsidRDefault="00A15ECE" w:rsidP="00A15ECE">
      <w:r w:rsidRPr="00A15ECE">
        <w:t xml:space="preserve">The population PK model described above was used for both individual (conditional) PK simulations as well as typical (population) PK simulations to identify the proposed dosing regimen for the to-be-marketed product. </w:t>
      </w:r>
    </w:p>
    <w:p w14:paraId="2790230E" w14:textId="5E3F8A4E" w:rsidR="00A15ECE" w:rsidRDefault="00A15ECE" w:rsidP="00A15ECE">
      <w:r w:rsidRPr="00A15ECE">
        <w:t xml:space="preserve">Estimated parameters: A summary of the estimated parameters (Model 460 and Model 411/436) is at Table </w:t>
      </w:r>
      <w:r w:rsidR="00FC4195">
        <w:t>6</w:t>
      </w:r>
      <w:r w:rsidRPr="00A15ECE">
        <w:t xml:space="preserve">. </w:t>
      </w:r>
    </w:p>
    <w:p w14:paraId="552ABCFC" w14:textId="77777777" w:rsidR="003959DB" w:rsidRDefault="008C6844" w:rsidP="00AC1209">
      <w:pPr>
        <w:pStyle w:val="TableTitle"/>
      </w:pPr>
      <w:bookmarkStart w:id="47" w:name="_Ref223298315"/>
      <w:r w:rsidRPr="008C6844">
        <w:t xml:space="preserve">Table </w:t>
      </w:r>
      <w:bookmarkEnd w:id="47"/>
      <w:r w:rsidR="00FC4195">
        <w:t>6</w:t>
      </w:r>
      <w:r w:rsidRPr="008C6844">
        <w:t>. Population PK analysis. Parameter estimates for fixed-effect parameters (Model 411/436 vs. Model 460).</w:t>
      </w:r>
    </w:p>
    <w:p w14:paraId="18AC0C62" w14:textId="423061F5" w:rsidR="008C6844" w:rsidRPr="00A15ECE" w:rsidRDefault="00AC1209" w:rsidP="003959DB">
      <w:r w:rsidRPr="00AC1209">
        <w:rPr>
          <w:noProof/>
        </w:rPr>
        <w:drawing>
          <wp:inline distT="0" distB="0" distL="0" distR="0" wp14:anchorId="222ABF35" wp14:editId="3AA99F8C">
            <wp:extent cx="6089301" cy="5912061"/>
            <wp:effectExtent l="0" t="0" r="6985" b="0"/>
            <wp:docPr id="2143636732" name="Picture 1" descr="Table 6. Population PK analysis. Parameter estimates for fixed-effect parameters (Model 411/436 vs. Model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36732" name="Picture 1" descr="Table 6. Population PK analysis. Parameter estimates for fixed-effect parameters (Model 411/436 vs. Model 460)."/>
                    <pic:cNvPicPr/>
                  </pic:nvPicPr>
                  <pic:blipFill>
                    <a:blip r:embed="rId28"/>
                    <a:stretch>
                      <a:fillRect/>
                    </a:stretch>
                  </pic:blipFill>
                  <pic:spPr>
                    <a:xfrm>
                      <a:off x="0" y="0"/>
                      <a:ext cx="6095059" cy="5917652"/>
                    </a:xfrm>
                    <a:prstGeom prst="rect">
                      <a:avLst/>
                    </a:prstGeom>
                  </pic:spPr>
                </pic:pic>
              </a:graphicData>
            </a:graphic>
          </wp:inline>
        </w:drawing>
      </w:r>
    </w:p>
    <w:p w14:paraId="5F9D96AB" w14:textId="61A1F3CD" w:rsidR="00A15ECE" w:rsidRPr="008173BC" w:rsidRDefault="00A15ECE" w:rsidP="003959DB">
      <w:pPr>
        <w:pStyle w:val="Heading6"/>
      </w:pPr>
      <w:r w:rsidRPr="008173BC">
        <w:t xml:space="preserve">Comparability between formulations </w:t>
      </w:r>
    </w:p>
    <w:p w14:paraId="3C533B62" w14:textId="77777777" w:rsidR="005B2353" w:rsidRPr="005B2353" w:rsidRDefault="005B2353" w:rsidP="005B2353">
      <w:r w:rsidRPr="005B2353">
        <w:t xml:space="preserve">The teplizumab DS was manufactured by </w:t>
      </w:r>
      <w:proofErr w:type="spellStart"/>
      <w:r w:rsidRPr="005B2353">
        <w:t>MacroGenics</w:t>
      </w:r>
      <w:proofErr w:type="spellEnd"/>
      <w:r w:rsidRPr="005B2353">
        <w:t xml:space="preserve"> from 2005 to 2006, by Eli Lilly from 2009 to 2010 and by AGC Biologics since 2019 (final material for the commercial Australian DP product including the currently US marketed DP). Thus, this determined the DS in the different clinical trials. Analytical comparability between MGNX and Eli Lilly material was reasonably well </w:t>
      </w:r>
      <w:r w:rsidRPr="005B2353">
        <w:lastRenderedPageBreak/>
        <w:t>established (cf. Module 3 evaluation). Some issues were raised regarding comparability of Eli Lilly and the intended commercial material from AGC.</w:t>
      </w:r>
    </w:p>
    <w:p w14:paraId="6019F212" w14:textId="7D942B3B" w:rsidR="005B2353" w:rsidRPr="005B2353" w:rsidRDefault="005B2353" w:rsidP="005B2353">
      <w:r w:rsidRPr="005B2353">
        <w:t xml:space="preserve">In </w:t>
      </w:r>
      <w:proofErr w:type="spellStart"/>
      <w:r w:rsidRPr="005B2353">
        <w:t>biocomparability</w:t>
      </w:r>
      <w:proofErr w:type="spellEnd"/>
      <w:r w:rsidRPr="005B2353">
        <w:t xml:space="preserve"> study PRV-031-004, in healthy volunteers, at a subtherapeutic dose, the AGC and Eli Lilly products were comparable with respect to </w:t>
      </w:r>
      <w:proofErr w:type="spellStart"/>
      <w:r w:rsidRPr="005B2353">
        <w:t>C</w:t>
      </w:r>
      <w:r w:rsidRPr="005B2353">
        <w:rPr>
          <w:vertAlign w:val="subscript"/>
        </w:rPr>
        <w:t>max</w:t>
      </w:r>
      <w:proofErr w:type="spellEnd"/>
      <w:r w:rsidRPr="005B2353">
        <w:t xml:space="preserve"> (ratio 94.5%, 90% CI: 84.5-106%) but not for AUC</w:t>
      </w:r>
      <w:r w:rsidRPr="005B2353">
        <w:rPr>
          <w:vertAlign w:val="subscript"/>
        </w:rPr>
        <w:t>inf</w:t>
      </w:r>
      <w:r w:rsidRPr="005B2353">
        <w:t xml:space="preserve"> (ratio 48.5 %, 90% CI: 43.6-54.1%). Based on those results, </w:t>
      </w:r>
      <w:r w:rsidR="007455C1">
        <w:t>t</w:t>
      </w:r>
      <w:r w:rsidRPr="005B2353">
        <w:t xml:space="preserve">he exposure with the intended final material from AGC was thus lower compared to the Eli Lilly material used in the pivotal studies, requiring dose adjustments. An adapted posology is proposed based on modelling and simulations for Stage 2 T1DM to bridge from the exposure using </w:t>
      </w:r>
      <w:proofErr w:type="spellStart"/>
      <w:r w:rsidRPr="005B2353">
        <w:t>MacroGenics</w:t>
      </w:r>
      <w:proofErr w:type="spellEnd"/>
      <w:r w:rsidRPr="005B2353">
        <w:t>/Eli Lilly material in Study TN-10 to the exposure when using AGC Biologics material (</w:t>
      </w:r>
      <w:r w:rsidR="007455C1">
        <w:t xml:space="preserve">Table </w:t>
      </w:r>
      <w:r w:rsidR="00055FAC">
        <w:t>7</w:t>
      </w:r>
      <w:r w:rsidRPr="005B2353">
        <w:t>).</w:t>
      </w:r>
    </w:p>
    <w:p w14:paraId="006BF6CD" w14:textId="77777777" w:rsidR="00F27E1A" w:rsidRPr="00F27E1A" w:rsidRDefault="00F27E1A" w:rsidP="00F27E1A">
      <w:r w:rsidRPr="00F27E1A">
        <w:t xml:space="preserve">The bridging used data from Model 373 (the model that was used to support US registration of the Stage 2 T1DM indication, and despite incorporating data from Stage 3 T1DM studies could be used for the Stage 2 indication and TN-10 dose adjustments). This was further updated with newly available data in Model 436 and further with regulator-requested Model 460. The simulations from those models were highly similar, and thus the resultant bridging gives comparable exposures to what was studied in TN-10 over the whole range of expected bodyweight and body surface area. </w:t>
      </w:r>
    </w:p>
    <w:p w14:paraId="03D5D9AF" w14:textId="19CC7C78" w:rsidR="00F27E1A" w:rsidRPr="00F27E1A" w:rsidRDefault="00F27E1A" w:rsidP="00F27E1A">
      <w:r w:rsidRPr="00F27E1A">
        <w:t xml:space="preserve">In summary, the sponsor concluded that the differences between the predictions based on previous model 373 or updated model 460 were too small to require an update of the proposed dosing regimen. Hence, the dosing regimen based on model 373 remains the recommended regimen in the PI (Table </w:t>
      </w:r>
      <w:r w:rsidR="00F106AC">
        <w:t>7</w:t>
      </w:r>
      <w:r w:rsidRPr="00F27E1A">
        <w:t xml:space="preserve">). </w:t>
      </w:r>
    </w:p>
    <w:p w14:paraId="77E92091" w14:textId="77777777" w:rsidR="003959DB" w:rsidRDefault="00F27E1A" w:rsidP="00EC0B99">
      <w:pPr>
        <w:pStyle w:val="TableTitle"/>
      </w:pPr>
      <w:r w:rsidRPr="00F83959">
        <w:t xml:space="preserve">Table </w:t>
      </w:r>
      <w:r w:rsidR="00055FAC">
        <w:t>7</w:t>
      </w:r>
      <w:r w:rsidRPr="00F83959">
        <w:t>. Dosing regimen in TN-10 and final proposed regimen for Tzield in Stage 2 T1DM</w:t>
      </w:r>
      <w:r w:rsidRPr="00F27E1A">
        <w:t>.</w:t>
      </w:r>
    </w:p>
    <w:p w14:paraId="2E5269CD" w14:textId="69A4F21D" w:rsidR="00CC4614" w:rsidRDefault="00CC4614" w:rsidP="003959DB">
      <w:r w:rsidRPr="00CC4614">
        <w:rPr>
          <w:noProof/>
        </w:rPr>
        <w:drawing>
          <wp:inline distT="0" distB="0" distL="0" distR="0" wp14:anchorId="5DB6E5C4" wp14:editId="2F0FB408">
            <wp:extent cx="5924550" cy="2115071"/>
            <wp:effectExtent l="0" t="0" r="0" b="0"/>
            <wp:docPr id="1317308525" name="Picture 1" descr="Table 7. Dosing regimen in TN-10 and final proposed regimen for Tzield in Stage 2 T1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08525" name="Picture 1" descr="Table 7. Dosing regimen in TN-10 and final proposed regimen for Tzield in Stage 2 T1DM."/>
                    <pic:cNvPicPr/>
                  </pic:nvPicPr>
                  <pic:blipFill>
                    <a:blip r:embed="rId29"/>
                    <a:stretch>
                      <a:fillRect/>
                    </a:stretch>
                  </pic:blipFill>
                  <pic:spPr>
                    <a:xfrm>
                      <a:off x="0" y="0"/>
                      <a:ext cx="5929857" cy="2116965"/>
                    </a:xfrm>
                    <a:prstGeom prst="rect">
                      <a:avLst/>
                    </a:prstGeom>
                  </pic:spPr>
                </pic:pic>
              </a:graphicData>
            </a:graphic>
          </wp:inline>
        </w:drawing>
      </w:r>
    </w:p>
    <w:p w14:paraId="52ABBD57" w14:textId="32AEF043" w:rsidR="00CD2769" w:rsidRPr="00CD2769" w:rsidRDefault="00CD2769" w:rsidP="003959DB">
      <w:pPr>
        <w:pStyle w:val="Heading5"/>
        <w:rPr>
          <w:rFonts w:eastAsiaTheme="minorHAnsi"/>
        </w:rPr>
      </w:pPr>
      <w:r w:rsidRPr="00CD2769">
        <w:rPr>
          <w:rFonts w:eastAsiaTheme="minorHAnsi"/>
        </w:rPr>
        <w:t xml:space="preserve">Summary of </w:t>
      </w:r>
      <w:r w:rsidR="003959DB">
        <w:rPr>
          <w:rFonts w:eastAsiaTheme="minorHAnsi"/>
        </w:rPr>
        <w:t>p</w:t>
      </w:r>
      <w:r w:rsidRPr="00CD2769">
        <w:rPr>
          <w:rFonts w:eastAsiaTheme="minorHAnsi"/>
        </w:rPr>
        <w:t xml:space="preserve">harmacokinetics </w:t>
      </w:r>
    </w:p>
    <w:p w14:paraId="218BA3AD" w14:textId="77777777" w:rsidR="00CD2769" w:rsidRPr="00F83959" w:rsidRDefault="00CD2769" w:rsidP="003959DB">
      <w:pPr>
        <w:pStyle w:val="Heading6"/>
      </w:pPr>
      <w:r w:rsidRPr="00F83959">
        <w:t>Absorption</w:t>
      </w:r>
    </w:p>
    <w:p w14:paraId="0512DB00" w14:textId="77777777" w:rsidR="00CD2769" w:rsidRPr="00CD2769" w:rsidRDefault="00CD2769" w:rsidP="00CD2769">
      <w:r w:rsidRPr="00CD2769">
        <w:t xml:space="preserve">The bioavailability is 100%, as teplizumab is given IV. </w:t>
      </w:r>
    </w:p>
    <w:p w14:paraId="3F68367D" w14:textId="77777777" w:rsidR="00CD2769" w:rsidRPr="00F83959" w:rsidRDefault="00CD2769" w:rsidP="003959DB">
      <w:pPr>
        <w:pStyle w:val="Heading6"/>
      </w:pPr>
      <w:r w:rsidRPr="00F83959">
        <w:t>Distribution</w:t>
      </w:r>
    </w:p>
    <w:p w14:paraId="1BFF28B0" w14:textId="77777777" w:rsidR="00CD2769" w:rsidRPr="00CD2769" w:rsidRDefault="00CD2769" w:rsidP="00CD2769">
      <w:r w:rsidRPr="00CD2769">
        <w:t>The central volume of distribution (</w:t>
      </w:r>
      <w:proofErr w:type="spellStart"/>
      <w:r w:rsidRPr="00CD2769">
        <w:t>Vd</w:t>
      </w:r>
      <w:proofErr w:type="spellEnd"/>
      <w:r w:rsidRPr="00CD2769">
        <w:t>) of teplizumab was 2.27 L in a 60 kg subject (</w:t>
      </w:r>
      <w:proofErr w:type="spellStart"/>
      <w:r w:rsidRPr="00CD2769">
        <w:t>popPK</w:t>
      </w:r>
      <w:proofErr w:type="spellEnd"/>
      <w:r w:rsidRPr="00CD2769">
        <w:t xml:space="preserve"> model 460).</w:t>
      </w:r>
    </w:p>
    <w:p w14:paraId="26C8A229" w14:textId="77777777" w:rsidR="00CD2769" w:rsidRPr="00F83959" w:rsidRDefault="00CD2769" w:rsidP="003959DB">
      <w:pPr>
        <w:pStyle w:val="Heading6"/>
      </w:pPr>
      <w:r w:rsidRPr="00F83959">
        <w:t>Metabolism</w:t>
      </w:r>
    </w:p>
    <w:p w14:paraId="7A01B789" w14:textId="77777777" w:rsidR="00CD2769" w:rsidRPr="00CD2769" w:rsidRDefault="00CD2769" w:rsidP="00CD2769">
      <w:r w:rsidRPr="00CD2769">
        <w:t>As a monoclonal antibody, teplizumab is expected to be subject to the usual proteolytic processes that result in degradation to small peptides and amino acids by catabolic pathways.</w:t>
      </w:r>
    </w:p>
    <w:p w14:paraId="2EEB0F43" w14:textId="77777777" w:rsidR="00CD2769" w:rsidRPr="00F83959" w:rsidRDefault="00CD2769" w:rsidP="003959DB">
      <w:pPr>
        <w:pStyle w:val="Heading6"/>
      </w:pPr>
      <w:r w:rsidRPr="00F83959">
        <w:lastRenderedPageBreak/>
        <w:t>Excretion and elimination</w:t>
      </w:r>
    </w:p>
    <w:p w14:paraId="0AB546FF" w14:textId="77777777" w:rsidR="00CD2769" w:rsidRPr="00CD2769" w:rsidRDefault="00CD2769" w:rsidP="00CD2769">
      <w:r w:rsidRPr="00CD2769">
        <w:t>Teplizumab showed saturable binding and elimination. Teplizumab has a target mediated drug disposition (TMDD), implicating its t</w:t>
      </w:r>
      <w:r w:rsidRPr="00CD2769">
        <w:rPr>
          <w:vertAlign w:val="subscript"/>
        </w:rPr>
        <w:t xml:space="preserve">1/2 </w:t>
      </w:r>
      <w:r w:rsidRPr="00CD2769">
        <w:t>varies with the dose. The population clearance (SD) of teplizumab is 2.7 (1.04) L/day in a 60 kg subject (</w:t>
      </w:r>
      <w:proofErr w:type="spellStart"/>
      <w:r w:rsidRPr="00CD2769">
        <w:t>popPK</w:t>
      </w:r>
      <w:proofErr w:type="spellEnd"/>
      <w:r w:rsidRPr="00CD2769">
        <w:t xml:space="preserve"> model 460).</w:t>
      </w:r>
    </w:p>
    <w:p w14:paraId="67716D51" w14:textId="77777777" w:rsidR="00CD2769" w:rsidRPr="00F83959" w:rsidRDefault="00CD2769" w:rsidP="003959DB">
      <w:pPr>
        <w:pStyle w:val="Heading5"/>
      </w:pPr>
      <w:r w:rsidRPr="00F83959">
        <w:t>Dose proportionality</w:t>
      </w:r>
    </w:p>
    <w:p w14:paraId="057B9D9D" w14:textId="77777777" w:rsidR="00CD2769" w:rsidRPr="00CD2769" w:rsidRDefault="00CD2769" w:rsidP="00CD2769">
      <w:r w:rsidRPr="00CD2769">
        <w:t>Data regarding dose proportionality has not been presented. The currently proposed Stage 2 T1DM indication only requires a single treatment course in which steady state is not reached.</w:t>
      </w:r>
    </w:p>
    <w:p w14:paraId="725A33B3" w14:textId="59DB329D" w:rsidR="00CD2769" w:rsidRPr="00F83959" w:rsidRDefault="00CD2769" w:rsidP="003959DB">
      <w:pPr>
        <w:pStyle w:val="Heading6"/>
      </w:pPr>
      <w:r w:rsidRPr="00F83959">
        <w:t>Immunogenicity</w:t>
      </w:r>
    </w:p>
    <w:p w14:paraId="097E458E" w14:textId="59640F92" w:rsidR="00CD2769" w:rsidRPr="00CD2769" w:rsidRDefault="00CD2769" w:rsidP="00CD2769">
      <w:r w:rsidRPr="00CD2769">
        <w:t xml:space="preserve">In TN-10, 60% of patients </w:t>
      </w:r>
      <w:r w:rsidRPr="00792913">
        <w:t xml:space="preserve">developed </w:t>
      </w:r>
      <w:r w:rsidR="00BF0609">
        <w:t>a</w:t>
      </w:r>
      <w:r w:rsidR="00BF0609" w:rsidRPr="00BF0609">
        <w:t xml:space="preserve">nti-drug antibodies </w:t>
      </w:r>
      <w:r w:rsidR="00BF0609">
        <w:t>(</w:t>
      </w:r>
      <w:r w:rsidRPr="00792913">
        <w:t>ADAs</w:t>
      </w:r>
      <w:r w:rsidR="00BF0609">
        <w:t>)</w:t>
      </w:r>
      <w:r w:rsidRPr="00792913">
        <w:t xml:space="preserve"> after th</w:t>
      </w:r>
      <w:r w:rsidRPr="00CD2769">
        <w:t xml:space="preserve">e single treatment course. After course 2 of PROTÉGÉ 98% developed ADAs, with lower and or more variable exposures in ADA-positive subjects. Its clinical relevance is unclear. </w:t>
      </w:r>
      <w:proofErr w:type="gramStart"/>
      <w:r w:rsidRPr="00CD2769">
        <w:t>The majority of</w:t>
      </w:r>
      <w:proofErr w:type="gramEnd"/>
      <w:r w:rsidRPr="00CD2769">
        <w:t xml:space="preserve"> ADAs were neutralising with uncertain clinical relevance. The ADA emergence and kinetics were similar between the AGC and Eli Lilly DS in PROTECT. </w:t>
      </w:r>
    </w:p>
    <w:p w14:paraId="4C3EFEE0" w14:textId="77777777" w:rsidR="00CD2769" w:rsidRPr="00CD2769" w:rsidRDefault="00CD2769" w:rsidP="00CD2769">
      <w:r w:rsidRPr="00CD2769">
        <w:t>Based on this, the generated safety data is essentially reflecting the ADA positive population and its safety profile.</w:t>
      </w:r>
    </w:p>
    <w:p w14:paraId="27C4AA3F" w14:textId="77777777" w:rsidR="00CD2769" w:rsidRPr="00F83959" w:rsidRDefault="00CD2769" w:rsidP="003959DB">
      <w:pPr>
        <w:pStyle w:val="Heading6"/>
      </w:pPr>
      <w:r w:rsidRPr="00F83959">
        <w:t>Intra- and inter-individual variability</w:t>
      </w:r>
    </w:p>
    <w:p w14:paraId="3EC408AE" w14:textId="77777777" w:rsidR="00CD2769" w:rsidRPr="00CD2769" w:rsidRDefault="00CD2769" w:rsidP="00CD2769">
      <w:r w:rsidRPr="00CD2769">
        <w:t xml:space="preserve">In TN-19, observed PK data showed a relatively high inter-individual variability with a CV of approximately 50%. </w:t>
      </w:r>
      <w:proofErr w:type="gramStart"/>
      <w:r w:rsidRPr="00CD2769">
        <w:t>In particular, teplizumab</w:t>
      </w:r>
      <w:proofErr w:type="gramEnd"/>
      <w:r w:rsidRPr="00CD2769">
        <w:t xml:space="preserve"> trough levels from Days 10 through 13 showed large variability. Furthermore, there was a trend towards higher median concentrations and variability in patients who did not develop T1DM by the end of the study, compared with those who developed T1DM.</w:t>
      </w:r>
    </w:p>
    <w:p w14:paraId="018DD43B" w14:textId="77777777" w:rsidR="00CD2769" w:rsidRPr="00CD2769" w:rsidRDefault="00CD2769" w:rsidP="00CD2769">
      <w:r w:rsidRPr="00CD2769">
        <w:t>Intra-individual variability has not been investigated for the Stage 2 T1DM indication which only requires a single course.</w:t>
      </w:r>
    </w:p>
    <w:p w14:paraId="391386D1" w14:textId="77777777" w:rsidR="00CD2769" w:rsidRPr="00F83959" w:rsidRDefault="00CD2769" w:rsidP="003959DB">
      <w:pPr>
        <w:pStyle w:val="Heading6"/>
      </w:pPr>
      <w:r w:rsidRPr="00F83959">
        <w:t>Pharmacokinetics in the target population</w:t>
      </w:r>
    </w:p>
    <w:p w14:paraId="3D27E049" w14:textId="77777777" w:rsidR="00CD2769" w:rsidRPr="00CD2769" w:rsidRDefault="00CD2769" w:rsidP="00CD2769">
      <w:r w:rsidRPr="00CD2769">
        <w:t xml:space="preserve">The PK data were derived from studies in the target population (TN-10 in Stage 2 T1DM), and the remaining studies in Stage 3 T1DM. Only </w:t>
      </w:r>
      <w:proofErr w:type="spellStart"/>
      <w:r w:rsidRPr="00CD2769">
        <w:t>biocomparability</w:t>
      </w:r>
      <w:proofErr w:type="spellEnd"/>
      <w:r w:rsidRPr="00CD2769">
        <w:t xml:space="preserve"> study PRV-031-004 was conducted in health volunteers.</w:t>
      </w:r>
    </w:p>
    <w:p w14:paraId="3DD42617" w14:textId="77777777" w:rsidR="00CD2769" w:rsidRPr="00F83959" w:rsidRDefault="00CD2769" w:rsidP="003959DB">
      <w:pPr>
        <w:pStyle w:val="Heading6"/>
      </w:pPr>
      <w:r w:rsidRPr="00F83959">
        <w:t>Drug-drug interaction studies</w:t>
      </w:r>
    </w:p>
    <w:p w14:paraId="0EC60478" w14:textId="481B98EB" w:rsidR="00CD2769" w:rsidRPr="00CD2769" w:rsidRDefault="00CD2769" w:rsidP="00CD2769">
      <w:r w:rsidRPr="00CD2769">
        <w:t xml:space="preserve">No interaction studies have been conducted. Given that teplizumab uses immunomodulation for its therapeutic effect, the modulation of cytokines that may have an impact on cytochrome P450, such as IL-6 (the cytokine most likely to be involved), may lead to </w:t>
      </w:r>
      <w:r w:rsidR="002D5DBC">
        <w:t>drug-drug interactions (</w:t>
      </w:r>
      <w:r w:rsidRPr="00CD2769">
        <w:t>DDIs</w:t>
      </w:r>
      <w:r w:rsidR="00E740DB">
        <w:t>)</w:t>
      </w:r>
      <w:r w:rsidRPr="00CD2769">
        <w:t>. However, based on the data (presented in response to Round 1 questions), there was no evidence for consistent IL-6 modulation (except for brief periods in the context of cytokine release syndrome (CRS) in some patients), and thus the interaction risk is considered low. Notably, the sponsor states that in the clinical experience to date, mild CRS with a slight IL-6 concentration increase occurs with the initial first 3 to 5 days of teplizumab therapy, or during dose escalation, and is dose-level related. Suggested premedication for those periods includes an NSAID or paracetamol, an antihistamine, and/or an antiemetic.</w:t>
      </w:r>
    </w:p>
    <w:p w14:paraId="5DA62757" w14:textId="77777777" w:rsidR="00CD2769" w:rsidRPr="00F83959" w:rsidRDefault="00CD2769" w:rsidP="003959DB">
      <w:pPr>
        <w:pStyle w:val="Heading6"/>
      </w:pPr>
      <w:r w:rsidRPr="00F83959">
        <w:t>Special populations</w:t>
      </w:r>
    </w:p>
    <w:p w14:paraId="2D092D7A" w14:textId="77777777" w:rsidR="00F83959" w:rsidRDefault="002757ED" w:rsidP="00333C81">
      <w:pPr>
        <w:pStyle w:val="ListBullet"/>
      </w:pPr>
      <w:r w:rsidRPr="002757ED">
        <w:t>Age: No clinically significant differences in the pharmacokinetics of teplizumab were observed based on age (8 to 35 years old).</w:t>
      </w:r>
      <w:r w:rsidR="00F83959">
        <w:t xml:space="preserve"> </w:t>
      </w:r>
    </w:p>
    <w:p w14:paraId="25D1F47B" w14:textId="77777777" w:rsidR="00FB1640" w:rsidRDefault="002757ED" w:rsidP="00333C81">
      <w:pPr>
        <w:pStyle w:val="ListBullet"/>
      </w:pPr>
      <w:r w:rsidRPr="002757ED">
        <w:lastRenderedPageBreak/>
        <w:t>Biological sex: No clinically significant differences in the pharmacokinetics of teplizumab were observed based on biological sex.</w:t>
      </w:r>
    </w:p>
    <w:p w14:paraId="1BE49070" w14:textId="77777777" w:rsidR="00FB1640" w:rsidRDefault="002757ED" w:rsidP="00333C81">
      <w:pPr>
        <w:pStyle w:val="ListBullet"/>
      </w:pPr>
      <w:r w:rsidRPr="002757ED">
        <w:t>Ethnicity: No clinically significant differences in the pharmacokinetics of teplizumab were observed based on racial groups (White, Asian) whilst also noting the very small number of Asian patients in TN-10.</w:t>
      </w:r>
    </w:p>
    <w:p w14:paraId="0541727D" w14:textId="77777777" w:rsidR="00FB1640" w:rsidRDefault="002757ED" w:rsidP="00333C81">
      <w:pPr>
        <w:pStyle w:val="ListBullet"/>
      </w:pPr>
      <w:r w:rsidRPr="002757ED">
        <w:t>Body weight: BSA-based dosing normalises the exposure to teplizumab across different body weight values.</w:t>
      </w:r>
    </w:p>
    <w:p w14:paraId="499506D5" w14:textId="77777777" w:rsidR="00FB1640" w:rsidRDefault="002757ED" w:rsidP="002757ED">
      <w:pPr>
        <w:pStyle w:val="ListBullet"/>
      </w:pPr>
      <w:r w:rsidRPr="002757ED">
        <w:t>Renal impairment: No specific studies to evaluate the PK of teplizumab in patients with renal impairment have been performed.</w:t>
      </w:r>
    </w:p>
    <w:p w14:paraId="2FCEC452" w14:textId="77777777" w:rsidR="00FB1640" w:rsidRDefault="002757ED" w:rsidP="00333C81">
      <w:pPr>
        <w:pStyle w:val="ListBullet"/>
      </w:pPr>
      <w:r w:rsidRPr="002757ED">
        <w:t>Hepatic impairment: No specific studies to evaluate the PK of teplizumab in patients with hepatic impairment have been performed.</w:t>
      </w:r>
    </w:p>
    <w:p w14:paraId="2F93899E" w14:textId="22C1E888" w:rsidR="00334FA3" w:rsidRPr="00334FA3" w:rsidRDefault="002757ED" w:rsidP="00334FA3">
      <w:pPr>
        <w:pStyle w:val="ListBullet"/>
      </w:pPr>
      <w:r w:rsidRPr="002757ED">
        <w:t xml:space="preserve">Paediatric population: The PK were studied in children aged 8 years and older. </w:t>
      </w:r>
      <w:r w:rsidR="00334FA3" w:rsidRPr="00334FA3">
        <w:t>The PK in children younger than 8 years of age have not been established.</w:t>
      </w:r>
    </w:p>
    <w:p w14:paraId="6E36E795" w14:textId="3901A2E7" w:rsidR="002757ED" w:rsidRPr="002757ED" w:rsidRDefault="002757ED" w:rsidP="00FB1640">
      <w:pPr>
        <w:pStyle w:val="Heading5"/>
      </w:pPr>
      <w:r w:rsidRPr="002757ED">
        <w:t>Pharmacodynamics</w:t>
      </w:r>
    </w:p>
    <w:p w14:paraId="4B5F21BC" w14:textId="77777777" w:rsidR="002757ED" w:rsidRPr="002E0FD5" w:rsidRDefault="002757ED" w:rsidP="003959DB">
      <w:pPr>
        <w:pStyle w:val="Heading6"/>
      </w:pPr>
      <w:r w:rsidRPr="002E0FD5">
        <w:t>Mechanism of action</w:t>
      </w:r>
    </w:p>
    <w:p w14:paraId="1B9E04A3" w14:textId="4AE7C8FF" w:rsidR="002757ED" w:rsidRPr="002757ED" w:rsidRDefault="002757ED" w:rsidP="002757ED">
      <w:r w:rsidRPr="002757ED">
        <w:t xml:space="preserve">Teplizumab is a recombinant, humanised immunoglobulin G1 (IgF1κ) monoclonal antibody and targets the CD3ε chain epitope of the T-cell receptor (TCR) complex on human T cells (CD4+ and CD8+ T cells). Binding of teplizumab to the TCR-CD3 complex is proposed to result in depletion/inactivation of CD3+ T cells resulting in transient, systemic immunosuppression with autoreactive cells losing their cytotoxic and pro-inflammatory potential, but with the sparing of regulatory T cell (Treg). Although the mechanism of action of anti-CD3 therapy in regulating T1DM pathogenesis is only partially understood, it seems that the overall predominant effect of anti-CD3 therapy is to enhance Treg activity. </w:t>
      </w:r>
    </w:p>
    <w:p w14:paraId="1824A4CE" w14:textId="0D5C88C7" w:rsidR="002757ED" w:rsidRPr="002E0FD5" w:rsidRDefault="002E0FD5" w:rsidP="003959DB">
      <w:pPr>
        <w:pStyle w:val="Heading6"/>
      </w:pPr>
      <w:r w:rsidRPr="002E0FD5">
        <w:t>Pharmacodynamics</w:t>
      </w:r>
      <w:r w:rsidR="002757ED" w:rsidRPr="002E0FD5">
        <w:t xml:space="preserve"> variables</w:t>
      </w:r>
    </w:p>
    <w:p w14:paraId="639BC9C1" w14:textId="7F31D41F" w:rsidR="002757ED" w:rsidRPr="002757ED" w:rsidRDefault="002757ED" w:rsidP="002757ED">
      <w:r w:rsidRPr="002757ED">
        <w:t>Exposure-safety analyses: In a subgroup of participants in the ENCORE study, the effect of teplizumab on the corrected QT interval (QTc) was investigated. No supratherapeutic dose was</w:t>
      </w:r>
      <w:r w:rsidR="00031AF4">
        <w:t xml:space="preserve"> </w:t>
      </w:r>
      <w:r w:rsidRPr="002757ED">
        <w:t>administered, and thus the value of the QTc modelling is limited. Based on the analyses and the nature and size of the molecule, teplizumab does not have an impact on cardiac parameters.</w:t>
      </w:r>
    </w:p>
    <w:p w14:paraId="6A97D5BD" w14:textId="77777777" w:rsidR="002757ED" w:rsidRPr="007C7ACF" w:rsidRDefault="002757ED" w:rsidP="003959DB">
      <w:pPr>
        <w:pStyle w:val="Heading6"/>
      </w:pPr>
      <w:r w:rsidRPr="007C7ACF">
        <w:t>Dose-finding</w:t>
      </w:r>
    </w:p>
    <w:p w14:paraId="5DEFB1B0" w14:textId="77777777" w:rsidR="002757ED" w:rsidRPr="002757ED" w:rsidRDefault="002757ED" w:rsidP="002757ED">
      <w:r w:rsidRPr="002757ED">
        <w:t xml:space="preserve">There was no systematic dose finding related to the indications requested. The Protégé and Encore studies explored different </w:t>
      </w:r>
      <w:proofErr w:type="spellStart"/>
      <w:r w:rsidRPr="002757ED">
        <w:t>posologies</w:t>
      </w:r>
      <w:proofErr w:type="spellEnd"/>
      <w:r w:rsidRPr="002757ED">
        <w:t xml:space="preserve"> which informed the dosing choice in TN-10 and PROTECT.</w:t>
      </w:r>
    </w:p>
    <w:p w14:paraId="4F809AB5" w14:textId="7BE6BF13" w:rsidR="002757ED" w:rsidRPr="002757ED" w:rsidRDefault="002757ED" w:rsidP="00477A21">
      <w:pPr>
        <w:pStyle w:val="Heading4"/>
      </w:pPr>
      <w:bookmarkStart w:id="48" w:name="_Toc235627216"/>
      <w:r w:rsidRPr="002757ED">
        <w:t>Efficacy</w:t>
      </w:r>
      <w:bookmarkEnd w:id="48"/>
    </w:p>
    <w:p w14:paraId="13BBEF91" w14:textId="1E04748F" w:rsidR="002757ED" w:rsidRPr="002757ED" w:rsidRDefault="002757ED" w:rsidP="002757ED">
      <w:r w:rsidRPr="002757ED">
        <w:t xml:space="preserve">The efficacy of teplizumab is assessed from data from Study TN-10 (AT-RISK study), and the only clinical study to support efficacy for the proposed Stage 2 T1DM indication (Table </w:t>
      </w:r>
      <w:r w:rsidR="00141D50">
        <w:t>8</w:t>
      </w:r>
      <w:r w:rsidRPr="002757ED">
        <w:t>).</w:t>
      </w:r>
    </w:p>
    <w:p w14:paraId="2BE2510A" w14:textId="6F412DD0" w:rsidR="002757ED" w:rsidRPr="002757ED" w:rsidRDefault="002757ED" w:rsidP="002757ED">
      <w:r w:rsidRPr="002757ED">
        <w:t xml:space="preserve">The dossier contains additional clinical Phase 2 or Phase 3 studies that provide efficacy data for a Stage 3 T1DM indication: PROTÉGÉ (CP-MGA031-01), ENCORE (CP-MGA031-03), </w:t>
      </w:r>
      <w:proofErr w:type="spellStart"/>
      <w:r w:rsidRPr="002757ED">
        <w:t>AbATE</w:t>
      </w:r>
      <w:proofErr w:type="spellEnd"/>
      <w:r w:rsidRPr="002757ED">
        <w:t xml:space="preserve"> (ITN027AI), DELAY (ISCT-MGA031-001), PROTECT (PRV-031-001) and PROTÉGÉ Extension (CP-MGA031-02). Given the sponsor-initiated amendment for this indication to only include a Stage 2 T1DM indication, those clinical studies are no longer relevant for efficacy but are still relevant for safety considerations. </w:t>
      </w:r>
    </w:p>
    <w:p w14:paraId="10A4007A" w14:textId="1A4A6EDD" w:rsidR="009371D3" w:rsidRDefault="002757ED" w:rsidP="00CE149A">
      <w:pPr>
        <w:pStyle w:val="TableTitle"/>
      </w:pPr>
      <w:r w:rsidRPr="003A34E2">
        <w:lastRenderedPageBreak/>
        <w:t xml:space="preserve">Table </w:t>
      </w:r>
      <w:r w:rsidR="00141D50">
        <w:t>8</w:t>
      </w:r>
      <w:r w:rsidRPr="003A34E2">
        <w:t>. Overview of Stage 2 T1DM</w:t>
      </w:r>
      <w:r w:rsidRPr="002757ED">
        <w:t xml:space="preserve"> and Stage 3 T1DM study characteristics</w:t>
      </w:r>
      <w:r w:rsidR="004430CF">
        <w:t>.</w:t>
      </w:r>
    </w:p>
    <w:tbl>
      <w:tblPr>
        <w:tblStyle w:val="PlainTable2"/>
        <w:tblW w:w="9634" w:type="dxa"/>
        <w:tblLayout w:type="fixed"/>
        <w:tblLook w:val="0000" w:firstRow="0" w:lastRow="0" w:firstColumn="0" w:lastColumn="0" w:noHBand="0" w:noVBand="0"/>
      </w:tblPr>
      <w:tblGrid>
        <w:gridCol w:w="1413"/>
        <w:gridCol w:w="1134"/>
        <w:gridCol w:w="1701"/>
        <w:gridCol w:w="1276"/>
        <w:gridCol w:w="2693"/>
        <w:gridCol w:w="1417"/>
      </w:tblGrid>
      <w:tr w:rsidR="00031C1C" w:rsidRPr="00031C1C" w14:paraId="15A557E9" w14:textId="77777777" w:rsidTr="00AA44EF">
        <w:trPr>
          <w:cnfStyle w:val="000000100000" w:firstRow="0" w:lastRow="0" w:firstColumn="0" w:lastColumn="0" w:oddVBand="0" w:evenVBand="0" w:oddHBand="1" w:evenHBand="0" w:firstRowFirstColumn="0" w:firstRowLastColumn="0" w:lastRowFirstColumn="0" w:lastRowLastColumn="0"/>
          <w:trHeight w:val="474"/>
        </w:trPr>
        <w:tc>
          <w:tcPr>
            <w:cnfStyle w:val="000010000000" w:firstRow="0" w:lastRow="0" w:firstColumn="0" w:lastColumn="0" w:oddVBand="1" w:evenVBand="0" w:oddHBand="0" w:evenHBand="0" w:firstRowFirstColumn="0" w:firstRowLastColumn="0" w:lastRowFirstColumn="0" w:lastRowLastColumn="0"/>
            <w:tcW w:w="1413" w:type="dxa"/>
          </w:tcPr>
          <w:p w14:paraId="4F9CE6B7"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Clinical Study </w:t>
            </w:r>
          </w:p>
          <w:p w14:paraId="514BC9AE"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Study Phase </w:t>
            </w:r>
          </w:p>
          <w:p w14:paraId="6384F1D3"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Status </w:t>
            </w:r>
          </w:p>
        </w:tc>
        <w:tc>
          <w:tcPr>
            <w:cnfStyle w:val="000001000000" w:firstRow="0" w:lastRow="0" w:firstColumn="0" w:lastColumn="0" w:oddVBand="0" w:evenVBand="1" w:oddHBand="0" w:evenHBand="0" w:firstRowFirstColumn="0" w:firstRowLastColumn="0" w:lastRowFirstColumn="0" w:lastRowLastColumn="0"/>
            <w:tcW w:w="1134" w:type="dxa"/>
          </w:tcPr>
          <w:p w14:paraId="7E3E0EC7"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Primary endpoint </w:t>
            </w:r>
          </w:p>
        </w:tc>
        <w:tc>
          <w:tcPr>
            <w:cnfStyle w:val="000010000000" w:firstRow="0" w:lastRow="0" w:firstColumn="0" w:lastColumn="0" w:oddVBand="1" w:evenVBand="0" w:oddHBand="0" w:evenHBand="0" w:firstRowFirstColumn="0" w:firstRowLastColumn="0" w:lastRowFirstColumn="0" w:lastRowLastColumn="0"/>
            <w:tcW w:w="1701" w:type="dxa"/>
          </w:tcPr>
          <w:p w14:paraId="2DC9F469"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Study </w:t>
            </w:r>
            <w:proofErr w:type="spellStart"/>
            <w:r w:rsidRPr="00FD168C">
              <w:rPr>
                <w:rFonts w:ascii="Arial Narrow" w:hAnsi="Arial Narrow" w:cs="Arial"/>
                <w:b/>
                <w:bCs/>
                <w:color w:val="000000"/>
                <w:sz w:val="20"/>
              </w:rPr>
              <w:t>Population</w:t>
            </w:r>
            <w:r w:rsidRPr="00FD168C">
              <w:rPr>
                <w:rFonts w:ascii="Arial Narrow" w:hAnsi="Arial Narrow" w:cs="Arial"/>
                <w:b/>
                <w:bCs/>
                <w:i/>
                <w:iCs/>
                <w:color w:val="0000FF"/>
                <w:sz w:val="18"/>
                <w:szCs w:val="18"/>
              </w:rPr>
              <w:t>a</w:t>
            </w:r>
            <w:proofErr w:type="spellEnd"/>
            <w:r w:rsidRPr="00FD168C">
              <w:rPr>
                <w:rFonts w:ascii="Arial Narrow" w:hAnsi="Arial Narrow" w:cs="Arial"/>
                <w:b/>
                <w:bCs/>
                <w:i/>
                <w:iCs/>
                <w:color w:val="0000FF"/>
                <w:sz w:val="18"/>
                <w:szCs w:val="18"/>
              </w:rPr>
              <w:t xml:space="preserve"> </w:t>
            </w:r>
          </w:p>
        </w:tc>
        <w:tc>
          <w:tcPr>
            <w:cnfStyle w:val="000001000000" w:firstRow="0" w:lastRow="0" w:firstColumn="0" w:lastColumn="0" w:oddVBand="0" w:evenVBand="1" w:oddHBand="0" w:evenHBand="0" w:firstRowFirstColumn="0" w:firstRowLastColumn="0" w:lastRowFirstColumn="0" w:lastRowLastColumn="0"/>
            <w:tcW w:w="1276" w:type="dxa"/>
          </w:tcPr>
          <w:p w14:paraId="37B22D65"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Total Planned/ Randomized/ Completed </w:t>
            </w:r>
          </w:p>
        </w:tc>
        <w:tc>
          <w:tcPr>
            <w:cnfStyle w:val="000010000000" w:firstRow="0" w:lastRow="0" w:firstColumn="0" w:lastColumn="0" w:oddVBand="1" w:evenVBand="0" w:oddHBand="0" w:evenHBand="0" w:firstRowFirstColumn="0" w:firstRowLastColumn="0" w:lastRowFirstColumn="0" w:lastRowLastColumn="0"/>
            <w:tcW w:w="2693" w:type="dxa"/>
          </w:tcPr>
          <w:p w14:paraId="49845FF2"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Study Design </w:t>
            </w:r>
          </w:p>
          <w:p w14:paraId="7661A219"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Type of </w:t>
            </w:r>
            <w:proofErr w:type="spellStart"/>
            <w:r w:rsidRPr="00FD168C">
              <w:rPr>
                <w:rFonts w:ascii="Arial Narrow" w:hAnsi="Arial Narrow" w:cs="Arial"/>
                <w:b/>
                <w:bCs/>
                <w:color w:val="000000"/>
                <w:sz w:val="20"/>
              </w:rPr>
              <w:t>Control</w:t>
            </w:r>
            <w:r w:rsidRPr="00FD168C">
              <w:rPr>
                <w:rFonts w:ascii="Arial Narrow" w:hAnsi="Arial Narrow" w:cs="Arial Narrow"/>
                <w:b/>
                <w:bCs/>
                <w:i/>
                <w:iCs/>
                <w:color w:val="0000FF"/>
                <w:sz w:val="18"/>
                <w:szCs w:val="18"/>
              </w:rPr>
              <w:t>b</w:t>
            </w:r>
            <w:proofErr w:type="spellEnd"/>
            <w:r w:rsidRPr="00FD168C">
              <w:rPr>
                <w:rFonts w:ascii="Arial Narrow" w:hAnsi="Arial Narrow" w:cs="Arial Narrow"/>
                <w:b/>
                <w:bCs/>
                <w:i/>
                <w:iCs/>
                <w:color w:val="0000FF"/>
                <w:sz w:val="18"/>
                <w:szCs w:val="18"/>
              </w:rPr>
              <w:t xml:space="preserve"> </w:t>
            </w:r>
          </w:p>
          <w:p w14:paraId="1A949B76"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Follow-up Duration </w:t>
            </w:r>
          </w:p>
        </w:tc>
        <w:tc>
          <w:tcPr>
            <w:cnfStyle w:val="000001000000" w:firstRow="0" w:lastRow="0" w:firstColumn="0" w:lastColumn="0" w:oddVBand="0" w:evenVBand="1" w:oddHBand="0" w:evenHBand="0" w:firstRowFirstColumn="0" w:firstRowLastColumn="0" w:lastRowFirstColumn="0" w:lastRowLastColumn="0"/>
            <w:tcW w:w="1417" w:type="dxa"/>
          </w:tcPr>
          <w:p w14:paraId="521CB371"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Route of Administration </w:t>
            </w:r>
          </w:p>
          <w:p w14:paraId="321CCB05" w14:textId="77777777" w:rsidR="00031C1C" w:rsidRPr="00FD168C" w:rsidRDefault="00031C1C" w:rsidP="00031C1C">
            <w:pPr>
              <w:autoSpaceDE w:val="0"/>
              <w:autoSpaceDN w:val="0"/>
              <w:adjustRightInd w:val="0"/>
              <w:rPr>
                <w:rFonts w:ascii="Arial Narrow" w:hAnsi="Arial Narrow" w:cs="Arial"/>
                <w:color w:val="000000"/>
                <w:sz w:val="20"/>
              </w:rPr>
            </w:pPr>
            <w:r w:rsidRPr="00FD168C">
              <w:rPr>
                <w:rFonts w:ascii="Arial Narrow" w:hAnsi="Arial Narrow" w:cs="Arial"/>
                <w:b/>
                <w:bCs/>
                <w:color w:val="000000"/>
                <w:sz w:val="20"/>
              </w:rPr>
              <w:t xml:space="preserve">Dosage Regimen </w:t>
            </w:r>
          </w:p>
        </w:tc>
      </w:tr>
      <w:tr w:rsidR="00031C1C" w:rsidRPr="00031C1C" w14:paraId="05B30DE1" w14:textId="77777777" w:rsidTr="00C7437C">
        <w:trPr>
          <w:trHeight w:val="141"/>
        </w:trPr>
        <w:tc>
          <w:tcPr>
            <w:cnfStyle w:val="000010000000" w:firstRow="0" w:lastRow="0" w:firstColumn="0" w:lastColumn="0" w:oddVBand="1" w:evenVBand="0" w:oddHBand="0" w:evenHBand="0" w:firstRowFirstColumn="0" w:firstRowLastColumn="0" w:lastRowFirstColumn="0" w:lastRowLastColumn="0"/>
            <w:tcW w:w="9634" w:type="dxa"/>
            <w:gridSpan w:val="6"/>
          </w:tcPr>
          <w:p w14:paraId="032A3800" w14:textId="7777777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b/>
                <w:bCs/>
                <w:color w:val="000000"/>
                <w:sz w:val="20"/>
              </w:rPr>
              <w:t xml:space="preserve">Stage 2 T1D </w:t>
            </w:r>
          </w:p>
        </w:tc>
      </w:tr>
      <w:tr w:rsidR="00031C1C" w:rsidRPr="00031C1C" w14:paraId="25F8F554" w14:textId="77777777" w:rsidTr="00AA44EF">
        <w:trPr>
          <w:cnfStyle w:val="000000100000" w:firstRow="0" w:lastRow="0" w:firstColumn="0" w:lastColumn="0" w:oddVBand="0" w:evenVBand="0" w:oddHBand="1" w:evenHBand="0" w:firstRowFirstColumn="0" w:firstRowLastColumn="0" w:lastRowFirstColumn="0" w:lastRowLastColumn="0"/>
          <w:trHeight w:val="1125"/>
        </w:trPr>
        <w:tc>
          <w:tcPr>
            <w:cnfStyle w:val="000010000000" w:firstRow="0" w:lastRow="0" w:firstColumn="0" w:lastColumn="0" w:oddVBand="1" w:evenVBand="0" w:oddHBand="0" w:evenHBand="0" w:firstRowFirstColumn="0" w:firstRowLastColumn="0" w:lastRowFirstColumn="0" w:lastRowLastColumn="0"/>
            <w:tcW w:w="1413" w:type="dxa"/>
          </w:tcPr>
          <w:p w14:paraId="412814DB" w14:textId="7777777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b/>
                <w:bCs/>
                <w:color w:val="000000"/>
                <w:sz w:val="20"/>
              </w:rPr>
              <w:t xml:space="preserve">TN-10 </w:t>
            </w:r>
          </w:p>
          <w:p w14:paraId="39B4F529" w14:textId="7777777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ISCT-MGA031-005 (At-Risk) </w:t>
            </w:r>
          </w:p>
          <w:p w14:paraId="67AC2DF7" w14:textId="77777777" w:rsidR="00982716" w:rsidRDefault="00982716" w:rsidP="00031C1C">
            <w:pPr>
              <w:autoSpaceDE w:val="0"/>
              <w:autoSpaceDN w:val="0"/>
              <w:adjustRightInd w:val="0"/>
              <w:rPr>
                <w:rFonts w:ascii="Arial Narrow" w:hAnsi="Arial Narrow" w:cs="Arial Narrow"/>
                <w:b/>
                <w:bCs/>
                <w:color w:val="000000"/>
                <w:sz w:val="20"/>
              </w:rPr>
            </w:pPr>
          </w:p>
          <w:p w14:paraId="6E2DE7C1" w14:textId="06EA5ADB"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b/>
                <w:bCs/>
                <w:color w:val="000000"/>
                <w:sz w:val="20"/>
              </w:rPr>
              <w:t xml:space="preserve">Phase 2 </w:t>
            </w:r>
          </w:p>
          <w:p w14:paraId="7E1C5B2B" w14:textId="77777777" w:rsidR="00982716" w:rsidRDefault="00982716" w:rsidP="00031C1C">
            <w:pPr>
              <w:autoSpaceDE w:val="0"/>
              <w:autoSpaceDN w:val="0"/>
              <w:adjustRightInd w:val="0"/>
              <w:rPr>
                <w:rFonts w:ascii="Arial Narrow" w:hAnsi="Arial Narrow" w:cs="Arial Narrow"/>
                <w:color w:val="000000"/>
                <w:sz w:val="20"/>
              </w:rPr>
            </w:pPr>
          </w:p>
          <w:p w14:paraId="7220CA5A" w14:textId="536C559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Completed </w:t>
            </w:r>
          </w:p>
        </w:tc>
        <w:tc>
          <w:tcPr>
            <w:cnfStyle w:val="000001000000" w:firstRow="0" w:lastRow="0" w:firstColumn="0" w:lastColumn="0" w:oddVBand="0" w:evenVBand="1" w:oddHBand="0" w:evenHBand="0" w:firstRowFirstColumn="0" w:firstRowLastColumn="0" w:lastRowFirstColumn="0" w:lastRowLastColumn="0"/>
            <w:tcW w:w="1134" w:type="dxa"/>
          </w:tcPr>
          <w:p w14:paraId="6EFFC69E" w14:textId="7777777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Time from randomization to clinical T1D diagnosis </w:t>
            </w:r>
          </w:p>
        </w:tc>
        <w:tc>
          <w:tcPr>
            <w:cnfStyle w:val="000010000000" w:firstRow="0" w:lastRow="0" w:firstColumn="0" w:lastColumn="0" w:oddVBand="1" w:evenVBand="0" w:oddHBand="0" w:evenHBand="0" w:firstRowFirstColumn="0" w:firstRowLastColumn="0" w:lastRowFirstColumn="0" w:lastRowLastColumn="0"/>
            <w:tcW w:w="1701" w:type="dxa"/>
          </w:tcPr>
          <w:p w14:paraId="65739933" w14:textId="7777777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Age ≥8 to ≤45 years </w:t>
            </w:r>
          </w:p>
          <w:p w14:paraId="29AC1079" w14:textId="77777777" w:rsidR="00982716" w:rsidRDefault="00982716" w:rsidP="00031C1C">
            <w:pPr>
              <w:autoSpaceDE w:val="0"/>
              <w:autoSpaceDN w:val="0"/>
              <w:adjustRightInd w:val="0"/>
              <w:rPr>
                <w:rFonts w:ascii="Arial Narrow" w:hAnsi="Arial Narrow" w:cs="Arial Narrow"/>
                <w:color w:val="000000"/>
                <w:sz w:val="20"/>
              </w:rPr>
            </w:pPr>
          </w:p>
          <w:p w14:paraId="1EC938D5" w14:textId="20E26E3E"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Relatives of participants with T1D without diabetes but were at high risk for development of clinical disease </w:t>
            </w:r>
          </w:p>
        </w:tc>
        <w:tc>
          <w:tcPr>
            <w:cnfStyle w:val="000001000000" w:firstRow="0" w:lastRow="0" w:firstColumn="0" w:lastColumn="0" w:oddVBand="0" w:evenVBand="1" w:oddHBand="0" w:evenHBand="0" w:firstRowFirstColumn="0" w:firstRowLastColumn="0" w:lastRowFirstColumn="0" w:lastRowLastColumn="0"/>
            <w:tcW w:w="1276" w:type="dxa"/>
          </w:tcPr>
          <w:p w14:paraId="28960E29" w14:textId="7777777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71/76/69 </w:t>
            </w:r>
          </w:p>
        </w:tc>
        <w:tc>
          <w:tcPr>
            <w:cnfStyle w:val="000010000000" w:firstRow="0" w:lastRow="0" w:firstColumn="0" w:lastColumn="0" w:oddVBand="1" w:evenVBand="0" w:oddHBand="0" w:evenHBand="0" w:firstRowFirstColumn="0" w:firstRowLastColumn="0" w:lastRowFirstColumn="0" w:lastRowLastColumn="0"/>
            <w:tcW w:w="2693" w:type="dxa"/>
          </w:tcPr>
          <w:p w14:paraId="1FA9F903" w14:textId="1440BE91"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Randomized, double-blind, 2-arm, </w:t>
            </w:r>
            <w:r w:rsidR="00F779FB" w:rsidRPr="00FD168C">
              <w:rPr>
                <w:rFonts w:ascii="Arial Narrow" w:hAnsi="Arial Narrow" w:cs="Arial Narrow"/>
                <w:color w:val="000000"/>
                <w:sz w:val="20"/>
              </w:rPr>
              <w:t>multicentre</w:t>
            </w:r>
            <w:r w:rsidRPr="00FD168C">
              <w:rPr>
                <w:rFonts w:ascii="Arial Narrow" w:hAnsi="Arial Narrow" w:cs="Arial Narrow"/>
                <w:color w:val="000000"/>
                <w:sz w:val="20"/>
              </w:rPr>
              <w:t xml:space="preserve"> study </w:t>
            </w:r>
          </w:p>
          <w:p w14:paraId="39F46D7F" w14:textId="77777777" w:rsidR="00ED17E6" w:rsidRDefault="00ED17E6" w:rsidP="00031C1C">
            <w:pPr>
              <w:autoSpaceDE w:val="0"/>
              <w:autoSpaceDN w:val="0"/>
              <w:adjustRightInd w:val="0"/>
              <w:rPr>
                <w:rFonts w:ascii="Arial Narrow" w:hAnsi="Arial Narrow" w:cs="Arial Narrow"/>
                <w:color w:val="000000"/>
                <w:sz w:val="20"/>
              </w:rPr>
            </w:pPr>
          </w:p>
          <w:p w14:paraId="56C2B1D1" w14:textId="0782A4AE" w:rsidR="00031C1C" w:rsidRPr="00FD168C" w:rsidRDefault="00031C1C" w:rsidP="001F414B">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Placebo </w:t>
            </w:r>
          </w:p>
          <w:p w14:paraId="75FD839D" w14:textId="77777777" w:rsidR="00ED17E6" w:rsidRDefault="00ED17E6" w:rsidP="00031C1C">
            <w:pPr>
              <w:autoSpaceDE w:val="0"/>
              <w:autoSpaceDN w:val="0"/>
              <w:adjustRightInd w:val="0"/>
              <w:rPr>
                <w:rFonts w:ascii="Arial Narrow" w:hAnsi="Arial Narrow" w:cs="Arial Narrow"/>
                <w:color w:val="000000"/>
                <w:sz w:val="20"/>
              </w:rPr>
            </w:pPr>
          </w:p>
          <w:p w14:paraId="062C94F1" w14:textId="71196325" w:rsidR="00031C1C" w:rsidRPr="00FD168C" w:rsidRDefault="00031C1C" w:rsidP="001F414B">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Follow-up duration: defined by time to protocol-specified number of T1D events observed; median duration ~24.5 months for all participants; median ~27.5 months for teplizumab and ~17.8 months for placebo </w:t>
            </w:r>
          </w:p>
        </w:tc>
        <w:tc>
          <w:tcPr>
            <w:cnfStyle w:val="000001000000" w:firstRow="0" w:lastRow="0" w:firstColumn="0" w:lastColumn="0" w:oddVBand="0" w:evenVBand="1" w:oddHBand="0" w:evenHBand="0" w:firstRowFirstColumn="0" w:firstRowLastColumn="0" w:lastRowFirstColumn="0" w:lastRowLastColumn="0"/>
            <w:tcW w:w="1417" w:type="dxa"/>
          </w:tcPr>
          <w:p w14:paraId="775A983F" w14:textId="77777777"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IV infusion </w:t>
            </w:r>
          </w:p>
          <w:p w14:paraId="6F025213" w14:textId="77777777" w:rsidR="00ED17E6" w:rsidRDefault="00ED17E6" w:rsidP="00031C1C">
            <w:pPr>
              <w:autoSpaceDE w:val="0"/>
              <w:autoSpaceDN w:val="0"/>
              <w:adjustRightInd w:val="0"/>
              <w:rPr>
                <w:rFonts w:ascii="Arial Narrow" w:hAnsi="Arial Narrow" w:cs="Arial Narrow"/>
                <w:color w:val="000000"/>
                <w:sz w:val="20"/>
              </w:rPr>
            </w:pPr>
          </w:p>
          <w:p w14:paraId="576DB43E" w14:textId="77777777" w:rsidR="00ED17E6"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14-day regimen </w:t>
            </w:r>
          </w:p>
          <w:p w14:paraId="34204076" w14:textId="0B9C2BA6" w:rsidR="00ED17E6"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1 single course: </w:t>
            </w:r>
          </w:p>
          <w:p w14:paraId="698F99A7" w14:textId="21577B41" w:rsidR="00031C1C" w:rsidRPr="00FD168C" w:rsidRDefault="00031C1C" w:rsidP="00031C1C">
            <w:pPr>
              <w:autoSpaceDE w:val="0"/>
              <w:autoSpaceDN w:val="0"/>
              <w:adjustRightInd w:val="0"/>
              <w:rPr>
                <w:rFonts w:ascii="Arial Narrow" w:hAnsi="Arial Narrow" w:cs="Arial Narrow"/>
                <w:color w:val="000000"/>
                <w:sz w:val="20"/>
              </w:rPr>
            </w:pPr>
            <w:r w:rsidRPr="00FD168C">
              <w:rPr>
                <w:rFonts w:ascii="Arial Narrow" w:hAnsi="Arial Narrow" w:cs="Arial Narrow"/>
                <w:color w:val="000000"/>
                <w:sz w:val="20"/>
              </w:rPr>
              <w:t xml:space="preserve">Baseline </w:t>
            </w:r>
          </w:p>
          <w:p w14:paraId="09DD75E2" w14:textId="77777777" w:rsidR="00ED17E6" w:rsidRDefault="00ED17E6" w:rsidP="00031C1C">
            <w:pPr>
              <w:autoSpaceDE w:val="0"/>
              <w:autoSpaceDN w:val="0"/>
              <w:adjustRightInd w:val="0"/>
              <w:rPr>
                <w:rFonts w:ascii="Arial Narrow" w:hAnsi="Arial Narrow" w:cs="Arial Narrow"/>
                <w:color w:val="000000"/>
                <w:sz w:val="20"/>
              </w:rPr>
            </w:pPr>
          </w:p>
          <w:p w14:paraId="450683BE" w14:textId="014331E3" w:rsidR="00031C1C" w:rsidRPr="00FD168C" w:rsidRDefault="00031C1C" w:rsidP="00031C1C">
            <w:pPr>
              <w:autoSpaceDE w:val="0"/>
              <w:autoSpaceDN w:val="0"/>
              <w:adjustRightInd w:val="0"/>
              <w:rPr>
                <w:rFonts w:ascii="Arial Narrow" w:hAnsi="Arial Narrow" w:cs="Arial Narrow"/>
                <w:color w:val="000000"/>
                <w:sz w:val="13"/>
                <w:szCs w:val="13"/>
              </w:rPr>
            </w:pPr>
            <w:r w:rsidRPr="00FD168C">
              <w:rPr>
                <w:rFonts w:ascii="Arial Narrow" w:hAnsi="Arial Narrow" w:cs="Arial Narrow"/>
                <w:color w:val="000000"/>
                <w:sz w:val="20"/>
              </w:rPr>
              <w:t xml:space="preserve">Total dose ~9034 </w:t>
            </w:r>
            <w:proofErr w:type="spellStart"/>
            <w:r w:rsidRPr="00FD168C">
              <w:rPr>
                <w:rFonts w:ascii="Arial Narrow" w:hAnsi="Arial Narrow" w:cs="Arial Narrow"/>
                <w:color w:val="000000"/>
                <w:sz w:val="20"/>
              </w:rPr>
              <w:t>μg</w:t>
            </w:r>
            <w:proofErr w:type="spellEnd"/>
            <w:r w:rsidRPr="00FD168C">
              <w:rPr>
                <w:rFonts w:ascii="Arial Narrow" w:hAnsi="Arial Narrow" w:cs="Arial Narrow"/>
                <w:color w:val="000000"/>
                <w:sz w:val="20"/>
              </w:rPr>
              <w:t>/m</w:t>
            </w:r>
            <w:r w:rsidRPr="00FD168C">
              <w:rPr>
                <w:rFonts w:ascii="Arial Narrow" w:hAnsi="Arial Narrow" w:cs="Arial Narrow"/>
                <w:color w:val="000000"/>
                <w:sz w:val="13"/>
                <w:szCs w:val="13"/>
              </w:rPr>
              <w:t xml:space="preserve">2 </w:t>
            </w:r>
          </w:p>
        </w:tc>
      </w:tr>
    </w:tbl>
    <w:p w14:paraId="03878090" w14:textId="6A8FBFB5" w:rsidR="00F256CB" w:rsidRPr="00F256CB" w:rsidRDefault="00F256CB" w:rsidP="00F256CB">
      <w:pPr>
        <w:pStyle w:val="TableDescription"/>
      </w:pPr>
      <w:r w:rsidRPr="00F256CB">
        <w:t>Abbreviations: AUC=</w:t>
      </w:r>
      <w:r w:rsidR="003A34E2">
        <w:t xml:space="preserve"> </w:t>
      </w:r>
      <w:r w:rsidRPr="00F256CB">
        <w:t xml:space="preserve">T1D=type 1 diabetes; IV=intravenous. </w:t>
      </w:r>
    </w:p>
    <w:p w14:paraId="005BBCC7" w14:textId="77777777" w:rsidR="00F256CB" w:rsidRPr="00F256CB" w:rsidRDefault="00F256CB" w:rsidP="00F256CB">
      <w:pPr>
        <w:pStyle w:val="TableDescription"/>
      </w:pPr>
      <w:r w:rsidRPr="003A34E2">
        <w:rPr>
          <w:i/>
          <w:iCs/>
          <w:color w:val="0000FF"/>
        </w:rPr>
        <w:t>a</w:t>
      </w:r>
      <w:r w:rsidRPr="00F256CB">
        <w:rPr>
          <w:i/>
          <w:iCs/>
        </w:rPr>
        <w:t xml:space="preserve"> </w:t>
      </w:r>
      <w:r w:rsidRPr="00F256CB">
        <w:t xml:space="preserve">0.2 </w:t>
      </w:r>
      <w:proofErr w:type="spellStart"/>
      <w:r w:rsidRPr="00F256CB">
        <w:t>pmol</w:t>
      </w:r>
      <w:proofErr w:type="spellEnd"/>
      <w:r w:rsidRPr="00F256CB">
        <w:t xml:space="preserve">/mL is equivalent to 0.2 nmol/L. </w:t>
      </w:r>
    </w:p>
    <w:p w14:paraId="5A65D510" w14:textId="77777777" w:rsidR="00F256CB" w:rsidRPr="00F256CB" w:rsidRDefault="00F256CB" w:rsidP="00F256CB">
      <w:pPr>
        <w:pStyle w:val="TableDescription"/>
      </w:pPr>
      <w:r w:rsidRPr="003A34E2">
        <w:rPr>
          <w:i/>
          <w:iCs/>
          <w:color w:val="0000FF"/>
        </w:rPr>
        <w:t>b</w:t>
      </w:r>
      <w:r w:rsidRPr="00F256CB">
        <w:rPr>
          <w:i/>
          <w:iCs/>
        </w:rPr>
        <w:t xml:space="preserve"> </w:t>
      </w:r>
      <w:r w:rsidRPr="00F256CB">
        <w:t xml:space="preserve">Teplizumab or placebo were administered in addition to standard of care (insulin treatment). In </w:t>
      </w:r>
      <w:proofErr w:type="spellStart"/>
      <w:r w:rsidRPr="00F256CB">
        <w:t>AbATE</w:t>
      </w:r>
      <w:proofErr w:type="spellEnd"/>
      <w:r w:rsidRPr="00F256CB">
        <w:t xml:space="preserve"> and Study 1, the participants in the control group received standard of care only. </w:t>
      </w:r>
    </w:p>
    <w:p w14:paraId="3E58AC13" w14:textId="63AEA2D3" w:rsidR="00156870" w:rsidRPr="00156870" w:rsidRDefault="00156870" w:rsidP="00A93626">
      <w:pPr>
        <w:pStyle w:val="Heading5"/>
      </w:pPr>
      <w:r w:rsidRPr="00156870">
        <w:t xml:space="preserve">Pivotal phase 2 study TN-10 (ISCT-MGA031-005) (AT-RISK study) </w:t>
      </w:r>
    </w:p>
    <w:p w14:paraId="6ACE1E41" w14:textId="77777777" w:rsidR="00156870" w:rsidRPr="00A93626" w:rsidRDefault="00156870" w:rsidP="003959DB">
      <w:pPr>
        <w:pStyle w:val="Heading6"/>
      </w:pPr>
      <w:r w:rsidRPr="00A93626">
        <w:t xml:space="preserve">Design </w:t>
      </w:r>
    </w:p>
    <w:p w14:paraId="006B9D27" w14:textId="77777777" w:rsidR="00156870" w:rsidRPr="00156870" w:rsidRDefault="00156870" w:rsidP="00156870">
      <w:r w:rsidRPr="00156870">
        <w:t xml:space="preserve">A pivotal, phase 2, multicentre (30 centres in 5 countries), 2-arm parallel-group (1:1), double-masked, randomised, placebo-controlled trial to assess the safety, efficacy, and mode of action of teplizumab in 76 paediatric and adult subjects at high risk for T1DM. </w:t>
      </w:r>
    </w:p>
    <w:p w14:paraId="3B788642" w14:textId="77777777" w:rsidR="00156870" w:rsidRPr="00156870" w:rsidRDefault="00156870" w:rsidP="00156870">
      <w:r w:rsidRPr="00156870">
        <w:t xml:space="preserve">Subjects needed to be aged 1 to 45 years at the time of enrolment and ≥8 years at the time of randomisation. The study was conducted between 18 July 2011 and 30 November 2018. </w:t>
      </w:r>
    </w:p>
    <w:p w14:paraId="19C36873" w14:textId="77777777" w:rsidR="00156870" w:rsidRPr="00156870" w:rsidRDefault="00156870" w:rsidP="00156870">
      <w:r w:rsidRPr="003959DB">
        <w:rPr>
          <w:b/>
          <w:bCs/>
        </w:rPr>
        <w:t>Primary efficacy objective</w:t>
      </w:r>
      <w:r w:rsidRPr="00156870">
        <w:t xml:space="preserve">: to determine whether treatment with teplizumab of at-risk subjects resulted in delaying or preventing the onset of clinical Stage 3 T1DM. </w:t>
      </w:r>
    </w:p>
    <w:p w14:paraId="788AB3E1" w14:textId="77777777" w:rsidR="00156870" w:rsidRPr="00156870" w:rsidRDefault="00156870" w:rsidP="00156870">
      <w:r w:rsidRPr="003959DB">
        <w:rPr>
          <w:b/>
          <w:bCs/>
        </w:rPr>
        <w:t>Key secondary efficacy objective</w:t>
      </w:r>
      <w:r w:rsidRPr="00156870">
        <w:t xml:space="preserve">: to determine whether treatment with teplizumab was superior to placebo with respect to C-peptide responses to oral glucose, as obtained from timed collections during longitudinal tests. </w:t>
      </w:r>
    </w:p>
    <w:p w14:paraId="0027CEE9" w14:textId="31604DB4" w:rsidR="00156870" w:rsidRPr="00380718" w:rsidRDefault="00156870" w:rsidP="003959DB">
      <w:pPr>
        <w:pStyle w:val="Heading6"/>
      </w:pPr>
      <w:r w:rsidRPr="00380718">
        <w:t xml:space="preserve">Main inclusion criteria </w:t>
      </w:r>
    </w:p>
    <w:p w14:paraId="12395EB2" w14:textId="3B6FB9A1" w:rsidR="00156870" w:rsidRPr="00156870" w:rsidRDefault="00156870" w:rsidP="008E2B69">
      <w:pPr>
        <w:pStyle w:val="ListBullet"/>
      </w:pPr>
      <w:r w:rsidRPr="00156870">
        <w:t xml:space="preserve">Participant in the </w:t>
      </w:r>
      <w:proofErr w:type="spellStart"/>
      <w:r w:rsidRPr="00156870">
        <w:t>TrialNet</w:t>
      </w:r>
      <w:proofErr w:type="spellEnd"/>
      <w:r w:rsidRPr="00156870">
        <w:t xml:space="preserve"> Natural History Study (TN-01) and thus a relative of a proband with T1D; age 1 to 45 years at enrolment in TN-01 and ≥8 years at randomisation in TN-10. </w:t>
      </w:r>
    </w:p>
    <w:p w14:paraId="6F1030C4" w14:textId="222C26E0" w:rsidR="00156870" w:rsidRPr="00156870" w:rsidRDefault="00156870" w:rsidP="008E2B69">
      <w:pPr>
        <w:pStyle w:val="ListBullet"/>
      </w:pPr>
      <w:proofErr w:type="spellStart"/>
      <w:r w:rsidRPr="00156870">
        <w:t>TrialNet</w:t>
      </w:r>
      <w:proofErr w:type="spellEnd"/>
      <w:r w:rsidRPr="00156870">
        <w:t>-conducted OGTT demonstrating</w:t>
      </w:r>
      <w:r w:rsidR="002753CF">
        <w:t xml:space="preserve"> </w:t>
      </w:r>
      <w:r w:rsidRPr="00156870">
        <w:t>abnormal glucose tolerance</w:t>
      </w:r>
      <w:r w:rsidR="002753CF">
        <w:t xml:space="preserve"> </w:t>
      </w:r>
      <w:r w:rsidRPr="00156870">
        <w:t>(if</w:t>
      </w:r>
      <w:r w:rsidR="002753CF">
        <w:t xml:space="preserve"> </w:t>
      </w:r>
      <w:r w:rsidRPr="00156870">
        <w:t>aged</w:t>
      </w:r>
      <w:r w:rsidR="002753CF">
        <w:t xml:space="preserve"> </w:t>
      </w:r>
      <w:r w:rsidRPr="00156870">
        <w:t>&lt;18 years at</w:t>
      </w:r>
      <w:r w:rsidR="002753CF">
        <w:t xml:space="preserve"> </w:t>
      </w:r>
      <w:r w:rsidRPr="00156870">
        <w:t>randomisation</w:t>
      </w:r>
      <w:r w:rsidR="002753CF">
        <w:t xml:space="preserve"> </w:t>
      </w:r>
      <w:r w:rsidRPr="00156870">
        <w:t>within 7 weeks of baseline; if</w:t>
      </w:r>
      <w:r w:rsidR="002753CF">
        <w:t xml:space="preserve"> </w:t>
      </w:r>
      <w:r w:rsidRPr="00156870">
        <w:t>aged</w:t>
      </w:r>
      <w:r w:rsidR="002753CF">
        <w:t xml:space="preserve"> </w:t>
      </w:r>
      <w:r w:rsidRPr="00156870">
        <w:t>≥18</w:t>
      </w:r>
      <w:r w:rsidR="002753CF">
        <w:t xml:space="preserve"> </w:t>
      </w:r>
      <w:r w:rsidRPr="00156870">
        <w:t>years</w:t>
      </w:r>
      <w:r w:rsidR="002753CF">
        <w:t xml:space="preserve"> </w:t>
      </w:r>
      <w:r w:rsidRPr="00156870">
        <w:t>two</w:t>
      </w:r>
      <w:r w:rsidR="00E0592B">
        <w:t xml:space="preserve"> </w:t>
      </w:r>
      <w:r w:rsidRPr="00156870">
        <w:t xml:space="preserve">consecutive abnormal </w:t>
      </w:r>
      <w:proofErr w:type="spellStart"/>
      <w:r w:rsidRPr="00156870">
        <w:t>TrialNet</w:t>
      </w:r>
      <w:proofErr w:type="spellEnd"/>
      <w:r w:rsidRPr="00156870">
        <w:t>-conducted OGTTs with the most recent test been within 7 weeks of baseline):</w:t>
      </w:r>
    </w:p>
    <w:p w14:paraId="20DF6AE0" w14:textId="4E6C110C" w:rsidR="00E0592B" w:rsidRDefault="00156870" w:rsidP="00E0592B">
      <w:pPr>
        <w:pStyle w:val="ListBullet2"/>
      </w:pPr>
      <w:r w:rsidRPr="00156870">
        <w:t>FPG</w:t>
      </w:r>
      <w:r w:rsidR="00EF3E02">
        <w:t xml:space="preserve"> </w:t>
      </w:r>
      <w:r w:rsidRPr="00156870">
        <w:t>≥110</w:t>
      </w:r>
      <w:r w:rsidR="00EF3E02">
        <w:t xml:space="preserve"> </w:t>
      </w:r>
      <w:r w:rsidRPr="00156870">
        <w:t>mg/dL</w:t>
      </w:r>
      <w:r w:rsidR="00502A95">
        <w:t xml:space="preserve"> </w:t>
      </w:r>
      <w:r w:rsidRPr="00156870">
        <w:t>and</w:t>
      </w:r>
      <w:r w:rsidR="00EF3E02">
        <w:t xml:space="preserve"> </w:t>
      </w:r>
      <w:r w:rsidRPr="00156870">
        <w:t>&lt;126</w:t>
      </w:r>
      <w:r w:rsidR="00EF3E02">
        <w:t xml:space="preserve"> </w:t>
      </w:r>
      <w:r w:rsidRPr="00156870">
        <w:t>mg/dL, or</w:t>
      </w:r>
    </w:p>
    <w:p w14:paraId="7027D129" w14:textId="22D6D274" w:rsidR="0092479A" w:rsidRDefault="00156870" w:rsidP="00E0592B">
      <w:pPr>
        <w:pStyle w:val="ListBullet2"/>
      </w:pPr>
      <w:r w:rsidRPr="00156870">
        <w:t>2h PG</w:t>
      </w:r>
      <w:r w:rsidR="00EF3E02">
        <w:t xml:space="preserve"> </w:t>
      </w:r>
      <w:r w:rsidRPr="00156870">
        <w:t>≥140</w:t>
      </w:r>
      <w:r w:rsidR="00EF3E02">
        <w:t xml:space="preserve"> </w:t>
      </w:r>
      <w:r w:rsidRPr="00156870">
        <w:t>mg/dL</w:t>
      </w:r>
      <w:r w:rsidR="00502A95">
        <w:t xml:space="preserve"> </w:t>
      </w:r>
      <w:r w:rsidRPr="00156870">
        <w:t>and</w:t>
      </w:r>
      <w:r w:rsidR="00EF3E02">
        <w:t xml:space="preserve"> </w:t>
      </w:r>
      <w:r w:rsidRPr="00156870">
        <w:t>&lt;200</w:t>
      </w:r>
      <w:r w:rsidR="00EF3E02">
        <w:t xml:space="preserve"> </w:t>
      </w:r>
      <w:r w:rsidRPr="00156870">
        <w:t>mg/dL, or</w:t>
      </w:r>
    </w:p>
    <w:p w14:paraId="5B2BBB9F" w14:textId="47AB6022" w:rsidR="00156870" w:rsidRPr="00156870" w:rsidRDefault="00156870" w:rsidP="00E0592B">
      <w:pPr>
        <w:pStyle w:val="ListBullet2"/>
      </w:pPr>
      <w:r w:rsidRPr="00156870">
        <w:t>30, 60, or 90-minute value on</w:t>
      </w:r>
      <w:r w:rsidR="00EF3E02">
        <w:t xml:space="preserve"> </w:t>
      </w:r>
      <w:r w:rsidRPr="00156870">
        <w:t>OGTT</w:t>
      </w:r>
      <w:r w:rsidR="00EF3E02">
        <w:t xml:space="preserve"> </w:t>
      </w:r>
      <w:r w:rsidRPr="00156870">
        <w:t>≥200</w:t>
      </w:r>
      <w:r w:rsidR="00EF3E02">
        <w:t xml:space="preserve"> </w:t>
      </w:r>
      <w:r w:rsidRPr="00156870">
        <w:t>mg/dL.</w:t>
      </w:r>
    </w:p>
    <w:p w14:paraId="37C9BCAC" w14:textId="26545E7F" w:rsidR="00156870" w:rsidRPr="00156870" w:rsidRDefault="00156870" w:rsidP="0092479A">
      <w:pPr>
        <w:pStyle w:val="ListBullet"/>
      </w:pPr>
      <w:r w:rsidRPr="00156870">
        <w:t>Positive for</w:t>
      </w:r>
      <w:r w:rsidR="00EF3E02">
        <w:t xml:space="preserve"> </w:t>
      </w:r>
      <w:r w:rsidRPr="00156870">
        <w:rPr>
          <w:u w:val="single"/>
        </w:rPr>
        <w:t>2 or more</w:t>
      </w:r>
      <w:r w:rsidR="0092479A">
        <w:rPr>
          <w:u w:val="single"/>
        </w:rPr>
        <w:t xml:space="preserve"> </w:t>
      </w:r>
      <w:r w:rsidRPr="00156870">
        <w:rPr>
          <w:u w:val="single"/>
        </w:rPr>
        <w:t>diabetes-related autoantibodies</w:t>
      </w:r>
      <w:r w:rsidR="0092479A">
        <w:rPr>
          <w:u w:val="single"/>
        </w:rPr>
        <w:t xml:space="preserve"> </w:t>
      </w:r>
      <w:r w:rsidRPr="00156870">
        <w:t>on 2 occasions.</w:t>
      </w:r>
      <w:r w:rsidR="0092479A">
        <w:t xml:space="preserve"> </w:t>
      </w:r>
      <w:r w:rsidRPr="00156870">
        <w:t>The</w:t>
      </w:r>
      <w:r w:rsidR="0092479A">
        <w:t xml:space="preserve"> </w:t>
      </w:r>
      <w:r w:rsidRPr="00156870">
        <w:t>second occasion</w:t>
      </w:r>
      <w:r w:rsidR="0092479A">
        <w:t xml:space="preserve"> </w:t>
      </w:r>
      <w:r w:rsidRPr="00156870">
        <w:t>had been within the 6</w:t>
      </w:r>
      <w:r w:rsidR="00502A95">
        <w:t xml:space="preserve"> </w:t>
      </w:r>
      <w:r w:rsidRPr="00156870">
        <w:t>months prior to study drug administration but did not</w:t>
      </w:r>
      <w:r w:rsidR="0092479A">
        <w:t xml:space="preserve"> </w:t>
      </w:r>
      <w:r w:rsidRPr="00156870">
        <w:t>have to involve</w:t>
      </w:r>
      <w:r w:rsidR="0092479A">
        <w:t xml:space="preserve"> </w:t>
      </w:r>
      <w:r w:rsidRPr="00156870">
        <w:t>the same 2 autoantibodies as those found</w:t>
      </w:r>
      <w:r w:rsidR="0092479A">
        <w:t xml:space="preserve"> </w:t>
      </w:r>
      <w:r w:rsidRPr="00156870">
        <w:t>on the first occasion. The autoantibodies to be</w:t>
      </w:r>
      <w:r w:rsidR="0092479A">
        <w:t xml:space="preserve"> </w:t>
      </w:r>
      <w:r w:rsidRPr="00156870">
        <w:lastRenderedPageBreak/>
        <w:t>confirmed were anti-GAD65, anti-ICA512, micro-insulin autoantibody (</w:t>
      </w:r>
      <w:proofErr w:type="spellStart"/>
      <w:r w:rsidRPr="00156870">
        <w:t>mIAA</w:t>
      </w:r>
      <w:proofErr w:type="spellEnd"/>
      <w:r w:rsidRPr="00156870">
        <w:t>), ZnT8</w:t>
      </w:r>
      <w:r w:rsidR="00AB18F4">
        <w:t xml:space="preserve"> </w:t>
      </w:r>
      <w:r w:rsidRPr="00156870">
        <w:t>antibody,</w:t>
      </w:r>
      <w:r w:rsidR="00AB18F4">
        <w:t xml:space="preserve"> </w:t>
      </w:r>
      <w:r w:rsidRPr="00156870">
        <w:t>and/or ICA.</w:t>
      </w:r>
    </w:p>
    <w:p w14:paraId="175EFDD1" w14:textId="5691C243" w:rsidR="00082A24" w:rsidRPr="00380718" w:rsidRDefault="00156870" w:rsidP="003959DB">
      <w:pPr>
        <w:pStyle w:val="Heading6"/>
      </w:pPr>
      <w:r w:rsidRPr="00380718">
        <w:t>Main exclusion criteria</w:t>
      </w:r>
    </w:p>
    <w:p w14:paraId="325D3CFE" w14:textId="6FE26D2B" w:rsidR="00156870" w:rsidRPr="00156870" w:rsidRDefault="00156870" w:rsidP="00156870">
      <w:r w:rsidRPr="00156870">
        <w:t>Diabetes or OGTT in which</w:t>
      </w:r>
      <w:r w:rsidR="00082A24">
        <w:t xml:space="preserve"> </w:t>
      </w:r>
      <w:r w:rsidRPr="00156870">
        <w:t>FPG</w:t>
      </w:r>
      <w:r w:rsidR="00082A24">
        <w:t xml:space="preserve"> </w:t>
      </w:r>
      <w:r w:rsidRPr="00156870">
        <w:t>≥126</w:t>
      </w:r>
      <w:r w:rsidR="00EF3E02">
        <w:t xml:space="preserve"> </w:t>
      </w:r>
      <w:r w:rsidRPr="00156870">
        <w:t>mg/dL</w:t>
      </w:r>
      <w:r w:rsidR="00082A24">
        <w:t xml:space="preserve"> </w:t>
      </w:r>
      <w:r w:rsidRPr="00156870">
        <w:t>or 2h</w:t>
      </w:r>
      <w:r w:rsidR="00EF3E02">
        <w:t xml:space="preserve"> </w:t>
      </w:r>
      <w:r w:rsidRPr="00156870">
        <w:t>PG</w:t>
      </w:r>
      <w:r w:rsidR="00EF3E02">
        <w:t xml:space="preserve"> </w:t>
      </w:r>
      <w:r w:rsidRPr="00156870">
        <w:t>≥200</w:t>
      </w:r>
      <w:r w:rsidR="00EF3E02">
        <w:t xml:space="preserve"> </w:t>
      </w:r>
      <w:r w:rsidRPr="00156870">
        <w:t>mg/dL</w:t>
      </w:r>
      <w:r w:rsidR="0091766C">
        <w:t xml:space="preserve"> </w:t>
      </w:r>
      <w:r w:rsidRPr="00156870">
        <w:t>(if age ≥18years)</w:t>
      </w:r>
      <w:r w:rsidR="0091766C">
        <w:t xml:space="preserve"> </w:t>
      </w:r>
      <w:r w:rsidRPr="00156870">
        <w:t>or</w:t>
      </w:r>
      <w:r w:rsidR="0091766C">
        <w:t xml:space="preserve"> </w:t>
      </w:r>
      <w:r w:rsidRPr="00156870">
        <w:t>diabetes</w:t>
      </w:r>
      <w:r w:rsidR="0091766C">
        <w:t xml:space="preserve"> </w:t>
      </w:r>
      <w:r w:rsidRPr="00156870">
        <w:t>or</w:t>
      </w:r>
      <w:r w:rsidR="0091766C">
        <w:t xml:space="preserve"> </w:t>
      </w:r>
      <w:r w:rsidRPr="00156870">
        <w:t>random</w:t>
      </w:r>
      <w:r w:rsidR="0091766C">
        <w:t xml:space="preserve"> </w:t>
      </w:r>
      <w:r w:rsidRPr="00156870">
        <w:t>glucose</w:t>
      </w:r>
      <w:r w:rsidR="0091766C">
        <w:t xml:space="preserve"> </w:t>
      </w:r>
      <w:r w:rsidRPr="00156870">
        <w:t xml:space="preserve"> ≥200</w:t>
      </w:r>
      <w:r w:rsidR="0091766C">
        <w:t xml:space="preserve"> </w:t>
      </w:r>
      <w:r w:rsidRPr="00156870">
        <w:t>mg/dL</w:t>
      </w:r>
      <w:r w:rsidR="0091766C">
        <w:t xml:space="preserve"> </w:t>
      </w:r>
      <w:r w:rsidRPr="00156870">
        <w:t xml:space="preserve">(if age &lt;18years); </w:t>
      </w:r>
      <w:proofErr w:type="spellStart"/>
      <w:r w:rsidRPr="00156870">
        <w:t>lymphopaenia</w:t>
      </w:r>
      <w:proofErr w:type="spellEnd"/>
      <w:r w:rsidRPr="00156870">
        <w:t xml:space="preserve">; </w:t>
      </w:r>
      <w:proofErr w:type="spellStart"/>
      <w:r w:rsidRPr="00156870">
        <w:t>neutropaenia</w:t>
      </w:r>
      <w:proofErr w:type="spellEnd"/>
      <w:r w:rsidRPr="00156870">
        <w:t>; thrombocytopaenia; anaemia; AST</w:t>
      </w:r>
      <w:r w:rsidR="007808B7">
        <w:t xml:space="preserve"> </w:t>
      </w:r>
      <w:r w:rsidRPr="00156870">
        <w:t>or ALT</w:t>
      </w:r>
      <w:r w:rsidR="007808B7">
        <w:t xml:space="preserve"> </w:t>
      </w:r>
      <w:r w:rsidRPr="00156870">
        <w:t>or total</w:t>
      </w:r>
      <w:r w:rsidR="007808B7">
        <w:t xml:space="preserve"> </w:t>
      </w:r>
      <w:r w:rsidRPr="00156870">
        <w:t>bilirubin</w:t>
      </w:r>
      <w:r w:rsidR="007808B7">
        <w:t xml:space="preserve"> </w:t>
      </w:r>
      <w:r w:rsidRPr="00156870">
        <w:t>&gt;1.5xULN</w:t>
      </w:r>
      <w:r w:rsidR="007808B7">
        <w:t xml:space="preserve"> </w:t>
      </w:r>
      <w:r w:rsidRPr="00156870">
        <w:t>(except for Gilbert</w:t>
      </w:r>
      <w:r w:rsidR="007808B7">
        <w:t xml:space="preserve"> </w:t>
      </w:r>
      <w:r w:rsidRPr="00156870">
        <w:t>syndrome); INR &gt;0.1 above ULN;</w:t>
      </w:r>
      <w:r w:rsidR="007808B7">
        <w:t xml:space="preserve"> </w:t>
      </w:r>
      <w:r w:rsidRPr="00156870">
        <w:t>pregnancy;</w:t>
      </w:r>
      <w:r w:rsidR="007808B7">
        <w:t xml:space="preserve"> </w:t>
      </w:r>
      <w:r w:rsidRPr="00156870">
        <w:t>chronic use</w:t>
      </w:r>
      <w:r w:rsidR="007808B7">
        <w:t xml:space="preserve"> </w:t>
      </w:r>
      <w:r w:rsidRPr="00156870">
        <w:t>of steroids or other immunosuppressants;</w:t>
      </w:r>
      <w:r w:rsidR="007808B7">
        <w:t xml:space="preserve"> </w:t>
      </w:r>
      <w:r w:rsidRPr="00156870">
        <w:t>recent vaccination;</w:t>
      </w:r>
      <w:r w:rsidR="007808B7">
        <w:t xml:space="preserve"> </w:t>
      </w:r>
      <w:r w:rsidRPr="00156870">
        <w:t>positive PPD; acute EBV</w:t>
      </w:r>
      <w:r w:rsidR="007808B7">
        <w:t xml:space="preserve"> </w:t>
      </w:r>
      <w:r w:rsidRPr="00156870">
        <w:t>or CMV</w:t>
      </w:r>
      <w:r w:rsidR="007808B7">
        <w:t xml:space="preserve"> </w:t>
      </w:r>
      <w:r w:rsidRPr="00156870">
        <w:t>infection;</w:t>
      </w:r>
      <w:r w:rsidR="007808B7">
        <w:t xml:space="preserve"> </w:t>
      </w:r>
      <w:r w:rsidRPr="00156870">
        <w:t>HIV, HBV, or HCV infection;</w:t>
      </w:r>
      <w:r w:rsidR="007808B7">
        <w:t xml:space="preserve"> </w:t>
      </w:r>
      <w:r w:rsidRPr="00156870">
        <w:t>asthma or atopic disease requiring chronic treatment;</w:t>
      </w:r>
      <w:r w:rsidR="007808B7">
        <w:t xml:space="preserve"> </w:t>
      </w:r>
      <w:r w:rsidRPr="00156870">
        <w:t>untreated hypothyroidism or active Graves’ disease; pharmaceuticals that affect</w:t>
      </w:r>
      <w:r w:rsidR="007808B7">
        <w:t xml:space="preserve"> </w:t>
      </w:r>
      <w:r w:rsidRPr="00156870">
        <w:t>glycaemic</w:t>
      </w:r>
      <w:r w:rsidR="006D7A62">
        <w:t xml:space="preserve"> </w:t>
      </w:r>
      <w:r w:rsidRPr="00156870">
        <w:t>control; prior OKT-3 or other anti-CD3 treatment;</w:t>
      </w:r>
      <w:r w:rsidR="006D7A62">
        <w:t xml:space="preserve"> </w:t>
      </w:r>
      <w:proofErr w:type="spellStart"/>
      <w:r w:rsidRPr="00156870">
        <w:t>mAb</w:t>
      </w:r>
      <w:proofErr w:type="spellEnd"/>
      <w:r w:rsidRPr="00156870">
        <w:t xml:space="preserve"> within the year before randomisation.</w:t>
      </w:r>
    </w:p>
    <w:p w14:paraId="02BDC0F4" w14:textId="4BBEEE12" w:rsidR="00D14183" w:rsidRDefault="00156870" w:rsidP="003959DB">
      <w:pPr>
        <w:pStyle w:val="Heading6"/>
      </w:pPr>
      <w:r w:rsidRPr="00DA08AD">
        <w:t>Treatments</w:t>
      </w:r>
    </w:p>
    <w:p w14:paraId="3DF9B164" w14:textId="52613679" w:rsidR="00156870" w:rsidRPr="00156870" w:rsidRDefault="00D14183" w:rsidP="00156870">
      <w:r>
        <w:t>O</w:t>
      </w:r>
      <w:r w:rsidR="00156870" w:rsidRPr="00156870">
        <w:t>utlined in</w:t>
      </w:r>
      <w:r w:rsidR="006D7A62">
        <w:t xml:space="preserve"> </w:t>
      </w:r>
      <w:r w:rsidR="00156870" w:rsidRPr="00156870">
        <w:t xml:space="preserve">Table </w:t>
      </w:r>
      <w:r w:rsidR="00D019AE">
        <w:t>9</w:t>
      </w:r>
      <w:r w:rsidR="00156870" w:rsidRPr="00156870">
        <w:t>.</w:t>
      </w:r>
    </w:p>
    <w:p w14:paraId="0C1F3B76" w14:textId="10DC120B" w:rsidR="006D7A62" w:rsidRPr="00DA08AD" w:rsidRDefault="00156870" w:rsidP="003959DB">
      <w:pPr>
        <w:pStyle w:val="Heading6"/>
      </w:pPr>
      <w:r w:rsidRPr="00DA08AD">
        <w:t>Randomisation</w:t>
      </w:r>
      <w:r w:rsidR="006D7A62" w:rsidRPr="00DA08AD">
        <w:t xml:space="preserve"> </w:t>
      </w:r>
      <w:r w:rsidRPr="00DA08AD">
        <w:t>and statistical analysis</w:t>
      </w:r>
    </w:p>
    <w:p w14:paraId="2F17305B" w14:textId="6711460D" w:rsidR="00156870" w:rsidRDefault="00156870" w:rsidP="00156870">
      <w:r w:rsidRPr="00156870">
        <w:t>Subjects were randomised 1:1 to either teplizumab or</w:t>
      </w:r>
      <w:r w:rsidR="006D7A62">
        <w:t xml:space="preserve"> </w:t>
      </w:r>
      <w:r w:rsidRPr="00156870">
        <w:t>placebo</w:t>
      </w:r>
      <w:r w:rsidR="006D7A62">
        <w:t xml:space="preserve"> </w:t>
      </w:r>
      <w:r w:rsidRPr="00156870">
        <w:t xml:space="preserve">stratified by </w:t>
      </w:r>
      <w:proofErr w:type="spellStart"/>
      <w:r w:rsidRPr="00156870">
        <w:t>TrialNet</w:t>
      </w:r>
      <w:proofErr w:type="spellEnd"/>
      <w:r w:rsidRPr="00156870">
        <w:t xml:space="preserve"> study site and whether the subject was less than 18 years of age or 18 years and older.</w:t>
      </w:r>
      <w:r w:rsidR="003A5A97">
        <w:t xml:space="preserve"> </w:t>
      </w:r>
      <w:r w:rsidRPr="00156870">
        <w:t>The difference between groups in the cumulative incidence functions and</w:t>
      </w:r>
      <w:r w:rsidR="003A5A97">
        <w:t xml:space="preserve"> </w:t>
      </w:r>
      <w:r w:rsidRPr="00156870">
        <w:t>the associated hazard functions was tested at the 0.025 level (one-sided) using the Cox</w:t>
      </w:r>
      <w:r w:rsidR="003A5A97">
        <w:t xml:space="preserve"> </w:t>
      </w:r>
      <w:r w:rsidRPr="00156870">
        <w:t>proportional hazards model, stratified by age and the OGTT status (confirmed abnormal</w:t>
      </w:r>
      <w:r w:rsidR="003A5A97">
        <w:t xml:space="preserve"> </w:t>
      </w:r>
      <w:r w:rsidRPr="00156870">
        <w:t>or not)</w:t>
      </w:r>
      <w:r w:rsidR="003A5A97">
        <w:t xml:space="preserve"> </w:t>
      </w:r>
      <w:r w:rsidRPr="00156870">
        <w:t>prior to randomisation.</w:t>
      </w:r>
    </w:p>
    <w:p w14:paraId="59D47BD4" w14:textId="4B2DF710" w:rsidR="00917A96" w:rsidRPr="00156870" w:rsidRDefault="00917A96" w:rsidP="003A5A97">
      <w:pPr>
        <w:pStyle w:val="TableTitle"/>
      </w:pPr>
      <w:r w:rsidRPr="00917A96">
        <w:t>Table</w:t>
      </w:r>
      <w:r w:rsidR="00D019AE">
        <w:t xml:space="preserve"> 9</w:t>
      </w:r>
      <w:r w:rsidRPr="00917A96">
        <w:t>. Study TN-10. Study</w:t>
      </w:r>
      <w:r w:rsidR="003A5A97">
        <w:t xml:space="preserve"> </w:t>
      </w:r>
      <w:r w:rsidRPr="00917A96">
        <w:t>treatments.</w:t>
      </w:r>
    </w:p>
    <w:tbl>
      <w:tblPr>
        <w:tblW w:w="9322" w:type="dxa"/>
        <w:tblInd w:w="-11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644"/>
        <w:gridCol w:w="4678"/>
      </w:tblGrid>
      <w:tr w:rsidR="00156870" w:rsidRPr="00156870" w14:paraId="1A02A721" w14:textId="77777777" w:rsidTr="00D14183">
        <w:trPr>
          <w:trHeight w:val="257"/>
        </w:trPr>
        <w:tc>
          <w:tcPr>
            <w:tcW w:w="4644" w:type="dxa"/>
            <w:tcBorders>
              <w:top w:val="single" w:sz="6" w:space="0" w:color="000000"/>
              <w:left w:val="single" w:sz="4" w:space="0" w:color="000000"/>
              <w:bottom w:val="single" w:sz="2" w:space="0" w:color="000000"/>
              <w:right w:val="single" w:sz="2" w:space="0" w:color="000000"/>
            </w:tcBorders>
            <w:shd w:val="clear" w:color="auto" w:fill="D9D9D9"/>
            <w:vAlign w:val="center"/>
          </w:tcPr>
          <w:p w14:paraId="27A6E389" w14:textId="404F7A3B" w:rsidR="00156870" w:rsidRPr="00156870" w:rsidRDefault="00156870" w:rsidP="00156870">
            <w:r w:rsidRPr="00156870">
              <w:rPr>
                <w:b/>
                <w:bCs/>
              </w:rPr>
              <w:t>Teplizumab group</w:t>
            </w:r>
          </w:p>
        </w:tc>
        <w:tc>
          <w:tcPr>
            <w:tcW w:w="4678" w:type="dxa"/>
            <w:tcBorders>
              <w:top w:val="single" w:sz="6" w:space="0" w:color="000000"/>
              <w:left w:val="single" w:sz="2" w:space="0" w:color="000000"/>
              <w:bottom w:val="single" w:sz="2" w:space="0" w:color="000000"/>
              <w:right w:val="single" w:sz="4" w:space="0" w:color="000000"/>
            </w:tcBorders>
            <w:shd w:val="clear" w:color="auto" w:fill="D9D9D9"/>
            <w:vAlign w:val="center"/>
          </w:tcPr>
          <w:p w14:paraId="4873B564" w14:textId="77777777" w:rsidR="00156870" w:rsidRPr="00156870" w:rsidRDefault="00156870" w:rsidP="00156870">
            <w:r w:rsidRPr="00156870">
              <w:rPr>
                <w:b/>
                <w:bCs/>
              </w:rPr>
              <w:t>Placebo group</w:t>
            </w:r>
          </w:p>
        </w:tc>
      </w:tr>
      <w:tr w:rsidR="00156870" w:rsidRPr="00156870" w14:paraId="394382C8" w14:textId="77777777" w:rsidTr="00D14183">
        <w:trPr>
          <w:trHeight w:val="1010"/>
        </w:trPr>
        <w:tc>
          <w:tcPr>
            <w:tcW w:w="4644" w:type="dxa"/>
            <w:tcBorders>
              <w:top w:val="single" w:sz="2" w:space="0" w:color="000000"/>
              <w:left w:val="single" w:sz="4" w:space="0" w:color="000000"/>
              <w:bottom w:val="single" w:sz="2" w:space="0" w:color="000000"/>
              <w:right w:val="single" w:sz="2" w:space="0" w:color="000000"/>
            </w:tcBorders>
          </w:tcPr>
          <w:p w14:paraId="48EFA07B" w14:textId="77777777" w:rsidR="003A5A97" w:rsidRDefault="00156870" w:rsidP="00156870">
            <w:r w:rsidRPr="00156870">
              <w:t>14-day</w:t>
            </w:r>
            <w:r w:rsidR="003A5A97">
              <w:t xml:space="preserve"> </w:t>
            </w:r>
            <w:r w:rsidRPr="00156870">
              <w:t>course with daily</w:t>
            </w:r>
            <w:r w:rsidR="003A5A97">
              <w:t xml:space="preserve"> </w:t>
            </w:r>
            <w:r w:rsidRPr="00156870">
              <w:t>IV</w:t>
            </w:r>
            <w:r w:rsidR="003A5A97">
              <w:t xml:space="preserve"> </w:t>
            </w:r>
            <w:r w:rsidRPr="00156870">
              <w:t>doses as follows:</w:t>
            </w:r>
          </w:p>
          <w:p w14:paraId="284A44A7" w14:textId="1A8FA74C" w:rsidR="003A5A97" w:rsidRDefault="00156870" w:rsidP="003E4C35">
            <w:pPr>
              <w:pStyle w:val="ListBullet"/>
              <w:spacing w:before="0" w:after="120" w:line="120" w:lineRule="atLeast"/>
              <w:ind w:left="357" w:hanging="357"/>
            </w:pPr>
            <w:r w:rsidRPr="00156870">
              <w:t>Day 0:</w:t>
            </w:r>
            <w:r w:rsidR="003E4C35">
              <w:t xml:space="preserve"> </w:t>
            </w:r>
            <w:r w:rsidRPr="00156870">
              <w:t xml:space="preserve">51 </w:t>
            </w:r>
            <w:proofErr w:type="spellStart"/>
            <w:r w:rsidRPr="00156870">
              <w:t>μg</w:t>
            </w:r>
            <w:proofErr w:type="spellEnd"/>
            <w:r w:rsidRPr="00156870">
              <w:t>/m2</w:t>
            </w:r>
          </w:p>
          <w:p w14:paraId="4941756D" w14:textId="1411C490" w:rsidR="003A5A97" w:rsidRDefault="00156870" w:rsidP="003E4C35">
            <w:pPr>
              <w:pStyle w:val="ListBullet"/>
              <w:spacing w:before="0" w:after="120" w:line="120" w:lineRule="atLeast"/>
              <w:ind w:left="357" w:hanging="357"/>
            </w:pPr>
            <w:r w:rsidRPr="00156870">
              <w:t>Day 1:</w:t>
            </w:r>
            <w:r w:rsidR="003E4C35">
              <w:t xml:space="preserve"> </w:t>
            </w:r>
            <w:r w:rsidRPr="00156870">
              <w:t xml:space="preserve">103 </w:t>
            </w:r>
            <w:proofErr w:type="spellStart"/>
            <w:r w:rsidRPr="00156870">
              <w:t>μg</w:t>
            </w:r>
            <w:proofErr w:type="spellEnd"/>
            <w:r w:rsidRPr="00156870">
              <w:t>/m2</w:t>
            </w:r>
          </w:p>
          <w:p w14:paraId="6B04BB0A" w14:textId="08AE7366" w:rsidR="003A5A97" w:rsidRDefault="00156870" w:rsidP="003E4C35">
            <w:pPr>
              <w:pStyle w:val="ListBullet"/>
              <w:spacing w:before="0" w:after="120" w:line="120" w:lineRule="atLeast"/>
              <w:ind w:left="357" w:hanging="357"/>
            </w:pPr>
            <w:r w:rsidRPr="00156870">
              <w:t>Day 2:</w:t>
            </w:r>
            <w:r w:rsidR="003E4C35">
              <w:t xml:space="preserve"> </w:t>
            </w:r>
            <w:r w:rsidRPr="00156870">
              <w:t xml:space="preserve">207 </w:t>
            </w:r>
            <w:proofErr w:type="spellStart"/>
            <w:r w:rsidRPr="00156870">
              <w:t>μg</w:t>
            </w:r>
            <w:proofErr w:type="spellEnd"/>
            <w:r w:rsidRPr="00156870">
              <w:t>/m2</w:t>
            </w:r>
          </w:p>
          <w:p w14:paraId="1F30A394" w14:textId="278DD48A" w:rsidR="003A5A97" w:rsidRDefault="00156870" w:rsidP="003E4C35">
            <w:pPr>
              <w:pStyle w:val="ListBullet"/>
              <w:spacing w:before="0" w:after="120" w:line="120" w:lineRule="atLeast"/>
              <w:ind w:left="357" w:hanging="357"/>
            </w:pPr>
            <w:r w:rsidRPr="00156870">
              <w:t>Day 3:</w:t>
            </w:r>
            <w:r w:rsidR="003E4C35">
              <w:t xml:space="preserve"> </w:t>
            </w:r>
            <w:r w:rsidRPr="00156870">
              <w:t xml:space="preserve">413 </w:t>
            </w:r>
            <w:proofErr w:type="spellStart"/>
            <w:r w:rsidRPr="00156870">
              <w:t>μg</w:t>
            </w:r>
            <w:proofErr w:type="spellEnd"/>
            <w:r w:rsidRPr="00156870">
              <w:t>/m2</w:t>
            </w:r>
          </w:p>
          <w:p w14:paraId="72D262BE" w14:textId="071F8CBA" w:rsidR="00156870" w:rsidRPr="00156870" w:rsidRDefault="00156870" w:rsidP="003E4C35">
            <w:pPr>
              <w:pStyle w:val="ListBullet"/>
              <w:spacing w:before="0" w:after="120" w:line="120" w:lineRule="atLeast"/>
              <w:ind w:left="357" w:hanging="357"/>
            </w:pPr>
            <w:r w:rsidRPr="00156870">
              <w:t>Days 4 to13:</w:t>
            </w:r>
            <w:r w:rsidR="003E4C35">
              <w:t xml:space="preserve"> </w:t>
            </w:r>
            <w:r w:rsidRPr="00156870">
              <w:t xml:space="preserve">826 </w:t>
            </w:r>
            <w:proofErr w:type="spellStart"/>
            <w:r w:rsidRPr="00156870">
              <w:t>μg</w:t>
            </w:r>
            <w:proofErr w:type="spellEnd"/>
            <w:r w:rsidRPr="00156870">
              <w:t>/m2</w:t>
            </w:r>
          </w:p>
        </w:tc>
        <w:tc>
          <w:tcPr>
            <w:tcW w:w="4678" w:type="dxa"/>
            <w:tcBorders>
              <w:top w:val="single" w:sz="2" w:space="0" w:color="000000"/>
              <w:left w:val="single" w:sz="2" w:space="0" w:color="000000"/>
              <w:bottom w:val="single" w:sz="2" w:space="0" w:color="000000"/>
              <w:right w:val="single" w:sz="4" w:space="0" w:color="000000"/>
            </w:tcBorders>
          </w:tcPr>
          <w:p w14:paraId="0C23175A" w14:textId="695C03C0" w:rsidR="00156870" w:rsidRPr="00156870" w:rsidRDefault="00156870" w:rsidP="00156870">
            <w:r w:rsidRPr="00156870">
              <w:t>14-day</w:t>
            </w:r>
            <w:r w:rsidR="001473C0">
              <w:t xml:space="preserve"> </w:t>
            </w:r>
            <w:r w:rsidRPr="00156870">
              <w:t>course of IV placebo</w:t>
            </w:r>
            <w:r w:rsidR="003E4C35">
              <w:t xml:space="preserve"> </w:t>
            </w:r>
            <w:r w:rsidRPr="00156870">
              <w:t>(saline infusion)</w:t>
            </w:r>
          </w:p>
        </w:tc>
      </w:tr>
      <w:tr w:rsidR="00156870" w:rsidRPr="00156870" w14:paraId="1CA1FAAB" w14:textId="77777777" w:rsidTr="00D14183">
        <w:trPr>
          <w:trHeight w:val="375"/>
        </w:trPr>
        <w:tc>
          <w:tcPr>
            <w:tcW w:w="9322" w:type="dxa"/>
            <w:gridSpan w:val="2"/>
            <w:tcBorders>
              <w:top w:val="single" w:sz="2" w:space="0" w:color="000000"/>
              <w:left w:val="single" w:sz="4" w:space="0" w:color="000000"/>
              <w:bottom w:val="single" w:sz="4" w:space="0" w:color="000000"/>
              <w:right w:val="single" w:sz="4" w:space="0" w:color="000000"/>
            </w:tcBorders>
            <w:vAlign w:val="center"/>
          </w:tcPr>
          <w:p w14:paraId="6DFCF723" w14:textId="0A485D31" w:rsidR="00156870" w:rsidRPr="00156870" w:rsidRDefault="00156870" w:rsidP="00671E24">
            <w:pPr>
              <w:pStyle w:val="TableDescription"/>
            </w:pPr>
            <w:r w:rsidRPr="00156870">
              <w:t>The total dose for the 14-day</w:t>
            </w:r>
            <w:r w:rsidR="00671E24">
              <w:t xml:space="preserve"> </w:t>
            </w:r>
            <w:r w:rsidRPr="00156870">
              <w:t>course</w:t>
            </w:r>
            <w:r w:rsidR="00671E24">
              <w:t xml:space="preserve"> </w:t>
            </w:r>
            <w:r w:rsidRPr="00156870">
              <w:t>was</w:t>
            </w:r>
            <w:r w:rsidR="00671E24">
              <w:t xml:space="preserve"> </w:t>
            </w:r>
            <w:r w:rsidRPr="00156870">
              <w:t>approximately</w:t>
            </w:r>
            <w:r w:rsidR="00671E24">
              <w:t xml:space="preserve"> </w:t>
            </w:r>
            <w:r w:rsidRPr="00156870">
              <w:t>9034</w:t>
            </w:r>
            <w:r w:rsidR="00671E24">
              <w:t xml:space="preserve"> </w:t>
            </w:r>
            <w:proofErr w:type="spellStart"/>
            <w:r w:rsidRPr="00156870">
              <w:t>μg</w:t>
            </w:r>
            <w:proofErr w:type="spellEnd"/>
            <w:r w:rsidRPr="00156870">
              <w:t>/m2. For subjects weighing</w:t>
            </w:r>
            <w:r w:rsidR="00E84F26">
              <w:t xml:space="preserve"> </w:t>
            </w:r>
            <w:r w:rsidRPr="00156870">
              <w:t>70 kg with a body</w:t>
            </w:r>
            <w:r w:rsidR="00671E24">
              <w:t xml:space="preserve"> </w:t>
            </w:r>
            <w:r w:rsidRPr="00156870">
              <w:t>surface area of 1.92</w:t>
            </w:r>
            <w:r w:rsidR="00E84F26">
              <w:t xml:space="preserve"> </w:t>
            </w:r>
            <w:r w:rsidRPr="00156870">
              <w:t>m</w:t>
            </w:r>
            <w:r w:rsidRPr="00E84F26">
              <w:rPr>
                <w:vertAlign w:val="superscript"/>
              </w:rPr>
              <w:t>2</w:t>
            </w:r>
            <w:r w:rsidRPr="00156870">
              <w:t>, the cumulative</w:t>
            </w:r>
            <w:r w:rsidR="00671E24">
              <w:t xml:space="preserve"> </w:t>
            </w:r>
            <w:r w:rsidRPr="00156870">
              <w:t>dose</w:t>
            </w:r>
            <w:r w:rsidR="00671E24">
              <w:t xml:space="preserve"> </w:t>
            </w:r>
            <w:r w:rsidRPr="00156870">
              <w:t>of teplizumab</w:t>
            </w:r>
            <w:r w:rsidR="00671E24">
              <w:t xml:space="preserve"> </w:t>
            </w:r>
            <w:r w:rsidRPr="00156870">
              <w:t>delivered was</w:t>
            </w:r>
            <w:r w:rsidR="00E84F26">
              <w:t xml:space="preserve"> </w:t>
            </w:r>
            <w:r w:rsidRPr="00156870">
              <w:t>~18 mg.</w:t>
            </w:r>
          </w:p>
        </w:tc>
      </w:tr>
    </w:tbl>
    <w:p w14:paraId="55738F15" w14:textId="5832BAE0" w:rsidR="000F4AF3" w:rsidRPr="00D14183" w:rsidRDefault="000F4AF3" w:rsidP="00FF3093">
      <w:pPr>
        <w:pStyle w:val="Heading6"/>
      </w:pPr>
      <w:r w:rsidRPr="00D14183">
        <w:t>Baseline characteristics</w:t>
      </w:r>
    </w:p>
    <w:p w14:paraId="0C73034B" w14:textId="46F15A68" w:rsidR="00471BB0" w:rsidRDefault="00471BB0" w:rsidP="00F304C0">
      <w:pPr>
        <w:adjustRightInd w:val="0"/>
        <w:snapToGrid w:val="0"/>
        <w:spacing w:before="120" w:line="240" w:lineRule="auto"/>
      </w:pPr>
      <w:r w:rsidRPr="00FF3093">
        <w:rPr>
          <w:b/>
          <w:bCs/>
        </w:rPr>
        <w:t>Patient demographics</w:t>
      </w:r>
      <w:r>
        <w:t>: Overall, there was a reasonable balance between groups. The age range was from 8.5 to 49.5 years with a median age of 14 years (teplizumab) vs. 13 years (placebo). Slightly over half were male (teplizumab 56.8%, placebo 53.1%). Most patients were white (97%). The median BMI was 20.0 kg/m</w:t>
      </w:r>
      <w:r w:rsidRPr="00471BB0">
        <w:rPr>
          <w:vertAlign w:val="superscript"/>
        </w:rPr>
        <w:t>2</w:t>
      </w:r>
      <w:r>
        <w:t xml:space="preserve"> (teplizumab) vs. 21.6 kg/m</w:t>
      </w:r>
      <w:r w:rsidRPr="00471BB0">
        <w:rPr>
          <w:vertAlign w:val="superscript"/>
        </w:rPr>
        <w:t>2</w:t>
      </w:r>
      <w:r>
        <w:t xml:space="preserve"> (placebo) (</w:t>
      </w:r>
      <w:r w:rsidR="007278AD">
        <w:t>Table 1</w:t>
      </w:r>
      <w:r w:rsidR="002A1C10">
        <w:t>0</w:t>
      </w:r>
      <w:r w:rsidR="007278AD">
        <w:t>)</w:t>
      </w:r>
      <w:r>
        <w:t>.</w:t>
      </w:r>
    </w:p>
    <w:p w14:paraId="33521536" w14:textId="78E4D3BD" w:rsidR="00471BB0" w:rsidRDefault="00471BB0" w:rsidP="00471BB0">
      <w:pPr>
        <w:adjustRightInd w:val="0"/>
        <w:snapToGrid w:val="0"/>
        <w:spacing w:before="180" w:after="180" w:line="240" w:lineRule="atLeast"/>
      </w:pPr>
      <w:r w:rsidRPr="00FF3093">
        <w:rPr>
          <w:b/>
          <w:bCs/>
        </w:rPr>
        <w:t>Disease characteristics</w:t>
      </w:r>
      <w:r>
        <w:t>: Approximately half of the patients had either 4 (34.2%) or 5 (18.4%) positive autoantibodies at baseline. 10.5% did not have either the DR3 or the DR4 allele (</w:t>
      </w:r>
      <w:r w:rsidR="00DF783F">
        <w:t>Table 1</w:t>
      </w:r>
      <w:r w:rsidR="002A1C10">
        <w:t>1</w:t>
      </w:r>
      <w:r w:rsidR="00DF783F">
        <w:t>)</w:t>
      </w:r>
      <w:r>
        <w:t>. The mean (SD) baseline glucose level was 162.5 (22.29) mg/dL and 155.3 (22.94) mg/dL, respectively. The mean (SD) baseline HbA1c level was 5.16 (0.33) % and 5.21 (0.26) %, respectively (</w:t>
      </w:r>
      <w:r w:rsidR="00DF783F">
        <w:t xml:space="preserve">Table </w:t>
      </w:r>
      <w:r w:rsidR="002A1C10">
        <w:t>12</w:t>
      </w:r>
      <w:r>
        <w:t>).</w:t>
      </w:r>
    </w:p>
    <w:p w14:paraId="37C3A908" w14:textId="498FC9C3" w:rsidR="009F7534" w:rsidRDefault="00471BB0" w:rsidP="000E754A">
      <w:pPr>
        <w:spacing w:line="240" w:lineRule="auto"/>
      </w:pPr>
      <w:r w:rsidRPr="00FF3093">
        <w:rPr>
          <w:b/>
          <w:bCs/>
        </w:rPr>
        <w:t>Patient disposition</w:t>
      </w:r>
      <w:r>
        <w:t xml:space="preserve"> (</w:t>
      </w:r>
      <w:r w:rsidR="0056129E">
        <w:t>Figure 1</w:t>
      </w:r>
      <w:r>
        <w:t>): 76 patients were randomised</w:t>
      </w:r>
      <w:r w:rsidR="00DF3979">
        <w:t>;</w:t>
      </w:r>
      <w:r>
        <w:t xml:space="preserve"> teplizumab </w:t>
      </w:r>
      <w:r w:rsidR="00DF3979">
        <w:t>(44</w:t>
      </w:r>
      <w:r w:rsidR="00DD364C">
        <w:t xml:space="preserve"> participants) </w:t>
      </w:r>
      <w:r>
        <w:t>and placebo</w:t>
      </w:r>
      <w:r w:rsidR="00DD364C">
        <w:t xml:space="preserve"> (32 participants)</w:t>
      </w:r>
      <w:r>
        <w:t xml:space="preserve">. </w:t>
      </w:r>
      <w:r w:rsidR="00DD364C">
        <w:t>Three</w:t>
      </w:r>
      <w:r>
        <w:t xml:space="preserve"> patients discontinued the 14-day treatment course for protocol-specified </w:t>
      </w:r>
      <w:r w:rsidR="00DD364C">
        <w:t xml:space="preserve">reasons </w:t>
      </w:r>
      <w:r w:rsidR="00336045">
        <w:t xml:space="preserve">- </w:t>
      </w:r>
      <w:r>
        <w:t xml:space="preserve">1 </w:t>
      </w:r>
      <w:r w:rsidR="00336045">
        <w:t xml:space="preserve">patient </w:t>
      </w:r>
      <w:r>
        <w:t xml:space="preserve">(2.3%) in the teplizumab group and 2 </w:t>
      </w:r>
      <w:r w:rsidR="00336045">
        <w:t>patients</w:t>
      </w:r>
      <w:r w:rsidR="004A6454">
        <w:t xml:space="preserve"> </w:t>
      </w:r>
      <w:r>
        <w:t xml:space="preserve">(6.3%) in </w:t>
      </w:r>
      <w:r>
        <w:lastRenderedPageBreak/>
        <w:t xml:space="preserve">the placebo group. </w:t>
      </w:r>
      <w:r w:rsidR="004A6454">
        <w:t>However, they</w:t>
      </w:r>
      <w:r w:rsidR="004A6454" w:rsidRPr="004A6454">
        <w:t xml:space="preserve"> were still followed</w:t>
      </w:r>
      <w:r w:rsidR="003A62CE">
        <w:t xml:space="preserve"> up</w:t>
      </w:r>
      <w:r w:rsidR="004A6454" w:rsidRPr="004A6454">
        <w:t xml:space="preserve"> (elevated liver function test results)</w:t>
      </w:r>
      <w:r w:rsidR="003A62CE">
        <w:t>. Six</w:t>
      </w:r>
      <w:r>
        <w:t xml:space="preserve"> patients discontinued the study participation</w:t>
      </w:r>
      <w:r w:rsidR="003A62CE">
        <w:t>;</w:t>
      </w:r>
      <w:r>
        <w:t xml:space="preserve"> 3 (6.8%) in the teplizumab group and 3 (9.4%) in the placebo group. However, it should be noted that, among these 6 subjects, 3 subjects were diagnosed with T1D (i.e., met the primary endpoint) and therefore completed the study. Of the other 3 subjects, 1 was lost to follow-up, and 2 withdrew consent.</w:t>
      </w:r>
    </w:p>
    <w:p w14:paraId="1F99D031" w14:textId="77777777" w:rsidR="00FF3093" w:rsidRDefault="00E14335" w:rsidP="00FF3093">
      <w:pPr>
        <w:pStyle w:val="TableTitle"/>
      </w:pPr>
      <w:r w:rsidRPr="00E14335">
        <w:t>Table 1</w:t>
      </w:r>
      <w:r w:rsidR="00265A8B">
        <w:t>0</w:t>
      </w:r>
      <w:r w:rsidRPr="00E14335">
        <w:t>. Study TN- 10. Patient demographics.</w:t>
      </w:r>
    </w:p>
    <w:p w14:paraId="40ED1B8A" w14:textId="282B48EF" w:rsidR="00FE131D" w:rsidRDefault="003777F6" w:rsidP="00BF515D">
      <w:pPr>
        <w:spacing w:line="240" w:lineRule="auto"/>
      </w:pPr>
      <w:r w:rsidRPr="003777F6">
        <w:rPr>
          <w:noProof/>
        </w:rPr>
        <w:drawing>
          <wp:inline distT="0" distB="0" distL="0" distR="0" wp14:anchorId="1EB619DB" wp14:editId="6A584867">
            <wp:extent cx="4993420" cy="2394489"/>
            <wp:effectExtent l="0" t="0" r="0" b="6350"/>
            <wp:docPr id="162152238" name="Picture 1" descr="Table 10. Study TN- 10. Patient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2238" name="Picture 1" descr="Table 10. Study TN- 10. Patient demographics."/>
                    <pic:cNvPicPr/>
                  </pic:nvPicPr>
                  <pic:blipFill>
                    <a:blip r:embed="rId30"/>
                    <a:stretch>
                      <a:fillRect/>
                    </a:stretch>
                  </pic:blipFill>
                  <pic:spPr>
                    <a:xfrm>
                      <a:off x="0" y="0"/>
                      <a:ext cx="5109408" cy="2450109"/>
                    </a:xfrm>
                    <a:prstGeom prst="rect">
                      <a:avLst/>
                    </a:prstGeom>
                  </pic:spPr>
                </pic:pic>
              </a:graphicData>
            </a:graphic>
          </wp:inline>
        </w:drawing>
      </w:r>
      <w:r w:rsidR="00F91554" w:rsidRPr="00FE131D">
        <w:rPr>
          <w:noProof/>
        </w:rPr>
        <w:drawing>
          <wp:inline distT="0" distB="0" distL="0" distR="0" wp14:anchorId="2D81B544" wp14:editId="0BF31BDE">
            <wp:extent cx="5028193" cy="5200153"/>
            <wp:effectExtent l="0" t="0" r="1270" b="635"/>
            <wp:docPr id="626941171" name="Picture 1" descr="Table 10. Study TN- 10. Patient 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41171" name="Picture 1" descr="Table 10. Study TN- 10. Patient demographics."/>
                    <pic:cNvPicPr/>
                  </pic:nvPicPr>
                  <pic:blipFill>
                    <a:blip r:embed="rId31"/>
                    <a:stretch>
                      <a:fillRect/>
                    </a:stretch>
                  </pic:blipFill>
                  <pic:spPr>
                    <a:xfrm>
                      <a:off x="0" y="0"/>
                      <a:ext cx="5032767" cy="5204884"/>
                    </a:xfrm>
                    <a:prstGeom prst="rect">
                      <a:avLst/>
                    </a:prstGeom>
                  </pic:spPr>
                </pic:pic>
              </a:graphicData>
            </a:graphic>
          </wp:inline>
        </w:drawing>
      </w:r>
    </w:p>
    <w:p w14:paraId="424F500D" w14:textId="00BE3108" w:rsidR="00064BFE" w:rsidRPr="009F7534" w:rsidRDefault="00030CF4" w:rsidP="009F7534">
      <w:pPr>
        <w:pStyle w:val="TableTitle"/>
      </w:pPr>
      <w:r w:rsidRPr="009F7534">
        <w:lastRenderedPageBreak/>
        <w:t>Table 1</w:t>
      </w:r>
      <w:r w:rsidR="00265A8B">
        <w:t>1</w:t>
      </w:r>
      <w:r w:rsidRPr="009F7534">
        <w:t>. Study TN-10. Type and frequency of autoantibodies at baseline and presence of HLA risk alleles (ITT population).</w:t>
      </w:r>
    </w:p>
    <w:p w14:paraId="03450B26" w14:textId="2F2D6014" w:rsidR="00627C05" w:rsidRPr="00064BFE" w:rsidRDefault="00030CF4" w:rsidP="00064BFE">
      <w:r w:rsidRPr="00030CF4">
        <w:rPr>
          <w:noProof/>
        </w:rPr>
        <w:drawing>
          <wp:inline distT="0" distB="0" distL="0" distR="0" wp14:anchorId="515F8A1C" wp14:editId="412A31C5">
            <wp:extent cx="5810250" cy="5448300"/>
            <wp:effectExtent l="0" t="0" r="0" b="0"/>
            <wp:docPr id="259692272" name="Picture 9" descr="Table 11. Study TN-10. Type and frequency of autoantibodies at baseline and presence of HLA risk allele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2272" name="Picture 9" descr="Table 11. Study TN-10. Type and frequency of autoantibodies at baseline and presence of HLA risk alleles (ITT popul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22888" cy="5460151"/>
                    </a:xfrm>
                    <a:prstGeom prst="rect">
                      <a:avLst/>
                    </a:prstGeom>
                    <a:noFill/>
                    <a:ln>
                      <a:noFill/>
                    </a:ln>
                  </pic:spPr>
                </pic:pic>
              </a:graphicData>
            </a:graphic>
          </wp:inline>
        </w:drawing>
      </w:r>
      <w:r w:rsidR="00627C05" w:rsidRPr="00627C05">
        <w:rPr>
          <w:noProof/>
        </w:rPr>
        <w:drawing>
          <wp:inline distT="0" distB="0" distL="0" distR="0" wp14:anchorId="27F0743E" wp14:editId="05B0475A">
            <wp:extent cx="5753100" cy="3183890"/>
            <wp:effectExtent l="0" t="0" r="0" b="0"/>
            <wp:docPr id="1151451150" name="Picture 1" descr="Table 11. Study TN-10. Type and frequency of autoantibodies at baseline and presence of HLA risk allele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51150" name="Picture 1" descr="Table 11. Study TN-10. Type and frequency of autoantibodies at baseline and presence of HLA risk alleles (ITT population)."/>
                    <pic:cNvPicPr/>
                  </pic:nvPicPr>
                  <pic:blipFill>
                    <a:blip r:embed="rId33"/>
                    <a:stretch>
                      <a:fillRect/>
                    </a:stretch>
                  </pic:blipFill>
                  <pic:spPr>
                    <a:xfrm>
                      <a:off x="0" y="0"/>
                      <a:ext cx="5758297" cy="3186766"/>
                    </a:xfrm>
                    <a:prstGeom prst="rect">
                      <a:avLst/>
                    </a:prstGeom>
                  </pic:spPr>
                </pic:pic>
              </a:graphicData>
            </a:graphic>
          </wp:inline>
        </w:drawing>
      </w:r>
    </w:p>
    <w:p w14:paraId="76B344DF" w14:textId="09C1B1C7" w:rsidR="00156870" w:rsidRDefault="003F71D1" w:rsidP="00FF3093">
      <w:pPr>
        <w:pStyle w:val="TableTitle"/>
      </w:pPr>
      <w:r w:rsidRPr="003F71D1">
        <w:lastRenderedPageBreak/>
        <w:t>Table 1</w:t>
      </w:r>
      <w:r w:rsidR="00EC574B">
        <w:t>2</w:t>
      </w:r>
      <w:r w:rsidRPr="003F71D1">
        <w:t>. Study TN-10. T1D-related clinical characteristics at baseline (ITT population).</w:t>
      </w:r>
    </w:p>
    <w:p w14:paraId="3DC1B455" w14:textId="030B955A" w:rsidR="00156870" w:rsidRDefault="00C3164D" w:rsidP="00A15ECE">
      <w:r w:rsidRPr="00C3164D">
        <w:rPr>
          <w:noProof/>
        </w:rPr>
        <w:drawing>
          <wp:inline distT="0" distB="0" distL="0" distR="0" wp14:anchorId="6E6D5A16" wp14:editId="2460C3F7">
            <wp:extent cx="5857875" cy="2876550"/>
            <wp:effectExtent l="0" t="0" r="9525" b="0"/>
            <wp:docPr id="316105417" name="Picture 1" descr="Table 12. Study TN-10. T1D-related clinical characteristics at baselin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05417" name="Picture 1" descr="Table 12. Study TN-10. T1D-related clinical characteristics at baseline (ITT population)."/>
                    <pic:cNvPicPr/>
                  </pic:nvPicPr>
                  <pic:blipFill>
                    <a:blip r:embed="rId34"/>
                    <a:stretch>
                      <a:fillRect/>
                    </a:stretch>
                  </pic:blipFill>
                  <pic:spPr>
                    <a:xfrm>
                      <a:off x="0" y="0"/>
                      <a:ext cx="5857875" cy="2876550"/>
                    </a:xfrm>
                    <a:prstGeom prst="rect">
                      <a:avLst/>
                    </a:prstGeom>
                  </pic:spPr>
                </pic:pic>
              </a:graphicData>
            </a:graphic>
          </wp:inline>
        </w:drawing>
      </w:r>
    </w:p>
    <w:p w14:paraId="53F7C736" w14:textId="66CEB41B" w:rsidR="00674FD9" w:rsidRPr="00674FD9" w:rsidRDefault="00674FD9" w:rsidP="00FF3093">
      <w:pPr>
        <w:pStyle w:val="FigureTitle"/>
      </w:pPr>
      <w:bookmarkStart w:id="49" w:name="_Ref223004479"/>
      <w:r w:rsidRPr="00674FD9">
        <w:t xml:space="preserve">Figure </w:t>
      </w:r>
      <w:bookmarkEnd w:id="49"/>
      <w:r w:rsidR="0056129E">
        <w:t>1</w:t>
      </w:r>
      <w:r w:rsidRPr="00674FD9">
        <w:t>. Study TN-10. Patient Disposition.</w:t>
      </w:r>
    </w:p>
    <w:p w14:paraId="5BAB85DE" w14:textId="40A5C38E" w:rsidR="00156870" w:rsidRDefault="003F71D1" w:rsidP="00A15ECE">
      <w:r w:rsidRPr="003F71D1">
        <w:rPr>
          <w:noProof/>
        </w:rPr>
        <w:drawing>
          <wp:inline distT="0" distB="0" distL="0" distR="0" wp14:anchorId="2387F49E" wp14:editId="4169677F">
            <wp:extent cx="5629275" cy="5242675"/>
            <wp:effectExtent l="0" t="0" r="0" b="0"/>
            <wp:docPr id="1125841796" name="Picture 12" descr="Figure 1. Study TN-10. Patient Dis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41796" name="Picture 12" descr="Figure 1. Study TN-10. Patient Dispositi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9851" cy="5243211"/>
                    </a:xfrm>
                    <a:prstGeom prst="rect">
                      <a:avLst/>
                    </a:prstGeom>
                    <a:noFill/>
                    <a:ln>
                      <a:noFill/>
                    </a:ln>
                  </pic:spPr>
                </pic:pic>
              </a:graphicData>
            </a:graphic>
          </wp:inline>
        </w:drawing>
      </w:r>
    </w:p>
    <w:p w14:paraId="7B97BDEB" w14:textId="77777777" w:rsidR="00674FD9" w:rsidRDefault="00674FD9" w:rsidP="00A15ECE"/>
    <w:p w14:paraId="0009C35C" w14:textId="750493AF" w:rsidR="008D5B45" w:rsidRPr="00674FD9" w:rsidRDefault="008D5B45" w:rsidP="00FF3093">
      <w:pPr>
        <w:pStyle w:val="Heading6"/>
      </w:pPr>
      <w:r w:rsidRPr="00674FD9">
        <w:lastRenderedPageBreak/>
        <w:t xml:space="preserve">Magnitude of the treatment effect and its clinical significance </w:t>
      </w:r>
    </w:p>
    <w:p w14:paraId="1198510E" w14:textId="55DC8C10" w:rsidR="008D5B45" w:rsidRPr="008D5B45" w:rsidRDefault="008D5B45" w:rsidP="008D5B45">
      <w:r w:rsidRPr="008D5B45">
        <w:t>The primary analysis was conducted through the cutoff date of 30 November 2018, when &gt; 40 subjects were diagnosed with T1DM, as prespecified in the</w:t>
      </w:r>
      <w:r w:rsidR="004F24F0" w:rsidRPr="004F24F0">
        <w:t xml:space="preserve"> </w:t>
      </w:r>
      <w:r w:rsidR="004F24F0">
        <w:t>s</w:t>
      </w:r>
      <w:r w:rsidR="004F24F0" w:rsidRPr="004F24F0">
        <w:t>tatistical analysis plan</w:t>
      </w:r>
      <w:r w:rsidRPr="008D5B45">
        <w:t xml:space="preserve"> </w:t>
      </w:r>
      <w:r w:rsidR="004F24F0" w:rsidRPr="004F24F0">
        <w:t>(</w:t>
      </w:r>
      <w:r w:rsidRPr="004F24F0">
        <w:t>SAP</w:t>
      </w:r>
      <w:r w:rsidR="004F24F0">
        <w:t>)</w:t>
      </w:r>
      <w:r w:rsidRPr="008D5B45">
        <w:t xml:space="preserve"> (20 (45.5%) patients in the teplizumab group and 23 (71.9%) in the placebo group were diagnosed with T1DM). </w:t>
      </w:r>
    </w:p>
    <w:p w14:paraId="1B6A3525" w14:textId="77777777" w:rsidR="008D5B45" w:rsidRPr="008D5B45" w:rsidRDefault="008D5B45" w:rsidP="008D5B45">
      <w:r w:rsidRPr="00563E2B">
        <w:rPr>
          <w:u w:val="single"/>
        </w:rPr>
        <w:t>Primary efficacy endpoint</w:t>
      </w:r>
      <w:r w:rsidRPr="008D5B45">
        <w:t xml:space="preserve">: The primary endpoint was the time from randomisation to T1DM diagnosis or last contact. The cumulative incidence of diabetes onset over time from randomisation within each treatment group was estimated using the Kaplan-Meier method (proportion surviving diabetes-free as a function of time). </w:t>
      </w:r>
    </w:p>
    <w:p w14:paraId="54859045" w14:textId="1D1B665C" w:rsidR="008D5B45" w:rsidRPr="008D5B45" w:rsidRDefault="008D5B45" w:rsidP="008D5B45">
      <w:r w:rsidRPr="008D5B45">
        <w:t xml:space="preserve">Treatment with a single 14-day course of teplizumab delayed the time to diagnosis of T1DM (i.e. the primary endpoint of the study was met). The median times to T1DM were 24.9 months (placebo) and 49.5 months (teplizumab) corresponding to a delay of T1DM onset by 24.6 months. HR = 0.41 (95% CI: 0.22 to 0.78) (p=0.0066) (Table </w:t>
      </w:r>
      <w:r w:rsidR="00EC574B">
        <w:t>13</w:t>
      </w:r>
      <w:r w:rsidRPr="008D5B45">
        <w:t xml:space="preserve">). Cumulative </w:t>
      </w:r>
      <w:r w:rsidR="0074174E">
        <w:t xml:space="preserve">hazard </w:t>
      </w:r>
      <w:r w:rsidR="0074174E" w:rsidRPr="0074174E">
        <w:t>ratios (</w:t>
      </w:r>
      <w:r w:rsidRPr="0074174E">
        <w:t>HRs</w:t>
      </w:r>
      <w:r w:rsidR="0074174E">
        <w:t>)</w:t>
      </w:r>
      <w:r w:rsidRPr="008D5B45">
        <w:t xml:space="preserve"> are shown in Table 1</w:t>
      </w:r>
      <w:r w:rsidR="00F40021">
        <w:t>4</w:t>
      </w:r>
      <w:r w:rsidRPr="008D5B45">
        <w:t xml:space="preserve"> and a Kaplan-Meier curve in Figure </w:t>
      </w:r>
      <w:r w:rsidR="00214562">
        <w:t>2</w:t>
      </w:r>
      <w:r w:rsidRPr="008D5B45">
        <w:t xml:space="preserve">. </w:t>
      </w:r>
    </w:p>
    <w:p w14:paraId="28D69024" w14:textId="652148B0" w:rsidR="003F71D1" w:rsidRDefault="008D5B45" w:rsidP="005C2976">
      <w:pPr>
        <w:pStyle w:val="TableTitle"/>
      </w:pPr>
      <w:r w:rsidRPr="008D5B45">
        <w:t>Table 1</w:t>
      </w:r>
      <w:r w:rsidR="00EC574B">
        <w:t>3</w:t>
      </w:r>
      <w:r w:rsidRPr="008D5B45">
        <w:t>. Study TN-10. Results of the primary efficacy analyses (ITT population).</w:t>
      </w:r>
    </w:p>
    <w:p w14:paraId="0F132FCF" w14:textId="4DEDC908" w:rsidR="003F71D1" w:rsidRDefault="00750895" w:rsidP="00A15ECE">
      <w:r w:rsidRPr="00750895">
        <w:rPr>
          <w:noProof/>
        </w:rPr>
        <w:drawing>
          <wp:inline distT="0" distB="0" distL="0" distR="0" wp14:anchorId="36460CA7" wp14:editId="7318BB75">
            <wp:extent cx="5759450" cy="1848897"/>
            <wp:effectExtent l="0" t="0" r="0" b="0"/>
            <wp:docPr id="1113046744" name="Picture 1" descr="Table 13. Study TN-10. Results of the primary efficacy analyse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46744" name="Picture 1" descr="Table 13. Study TN-10. Results of the primary efficacy analyses (ITT population)."/>
                    <pic:cNvPicPr/>
                  </pic:nvPicPr>
                  <pic:blipFill>
                    <a:blip r:embed="rId36"/>
                    <a:stretch>
                      <a:fillRect/>
                    </a:stretch>
                  </pic:blipFill>
                  <pic:spPr>
                    <a:xfrm>
                      <a:off x="0" y="0"/>
                      <a:ext cx="5766685" cy="1851220"/>
                    </a:xfrm>
                    <a:prstGeom prst="rect">
                      <a:avLst/>
                    </a:prstGeom>
                  </pic:spPr>
                </pic:pic>
              </a:graphicData>
            </a:graphic>
          </wp:inline>
        </w:drawing>
      </w:r>
    </w:p>
    <w:p w14:paraId="37DAF87F" w14:textId="1503DD52" w:rsidR="003F71D1" w:rsidRDefault="004274CC" w:rsidP="005C2976">
      <w:pPr>
        <w:pStyle w:val="TableTitle"/>
      </w:pPr>
      <w:r>
        <w:t>Table 1</w:t>
      </w:r>
      <w:r w:rsidR="00F40021">
        <w:t>4</w:t>
      </w:r>
      <w:r>
        <w:t xml:space="preserve">. Study TN-10. </w:t>
      </w:r>
      <w:r w:rsidR="00330D9C">
        <w:t>Yearly interval and cumulative hazard rations of time to T1D onset (ITT population).</w:t>
      </w:r>
    </w:p>
    <w:p w14:paraId="60B41102" w14:textId="275906B9" w:rsidR="003F71D1" w:rsidRDefault="005C2976" w:rsidP="00A15ECE">
      <w:r w:rsidRPr="005C2976">
        <w:rPr>
          <w:noProof/>
        </w:rPr>
        <w:drawing>
          <wp:inline distT="0" distB="0" distL="0" distR="0" wp14:anchorId="1D63A433" wp14:editId="49AAAE0D">
            <wp:extent cx="5759450" cy="2029767"/>
            <wp:effectExtent l="0" t="0" r="0" b="8890"/>
            <wp:docPr id="1775632977" name="Picture 1" descr="Table 14. Study TN-10. Yearly interval and cumulative hazard rations of time to T1D onse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32977" name="Picture 1" descr="Table 14. Study TN-10. Yearly interval and cumulative hazard rations of time to T1D onset (ITT population)."/>
                    <pic:cNvPicPr/>
                  </pic:nvPicPr>
                  <pic:blipFill>
                    <a:blip r:embed="rId37"/>
                    <a:stretch>
                      <a:fillRect/>
                    </a:stretch>
                  </pic:blipFill>
                  <pic:spPr>
                    <a:xfrm>
                      <a:off x="0" y="0"/>
                      <a:ext cx="5763528" cy="2031204"/>
                    </a:xfrm>
                    <a:prstGeom prst="rect">
                      <a:avLst/>
                    </a:prstGeom>
                  </pic:spPr>
                </pic:pic>
              </a:graphicData>
            </a:graphic>
          </wp:inline>
        </w:drawing>
      </w:r>
    </w:p>
    <w:p w14:paraId="5F05DA0F" w14:textId="5DE294E0" w:rsidR="007C73ED" w:rsidRPr="00750223" w:rsidRDefault="007C73ED" w:rsidP="007C73ED">
      <w:pPr>
        <w:pStyle w:val="FigureTitle"/>
      </w:pPr>
      <w:bookmarkStart w:id="50" w:name="_Ref223013642"/>
      <w:r>
        <w:lastRenderedPageBreak/>
        <w:t xml:space="preserve">Figure </w:t>
      </w:r>
      <w:bookmarkEnd w:id="50"/>
      <w:r w:rsidR="00214562">
        <w:t>2</w:t>
      </w:r>
      <w:r>
        <w:t xml:space="preserve">. </w:t>
      </w:r>
      <w:r w:rsidRPr="00AE748F">
        <w:t>Study TN-10. Kaplan-Meier curve of time to T1D</w:t>
      </w:r>
      <w:r>
        <w:t>M</w:t>
      </w:r>
      <w:r w:rsidRPr="00AE748F">
        <w:t xml:space="preserve"> diagnosis by treatment group (ITT population)</w:t>
      </w:r>
      <w:r>
        <w:t>.</w:t>
      </w:r>
    </w:p>
    <w:p w14:paraId="5D2F8241" w14:textId="4919200C" w:rsidR="00A925BE" w:rsidRDefault="00791850" w:rsidP="00A15ECE">
      <w:r w:rsidRPr="009C106C">
        <w:rPr>
          <w:noProof/>
        </w:rPr>
        <w:drawing>
          <wp:inline distT="0" distB="0" distL="0" distR="0" wp14:anchorId="63EF3EEE" wp14:editId="45946920">
            <wp:extent cx="5988817" cy="2119951"/>
            <wp:effectExtent l="0" t="0" r="0" b="0"/>
            <wp:docPr id="540" name="Grafik 540" descr="Figure 2. Study TN-10. Kaplan-Meier curve of time to T1DM diagnosis by treatment group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Grafik 540" descr="Figure 2. Study TN-10. Kaplan-Meier curve of time to T1DM diagnosis by treatment group (ITT population)."/>
                    <pic:cNvPicPr/>
                  </pic:nvPicPr>
                  <pic:blipFill>
                    <a:blip r:embed="rId38"/>
                    <a:stretch>
                      <a:fillRect/>
                    </a:stretch>
                  </pic:blipFill>
                  <pic:spPr>
                    <a:xfrm>
                      <a:off x="0" y="0"/>
                      <a:ext cx="6027500" cy="2133644"/>
                    </a:xfrm>
                    <a:prstGeom prst="rect">
                      <a:avLst/>
                    </a:prstGeom>
                  </pic:spPr>
                </pic:pic>
              </a:graphicData>
            </a:graphic>
          </wp:inline>
        </w:drawing>
      </w:r>
    </w:p>
    <w:p w14:paraId="7BAA57B0" w14:textId="11698AC9" w:rsidR="00927F56" w:rsidRPr="00927F56" w:rsidRDefault="00927F56" w:rsidP="00927F56">
      <w:bookmarkStart w:id="51" w:name="_Toc314842514"/>
      <w:r w:rsidRPr="00FF3093">
        <w:rPr>
          <w:b/>
          <w:bCs/>
        </w:rPr>
        <w:t>Primary endpoint sensitivity analyses</w:t>
      </w:r>
      <w:r w:rsidR="000627C3" w:rsidRPr="00FF3093">
        <w:rPr>
          <w:b/>
          <w:bCs/>
        </w:rPr>
        <w:t xml:space="preserve"> (</w:t>
      </w:r>
      <w:r w:rsidR="000C752C" w:rsidRPr="00FF3093">
        <w:rPr>
          <w:b/>
          <w:bCs/>
        </w:rPr>
        <w:t>Figure 3</w:t>
      </w:r>
      <w:r w:rsidR="000627C3" w:rsidRPr="00FF3093">
        <w:rPr>
          <w:b/>
          <w:bCs/>
        </w:rPr>
        <w:t>)</w:t>
      </w:r>
      <w:r w:rsidRPr="00927F56">
        <w:t>: The outcomes of all three sensitivity analyses were consistent with the primary analysis with HR (95% CI) = 0.41 (0.22; 0.78) (ITT):</w:t>
      </w:r>
    </w:p>
    <w:p w14:paraId="041EC089" w14:textId="1154587F" w:rsidR="00F61AEC" w:rsidRDefault="00927F56" w:rsidP="00333C81">
      <w:pPr>
        <w:pStyle w:val="ListBullet"/>
      </w:pPr>
      <w:r w:rsidRPr="00FF3093">
        <w:rPr>
          <w:b/>
          <w:bCs/>
        </w:rPr>
        <w:t>Primary endpoint sensitivity analysis 1</w:t>
      </w:r>
      <w:r w:rsidRPr="00927F56">
        <w:t>: Delaying the time to T1DM onset to 1 year after randomisation for placebo subjects with a T1DM onset within the first year. HR (95% CI) = 0.43 (0.22; 0.81).</w:t>
      </w:r>
    </w:p>
    <w:p w14:paraId="469592EB" w14:textId="395D4D5F" w:rsidR="000627C3" w:rsidRDefault="00927F56" w:rsidP="00333C81">
      <w:pPr>
        <w:pStyle w:val="ListBullet"/>
      </w:pPr>
      <w:r w:rsidRPr="00FF3093">
        <w:rPr>
          <w:b/>
          <w:bCs/>
        </w:rPr>
        <w:t>Primary endpoint sensitivity analysis 2</w:t>
      </w:r>
      <w:r w:rsidRPr="00927F56">
        <w:t>: Considering subjects who terminated study participation early (either withdrew consent or lost to follow-up) as reaching T1DM onset at the time of termination. HR (95% CI) = 0.42 (0.22; 0.78).</w:t>
      </w:r>
    </w:p>
    <w:p w14:paraId="4D5ADA3C" w14:textId="77777777" w:rsidR="00E04630" w:rsidRDefault="00927F56" w:rsidP="00333C81">
      <w:pPr>
        <w:pStyle w:val="ListBullet"/>
      </w:pPr>
      <w:r w:rsidRPr="00FF3093">
        <w:rPr>
          <w:b/>
          <w:bCs/>
        </w:rPr>
        <w:t>Primary endpoint sensitivity analysis 3</w:t>
      </w:r>
      <w:r w:rsidRPr="00927F56">
        <w:t>: Both assumptions combined. HR (95% CI) = 0.43 (0.23; 0.81).</w:t>
      </w:r>
      <w:bookmarkStart w:id="52" w:name="_Ref223088735"/>
    </w:p>
    <w:p w14:paraId="20E9B759" w14:textId="77777777" w:rsidR="00FF3093" w:rsidRDefault="007257F4" w:rsidP="00FF3093">
      <w:pPr>
        <w:pStyle w:val="FigureTitle"/>
        <w:rPr>
          <w:shd w:val="clear" w:color="auto" w:fill="FFFFFF" w:themeFill="background1"/>
        </w:rPr>
      </w:pPr>
      <w:r w:rsidRPr="00E04630">
        <w:lastRenderedPageBreak/>
        <w:t xml:space="preserve">Figure </w:t>
      </w:r>
      <w:bookmarkEnd w:id="52"/>
      <w:r w:rsidR="006773B0">
        <w:t>3</w:t>
      </w:r>
      <w:r w:rsidRPr="00E04630">
        <w:t>. Study TN-10. Kaplan-Meier curve of time to T1D diagnosis by treatment group and sensitivity analysis (ITT population)</w:t>
      </w:r>
      <w:r w:rsidRPr="00065E45">
        <w:rPr>
          <w:shd w:val="clear" w:color="auto" w:fill="FFFFFF" w:themeFill="background1"/>
        </w:rPr>
        <w:t>.</w:t>
      </w:r>
    </w:p>
    <w:p w14:paraId="3B79F04E" w14:textId="693E9512" w:rsidR="00A925BE" w:rsidRDefault="00065E45" w:rsidP="00E04630">
      <w:pPr>
        <w:pStyle w:val="ListBullet"/>
        <w:numPr>
          <w:ilvl w:val="0"/>
          <w:numId w:val="0"/>
        </w:numPr>
      </w:pPr>
      <w:r w:rsidRPr="00065E45">
        <w:rPr>
          <w:noProof/>
        </w:rPr>
        <w:drawing>
          <wp:inline distT="0" distB="0" distL="0" distR="0" wp14:anchorId="7E836C7F" wp14:editId="01A2E75B">
            <wp:extent cx="5922247" cy="6734755"/>
            <wp:effectExtent l="0" t="0" r="2540" b="9525"/>
            <wp:docPr id="857077419" name="Picture 1" descr="Figure 3. Study TN-10. Kaplan-Meier curve of time to T1D diagnosis by treatment group and sensitivity analysi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77419" name="Picture 1" descr="Figure 3. Study TN-10. Kaplan-Meier curve of time to T1D diagnosis by treatment group and sensitivity analysis (ITT population)."/>
                    <pic:cNvPicPr/>
                  </pic:nvPicPr>
                  <pic:blipFill>
                    <a:blip r:embed="rId39"/>
                    <a:stretch>
                      <a:fillRect/>
                    </a:stretch>
                  </pic:blipFill>
                  <pic:spPr>
                    <a:xfrm>
                      <a:off x="0" y="0"/>
                      <a:ext cx="5931747" cy="6745558"/>
                    </a:xfrm>
                    <a:prstGeom prst="rect">
                      <a:avLst/>
                    </a:prstGeom>
                  </pic:spPr>
                </pic:pic>
              </a:graphicData>
            </a:graphic>
          </wp:inline>
        </w:drawing>
      </w:r>
    </w:p>
    <w:p w14:paraId="5A7C958C" w14:textId="77777777" w:rsidR="00B36946" w:rsidRPr="00B36946" w:rsidRDefault="00B36946" w:rsidP="00B36946">
      <w:r w:rsidRPr="00FF3093">
        <w:rPr>
          <w:b/>
          <w:bCs/>
        </w:rPr>
        <w:t>Primary endpoint subgroup analyses</w:t>
      </w:r>
      <w:r w:rsidRPr="00B36946">
        <w:t>: The outcomes of all most subgroup analyses were consistent with the primary analysis, noting that the number of patients in each subgroup was relatively small and no adjustments for multiplicity were made.</w:t>
      </w:r>
    </w:p>
    <w:p w14:paraId="78820E32" w14:textId="48BA6D9C" w:rsidR="00B36946" w:rsidRPr="00B36946" w:rsidRDefault="00B36946" w:rsidP="00B36946">
      <w:r w:rsidRPr="00B36946">
        <w:t>The treatment effect appeared to be larger in subgroups with specific baseline characteristics (e.g. negative anti-ZnT8 antibodies; HLA DR3 negative; HLA DR4 positive; or C-peptide level AUC &lt; median), but no definite conclusion can be made (</w:t>
      </w:r>
      <w:r w:rsidR="0037097A">
        <w:t>Figure 4</w:t>
      </w:r>
      <w:r w:rsidRPr="00B36946">
        <w:t>).</w:t>
      </w:r>
    </w:p>
    <w:p w14:paraId="41706762" w14:textId="77777777" w:rsidR="00FF3093" w:rsidRDefault="001E4FF2" w:rsidP="000E3384">
      <w:pPr>
        <w:pStyle w:val="FigureTitle"/>
      </w:pPr>
      <w:bookmarkStart w:id="53" w:name="_Ref223090318"/>
      <w:r w:rsidRPr="001E4FF2">
        <w:lastRenderedPageBreak/>
        <w:t>Figure</w:t>
      </w:r>
      <w:bookmarkEnd w:id="53"/>
      <w:r w:rsidR="0037097A">
        <w:t xml:space="preserve"> 4</w:t>
      </w:r>
      <w:r w:rsidRPr="001E4FF2">
        <w:t>. Study TN-10. Primary endpoint subgroup analyses: Forest plot on the effect of teplizumab compared with placebo (ITT population).</w:t>
      </w:r>
    </w:p>
    <w:p w14:paraId="5CA70D37" w14:textId="619237B8" w:rsidR="00A925BE" w:rsidRDefault="000E3384" w:rsidP="00FF3093">
      <w:r>
        <w:rPr>
          <w:noProof/>
        </w:rPr>
        <w:drawing>
          <wp:inline distT="0" distB="0" distL="0" distR="0" wp14:anchorId="3F950146" wp14:editId="0A7185A9">
            <wp:extent cx="5375082" cy="5962124"/>
            <wp:effectExtent l="0" t="0" r="0" b="635"/>
            <wp:docPr id="65278353" name="Picture 3" descr="Figure 4. Study TN-10. Primary endpoint subgroup analyses: Forest plot on the effect of teplizumab compared with placebo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78353" name="Picture 3" descr="Figure 4. Study TN-10. Primary endpoint subgroup analyses: Forest plot on the effect of teplizumab compared with placebo (ITT populati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8435" cy="5965844"/>
                    </a:xfrm>
                    <a:prstGeom prst="rect">
                      <a:avLst/>
                    </a:prstGeom>
                    <a:noFill/>
                  </pic:spPr>
                </pic:pic>
              </a:graphicData>
            </a:graphic>
          </wp:inline>
        </w:drawing>
      </w:r>
    </w:p>
    <w:p w14:paraId="53C5EF17" w14:textId="77777777" w:rsidR="00E575E7" w:rsidRPr="00FF3093" w:rsidRDefault="00E575E7" w:rsidP="00E575E7">
      <w:pPr>
        <w:rPr>
          <w:b/>
          <w:bCs/>
        </w:rPr>
      </w:pPr>
      <w:r w:rsidRPr="00FF3093">
        <w:rPr>
          <w:b/>
          <w:bCs/>
        </w:rPr>
        <w:t xml:space="preserve">Other endpoints: </w:t>
      </w:r>
    </w:p>
    <w:p w14:paraId="6B722077" w14:textId="76E945F0" w:rsidR="00E575E7" w:rsidRDefault="00E575E7" w:rsidP="00E575E7">
      <w:pPr>
        <w:pStyle w:val="ListBullet"/>
      </w:pPr>
      <w:r w:rsidRPr="00FF3093">
        <w:rPr>
          <w:b/>
          <w:bCs/>
        </w:rPr>
        <w:t>C-peptide</w:t>
      </w:r>
      <w:r w:rsidRPr="00E575E7">
        <w:t>: Patients in the placebo group had an overall decline prior to randomisation and during the study. In contrast, teplizumab-treated patients appeared to stabilise and even to increase the C-peptide AUC levels following teplizumab treatment (</w:t>
      </w:r>
      <w:r w:rsidRPr="00E575E7">
        <w:fldChar w:fldCharType="begin"/>
      </w:r>
      <w:r w:rsidRPr="00E575E7">
        <w:instrText xml:space="preserve"> REF _Ref223452308 \h  \* MERGEFORMAT </w:instrText>
      </w:r>
      <w:r w:rsidRPr="00E575E7">
        <w:fldChar w:fldCharType="separate"/>
      </w:r>
      <w:r w:rsidRPr="00E575E7">
        <w:t>Figure</w:t>
      </w:r>
      <w:r w:rsidRPr="00E575E7">
        <w:fldChar w:fldCharType="end"/>
      </w:r>
      <w:r w:rsidR="0022769B">
        <w:t xml:space="preserve"> 5</w:t>
      </w:r>
      <w:r w:rsidRPr="00E575E7">
        <w:t xml:space="preserve">). The </w:t>
      </w:r>
      <w:r w:rsidR="009F457F">
        <w:t>m</w:t>
      </w:r>
      <w:r w:rsidR="009F457F" w:rsidRPr="009F457F">
        <w:t xml:space="preserve">ixed model repeated measures </w:t>
      </w:r>
      <w:r w:rsidR="009F457F">
        <w:t>(</w:t>
      </w:r>
      <w:r w:rsidRPr="00E575E7">
        <w:t>MMRM</w:t>
      </w:r>
      <w:r w:rsidR="009F457F">
        <w:t>)</w:t>
      </w:r>
      <w:r w:rsidRPr="00E575E7">
        <w:t xml:space="preserve"> analyses of C-peptide </w:t>
      </w:r>
      <w:proofErr w:type="gramStart"/>
      <w:r w:rsidRPr="00E575E7">
        <w:t>ln(</w:t>
      </w:r>
      <w:proofErr w:type="gramEnd"/>
      <w:r w:rsidRPr="00E575E7">
        <w:t>AUC+1) data for the entire 24 months showed a statistically signi</w:t>
      </w:r>
      <w:r w:rsidRPr="00E575E7">
        <w:softHyphen/>
        <w:t xml:space="preserve">ficant overall treatment effect (p=0.021), indicating that teplizumab treatment was associated higher C-peptide levels than placebo among all subjects. Analyses at time points 3 months (p=0.029) and 6 months (p=0.0106) also showed statistically significantly higher C-peptide </w:t>
      </w:r>
      <w:proofErr w:type="gramStart"/>
      <w:r w:rsidRPr="00E575E7">
        <w:t>ln(</w:t>
      </w:r>
      <w:proofErr w:type="gramEnd"/>
      <w:r w:rsidRPr="00E575E7">
        <w:t>AUC+1) in teplizumab-treated subjects compared with placebo (</w:t>
      </w:r>
      <w:r w:rsidRPr="00E575E7">
        <w:fldChar w:fldCharType="begin"/>
      </w:r>
      <w:r w:rsidRPr="00E575E7">
        <w:instrText xml:space="preserve"> REF _Ref223452319 \h  \* MERGEFORMAT </w:instrText>
      </w:r>
      <w:r w:rsidRPr="00E575E7">
        <w:fldChar w:fldCharType="separate"/>
      </w:r>
      <w:r w:rsidRPr="00E575E7">
        <w:t xml:space="preserve">Figure </w:t>
      </w:r>
      <w:r w:rsidRPr="00E575E7">
        <w:fldChar w:fldCharType="end"/>
      </w:r>
      <w:r w:rsidR="0022769B">
        <w:t>6</w:t>
      </w:r>
      <w:r w:rsidRPr="00E575E7">
        <w:t xml:space="preserve">). </w:t>
      </w:r>
    </w:p>
    <w:p w14:paraId="2772DDF5" w14:textId="12057307" w:rsidR="00924234" w:rsidRPr="00E575E7" w:rsidRDefault="00924234" w:rsidP="00924234">
      <w:pPr>
        <w:pStyle w:val="ListBullet"/>
      </w:pPr>
      <w:r w:rsidRPr="00FF3093">
        <w:rPr>
          <w:b/>
          <w:bCs/>
        </w:rPr>
        <w:t>HbA</w:t>
      </w:r>
      <w:r w:rsidRPr="00FF3093">
        <w:rPr>
          <w:b/>
          <w:bCs/>
          <w:vertAlign w:val="subscript"/>
        </w:rPr>
        <w:t>1c</w:t>
      </w:r>
      <w:r>
        <w:t xml:space="preserve">: </w:t>
      </w:r>
      <w:r w:rsidRPr="009C106C">
        <w:t>The mean [SD] HbA</w:t>
      </w:r>
      <w:r w:rsidRPr="00C41628">
        <w:rPr>
          <w:vertAlign w:val="subscript"/>
        </w:rPr>
        <w:t>1c</w:t>
      </w:r>
      <w:r w:rsidRPr="009C106C">
        <w:t xml:space="preserve"> was 5.16% [0.334] (teplizumab) and 5.21% [0.263] (placebo) and remained largely unchanged over time until diagnosis of T1DM.</w:t>
      </w:r>
    </w:p>
    <w:p w14:paraId="5D81F1A9" w14:textId="77777777" w:rsidR="00FF3093" w:rsidRDefault="00126B34" w:rsidP="00075A1C">
      <w:pPr>
        <w:pStyle w:val="FigureTitle"/>
      </w:pPr>
      <w:bookmarkStart w:id="54" w:name="_Ref223452308"/>
      <w:r>
        <w:lastRenderedPageBreak/>
        <w:t>Figure</w:t>
      </w:r>
      <w:bookmarkEnd w:id="54"/>
      <w:r w:rsidR="0022769B">
        <w:t xml:space="preserve"> 5</w:t>
      </w:r>
      <w:r>
        <w:t xml:space="preserve">. </w:t>
      </w:r>
      <w:r w:rsidRPr="00D80BEB">
        <w:t>Study TN-10. Change from baseline in mean C-peptide AUC in 2-hour OGTT (ITT population)</w:t>
      </w:r>
      <w:r>
        <w:t>.</w:t>
      </w:r>
    </w:p>
    <w:p w14:paraId="593E62C1" w14:textId="40216DE6" w:rsidR="00A925BE" w:rsidRDefault="00BA63E2" w:rsidP="00FF3093">
      <w:r w:rsidRPr="00D80BEB">
        <w:rPr>
          <w:noProof/>
        </w:rPr>
        <w:drawing>
          <wp:inline distT="0" distB="0" distL="0" distR="0" wp14:anchorId="4F0BFF1E" wp14:editId="39584443">
            <wp:extent cx="5892616" cy="2270928"/>
            <wp:effectExtent l="0" t="0" r="0" b="0"/>
            <wp:docPr id="898381626" name="Picture 1" descr="Figure 5. Study TN-10. Change from baseline in mean C-peptide AUC in 2-hour OGT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81626" name="Picture 1" descr="Figure 5. Study TN-10. Change from baseline in mean C-peptide AUC in 2-hour OGTT (ITT population)."/>
                    <pic:cNvPicPr/>
                  </pic:nvPicPr>
                  <pic:blipFill>
                    <a:blip r:embed="rId41"/>
                    <a:stretch>
                      <a:fillRect/>
                    </a:stretch>
                  </pic:blipFill>
                  <pic:spPr>
                    <a:xfrm>
                      <a:off x="0" y="0"/>
                      <a:ext cx="5896044" cy="2272249"/>
                    </a:xfrm>
                    <a:prstGeom prst="rect">
                      <a:avLst/>
                    </a:prstGeom>
                  </pic:spPr>
                </pic:pic>
              </a:graphicData>
            </a:graphic>
          </wp:inline>
        </w:drawing>
      </w:r>
    </w:p>
    <w:p w14:paraId="3A49FBC0" w14:textId="77777777" w:rsidR="00FF3093" w:rsidRDefault="003430D0" w:rsidP="00075A1C">
      <w:pPr>
        <w:pStyle w:val="FigureTitle"/>
      </w:pPr>
      <w:bookmarkStart w:id="55" w:name="_Ref223452319"/>
      <w:r>
        <w:t xml:space="preserve">Figure </w:t>
      </w:r>
      <w:bookmarkEnd w:id="55"/>
      <w:r w:rsidR="0022769B">
        <w:t>6</w:t>
      </w:r>
      <w:r>
        <w:t xml:space="preserve">. </w:t>
      </w:r>
      <w:r w:rsidRPr="00D80BEB">
        <w:t xml:space="preserve">Study TN-10. </w:t>
      </w:r>
      <w:r>
        <w:t xml:space="preserve">C-peptide </w:t>
      </w:r>
      <w:proofErr w:type="gramStart"/>
      <w:r>
        <w:t>ln(</w:t>
      </w:r>
      <w:proofErr w:type="gramEnd"/>
      <w:r>
        <w:t>AUC + 1) least square means (±SE) by treatment and time window from the 2-year model (ITT population).</w:t>
      </w:r>
    </w:p>
    <w:p w14:paraId="6CA011E9" w14:textId="31663D4A" w:rsidR="00A925BE" w:rsidRDefault="00075A1C" w:rsidP="006E005C">
      <w:r w:rsidRPr="004A2013">
        <w:rPr>
          <w:noProof/>
        </w:rPr>
        <w:drawing>
          <wp:inline distT="0" distB="0" distL="0" distR="0" wp14:anchorId="24840E0B" wp14:editId="7891342A">
            <wp:extent cx="5838092" cy="2234932"/>
            <wp:effectExtent l="0" t="0" r="0" b="0"/>
            <wp:docPr id="1484172131" name="Picture 1" descr="Figure 6. Study TN-10. C-peptide ln(AUC + 1) least square means (±SE) by treatment and time window from the 2-year mode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72131" name="Picture 1" descr="Figure 6. Study TN-10. C-peptide ln(AUC + 1) least square means (±SE) by treatment and time window from the 2-year model (ITT population)."/>
                    <pic:cNvPicPr/>
                  </pic:nvPicPr>
                  <pic:blipFill>
                    <a:blip r:embed="rId42"/>
                    <a:stretch>
                      <a:fillRect/>
                    </a:stretch>
                  </pic:blipFill>
                  <pic:spPr>
                    <a:xfrm>
                      <a:off x="0" y="0"/>
                      <a:ext cx="5842042" cy="2236444"/>
                    </a:xfrm>
                    <a:prstGeom prst="rect">
                      <a:avLst/>
                    </a:prstGeom>
                  </pic:spPr>
                </pic:pic>
              </a:graphicData>
            </a:graphic>
          </wp:inline>
        </w:drawing>
      </w:r>
    </w:p>
    <w:p w14:paraId="45383DE5" w14:textId="77777777" w:rsidR="00FE2F3B" w:rsidRPr="00FE2F3B" w:rsidRDefault="00FE2F3B" w:rsidP="00FE2F3B">
      <w:pPr>
        <w:pStyle w:val="Heading4"/>
      </w:pPr>
      <w:bookmarkStart w:id="56" w:name="_Toc235627217"/>
      <w:r w:rsidRPr="00FE2F3B">
        <w:t>Safety</w:t>
      </w:r>
      <w:bookmarkEnd w:id="56"/>
    </w:p>
    <w:p w14:paraId="5BAF94FE" w14:textId="40C455A7" w:rsidR="00FE2F3B" w:rsidRPr="00FE2F3B" w:rsidRDefault="00FE2F3B" w:rsidP="00FE2F3B">
      <w:r w:rsidRPr="00FE2F3B">
        <w:t>The integrated safety analysis (cut-off date: 23 August 2024) is based on 7 completed clinical trials</w:t>
      </w:r>
      <w:r w:rsidR="00ED17D3">
        <w:t xml:space="preserve"> (Table 1</w:t>
      </w:r>
      <w:r w:rsidR="00E83B14">
        <w:t>5</w:t>
      </w:r>
      <w:r w:rsidR="00ED17D3">
        <w:t>).</w:t>
      </w:r>
      <w:r w:rsidR="002B4B58">
        <w:t xml:space="preserve"> </w:t>
      </w:r>
      <w:r w:rsidRPr="00FE2F3B">
        <w:t>They form the ‘All studies pool’ safety analysis population (pool).</w:t>
      </w:r>
    </w:p>
    <w:p w14:paraId="79F3B9A6" w14:textId="77777777" w:rsidR="00FE2F3B" w:rsidRDefault="00FE2F3B" w:rsidP="00FE2F3B">
      <w:r w:rsidRPr="00FE2F3B">
        <w:t xml:space="preserve">Data from two completed studies were not included in the ISS or ‘All studies pool’ and were reported separately: the single dose </w:t>
      </w:r>
      <w:proofErr w:type="spellStart"/>
      <w:r w:rsidRPr="00FE2F3B">
        <w:t>biocomparability</w:t>
      </w:r>
      <w:proofErr w:type="spellEnd"/>
      <w:r w:rsidRPr="00FE2F3B">
        <w:t xml:space="preserve"> study (PRV-031-004) in healthy volunteers and the TN-10 Extension study (PRV-031-002).</w:t>
      </w:r>
    </w:p>
    <w:p w14:paraId="36ED1E1C" w14:textId="77777777" w:rsidR="006E005C" w:rsidRDefault="007078BC" w:rsidP="00403AEB">
      <w:pPr>
        <w:pStyle w:val="TableTitle"/>
      </w:pPr>
      <w:r w:rsidRPr="007078BC">
        <w:lastRenderedPageBreak/>
        <w:t xml:space="preserve">Table </w:t>
      </w:r>
      <w:r>
        <w:fldChar w:fldCharType="begin"/>
      </w:r>
      <w:r>
        <w:instrText xml:space="preserve"> SEQ Table \* ARABIC </w:instrText>
      </w:r>
      <w:r>
        <w:fldChar w:fldCharType="separate"/>
      </w:r>
      <w:r w:rsidRPr="007078BC">
        <w:t>1</w:t>
      </w:r>
      <w:r>
        <w:fldChar w:fldCharType="end"/>
      </w:r>
      <w:r w:rsidR="00E83B14">
        <w:t>5</w:t>
      </w:r>
      <w:r w:rsidRPr="007078BC">
        <w:t>. Studies providing safety data.</w:t>
      </w:r>
    </w:p>
    <w:p w14:paraId="7992CBE6" w14:textId="79A7D6EC" w:rsidR="00AF2A83" w:rsidRDefault="00030AC1" w:rsidP="006E005C">
      <w:r w:rsidRPr="00030AC1">
        <w:rPr>
          <w:noProof/>
        </w:rPr>
        <w:drawing>
          <wp:inline distT="0" distB="0" distL="0" distR="0" wp14:anchorId="52E8B4C1" wp14:editId="6933B6A0">
            <wp:extent cx="5759450" cy="1649730"/>
            <wp:effectExtent l="0" t="0" r="0" b="7620"/>
            <wp:docPr id="1910204627" name="Picture 1" descr="Table 15. Studies providing safet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04627" name="Picture 1" descr="Table 15. Studies providing safety data."/>
                    <pic:cNvPicPr/>
                  </pic:nvPicPr>
                  <pic:blipFill>
                    <a:blip r:embed="rId43"/>
                    <a:stretch>
                      <a:fillRect/>
                    </a:stretch>
                  </pic:blipFill>
                  <pic:spPr>
                    <a:xfrm>
                      <a:off x="0" y="0"/>
                      <a:ext cx="5759450" cy="1649730"/>
                    </a:xfrm>
                    <a:prstGeom prst="rect">
                      <a:avLst/>
                    </a:prstGeom>
                  </pic:spPr>
                </pic:pic>
              </a:graphicData>
            </a:graphic>
          </wp:inline>
        </w:drawing>
      </w:r>
      <w:r w:rsidR="00AF2A83" w:rsidRPr="00AF2A83">
        <w:rPr>
          <w:noProof/>
        </w:rPr>
        <w:drawing>
          <wp:inline distT="0" distB="0" distL="0" distR="0" wp14:anchorId="0CBAFAF1" wp14:editId="27AA8AA2">
            <wp:extent cx="5759450" cy="3688715"/>
            <wp:effectExtent l="0" t="0" r="0" b="6985"/>
            <wp:docPr id="1733026533" name="Picture 1" descr="Table 15. Studies providing safet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26533" name="Picture 1" descr="Table 15. Studies providing safety data."/>
                    <pic:cNvPicPr/>
                  </pic:nvPicPr>
                  <pic:blipFill>
                    <a:blip r:embed="rId44"/>
                    <a:stretch>
                      <a:fillRect/>
                    </a:stretch>
                  </pic:blipFill>
                  <pic:spPr>
                    <a:xfrm>
                      <a:off x="0" y="0"/>
                      <a:ext cx="5759450" cy="3688715"/>
                    </a:xfrm>
                    <a:prstGeom prst="rect">
                      <a:avLst/>
                    </a:prstGeom>
                  </pic:spPr>
                </pic:pic>
              </a:graphicData>
            </a:graphic>
          </wp:inline>
        </w:drawing>
      </w:r>
    </w:p>
    <w:p w14:paraId="2D64F7F4" w14:textId="7799A278" w:rsidR="00B34686" w:rsidRPr="00B34686" w:rsidRDefault="00B34686" w:rsidP="00B34686">
      <w:r w:rsidRPr="00B34686">
        <w:t>The safety analysis did not consider any data from studies of teplizumab in non-T1DM indications (e.g. psoriasis, psoriatic arthritis, renal allo</w:t>
      </w:r>
      <w:r w:rsidRPr="00B34686">
        <w:softHyphen/>
        <w:t>graft rejection, and islet cell trans</w:t>
      </w:r>
      <w:r w:rsidRPr="00B34686">
        <w:softHyphen/>
        <w:t>plan</w:t>
      </w:r>
      <w:r w:rsidRPr="00B34686">
        <w:softHyphen/>
        <w:t>tation).</w:t>
      </w:r>
    </w:p>
    <w:p w14:paraId="15891D77" w14:textId="77777777" w:rsidR="00B34686" w:rsidRPr="00B34686" w:rsidRDefault="00B34686" w:rsidP="006E005C">
      <w:pPr>
        <w:pStyle w:val="Heading6"/>
      </w:pPr>
      <w:r w:rsidRPr="00B34686">
        <w:t>Exposure</w:t>
      </w:r>
    </w:p>
    <w:p w14:paraId="483C1F31" w14:textId="20D783C0" w:rsidR="00B34686" w:rsidRPr="00B34686" w:rsidRDefault="00B34686" w:rsidP="00B34686">
      <w:r w:rsidRPr="00B34686">
        <w:t>The ‘All studies pool’ included 990 participants in the teplizumab group and 356 in the control group. 18 control participants in the Delay study received teplizumab in an open-label phase which indicates 1008 participants exposed to teplizumab (</w:t>
      </w:r>
      <w:r w:rsidR="005A7639">
        <w:t>Table 1</w:t>
      </w:r>
      <w:r w:rsidR="00E83B14">
        <w:t>6</w:t>
      </w:r>
      <w:r w:rsidRPr="00B34686">
        <w:t>).</w:t>
      </w:r>
    </w:p>
    <w:p w14:paraId="48D2BFE0" w14:textId="45175B13" w:rsidR="005A7639" w:rsidRPr="005A7639" w:rsidRDefault="005A7639" w:rsidP="005369AA">
      <w:pPr>
        <w:pStyle w:val="TableTitle"/>
      </w:pPr>
      <w:bookmarkStart w:id="57" w:name="_Ref223480450"/>
      <w:r w:rsidRPr="00D349C8">
        <w:lastRenderedPageBreak/>
        <w:t>Table</w:t>
      </w:r>
      <w:bookmarkEnd w:id="57"/>
      <w:r w:rsidRPr="00D349C8">
        <w:t xml:space="preserve"> 1</w:t>
      </w:r>
      <w:r w:rsidR="00E83B14">
        <w:t>6</w:t>
      </w:r>
      <w:r w:rsidRPr="00D349C8">
        <w:t>. Safety analysis. Number of</w:t>
      </w:r>
      <w:r w:rsidRPr="005A7639">
        <w:t xml:space="preserve"> participants by study (All studies pool).</w:t>
      </w:r>
    </w:p>
    <w:p w14:paraId="35F774E1" w14:textId="7C42D456" w:rsidR="005D7976" w:rsidRDefault="005369AA" w:rsidP="005D7976">
      <w:r w:rsidRPr="009C106C">
        <w:rPr>
          <w:noProof/>
          <w:u w:val="single"/>
        </w:rPr>
        <w:drawing>
          <wp:inline distT="0" distB="0" distL="0" distR="0" wp14:anchorId="2AD8D47D" wp14:editId="44D6895C">
            <wp:extent cx="5459075" cy="1781092"/>
            <wp:effectExtent l="0" t="0" r="0" b="0"/>
            <wp:docPr id="525" name="Grafik 525" descr="Table 16. Safety analysis. Number of participants by study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Grafik 525" descr="Table 16. Safety analysis. Number of participants by study (All studies pool)."/>
                    <pic:cNvPicPr/>
                  </pic:nvPicPr>
                  <pic:blipFill rotWithShape="1">
                    <a:blip r:embed="rId45"/>
                    <a:srcRect t="10946"/>
                    <a:stretch>
                      <a:fillRect/>
                    </a:stretch>
                  </pic:blipFill>
                  <pic:spPr bwMode="auto">
                    <a:xfrm>
                      <a:off x="0" y="0"/>
                      <a:ext cx="5483361" cy="1789015"/>
                    </a:xfrm>
                    <a:prstGeom prst="rect">
                      <a:avLst/>
                    </a:prstGeom>
                    <a:ln>
                      <a:noFill/>
                    </a:ln>
                    <a:extLst>
                      <a:ext uri="{53640926-AAD7-44D8-BBD7-CCE9431645EC}">
                        <a14:shadowObscured xmlns:a14="http://schemas.microsoft.com/office/drawing/2010/main"/>
                      </a:ext>
                    </a:extLst>
                  </pic:spPr>
                </pic:pic>
              </a:graphicData>
            </a:graphic>
          </wp:inline>
        </w:drawing>
      </w:r>
    </w:p>
    <w:p w14:paraId="5511DF7E" w14:textId="77777777" w:rsidR="00BD3933" w:rsidRPr="006E005C" w:rsidRDefault="00BD3933" w:rsidP="006E005C">
      <w:pPr>
        <w:pStyle w:val="TableDescription"/>
      </w:pPr>
      <w:r w:rsidRPr="006E005C">
        <w:t>a “Other” refers to standard of care, no placebo infusion.</w:t>
      </w:r>
    </w:p>
    <w:p w14:paraId="29B7CEA6" w14:textId="77777777" w:rsidR="00BD3933" w:rsidRPr="006E005C" w:rsidRDefault="00BD3933" w:rsidP="006E005C">
      <w:pPr>
        <w:pStyle w:val="TableDescription"/>
      </w:pPr>
      <w:r w:rsidRPr="006E005C">
        <w:t>b A total of 219 participants from the Protégé study were enrolled in the Protégé Extension study. No treatment was given.</w:t>
      </w:r>
    </w:p>
    <w:p w14:paraId="0B7F8309" w14:textId="77777777" w:rsidR="00BD3933" w:rsidRPr="006E005C" w:rsidRDefault="00BD3933" w:rsidP="006E005C">
      <w:pPr>
        <w:pStyle w:val="TableDescription"/>
      </w:pPr>
      <w:r w:rsidRPr="006E005C">
        <w:t>c In the Delay study, 32 participants were randomized to the teplizumab group in the double-blind part. In the open-label part,</w:t>
      </w:r>
    </w:p>
    <w:p w14:paraId="2136EA38" w14:textId="1C4E2157" w:rsidR="00BD3933" w:rsidRDefault="00BD3933" w:rsidP="006E005C">
      <w:r>
        <w:t>Eighteen</w:t>
      </w:r>
      <w:r w:rsidRPr="00BD3933">
        <w:t xml:space="preserve"> participants initially in the placebo group received teplizumab treatment and are counted in both the teplizumab and placebo groups.</w:t>
      </w:r>
    </w:p>
    <w:p w14:paraId="4973D4DD" w14:textId="28B431D7" w:rsidR="007461AF" w:rsidRPr="007461AF" w:rsidRDefault="007461AF" w:rsidP="007461AF">
      <w:r w:rsidRPr="00AE1271">
        <w:t>The cumulative follow-up was 1865.6 PY in the teplizumab group and 631.6 PY in the control group. The median duration of follow-up was 724.5 (teplizumab) vs. 571.0 (placebo) days. Over 90% of the participants in both treatment groups</w:t>
      </w:r>
      <w:r w:rsidRPr="007461AF">
        <w:t xml:space="preserve"> were followed for ≥1 year (</w:t>
      </w:r>
      <w:r w:rsidRPr="007461AF">
        <w:fldChar w:fldCharType="begin"/>
      </w:r>
      <w:r w:rsidRPr="007461AF">
        <w:instrText xml:space="preserve"> REF _Ref223384336 \h  \* MERGEFORMAT </w:instrText>
      </w:r>
      <w:r w:rsidRPr="007461AF">
        <w:fldChar w:fldCharType="separate"/>
      </w:r>
      <w:r w:rsidRPr="007461AF">
        <w:t>Tabl</w:t>
      </w:r>
      <w:r>
        <w:t xml:space="preserve">e </w:t>
      </w:r>
      <w:r w:rsidRPr="007461AF">
        <w:fldChar w:fldCharType="end"/>
      </w:r>
      <w:r>
        <w:t>1</w:t>
      </w:r>
      <w:r w:rsidR="00E83B14">
        <w:t>7</w:t>
      </w:r>
      <w:r w:rsidRPr="007461AF">
        <w:t>).</w:t>
      </w:r>
    </w:p>
    <w:p w14:paraId="1AC81788" w14:textId="77777777" w:rsidR="006E005C" w:rsidRDefault="008D4A06" w:rsidP="00BD1D4F">
      <w:pPr>
        <w:pStyle w:val="TableTitle"/>
      </w:pPr>
      <w:bookmarkStart w:id="58" w:name="_Ref223384336"/>
      <w:r w:rsidRPr="008D4A06">
        <w:t xml:space="preserve">Table </w:t>
      </w:r>
      <w:bookmarkEnd w:id="58"/>
      <w:r>
        <w:t>1</w:t>
      </w:r>
      <w:r w:rsidR="00E83B14">
        <w:t>7</w:t>
      </w:r>
      <w:r>
        <w:t>.</w:t>
      </w:r>
      <w:r w:rsidRPr="008D4A06">
        <w:t xml:space="preserve"> Safety analysis. Summary of study follow-up duration (All studies pool).</w:t>
      </w:r>
    </w:p>
    <w:p w14:paraId="01F76FA1" w14:textId="3952064A" w:rsidR="005D7976" w:rsidRDefault="00C141E0" w:rsidP="006E005C">
      <w:r w:rsidRPr="009C106C">
        <w:rPr>
          <w:noProof/>
        </w:rPr>
        <w:drawing>
          <wp:inline distT="0" distB="0" distL="0" distR="0" wp14:anchorId="02D2C694" wp14:editId="2F893975">
            <wp:extent cx="5399736" cy="2830664"/>
            <wp:effectExtent l="0" t="0" r="0" b="8255"/>
            <wp:docPr id="526" name="Grafik 526" descr="Table 17. Safety analysis. Summary of study follow-up duration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Grafik 526" descr="Table 17. Safety analysis. Summary of study follow-up duration (All studies pool)."/>
                    <pic:cNvPicPr/>
                  </pic:nvPicPr>
                  <pic:blipFill rotWithShape="1">
                    <a:blip r:embed="rId46"/>
                    <a:srcRect t="6237"/>
                    <a:stretch>
                      <a:fillRect/>
                    </a:stretch>
                  </pic:blipFill>
                  <pic:spPr bwMode="auto">
                    <a:xfrm>
                      <a:off x="0" y="0"/>
                      <a:ext cx="5425008" cy="2843912"/>
                    </a:xfrm>
                    <a:prstGeom prst="rect">
                      <a:avLst/>
                    </a:prstGeom>
                    <a:ln>
                      <a:noFill/>
                    </a:ln>
                    <a:extLst>
                      <a:ext uri="{53640926-AAD7-44D8-BBD7-CCE9431645EC}">
                        <a14:shadowObscured xmlns:a14="http://schemas.microsoft.com/office/drawing/2010/main"/>
                      </a:ext>
                    </a:extLst>
                  </pic:spPr>
                </pic:pic>
              </a:graphicData>
            </a:graphic>
          </wp:inline>
        </w:drawing>
      </w:r>
    </w:p>
    <w:p w14:paraId="40FC91D9" w14:textId="2814C329" w:rsidR="00700465" w:rsidRPr="00700465" w:rsidRDefault="00700465" w:rsidP="00700465">
      <w:r w:rsidRPr="00700465">
        <w:t xml:space="preserve">Six studies used a teplizumab regimen resulting in a cumulative dose of ~9034 </w:t>
      </w:r>
      <w:proofErr w:type="spellStart"/>
      <w:r w:rsidRPr="00700465">
        <w:t>μg</w:t>
      </w:r>
      <w:proofErr w:type="spellEnd"/>
      <w:r w:rsidRPr="00700465">
        <w:t>/m</w:t>
      </w:r>
      <w:r w:rsidRPr="00700465">
        <w:rPr>
          <w:vertAlign w:val="superscript"/>
        </w:rPr>
        <w:t>2</w:t>
      </w:r>
      <w:r w:rsidRPr="00700465">
        <w:t xml:space="preserve"> per treatment course (</w:t>
      </w:r>
      <w:r w:rsidR="00B1410D">
        <w:t xml:space="preserve">Table </w:t>
      </w:r>
      <w:r w:rsidR="00CF0F99">
        <w:t>18</w:t>
      </w:r>
      <w:r w:rsidRPr="00700465">
        <w:t xml:space="preserve">). Protégé and Encore additionally examined 2 alternative regimens of lower dose (‘1/3 14-day regimen’ with a cumulative dose of ~2985 </w:t>
      </w:r>
      <w:proofErr w:type="spellStart"/>
      <w:r w:rsidRPr="00700465">
        <w:t>μg</w:t>
      </w:r>
      <w:proofErr w:type="spellEnd"/>
      <w:r w:rsidRPr="00700465">
        <w:t>/m</w:t>
      </w:r>
      <w:r w:rsidRPr="00700465">
        <w:rPr>
          <w:vertAlign w:val="superscript"/>
        </w:rPr>
        <w:t xml:space="preserve">2 </w:t>
      </w:r>
      <w:r w:rsidRPr="00700465">
        <w:t xml:space="preserve">and a ‘Full 6-day regimen’ with a cumulative dose of ~2426 </w:t>
      </w:r>
      <w:proofErr w:type="spellStart"/>
      <w:r w:rsidRPr="00700465">
        <w:t>μg</w:t>
      </w:r>
      <w:proofErr w:type="spellEnd"/>
      <w:r w:rsidRPr="00700465">
        <w:t>/m</w:t>
      </w:r>
      <w:r w:rsidRPr="00700465">
        <w:rPr>
          <w:vertAlign w:val="superscript"/>
        </w:rPr>
        <w:t>2</w:t>
      </w:r>
      <w:r w:rsidRPr="00700465">
        <w:t>). No treatment was given in the Protégé Extension study. The 12-day regimen with the same total dose per course was only used in PROTECT.</w:t>
      </w:r>
    </w:p>
    <w:p w14:paraId="34741650" w14:textId="19F8854C" w:rsidR="00700465" w:rsidRPr="00700465" w:rsidRDefault="000627CD" w:rsidP="00700465">
      <w:r>
        <w:t>Most</w:t>
      </w:r>
      <w:r w:rsidR="00700465" w:rsidRPr="00700465">
        <w:t xml:space="preserve"> participants in the</w:t>
      </w:r>
      <w:r w:rsidR="005B34B5">
        <w:t xml:space="preserve"> </w:t>
      </w:r>
      <w:r w:rsidR="00080AC5">
        <w:t>‘</w:t>
      </w:r>
      <w:r w:rsidR="00700465" w:rsidRPr="00700465">
        <w:t>all studies pool</w:t>
      </w:r>
      <w:r w:rsidR="00080AC5">
        <w:t>’</w:t>
      </w:r>
      <w:r w:rsidR="00700465" w:rsidRPr="00700465">
        <w:t xml:space="preserve"> was &lt;18 years of age (72.1%), male (62.0%), not Hispanic or Latino (93.3%), and White (76.2%), with generally balanced demographic charac</w:t>
      </w:r>
      <w:r w:rsidR="00700465" w:rsidRPr="00700465">
        <w:softHyphen/>
        <w:t>teristics between the treatment groups</w:t>
      </w:r>
      <w:r w:rsidR="003B474E">
        <w:t>.</w:t>
      </w:r>
    </w:p>
    <w:p w14:paraId="309CF28B" w14:textId="1033DC26" w:rsidR="00715CAD" w:rsidRDefault="00BD1D4F" w:rsidP="003B474E">
      <w:pPr>
        <w:pStyle w:val="TableTitle"/>
      </w:pPr>
      <w:bookmarkStart w:id="59" w:name="_Ref223384591"/>
      <w:r w:rsidRPr="00BD1D4F">
        <w:lastRenderedPageBreak/>
        <w:t xml:space="preserve">Table </w:t>
      </w:r>
      <w:bookmarkEnd w:id="59"/>
      <w:r w:rsidR="00E83B14">
        <w:t>18</w:t>
      </w:r>
      <w:r w:rsidRPr="00BD1D4F">
        <w:t>. Safety analysis. Teplizumab total dose by study.</w:t>
      </w:r>
    </w:p>
    <w:p w14:paraId="0DAF112F" w14:textId="2C32E21B" w:rsidR="00715CAD" w:rsidRDefault="00715CAD" w:rsidP="006E005C">
      <w:r w:rsidRPr="00715CAD">
        <w:rPr>
          <w:noProof/>
        </w:rPr>
        <w:drawing>
          <wp:inline distT="0" distB="0" distL="0" distR="0" wp14:anchorId="3718FA2E" wp14:editId="2CC7F929">
            <wp:extent cx="5323293" cy="2584174"/>
            <wp:effectExtent l="0" t="0" r="0" b="6985"/>
            <wp:docPr id="932269303" name="Picture 1" descr="Table 18. Safety analysis. Teplizumab total dose by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69303" name="Picture 1" descr="Table 18. Safety analysis. Teplizumab total dose by study."/>
                    <pic:cNvPicPr/>
                  </pic:nvPicPr>
                  <pic:blipFill>
                    <a:blip r:embed="rId47"/>
                    <a:stretch>
                      <a:fillRect/>
                    </a:stretch>
                  </pic:blipFill>
                  <pic:spPr>
                    <a:xfrm>
                      <a:off x="0" y="0"/>
                      <a:ext cx="5325454" cy="2585223"/>
                    </a:xfrm>
                    <a:prstGeom prst="rect">
                      <a:avLst/>
                    </a:prstGeom>
                  </pic:spPr>
                </pic:pic>
              </a:graphicData>
            </a:graphic>
          </wp:inline>
        </w:drawing>
      </w:r>
    </w:p>
    <w:p w14:paraId="54A46809" w14:textId="77777777" w:rsidR="00D014AA" w:rsidRPr="000627CD" w:rsidRDefault="00D014AA" w:rsidP="00337988">
      <w:pPr>
        <w:pStyle w:val="Heading5"/>
      </w:pPr>
      <w:r w:rsidRPr="000627CD">
        <w:t>Adverse event overview</w:t>
      </w:r>
    </w:p>
    <w:p w14:paraId="42381363" w14:textId="1548E4E7" w:rsidR="00D014AA" w:rsidRPr="00D014AA" w:rsidRDefault="00D014AA" w:rsidP="00D014AA">
      <w:r w:rsidRPr="006E005C">
        <w:rPr>
          <w:b/>
          <w:bCs/>
        </w:rPr>
        <w:t>TN-10</w:t>
      </w:r>
      <w:r w:rsidRPr="00D014AA">
        <w:t>: Overall, 43 (97.7%) subjects in the teplizumab group and 22 (68.8%) subjects in the placebo group had at least one TEAE (</w:t>
      </w:r>
      <w:r w:rsidR="00B1410D">
        <w:t xml:space="preserve">Table </w:t>
      </w:r>
      <w:r w:rsidR="00CF0F99">
        <w:t>19</w:t>
      </w:r>
      <w:r w:rsidRPr="00D014AA">
        <w:t>). Grade 3 TEAEs occurred in 26 (59.1%) subjects in the teplizumab group and 3 (9.4%) subjects in the placebo group. No subjects had a Grade 4 TEAE.</w:t>
      </w:r>
    </w:p>
    <w:p w14:paraId="7C4C88F0" w14:textId="77777777" w:rsidR="00D014AA" w:rsidRDefault="00D014AA" w:rsidP="00D014AA">
      <w:r w:rsidRPr="00D014AA">
        <w:t>The most common TEAEs for teplizumab were lymphopenia, rash, and leukopenia (more frequent for teplizumab vs. placebo). Infection-related TEAEs occurred more frequently in the teplizumab group (mostly Grade 1 and 2 in severity and involved the upper respiratory tract). There were 4 Grade 3 infections, and all were categorised as SAEs and AESIs, and one was deemed related to treatment. The most common Grade 3 TEAE in teplizumab subjects was lymphopenia. One TEAE of Grade 2 cytokine release syndrome (CRS) occurred in 1 teplizumab subject.</w:t>
      </w:r>
    </w:p>
    <w:p w14:paraId="17952B58" w14:textId="3C3E05CD" w:rsidR="00FD587B" w:rsidRDefault="00FD587B" w:rsidP="00FD587B">
      <w:pPr>
        <w:pStyle w:val="TableTitle"/>
      </w:pPr>
      <w:bookmarkStart w:id="60" w:name="_Ref223384942"/>
      <w:r w:rsidRPr="00FD587B">
        <w:t>Table</w:t>
      </w:r>
      <w:bookmarkEnd w:id="60"/>
      <w:r w:rsidRPr="00FD587B">
        <w:t xml:space="preserve"> </w:t>
      </w:r>
      <w:r w:rsidR="00CF0F99">
        <w:t>19</w:t>
      </w:r>
      <w:r w:rsidRPr="00FD587B">
        <w:t>. Study TN-10. Overview of TEAEs (Safety population).</w:t>
      </w:r>
    </w:p>
    <w:p w14:paraId="288B65FA" w14:textId="1CDD39A0" w:rsidR="00FD587B" w:rsidRPr="00D014AA" w:rsidRDefault="00FD587B" w:rsidP="00D014AA">
      <w:r w:rsidRPr="00284A91">
        <w:rPr>
          <w:noProof/>
        </w:rPr>
        <w:drawing>
          <wp:inline distT="0" distB="0" distL="0" distR="0" wp14:anchorId="6DF868AB" wp14:editId="708695C7">
            <wp:extent cx="5597719" cy="3184898"/>
            <wp:effectExtent l="0" t="0" r="3175" b="0"/>
            <wp:docPr id="2136947764" name="Picture 1" descr="Table 19. Study TN-10. Overview of TEAEs (Safety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47764" name="Picture 1" descr="Table 19. Study TN-10. Overview of TEAEs (Safety population)."/>
                    <pic:cNvPicPr/>
                  </pic:nvPicPr>
                  <pic:blipFill>
                    <a:blip r:embed="rId48"/>
                    <a:stretch>
                      <a:fillRect/>
                    </a:stretch>
                  </pic:blipFill>
                  <pic:spPr>
                    <a:xfrm>
                      <a:off x="0" y="0"/>
                      <a:ext cx="5619317" cy="3197186"/>
                    </a:xfrm>
                    <a:prstGeom prst="rect">
                      <a:avLst/>
                    </a:prstGeom>
                  </pic:spPr>
                </pic:pic>
              </a:graphicData>
            </a:graphic>
          </wp:inline>
        </w:drawing>
      </w:r>
    </w:p>
    <w:p w14:paraId="5D5CF1CB" w14:textId="265F88A8" w:rsidR="006325A3" w:rsidRPr="006325A3" w:rsidRDefault="006325A3" w:rsidP="006325A3">
      <w:r w:rsidRPr="00A87482">
        <w:rPr>
          <w:b/>
          <w:bCs/>
        </w:rPr>
        <w:lastRenderedPageBreak/>
        <w:t>All studies pool</w:t>
      </w:r>
      <w:r w:rsidRPr="006325A3">
        <w:t xml:space="preserve">: TEAEs occurred in 99.5% of participants in the teplizumab group and 95.8% of participants in placebo control. TEAEs leading to treatment interruption or treatment withdrawal were more frequent in the teplizumab group compared to control, which was primarily due to protocol mandated laboratory-related criteria </w:t>
      </w:r>
      <w:r w:rsidRPr="003E7939">
        <w:t>and cytokine release syndrome</w:t>
      </w:r>
      <w:r w:rsidRPr="006325A3">
        <w:t>. The majority of TEAEs were Grade 1 or Grade 2 in intensity (</w:t>
      </w:r>
      <w:r w:rsidR="00CB4EC6">
        <w:t>Table 2</w:t>
      </w:r>
      <w:r w:rsidR="00CF0F99">
        <w:t>0</w:t>
      </w:r>
      <w:r w:rsidRPr="006325A3">
        <w:t>).</w:t>
      </w:r>
    </w:p>
    <w:p w14:paraId="51B4E637" w14:textId="77777777" w:rsidR="006325A3" w:rsidRDefault="006325A3" w:rsidP="006325A3">
      <w:r w:rsidRPr="006325A3">
        <w:t>Noteworthy, subgroup analysis by follow-up time (1, 2 or &gt;2 years) showed that TEAE, SAEs and AESIs were generally consistent with analyses in the overall pooled population.</w:t>
      </w:r>
    </w:p>
    <w:p w14:paraId="219D3123" w14:textId="77777777" w:rsidR="00A87482" w:rsidRDefault="00B957F0" w:rsidP="00A87482">
      <w:pPr>
        <w:pStyle w:val="TableTitle"/>
      </w:pPr>
      <w:bookmarkStart w:id="61" w:name="_Ref223432639"/>
      <w:r w:rsidRPr="00B957F0">
        <w:t xml:space="preserve">Table </w:t>
      </w:r>
      <w:bookmarkEnd w:id="61"/>
      <w:r w:rsidR="00CB4EC6">
        <w:t>2</w:t>
      </w:r>
      <w:r w:rsidR="00CF0F99">
        <w:t>0</w:t>
      </w:r>
      <w:r w:rsidRPr="00B957F0">
        <w:t>. Overview of TEAEs (All studies pool).</w:t>
      </w:r>
    </w:p>
    <w:p w14:paraId="3CFBA1F4" w14:textId="6A282841" w:rsidR="00935583" w:rsidRDefault="00935583" w:rsidP="006325A3">
      <w:pPr>
        <w:rPr>
          <w:b/>
        </w:rPr>
      </w:pPr>
      <w:r w:rsidRPr="00935583">
        <w:rPr>
          <w:b/>
          <w:noProof/>
        </w:rPr>
        <w:drawing>
          <wp:inline distT="0" distB="0" distL="0" distR="0" wp14:anchorId="129D980B" wp14:editId="4F363FC3">
            <wp:extent cx="5526519" cy="4818491"/>
            <wp:effectExtent l="0" t="0" r="0" b="1270"/>
            <wp:docPr id="1253455988" name="Picture 1" descr="Table 20. Overview of TEAEs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55988" name="Picture 1" descr="Table 20. Overview of TEAEs (All studies pool)."/>
                    <pic:cNvPicPr/>
                  </pic:nvPicPr>
                  <pic:blipFill>
                    <a:blip r:embed="rId49"/>
                    <a:stretch>
                      <a:fillRect/>
                    </a:stretch>
                  </pic:blipFill>
                  <pic:spPr>
                    <a:xfrm>
                      <a:off x="0" y="0"/>
                      <a:ext cx="5529367" cy="4820974"/>
                    </a:xfrm>
                    <a:prstGeom prst="rect">
                      <a:avLst/>
                    </a:prstGeom>
                  </pic:spPr>
                </pic:pic>
              </a:graphicData>
            </a:graphic>
          </wp:inline>
        </w:drawing>
      </w:r>
    </w:p>
    <w:p w14:paraId="1708E44D" w14:textId="49A2C4BD" w:rsidR="009A2802" w:rsidRPr="009A2802" w:rsidRDefault="009A2802" w:rsidP="009A2802">
      <w:r w:rsidRPr="009A2802">
        <w:t>TEAEs were predominantly associated with the mechanism of action of teplizumab on white blood cells and with cytokine release, manifesting as transient haematological test abnormalities, liver enzyme increases, and symptoms such as rash, nausea, vomiting, and headache (</w:t>
      </w:r>
      <w:r>
        <w:t>Table 2</w:t>
      </w:r>
      <w:r w:rsidR="00CF0F99">
        <w:t>1</w:t>
      </w:r>
      <w:r w:rsidRPr="009A2802">
        <w:t>). Additionally, a forest plot provides a summary of study size adjusted risk differences [95% CI] of the TEAEs with an incidence ≥5% (</w:t>
      </w:r>
      <w:r w:rsidR="00125D91">
        <w:t>Figure 7</w:t>
      </w:r>
      <w:r w:rsidRPr="009A2802">
        <w:t>).</w:t>
      </w:r>
    </w:p>
    <w:p w14:paraId="7A04858C" w14:textId="77777777" w:rsidR="00A87482" w:rsidRDefault="00854B70" w:rsidP="000220A0">
      <w:pPr>
        <w:pStyle w:val="TableTitle"/>
      </w:pPr>
      <w:bookmarkStart w:id="62" w:name="_Ref223430442"/>
      <w:r w:rsidRPr="00854B70">
        <w:lastRenderedPageBreak/>
        <w:t>Table</w:t>
      </w:r>
      <w:bookmarkEnd w:id="62"/>
      <w:r w:rsidR="009A2802">
        <w:t xml:space="preserve"> 2</w:t>
      </w:r>
      <w:r w:rsidR="00CF0F99">
        <w:t>1</w:t>
      </w:r>
      <w:r w:rsidRPr="00854B70">
        <w:t>. TEAEs with incidence ≥5% by SOC and PT (All studies pool).</w:t>
      </w:r>
    </w:p>
    <w:p w14:paraId="7BE2BFDA" w14:textId="6F390869" w:rsidR="001A7B77" w:rsidRDefault="001A7B77" w:rsidP="00A87482">
      <w:r w:rsidRPr="001A7B77">
        <w:rPr>
          <w:noProof/>
        </w:rPr>
        <w:drawing>
          <wp:inline distT="0" distB="0" distL="0" distR="0" wp14:anchorId="14606AB6" wp14:editId="38AD8BAA">
            <wp:extent cx="5759450" cy="8240395"/>
            <wp:effectExtent l="0" t="0" r="0" b="8255"/>
            <wp:docPr id="438059393" name="Picture 1" descr="Table 21. TEAEs with incidence ≥5% by SOC and PT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59393" name="Picture 1" descr="Table 21. TEAEs with incidence ≥5% by SOC and PT (All studies pool)."/>
                    <pic:cNvPicPr/>
                  </pic:nvPicPr>
                  <pic:blipFill>
                    <a:blip r:embed="rId50"/>
                    <a:stretch>
                      <a:fillRect/>
                    </a:stretch>
                  </pic:blipFill>
                  <pic:spPr>
                    <a:xfrm>
                      <a:off x="0" y="0"/>
                      <a:ext cx="5759450" cy="8240395"/>
                    </a:xfrm>
                    <a:prstGeom prst="rect">
                      <a:avLst/>
                    </a:prstGeom>
                  </pic:spPr>
                </pic:pic>
              </a:graphicData>
            </a:graphic>
          </wp:inline>
        </w:drawing>
      </w:r>
    </w:p>
    <w:p w14:paraId="49FE3307" w14:textId="64A7403D" w:rsidR="00E777DB" w:rsidRDefault="00EC1191" w:rsidP="00A87482">
      <w:r w:rsidRPr="00EC1191">
        <w:rPr>
          <w:noProof/>
        </w:rPr>
        <w:lastRenderedPageBreak/>
        <w:drawing>
          <wp:inline distT="0" distB="0" distL="0" distR="0" wp14:anchorId="7F5859CB" wp14:editId="4A6F7633">
            <wp:extent cx="5542060" cy="7348271"/>
            <wp:effectExtent l="0" t="0" r="1905" b="5080"/>
            <wp:docPr id="1949213011" name="Picture 1" descr="Table 21. TEAEs with incidence ≥5% by SOC and PT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13011" name="Picture 1" descr="Table 21. TEAEs with incidence ≥5% by SOC and PT (All studies pool)."/>
                    <pic:cNvPicPr/>
                  </pic:nvPicPr>
                  <pic:blipFill>
                    <a:blip r:embed="rId51"/>
                    <a:stretch>
                      <a:fillRect/>
                    </a:stretch>
                  </pic:blipFill>
                  <pic:spPr>
                    <a:xfrm>
                      <a:off x="0" y="0"/>
                      <a:ext cx="5544854" cy="7351976"/>
                    </a:xfrm>
                    <a:prstGeom prst="rect">
                      <a:avLst/>
                    </a:prstGeom>
                  </pic:spPr>
                </pic:pic>
              </a:graphicData>
            </a:graphic>
          </wp:inline>
        </w:drawing>
      </w:r>
    </w:p>
    <w:p w14:paraId="20D357D1" w14:textId="7451917E" w:rsidR="00831E70" w:rsidRDefault="00831E70" w:rsidP="00831E70">
      <w:r w:rsidRPr="00831E70">
        <w:t>TEAEs with an incidence ≥5% during either treatment course</w:t>
      </w:r>
      <w:r w:rsidR="00C56771">
        <w:t>,</w:t>
      </w:r>
      <w:r w:rsidRPr="00831E70">
        <w:t xml:space="preserve"> through </w:t>
      </w:r>
      <w:r w:rsidR="00EC1191">
        <w:t xml:space="preserve">to </w:t>
      </w:r>
      <w:r w:rsidRPr="00831E70">
        <w:t>28 days after last dose by PT are shown in</w:t>
      </w:r>
      <w:r w:rsidR="00F1043E">
        <w:t xml:space="preserve"> Table 2</w:t>
      </w:r>
      <w:r w:rsidR="00CF0F99">
        <w:t>2</w:t>
      </w:r>
      <w:r w:rsidRPr="00831E70">
        <w:t>.</w:t>
      </w:r>
    </w:p>
    <w:p w14:paraId="43D95D30" w14:textId="77777777" w:rsidR="00006667" w:rsidRDefault="00F1043E" w:rsidP="00277535">
      <w:pPr>
        <w:pStyle w:val="TableTitle"/>
      </w:pPr>
      <w:bookmarkStart w:id="63" w:name="_Ref223432279"/>
      <w:r w:rsidRPr="00F1043E">
        <w:lastRenderedPageBreak/>
        <w:t>Table</w:t>
      </w:r>
      <w:bookmarkEnd w:id="63"/>
      <w:r>
        <w:t xml:space="preserve"> 2</w:t>
      </w:r>
      <w:r w:rsidR="00FF232C">
        <w:t>2</w:t>
      </w:r>
      <w:r w:rsidRPr="00F1043E">
        <w:t xml:space="preserve">. TEAEs with an incidence ≥5% during either treatment course </w:t>
      </w:r>
      <w:proofErr w:type="gramStart"/>
      <w:r w:rsidRPr="00F1043E">
        <w:t>and</w:t>
      </w:r>
      <w:proofErr w:type="gramEnd"/>
      <w:r w:rsidRPr="00F1043E">
        <w:t xml:space="preserve"> through </w:t>
      </w:r>
      <w:r w:rsidR="003D7CEC">
        <w:t xml:space="preserve">to </w:t>
      </w:r>
      <w:r w:rsidRPr="00F1043E">
        <w:t>28 days after last dose by PT (All studies pool).</w:t>
      </w:r>
    </w:p>
    <w:p w14:paraId="0E3BB5E2" w14:textId="3116697B" w:rsidR="00F1043E" w:rsidRDefault="00277535" w:rsidP="00006667">
      <w:r w:rsidRPr="00277535">
        <w:rPr>
          <w:noProof/>
        </w:rPr>
        <w:drawing>
          <wp:inline distT="0" distB="0" distL="0" distR="0" wp14:anchorId="5262D977" wp14:editId="56E5BA43">
            <wp:extent cx="5597719" cy="4410287"/>
            <wp:effectExtent l="0" t="0" r="3175" b="9525"/>
            <wp:docPr id="1666374186" name="Picture 1" descr="Table 22. TEAEs with an incidence ≥5% during either treatment course and through to 28 days after last dose by PT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74186" name="Picture 1" descr="Table 22. TEAEs with an incidence ≥5% during either treatment course and through to 28 days after last dose by PT (All studies pool)."/>
                    <pic:cNvPicPr/>
                  </pic:nvPicPr>
                  <pic:blipFill>
                    <a:blip r:embed="rId52"/>
                    <a:stretch>
                      <a:fillRect/>
                    </a:stretch>
                  </pic:blipFill>
                  <pic:spPr>
                    <a:xfrm>
                      <a:off x="0" y="0"/>
                      <a:ext cx="5600861" cy="4412762"/>
                    </a:xfrm>
                    <a:prstGeom prst="rect">
                      <a:avLst/>
                    </a:prstGeom>
                  </pic:spPr>
                </pic:pic>
              </a:graphicData>
            </a:graphic>
          </wp:inline>
        </w:drawing>
      </w:r>
    </w:p>
    <w:p w14:paraId="6272B3D0" w14:textId="7A9F39B9" w:rsidR="0080117C" w:rsidRDefault="0080117C" w:rsidP="00006667">
      <w:r w:rsidRPr="0080117C">
        <w:rPr>
          <w:noProof/>
        </w:rPr>
        <w:drawing>
          <wp:inline distT="0" distB="0" distL="0" distR="0" wp14:anchorId="49766EB5" wp14:editId="6DD868E8">
            <wp:extent cx="5542060" cy="3830067"/>
            <wp:effectExtent l="0" t="0" r="1905" b="0"/>
            <wp:docPr id="897574189" name="Picture 1" descr="Table 22. TEAEs with an incidence ≥5% during either treatment course and through to 28 days after last dose by PT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74189" name="Picture 1" descr="Table 22. TEAEs with an incidence ≥5% during either treatment course and through to 28 days after last dose by PT (All studies pool)."/>
                    <pic:cNvPicPr/>
                  </pic:nvPicPr>
                  <pic:blipFill>
                    <a:blip r:embed="rId53"/>
                    <a:stretch>
                      <a:fillRect/>
                    </a:stretch>
                  </pic:blipFill>
                  <pic:spPr>
                    <a:xfrm>
                      <a:off x="0" y="0"/>
                      <a:ext cx="5548579" cy="3834572"/>
                    </a:xfrm>
                    <a:prstGeom prst="rect">
                      <a:avLst/>
                    </a:prstGeom>
                  </pic:spPr>
                </pic:pic>
              </a:graphicData>
            </a:graphic>
          </wp:inline>
        </w:drawing>
      </w:r>
    </w:p>
    <w:p w14:paraId="66DCB47B" w14:textId="77777777" w:rsidR="00831E70" w:rsidRPr="00831E70" w:rsidRDefault="00831E70" w:rsidP="00831E70">
      <w:r w:rsidRPr="00831E70">
        <w:lastRenderedPageBreak/>
        <w:t xml:space="preserve">The 5 most common TEAEs </w:t>
      </w:r>
      <w:r w:rsidRPr="00D15BF8">
        <w:t>with greater incidence in the teplizumab group</w:t>
      </w:r>
      <w:r w:rsidRPr="00831E70">
        <w:t xml:space="preserve"> compared with placebo were lymphopenia (74.5% vs. 12.9% and 158.94 vs. 8.49 IR per 100 PY), leukopenia (57.5% vs. 20.5% and 72.90 vs. 14.60 IR per 100 PY), neutropenia (36.9% vs. 18.3% and 30.01 vs. 12.59 IR per 100 PY), blood bicarbonate decreased (30.2% vs. 19.1% and 22.40 vs. 13.41 IR per 100 PY) and rash (35.6% vs. 8.4% and 29.35 vs. 5.23 IR per 100 PY). In addition, increased alanine aminotransferase occurred more frequently in the teplizumab group (23.6% vs. 7.9%).</w:t>
      </w:r>
    </w:p>
    <w:p w14:paraId="3C04BE6E" w14:textId="77777777" w:rsidR="00831E70" w:rsidRPr="00831E70" w:rsidRDefault="00831E70" w:rsidP="00831E70">
      <w:r w:rsidRPr="00831E70">
        <w:t>The AE incidence within ‘Infections and infestations’ was comparable between treatment groups (55.3% [teplizumab] vs. 55.1% [placebo]) and likely based on the stringent exclusion criteria.</w:t>
      </w:r>
    </w:p>
    <w:p w14:paraId="1D0A6372" w14:textId="77777777" w:rsidR="00831E70" w:rsidRPr="00831E70" w:rsidRDefault="00831E70" w:rsidP="00831E70">
      <w:r w:rsidRPr="00831E70">
        <w:t>Cytokine release syndrome was reported in 6.4% (IR of 3.67 per 100 PY) of participants in the teplizu</w:t>
      </w:r>
      <w:r w:rsidRPr="00831E70">
        <w:softHyphen/>
        <w:t>mab group and 1.1% (IR of 0.66 per 100 PY) in the placebo control.</w:t>
      </w:r>
    </w:p>
    <w:p w14:paraId="3295CBF4" w14:textId="77777777" w:rsidR="00831E70" w:rsidRPr="003D7CEC" w:rsidRDefault="00831E70" w:rsidP="00393C2F">
      <w:pPr>
        <w:pStyle w:val="Heading5"/>
      </w:pPr>
      <w:r w:rsidRPr="003D7CEC">
        <w:t>Treatment related adverse event (adverse drug reaction) overview</w:t>
      </w:r>
    </w:p>
    <w:p w14:paraId="37BE2AAE" w14:textId="77777777" w:rsidR="00831E70" w:rsidRPr="00831E70" w:rsidRDefault="00831E70" w:rsidP="00831E70">
      <w:r w:rsidRPr="00006667">
        <w:rPr>
          <w:b/>
          <w:bCs/>
        </w:rPr>
        <w:t>TN-10</w:t>
      </w:r>
      <w:r w:rsidRPr="00831E70">
        <w:t>: ADRs occurred in 42 (95.5%) subjects in the teplizumab group and 11 (34.4%) subjects in the placebo group. The most common teplizumab-related TEAE was lymphopenia.</w:t>
      </w:r>
    </w:p>
    <w:p w14:paraId="1578234A" w14:textId="77AA6CD5" w:rsidR="00831E70" w:rsidRDefault="00831E70" w:rsidP="00831E70">
      <w:r w:rsidRPr="00006667">
        <w:rPr>
          <w:b/>
          <w:bCs/>
        </w:rPr>
        <w:t>All studies pool</w:t>
      </w:r>
      <w:r w:rsidRPr="00831E70">
        <w:t xml:space="preserve">: A summary for the All studies pool is in </w:t>
      </w:r>
      <w:r w:rsidRPr="00831E70">
        <w:fldChar w:fldCharType="begin"/>
      </w:r>
      <w:r w:rsidRPr="00831E70">
        <w:instrText xml:space="preserve"> REF _Ref223432639 \h  \* MERGEFORMAT </w:instrText>
      </w:r>
      <w:r w:rsidRPr="00831E70">
        <w:fldChar w:fldCharType="separate"/>
      </w:r>
      <w:r w:rsidRPr="00831E70">
        <w:t>Table 2</w:t>
      </w:r>
      <w:r w:rsidRPr="00831E70">
        <w:fldChar w:fldCharType="end"/>
      </w:r>
      <w:r w:rsidR="00FE0D43">
        <w:t>2</w:t>
      </w:r>
      <w:r w:rsidRPr="00831E70">
        <w:t>. Even though ADRs by PT were not presented separately to TEAEs, the Forest plot of adjusted risk difference between active and placebo provides relevant information for the All studies pool (</w:t>
      </w:r>
      <w:r w:rsidRPr="00831E70">
        <w:fldChar w:fldCharType="begin"/>
      </w:r>
      <w:r w:rsidRPr="00831E70">
        <w:instrText xml:space="preserve"> REF _Ref223432297 \h  \* MERGEFORMAT </w:instrText>
      </w:r>
      <w:r w:rsidRPr="00831E70">
        <w:fldChar w:fldCharType="separate"/>
      </w:r>
      <w:r w:rsidRPr="00831E70">
        <w:t xml:space="preserve">Figure </w:t>
      </w:r>
      <w:r w:rsidRPr="00831E70">
        <w:fldChar w:fldCharType="end"/>
      </w:r>
      <w:r w:rsidR="002A7FBD">
        <w:t>7</w:t>
      </w:r>
      <w:r w:rsidRPr="00831E70">
        <w:t>).</w:t>
      </w:r>
    </w:p>
    <w:p w14:paraId="5B399159" w14:textId="061AADC4" w:rsidR="00651D32" w:rsidRDefault="00651D32" w:rsidP="00651D32">
      <w:pPr>
        <w:pStyle w:val="FigureTitle"/>
      </w:pPr>
      <w:bookmarkStart w:id="64" w:name="_Ref223432297"/>
      <w:r w:rsidRPr="00F323D7">
        <w:t>Figure</w:t>
      </w:r>
      <w:bookmarkEnd w:id="64"/>
      <w:r>
        <w:t xml:space="preserve"> 7</w:t>
      </w:r>
      <w:r w:rsidRPr="00F323D7">
        <w:t>. TEAEs with an incidence ≥5%: Forest plot of adjusted risk difference, and 95% CI (All studies pool).</w:t>
      </w:r>
    </w:p>
    <w:p w14:paraId="4AF09FA7" w14:textId="425792C5" w:rsidR="00651D32" w:rsidRDefault="00651D32" w:rsidP="00831E70">
      <w:r w:rsidRPr="00640FD8">
        <w:rPr>
          <w:noProof/>
        </w:rPr>
        <w:drawing>
          <wp:inline distT="0" distB="0" distL="0" distR="0" wp14:anchorId="34A67685" wp14:editId="15712D60">
            <wp:extent cx="5724940" cy="5066815"/>
            <wp:effectExtent l="0" t="0" r="9525" b="635"/>
            <wp:docPr id="945458242" name="Picture 1" descr="Figure 7. TEAEs with an incidence ≥5%: Forest plot of adjusted risk difference, and 95% CI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58242" name="Picture 1" descr="Figure 7. TEAEs with an incidence ≥5%: Forest plot of adjusted risk difference, and 95% CI (All studies pool)."/>
                    <pic:cNvPicPr/>
                  </pic:nvPicPr>
                  <pic:blipFill>
                    <a:blip r:embed="rId54"/>
                    <a:stretch>
                      <a:fillRect/>
                    </a:stretch>
                  </pic:blipFill>
                  <pic:spPr>
                    <a:xfrm>
                      <a:off x="0" y="0"/>
                      <a:ext cx="5764184" cy="5101547"/>
                    </a:xfrm>
                    <a:prstGeom prst="rect">
                      <a:avLst/>
                    </a:prstGeom>
                  </pic:spPr>
                </pic:pic>
              </a:graphicData>
            </a:graphic>
          </wp:inline>
        </w:drawing>
      </w:r>
    </w:p>
    <w:p w14:paraId="30587F58" w14:textId="2C0112E4" w:rsidR="00DE443A" w:rsidRPr="009C106C" w:rsidRDefault="00640FD8" w:rsidP="00DE443A">
      <w:pPr>
        <w:pStyle w:val="Heading6"/>
        <w:spacing w:line="240" w:lineRule="auto"/>
      </w:pPr>
      <w:r>
        <w:lastRenderedPageBreak/>
        <w:t>D</w:t>
      </w:r>
      <w:r w:rsidR="00DE443A" w:rsidRPr="009C106C">
        <w:t>eaths</w:t>
      </w:r>
    </w:p>
    <w:p w14:paraId="4E1A2550" w14:textId="77777777" w:rsidR="00DE443A" w:rsidRDefault="00DE443A" w:rsidP="00DE443A">
      <w:pPr>
        <w:widowControl w:val="0"/>
        <w:spacing w:line="240" w:lineRule="auto"/>
        <w:jc w:val="both"/>
      </w:pPr>
      <w:r w:rsidRPr="00006667">
        <w:rPr>
          <w:b/>
          <w:bCs/>
        </w:rPr>
        <w:t>TN-10</w:t>
      </w:r>
      <w:r w:rsidRPr="00D8439F">
        <w:t xml:space="preserve">: </w:t>
      </w:r>
      <w:r>
        <w:t>No deaths occurred.</w:t>
      </w:r>
    </w:p>
    <w:p w14:paraId="5C165FCD" w14:textId="0FE4AEF5" w:rsidR="00DE443A" w:rsidRDefault="00DE443A" w:rsidP="00DE443A">
      <w:pPr>
        <w:spacing w:line="240" w:lineRule="auto"/>
        <w:rPr>
          <w:lang w:val="en-GB"/>
        </w:rPr>
      </w:pPr>
      <w:r w:rsidRPr="00006667">
        <w:rPr>
          <w:b/>
          <w:bCs/>
          <w:lang w:eastAsia="ja-JP"/>
        </w:rPr>
        <w:t>All studies pool</w:t>
      </w:r>
      <w:r>
        <w:rPr>
          <w:lang w:eastAsia="ja-JP"/>
        </w:rPr>
        <w:t xml:space="preserve">: </w:t>
      </w:r>
      <w:r w:rsidRPr="006D4ED8">
        <w:rPr>
          <w:lang w:val="en-GB"/>
        </w:rPr>
        <w:t xml:space="preserve">4 deaths were reported </w:t>
      </w:r>
      <w:r>
        <w:rPr>
          <w:lang w:val="en-GB"/>
        </w:rPr>
        <w:t xml:space="preserve">across </w:t>
      </w:r>
      <w:r w:rsidRPr="006D4ED8">
        <w:rPr>
          <w:lang w:val="en-GB"/>
        </w:rPr>
        <w:t xml:space="preserve">the </w:t>
      </w:r>
      <w:r>
        <w:rPr>
          <w:lang w:val="en-GB"/>
        </w:rPr>
        <w:t xml:space="preserve">completed </w:t>
      </w:r>
      <w:r w:rsidRPr="006D4ED8">
        <w:rPr>
          <w:lang w:val="en-GB"/>
        </w:rPr>
        <w:t>teplizumab program</w:t>
      </w:r>
      <w:r>
        <w:rPr>
          <w:lang w:val="en-GB"/>
        </w:rPr>
        <w:t xml:space="preserve">. </w:t>
      </w:r>
      <w:r w:rsidRPr="009C106C">
        <w:t xml:space="preserve">Investigators considered these deaths as </w:t>
      </w:r>
      <w:r>
        <w:t xml:space="preserve">unlikely or not </w:t>
      </w:r>
      <w:r w:rsidRPr="009C106C">
        <w:t>related to the study drug.</w:t>
      </w:r>
      <w:r>
        <w:t xml:space="preserve"> </w:t>
      </w:r>
      <w:r w:rsidRPr="00F134CD">
        <w:rPr>
          <w:lang w:val="en-GB"/>
        </w:rPr>
        <w:t>All deaths occurred in the teplizumab-treated groups</w:t>
      </w:r>
      <w:r>
        <w:rPr>
          <w:lang w:val="en-GB"/>
        </w:rPr>
        <w:t xml:space="preserve"> (</w:t>
      </w:r>
      <w:r>
        <w:rPr>
          <w:lang w:val="en-GB"/>
        </w:rPr>
        <w:fldChar w:fldCharType="begin"/>
      </w:r>
      <w:r>
        <w:rPr>
          <w:lang w:val="en-GB"/>
        </w:rPr>
        <w:instrText xml:space="preserve"> REF _Ref223438146 \h  \* MERGEFORMAT </w:instrText>
      </w:r>
      <w:r>
        <w:rPr>
          <w:lang w:val="en-GB"/>
        </w:rPr>
      </w:r>
      <w:r>
        <w:rPr>
          <w:lang w:val="en-GB"/>
        </w:rPr>
        <w:fldChar w:fldCharType="separate"/>
      </w:r>
      <w:r>
        <w:t xml:space="preserve">Table </w:t>
      </w:r>
      <w:r>
        <w:rPr>
          <w:lang w:val="en-GB"/>
        </w:rPr>
        <w:fldChar w:fldCharType="end"/>
      </w:r>
      <w:r w:rsidR="00284F28">
        <w:rPr>
          <w:lang w:val="en-GB"/>
        </w:rPr>
        <w:t>23</w:t>
      </w:r>
      <w:r>
        <w:rPr>
          <w:lang w:val="en-GB"/>
        </w:rPr>
        <w:t>):</w:t>
      </w:r>
    </w:p>
    <w:p w14:paraId="61663155" w14:textId="77777777" w:rsidR="00DE443A" w:rsidRDefault="00DE443A" w:rsidP="00F134CD">
      <w:pPr>
        <w:pStyle w:val="ListBullet"/>
        <w:rPr>
          <w:lang w:val="en-GB"/>
        </w:rPr>
      </w:pPr>
      <w:r w:rsidRPr="00917684">
        <w:rPr>
          <w:lang w:val="en-GB"/>
        </w:rPr>
        <w:t>Two deaths occurred during the Protégé study</w:t>
      </w:r>
      <w:r>
        <w:rPr>
          <w:lang w:val="en-GB"/>
        </w:rPr>
        <w:t xml:space="preserve">: one due to </w:t>
      </w:r>
      <w:r w:rsidRPr="00917684">
        <w:rPr>
          <w:lang w:val="en-GB"/>
        </w:rPr>
        <w:t>DKA/</w:t>
      </w:r>
      <w:proofErr w:type="spellStart"/>
      <w:r w:rsidRPr="00917684">
        <w:rPr>
          <w:lang w:val="en-GB"/>
        </w:rPr>
        <w:t>inter</w:t>
      </w:r>
      <w:r w:rsidRPr="00917684">
        <w:rPr>
          <w:lang w:val="en-GB"/>
        </w:rPr>
        <w:softHyphen/>
        <w:t>capillary</w:t>
      </w:r>
      <w:proofErr w:type="spellEnd"/>
      <w:r w:rsidRPr="00917684">
        <w:rPr>
          <w:lang w:val="en-GB"/>
        </w:rPr>
        <w:t xml:space="preserve"> glomerulosclerosis and </w:t>
      </w:r>
      <w:r>
        <w:rPr>
          <w:lang w:val="en-GB"/>
        </w:rPr>
        <w:t xml:space="preserve">one due to </w:t>
      </w:r>
      <w:r w:rsidRPr="00917684">
        <w:rPr>
          <w:lang w:val="en-GB"/>
        </w:rPr>
        <w:t>acute MI/cardio-respiratory arrest/ventricular tachycardia.</w:t>
      </w:r>
    </w:p>
    <w:p w14:paraId="287F7F5E" w14:textId="77777777" w:rsidR="00DE443A" w:rsidRDefault="00DE443A" w:rsidP="00F134CD">
      <w:pPr>
        <w:pStyle w:val="ListBullet"/>
        <w:rPr>
          <w:lang w:val="en-GB"/>
        </w:rPr>
      </w:pPr>
      <w:r w:rsidRPr="00917684">
        <w:rPr>
          <w:lang w:val="en-GB"/>
        </w:rPr>
        <w:t xml:space="preserve">One </w:t>
      </w:r>
      <w:r>
        <w:rPr>
          <w:lang w:val="en-GB"/>
        </w:rPr>
        <w:t xml:space="preserve">death occurred in the </w:t>
      </w:r>
      <w:r w:rsidRPr="00917684">
        <w:rPr>
          <w:lang w:val="en-GB"/>
        </w:rPr>
        <w:t>Protégé Extension study: after 2 years and 2 months of receiving the last dose of study drug, the participant experienced abdominal pain, vomiting, and loose stools and was given an unknown treatment by a local doctor. The participant's death was reported 5 days after symptoms started. None of these deaths occurred during the treatment course.</w:t>
      </w:r>
    </w:p>
    <w:p w14:paraId="3E460BCB" w14:textId="77777777" w:rsidR="00DE443A" w:rsidRPr="0024152F" w:rsidRDefault="00DE443A" w:rsidP="00F134CD">
      <w:pPr>
        <w:pStyle w:val="ListBullet"/>
        <w:rPr>
          <w:lang w:val="en-GB"/>
        </w:rPr>
      </w:pPr>
      <w:r w:rsidRPr="00917684">
        <w:rPr>
          <w:lang w:val="en-GB"/>
        </w:rPr>
        <w:t>The fourth death occurred in the TN-10 Extension study where a participant with a history of anxiety and major depressive disorder experienced a TESAE (Completed suicide) that was fatal. The TESAE was assessed by the Investigator as not related to study treatment.</w:t>
      </w:r>
    </w:p>
    <w:p w14:paraId="4D61FA5C" w14:textId="48FA7F0E" w:rsidR="00B065CC" w:rsidRDefault="00B065CC" w:rsidP="00B065CC">
      <w:pPr>
        <w:pStyle w:val="TableTitle"/>
      </w:pPr>
      <w:bookmarkStart w:id="65" w:name="_Ref223438146"/>
      <w:r w:rsidRPr="003E0CE6">
        <w:t>Table</w:t>
      </w:r>
      <w:bookmarkEnd w:id="65"/>
      <w:r w:rsidR="00284F28">
        <w:t xml:space="preserve"> 23</w:t>
      </w:r>
      <w:r w:rsidRPr="003E0CE6">
        <w:t>. Safety analysis. List of participant deaths (All studies pool and TN-10 extension).</w:t>
      </w:r>
    </w:p>
    <w:p w14:paraId="017E55C9" w14:textId="103BDF42" w:rsidR="00DE443A" w:rsidRDefault="004B190B" w:rsidP="005D7976">
      <w:r w:rsidRPr="004B190B">
        <w:rPr>
          <w:noProof/>
        </w:rPr>
        <w:drawing>
          <wp:inline distT="0" distB="0" distL="0" distR="0" wp14:anchorId="63F09C40" wp14:editId="0DF4A433">
            <wp:extent cx="5438693" cy="3098916"/>
            <wp:effectExtent l="0" t="0" r="0" b="6350"/>
            <wp:docPr id="1328261095" name="Picture 1" descr="Table 23. Safety analysis. List of participant deaths (All studies pool and TN-10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61095" name="Picture 1" descr="Table 23. Safety analysis. List of participant deaths (All studies pool and TN-10 extension)."/>
                    <pic:cNvPicPr/>
                  </pic:nvPicPr>
                  <pic:blipFill>
                    <a:blip r:embed="rId55"/>
                    <a:stretch>
                      <a:fillRect/>
                    </a:stretch>
                  </pic:blipFill>
                  <pic:spPr>
                    <a:xfrm>
                      <a:off x="0" y="0"/>
                      <a:ext cx="5450480" cy="3105632"/>
                    </a:xfrm>
                    <a:prstGeom prst="rect">
                      <a:avLst/>
                    </a:prstGeom>
                  </pic:spPr>
                </pic:pic>
              </a:graphicData>
            </a:graphic>
          </wp:inline>
        </w:drawing>
      </w:r>
    </w:p>
    <w:p w14:paraId="28A42FE1" w14:textId="383EE5D9" w:rsidR="003E0CE6" w:rsidRDefault="003E0CE6" w:rsidP="003E0CE6">
      <w:pPr>
        <w:pStyle w:val="TableDescription"/>
      </w:pPr>
      <w:r w:rsidRPr="003E0CE6">
        <w:rPr>
          <w:i/>
          <w:iCs/>
          <w:color w:val="0000FF"/>
        </w:rPr>
        <w:t>a</w:t>
      </w:r>
      <w:r w:rsidRPr="003E0CE6">
        <w:rPr>
          <w:i/>
          <w:iCs/>
        </w:rPr>
        <w:t xml:space="preserve"> </w:t>
      </w:r>
      <w:r w:rsidRPr="003E0CE6">
        <w:t>TN10-Extension was not included in the pooled analyses.</w:t>
      </w:r>
    </w:p>
    <w:p w14:paraId="087FF4D5" w14:textId="77777777" w:rsidR="00484E52" w:rsidRPr="00484E52" w:rsidRDefault="00484E52" w:rsidP="00393C2F">
      <w:pPr>
        <w:pStyle w:val="Heading6"/>
      </w:pPr>
      <w:r w:rsidRPr="00484E52">
        <w:t>Serious adverse events</w:t>
      </w:r>
    </w:p>
    <w:p w14:paraId="2FE04EB2" w14:textId="77777777" w:rsidR="00484E52" w:rsidRPr="00484E52" w:rsidRDefault="00484E52" w:rsidP="00484E52">
      <w:r w:rsidRPr="00006667">
        <w:rPr>
          <w:b/>
          <w:bCs/>
        </w:rPr>
        <w:t>TN-10</w:t>
      </w:r>
      <w:r w:rsidRPr="00484E52">
        <w:t>: Eight (18.2%) subjects had 9 SAEs during the study (7 (15.9%) for teplizumab vs. 1 (3.1%) for placebo). One subject had 2 SAEs (dizziness and ankle fracture). Four SAEs in 4 subjects were infections (pneumonia, cellulitis, wound infection, and gastroenteritis). Two SAEs (serum sickness and pneumonia) in 2 subjects in the teplizumab group were considered by the investigators to be possibly related to the study treatment.</w:t>
      </w:r>
    </w:p>
    <w:p w14:paraId="4B37C8CC" w14:textId="388148AB" w:rsidR="00484E52" w:rsidRPr="00484E52" w:rsidRDefault="00484E52" w:rsidP="00484E52">
      <w:r w:rsidRPr="00006667">
        <w:rPr>
          <w:b/>
          <w:bCs/>
        </w:rPr>
        <w:t>All studies pool</w:t>
      </w:r>
      <w:r w:rsidRPr="00484E52">
        <w:t>: TESAEs occurred more frequently in the teplizumab group (11.8%) than in placebo control (7.3%) and were predominantly T1DM related AEs:</w:t>
      </w:r>
    </w:p>
    <w:p w14:paraId="361F148C" w14:textId="77777777" w:rsidR="00484E52" w:rsidRPr="00484E52" w:rsidRDefault="00484E52" w:rsidP="00080CE7">
      <w:pPr>
        <w:pStyle w:val="ListBullet"/>
      </w:pPr>
      <w:r w:rsidRPr="00006667">
        <w:rPr>
          <w:b/>
          <w:bCs/>
        </w:rPr>
        <w:t>DKA</w:t>
      </w:r>
      <w:r w:rsidRPr="00484E52">
        <w:t xml:space="preserve"> was the only TESAEs reported for &gt;1% of participants in the teplizumab group (IR per 100 PY 1.13 vs. 0.16 for placebo). No DKA SAE occurred during the time window of the </w:t>
      </w:r>
      <w:r w:rsidRPr="00484E52">
        <w:lastRenderedPageBreak/>
        <w:t>treatment course through 28 days after the last dose. The SAEs of DKA occurred several months after the treatment, usually triggered by infections or poor diabetes management. The patients with DKA had high blood sugar levels and low C-peptide levels, indicating poor insulin production. Notably, no DKA occurred in the PROTECT study (i.e. a Stage 3 T1DM population).</w:t>
      </w:r>
    </w:p>
    <w:p w14:paraId="616421EA" w14:textId="77777777" w:rsidR="00484E52" w:rsidRPr="00484E52" w:rsidRDefault="00484E52" w:rsidP="00080CE7">
      <w:pPr>
        <w:pStyle w:val="ListBullet"/>
      </w:pPr>
      <w:r w:rsidRPr="00006667">
        <w:rPr>
          <w:b/>
          <w:bCs/>
        </w:rPr>
        <w:t>Hypoglycaemic seizure</w:t>
      </w:r>
      <w:r w:rsidRPr="00484E52">
        <w:t xml:space="preserve"> was reported in 7 teplizumab-treated patients (IR of 0.37 per 100 PY) and none in the control group. All SAEs of hypoglycaemic seizure, hypoglycaemic unconscious</w:t>
      </w:r>
      <w:r w:rsidRPr="00484E52">
        <w:softHyphen/>
        <w:t>ness, and hypoglycaemic coma events occurred in the Protégé and Encore studies. Factors asso</w:t>
      </w:r>
      <w:r w:rsidRPr="00484E52">
        <w:softHyphen/>
        <w:t>ciated with hypoglycaemic seizure included high insulin doses, non-compliant diet and glucose moni</w:t>
      </w:r>
      <w:r w:rsidRPr="00484E52">
        <w:softHyphen/>
        <w:t>toring, in</w:t>
      </w:r>
      <w:r w:rsidRPr="00484E52">
        <w:softHyphen/>
        <w:t>creased physical activity combined with low prior food intake.</w:t>
      </w:r>
    </w:p>
    <w:p w14:paraId="5975ECCA" w14:textId="77777777" w:rsidR="00484E52" w:rsidRPr="00484E52" w:rsidRDefault="00484E52" w:rsidP="00080CE7">
      <w:pPr>
        <w:pStyle w:val="ListBullet"/>
      </w:pPr>
      <w:r w:rsidRPr="00006667">
        <w:rPr>
          <w:b/>
          <w:bCs/>
        </w:rPr>
        <w:t>Cytokine release syndrome (CRS)</w:t>
      </w:r>
      <w:r w:rsidRPr="00484E52">
        <w:t xml:space="preserve"> was reported in 9 participants in the teplizumab group (IR of 0.48 per 100 PY).</w:t>
      </w:r>
    </w:p>
    <w:p w14:paraId="1C09F8F9" w14:textId="7A5D103D" w:rsidR="00484E52" w:rsidRPr="00484E52" w:rsidRDefault="00484E52" w:rsidP="00484E52">
      <w:r w:rsidRPr="00484E52">
        <w:t>Additionally, a forest plot provides a summary of study size adjusted risk differences [95% CI] of the TESAEs (</w:t>
      </w:r>
      <w:r w:rsidRPr="00484E52">
        <w:fldChar w:fldCharType="begin"/>
      </w:r>
      <w:r w:rsidRPr="00484E52">
        <w:instrText xml:space="preserve"> REF _Ref223438697 \h  \* MERGEFORMAT </w:instrText>
      </w:r>
      <w:r w:rsidRPr="00484E52">
        <w:fldChar w:fldCharType="separate"/>
      </w:r>
      <w:r w:rsidRPr="00484E52">
        <w:t xml:space="preserve">Figure </w:t>
      </w:r>
      <w:r w:rsidRPr="00484E52">
        <w:fldChar w:fldCharType="end"/>
      </w:r>
      <w:r w:rsidR="00130D52">
        <w:t>8</w:t>
      </w:r>
      <w:r w:rsidRPr="00484E52">
        <w:t>).</w:t>
      </w:r>
    </w:p>
    <w:p w14:paraId="636AA263" w14:textId="77777777" w:rsidR="00006667" w:rsidRDefault="002634B3" w:rsidP="00006667">
      <w:pPr>
        <w:pStyle w:val="FigureTitle"/>
      </w:pPr>
      <w:bookmarkStart w:id="66" w:name="_Ref223438697"/>
      <w:r w:rsidRPr="002634B3">
        <w:t>Figure</w:t>
      </w:r>
      <w:bookmarkEnd w:id="66"/>
      <w:r w:rsidR="00130D52">
        <w:t xml:space="preserve"> 8</w:t>
      </w:r>
      <w:r w:rsidRPr="002634B3">
        <w:t>. TESAEs reported in ≥2 teplizumab-treated participants: Forest plot of adjusted risk difference, and 95% CI (All studies pool).</w:t>
      </w:r>
    </w:p>
    <w:p w14:paraId="4F9E5019" w14:textId="7D4BE3AF" w:rsidR="009814B4" w:rsidRDefault="009814B4" w:rsidP="002634B3">
      <w:pPr>
        <w:rPr>
          <w:b/>
        </w:rPr>
      </w:pPr>
      <w:r w:rsidRPr="009814B4">
        <w:rPr>
          <w:b/>
          <w:noProof/>
        </w:rPr>
        <w:drawing>
          <wp:inline distT="0" distB="0" distL="0" distR="0" wp14:anchorId="71580417" wp14:editId="0CA2C0F4">
            <wp:extent cx="6119446" cy="4712335"/>
            <wp:effectExtent l="0" t="0" r="0" b="0"/>
            <wp:docPr id="1158553075" name="Picture 1" descr="Figure 8. TESAEs reported in ≥2 teplizumab-treated participants: Forest plot of adjusted risk difference, and 95% CI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53075" name="Picture 1" descr="Figure 8. TESAEs reported in ≥2 teplizumab-treated participants: Forest plot of adjusted risk difference, and 95% CI (All studies pool)."/>
                    <pic:cNvPicPr/>
                  </pic:nvPicPr>
                  <pic:blipFill>
                    <a:blip r:embed="rId56"/>
                    <a:stretch>
                      <a:fillRect/>
                    </a:stretch>
                  </pic:blipFill>
                  <pic:spPr>
                    <a:xfrm>
                      <a:off x="0" y="0"/>
                      <a:ext cx="6130046" cy="4720498"/>
                    </a:xfrm>
                    <a:prstGeom prst="rect">
                      <a:avLst/>
                    </a:prstGeom>
                  </pic:spPr>
                </pic:pic>
              </a:graphicData>
            </a:graphic>
          </wp:inline>
        </w:drawing>
      </w:r>
    </w:p>
    <w:p w14:paraId="33915457" w14:textId="77777777" w:rsidR="001162D5" w:rsidRPr="009C106C" w:rsidRDefault="001162D5" w:rsidP="00393C2F">
      <w:pPr>
        <w:pStyle w:val="Heading6"/>
      </w:pPr>
      <w:r w:rsidRPr="009C106C">
        <w:t>Discontinuations</w:t>
      </w:r>
    </w:p>
    <w:p w14:paraId="695D65F2" w14:textId="77777777" w:rsidR="001162D5" w:rsidRDefault="001162D5" w:rsidP="001162D5">
      <w:pPr>
        <w:spacing w:line="240" w:lineRule="auto"/>
        <w:rPr>
          <w:lang w:eastAsia="ja-JP"/>
        </w:rPr>
      </w:pPr>
      <w:r w:rsidRPr="00006667">
        <w:rPr>
          <w:b/>
          <w:bCs/>
          <w:lang w:eastAsia="ja-JP"/>
        </w:rPr>
        <w:t>TN-10:</w:t>
      </w:r>
      <w:r>
        <w:rPr>
          <w:lang w:eastAsia="ja-JP"/>
        </w:rPr>
        <w:t xml:space="preserve"> Three patients discontinued study treatment due to TEAEs: 1 (2.3%) in the teplizumab group (due to ALT increased after 11 days of treatment) and 2 (6.3%) subjects in the placebo group. All events were resolved or resolving by the end of the study.</w:t>
      </w:r>
    </w:p>
    <w:p w14:paraId="3F1CD4AC" w14:textId="77777777" w:rsidR="001162D5" w:rsidRPr="009C106C" w:rsidRDefault="001162D5" w:rsidP="001162D5">
      <w:pPr>
        <w:spacing w:line="240" w:lineRule="auto"/>
        <w:rPr>
          <w:lang w:eastAsia="ja-JP"/>
        </w:rPr>
      </w:pPr>
      <w:r w:rsidRPr="00006667">
        <w:rPr>
          <w:b/>
          <w:bCs/>
          <w:lang w:eastAsia="ja-JP"/>
        </w:rPr>
        <w:lastRenderedPageBreak/>
        <w:t>All studies pool</w:t>
      </w:r>
      <w:r>
        <w:rPr>
          <w:lang w:eastAsia="ja-JP"/>
        </w:rPr>
        <w:t xml:space="preserve">: </w:t>
      </w:r>
      <w:r w:rsidRPr="009C106C">
        <w:t>A higher proportion of participants discontinued study drug due to TEAEs in the teplizumab group (12.7%) than in the placebo control (3.4%). The 5 most common TEAEs leading to study drug discontinuation in the teplizumab group</w:t>
      </w:r>
      <w:r>
        <w:t xml:space="preserve"> were mostly protocol-mandated: </w:t>
      </w:r>
      <w:r w:rsidRPr="009C106C">
        <w:t>alanine aminotransferase increased (4.5%), aspartate aminotransferase increased (2.2%), haemoglobin decreased (1.2%), CRS (1.3%), and neutropenia (1.1%).</w:t>
      </w:r>
    </w:p>
    <w:p w14:paraId="5017A991" w14:textId="77777777" w:rsidR="001162D5" w:rsidRPr="00393C2F" w:rsidRDefault="001162D5" w:rsidP="00393C2F">
      <w:pPr>
        <w:pStyle w:val="Heading6"/>
      </w:pPr>
      <w:r w:rsidRPr="00393C2F">
        <w:t>Adverse events of special interest</w:t>
      </w:r>
    </w:p>
    <w:p w14:paraId="0CE3CD64" w14:textId="3B7D3860" w:rsidR="001162D5" w:rsidRDefault="001162D5" w:rsidP="001162D5">
      <w:pPr>
        <w:spacing w:line="240" w:lineRule="auto"/>
      </w:pPr>
      <w:r>
        <w:t>Overall, t</w:t>
      </w:r>
      <w:r w:rsidRPr="009C106C">
        <w:t xml:space="preserve">he incidence of AESIs was </w:t>
      </w:r>
      <w:r>
        <w:t>greater</w:t>
      </w:r>
      <w:r w:rsidRPr="009C106C">
        <w:t xml:space="preserve"> in the teplizumab group (26.3%) than in placebo control group (16.9%)</w:t>
      </w:r>
      <w:r>
        <w:t xml:space="preserve"> (</w:t>
      </w:r>
      <w:r w:rsidR="00573A34">
        <w:t>Figure 9</w:t>
      </w:r>
      <w:r>
        <w:t>)</w:t>
      </w:r>
      <w:r w:rsidRPr="009C106C">
        <w:t>.</w:t>
      </w:r>
    </w:p>
    <w:p w14:paraId="600D1A9C" w14:textId="22D197A6" w:rsidR="00DA766F" w:rsidRPr="00DA766F" w:rsidRDefault="00DA766F" w:rsidP="00006667">
      <w:pPr>
        <w:pStyle w:val="FigureTitle"/>
      </w:pPr>
      <w:bookmarkStart w:id="67" w:name="_Ref223442483"/>
      <w:r w:rsidRPr="00DA766F">
        <w:t xml:space="preserve">Figure </w:t>
      </w:r>
      <w:bookmarkEnd w:id="67"/>
      <w:r>
        <w:t>9</w:t>
      </w:r>
      <w:r w:rsidRPr="00DA766F">
        <w:t>. AESIs: Forest plot of adjusted risk difference, and 95% CI (All studies pool).</w:t>
      </w:r>
    </w:p>
    <w:p w14:paraId="3E1C559C" w14:textId="41E23A96" w:rsidR="00DA766F" w:rsidRDefault="005E2BA0" w:rsidP="001162D5">
      <w:pPr>
        <w:spacing w:line="240" w:lineRule="auto"/>
      </w:pPr>
      <w:r w:rsidRPr="005E2BA0">
        <w:rPr>
          <w:noProof/>
        </w:rPr>
        <w:drawing>
          <wp:inline distT="0" distB="0" distL="0" distR="0" wp14:anchorId="1EEE588C" wp14:editId="55652BA6">
            <wp:extent cx="6219929" cy="3179227"/>
            <wp:effectExtent l="0" t="0" r="0" b="2540"/>
            <wp:docPr id="293104271" name="Picture 1" descr="Figure 9. AESIs: Forest plot of adjusted risk difference, and 95% CI (All studies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04271" name="Picture 1" descr="Figure 9. AESIs: Forest plot of adjusted risk difference, and 95% CI (All studies pool)."/>
                    <pic:cNvPicPr/>
                  </pic:nvPicPr>
                  <pic:blipFill>
                    <a:blip r:embed="rId57"/>
                    <a:stretch>
                      <a:fillRect/>
                    </a:stretch>
                  </pic:blipFill>
                  <pic:spPr>
                    <a:xfrm>
                      <a:off x="0" y="0"/>
                      <a:ext cx="6227591" cy="3183144"/>
                    </a:xfrm>
                    <a:prstGeom prst="rect">
                      <a:avLst/>
                    </a:prstGeom>
                  </pic:spPr>
                </pic:pic>
              </a:graphicData>
            </a:graphic>
          </wp:inline>
        </w:drawing>
      </w:r>
    </w:p>
    <w:p w14:paraId="1A4B376B" w14:textId="77777777" w:rsidR="001162D5" w:rsidRDefault="001162D5" w:rsidP="001162D5">
      <w:pPr>
        <w:widowControl w:val="0"/>
        <w:spacing w:line="240" w:lineRule="auto"/>
      </w:pPr>
      <w:r w:rsidRPr="00006667">
        <w:rPr>
          <w:b/>
          <w:bCs/>
        </w:rPr>
        <w:t>≥Grade 3 infections (includes all opportunistic infections)</w:t>
      </w:r>
      <w:r>
        <w:t xml:space="preserve">: </w:t>
      </w:r>
      <w:r w:rsidRPr="009C106C">
        <w:t xml:space="preserve">occurred in 2.5% (IR of 3.22 per 100 PY) teplizumab-treated participants and 2.0% (IR of 1.99 per 100 PY) of participants in placebo </w:t>
      </w:r>
      <w:r w:rsidRPr="00713330">
        <w:t>control group (study size adjusted risk difference [95% CI]: 0.4% [-1.3, 2.2]).</w:t>
      </w:r>
    </w:p>
    <w:p w14:paraId="5299BF4A" w14:textId="77777777" w:rsidR="001162D5" w:rsidRPr="009C106C" w:rsidRDefault="001162D5" w:rsidP="001162D5">
      <w:pPr>
        <w:widowControl w:val="0"/>
        <w:spacing w:line="240" w:lineRule="auto"/>
      </w:pPr>
      <w:r w:rsidRPr="00006667">
        <w:rPr>
          <w:b/>
          <w:bCs/>
        </w:rPr>
        <w:t>Acute mononucleosis-like illness</w:t>
      </w:r>
      <w:r w:rsidRPr="003248D4">
        <w:t xml:space="preserve"> (e.g. fever, pharyngitis, lymphadenopathy): There was a significant increase in the incidence of acute mononucleosis-like illness assessed using the global AESI classification (adjusted risk difference [95% CI]: 3.5% [0.4, 6.7]). </w:t>
      </w:r>
      <w:r>
        <w:t>Infectious mononucleosis (0.4% vs. 0.3%), and mononucleosis syndrome (&lt;0.1% vs. 0%).</w:t>
      </w:r>
      <w:r w:rsidRPr="004F6F46">
        <w:t xml:space="preserve"> </w:t>
      </w:r>
      <w:r w:rsidRPr="009C106C">
        <w:t>were rare</w:t>
      </w:r>
      <w:r>
        <w:t xml:space="preserve">. </w:t>
      </w:r>
      <w:r w:rsidRPr="009C106C">
        <w:t>The adjusted risk differences for both types of PTs were &lt;0.1%.</w:t>
      </w:r>
      <w:r>
        <w:t xml:space="preserve"> </w:t>
      </w:r>
      <w:r w:rsidRPr="009C106C">
        <w:t>However, TEAEs associated with laboratory findings of Epstein-Barr virus (EBV) and Cytomegalo</w:t>
      </w:r>
      <w:r w:rsidRPr="009C106C">
        <w:softHyphen/>
        <w:t>virus (CMV) were commonly more frequent in the teplizumab group than in placebo control:</w:t>
      </w:r>
    </w:p>
    <w:p w14:paraId="6F4C554B" w14:textId="77777777" w:rsidR="001162D5" w:rsidRPr="009C106C" w:rsidRDefault="001162D5" w:rsidP="00DC2FD5">
      <w:pPr>
        <w:pStyle w:val="ListBullet"/>
      </w:pPr>
      <w:r w:rsidRPr="009C106C">
        <w:t xml:space="preserve">Epstein-Barr viremia: 2.6% </w:t>
      </w:r>
      <w:r>
        <w:t>vs.</w:t>
      </w:r>
      <w:r w:rsidRPr="009C106C">
        <w:t xml:space="preserve"> 0.8%,</w:t>
      </w:r>
    </w:p>
    <w:p w14:paraId="5E710F29" w14:textId="77777777" w:rsidR="001162D5" w:rsidRPr="009C106C" w:rsidRDefault="001162D5" w:rsidP="00DC2FD5">
      <w:pPr>
        <w:pStyle w:val="ListBullet"/>
      </w:pPr>
      <w:r w:rsidRPr="009C106C">
        <w:t xml:space="preserve">Epstein-Barr virus antibody positive: 3.1% </w:t>
      </w:r>
      <w:r>
        <w:t>vs.</w:t>
      </w:r>
      <w:r w:rsidRPr="009C106C">
        <w:t xml:space="preserve"> 3.1%,</w:t>
      </w:r>
    </w:p>
    <w:p w14:paraId="325F8DE8" w14:textId="77777777" w:rsidR="001162D5" w:rsidRPr="009C106C" w:rsidRDefault="001162D5" w:rsidP="00DC2FD5">
      <w:pPr>
        <w:pStyle w:val="ListBullet"/>
      </w:pPr>
      <w:r w:rsidRPr="009C106C">
        <w:t xml:space="preserve">Epstein-Barr virus </w:t>
      </w:r>
      <w:proofErr w:type="gramStart"/>
      <w:r w:rsidRPr="009C106C">
        <w:t>test</w:t>
      </w:r>
      <w:proofErr w:type="gramEnd"/>
      <w:r w:rsidRPr="009C106C">
        <w:t xml:space="preserve"> positive: 0.9% </w:t>
      </w:r>
      <w:r>
        <w:t xml:space="preserve">vs. </w:t>
      </w:r>
      <w:r w:rsidRPr="009C106C">
        <w:t>0%,</w:t>
      </w:r>
    </w:p>
    <w:p w14:paraId="16D3DA58" w14:textId="77777777" w:rsidR="001162D5" w:rsidRPr="00835DEB" w:rsidRDefault="001162D5" w:rsidP="00DC2FD5">
      <w:pPr>
        <w:pStyle w:val="ListBullet"/>
        <w:rPr>
          <w:lang w:val="de-DE"/>
        </w:rPr>
      </w:pPr>
      <w:r w:rsidRPr="00835DEB">
        <w:rPr>
          <w:lang w:val="de-DE"/>
        </w:rPr>
        <w:t>Epstein-Barr virus antigen positive: &lt;0.1% vs. 0%,</w:t>
      </w:r>
    </w:p>
    <w:p w14:paraId="586C2C5F" w14:textId="77777777" w:rsidR="001162D5" w:rsidRPr="009C106C" w:rsidRDefault="001162D5" w:rsidP="00DC2FD5">
      <w:pPr>
        <w:pStyle w:val="ListBullet"/>
      </w:pPr>
      <w:r w:rsidRPr="009C106C">
        <w:t>Cytomegalovirus test positive: 1.0</w:t>
      </w:r>
      <w:r w:rsidRPr="00CD7A10">
        <w:t xml:space="preserve"> </w:t>
      </w:r>
      <w:r w:rsidRPr="009C106C">
        <w:t xml:space="preserve">% </w:t>
      </w:r>
      <w:r>
        <w:t xml:space="preserve">vs. </w:t>
      </w:r>
      <w:r w:rsidRPr="009C106C">
        <w:t>0.6%.</w:t>
      </w:r>
    </w:p>
    <w:p w14:paraId="48EF2083" w14:textId="77777777" w:rsidR="001162D5" w:rsidRPr="009C106C" w:rsidRDefault="001162D5" w:rsidP="001162D5">
      <w:pPr>
        <w:widowControl w:val="0"/>
        <w:spacing w:line="240" w:lineRule="auto"/>
      </w:pPr>
      <w:r w:rsidRPr="009C106C">
        <w:t>Adjusted risks for all these PTs were ≤1.0%.</w:t>
      </w:r>
    </w:p>
    <w:p w14:paraId="18BF1FED" w14:textId="77777777" w:rsidR="001162D5" w:rsidRDefault="001162D5" w:rsidP="001162D5">
      <w:pPr>
        <w:spacing w:line="240" w:lineRule="auto"/>
      </w:pPr>
      <w:r w:rsidRPr="00006667">
        <w:rPr>
          <w:b/>
          <w:bCs/>
        </w:rPr>
        <w:t>Lymphomas or other malignancies</w:t>
      </w:r>
      <w:r w:rsidRPr="0066071C">
        <w:t xml:space="preserve"> (AESI category): reported for 2.3% and 1.4% of the partici</w:t>
      </w:r>
      <w:r w:rsidRPr="0066071C">
        <w:softHyphen/>
        <w:t>pants in the teplizumab and placebo groups, respectively (study size adjusted risk difference [95% CI]: 1.3% [ -0.2, 2.7]). No lymphoma was reported in any of the studies.</w:t>
      </w:r>
    </w:p>
    <w:p w14:paraId="773894DF" w14:textId="77777777" w:rsidR="001162D5" w:rsidRDefault="001162D5" w:rsidP="001162D5">
      <w:pPr>
        <w:spacing w:line="240" w:lineRule="auto"/>
      </w:pPr>
      <w:r w:rsidRPr="00131942">
        <w:lastRenderedPageBreak/>
        <w:t xml:space="preserve">One participant in the Protégé study had an SAE of malignant metastatic melanoma not included </w:t>
      </w:r>
      <w:r>
        <w:t>as</w:t>
      </w:r>
      <w:r w:rsidRPr="00131942">
        <w:t xml:space="preserve"> it was not identified using the algorithm for AESI. This was because the HLT used for this event was </w:t>
      </w:r>
      <w:r>
        <w:t>‘</w:t>
      </w:r>
      <w:r w:rsidRPr="00131942">
        <w:t>Skin melanomas (excluding ocular)</w:t>
      </w:r>
      <w:r>
        <w:t>’</w:t>
      </w:r>
      <w:r w:rsidRPr="00131942">
        <w:t>. The participant had a history of dysplastic nevi, and metastatic melanoma occurred in a pre-existing lesion that was not diagnosed until after entering the study. The participant underwent excision of the lesion and was in full remission 2 years post-excision.</w:t>
      </w:r>
    </w:p>
    <w:p w14:paraId="50B41DAE" w14:textId="77777777" w:rsidR="001162D5" w:rsidRPr="009C106C" w:rsidRDefault="001162D5" w:rsidP="001162D5">
      <w:pPr>
        <w:spacing w:line="240" w:lineRule="auto"/>
      </w:pPr>
      <w:r w:rsidRPr="00006667">
        <w:rPr>
          <w:b/>
          <w:bCs/>
        </w:rPr>
        <w:t>≥Grade 3 hypoglycaemic adverse events</w:t>
      </w:r>
      <w:r w:rsidRPr="00027531">
        <w:t xml:space="preserve"> (severe): There was no obvious increase in the risk of severe hypoglycaemic adverse events:</w:t>
      </w:r>
    </w:p>
    <w:p w14:paraId="28E380FE" w14:textId="77777777" w:rsidR="001162D5" w:rsidRPr="009C106C" w:rsidRDefault="001162D5" w:rsidP="00822708">
      <w:pPr>
        <w:pStyle w:val="ListBullet"/>
      </w:pPr>
      <w:r w:rsidRPr="001B21E2">
        <w:rPr>
          <w:u w:val="single"/>
        </w:rPr>
        <w:t>≥</w:t>
      </w:r>
      <w:r w:rsidRPr="009C106C">
        <w:t>Grade 3 events of hypoglycaemia (AESI category) were reported in 5.3% of participants in the teplizumab group, compared with 6.5% of participants in the control group (study size adjusted risk difference [95% CI: -0.4% [-3.0, 2.2]).</w:t>
      </w:r>
    </w:p>
    <w:p w14:paraId="3AD84F83" w14:textId="77777777" w:rsidR="001162D5" w:rsidRPr="009C106C" w:rsidRDefault="001162D5" w:rsidP="00822708">
      <w:pPr>
        <w:pStyle w:val="ListBullet"/>
      </w:pPr>
      <w:r w:rsidRPr="001B21E2">
        <w:rPr>
          <w:u w:val="single"/>
        </w:rPr>
        <w:t>≥</w:t>
      </w:r>
      <w:r w:rsidRPr="009C106C">
        <w:t xml:space="preserve">Grade 3 </w:t>
      </w:r>
      <w:r>
        <w:t>h</w:t>
      </w:r>
      <w:r w:rsidRPr="009C106C">
        <w:t>ypoglycaemia (PT) were reported in 4.4% (IR of 2.39 per 100 PY) in the teplizumab group compared with 5.9% (IR of 3.53 per 100 PY) in the control group.</w:t>
      </w:r>
    </w:p>
    <w:p w14:paraId="176F3A1F" w14:textId="77777777" w:rsidR="001162D5" w:rsidRDefault="001162D5" w:rsidP="00822708">
      <w:pPr>
        <w:pStyle w:val="ListBullet"/>
      </w:pPr>
      <w:r w:rsidRPr="001B21E2">
        <w:rPr>
          <w:u w:val="single"/>
        </w:rPr>
        <w:t>≥</w:t>
      </w:r>
      <w:r w:rsidRPr="009C106C">
        <w:t xml:space="preserve">Grade 3 or higher events of hypoglycaemia associated with altered mental and/or physical status (PTs of </w:t>
      </w:r>
      <w:r>
        <w:t>h</w:t>
      </w:r>
      <w:r w:rsidRPr="009C106C">
        <w:t xml:space="preserve">ypoglycaemic seizure, </w:t>
      </w:r>
      <w:r>
        <w:t>h</w:t>
      </w:r>
      <w:r w:rsidRPr="009C106C">
        <w:t xml:space="preserve">ypoglycaemic unconsciousness, and </w:t>
      </w:r>
      <w:r>
        <w:t>h</w:t>
      </w:r>
      <w:r w:rsidRPr="009C106C">
        <w:t>ypoglycaemic coma) were reported in 0.9% of participants (IR of 0.48 per 100 PY) in the teplizumab group and 0.6% of participants (IR of 0.33 per 100 PY) in the control group.</w:t>
      </w:r>
    </w:p>
    <w:p w14:paraId="21156F76" w14:textId="77777777" w:rsidR="001162D5" w:rsidRDefault="001162D5" w:rsidP="001162D5">
      <w:pPr>
        <w:widowControl w:val="0"/>
        <w:spacing w:after="200" w:line="240" w:lineRule="auto"/>
      </w:pPr>
      <w:r w:rsidRPr="00006667">
        <w:rPr>
          <w:b/>
          <w:bCs/>
        </w:rPr>
        <w:t>≥Grade 3 liver function abnormalities</w:t>
      </w:r>
      <w:r w:rsidRPr="00C6153B">
        <w:t xml:space="preserve"> </w:t>
      </w:r>
      <w:r>
        <w:t>(</w:t>
      </w:r>
      <w:r w:rsidRPr="00C6153B">
        <w:t>i.e.</w:t>
      </w:r>
      <w:r>
        <w:t xml:space="preserve"> </w:t>
      </w:r>
      <w:r w:rsidRPr="00C6153B">
        <w:t>an AST or ALT value &gt;5.0 x ULN or a bilirubin value &gt;3.0 x ULN</w:t>
      </w:r>
      <w:r>
        <w:t xml:space="preserve">): </w:t>
      </w:r>
      <w:r w:rsidRPr="00C6153B">
        <w:t>≥Grade 3 or higher liver functions abnormalities occurred statistically significantly more often in the teplizumab group than in placebo control (adjusted risk difference [95% CI]: 1.7% [0.3, 3.1]).</w:t>
      </w:r>
      <w:r>
        <w:t xml:space="preserve"> </w:t>
      </w:r>
      <w:r w:rsidRPr="00C6153B">
        <w:t>≥</w:t>
      </w:r>
      <w:r w:rsidRPr="009C106C">
        <w:t>Grade 3 or higher TEAEs of ALT increased and AST increased occurred more frequently in the tepli</w:t>
      </w:r>
      <w:r w:rsidRPr="009C106C">
        <w:softHyphen/>
        <w:t xml:space="preserve">zumab group (2.1% and 1.4%, respectively with IR of 1.14 and 0.75, respectively per 100 PY) than in placebo control (0.3% and 0.3%, with IR of 0.16 per 100 PY for both). </w:t>
      </w:r>
      <w:r>
        <w:t xml:space="preserve"> </w:t>
      </w:r>
      <w:r w:rsidRPr="009C106C">
        <w:t>Two (0.2%) participants (with IR of 0.11 per 100 PY), both in the teplizumab group, had Grade 3 or higher events of blood bilirubin increased.</w:t>
      </w:r>
    </w:p>
    <w:p w14:paraId="4E61BE2F" w14:textId="33B3B633" w:rsidR="001162D5" w:rsidRDefault="001162D5" w:rsidP="001162D5">
      <w:pPr>
        <w:widowControl w:val="0"/>
        <w:spacing w:after="200" w:line="240" w:lineRule="auto"/>
      </w:pPr>
      <w:r w:rsidRPr="00006667">
        <w:rPr>
          <w:b/>
          <w:bCs/>
        </w:rPr>
        <w:t>≥Grade 3 thrombocytopenia</w:t>
      </w:r>
      <w:r w:rsidRPr="00C6153B">
        <w:t xml:space="preserve"> (platelet counts less </w:t>
      </w:r>
      <w:r w:rsidRPr="00857FBA">
        <w:t>than 50,000/</w:t>
      </w:r>
      <w:proofErr w:type="spellStart"/>
      <w:r w:rsidRPr="00857FBA">
        <w:t>μL</w:t>
      </w:r>
      <w:proofErr w:type="spellEnd"/>
      <w:r w:rsidRPr="00857FBA">
        <w:t>): There was no increase in thrombocytopenia. Grade 3 or higher thrombocytopenia occurred in 1 (0.1%) participant (IR of 0.05 per 100 PY) in the teplizumab group and 1 (0.3%) participant (IR of 0.16 per 100 PY) in placebo control (adjusted risk difference [95% CI]: -0.</w:t>
      </w:r>
      <w:r w:rsidRPr="00C6153B">
        <w:t>3% [-1.0, 0.4]).</w:t>
      </w:r>
    </w:p>
    <w:p w14:paraId="16C9F362" w14:textId="499351BE" w:rsidR="001162D5" w:rsidRDefault="001162D5" w:rsidP="001162D5">
      <w:pPr>
        <w:widowControl w:val="0"/>
        <w:spacing w:after="200" w:line="240" w:lineRule="auto"/>
      </w:pPr>
      <w:r w:rsidRPr="00006667">
        <w:rPr>
          <w:b/>
          <w:bCs/>
        </w:rPr>
        <w:t>≥Grade 3 neutropenia</w:t>
      </w:r>
      <w:r w:rsidRPr="00B74AC1">
        <w:t xml:space="preserve"> (&lt;1000 PMN/</w:t>
      </w:r>
      <w:proofErr w:type="spellStart"/>
      <w:r w:rsidRPr="00B74AC1">
        <w:t>μL</w:t>
      </w:r>
      <w:proofErr w:type="spellEnd"/>
      <w:r w:rsidRPr="00B74AC1">
        <w:t xml:space="preserve"> on 2 consecutive evaluations performed on different days)</w:t>
      </w:r>
      <w:r>
        <w:t xml:space="preserve">:  </w:t>
      </w:r>
      <w:r w:rsidRPr="00B74AC1">
        <w:t xml:space="preserve">≥Grade 3 neutropenia occurred in 5.5% participants (IR of 3.06 per 100 PY) in the teplizumab group compared with 2.2% participants (IR of 1.33 per 100 PY) in placebo control </w:t>
      </w:r>
      <w:r w:rsidRPr="00F87B51">
        <w:t>group (adjusted risk difference [95% CI]: 2.0% [-0.2, 4.2]).</w:t>
      </w:r>
    </w:p>
    <w:p w14:paraId="5C8AB610" w14:textId="77777777" w:rsidR="001162D5" w:rsidRDefault="001162D5" w:rsidP="001162D5">
      <w:pPr>
        <w:widowControl w:val="0"/>
        <w:spacing w:after="200" w:line="240" w:lineRule="auto"/>
      </w:pPr>
      <w:r w:rsidRPr="00006667">
        <w:rPr>
          <w:b/>
          <w:bCs/>
        </w:rPr>
        <w:t>≥Grade 4 allergic/hypersensitivity reaction</w:t>
      </w:r>
      <w:r w:rsidRPr="00F87B51">
        <w:t xml:space="preserve"> (through Study Day 365)</w:t>
      </w:r>
      <w:r>
        <w:t xml:space="preserve">: </w:t>
      </w:r>
      <w:r w:rsidRPr="00B74AC1">
        <w:t>No Grade 4 or higher allergic or hypersensitivity reactions occurred.</w:t>
      </w:r>
    </w:p>
    <w:p w14:paraId="50777E3F" w14:textId="77777777" w:rsidR="001162D5" w:rsidRDefault="001162D5" w:rsidP="001162D5">
      <w:pPr>
        <w:widowControl w:val="0"/>
        <w:spacing w:after="200" w:line="240" w:lineRule="auto"/>
      </w:pPr>
      <w:r w:rsidRPr="00006667">
        <w:rPr>
          <w:b/>
          <w:bCs/>
        </w:rPr>
        <w:t>≥Grade 3 rash</w:t>
      </w:r>
      <w:r w:rsidRPr="00B67DBC">
        <w:t>: All events (n=3) of Grade 3 or higher rash occurred in teplizumab-treated participants (0.3%) and included pruritus, dermatitis atopic, and rash papular. The IR for the SOC of skin and subcutaneous tissue disorders including these 3 PTs was 0.32 per 100 PY. The adjusted risk difference [95% CI] for Grade 3 or higher rash was 0.7% [0.1, 1.2].</w:t>
      </w:r>
    </w:p>
    <w:p w14:paraId="13330916" w14:textId="77777777" w:rsidR="001162D5" w:rsidRDefault="001162D5" w:rsidP="001162D5">
      <w:pPr>
        <w:widowControl w:val="0"/>
        <w:spacing w:after="200" w:line="240" w:lineRule="auto"/>
      </w:pPr>
      <w:r w:rsidRPr="00EA490F">
        <w:rPr>
          <w:b/>
          <w:bCs/>
        </w:rPr>
        <w:t>≥Grade 4 cytokine-release syndrome</w:t>
      </w:r>
      <w:r w:rsidRPr="00B67DBC">
        <w:t xml:space="preserve"> (through Study Day 365) (i.e. life-threatening; pressor or ventilatory support indicated</w:t>
      </w:r>
      <w:r>
        <w:t xml:space="preserve">): </w:t>
      </w:r>
      <w:r w:rsidRPr="00B74AC1">
        <w:t>No Grade 4 or higher CRS occurred in any participant.</w:t>
      </w:r>
    </w:p>
    <w:p w14:paraId="27F04E6F" w14:textId="77777777" w:rsidR="001162D5" w:rsidRDefault="001162D5" w:rsidP="001162D5">
      <w:pPr>
        <w:widowControl w:val="0"/>
        <w:spacing w:after="200" w:line="240" w:lineRule="auto"/>
      </w:pPr>
      <w:r w:rsidRPr="00EA490F">
        <w:rPr>
          <w:b/>
          <w:bCs/>
        </w:rPr>
        <w:t>Lymphocyte count &lt;500 mm</w:t>
      </w:r>
      <w:r w:rsidRPr="00EA490F">
        <w:rPr>
          <w:b/>
          <w:bCs/>
          <w:vertAlign w:val="superscript"/>
        </w:rPr>
        <w:t>3</w:t>
      </w:r>
      <w:r w:rsidRPr="00EA490F">
        <w:rPr>
          <w:b/>
          <w:bCs/>
        </w:rPr>
        <w:t xml:space="preserve"> for 7 days or longer</w:t>
      </w:r>
      <w:r w:rsidRPr="00B67DBC">
        <w:t>:  Grade 3 or higher lymphopenia for 7 days or longer occurred in 1.9% participants (IR of 1.03 per 100 PY) in the teplizumab group versus none in placebo control (adjusted risk difference [95% CI]: 2.0% [1.1, 2.9]).</w:t>
      </w:r>
    </w:p>
    <w:p w14:paraId="48FDD011" w14:textId="77777777" w:rsidR="001162D5" w:rsidRPr="009C106C" w:rsidRDefault="001162D5" w:rsidP="001162D5">
      <w:pPr>
        <w:pStyle w:val="Heading6"/>
        <w:spacing w:line="240" w:lineRule="auto"/>
      </w:pPr>
      <w:r w:rsidRPr="009C106C">
        <w:lastRenderedPageBreak/>
        <w:t>Post-market experience</w:t>
      </w:r>
    </w:p>
    <w:p w14:paraId="4C23EA8D" w14:textId="77777777" w:rsidR="001162D5" w:rsidRDefault="001162D5" w:rsidP="001162D5">
      <w:pPr>
        <w:spacing w:after="40" w:line="240" w:lineRule="auto"/>
      </w:pPr>
      <w:r w:rsidRPr="009C106C">
        <w:t xml:space="preserve">Based on sales </w:t>
      </w:r>
      <w:r>
        <w:t>data</w:t>
      </w:r>
      <w:r w:rsidRPr="009C106C">
        <w:t xml:space="preserve"> (weighted average of 17 vials = 1 patients, </w:t>
      </w:r>
      <w:proofErr w:type="gramStart"/>
      <w:r w:rsidRPr="009C106C">
        <w:t>assuming that</w:t>
      </w:r>
      <w:proofErr w:type="gramEnd"/>
      <w:r w:rsidRPr="009C106C">
        <w:t xml:space="preserve"> ~25% of adult patients with BSA greater than 1.94 m</w:t>
      </w:r>
      <w:r w:rsidRPr="009C106C">
        <w:rPr>
          <w:vertAlign w:val="superscript"/>
        </w:rPr>
        <w:t>2</w:t>
      </w:r>
      <w:r w:rsidRPr="009C106C">
        <w:t xml:space="preserve"> required the use of 24 vials), a total of </w:t>
      </w:r>
      <w:r w:rsidRPr="00BD0C04">
        <w:rPr>
          <w:bCs/>
        </w:rPr>
        <w:t>~347 patients were estimated to have been exposed to teplizumab following the initial approval of teplizumab in the US up to 31</w:t>
      </w:r>
      <w:r>
        <w:rPr>
          <w:bCs/>
        </w:rPr>
        <w:t xml:space="preserve"> </w:t>
      </w:r>
      <w:r w:rsidRPr="00BD0C04">
        <w:rPr>
          <w:bCs/>
        </w:rPr>
        <w:t>August</w:t>
      </w:r>
      <w:r>
        <w:rPr>
          <w:bCs/>
        </w:rPr>
        <w:t xml:space="preserve"> </w:t>
      </w:r>
      <w:r w:rsidRPr="00BD0C04">
        <w:rPr>
          <w:bCs/>
        </w:rPr>
        <w:t xml:space="preserve">2024. </w:t>
      </w:r>
      <w:r w:rsidRPr="009C106C">
        <w:t xml:space="preserve">Based on this, the </w:t>
      </w:r>
      <w:r>
        <w:t>a</w:t>
      </w:r>
      <w:r w:rsidRPr="009C106C">
        <w:t>pplicant claims that post-marketing safety data are consistent with those observed in clinical trials studying teplizumab. Evaluation of the cumulative safety data during routine safety surveillance has not identified any new safety concerns</w:t>
      </w:r>
      <w:r>
        <w:t>.</w:t>
      </w:r>
    </w:p>
    <w:p w14:paraId="72FCB059" w14:textId="77777777" w:rsidR="00CA4DFB" w:rsidRPr="00CA4DFB" w:rsidRDefault="00CA4DFB" w:rsidP="00CA4DFB">
      <w:pPr>
        <w:pStyle w:val="Heading6"/>
      </w:pPr>
      <w:r w:rsidRPr="00CA4DFB">
        <w:t>Ongoing studies</w:t>
      </w:r>
    </w:p>
    <w:p w14:paraId="63063719" w14:textId="77777777" w:rsidR="00CA4DFB" w:rsidRPr="00CA4DFB" w:rsidRDefault="00CA4DFB" w:rsidP="00CA4DFB">
      <w:r w:rsidRPr="00CA4DFB">
        <w:t>It is noted that the applicant is additional studies are ongoing and can provide further safety data. However, no CSRs are currently available, and their submission may be required as a condition of registration (some are already included in the RMP). The studies include:</w:t>
      </w:r>
    </w:p>
    <w:p w14:paraId="007CA229" w14:textId="77777777" w:rsidR="00CA4DFB" w:rsidRPr="00CA4DFB" w:rsidRDefault="00CA4DFB" w:rsidP="00CA4DFB">
      <w:pPr>
        <w:pStyle w:val="ListBullet"/>
      </w:pPr>
      <w:r w:rsidRPr="00CA4DFB">
        <w:t>TN-10 Extension study</w:t>
      </w:r>
    </w:p>
    <w:p w14:paraId="4865BDD6" w14:textId="77777777" w:rsidR="00CA4DFB" w:rsidRPr="00CA4DFB" w:rsidRDefault="00CA4DFB" w:rsidP="00CA4DFB">
      <w:pPr>
        <w:pStyle w:val="ListBullet"/>
      </w:pPr>
      <w:r w:rsidRPr="00CA4DFB">
        <w:t>Phase 4 study PETITE-T1D</w:t>
      </w:r>
    </w:p>
    <w:p w14:paraId="02308467" w14:textId="77777777" w:rsidR="00CA4DFB" w:rsidRPr="00CA4DFB" w:rsidRDefault="00CA4DFB" w:rsidP="00CA4DFB">
      <w:pPr>
        <w:pStyle w:val="ListBullet"/>
      </w:pPr>
      <w:r w:rsidRPr="00CA4DFB">
        <w:t>US Registry Study (OBS18177)</w:t>
      </w:r>
    </w:p>
    <w:p w14:paraId="1A541134" w14:textId="77777777" w:rsidR="00CA4DFB" w:rsidRPr="00CA4DFB" w:rsidRDefault="00CA4DFB" w:rsidP="00CA4DFB">
      <w:pPr>
        <w:pStyle w:val="ListBullet"/>
      </w:pPr>
      <w:r w:rsidRPr="00CA4DFB">
        <w:t>Global Registry Study (OBS18565)</w:t>
      </w:r>
    </w:p>
    <w:p w14:paraId="2858B006" w14:textId="77777777" w:rsidR="00C22214" w:rsidRDefault="00C22214" w:rsidP="00C22214">
      <w:pPr>
        <w:pStyle w:val="Heading3"/>
        <w:rPr>
          <w:lang w:eastAsia="en-AU"/>
        </w:rPr>
      </w:pPr>
      <w:bookmarkStart w:id="68" w:name="_Toc103679298"/>
      <w:bookmarkStart w:id="69" w:name="_Toc235627218"/>
      <w:r>
        <w:rPr>
          <w:lang w:eastAsia="en-AU"/>
        </w:rPr>
        <w:t>Risk management plan</w:t>
      </w:r>
      <w:bookmarkEnd w:id="51"/>
      <w:bookmarkEnd w:id="68"/>
      <w:bookmarkEnd w:id="69"/>
    </w:p>
    <w:p w14:paraId="3C39B21A" w14:textId="5CAA85B4" w:rsidR="00826D66" w:rsidRPr="009C106C" w:rsidRDefault="00826D66" w:rsidP="00826D66">
      <w:pPr>
        <w:spacing w:line="240" w:lineRule="auto"/>
        <w:rPr>
          <w:lang w:eastAsia="ja-JP"/>
        </w:rPr>
      </w:pPr>
      <w:bookmarkStart w:id="70" w:name="_Toc247691531"/>
      <w:bookmarkStart w:id="71" w:name="_Toc314842515"/>
      <w:r w:rsidRPr="00DA1699">
        <w:rPr>
          <w:lang w:eastAsia="ja-JP"/>
        </w:rPr>
        <w:t xml:space="preserve">Sanofi-Aventis Australia Pty Ltd has submitted EU-RMP version 0.1 (date 3 December 2024; DLP 31 August 2024) and ASA version 1.0 (date January 2025) in support of this application. At </w:t>
      </w:r>
      <w:r>
        <w:rPr>
          <w:lang w:eastAsia="ja-JP"/>
        </w:rPr>
        <w:t>R</w:t>
      </w:r>
      <w:r w:rsidRPr="00DA1699">
        <w:rPr>
          <w:lang w:eastAsia="ja-JP"/>
        </w:rPr>
        <w:t>ound 2 the sponsor provided EU-RMP version 0.2 (date 8 July 2025; DLP 31 August 2024) and ASA version 1.1 (date September 2025).</w:t>
      </w:r>
      <w:r w:rsidR="00224F70" w:rsidRPr="00224F70">
        <w:rPr>
          <w:szCs w:val="22"/>
        </w:rPr>
        <w:t xml:space="preserve"> </w:t>
      </w:r>
    </w:p>
    <w:p w14:paraId="1DF2D389" w14:textId="6D6E6A59" w:rsidR="00826D66" w:rsidRPr="009C106C" w:rsidRDefault="00826D66" w:rsidP="00826D66">
      <w:pPr>
        <w:spacing w:line="240" w:lineRule="auto"/>
      </w:pPr>
      <w:r w:rsidRPr="009C106C">
        <w:t xml:space="preserve">The proposed summary of safety concerns and their associated risk monitoring and mitigation strategies documented in the EU-RMP are summarised </w:t>
      </w:r>
      <w:r w:rsidR="00224F70">
        <w:t>in Table 2</w:t>
      </w:r>
      <w:r w:rsidR="00B772A9">
        <w:t>4</w:t>
      </w:r>
      <w:r w:rsidR="00224F70">
        <w:t>.</w:t>
      </w:r>
    </w:p>
    <w:p w14:paraId="56B51A93" w14:textId="6FD9B00A" w:rsidR="006A277A" w:rsidRDefault="00C22214" w:rsidP="00C22214">
      <w:pPr>
        <w:pStyle w:val="TableTitle"/>
      </w:pPr>
      <w:bookmarkStart w:id="72" w:name="_Ref97629131"/>
      <w:r>
        <w:t>Table</w:t>
      </w:r>
      <w:r w:rsidR="00224F70">
        <w:t xml:space="preserve"> </w:t>
      </w:r>
      <w:r w:rsidR="00826D66">
        <w:t>2</w:t>
      </w:r>
      <w:bookmarkEnd w:id="72"/>
      <w:r w:rsidR="00B772A9">
        <w:t>4</w:t>
      </w:r>
      <w:r w:rsidR="00395FFA">
        <w:t>.</w:t>
      </w:r>
      <w:r>
        <w:t xml:space="preserve"> Summary of safety concerns</w:t>
      </w:r>
    </w:p>
    <w:tbl>
      <w:tblPr>
        <w:tblStyle w:val="TableTGAblue2023"/>
        <w:tblW w:w="9209" w:type="dxa"/>
        <w:tblLayout w:type="fixed"/>
        <w:tblLook w:val="04A0" w:firstRow="1" w:lastRow="0" w:firstColumn="1" w:lastColumn="0" w:noHBand="0" w:noVBand="1"/>
      </w:tblPr>
      <w:tblGrid>
        <w:gridCol w:w="2117"/>
        <w:gridCol w:w="1989"/>
        <w:gridCol w:w="1134"/>
        <w:gridCol w:w="1418"/>
        <w:gridCol w:w="1275"/>
        <w:gridCol w:w="1276"/>
      </w:tblGrid>
      <w:tr w:rsidR="002F5E08" w:rsidRPr="00444749" w14:paraId="6D231AE0" w14:textId="77777777" w:rsidTr="006C79C0">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4106" w:type="dxa"/>
            <w:gridSpan w:val="2"/>
            <w:vMerge w:val="restart"/>
          </w:tcPr>
          <w:p w14:paraId="04124B3C" w14:textId="77777777" w:rsidR="002F5E08" w:rsidRPr="00444749" w:rsidRDefault="002F5E08" w:rsidP="00333C81">
            <w:pPr>
              <w:pStyle w:val="Tabletext0"/>
              <w:spacing w:before="60" w:after="60" w:line="240" w:lineRule="auto"/>
              <w:rPr>
                <w:rFonts w:ascii="Arial Narrow" w:hAnsi="Arial Narrow"/>
                <w:b w:val="0"/>
                <w:kern w:val="0"/>
                <w:sz w:val="20"/>
                <w:szCs w:val="20"/>
              </w:rPr>
            </w:pPr>
            <w:r w:rsidRPr="00444749">
              <w:rPr>
                <w:rFonts w:ascii="Arial Narrow" w:hAnsi="Arial Narrow"/>
                <w:kern w:val="0"/>
                <w:sz w:val="20"/>
                <w:szCs w:val="20"/>
              </w:rPr>
              <w:t>Summary of safety concerns</w:t>
            </w:r>
            <w:r>
              <w:rPr>
                <w:rFonts w:ascii="Arial Narrow" w:hAnsi="Arial Narrow"/>
                <w:kern w:val="0"/>
                <w:sz w:val="20"/>
                <w:szCs w:val="20"/>
              </w:rPr>
              <w:t xml:space="preserve"> and missing information</w:t>
            </w:r>
          </w:p>
        </w:tc>
        <w:tc>
          <w:tcPr>
            <w:tcW w:w="2552" w:type="dxa"/>
            <w:gridSpan w:val="2"/>
          </w:tcPr>
          <w:p w14:paraId="4CDCE8B4" w14:textId="77777777" w:rsidR="002F5E08" w:rsidRPr="00444749" w:rsidRDefault="002F5E08" w:rsidP="00333C81">
            <w:pPr>
              <w:pStyle w:val="Tabletext0"/>
              <w:spacing w:before="60" w:after="6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val="0"/>
                <w:kern w:val="0"/>
                <w:sz w:val="20"/>
                <w:szCs w:val="20"/>
              </w:rPr>
            </w:pPr>
            <w:r w:rsidRPr="00444749">
              <w:rPr>
                <w:rFonts w:ascii="Arial Narrow" w:hAnsi="Arial Narrow"/>
                <w:kern w:val="0"/>
                <w:sz w:val="20"/>
                <w:szCs w:val="20"/>
              </w:rPr>
              <w:t>Pharmacovigilance</w:t>
            </w:r>
          </w:p>
        </w:tc>
        <w:tc>
          <w:tcPr>
            <w:tcW w:w="2551" w:type="dxa"/>
            <w:gridSpan w:val="2"/>
          </w:tcPr>
          <w:p w14:paraId="51D82C2A" w14:textId="77777777" w:rsidR="002F5E08" w:rsidRPr="00444749" w:rsidRDefault="002F5E08" w:rsidP="00333C81">
            <w:pPr>
              <w:pStyle w:val="Tabletext0"/>
              <w:spacing w:before="60" w:after="60" w:line="240" w:lineRule="auto"/>
              <w:cnfStyle w:val="100000000000" w:firstRow="1" w:lastRow="0" w:firstColumn="0" w:lastColumn="0" w:oddVBand="0" w:evenVBand="0" w:oddHBand="0" w:evenHBand="0" w:firstRowFirstColumn="0" w:firstRowLastColumn="0" w:lastRowFirstColumn="0" w:lastRowLastColumn="0"/>
              <w:rPr>
                <w:rFonts w:ascii="Arial Narrow" w:hAnsi="Arial Narrow"/>
                <w:b w:val="0"/>
                <w:kern w:val="0"/>
                <w:sz w:val="20"/>
                <w:szCs w:val="20"/>
              </w:rPr>
            </w:pPr>
            <w:r w:rsidRPr="00444749">
              <w:rPr>
                <w:rFonts w:ascii="Arial Narrow" w:hAnsi="Arial Narrow"/>
                <w:kern w:val="0"/>
                <w:sz w:val="20"/>
                <w:szCs w:val="20"/>
              </w:rPr>
              <w:t>Risk Minimisation</w:t>
            </w:r>
          </w:p>
        </w:tc>
      </w:tr>
      <w:tr w:rsidR="002F5E08" w:rsidRPr="00444749" w14:paraId="1F556E71" w14:textId="77777777" w:rsidTr="006C79C0">
        <w:trPr>
          <w:trHeight w:val="150"/>
        </w:trPr>
        <w:tc>
          <w:tcPr>
            <w:cnfStyle w:val="001000000000" w:firstRow="0" w:lastRow="0" w:firstColumn="1" w:lastColumn="0" w:oddVBand="0" w:evenVBand="0" w:oddHBand="0" w:evenHBand="0" w:firstRowFirstColumn="0" w:firstRowLastColumn="0" w:lastRowFirstColumn="0" w:lastRowLastColumn="0"/>
            <w:tcW w:w="4106" w:type="dxa"/>
            <w:gridSpan w:val="2"/>
            <w:vMerge/>
          </w:tcPr>
          <w:p w14:paraId="76CAF87C" w14:textId="77777777" w:rsidR="002F5E08" w:rsidRPr="00444749" w:rsidRDefault="002F5E08" w:rsidP="00333C81">
            <w:pPr>
              <w:pStyle w:val="Tabletext0"/>
              <w:spacing w:before="60" w:after="60" w:line="240" w:lineRule="auto"/>
              <w:rPr>
                <w:rFonts w:ascii="Arial Narrow" w:hAnsi="Arial Narrow"/>
                <w:b/>
                <w:kern w:val="0"/>
                <w:sz w:val="20"/>
                <w:szCs w:val="20"/>
              </w:rPr>
            </w:pPr>
          </w:p>
        </w:tc>
        <w:tc>
          <w:tcPr>
            <w:tcW w:w="1134" w:type="dxa"/>
          </w:tcPr>
          <w:p w14:paraId="63ABA9A7"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Routine</w:t>
            </w:r>
          </w:p>
        </w:tc>
        <w:tc>
          <w:tcPr>
            <w:tcW w:w="1418" w:type="dxa"/>
          </w:tcPr>
          <w:p w14:paraId="4B984834"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Additional</w:t>
            </w:r>
          </w:p>
        </w:tc>
        <w:tc>
          <w:tcPr>
            <w:tcW w:w="1275" w:type="dxa"/>
          </w:tcPr>
          <w:p w14:paraId="2C16D93F"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Routine</w:t>
            </w:r>
          </w:p>
        </w:tc>
        <w:tc>
          <w:tcPr>
            <w:tcW w:w="1276" w:type="dxa"/>
          </w:tcPr>
          <w:p w14:paraId="0398FE03"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Additional</w:t>
            </w:r>
          </w:p>
        </w:tc>
      </w:tr>
      <w:tr w:rsidR="002F5E08" w:rsidRPr="00444749" w14:paraId="1E7AB761" w14:textId="77777777" w:rsidTr="006C79C0">
        <w:trPr>
          <w:trHeight w:val="137"/>
        </w:trPr>
        <w:tc>
          <w:tcPr>
            <w:cnfStyle w:val="001000000000" w:firstRow="0" w:lastRow="0" w:firstColumn="1" w:lastColumn="0" w:oddVBand="0" w:evenVBand="0" w:oddHBand="0" w:evenHBand="0" w:firstRowFirstColumn="0" w:firstRowLastColumn="0" w:lastRowFirstColumn="0" w:lastRowLastColumn="0"/>
            <w:tcW w:w="2117" w:type="dxa"/>
            <w:vMerge w:val="restart"/>
          </w:tcPr>
          <w:p w14:paraId="2B7AA51E" w14:textId="77777777" w:rsidR="002F5E08" w:rsidRPr="00444749" w:rsidRDefault="002F5E08" w:rsidP="00333C81">
            <w:pPr>
              <w:pStyle w:val="Tabletext0"/>
              <w:spacing w:before="60" w:after="60" w:line="240" w:lineRule="auto"/>
              <w:rPr>
                <w:rFonts w:ascii="Arial Narrow" w:hAnsi="Arial Narrow"/>
                <w:b/>
                <w:kern w:val="0"/>
                <w:sz w:val="20"/>
                <w:szCs w:val="20"/>
              </w:rPr>
            </w:pPr>
            <w:r w:rsidRPr="00444749">
              <w:rPr>
                <w:rFonts w:ascii="Arial Narrow" w:hAnsi="Arial Narrow"/>
                <w:b/>
                <w:kern w:val="0"/>
                <w:sz w:val="20"/>
                <w:szCs w:val="20"/>
              </w:rPr>
              <w:t>Important identified risks</w:t>
            </w:r>
          </w:p>
        </w:tc>
        <w:tc>
          <w:tcPr>
            <w:tcW w:w="1989" w:type="dxa"/>
          </w:tcPr>
          <w:p w14:paraId="1B1D2EFE"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sz w:val="20"/>
                <w:szCs w:val="20"/>
              </w:rPr>
              <w:t>Cytokine release syndrome</w:t>
            </w:r>
          </w:p>
        </w:tc>
        <w:tc>
          <w:tcPr>
            <w:tcW w:w="1134" w:type="dxa"/>
          </w:tcPr>
          <w:p w14:paraId="49A07780"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2C15504E"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48B67BE7"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276" w:type="dxa"/>
          </w:tcPr>
          <w:p w14:paraId="1BBC3645"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r>
      <w:tr w:rsidR="002F5E08" w:rsidRPr="00444749" w14:paraId="4AA2A495" w14:textId="77777777" w:rsidTr="006C79C0">
        <w:trPr>
          <w:trHeight w:val="94"/>
        </w:trPr>
        <w:tc>
          <w:tcPr>
            <w:cnfStyle w:val="001000000000" w:firstRow="0" w:lastRow="0" w:firstColumn="1" w:lastColumn="0" w:oddVBand="0" w:evenVBand="0" w:oddHBand="0" w:evenHBand="0" w:firstRowFirstColumn="0" w:firstRowLastColumn="0" w:lastRowFirstColumn="0" w:lastRowLastColumn="0"/>
            <w:tcW w:w="2117" w:type="dxa"/>
            <w:vMerge/>
          </w:tcPr>
          <w:p w14:paraId="64D9D48F" w14:textId="77777777" w:rsidR="002F5E08" w:rsidRPr="00444749" w:rsidRDefault="002F5E08" w:rsidP="00333C81">
            <w:pPr>
              <w:pStyle w:val="Tabletext0"/>
              <w:spacing w:before="60" w:after="60" w:line="240" w:lineRule="auto"/>
              <w:rPr>
                <w:rFonts w:ascii="Arial Narrow" w:hAnsi="Arial Narrow"/>
                <w:b/>
                <w:kern w:val="0"/>
                <w:sz w:val="20"/>
                <w:szCs w:val="20"/>
              </w:rPr>
            </w:pPr>
          </w:p>
        </w:tc>
        <w:tc>
          <w:tcPr>
            <w:tcW w:w="1989" w:type="dxa"/>
          </w:tcPr>
          <w:p w14:paraId="13BC675D"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sz w:val="20"/>
                <w:szCs w:val="20"/>
              </w:rPr>
              <w:t>Lymphopenia</w:t>
            </w:r>
          </w:p>
        </w:tc>
        <w:tc>
          <w:tcPr>
            <w:tcW w:w="1134" w:type="dxa"/>
          </w:tcPr>
          <w:p w14:paraId="3DD62677"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5B8E683D"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0141D12B"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276" w:type="dxa"/>
          </w:tcPr>
          <w:p w14:paraId="55020C67"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r>
      <w:tr w:rsidR="002F5E08" w:rsidRPr="00444749" w14:paraId="37674709" w14:textId="77777777" w:rsidTr="006C79C0">
        <w:trPr>
          <w:trHeight w:val="94"/>
        </w:trPr>
        <w:tc>
          <w:tcPr>
            <w:cnfStyle w:val="001000000000" w:firstRow="0" w:lastRow="0" w:firstColumn="1" w:lastColumn="0" w:oddVBand="0" w:evenVBand="0" w:oddHBand="0" w:evenHBand="0" w:firstRowFirstColumn="0" w:firstRowLastColumn="0" w:lastRowFirstColumn="0" w:lastRowLastColumn="0"/>
            <w:tcW w:w="2117" w:type="dxa"/>
            <w:vMerge/>
          </w:tcPr>
          <w:p w14:paraId="5C90D346" w14:textId="77777777" w:rsidR="002F5E08" w:rsidRPr="00444749" w:rsidRDefault="002F5E08" w:rsidP="00333C81">
            <w:pPr>
              <w:pStyle w:val="Tabletext0"/>
              <w:spacing w:before="60" w:after="60" w:line="240" w:lineRule="auto"/>
              <w:rPr>
                <w:rFonts w:ascii="Arial Narrow" w:hAnsi="Arial Narrow"/>
                <w:b/>
                <w:kern w:val="0"/>
                <w:sz w:val="20"/>
                <w:szCs w:val="20"/>
              </w:rPr>
            </w:pPr>
          </w:p>
        </w:tc>
        <w:tc>
          <w:tcPr>
            <w:tcW w:w="1989" w:type="dxa"/>
          </w:tcPr>
          <w:p w14:paraId="3B061AE4"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sz w:val="20"/>
                <w:szCs w:val="20"/>
              </w:rPr>
              <w:t>Serious Infections</w:t>
            </w:r>
          </w:p>
        </w:tc>
        <w:tc>
          <w:tcPr>
            <w:tcW w:w="1134" w:type="dxa"/>
          </w:tcPr>
          <w:p w14:paraId="74427D55"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35CF2449"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66AFC87A"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276" w:type="dxa"/>
          </w:tcPr>
          <w:p w14:paraId="00AAE6DC"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r>
      <w:tr w:rsidR="002F5E08" w:rsidRPr="00444749" w14:paraId="6D1ED56A" w14:textId="77777777" w:rsidTr="006C79C0">
        <w:trPr>
          <w:trHeight w:val="187"/>
        </w:trPr>
        <w:tc>
          <w:tcPr>
            <w:cnfStyle w:val="001000000000" w:firstRow="0" w:lastRow="0" w:firstColumn="1" w:lastColumn="0" w:oddVBand="0" w:evenVBand="0" w:oddHBand="0" w:evenHBand="0" w:firstRowFirstColumn="0" w:firstRowLastColumn="0" w:lastRowFirstColumn="0" w:lastRowLastColumn="0"/>
            <w:tcW w:w="2117" w:type="dxa"/>
            <w:vMerge/>
          </w:tcPr>
          <w:p w14:paraId="101CF832" w14:textId="77777777" w:rsidR="002F5E08" w:rsidRPr="00444749" w:rsidRDefault="002F5E08" w:rsidP="00333C81">
            <w:pPr>
              <w:pStyle w:val="Tabletext0"/>
              <w:spacing w:before="60" w:after="60" w:line="240" w:lineRule="auto"/>
              <w:rPr>
                <w:rFonts w:ascii="Arial Narrow" w:hAnsi="Arial Narrow"/>
                <w:b/>
                <w:kern w:val="0"/>
                <w:sz w:val="20"/>
                <w:szCs w:val="20"/>
              </w:rPr>
            </w:pPr>
          </w:p>
        </w:tc>
        <w:tc>
          <w:tcPr>
            <w:tcW w:w="1989" w:type="dxa"/>
          </w:tcPr>
          <w:p w14:paraId="426A3F86"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sz w:val="20"/>
                <w:szCs w:val="20"/>
              </w:rPr>
              <w:t>Hypersensitivity reactions</w:t>
            </w:r>
          </w:p>
        </w:tc>
        <w:tc>
          <w:tcPr>
            <w:tcW w:w="1134" w:type="dxa"/>
          </w:tcPr>
          <w:p w14:paraId="0113DBB7"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71E09B66"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50B6806E"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276" w:type="dxa"/>
          </w:tcPr>
          <w:p w14:paraId="0469E264"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r>
      <w:tr w:rsidR="002F5E08" w:rsidRPr="00444749" w14:paraId="6F5BEF5F" w14:textId="77777777" w:rsidTr="006C79C0">
        <w:trPr>
          <w:trHeight w:val="266"/>
        </w:trPr>
        <w:tc>
          <w:tcPr>
            <w:cnfStyle w:val="001000000000" w:firstRow="0" w:lastRow="0" w:firstColumn="1" w:lastColumn="0" w:oddVBand="0" w:evenVBand="0" w:oddHBand="0" w:evenHBand="0" w:firstRowFirstColumn="0" w:firstRowLastColumn="0" w:lastRowFirstColumn="0" w:lastRowLastColumn="0"/>
            <w:tcW w:w="2117" w:type="dxa"/>
          </w:tcPr>
          <w:p w14:paraId="52EE4176" w14:textId="77777777" w:rsidR="002F5E08" w:rsidRPr="00444749" w:rsidRDefault="002F5E08" w:rsidP="00333C81">
            <w:pPr>
              <w:pStyle w:val="Tabletext0"/>
              <w:spacing w:before="60" w:after="60" w:line="240" w:lineRule="auto"/>
              <w:rPr>
                <w:rFonts w:ascii="Arial Narrow" w:hAnsi="Arial Narrow"/>
                <w:b/>
                <w:kern w:val="0"/>
                <w:sz w:val="20"/>
                <w:szCs w:val="20"/>
              </w:rPr>
            </w:pPr>
            <w:r w:rsidRPr="00444749">
              <w:rPr>
                <w:rFonts w:ascii="Arial Narrow" w:hAnsi="Arial Narrow"/>
                <w:b/>
                <w:kern w:val="0"/>
                <w:sz w:val="20"/>
                <w:szCs w:val="20"/>
              </w:rPr>
              <w:t>Important potential risks</w:t>
            </w:r>
          </w:p>
        </w:tc>
        <w:tc>
          <w:tcPr>
            <w:tcW w:w="1989" w:type="dxa"/>
          </w:tcPr>
          <w:p w14:paraId="195232BF"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Malignancies</w:t>
            </w:r>
          </w:p>
        </w:tc>
        <w:tc>
          <w:tcPr>
            <w:tcW w:w="1134" w:type="dxa"/>
          </w:tcPr>
          <w:p w14:paraId="01718BED"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7C11C1F6"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504AE36B"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w:t>
            </w:r>
          </w:p>
        </w:tc>
        <w:tc>
          <w:tcPr>
            <w:tcW w:w="1276" w:type="dxa"/>
          </w:tcPr>
          <w:p w14:paraId="64035836"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w:t>
            </w:r>
          </w:p>
        </w:tc>
      </w:tr>
      <w:tr w:rsidR="002F5E08" w:rsidRPr="00444749" w14:paraId="43420ED6" w14:textId="77777777" w:rsidTr="006C79C0">
        <w:trPr>
          <w:trHeight w:val="178"/>
        </w:trPr>
        <w:tc>
          <w:tcPr>
            <w:cnfStyle w:val="001000000000" w:firstRow="0" w:lastRow="0" w:firstColumn="1" w:lastColumn="0" w:oddVBand="0" w:evenVBand="0" w:oddHBand="0" w:evenHBand="0" w:firstRowFirstColumn="0" w:firstRowLastColumn="0" w:lastRowFirstColumn="0" w:lastRowLastColumn="0"/>
            <w:tcW w:w="2117" w:type="dxa"/>
            <w:vMerge w:val="restart"/>
          </w:tcPr>
          <w:p w14:paraId="34FB14F6" w14:textId="77777777" w:rsidR="002F5E08" w:rsidRPr="00444749" w:rsidRDefault="002F5E08" w:rsidP="00333C81">
            <w:pPr>
              <w:pStyle w:val="Tabletext0"/>
              <w:spacing w:before="60" w:after="60" w:line="240" w:lineRule="auto"/>
              <w:rPr>
                <w:rFonts w:ascii="Arial Narrow" w:hAnsi="Arial Narrow"/>
                <w:b/>
                <w:kern w:val="0"/>
                <w:sz w:val="20"/>
                <w:szCs w:val="20"/>
              </w:rPr>
            </w:pPr>
            <w:r w:rsidRPr="00444749">
              <w:rPr>
                <w:rFonts w:ascii="Arial Narrow" w:hAnsi="Arial Narrow"/>
                <w:b/>
                <w:kern w:val="0"/>
                <w:sz w:val="20"/>
                <w:szCs w:val="20"/>
              </w:rPr>
              <w:t>Missing information</w:t>
            </w:r>
          </w:p>
        </w:tc>
        <w:tc>
          <w:tcPr>
            <w:tcW w:w="1989" w:type="dxa"/>
          </w:tcPr>
          <w:p w14:paraId="1F5FE82D"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sz w:val="20"/>
                <w:szCs w:val="20"/>
              </w:rPr>
              <w:t>Long-term safety in patients aged 8 to &lt;18 years</w:t>
            </w:r>
          </w:p>
        </w:tc>
        <w:tc>
          <w:tcPr>
            <w:tcW w:w="1134" w:type="dxa"/>
          </w:tcPr>
          <w:p w14:paraId="3D5AD2C6"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6054DA42"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3245F822"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276" w:type="dxa"/>
          </w:tcPr>
          <w:p w14:paraId="414D083E"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w:t>
            </w:r>
          </w:p>
        </w:tc>
      </w:tr>
      <w:tr w:rsidR="002F5E08" w:rsidRPr="00444749" w14:paraId="00B12EA7" w14:textId="77777777" w:rsidTr="006C79C0">
        <w:trPr>
          <w:trHeight w:val="103"/>
        </w:trPr>
        <w:tc>
          <w:tcPr>
            <w:cnfStyle w:val="001000000000" w:firstRow="0" w:lastRow="0" w:firstColumn="1" w:lastColumn="0" w:oddVBand="0" w:evenVBand="0" w:oddHBand="0" w:evenHBand="0" w:firstRowFirstColumn="0" w:firstRowLastColumn="0" w:lastRowFirstColumn="0" w:lastRowLastColumn="0"/>
            <w:tcW w:w="2117" w:type="dxa"/>
            <w:vMerge/>
          </w:tcPr>
          <w:p w14:paraId="583FF930" w14:textId="77777777" w:rsidR="002F5E08" w:rsidRPr="00444749" w:rsidRDefault="002F5E08" w:rsidP="00333C81">
            <w:pPr>
              <w:pStyle w:val="Tabletext0"/>
              <w:spacing w:before="60" w:after="60" w:line="240" w:lineRule="auto"/>
              <w:rPr>
                <w:rFonts w:ascii="Arial Narrow" w:hAnsi="Arial Narrow"/>
                <w:kern w:val="0"/>
                <w:sz w:val="20"/>
                <w:szCs w:val="20"/>
              </w:rPr>
            </w:pPr>
          </w:p>
        </w:tc>
        <w:tc>
          <w:tcPr>
            <w:tcW w:w="1989" w:type="dxa"/>
          </w:tcPr>
          <w:p w14:paraId="29479149"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sz w:val="20"/>
                <w:szCs w:val="20"/>
              </w:rPr>
              <w:t>Use during pregnancy</w:t>
            </w:r>
          </w:p>
        </w:tc>
        <w:tc>
          <w:tcPr>
            <w:tcW w:w="1134" w:type="dxa"/>
          </w:tcPr>
          <w:p w14:paraId="399D781C"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691594CC"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7BFA5303"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276" w:type="dxa"/>
          </w:tcPr>
          <w:p w14:paraId="4D4F926D"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w:t>
            </w:r>
          </w:p>
        </w:tc>
      </w:tr>
      <w:tr w:rsidR="002F5E08" w:rsidRPr="00444749" w14:paraId="402D29B5" w14:textId="77777777" w:rsidTr="006C79C0">
        <w:trPr>
          <w:trHeight w:val="140"/>
        </w:trPr>
        <w:tc>
          <w:tcPr>
            <w:cnfStyle w:val="001000000000" w:firstRow="0" w:lastRow="0" w:firstColumn="1" w:lastColumn="0" w:oddVBand="0" w:evenVBand="0" w:oddHBand="0" w:evenHBand="0" w:firstRowFirstColumn="0" w:firstRowLastColumn="0" w:lastRowFirstColumn="0" w:lastRowLastColumn="0"/>
            <w:tcW w:w="2117" w:type="dxa"/>
            <w:vMerge/>
          </w:tcPr>
          <w:p w14:paraId="285761FC" w14:textId="77777777" w:rsidR="002F5E08" w:rsidRPr="00444749" w:rsidRDefault="002F5E08" w:rsidP="00333C81">
            <w:pPr>
              <w:pStyle w:val="Tabletext0"/>
              <w:spacing w:before="60" w:after="60" w:line="240" w:lineRule="auto"/>
              <w:rPr>
                <w:rFonts w:ascii="Arial Narrow" w:hAnsi="Arial Narrow"/>
                <w:kern w:val="0"/>
                <w:sz w:val="20"/>
                <w:szCs w:val="20"/>
              </w:rPr>
            </w:pPr>
          </w:p>
        </w:tc>
        <w:tc>
          <w:tcPr>
            <w:tcW w:w="1989" w:type="dxa"/>
          </w:tcPr>
          <w:p w14:paraId="3B56C58F" w14:textId="77777777" w:rsidR="002F5E08" w:rsidRPr="00444749" w:rsidRDefault="002F5E08" w:rsidP="00333C81">
            <w:pPr>
              <w:pStyle w:val="Tabletext0"/>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sz w:val="20"/>
                <w:szCs w:val="20"/>
              </w:rPr>
              <w:t>Use during lactation</w:t>
            </w:r>
          </w:p>
        </w:tc>
        <w:tc>
          <w:tcPr>
            <w:tcW w:w="1134" w:type="dxa"/>
          </w:tcPr>
          <w:p w14:paraId="0AE5C918"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418" w:type="dxa"/>
          </w:tcPr>
          <w:p w14:paraId="2C605A1D"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r w:rsidRPr="00444749">
              <w:rPr>
                <w:rFonts w:ascii="Arial Narrow" w:hAnsi="Arial Narrow"/>
                <w:kern w:val="0"/>
                <w:sz w:val="20"/>
                <w:szCs w:val="20"/>
              </w:rPr>
              <w:t>†</w:t>
            </w:r>
          </w:p>
        </w:tc>
        <w:tc>
          <w:tcPr>
            <w:tcW w:w="1275" w:type="dxa"/>
          </w:tcPr>
          <w:p w14:paraId="076DCD73"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Wingdings" w:eastAsia="Wingdings" w:hAnsi="Wingdings" w:cs="Wingdings"/>
                <w:kern w:val="0"/>
                <w:sz w:val="20"/>
                <w:szCs w:val="20"/>
              </w:rPr>
              <w:t>ü</w:t>
            </w:r>
          </w:p>
        </w:tc>
        <w:tc>
          <w:tcPr>
            <w:tcW w:w="1276" w:type="dxa"/>
          </w:tcPr>
          <w:p w14:paraId="1A6F7020" w14:textId="77777777" w:rsidR="002F5E08" w:rsidRPr="00444749" w:rsidRDefault="002F5E08" w:rsidP="00333C81">
            <w:pPr>
              <w:pStyle w:val="Tabletext0"/>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kern w:val="0"/>
                <w:sz w:val="20"/>
                <w:szCs w:val="20"/>
              </w:rPr>
            </w:pPr>
            <w:r w:rsidRPr="00444749">
              <w:rPr>
                <w:rFonts w:ascii="Arial Narrow" w:hAnsi="Arial Narrow"/>
                <w:kern w:val="0"/>
                <w:sz w:val="20"/>
                <w:szCs w:val="20"/>
              </w:rPr>
              <w:t>–</w:t>
            </w:r>
          </w:p>
        </w:tc>
      </w:tr>
      <w:tr w:rsidR="002F5E08" w:rsidRPr="00444749" w14:paraId="362EA65C" w14:textId="77777777" w:rsidTr="006C79C0">
        <w:trPr>
          <w:trHeight w:val="140"/>
        </w:trPr>
        <w:tc>
          <w:tcPr>
            <w:cnfStyle w:val="001000000000" w:firstRow="0" w:lastRow="0" w:firstColumn="1" w:lastColumn="0" w:oddVBand="0" w:evenVBand="0" w:oddHBand="0" w:evenHBand="0" w:firstRowFirstColumn="0" w:firstRowLastColumn="0" w:lastRowFirstColumn="0" w:lastRowLastColumn="0"/>
            <w:tcW w:w="9209" w:type="dxa"/>
            <w:gridSpan w:val="6"/>
          </w:tcPr>
          <w:p w14:paraId="1FA5D36E" w14:textId="77777777" w:rsidR="002F5E08" w:rsidRPr="00444749" w:rsidRDefault="002F5E08" w:rsidP="00333C81">
            <w:pPr>
              <w:pStyle w:val="Tabletext0"/>
              <w:spacing w:before="60" w:after="60" w:line="240" w:lineRule="auto"/>
              <w:rPr>
                <w:rFonts w:ascii="Arial Narrow" w:hAnsi="Arial Narrow"/>
                <w:sz w:val="20"/>
                <w:szCs w:val="20"/>
              </w:rPr>
            </w:pPr>
            <w:r w:rsidRPr="00444749">
              <w:rPr>
                <w:rFonts w:ascii="Arial Narrow" w:hAnsi="Arial Narrow"/>
                <w:sz w:val="20"/>
                <w:szCs w:val="20"/>
              </w:rPr>
              <w:t>* HCP guide and patient guide</w:t>
            </w:r>
          </w:p>
          <w:p w14:paraId="37ACF229" w14:textId="77777777" w:rsidR="002F5E08" w:rsidRPr="00444749" w:rsidRDefault="002F5E08" w:rsidP="00333C81">
            <w:pPr>
              <w:pStyle w:val="Tabletext0"/>
              <w:spacing w:before="60" w:after="60" w:line="240" w:lineRule="auto"/>
              <w:rPr>
                <w:rFonts w:ascii="Arial Narrow" w:hAnsi="Arial Narrow"/>
                <w:kern w:val="0"/>
                <w:sz w:val="20"/>
                <w:szCs w:val="20"/>
              </w:rPr>
            </w:pPr>
            <w:r w:rsidRPr="00444749">
              <w:rPr>
                <w:rFonts w:ascii="Arial Narrow" w:hAnsi="Arial Narrow"/>
                <w:kern w:val="0"/>
                <w:sz w:val="20"/>
                <w:szCs w:val="20"/>
              </w:rPr>
              <w:t>† Global registry study (OBS18565)</w:t>
            </w:r>
          </w:p>
          <w:p w14:paraId="00D2E883" w14:textId="77777777" w:rsidR="002F5E08" w:rsidRPr="00444749" w:rsidRDefault="002F5E08" w:rsidP="00333C81">
            <w:pPr>
              <w:pStyle w:val="Tabletext0"/>
              <w:spacing w:before="60" w:after="60" w:line="240" w:lineRule="auto"/>
              <w:rPr>
                <w:rFonts w:ascii="Arial Narrow" w:hAnsi="Arial Narrow"/>
                <w:sz w:val="20"/>
                <w:szCs w:val="20"/>
              </w:rPr>
            </w:pPr>
            <w:r w:rsidRPr="00444749">
              <w:rPr>
                <w:rFonts w:ascii="Arial Narrow" w:hAnsi="Arial Narrow"/>
                <w:kern w:val="0"/>
                <w:sz w:val="20"/>
                <w:szCs w:val="20"/>
              </w:rPr>
              <w:t>‡ RMM survey study (OBS21717)</w:t>
            </w:r>
          </w:p>
        </w:tc>
      </w:tr>
    </w:tbl>
    <w:p w14:paraId="16E5DFAA" w14:textId="70C36C8D" w:rsidR="00032A0F" w:rsidRDefault="00032A0F" w:rsidP="003B149C">
      <w:pPr>
        <w:rPr>
          <w:rFonts w:eastAsia="Cambria" w:cs="Times New Roman"/>
          <w:i/>
          <w:color w:val="007099"/>
          <w:szCs w:val="22"/>
        </w:rPr>
      </w:pPr>
      <w:r>
        <w:lastRenderedPageBreak/>
        <w:t>The RMP evaluation recommended conditions of registration relating to the versions of the risk management plan, requirement for periodic safety update reports, and inclusion of the medicine in the Black Triangle Scheme.</w:t>
      </w:r>
      <w:r w:rsidRPr="00663544">
        <w:rPr>
          <w:rFonts w:eastAsia="Cambria" w:cs="Times New Roman"/>
          <w:i/>
          <w:color w:val="007099"/>
          <w:szCs w:val="22"/>
        </w:rPr>
        <w:t xml:space="preserve"> </w:t>
      </w:r>
    </w:p>
    <w:p w14:paraId="237E096E" w14:textId="77777777" w:rsidR="00F67F3F" w:rsidRDefault="00F67F3F" w:rsidP="00F67F3F">
      <w:pPr>
        <w:spacing w:line="240" w:lineRule="auto"/>
      </w:pPr>
      <w:r w:rsidRPr="000B61A6">
        <w:t>The summary of safety concerns in the ASA aligns with the draft EU-RMP. The sponsor was requested to consider the impact on the safety specification of cases of unresolved thrombocytop</w:t>
      </w:r>
      <w:r>
        <w:t>a</w:t>
      </w:r>
      <w:r w:rsidRPr="000B61A6">
        <w:t xml:space="preserve">enia and anaemia, clinical trials exclusion criteria, lack of long term follow up, and potential for repeat treatment. At </w:t>
      </w:r>
      <w:r>
        <w:t>R</w:t>
      </w:r>
      <w:r w:rsidRPr="000B61A6">
        <w:t>ound 2, the sponsor upgraded ‘malignancies’ to an important potential risk, removed missing information ‘Use in paediatric population &lt; 8 years’, and added missing information ‘long-term safety in patients aged 8 to &lt;18 years.’</w:t>
      </w:r>
    </w:p>
    <w:p w14:paraId="353C843F" w14:textId="77777777" w:rsidR="00F67F3F" w:rsidRDefault="00F67F3F" w:rsidP="00F67F3F">
      <w:pPr>
        <w:spacing w:line="240" w:lineRule="auto"/>
      </w:pPr>
      <w:r w:rsidRPr="000B61A6">
        <w:t>The summary of safety concerns aligns with the EU-RMP and is acceptable.</w:t>
      </w:r>
    </w:p>
    <w:p w14:paraId="6DAA4312" w14:textId="77777777" w:rsidR="00F67F3F" w:rsidRPr="009C106C" w:rsidRDefault="00F67F3F" w:rsidP="00F67F3F">
      <w:pPr>
        <w:pStyle w:val="Heading6"/>
        <w:spacing w:line="240" w:lineRule="auto"/>
      </w:pPr>
      <w:r w:rsidRPr="009C106C">
        <w:t>Pharmacovigilance plan</w:t>
      </w:r>
    </w:p>
    <w:p w14:paraId="37DBEFBE" w14:textId="77777777" w:rsidR="00F67F3F" w:rsidRPr="009C106C" w:rsidRDefault="00F67F3F" w:rsidP="00F67F3F">
      <w:pPr>
        <w:spacing w:line="240" w:lineRule="auto"/>
      </w:pPr>
      <w:r w:rsidRPr="00884795">
        <w:t xml:space="preserve">Routine pharmacovigilance only </w:t>
      </w:r>
      <w:r>
        <w:t>was</w:t>
      </w:r>
      <w:r w:rsidRPr="00884795">
        <w:t xml:space="preserve"> proposed in the ASA and EU-RMP. The sponsor </w:t>
      </w:r>
      <w:r>
        <w:t>was</w:t>
      </w:r>
      <w:r w:rsidRPr="00884795">
        <w:t xml:space="preserve"> asked to consider the need for long term safety studies and enhanced routine pharmacovigilance where appropriate. At </w:t>
      </w:r>
      <w:r>
        <w:t>R</w:t>
      </w:r>
      <w:r w:rsidRPr="00884795">
        <w:t xml:space="preserve">ound 2, the sponsor has included additional pharmacovigilance </w:t>
      </w:r>
      <w:r>
        <w:t xml:space="preserve">items </w:t>
      </w:r>
      <w:r w:rsidRPr="00884795">
        <w:t>for the newly added long term safety missing information. The pharmacovigilance plan is acceptable.</w:t>
      </w:r>
    </w:p>
    <w:p w14:paraId="0B891C93" w14:textId="77777777" w:rsidR="00F67F3F" w:rsidRPr="009C106C" w:rsidRDefault="00F67F3F" w:rsidP="00F67F3F">
      <w:pPr>
        <w:pStyle w:val="Heading6"/>
        <w:spacing w:line="240" w:lineRule="auto"/>
      </w:pPr>
      <w:r w:rsidRPr="009C106C">
        <w:t>Risk minimisation plan</w:t>
      </w:r>
    </w:p>
    <w:p w14:paraId="2619F0FF" w14:textId="77777777" w:rsidR="00F67F3F" w:rsidRDefault="00F67F3F" w:rsidP="00F67F3F">
      <w:pPr>
        <w:spacing w:line="240" w:lineRule="auto"/>
      </w:pPr>
      <w:r w:rsidRPr="002845A0">
        <w:t xml:space="preserve">Routine risk minimisation is proposed for all safety concerns. Additional risk minimisation in the form of an HCP Guide and Patient Guide is proposed for the important identified risks in the ASA, which aligns with the EU-RMP. At </w:t>
      </w:r>
      <w:r>
        <w:t>R</w:t>
      </w:r>
      <w:r w:rsidRPr="002845A0">
        <w:t>ound 2, the sponsor revised the CMI and the dissemination method for additional risk minimisation materials as requested.</w:t>
      </w:r>
    </w:p>
    <w:p w14:paraId="2D9FC7C6" w14:textId="5CB6E943" w:rsidR="00F67F3F" w:rsidRDefault="00F67F3F" w:rsidP="00F67F3F">
      <w:pPr>
        <w:spacing w:line="240" w:lineRule="auto"/>
      </w:pPr>
      <w:r w:rsidRPr="002845A0">
        <w:t>The draft patient and HCP guides will be submitted for review prior to marketing. The risk minimisation plan is acceptable.</w:t>
      </w:r>
    </w:p>
    <w:p w14:paraId="65BFD15E" w14:textId="77777777" w:rsidR="00F67F3F" w:rsidRDefault="00F67F3F" w:rsidP="00F67F3F">
      <w:pPr>
        <w:pStyle w:val="Heading6"/>
        <w:spacing w:line="240" w:lineRule="auto"/>
      </w:pPr>
      <w:r>
        <w:t>Additional RMP advice to the sponsor</w:t>
      </w:r>
    </w:p>
    <w:p w14:paraId="0ACFE635" w14:textId="77777777" w:rsidR="00F67F3F" w:rsidRDefault="00F67F3F" w:rsidP="00F67F3F">
      <w:pPr>
        <w:spacing w:line="240" w:lineRule="auto"/>
      </w:pPr>
      <w:r>
        <w:t>The following advice is for the sponsor and should not impact registration:</w:t>
      </w:r>
    </w:p>
    <w:p w14:paraId="64BF37AC" w14:textId="4F83AD01" w:rsidR="00F67F3F" w:rsidRPr="00F913F7" w:rsidRDefault="00F67F3F" w:rsidP="00F913F7">
      <w:pPr>
        <w:pStyle w:val="Numberbullet3"/>
        <w:rPr>
          <w:rFonts w:ascii="Cambria" w:hAnsi="Cambria"/>
        </w:rPr>
      </w:pPr>
      <w:r w:rsidRPr="00F913F7">
        <w:rPr>
          <w:rFonts w:ascii="Cambria" w:hAnsi="Cambria"/>
        </w:rPr>
        <w:t xml:space="preserve">The sponsor has added a global registry study to the ASA to address all safety concerns, including the upgraded important potential risk of malignancies. This is a multinational </w:t>
      </w:r>
      <w:r w:rsidR="00A1703D" w:rsidRPr="00F913F7">
        <w:rPr>
          <w:rFonts w:ascii="Cambria" w:hAnsi="Cambria"/>
        </w:rPr>
        <w:t>study;</w:t>
      </w:r>
      <w:r w:rsidRPr="00F913F7">
        <w:rPr>
          <w:rFonts w:ascii="Cambria" w:hAnsi="Cambria"/>
        </w:rPr>
        <w:t xml:space="preserve"> however</w:t>
      </w:r>
      <w:r w:rsidR="00F913F7">
        <w:rPr>
          <w:rFonts w:ascii="Cambria" w:hAnsi="Cambria"/>
        </w:rPr>
        <w:t>,</w:t>
      </w:r>
      <w:r w:rsidRPr="00F913F7">
        <w:rPr>
          <w:rFonts w:ascii="Cambria" w:hAnsi="Cambria"/>
        </w:rPr>
        <w:t xml:space="preserve"> the sponsor has not made it clear in the ASA whether it is anticipated that Australian patients will be included. While it is acknowledged that the study is being developed in conjunction with the EMA, it would be desirable for Australian patients to be included in this registry study. Once this information becomes available, the sponsor is requested to update Table 4 of the ASA at the following routine update, to clarify whether Australian patients will be included in the registry study. Regardless, the safety outcomes should be submitted in a revised ASA.</w:t>
      </w:r>
    </w:p>
    <w:p w14:paraId="16C7B913" w14:textId="77777777" w:rsidR="00F67F3F" w:rsidRPr="00F913F7" w:rsidRDefault="00F67F3F" w:rsidP="00F913F7">
      <w:pPr>
        <w:pStyle w:val="Numberbullet3"/>
        <w:rPr>
          <w:rFonts w:ascii="Cambria" w:hAnsi="Cambria"/>
        </w:rPr>
      </w:pPr>
      <w:r w:rsidRPr="00F913F7">
        <w:rPr>
          <w:rFonts w:ascii="Cambria" w:hAnsi="Cambria"/>
        </w:rPr>
        <w:t>The draft additional risk minimisation materials are not available at round 2 and will be provided prior to launch. As drafts of the additional risk minimisation materials have not been reviewed during the evaluation, please allow a minimum of 6 weeks for review and acceptance, to allow for the possibility of multiple rounds of revisions.</w:t>
      </w:r>
    </w:p>
    <w:p w14:paraId="0713BD7C" w14:textId="77777777" w:rsidR="00F67F3F" w:rsidRPr="005F0780" w:rsidRDefault="00F67F3F" w:rsidP="005F0780">
      <w:pPr>
        <w:pStyle w:val="Numberbullet3"/>
        <w:rPr>
          <w:rFonts w:ascii="Cambria" w:hAnsi="Cambria"/>
        </w:rPr>
      </w:pPr>
      <w:r w:rsidRPr="005F0780">
        <w:rPr>
          <w:rFonts w:ascii="Cambria" w:hAnsi="Cambria"/>
        </w:rPr>
        <w:t>Once the EU-RMP for this submission has been finalised, if there are any significant differences between the ASA and the approved EU-RMP, then the sponsor should submit the approved EU-RMP and a corresponding ASA as a post-market update.</w:t>
      </w:r>
    </w:p>
    <w:p w14:paraId="456C7934" w14:textId="43E4323E" w:rsidR="00FA1BC9" w:rsidRDefault="00FA1BC9" w:rsidP="00FA1BC9">
      <w:pPr>
        <w:rPr>
          <w:szCs w:val="22"/>
        </w:rPr>
      </w:pPr>
      <w:bookmarkStart w:id="73" w:name="_Toc103679299"/>
      <w:r w:rsidRPr="00BD5DBD">
        <w:rPr>
          <w:szCs w:val="22"/>
        </w:rPr>
        <w:t xml:space="preserve">The TGA may request an updated RMP at any stage of a product's </w:t>
      </w:r>
      <w:r w:rsidR="005F0780" w:rsidRPr="00BD5DBD">
        <w:rPr>
          <w:szCs w:val="22"/>
        </w:rPr>
        <w:t>life cycle</w:t>
      </w:r>
      <w:r w:rsidRPr="00BD5DBD">
        <w:rPr>
          <w:szCs w:val="22"/>
        </w:rPr>
        <w:t xml:space="preserve">, during both the pre-approval and post-approval phases. Further information regarding the TGA’s risk management </w:t>
      </w:r>
      <w:r w:rsidRPr="00BD5DBD">
        <w:rPr>
          <w:szCs w:val="22"/>
        </w:rPr>
        <w:lastRenderedPageBreak/>
        <w:t xml:space="preserve">approach can be found in </w:t>
      </w:r>
      <w:hyperlink r:id="rId58" w:history="1">
        <w:r w:rsidRPr="00BD5DBD">
          <w:rPr>
            <w:rStyle w:val="Hyperlink"/>
            <w:szCs w:val="22"/>
          </w:rPr>
          <w:t>risk management plans for medicines and biologicals</w:t>
        </w:r>
      </w:hyperlink>
      <w:r w:rsidRPr="00BD5DBD">
        <w:rPr>
          <w:szCs w:val="22"/>
        </w:rPr>
        <w:t xml:space="preserve"> and </w:t>
      </w:r>
      <w:hyperlink r:id="rId59" w:history="1">
        <w:r w:rsidRPr="00BD5DBD">
          <w:rPr>
            <w:rStyle w:val="Hyperlink"/>
            <w:szCs w:val="22"/>
          </w:rPr>
          <w:t>the TGA's risk management approach</w:t>
        </w:r>
      </w:hyperlink>
      <w:r w:rsidRPr="00BD5DBD">
        <w:rPr>
          <w:szCs w:val="22"/>
        </w:rPr>
        <w:t xml:space="preserve">. Information on the </w:t>
      </w:r>
      <w:hyperlink r:id="rId60" w:history="1">
        <w:r w:rsidRPr="00BD5DBD">
          <w:rPr>
            <w:rStyle w:val="Hyperlink"/>
            <w:szCs w:val="22"/>
          </w:rPr>
          <w:t>Australia</w:t>
        </w:r>
        <w:r w:rsidR="00C57CEA">
          <w:rPr>
            <w:rStyle w:val="Hyperlink"/>
            <w:szCs w:val="22"/>
          </w:rPr>
          <w:t>-</w:t>
        </w:r>
        <w:r w:rsidRPr="00BD5DBD">
          <w:rPr>
            <w:rStyle w:val="Hyperlink"/>
            <w:szCs w:val="22"/>
          </w:rPr>
          <w:t>specific annex</w:t>
        </w:r>
      </w:hyperlink>
      <w:r w:rsidRPr="00BD5DBD">
        <w:rPr>
          <w:szCs w:val="22"/>
        </w:rPr>
        <w:t xml:space="preserve"> (</w:t>
      </w:r>
      <w:hyperlink r:id="rId61" w:history="1">
        <w:r w:rsidRPr="00BD5DBD">
          <w:rPr>
            <w:rStyle w:val="Hyperlink"/>
            <w:szCs w:val="22"/>
          </w:rPr>
          <w:t>ASA</w:t>
        </w:r>
      </w:hyperlink>
      <w:r w:rsidRPr="00BD5DBD">
        <w:rPr>
          <w:szCs w:val="22"/>
        </w:rPr>
        <w:t>) can be found on the TGA website.</w:t>
      </w:r>
    </w:p>
    <w:p w14:paraId="74A4F87F" w14:textId="77777777" w:rsidR="00C22214" w:rsidRDefault="00C22214" w:rsidP="00C22214">
      <w:pPr>
        <w:pStyle w:val="Heading3"/>
      </w:pPr>
      <w:bookmarkStart w:id="74" w:name="_Toc235627219"/>
      <w:r>
        <w:t>Risk-benefit analysis</w:t>
      </w:r>
      <w:bookmarkEnd w:id="70"/>
      <w:bookmarkEnd w:id="71"/>
      <w:bookmarkEnd w:id="73"/>
      <w:bookmarkEnd w:id="74"/>
    </w:p>
    <w:p w14:paraId="77DE2655" w14:textId="77777777" w:rsidR="00C22214" w:rsidRDefault="00C22214" w:rsidP="00C22214">
      <w:pPr>
        <w:pStyle w:val="Heading4"/>
      </w:pPr>
      <w:bookmarkStart w:id="75" w:name="_Toc98931932"/>
      <w:bookmarkStart w:id="76" w:name="_Toc235627220"/>
      <w:r>
        <w:t>Delegate’s considerations</w:t>
      </w:r>
      <w:bookmarkEnd w:id="75"/>
      <w:bookmarkEnd w:id="76"/>
    </w:p>
    <w:p w14:paraId="638FAE4D" w14:textId="77777777" w:rsidR="00796D6E" w:rsidRDefault="00796D6E" w:rsidP="00796D6E">
      <w:pPr>
        <w:pStyle w:val="Heading5"/>
      </w:pPr>
      <w:r>
        <w:t>Clinical trial program</w:t>
      </w:r>
    </w:p>
    <w:p w14:paraId="1A1EADAC" w14:textId="77777777" w:rsidR="00796D6E" w:rsidRPr="00D21171" w:rsidRDefault="00796D6E" w:rsidP="00EA490F">
      <w:pPr>
        <w:pStyle w:val="Heading6"/>
      </w:pPr>
      <w:r w:rsidRPr="00D21171">
        <w:t>Clinical trial overview</w:t>
      </w:r>
    </w:p>
    <w:p w14:paraId="25F94FF7" w14:textId="3FFD02BA" w:rsidR="00796D6E" w:rsidRDefault="00796D6E" w:rsidP="00796D6E">
      <w:pPr>
        <w:spacing w:line="240" w:lineRule="auto"/>
        <w:rPr>
          <w:lang w:eastAsia="ja-JP"/>
        </w:rPr>
      </w:pPr>
      <w:r w:rsidRPr="009C106C">
        <w:rPr>
          <w:lang w:eastAsia="ja-JP"/>
        </w:rPr>
        <w:t xml:space="preserve">The efficacy of </w:t>
      </w:r>
      <w:r>
        <w:rPr>
          <w:lang w:eastAsia="ja-JP"/>
        </w:rPr>
        <w:t xml:space="preserve">teplizumab </w:t>
      </w:r>
      <w:r w:rsidRPr="009C106C">
        <w:rPr>
          <w:lang w:eastAsia="ja-JP"/>
        </w:rPr>
        <w:t xml:space="preserve">is assessed from data from </w:t>
      </w:r>
      <w:r>
        <w:rPr>
          <w:lang w:eastAsia="ja-JP"/>
        </w:rPr>
        <w:t>Study TN-10 (AT-RISK study), and the only clinical study to support efficacy for the proposed Stage 2 T1DM indication</w:t>
      </w:r>
      <w:r w:rsidR="00D21171">
        <w:rPr>
          <w:lang w:eastAsia="ja-JP"/>
        </w:rPr>
        <w:t>.</w:t>
      </w:r>
      <w:r w:rsidRPr="00813DD3">
        <w:rPr>
          <w:lang w:eastAsia="ja-JP"/>
        </w:rPr>
        <w:t xml:space="preserve"> </w:t>
      </w:r>
      <w:r>
        <w:rPr>
          <w:lang w:eastAsia="ja-JP"/>
        </w:rPr>
        <w:t>The reliance on a single phase 2 trial (Study TN-10) for efficacy was not ideal, and a second efficacy trial for the proposed Stage 2 T1DM indication would have been advantageous.</w:t>
      </w:r>
    </w:p>
    <w:p w14:paraId="315FC266" w14:textId="77777777" w:rsidR="00796D6E" w:rsidRDefault="00796D6E" w:rsidP="00796D6E">
      <w:pPr>
        <w:spacing w:line="240" w:lineRule="auto"/>
        <w:rPr>
          <w:lang w:eastAsia="ja-JP"/>
        </w:rPr>
      </w:pPr>
      <w:r w:rsidRPr="009C106C">
        <w:rPr>
          <w:lang w:eastAsia="ja-JP"/>
        </w:rPr>
        <w:t>In the only efficacy study for this indication, TN-10, the patient population consisted of children aged 8 years and above. Studies in older children with a step-down approach once efficacy and safety had been established would have been preferable.</w:t>
      </w:r>
      <w:r>
        <w:rPr>
          <w:lang w:eastAsia="ja-JP"/>
        </w:rPr>
        <w:t xml:space="preserve"> </w:t>
      </w:r>
      <w:r w:rsidRPr="009C106C">
        <w:rPr>
          <w:lang w:eastAsia="ja-JP"/>
        </w:rPr>
        <w:t>The choice of antibodies used was not unreasonable, but the corresponding positive predictive values for the relevant antibodies for T1DM appeared not to have documented. Overall, the sample size was relatively small, and due to this a determination of potentially beneficial effects in certain subgroups (e.g. number of antibodies, different antibodies, OGTT results, etc.) was not possible.</w:t>
      </w:r>
    </w:p>
    <w:p w14:paraId="41B1824B" w14:textId="77777777" w:rsidR="00796D6E" w:rsidRPr="00EE2677" w:rsidRDefault="00796D6E" w:rsidP="00EE2677">
      <w:pPr>
        <w:rPr>
          <w:b/>
          <w:bCs/>
          <w:lang w:eastAsia="ja-JP"/>
        </w:rPr>
      </w:pPr>
      <w:r w:rsidRPr="00EE2677">
        <w:rPr>
          <w:b/>
          <w:bCs/>
          <w:lang w:eastAsia="ja-JP"/>
        </w:rPr>
        <w:t>Endpoints and clinical relevance</w:t>
      </w:r>
    </w:p>
    <w:p w14:paraId="51E05CC6" w14:textId="77777777" w:rsidR="00796D6E" w:rsidRPr="00CE50E0" w:rsidRDefault="00796D6E" w:rsidP="00796D6E">
      <w:pPr>
        <w:spacing w:line="240" w:lineRule="auto"/>
        <w:rPr>
          <w:lang w:eastAsia="ja-JP"/>
        </w:rPr>
      </w:pPr>
      <w:r>
        <w:rPr>
          <w:lang w:eastAsia="ja-JP"/>
        </w:rPr>
        <w:t>In TN-10, the p</w:t>
      </w:r>
      <w:r w:rsidRPr="00527E79">
        <w:rPr>
          <w:lang w:eastAsia="ja-JP"/>
        </w:rPr>
        <w:t>rimary efficacy endpoint</w:t>
      </w:r>
      <w:r>
        <w:rPr>
          <w:lang w:eastAsia="ja-JP"/>
        </w:rPr>
        <w:t xml:space="preserve"> was </w:t>
      </w:r>
      <w:r>
        <w:t xml:space="preserve">the time from randomisation to T1DM diagnosis or last contact. </w:t>
      </w:r>
      <w:r>
        <w:rPr>
          <w:lang w:eastAsia="ja-JP"/>
        </w:rPr>
        <w:t>Measuring c</w:t>
      </w:r>
      <w:r w:rsidRPr="00527E79">
        <w:rPr>
          <w:lang w:eastAsia="ja-JP"/>
        </w:rPr>
        <w:t>umulative diabetes incidence</w:t>
      </w:r>
      <w:r>
        <w:rPr>
          <w:lang w:eastAsia="ja-JP"/>
        </w:rPr>
        <w:t xml:space="preserve"> is in line with TGA-adopted regulatory guidance, as an established, clinically relevant endpoint.</w:t>
      </w:r>
    </w:p>
    <w:p w14:paraId="2753F67E" w14:textId="77777777" w:rsidR="00796D6E" w:rsidRDefault="00796D6E" w:rsidP="00DE5403">
      <w:pPr>
        <w:pStyle w:val="Heading5"/>
      </w:pPr>
      <w:r>
        <w:t>Efficacy</w:t>
      </w:r>
    </w:p>
    <w:p w14:paraId="5B23FC17" w14:textId="77777777" w:rsidR="00796D6E" w:rsidRPr="00DE5403" w:rsidRDefault="00796D6E" w:rsidP="00DE5403">
      <w:pPr>
        <w:rPr>
          <w:b/>
          <w:bCs/>
        </w:rPr>
      </w:pPr>
      <w:r w:rsidRPr="00DE5403">
        <w:rPr>
          <w:b/>
          <w:bCs/>
        </w:rPr>
        <w:t>Efficacy data for the proposed indication: to delay the onset of Stage 3 T1D in adult and paediatric patients 8 years of age and older with Stage 2 T1D</w:t>
      </w:r>
    </w:p>
    <w:p w14:paraId="0E8AE0AA" w14:textId="64CBECB4" w:rsidR="00796D6E" w:rsidRDefault="00796D6E" w:rsidP="00CE3798">
      <w:r w:rsidRPr="00B61D8E">
        <w:rPr>
          <w:lang w:val="en-GB"/>
        </w:rPr>
        <w:t xml:space="preserve">The Phase 2 TN-10 study demonstrated that teplizumab-treatment in an early phase of the autoimmune process (Stage 2 T1DM) can delay of the onset </w:t>
      </w:r>
      <w:r>
        <w:rPr>
          <w:lang w:val="en-GB"/>
        </w:rPr>
        <w:t>of advanced</w:t>
      </w:r>
      <w:r w:rsidRPr="00B61D8E">
        <w:rPr>
          <w:lang w:val="en-GB"/>
        </w:rPr>
        <w:t xml:space="preserve"> disease. Median times to onset of T1DM were 24.9 months (placebo) and 49.5 months (teplizumab) corresponding to a delay by 24.6 months</w:t>
      </w:r>
      <w:r>
        <w:rPr>
          <w:lang w:val="en-GB"/>
        </w:rPr>
        <w:t xml:space="preserve"> (</w:t>
      </w:r>
      <w:r>
        <w:t>primary analysis HR (95% CI) = 0.41 (0.22; 0.78) (ITT)) (</w:t>
      </w:r>
      <w:r w:rsidR="00724F1E">
        <w:t>Figure 10</w:t>
      </w:r>
      <w:r>
        <w:t>).</w:t>
      </w:r>
    </w:p>
    <w:p w14:paraId="00D9993A" w14:textId="77777777" w:rsidR="00796D6E" w:rsidRDefault="00796D6E" w:rsidP="00CE3798">
      <w:r>
        <w:t xml:space="preserve">Even though </w:t>
      </w:r>
      <w:r w:rsidRPr="00A53E51">
        <w:t xml:space="preserve">the largest difference between teplizumab and placebo was observed in the </w:t>
      </w:r>
      <w:r>
        <w:t xml:space="preserve">first </w:t>
      </w:r>
      <w:r w:rsidRPr="00A53E51">
        <w:t xml:space="preserve">year after treatment, the cumulative HR continued to show an advantage of teplizumab over placebo through </w:t>
      </w:r>
      <w:r>
        <w:t>Y</w:t>
      </w:r>
      <w:r w:rsidRPr="00A53E51">
        <w:t>ear 5.</w:t>
      </w:r>
    </w:p>
    <w:p w14:paraId="36D7F3C7" w14:textId="77777777" w:rsidR="00796D6E" w:rsidRDefault="00796D6E" w:rsidP="00CE3798">
      <w:pPr>
        <w:rPr>
          <w:shd w:val="clear" w:color="auto" w:fill="FFFFFF" w:themeFill="background1"/>
        </w:rPr>
      </w:pPr>
      <w:r w:rsidRPr="0040248F">
        <w:rPr>
          <w:shd w:val="clear" w:color="auto" w:fill="FFFFFF" w:themeFill="background1"/>
        </w:rPr>
        <w:t>The outcomes of all three sensitivity analyses were consistent with the primary analysis. The hazard ratios ranged between 0.42 and 0.43 and supported the robustness of the primary analysis.</w:t>
      </w:r>
      <w:r>
        <w:rPr>
          <w:shd w:val="clear" w:color="auto" w:fill="FFFFFF" w:themeFill="background1"/>
        </w:rPr>
        <w:t xml:space="preserve"> </w:t>
      </w:r>
    </w:p>
    <w:p w14:paraId="15AFEB7E" w14:textId="77777777" w:rsidR="00796D6E" w:rsidRPr="00CB0790" w:rsidRDefault="00796D6E" w:rsidP="00CE3798">
      <w:pPr>
        <w:rPr>
          <w:shd w:val="clear" w:color="auto" w:fill="FFFFFF" w:themeFill="background1"/>
        </w:rPr>
      </w:pPr>
      <w:r w:rsidRPr="00343111">
        <w:rPr>
          <w:shd w:val="clear" w:color="auto" w:fill="FFFFFF" w:themeFill="background1"/>
        </w:rPr>
        <w:t>The outcomes of all most subgroup analyses were consistent with the primary analysis, noting that the number of patients in each subgroup was relatively small and no adjustments for multiplicity were made.</w:t>
      </w:r>
      <w:r>
        <w:rPr>
          <w:shd w:val="clear" w:color="auto" w:fill="FFFFFF" w:themeFill="background1"/>
        </w:rPr>
        <w:t xml:space="preserve"> </w:t>
      </w:r>
      <w:r w:rsidRPr="00343111">
        <w:rPr>
          <w:shd w:val="clear" w:color="auto" w:fill="FFFFFF" w:themeFill="background1"/>
        </w:rPr>
        <w:t>The treatment effect appeared to be larger in subgroups with specific baseline characteristics (e.g. negative anti-ZnT8 antibodies; HLA DR3 negative; HLA DR4 positive; or C-peptide level AUC &lt; median), but no definite conclusion can be made.</w:t>
      </w:r>
    </w:p>
    <w:p w14:paraId="18EA09AE" w14:textId="77777777" w:rsidR="00796D6E" w:rsidRPr="001101E4" w:rsidRDefault="00796D6E" w:rsidP="00796D6E">
      <w:pPr>
        <w:spacing w:line="240" w:lineRule="auto"/>
        <w:rPr>
          <w:shd w:val="clear" w:color="auto" w:fill="FFFFFF" w:themeFill="background1"/>
        </w:rPr>
      </w:pPr>
      <w:r w:rsidRPr="001101E4">
        <w:rPr>
          <w:shd w:val="clear" w:color="auto" w:fill="FFFFFF" w:themeFill="background1"/>
        </w:rPr>
        <w:t xml:space="preserve">Teplizumab treatment improved C-peptide levels upon initiation, while placebo subjects had an overall decline. The treatment effect on C-peptide AUC for the 24-month analysis was </w:t>
      </w:r>
      <w:r w:rsidRPr="001101E4">
        <w:rPr>
          <w:shd w:val="clear" w:color="auto" w:fill="FFFFFF" w:themeFill="background1"/>
        </w:rPr>
        <w:lastRenderedPageBreak/>
        <w:t>statistically significant in all subjects (p=0.021) and in those who were diagnosed with T1D during the study (p=0.030). This further supports teplizumab’s effect on preserving beta cell function in this population.</w:t>
      </w:r>
    </w:p>
    <w:p w14:paraId="658227EF" w14:textId="77777777" w:rsidR="00796D6E" w:rsidRPr="008B3A7F" w:rsidRDefault="00796D6E" w:rsidP="00796D6E">
      <w:pPr>
        <w:spacing w:line="240" w:lineRule="auto"/>
        <w:rPr>
          <w:shd w:val="clear" w:color="auto" w:fill="FFFFFF" w:themeFill="background1"/>
        </w:rPr>
      </w:pPr>
      <w:r w:rsidRPr="001101E4">
        <w:rPr>
          <w:shd w:val="clear" w:color="auto" w:fill="FFFFFF" w:themeFill="background1"/>
        </w:rPr>
        <w:t>The presence of anti-teplizumab antibodies did not appear to affect teplizumab blood levels nor the primary efficacy endpoint significantly.</w:t>
      </w:r>
    </w:p>
    <w:p w14:paraId="591580D7" w14:textId="77777777" w:rsidR="00EA490F" w:rsidRDefault="00D6193B" w:rsidP="00D6193B">
      <w:pPr>
        <w:pStyle w:val="FigureTitle"/>
      </w:pPr>
      <w:bookmarkStart w:id="77" w:name="_Ref223472449"/>
      <w:r w:rsidRPr="00D6193B">
        <w:t xml:space="preserve">Figure </w:t>
      </w:r>
      <w:bookmarkEnd w:id="77"/>
      <w:r w:rsidR="00D0169F">
        <w:t>10</w:t>
      </w:r>
      <w:r w:rsidRPr="00D6193B">
        <w:t>. Study TN-10 study. Summary of primary endpoint results: Kaplan-Meier curve of time to T1D diagnosis by treatment group (ITT population).</w:t>
      </w:r>
    </w:p>
    <w:p w14:paraId="65C9F9DA" w14:textId="771E1B98" w:rsidR="00345ED2" w:rsidRDefault="00345ED2" w:rsidP="00EA490F">
      <w:r w:rsidRPr="00345ED2">
        <w:rPr>
          <w:noProof/>
        </w:rPr>
        <w:drawing>
          <wp:inline distT="0" distB="0" distL="0" distR="0" wp14:anchorId="0CB947C2" wp14:editId="35D69FA9">
            <wp:extent cx="5759450" cy="2731770"/>
            <wp:effectExtent l="0" t="0" r="0" b="0"/>
            <wp:docPr id="926897955" name="Picture 1" descr="Figure 10. Study TN-10 study. Summary of primary endpoint results: Kaplan-Meier curve of time to T1D diagnosis by treatment group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97955" name="Picture 1" descr="Figure 10. Study TN-10 study. Summary of primary endpoint results: Kaplan-Meier curve of time to T1D diagnosis by treatment group (ITT population)."/>
                    <pic:cNvPicPr/>
                  </pic:nvPicPr>
                  <pic:blipFill>
                    <a:blip r:embed="rId62"/>
                    <a:stretch>
                      <a:fillRect/>
                    </a:stretch>
                  </pic:blipFill>
                  <pic:spPr>
                    <a:xfrm>
                      <a:off x="0" y="0"/>
                      <a:ext cx="5759450" cy="2731770"/>
                    </a:xfrm>
                    <a:prstGeom prst="rect">
                      <a:avLst/>
                    </a:prstGeom>
                  </pic:spPr>
                </pic:pic>
              </a:graphicData>
            </a:graphic>
          </wp:inline>
        </w:drawing>
      </w:r>
    </w:p>
    <w:p w14:paraId="01CAFBB1" w14:textId="77777777" w:rsidR="00C24047" w:rsidRPr="00C24047" w:rsidRDefault="00C24047" w:rsidP="00C24047">
      <w:pPr>
        <w:pStyle w:val="Heading5"/>
      </w:pPr>
      <w:r w:rsidRPr="00C24047">
        <w:t>Safety</w:t>
      </w:r>
    </w:p>
    <w:p w14:paraId="63266AB9" w14:textId="77777777" w:rsidR="00C24047" w:rsidRPr="00C24047" w:rsidRDefault="00C24047" w:rsidP="00C24047">
      <w:r w:rsidRPr="00C24047">
        <w:t>Non-clinical studies identified the potential risks of teplizumab treatment, including lymphopenia, reduced immune response, or increased cytokine release. The clinical trials provided clinical evidence for this.</w:t>
      </w:r>
    </w:p>
    <w:p w14:paraId="53D9289B" w14:textId="335511A0" w:rsidR="00C24047" w:rsidRPr="00C24047" w:rsidRDefault="00C24047" w:rsidP="00C24047">
      <w:r w:rsidRPr="00C24047">
        <w:rPr>
          <w:lang w:val="en-GB"/>
        </w:rPr>
        <w:t>Two main safety analysis sets were considered for the purposes of this</w:t>
      </w:r>
      <w:r w:rsidR="00233A92">
        <w:rPr>
          <w:lang w:val="en-GB"/>
        </w:rPr>
        <w:t xml:space="preserve"> decision</w:t>
      </w:r>
      <w:r w:rsidRPr="00C24047">
        <w:rPr>
          <w:lang w:val="en-GB"/>
        </w:rPr>
        <w:t xml:space="preserve"> overview. The TN-10 Safety population (as relevant to the proposed indication), and the ‘All safety pool’ that provided </w:t>
      </w:r>
      <w:proofErr w:type="gramStart"/>
      <w:r w:rsidRPr="00C24047">
        <w:rPr>
          <w:lang w:val="en-GB"/>
        </w:rPr>
        <w:t>the majority of</w:t>
      </w:r>
      <w:proofErr w:type="gramEnd"/>
      <w:r w:rsidRPr="00C24047">
        <w:rPr>
          <w:lang w:val="en-GB"/>
        </w:rPr>
        <w:t xml:space="preserve"> safety data, albeit in the closely related Stage 3 T1DM population. Approximately </w:t>
      </w:r>
      <w:r w:rsidRPr="00C24047">
        <w:t xml:space="preserve">1008 participants had been exposed to teplizumab in clinical trials. </w:t>
      </w:r>
      <w:r w:rsidRPr="00C24047">
        <w:rPr>
          <w:lang w:val="en-GB"/>
        </w:rPr>
        <w:t>The AEs shown in those analysis sets appeared to show consistent results.</w:t>
      </w:r>
    </w:p>
    <w:p w14:paraId="4CF79448" w14:textId="77777777" w:rsidR="00C24047" w:rsidRPr="00C24047" w:rsidRDefault="00C24047" w:rsidP="00C24047">
      <w:pPr>
        <w:rPr>
          <w:u w:val="single"/>
          <w:lang w:val="en-GB"/>
        </w:rPr>
      </w:pPr>
      <w:r w:rsidRPr="00C24047">
        <w:rPr>
          <w:lang w:val="en-GB"/>
        </w:rPr>
        <w:t>TEAEs more common in teplizumab-treated participants were lymphopenia, leukopenia, neutro</w:t>
      </w:r>
      <w:r w:rsidRPr="00C24047">
        <w:rPr>
          <w:lang w:val="en-GB"/>
        </w:rPr>
        <w:softHyphen/>
        <w:t>penia, thrombocytopenia, increased liver enzymes, decreased blood bicarbonate, rash and pruritus, and cytokine release syndrome (CRS). These were detected in the standard (MedDRA term based) reporting of AEs and in the pre-specified assessment of AESIs.</w:t>
      </w:r>
    </w:p>
    <w:p w14:paraId="51005D0E" w14:textId="789C2E7A" w:rsidR="00C24047" w:rsidRPr="00C24047" w:rsidRDefault="00C24047" w:rsidP="00C24047">
      <w:pPr>
        <w:rPr>
          <w:lang w:val="en-GB"/>
        </w:rPr>
      </w:pPr>
      <w:r w:rsidRPr="00C24047">
        <w:rPr>
          <w:lang w:val="en-GB"/>
        </w:rPr>
        <w:t xml:space="preserve">The majority of TEAEs were Grade 1 or Grade 2 in intensity. Discontinuations in the teplizumab group were relatively low (12.7% vs. 3.4% for placebo) and mostly </w:t>
      </w:r>
      <w:r w:rsidR="009510DD" w:rsidRPr="00C24047">
        <w:rPr>
          <w:lang w:val="en-GB"/>
        </w:rPr>
        <w:t>protocol mandated</w:t>
      </w:r>
      <w:r w:rsidRPr="00C24047">
        <w:rPr>
          <w:lang w:val="en-GB"/>
        </w:rPr>
        <w:t>.</w:t>
      </w:r>
    </w:p>
    <w:p w14:paraId="15FEC631" w14:textId="77777777" w:rsidR="00C24047" w:rsidRPr="00C24047" w:rsidRDefault="00C24047" w:rsidP="00C24047">
      <w:pPr>
        <w:rPr>
          <w:lang w:val="en-GB"/>
        </w:rPr>
      </w:pPr>
      <w:r w:rsidRPr="00C24047">
        <w:rPr>
          <w:lang w:val="en-GB"/>
        </w:rPr>
        <w:t>Teplizumab has been registered in the US, and an estimated number of at least 347 patients were exposed to teplizumab in the relevant Stage 2 T1DM indication. Evaluation of the cumulative safety data during routine safety surveillance has not identified any new safety concerns.</w:t>
      </w:r>
    </w:p>
    <w:p w14:paraId="0809EA26" w14:textId="6E108AF8" w:rsidR="00BF2D7F" w:rsidRPr="00BF2D7F" w:rsidRDefault="00BF2D7F" w:rsidP="00BF2D7F">
      <w:pPr>
        <w:pStyle w:val="Heading5"/>
      </w:pPr>
      <w:r w:rsidRPr="00BF2D7F">
        <w:t>Benefit-risk balance and translation to clinical practice</w:t>
      </w:r>
    </w:p>
    <w:p w14:paraId="7F685EA9" w14:textId="77777777" w:rsidR="00BF2D7F" w:rsidRPr="00BF2D7F" w:rsidRDefault="00BF2D7F" w:rsidP="00BF2D7F">
      <w:pPr>
        <w:rPr>
          <w:lang w:val="en-GB"/>
        </w:rPr>
      </w:pPr>
      <w:r w:rsidRPr="00BF2D7F">
        <w:rPr>
          <w:lang w:val="en-GB"/>
        </w:rPr>
        <w:t xml:space="preserve">Study TN-10 had some limitations including: an imbalanced allocation; a small sample size (noting that it was planned as a Phase 2 trial, and acknowledging the difficulties of recruiting paediatric patients with Stage 2 T1DM); no larger Phase 3 trial or other second study to </w:t>
      </w:r>
      <w:r w:rsidRPr="00BF2D7F">
        <w:rPr>
          <w:lang w:val="en-GB"/>
        </w:rPr>
        <w:lastRenderedPageBreak/>
        <w:t>corroborate the results; the small number of Asian patients; some methodological uncertainties (but that are unlikely to significantly affect the robustness of the primary analysis).</w:t>
      </w:r>
    </w:p>
    <w:p w14:paraId="620475B3" w14:textId="77777777" w:rsidR="00BF2D7F" w:rsidRPr="00BF2D7F" w:rsidRDefault="00BF2D7F" w:rsidP="00BF2D7F">
      <w:pPr>
        <w:rPr>
          <w:lang w:val="en-GB"/>
        </w:rPr>
      </w:pPr>
      <w:r w:rsidRPr="00BF2D7F">
        <w:rPr>
          <w:lang w:val="en-GB"/>
        </w:rPr>
        <w:t>However, as outlined above, Study TN-10 provided robust evidence for efficacy for the proposed Stage 2 T1DM indication, supported by sensitivity and subgroup analyses.</w:t>
      </w:r>
    </w:p>
    <w:p w14:paraId="60243B0D" w14:textId="77777777" w:rsidR="00BF2D7F" w:rsidRPr="00BF2D7F" w:rsidRDefault="00BF2D7F" w:rsidP="00BF2D7F">
      <w:r w:rsidRPr="00BF2D7F">
        <w:t>The question of clinical significance of the 24.6-month difference in Stage 3 T1DM onset arises. It may be considered too small by some to be clinically significant. However, in many instances, from a quality-of-life point of view (even though not formally tested in the study), delaying the onset of T1DM by approximately 2 years (with a delay of the associated commencement of insulin therapy and lifestyle changes) in the formative years of a child or adolescent may be rather beneficial on an individual level, or otherwise.</w:t>
      </w:r>
    </w:p>
    <w:p w14:paraId="68FA588F" w14:textId="76EB6934" w:rsidR="00BF2D7F" w:rsidRPr="00BF2D7F" w:rsidRDefault="00BF2D7F" w:rsidP="00BF2D7F">
      <w:pPr>
        <w:rPr>
          <w:lang w:val="en-GB"/>
        </w:rPr>
      </w:pPr>
      <w:r w:rsidRPr="00BF2D7F">
        <w:rPr>
          <w:lang w:val="en-GB"/>
        </w:rPr>
        <w:t>The pre- and post-market safety data in the Stage 2 T1DM indication combined with the pre-market safety data in the Stage 3 T1DM indication provide a reasonably sized safety database.</w:t>
      </w:r>
      <w:r w:rsidRPr="00BF2D7F">
        <w:t xml:space="preserve"> Despite this, rare adverse events may not have emerged and robust pharmacovigilance is needed. This has been proposed by the sponsor in the RMP, e.g. for the potential risk of malignancy. Furthermore, the rather restrictive exclusion criteria </w:t>
      </w:r>
      <w:proofErr w:type="gramStart"/>
      <w:r w:rsidRPr="00BF2D7F">
        <w:t>with regard to</w:t>
      </w:r>
      <w:proofErr w:type="gramEnd"/>
      <w:r w:rsidRPr="00BF2D7F">
        <w:t xml:space="preserve"> infections in TN-10 need to be adequately communicated to prescribers (in PI or </w:t>
      </w:r>
      <w:r w:rsidR="005D3F40">
        <w:t>healthcare professional</w:t>
      </w:r>
      <w:r w:rsidR="001A5FB3">
        <w:t>’s</w:t>
      </w:r>
      <w:r w:rsidRPr="00BF2D7F">
        <w:t xml:space="preserve"> education materials), as infections may be a more common adverse effect outside of a clinical trial setting with exclusions.</w:t>
      </w:r>
    </w:p>
    <w:p w14:paraId="672442EF" w14:textId="77777777" w:rsidR="00BF2D7F" w:rsidRPr="00BF2D7F" w:rsidRDefault="00BF2D7F" w:rsidP="00BF2D7F">
      <w:pPr>
        <w:rPr>
          <w:lang w:val="en-GB"/>
        </w:rPr>
      </w:pPr>
      <w:r w:rsidRPr="00BF2D7F">
        <w:rPr>
          <w:lang w:val="en-GB"/>
        </w:rPr>
        <w:t>Currently, no TGA-approved medicine has the capacity to modify the progression of Stage 2 T1DM, and thus an unmet need does exist. Teplizumab would add to the armamentarium. A restriction to use by or under close supervision of a specialist paediatric endocrinologist would be expected.</w:t>
      </w:r>
    </w:p>
    <w:p w14:paraId="7528B49F" w14:textId="77777777" w:rsidR="00BF2D7F" w:rsidRPr="00BF2D7F" w:rsidRDefault="00BF2D7F" w:rsidP="00BF2D7F">
      <w:pPr>
        <w:rPr>
          <w:lang w:val="en-GB"/>
        </w:rPr>
      </w:pPr>
      <w:r w:rsidRPr="00BF2D7F">
        <w:rPr>
          <w:lang w:val="en-GB"/>
        </w:rPr>
        <w:t>The population health benefits of teplizumab are rather dependent on the presence of a relevant screening program. Type1Screen, an islet autoantibody screening program in Australia and New Zealand is typically targeted at those with a relative who has T1DM, and extending the screening program beyond that population may be advantageous.</w:t>
      </w:r>
    </w:p>
    <w:p w14:paraId="3916F296" w14:textId="77777777" w:rsidR="00C22214" w:rsidRDefault="00C22214" w:rsidP="00C22214">
      <w:pPr>
        <w:pStyle w:val="Heading4"/>
      </w:pPr>
      <w:bookmarkStart w:id="78" w:name="_Toc98931933"/>
      <w:bookmarkStart w:id="79" w:name="_Toc235627221"/>
      <w:r w:rsidRPr="00D23139">
        <w:t>Proposed action</w:t>
      </w:r>
      <w:bookmarkEnd w:id="78"/>
      <w:bookmarkEnd w:id="79"/>
    </w:p>
    <w:p w14:paraId="4B9E7860" w14:textId="5A5642C4" w:rsidR="00540822" w:rsidRPr="00540822" w:rsidRDefault="00540822" w:rsidP="00540822">
      <w:pPr>
        <w:rPr>
          <w:lang w:val="en-GB"/>
        </w:rPr>
      </w:pPr>
      <w:r w:rsidRPr="00540822">
        <w:rPr>
          <w:lang w:val="en-GB"/>
        </w:rPr>
        <w:t>Overall, in the context of the unmet need, the robust efficacy data, and the acceptable safety profile, the benefit-risk could be cautiously regarded as positive. This is dependent on the conduct of appropriate additional pharmacovigilance activities. These have been specified in the RMP and those not listed will be specified as a condition of registration, if this application were approved. Furthermore, the sponsor is proposing routine and additional risk minimisation activities. HCP and patient education are outlined in the RMP and are essential in the context of a novel medicine.</w:t>
      </w:r>
    </w:p>
    <w:p w14:paraId="197CD2EB" w14:textId="77777777" w:rsidR="00540822" w:rsidRPr="00540822" w:rsidRDefault="00540822" w:rsidP="00540822">
      <w:pPr>
        <w:rPr>
          <w:lang w:val="en-GB"/>
        </w:rPr>
      </w:pPr>
      <w:r w:rsidRPr="00540822">
        <w:rPr>
          <w:lang w:val="en-GB"/>
        </w:rPr>
        <w:t>The current TGA-amended indication (amended from the sponsor-proposed wording) is:</w:t>
      </w:r>
    </w:p>
    <w:p w14:paraId="64B44541" w14:textId="77777777" w:rsidR="00540822" w:rsidRPr="00540822" w:rsidRDefault="00540822" w:rsidP="00540822">
      <w:pPr>
        <w:ind w:left="720"/>
        <w:rPr>
          <w:i/>
          <w:lang w:val="en-GB"/>
        </w:rPr>
      </w:pPr>
      <w:r w:rsidRPr="00540822">
        <w:rPr>
          <w:i/>
          <w:lang w:val="en-GB"/>
        </w:rPr>
        <w:t>Tzield is indicated to delay the onset of Stage 3 type 1 diabetes mellitus in adult and paediatric patients aged 8 years and older with Stage 2 type 1 diabetes mellitus.</w:t>
      </w:r>
    </w:p>
    <w:p w14:paraId="72D1BE2E" w14:textId="77777777" w:rsidR="00540822" w:rsidRPr="00540822" w:rsidRDefault="00540822" w:rsidP="00540822">
      <w:r w:rsidRPr="00540822">
        <w:t>Advice from the ACM is kindly requested.</w:t>
      </w:r>
    </w:p>
    <w:p w14:paraId="318CFABC" w14:textId="77777777" w:rsidR="00C22214" w:rsidRPr="00F73346" w:rsidRDefault="00C22214" w:rsidP="00C22214">
      <w:pPr>
        <w:pStyle w:val="Heading4"/>
      </w:pPr>
      <w:bookmarkStart w:id="80" w:name="_Toc98931936"/>
      <w:bookmarkStart w:id="81" w:name="_Toc247691532"/>
      <w:bookmarkStart w:id="82" w:name="_Toc314842516"/>
      <w:bookmarkStart w:id="83" w:name="_Toc235627222"/>
      <w:r w:rsidRPr="00F73346">
        <w:t>Advisory Committee considerations</w:t>
      </w:r>
      <w:bookmarkEnd w:id="80"/>
      <w:bookmarkEnd w:id="83"/>
    </w:p>
    <w:p w14:paraId="087BB9CB" w14:textId="5D4F9509" w:rsidR="00C22214" w:rsidRPr="00BD5DBD" w:rsidRDefault="00C22214" w:rsidP="00C22214">
      <w:pPr>
        <w:rPr>
          <w:bCs/>
          <w:szCs w:val="22"/>
        </w:rPr>
      </w:pPr>
      <w:r w:rsidRPr="00BD5DBD">
        <w:rPr>
          <w:bCs/>
          <w:szCs w:val="22"/>
        </w:rPr>
        <w:t xml:space="preserve">The </w:t>
      </w:r>
      <w:hyperlink r:id="rId63" w:history="1">
        <w:r w:rsidRPr="00BD5DBD">
          <w:rPr>
            <w:rStyle w:val="Hyperlink"/>
            <w:szCs w:val="22"/>
          </w:rPr>
          <w:t>Advisory Committee on Medicines (ACM)</w:t>
        </w:r>
      </w:hyperlink>
      <w:r w:rsidRPr="00BD5DBD">
        <w:rPr>
          <w:szCs w:val="22"/>
        </w:rPr>
        <w:t>,</w:t>
      </w:r>
      <w:r w:rsidRPr="00BD5DBD">
        <w:rPr>
          <w:bCs/>
          <w:szCs w:val="22"/>
        </w:rPr>
        <w:t xml:space="preserve"> having considered the evaluations and the Delegate’s overview, as well as the sponsor’s response to these documents, advised the following.</w:t>
      </w:r>
    </w:p>
    <w:p w14:paraId="0D935CC4" w14:textId="77777777" w:rsidR="00C22214" w:rsidRPr="00F73346" w:rsidRDefault="00C22214" w:rsidP="00C22214">
      <w:pPr>
        <w:pStyle w:val="Heading5"/>
      </w:pPr>
      <w:r w:rsidRPr="00F73346">
        <w:lastRenderedPageBreak/>
        <w:t>Specific advice to the Delegate</w:t>
      </w:r>
    </w:p>
    <w:p w14:paraId="40379C49" w14:textId="77777777" w:rsidR="00977B5D" w:rsidRPr="00977B5D" w:rsidRDefault="00977B5D" w:rsidP="009A13F7">
      <w:pPr>
        <w:pStyle w:val="DelegatesQuestions"/>
      </w:pPr>
      <w:r w:rsidRPr="00977B5D">
        <w:t xml:space="preserve">Can the ACM comment on whether the provided data are sufficient to support registration for the proposed indication? </w:t>
      </w:r>
    </w:p>
    <w:p w14:paraId="30736A99" w14:textId="77777777" w:rsidR="00977B5D" w:rsidRPr="00A14986" w:rsidRDefault="00977B5D" w:rsidP="00A14986">
      <w:r w:rsidRPr="00A14986">
        <w:t xml:space="preserve">Overall, the ACM was supportive of the registration of teplizumab for the proposed indication based on the limited available data. </w:t>
      </w:r>
    </w:p>
    <w:p w14:paraId="09567EFC" w14:textId="03C093F0" w:rsidR="00977B5D" w:rsidRPr="00A14986" w:rsidRDefault="00977B5D" w:rsidP="00A14986">
      <w:pPr>
        <w:rPr>
          <w:rFonts w:cs="Arial"/>
          <w:color w:val="000000"/>
          <w:szCs w:val="22"/>
        </w:rPr>
      </w:pPr>
      <w:r w:rsidRPr="00A14986">
        <w:t xml:space="preserve">The ACM was satisfied that available efficacy results from the TN-10 study were clinically significant. Further, the ACM was satisfied that the short-term safety profile was reasonably </w:t>
      </w:r>
      <w:r w:rsidRPr="00A14986">
        <w:rPr>
          <w:rFonts w:cs="Arial"/>
          <w:color w:val="000000"/>
          <w:szCs w:val="22"/>
        </w:rPr>
        <w:t xml:space="preserve">well characterised, including cytokine release syndrome, lymphopenia and infection risk. However, the ACM emphasised the importance of additionally obtaining long-term follow-up data to better profile any potential risks which may be relevant to immunomodulatory therapies including malignancy and chronic infections. </w:t>
      </w:r>
    </w:p>
    <w:p w14:paraId="56523A06" w14:textId="77777777" w:rsidR="00977B5D" w:rsidRPr="00A14986" w:rsidRDefault="00977B5D" w:rsidP="00A14986">
      <w:pPr>
        <w:rPr>
          <w:rFonts w:cs="Arial"/>
          <w:color w:val="000000"/>
          <w:szCs w:val="22"/>
        </w:rPr>
      </w:pPr>
      <w:r w:rsidRPr="00A14986">
        <w:rPr>
          <w:rFonts w:cs="Arial"/>
          <w:color w:val="000000"/>
          <w:szCs w:val="22"/>
        </w:rPr>
        <w:t xml:space="preserve">The ACM also noted the available data were derived from a relatively small number of clinical studies. The ACM highlighted the need for further confirmatory/replicatory clinical trials and comprehensive long-term clinical studies. The ACM suggested that an ongoing pharmacovigilance program may be appropriate given teplizumab’s immunomodulatory mechanism of action. The currently ongoing clinical studies were noted. </w:t>
      </w:r>
    </w:p>
    <w:p w14:paraId="3DED58F5" w14:textId="75F93680" w:rsidR="00977B5D" w:rsidRPr="00977B5D" w:rsidRDefault="00977B5D" w:rsidP="00FA038E">
      <w:pPr>
        <w:pStyle w:val="DelegatesQuestions"/>
      </w:pPr>
      <w:r w:rsidRPr="00977B5D">
        <w:t xml:space="preserve">The committee is also requested to provide advice on any other issues that it thinks may be relevant to a decision on </w:t>
      </w:r>
      <w:proofErr w:type="gramStart"/>
      <w:r w:rsidRPr="00977B5D">
        <w:t>whether or not</w:t>
      </w:r>
      <w:proofErr w:type="gramEnd"/>
      <w:r w:rsidRPr="00977B5D">
        <w:t xml:space="preserve"> to approve this application. </w:t>
      </w:r>
    </w:p>
    <w:p w14:paraId="557A949B" w14:textId="77777777" w:rsidR="00977B5D" w:rsidRPr="00977B5D" w:rsidRDefault="00977B5D" w:rsidP="00FA038E">
      <w:r w:rsidRPr="00977B5D">
        <w:t xml:space="preserve">The ACM advised that the Delegate consider whether additional conditions are placed on the approval of teplizumab including: </w:t>
      </w:r>
    </w:p>
    <w:p w14:paraId="5AA3E3D6" w14:textId="1CD623D9" w:rsidR="00977B5D" w:rsidRPr="00977B5D" w:rsidRDefault="00977B5D" w:rsidP="00FA038E">
      <w:pPr>
        <w:pStyle w:val="ListBullet"/>
      </w:pPr>
      <w:r w:rsidRPr="00977B5D">
        <w:t xml:space="preserve">A sponsor commitment to ongoing long-term safety studies. The reporting of the results of the currently ongoing studies should be considered as a condition of registration. </w:t>
      </w:r>
    </w:p>
    <w:p w14:paraId="5C68674D" w14:textId="0D2FB473" w:rsidR="00977B5D" w:rsidRPr="00977B5D" w:rsidRDefault="00977B5D" w:rsidP="00FA038E">
      <w:pPr>
        <w:pStyle w:val="ListBullet"/>
      </w:pPr>
      <w:r w:rsidRPr="00977B5D">
        <w:t xml:space="preserve">Inclusion of a statement in the teplizumab Product Information to highlight that efficacy has not been studied in patients without a familial history of T1DM. </w:t>
      </w:r>
    </w:p>
    <w:p w14:paraId="53964468" w14:textId="0135A41F" w:rsidR="00EB46D3" w:rsidRPr="00EB46D3" w:rsidRDefault="00EB46D3" w:rsidP="00EB46D3">
      <w:pPr>
        <w:pStyle w:val="Heading5"/>
      </w:pPr>
      <w:r w:rsidRPr="00EB46D3">
        <w:t>Advisory committee conclusion</w:t>
      </w:r>
    </w:p>
    <w:p w14:paraId="3DD24D49" w14:textId="59E82921" w:rsidR="00977B5D" w:rsidRPr="00977B5D" w:rsidRDefault="00977B5D" w:rsidP="00922BA0">
      <w:r w:rsidRPr="00977B5D">
        <w:t xml:space="preserve">The ACM considered </w:t>
      </w:r>
      <w:r w:rsidR="00BB12D4">
        <w:t>Tzield (</w:t>
      </w:r>
      <w:r w:rsidRPr="00977B5D">
        <w:t xml:space="preserve">teplizumab) to have an overall positive benefit-risk profile for the Delegate’s proposed indication: </w:t>
      </w:r>
    </w:p>
    <w:p w14:paraId="47EBBD97" w14:textId="077F7070" w:rsidR="00977B5D" w:rsidRPr="00383C66" w:rsidRDefault="00977B5D" w:rsidP="00383C66">
      <w:pPr>
        <w:ind w:left="720"/>
        <w:rPr>
          <w:i/>
          <w:iCs/>
        </w:rPr>
      </w:pPr>
      <w:r w:rsidRPr="00977B5D">
        <w:rPr>
          <w:i/>
          <w:iCs/>
        </w:rPr>
        <w:t>T</w:t>
      </w:r>
      <w:r w:rsidR="00383C66">
        <w:rPr>
          <w:i/>
          <w:iCs/>
        </w:rPr>
        <w:t>zield</w:t>
      </w:r>
      <w:r w:rsidRPr="00977B5D">
        <w:rPr>
          <w:i/>
          <w:iCs/>
        </w:rPr>
        <w:t xml:space="preserve"> is indicated to delay the onset of Stage 3 type 1 diabetes mellitus in adult and paediatric patients aged 8 years and older with Stage 2 type 1 diabetes mellitus. </w:t>
      </w:r>
    </w:p>
    <w:p w14:paraId="307F236C" w14:textId="7FD19BD3" w:rsidR="00C22214" w:rsidRPr="002E238E" w:rsidRDefault="0046285C" w:rsidP="00C22214">
      <w:pPr>
        <w:pStyle w:val="Heading2"/>
      </w:pPr>
      <w:bookmarkStart w:id="84" w:name="_Toc103679300"/>
      <w:bookmarkStart w:id="85" w:name="_Toc235627223"/>
      <w:r>
        <w:t>Assessment</w:t>
      </w:r>
      <w:r w:rsidR="00190853">
        <w:t xml:space="preserve"> </w:t>
      </w:r>
      <w:r>
        <w:t>o</w:t>
      </w:r>
      <w:r w:rsidR="00C22214">
        <w:t>utcome</w:t>
      </w:r>
      <w:bookmarkEnd w:id="81"/>
      <w:bookmarkEnd w:id="82"/>
      <w:bookmarkEnd w:id="84"/>
      <w:bookmarkEnd w:id="85"/>
    </w:p>
    <w:p w14:paraId="4EF22939" w14:textId="469E1183" w:rsidR="00C22214" w:rsidRDefault="00C22214" w:rsidP="0006104E">
      <w:r w:rsidRPr="0017005C">
        <w:t xml:space="preserve">Based on a review of quality, safety, and efficacy, the TGA </w:t>
      </w:r>
      <w:r w:rsidR="00B46DFB">
        <w:t>decided to</w:t>
      </w:r>
      <w:r w:rsidRPr="0017005C">
        <w:t xml:space="preserve"> regist</w:t>
      </w:r>
      <w:r w:rsidR="00B46DFB">
        <w:t>er</w:t>
      </w:r>
      <w:r w:rsidR="00BB12D4">
        <w:t xml:space="preserve"> Tzield (</w:t>
      </w:r>
      <w:proofErr w:type="spellStart"/>
      <w:r w:rsidR="0074373C">
        <w:t>eplizumab</w:t>
      </w:r>
      <w:proofErr w:type="spellEnd"/>
      <w:r w:rsidR="0074373C">
        <w:t>)</w:t>
      </w:r>
      <w:r w:rsidR="00CD3D54" w:rsidRPr="00CD3D54">
        <w:rPr>
          <w:rFonts w:ascii="CIDFont+F1" w:hAnsi="CIDFont+F1" w:cs="CIDFont+F1"/>
          <w:sz w:val="21"/>
          <w:szCs w:val="21"/>
        </w:rPr>
        <w:t xml:space="preserve"> </w:t>
      </w:r>
      <w:r w:rsidR="00CD3D54" w:rsidRPr="00CD3D54">
        <w:t>2 mg/2 mL Concentrated injection vial</w:t>
      </w:r>
      <w:r w:rsidRPr="0017005C">
        <w:t>, indicated for:</w:t>
      </w:r>
    </w:p>
    <w:p w14:paraId="679C1CA6" w14:textId="0A5C2902" w:rsidR="00CD3D54" w:rsidRPr="000C6767" w:rsidRDefault="000C6767" w:rsidP="000C6767">
      <w:pPr>
        <w:ind w:left="720"/>
        <w:rPr>
          <w:i/>
          <w:iCs/>
        </w:rPr>
      </w:pPr>
      <w:r w:rsidRPr="000C6767">
        <w:rPr>
          <w:i/>
          <w:iCs/>
        </w:rPr>
        <w:t>Tzield is indicated to delay the onset of Stage 3 type 1 diabetes mellitus (T1D) in adult</w:t>
      </w:r>
      <w:r>
        <w:rPr>
          <w:i/>
          <w:iCs/>
        </w:rPr>
        <w:t xml:space="preserve"> </w:t>
      </w:r>
      <w:r w:rsidRPr="000C6767">
        <w:rPr>
          <w:i/>
          <w:iCs/>
        </w:rPr>
        <w:t>and paediatric patients aged 8 years and older with Stage 2 type 1 diabetes mellitus (see</w:t>
      </w:r>
      <w:r>
        <w:rPr>
          <w:i/>
          <w:iCs/>
        </w:rPr>
        <w:t xml:space="preserve"> </w:t>
      </w:r>
      <w:r w:rsidRPr="000C6767">
        <w:rPr>
          <w:i/>
          <w:iCs/>
        </w:rPr>
        <w:t>Section 5.1 Pharmacodynamic Properties – Clinical trials).</w:t>
      </w:r>
    </w:p>
    <w:p w14:paraId="0D732DA4" w14:textId="74882685" w:rsidR="00854D98" w:rsidRPr="00D23139" w:rsidRDefault="00854D98" w:rsidP="00324268">
      <w:pPr>
        <w:pStyle w:val="Heading3"/>
      </w:pPr>
      <w:bookmarkStart w:id="86" w:name="_Toc103679301"/>
      <w:bookmarkStart w:id="87" w:name="_Toc235627224"/>
      <w:r w:rsidRPr="00D23139">
        <w:t>Specific conditions of registration</w:t>
      </w:r>
      <w:bookmarkEnd w:id="87"/>
      <w:r w:rsidRPr="00D23139">
        <w:t xml:space="preserve"> </w:t>
      </w:r>
      <w:bookmarkEnd w:id="86"/>
    </w:p>
    <w:p w14:paraId="7AC0D28A" w14:textId="273448A9" w:rsidR="00BB3E60" w:rsidRPr="009748CB" w:rsidRDefault="00BB3E60" w:rsidP="009748CB">
      <w:pPr>
        <w:pStyle w:val="ListBullet"/>
      </w:pPr>
      <w:r w:rsidRPr="009748CB">
        <w:t>T</w:t>
      </w:r>
      <w:r w:rsidR="000E70EA" w:rsidRPr="009748CB">
        <w:t>zield</w:t>
      </w:r>
      <w:r w:rsidRPr="009748CB">
        <w:t xml:space="preserve"> (teplizumab) is to be included in the Black Triangle Scheme. The PI and CMI for</w:t>
      </w:r>
      <w:r w:rsidR="000E70EA" w:rsidRPr="009748CB">
        <w:t xml:space="preserve"> </w:t>
      </w:r>
      <w:r w:rsidRPr="009748CB">
        <w:t>T</w:t>
      </w:r>
      <w:r w:rsidR="00CA21F6">
        <w:t>zield</w:t>
      </w:r>
      <w:r w:rsidRPr="009748CB">
        <w:t xml:space="preserve"> must include the black triangle symbol and mandatory accompanying text for</w:t>
      </w:r>
      <w:r w:rsidR="000E70EA" w:rsidRPr="009748CB">
        <w:t xml:space="preserve"> </w:t>
      </w:r>
      <w:r w:rsidRPr="009748CB">
        <w:t>five years, which starts from the date of first supply of the product.</w:t>
      </w:r>
    </w:p>
    <w:p w14:paraId="498F7E82" w14:textId="6E352F76" w:rsidR="00BB3E60" w:rsidRPr="009748CB" w:rsidRDefault="00BB3E60" w:rsidP="009748CB">
      <w:pPr>
        <w:pStyle w:val="ListBullet"/>
      </w:pPr>
      <w:r w:rsidRPr="009748CB">
        <w:lastRenderedPageBreak/>
        <w:t>The T</w:t>
      </w:r>
      <w:r w:rsidR="00CA21F6">
        <w:t>zield</w:t>
      </w:r>
      <w:r w:rsidRPr="009748CB">
        <w:t xml:space="preserve"> EU-Risk Management Plan (RMP) version 0.2 </w:t>
      </w:r>
      <w:r w:rsidR="00800D27" w:rsidRPr="009748CB">
        <w:t>(</w:t>
      </w:r>
      <w:r w:rsidRPr="009748CB">
        <w:t>dated 8 July 2025; data</w:t>
      </w:r>
      <w:r w:rsidR="009748CB" w:rsidRPr="009748CB">
        <w:t xml:space="preserve"> </w:t>
      </w:r>
      <w:r w:rsidRPr="009748CB">
        <w:t xml:space="preserve">lock point 31 August 2024), with Australia-Specific Annex (ASA) version 1.1 </w:t>
      </w:r>
      <w:r w:rsidR="00800D27" w:rsidRPr="009748CB">
        <w:t>(</w:t>
      </w:r>
      <w:r w:rsidRPr="009748CB">
        <w:t>dated</w:t>
      </w:r>
      <w:r w:rsidR="009748CB" w:rsidRPr="009748CB">
        <w:t xml:space="preserve"> </w:t>
      </w:r>
      <w:r w:rsidRPr="009748CB">
        <w:t>September 2025), included with submission PM-2025-00088-1-2, and any</w:t>
      </w:r>
      <w:r w:rsidR="009748CB" w:rsidRPr="009748CB">
        <w:t xml:space="preserve"> </w:t>
      </w:r>
      <w:r w:rsidRPr="009748CB">
        <w:t>subsequent revisions, as agreed with the TGA will be implemented in Australia.</w:t>
      </w:r>
    </w:p>
    <w:p w14:paraId="5CAA7731" w14:textId="109A992B" w:rsidR="00BB3E60" w:rsidRDefault="00BB3E60" w:rsidP="00333C81">
      <w:pPr>
        <w:pStyle w:val="ListBullet"/>
      </w:pPr>
      <w:r>
        <w:t>An obligatory component of risk management plans is routine pharmacovigilance.</w:t>
      </w:r>
      <w:r w:rsidR="00CD428D">
        <w:t xml:space="preserve"> </w:t>
      </w:r>
      <w:r>
        <w:t>Routine pharmacovigilance includes the submission of periodic safety update</w:t>
      </w:r>
      <w:r w:rsidR="00CD428D">
        <w:t xml:space="preserve"> </w:t>
      </w:r>
      <w:r>
        <w:t>reports (PSURs).</w:t>
      </w:r>
    </w:p>
    <w:p w14:paraId="2E999560" w14:textId="17AEC503" w:rsidR="00BB3E60" w:rsidRDefault="00BB3E60" w:rsidP="0031177A">
      <w:pPr>
        <w:pStyle w:val="ListBullet"/>
        <w:numPr>
          <w:ilvl w:val="0"/>
          <w:numId w:val="0"/>
        </w:numPr>
        <w:ind w:left="360"/>
      </w:pPr>
      <w:r>
        <w:t>Unless agreed separately between the supplier who is the recipient of the approval</w:t>
      </w:r>
      <w:r w:rsidR="00CD428D">
        <w:t xml:space="preserve"> </w:t>
      </w:r>
      <w:r>
        <w:t>and the TGA, the first report must be submitted to TGA no later than 15 calendar</w:t>
      </w:r>
      <w:r w:rsidR="00CD428D">
        <w:t xml:space="preserve"> </w:t>
      </w:r>
      <w:r>
        <w:t>months after the date of this approval letter. The subsequent reports must be</w:t>
      </w:r>
      <w:r w:rsidR="00CD428D">
        <w:t xml:space="preserve"> </w:t>
      </w:r>
      <w:r>
        <w:t>submitted no less frequently than annually from the date of the first submitted</w:t>
      </w:r>
      <w:r w:rsidR="00CD428D">
        <w:t xml:space="preserve"> </w:t>
      </w:r>
      <w:r>
        <w:t>report until the period covered by such reports is not less than three years from the</w:t>
      </w:r>
      <w:r w:rsidR="00CD428D">
        <w:t xml:space="preserve"> </w:t>
      </w:r>
      <w:r>
        <w:t>date of this approval letter. The annual submission may be made up of two PSURs</w:t>
      </w:r>
      <w:r w:rsidR="0031177A">
        <w:t xml:space="preserve"> </w:t>
      </w:r>
      <w:r>
        <w:t xml:space="preserve">each covering six months. If the sponsor wishes, the </w:t>
      </w:r>
      <w:r w:rsidR="0031177A">
        <w:t>six-monthly</w:t>
      </w:r>
      <w:r>
        <w:t xml:space="preserve"> reports may be</w:t>
      </w:r>
      <w:r w:rsidR="0031177A">
        <w:t xml:space="preserve"> </w:t>
      </w:r>
      <w:r>
        <w:t>submitted separately as they become available.</w:t>
      </w:r>
    </w:p>
    <w:p w14:paraId="35C24828" w14:textId="63C56F45" w:rsidR="00BB3E60" w:rsidRDefault="00BB3E60" w:rsidP="0031177A">
      <w:pPr>
        <w:pStyle w:val="ListBullet"/>
        <w:numPr>
          <w:ilvl w:val="0"/>
          <w:numId w:val="0"/>
        </w:numPr>
        <w:ind w:left="360"/>
      </w:pPr>
      <w:r>
        <w:t>If the product is approved in the EU during the three years period, reports can be</w:t>
      </w:r>
      <w:r w:rsidR="0031177A">
        <w:t xml:space="preserve"> </w:t>
      </w:r>
      <w:r>
        <w:t>provided in line with the published list of EU reference dates no less frequently than</w:t>
      </w:r>
      <w:r w:rsidR="0031177A">
        <w:t xml:space="preserve"> </w:t>
      </w:r>
      <w:r>
        <w:t>annually from the date of the first submitted report until the period covered by such</w:t>
      </w:r>
      <w:r w:rsidR="0031177A">
        <w:t xml:space="preserve"> </w:t>
      </w:r>
      <w:r>
        <w:t>reports is not less than three years from the date of this approval letter.</w:t>
      </w:r>
    </w:p>
    <w:p w14:paraId="4A79F5AD" w14:textId="339CBEF0" w:rsidR="00BB3E60" w:rsidRDefault="00BB3E60" w:rsidP="00417361">
      <w:pPr>
        <w:pStyle w:val="ListBullet"/>
        <w:numPr>
          <w:ilvl w:val="0"/>
          <w:numId w:val="0"/>
        </w:numPr>
        <w:ind w:left="360"/>
      </w:pPr>
      <w:r>
        <w:t>The reports are to at least meet the requirements for PSURs as described in the</w:t>
      </w:r>
      <w:r w:rsidR="00417361">
        <w:t xml:space="preserve"> </w:t>
      </w:r>
      <w:r>
        <w:t>European Medicines Agency’s Guideline on good pharmacovigilance practices (GVP)</w:t>
      </w:r>
      <w:r w:rsidR="00417361">
        <w:t xml:space="preserve"> </w:t>
      </w:r>
      <w:r>
        <w:t>Module VII-periodic safety update report (Rev 1), Part VII.B Structures and</w:t>
      </w:r>
      <w:r w:rsidR="00417361">
        <w:t xml:space="preserve"> </w:t>
      </w:r>
      <w:r>
        <w:t>processes. Note that submission of a PSUR does not constitute an application to vary</w:t>
      </w:r>
      <w:r w:rsidR="00417361">
        <w:t xml:space="preserve"> </w:t>
      </w:r>
      <w:r>
        <w:t>the registration. Each report must be submitted within ninety calendar days of the</w:t>
      </w:r>
      <w:r w:rsidR="00417361">
        <w:t xml:space="preserve"> </w:t>
      </w:r>
      <w:r>
        <w:t>data lock point for that report.</w:t>
      </w:r>
    </w:p>
    <w:p w14:paraId="43D2CFC7" w14:textId="5BA5DB3A" w:rsidR="00BB3E60" w:rsidRPr="00D16192" w:rsidRDefault="00BB3E60" w:rsidP="00BB3E60">
      <w:pPr>
        <w:pStyle w:val="ListBullet"/>
        <w:rPr>
          <w:b/>
          <w:bCs/>
        </w:rPr>
      </w:pPr>
      <w:r w:rsidRPr="00D16192">
        <w:rPr>
          <w:b/>
          <w:bCs/>
        </w:rPr>
        <w:t>L</w:t>
      </w:r>
      <w:r w:rsidR="00D16192" w:rsidRPr="00D16192">
        <w:rPr>
          <w:b/>
          <w:bCs/>
        </w:rPr>
        <w:t>aboratory</w:t>
      </w:r>
      <w:r w:rsidRPr="00D16192">
        <w:rPr>
          <w:b/>
          <w:bCs/>
        </w:rPr>
        <w:t xml:space="preserve"> testing &amp; compliance with Certified Product Details (CPD)</w:t>
      </w:r>
    </w:p>
    <w:p w14:paraId="52E13BD9" w14:textId="51F258DA" w:rsidR="007F692E" w:rsidRDefault="00BB3E60" w:rsidP="007F692E">
      <w:pPr>
        <w:pStyle w:val="Numberbullet0"/>
        <w:numPr>
          <w:ilvl w:val="0"/>
          <w:numId w:val="27"/>
        </w:numPr>
      </w:pPr>
      <w:r>
        <w:t>All batches of T</w:t>
      </w:r>
      <w:r w:rsidR="007F692E">
        <w:t>zield</w:t>
      </w:r>
      <w:r>
        <w:t xml:space="preserve"> supplied in Australia must comply with the product details</w:t>
      </w:r>
      <w:r w:rsidR="007F692E">
        <w:t xml:space="preserve"> </w:t>
      </w:r>
      <w:r>
        <w:t>and specifications approved during evaluation and detailed in the Certified Product</w:t>
      </w:r>
      <w:r w:rsidR="007F692E">
        <w:t xml:space="preserve"> </w:t>
      </w:r>
      <w:r>
        <w:t>Details (CPD).</w:t>
      </w:r>
    </w:p>
    <w:p w14:paraId="1BE498F6" w14:textId="2AF1FA23" w:rsidR="00BB3E60" w:rsidRDefault="00BB3E60" w:rsidP="00333C81">
      <w:pPr>
        <w:pStyle w:val="Numberbullet0"/>
        <w:numPr>
          <w:ilvl w:val="0"/>
          <w:numId w:val="27"/>
        </w:numPr>
      </w:pPr>
      <w:r>
        <w:t>When requested by the TGA, the Sponsor should be prepared to provide product</w:t>
      </w:r>
      <w:r w:rsidR="002C50D8">
        <w:t xml:space="preserve"> </w:t>
      </w:r>
      <w:r>
        <w:t>samples, specified reference materials and documentary evidence to enable the TGA to</w:t>
      </w:r>
      <w:r w:rsidR="002C50D8">
        <w:t xml:space="preserve"> </w:t>
      </w:r>
      <w:r>
        <w:t>conduct laboratory testing on the Product. Outcomes of laboratory testing are</w:t>
      </w:r>
      <w:r w:rsidR="002C50D8">
        <w:t xml:space="preserve"> </w:t>
      </w:r>
      <w:r>
        <w:t>published biannually in the TGA Database of Laboratory Testing Results</w:t>
      </w:r>
      <w:r w:rsidR="002C50D8">
        <w:t xml:space="preserve"> </w:t>
      </w:r>
      <w:r w:rsidRPr="002C50D8">
        <w:rPr>
          <w:color w:val="0000FF"/>
        </w:rPr>
        <w:t xml:space="preserve">http://www.tga.gov.au/ws-labs-index </w:t>
      </w:r>
      <w:r>
        <w:t>and periodically in testing reports on the TGA</w:t>
      </w:r>
      <w:r w:rsidR="002C50D8">
        <w:t xml:space="preserve"> </w:t>
      </w:r>
      <w:r>
        <w:t>website.</w:t>
      </w:r>
    </w:p>
    <w:p w14:paraId="2BCCCED7" w14:textId="5D15665D" w:rsidR="00BB3E60" w:rsidRPr="002C50D8" w:rsidRDefault="00BB3E60" w:rsidP="00BB3E60">
      <w:pPr>
        <w:pStyle w:val="ListBullet"/>
        <w:rPr>
          <w:b/>
          <w:bCs/>
        </w:rPr>
      </w:pPr>
      <w:r w:rsidRPr="002C50D8">
        <w:rPr>
          <w:b/>
          <w:bCs/>
        </w:rPr>
        <w:t>Certified Product Details</w:t>
      </w:r>
    </w:p>
    <w:p w14:paraId="3648EBCA" w14:textId="56153835" w:rsidR="00BB3E60" w:rsidRDefault="00BB3E60" w:rsidP="002C50D8">
      <w:pPr>
        <w:pStyle w:val="ListBullet"/>
        <w:numPr>
          <w:ilvl w:val="0"/>
          <w:numId w:val="0"/>
        </w:numPr>
        <w:ind w:left="360"/>
      </w:pPr>
      <w:r>
        <w:t xml:space="preserve">The Certified Product Details (CPD), as described in Guidance 7: </w:t>
      </w:r>
      <w:r w:rsidR="00EA490F">
        <w:t>CPD</w:t>
      </w:r>
      <w:r>
        <w:t xml:space="preserve"> of the Australian Regulatory Guidelines for Prescription Medicines (ARGPM),</w:t>
      </w:r>
      <w:r w:rsidR="002C50D8">
        <w:t xml:space="preserve"> </w:t>
      </w:r>
      <w:r>
        <w:t>in PDF format, for the above products should be provided upon registration of these</w:t>
      </w:r>
      <w:r w:rsidR="002C50D8">
        <w:t xml:space="preserve"> </w:t>
      </w:r>
      <w:r>
        <w:t>therapeutic goods. In addition, an updated CPD should be provided when changes to</w:t>
      </w:r>
      <w:r w:rsidR="002C50D8">
        <w:t xml:space="preserve"> </w:t>
      </w:r>
      <w:r>
        <w:t>finished product specifications and test methods are approved in a Category 3</w:t>
      </w:r>
      <w:r w:rsidR="002C50D8">
        <w:t xml:space="preserve"> </w:t>
      </w:r>
      <w:r>
        <w:t>application or notified through a self-assessable change.</w:t>
      </w:r>
    </w:p>
    <w:p w14:paraId="4B4E5A7E" w14:textId="4465F203" w:rsidR="00BB3E60" w:rsidRDefault="00BB3E60" w:rsidP="005017A3">
      <w:pPr>
        <w:pStyle w:val="ListBullet"/>
        <w:numPr>
          <w:ilvl w:val="0"/>
          <w:numId w:val="0"/>
        </w:numPr>
        <w:ind w:left="360"/>
      </w:pPr>
      <w:r>
        <w:t>A template for preparation of CPD for biological prescription medicines can be</w:t>
      </w:r>
      <w:r w:rsidR="002C50D8">
        <w:t xml:space="preserve"> </w:t>
      </w:r>
      <w:r>
        <w:t>obtained from the TGA website</w:t>
      </w:r>
      <w:r w:rsidR="001F66E7">
        <w:t xml:space="preserve"> </w:t>
      </w:r>
      <w:r>
        <w:rPr>
          <w:color w:val="000000"/>
        </w:rPr>
        <w:t xml:space="preserve">[for the form] </w:t>
      </w:r>
      <w:hyperlink r:id="rId64" w:history="1">
        <w:r w:rsidR="001F66E7" w:rsidRPr="00A435BF">
          <w:rPr>
            <w:rStyle w:val="Hyperlink"/>
          </w:rPr>
          <w:t>https://www.tga.gov.au/form/certified-product-details-cpd-biologicalprescription-medicines</w:t>
        </w:r>
      </w:hyperlink>
      <w:r w:rsidR="001F66E7">
        <w:t xml:space="preserve"> </w:t>
      </w:r>
      <w:r w:rsidR="005017A3">
        <w:t xml:space="preserve">and </w:t>
      </w:r>
      <w:r>
        <w:rPr>
          <w:color w:val="000000"/>
        </w:rPr>
        <w:t xml:space="preserve">[for the CPD guidance] </w:t>
      </w:r>
      <w:hyperlink r:id="rId65" w:history="1">
        <w:r w:rsidR="005017A3" w:rsidRPr="00A435BF">
          <w:rPr>
            <w:rStyle w:val="Hyperlink"/>
          </w:rPr>
          <w:t>https://www.tga.gov.au/guidance-7-certified-product-details</w:t>
        </w:r>
      </w:hyperlink>
      <w:r w:rsidR="005017A3">
        <w:t xml:space="preserve"> </w:t>
      </w:r>
    </w:p>
    <w:p w14:paraId="4855E960" w14:textId="21A95AF8" w:rsidR="00BB3E60" w:rsidRDefault="00BB3E60" w:rsidP="00333C81">
      <w:pPr>
        <w:pStyle w:val="ListBullet"/>
      </w:pPr>
      <w:r>
        <w:t>The sponsor should provide the TGA with the final clinical study reports (CSRs) of</w:t>
      </w:r>
      <w:r w:rsidR="00324268">
        <w:t xml:space="preserve"> </w:t>
      </w:r>
      <w:r>
        <w:t>the following studies, once available:</w:t>
      </w:r>
    </w:p>
    <w:p w14:paraId="22E6D427" w14:textId="03938ADF" w:rsidR="00BB3E60" w:rsidRDefault="00BB3E60" w:rsidP="00324268">
      <w:pPr>
        <w:pStyle w:val="ListBullet2"/>
      </w:pPr>
      <w:r>
        <w:t>Phase 4 PETITE-T1D study (PRV-031-005)</w:t>
      </w:r>
    </w:p>
    <w:p w14:paraId="0C65B290" w14:textId="05B48596" w:rsidR="00BB3E60" w:rsidRDefault="00BB3E60" w:rsidP="00324268">
      <w:pPr>
        <w:pStyle w:val="ListBullet2"/>
      </w:pPr>
      <w:r>
        <w:lastRenderedPageBreak/>
        <w:t>US Registry Study (OBS18177)</w:t>
      </w:r>
    </w:p>
    <w:p w14:paraId="34800259" w14:textId="2A3051CE" w:rsidR="00BB3E60" w:rsidRDefault="00BB3E60" w:rsidP="00324268">
      <w:pPr>
        <w:pStyle w:val="ListBullet2"/>
      </w:pPr>
      <w:r>
        <w:t>Global Registry Study (OBS18565)</w:t>
      </w:r>
    </w:p>
    <w:p w14:paraId="2DE6E77A" w14:textId="2E215D0B" w:rsidR="00BB3E60" w:rsidRDefault="00BB3E60" w:rsidP="00324268">
      <w:pPr>
        <w:pStyle w:val="ListBullet2"/>
      </w:pPr>
      <w:r>
        <w:t>TEPLIZUMAB RMM SURVEY study (OBS21717)</w:t>
      </w:r>
    </w:p>
    <w:p w14:paraId="3B169E24" w14:textId="63D362FC" w:rsidR="00BB3E60" w:rsidRDefault="00BB3E60" w:rsidP="00324268">
      <w:pPr>
        <w:pStyle w:val="ListBullet"/>
        <w:numPr>
          <w:ilvl w:val="0"/>
          <w:numId w:val="0"/>
        </w:numPr>
        <w:ind w:left="360"/>
      </w:pPr>
      <w:r>
        <w:t>The applicant should finalise the healthcare professional guide and patient guide</w:t>
      </w:r>
      <w:r w:rsidR="00324268">
        <w:t xml:space="preserve"> </w:t>
      </w:r>
      <w:r>
        <w:t>materials referenced in the RMP to the satisfaction of the post-market evaluation</w:t>
      </w:r>
      <w:r w:rsidR="00324268">
        <w:t xml:space="preserve"> </w:t>
      </w:r>
      <w:r>
        <w:t>area of the TGA, prior to supply.</w:t>
      </w:r>
    </w:p>
    <w:p w14:paraId="0F9C1952" w14:textId="46BD475E" w:rsidR="00BA657C" w:rsidRPr="00BA657C" w:rsidRDefault="00BA657C" w:rsidP="004D4AD5">
      <w:pPr>
        <w:pStyle w:val="Heading3"/>
      </w:pPr>
      <w:bookmarkStart w:id="88" w:name="_Toc196738290"/>
      <w:bookmarkStart w:id="89" w:name="_Toc235627225"/>
      <w:r w:rsidRPr="00BA657C">
        <w:t>Product Information and Consumer Medicine Information</w:t>
      </w:r>
      <w:bookmarkEnd w:id="89"/>
      <w:r w:rsidRPr="00BA657C">
        <w:t xml:space="preserve"> </w:t>
      </w:r>
      <w:bookmarkEnd w:id="88"/>
    </w:p>
    <w:p w14:paraId="5F276616" w14:textId="6667B73D" w:rsidR="004D0933" w:rsidRPr="004D0933" w:rsidRDefault="004D0933" w:rsidP="004D0933">
      <w:bookmarkStart w:id="90" w:name="_Hlk200021736"/>
      <w:r w:rsidRPr="004D0933">
        <w:t xml:space="preserve">For the most recent Product Information (PI) and Consumer Medicine Information (CMI), please refer to the TGA </w:t>
      </w:r>
      <w:hyperlink r:id="rId66" w:history="1">
        <w:r w:rsidRPr="004D0933">
          <w:rPr>
            <w:rStyle w:val="Hyperlink"/>
          </w:rPr>
          <w:t>PI/CMI search facility.</w:t>
        </w:r>
      </w:hyperlink>
    </w:p>
    <w:bookmarkEnd w:id="90"/>
    <w:p w14:paraId="53357BF3" w14:textId="276457B5" w:rsidR="00C22214" w:rsidRDefault="00C22214" w:rsidP="00C22214">
      <w:pPr>
        <w:rPr>
          <w:lang w:eastAsia="ja-JP"/>
        </w:rPr>
        <w:sectPr w:rsidR="00C22214" w:rsidSect="007452E8">
          <w:headerReference w:type="default" r:id="rId67"/>
          <w:footerReference w:type="default" r:id="rId68"/>
          <w:pgSz w:w="11906" w:h="16838" w:code="9"/>
          <w:pgMar w:top="1134" w:right="1418" w:bottom="1361"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215D48" w14:paraId="3C0C07BF" w14:textId="77777777" w:rsidTr="007452E8">
        <w:trPr>
          <w:trHeight w:hRule="exact" w:val="565"/>
          <w:jc w:val="center"/>
        </w:trPr>
        <w:tc>
          <w:tcPr>
            <w:tcW w:w="9145" w:type="dxa"/>
          </w:tcPr>
          <w:bookmarkEnd w:id="2"/>
          <w:bookmarkEnd w:id="3"/>
          <w:p w14:paraId="7E090B86" w14:textId="77777777" w:rsidR="00F02AEC" w:rsidRPr="00215D48" w:rsidRDefault="00F02AEC" w:rsidP="007452E8">
            <w:pPr>
              <w:pStyle w:val="TGASignoff"/>
            </w:pPr>
            <w:r w:rsidRPr="00215D48">
              <w:lastRenderedPageBreak/>
              <w:t>Therapeutic Goods Administration</w:t>
            </w:r>
          </w:p>
        </w:tc>
      </w:tr>
      <w:tr w:rsidR="00F02AEC" w:rsidRPr="00215D48" w14:paraId="70F47EA1" w14:textId="77777777" w:rsidTr="007452E8">
        <w:trPr>
          <w:trHeight w:val="963"/>
          <w:jc w:val="center"/>
        </w:trPr>
        <w:tc>
          <w:tcPr>
            <w:tcW w:w="9145" w:type="dxa"/>
            <w:tcMar>
              <w:top w:w="28" w:type="dxa"/>
            </w:tcMar>
          </w:tcPr>
          <w:p w14:paraId="3491EBCD" w14:textId="77777777" w:rsidR="00F02AEC" w:rsidRPr="00215D48" w:rsidRDefault="00F02AEC" w:rsidP="007452E8">
            <w:pPr>
              <w:pStyle w:val="Address"/>
              <w:jc w:val="center"/>
            </w:pPr>
            <w:r w:rsidRPr="00215D48">
              <w:t>PO Box 100 Woden ACT 2606 Australia</w:t>
            </w:r>
          </w:p>
          <w:p w14:paraId="5D0FE0E7" w14:textId="53CB9479" w:rsidR="00F02AEC" w:rsidRDefault="00F02AEC">
            <w:pPr>
              <w:pStyle w:val="Address"/>
              <w:jc w:val="center"/>
              <w:rPr>
                <w:sz w:val="22"/>
                <w:szCs w:val="22"/>
              </w:rPr>
            </w:pPr>
            <w:r w:rsidRPr="00215D48">
              <w:t xml:space="preserve">Email: </w:t>
            </w:r>
            <w:hyperlink r:id="rId69"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4533D80F" w14:textId="1519D7A3" w:rsidR="00F02AEC" w:rsidRPr="00215D48" w:rsidRDefault="00F02AEC">
            <w:pPr>
              <w:pStyle w:val="Address"/>
              <w:jc w:val="center"/>
              <w:rPr>
                <w:rStyle w:val="Hyperlink"/>
                <w:b/>
                <w:color w:val="auto"/>
                <w:sz w:val="22"/>
              </w:rPr>
            </w:pPr>
            <w:hyperlink r:id="rId70" w:history="1">
              <w:r w:rsidRPr="00C4721A">
                <w:rPr>
                  <w:rStyle w:val="Hyperlink"/>
                  <w:b/>
                </w:rPr>
                <w:t>https://www.tga.gov.au</w:t>
              </w:r>
            </w:hyperlink>
          </w:p>
        </w:tc>
      </w:tr>
      <w:tr w:rsidR="00F02AEC" w:rsidRPr="00215D48" w14:paraId="2AD74347" w14:textId="77777777" w:rsidTr="007452E8">
        <w:trPr>
          <w:trHeight w:val="251"/>
          <w:jc w:val="center"/>
        </w:trPr>
        <w:tc>
          <w:tcPr>
            <w:tcW w:w="9145" w:type="dxa"/>
            <w:tcMar>
              <w:top w:w="28" w:type="dxa"/>
            </w:tcMar>
          </w:tcPr>
          <w:p w14:paraId="6EAAD5C1" w14:textId="77777777" w:rsidR="00F02AEC" w:rsidRPr="00215D48" w:rsidRDefault="00F02AEC" w:rsidP="007452E8">
            <w:pPr>
              <w:pStyle w:val="Address"/>
              <w:jc w:val="center"/>
            </w:pPr>
            <w:r w:rsidRPr="00215D48">
              <w:t>Reference/Publication #</w:t>
            </w:r>
          </w:p>
        </w:tc>
      </w:tr>
    </w:tbl>
    <w:p w14:paraId="788B80FD" w14:textId="77777777" w:rsidR="007452E8" w:rsidRDefault="007452E8"/>
    <w:sectPr w:rsidR="007452E8" w:rsidSect="007452E8">
      <w:headerReference w:type="first" r:id="rId71"/>
      <w:footerReference w:type="first" r:id="rId72"/>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AA70" w14:textId="77777777" w:rsidR="001521FC" w:rsidRDefault="001521FC" w:rsidP="00F02AEC">
      <w:pPr>
        <w:spacing w:after="0" w:line="240" w:lineRule="auto"/>
      </w:pPr>
      <w:r>
        <w:separator/>
      </w:r>
    </w:p>
  </w:endnote>
  <w:endnote w:type="continuationSeparator" w:id="0">
    <w:p w14:paraId="43AAC74F" w14:textId="77777777" w:rsidR="001521FC" w:rsidRDefault="001521FC"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7452E8" w:rsidRPr="00257138" w14:paraId="162D69C2" w14:textId="77777777" w:rsidTr="007452E8">
      <w:trPr>
        <w:trHeight w:val="423"/>
      </w:trPr>
      <w:tc>
        <w:tcPr>
          <w:tcW w:w="4360" w:type="dxa"/>
          <w:tcBorders>
            <w:top w:val="single" w:sz="4" w:space="0" w:color="auto"/>
          </w:tcBorders>
        </w:tcPr>
        <w:p w14:paraId="32E1B782" w14:textId="77777777" w:rsidR="007452E8" w:rsidRDefault="007452E8" w:rsidP="007452E8">
          <w:pPr>
            <w:pStyle w:val="Footer"/>
          </w:pPr>
        </w:p>
        <w:p w14:paraId="1849C07C" w14:textId="77777777" w:rsidR="007452E8" w:rsidRPr="00257138" w:rsidRDefault="007452E8" w:rsidP="007452E8">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EndPr/>
          <w:sdtContent>
            <w:p w14:paraId="606A08BF" w14:textId="77777777" w:rsidR="007452E8" w:rsidRDefault="007452E8" w:rsidP="007452E8">
              <w:pPr>
                <w:pStyle w:val="Footer"/>
                <w:jc w:val="right"/>
              </w:pPr>
            </w:p>
            <w:p w14:paraId="5EDE6DF6" w14:textId="77777777" w:rsidR="007452E8" w:rsidRPr="00257138" w:rsidRDefault="007452E8" w:rsidP="007452E8">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r>
                <w:fldChar w:fldCharType="begin"/>
              </w:r>
              <w:r>
                <w:instrText>NUMPAGES</w:instrText>
              </w:r>
              <w:r>
                <w:fldChar w:fldCharType="separate"/>
              </w:r>
              <w:r>
                <w:rPr>
                  <w:noProof/>
                </w:rPr>
                <w:t>2</w:t>
              </w:r>
              <w:r>
                <w:fldChar w:fldCharType="end"/>
              </w:r>
            </w:p>
          </w:sdtContent>
        </w:sdt>
      </w:tc>
    </w:tr>
    <w:tr w:rsidR="007452E8" w:rsidRPr="00257138" w14:paraId="280F09C8" w14:textId="77777777" w:rsidTr="007452E8">
      <w:trPr>
        <w:trHeight w:val="263"/>
      </w:trPr>
      <w:tc>
        <w:tcPr>
          <w:tcW w:w="4360" w:type="dxa"/>
        </w:tcPr>
        <w:p w14:paraId="673F06D3" w14:textId="77777777" w:rsidR="007452E8" w:rsidRPr="00257138" w:rsidRDefault="007452E8" w:rsidP="007452E8">
          <w:pPr>
            <w:pStyle w:val="Footer"/>
          </w:pPr>
          <w:r w:rsidRPr="00257138">
            <w:t xml:space="preserve">V1.0 </w:t>
          </w:r>
          <w:r>
            <w:t>Month</w:t>
          </w:r>
          <w:r w:rsidRPr="00257138">
            <w:t xml:space="preserve"> 201</w:t>
          </w:r>
          <w:r>
            <w:t>2</w:t>
          </w:r>
        </w:p>
      </w:tc>
      <w:tc>
        <w:tcPr>
          <w:tcW w:w="4360" w:type="dxa"/>
        </w:tcPr>
        <w:p w14:paraId="77F5B433" w14:textId="77777777" w:rsidR="007452E8" w:rsidRPr="00257138" w:rsidRDefault="007452E8" w:rsidP="007452E8">
          <w:pPr>
            <w:pStyle w:val="Footer"/>
            <w:jc w:val="right"/>
          </w:pPr>
        </w:p>
      </w:tc>
    </w:tr>
  </w:tbl>
  <w:p w14:paraId="63F6FDDE" w14:textId="77777777" w:rsidR="007452E8" w:rsidRPr="00826007" w:rsidRDefault="007452E8" w:rsidP="007452E8">
    <w:pPr>
      <w:pStyle w:val="Footer"/>
      <w:tabs>
        <w:tab w:val="left" w:pos="7620"/>
        <w:tab w:val="right" w:pos="85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A29C" w14:textId="77777777" w:rsidR="007452E8" w:rsidRDefault="007452E8" w:rsidP="007452E8">
    <w:pPr>
      <w:pStyle w:val="Footer"/>
      <w:ind w:left="-1701"/>
    </w:pPr>
    <w:r w:rsidRPr="002B29B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7452E8" w:rsidRPr="004A3084" w14:paraId="6266BC33" w14:textId="77777777" w:rsidTr="007452E8">
      <w:trPr>
        <w:trHeight w:val="423"/>
      </w:trPr>
      <w:tc>
        <w:tcPr>
          <w:tcW w:w="7338" w:type="dxa"/>
          <w:tcBorders>
            <w:top w:val="single" w:sz="4" w:space="0" w:color="auto"/>
          </w:tcBorders>
        </w:tcPr>
        <w:p w14:paraId="3C421323" w14:textId="5DE912DE" w:rsidR="007452E8" w:rsidRPr="004A3084" w:rsidRDefault="007452E8" w:rsidP="007452E8">
          <w:pPr>
            <w:pStyle w:val="Footer"/>
          </w:pPr>
          <w:r w:rsidRPr="00487162">
            <w:t>AusPA</w:t>
          </w:r>
          <w:r>
            <w:t xml:space="preserve">R - </w:t>
          </w:r>
          <w:r w:rsidR="00083FD0">
            <w:t>Tzield</w:t>
          </w:r>
          <w:r>
            <w:t xml:space="preserve"> </w:t>
          </w:r>
          <w:r w:rsidR="000C0008">
            <w:t>– teplizumab –</w:t>
          </w:r>
          <w:r>
            <w:t xml:space="preserve"> S</w:t>
          </w:r>
          <w:r w:rsidR="000C0008">
            <w:t>anofi</w:t>
          </w:r>
          <w:r w:rsidR="00107992">
            <w:t>-</w:t>
          </w:r>
          <w:r w:rsidR="000C0008">
            <w:t>Av</w:t>
          </w:r>
          <w:r w:rsidR="00107992">
            <w:t>e</w:t>
          </w:r>
          <w:r w:rsidR="000C0008">
            <w:t>ntis</w:t>
          </w:r>
          <w:r>
            <w:t xml:space="preserve"> </w:t>
          </w:r>
          <w:r w:rsidR="00107992">
            <w:t>Australia Pty Ltd</w:t>
          </w:r>
          <w:r>
            <w:t>- PM-202</w:t>
          </w:r>
          <w:r w:rsidR="003E71F6">
            <w:t>5</w:t>
          </w:r>
          <w:r w:rsidRPr="00487162">
            <w:t>-</w:t>
          </w:r>
          <w:r w:rsidR="003E71F6">
            <w:t>00088</w:t>
          </w:r>
          <w:r w:rsidRPr="00487162">
            <w:t>-</w:t>
          </w:r>
          <w:r w:rsidR="003E71F6">
            <w:t>1</w:t>
          </w:r>
          <w:r w:rsidRPr="00487162">
            <w:t>-</w:t>
          </w:r>
          <w:r w:rsidR="003E71F6">
            <w:t>5</w:t>
          </w:r>
          <w:r>
            <w:br/>
          </w:r>
          <w:r w:rsidR="0014088C">
            <w:t xml:space="preserve">Final </w:t>
          </w:r>
          <w:r w:rsidR="00A67F77">
            <w:t>- 21 July 2026</w:t>
          </w:r>
        </w:p>
      </w:tc>
      <w:tc>
        <w:tcPr>
          <w:tcW w:w="1734" w:type="dxa"/>
          <w:tcBorders>
            <w:top w:val="single" w:sz="4" w:space="0" w:color="auto"/>
          </w:tcBorders>
        </w:tcPr>
        <w:sdt>
          <w:sdtPr>
            <w:id w:val="11571659"/>
            <w:docPartObj>
              <w:docPartGallery w:val="Page Numbers (Top of Page)"/>
              <w:docPartUnique/>
            </w:docPartObj>
          </w:sdtPr>
          <w:sdtEndPr/>
          <w:sdtContent>
            <w:p w14:paraId="4DE4ED0C" w14:textId="29F65FFD" w:rsidR="007452E8" w:rsidRPr="004A3084" w:rsidRDefault="007452E8" w:rsidP="007452E8">
              <w:pPr>
                <w:pStyle w:val="Footer"/>
                <w:jc w:val="right"/>
              </w:pPr>
              <w:r w:rsidRPr="004A3084">
                <w:t xml:space="preserve">Page </w:t>
              </w:r>
              <w:r>
                <w:fldChar w:fldCharType="begin"/>
              </w:r>
              <w:r>
                <w:instrText xml:space="preserve"> PAGE </w:instrText>
              </w:r>
              <w:r>
                <w:fldChar w:fldCharType="separate"/>
              </w:r>
              <w:r w:rsidR="006D6B44">
                <w:rPr>
                  <w:noProof/>
                </w:rPr>
                <w:t>13</w:t>
              </w:r>
              <w:r>
                <w:rPr>
                  <w:noProof/>
                </w:rPr>
                <w:fldChar w:fldCharType="end"/>
              </w:r>
              <w:r w:rsidRPr="004A3084">
                <w:t xml:space="preserve"> of </w:t>
              </w:r>
              <w:r>
                <w:fldChar w:fldCharType="begin"/>
              </w:r>
              <w:r>
                <w:instrText>NUMPAGES</w:instrText>
              </w:r>
              <w:r>
                <w:fldChar w:fldCharType="separate"/>
              </w:r>
              <w:r w:rsidR="006D6B44">
                <w:rPr>
                  <w:noProof/>
                </w:rPr>
                <w:t>17</w:t>
              </w:r>
              <w:r>
                <w:fldChar w:fldCharType="end"/>
              </w:r>
            </w:p>
          </w:sdtContent>
        </w:sdt>
      </w:tc>
    </w:tr>
  </w:tbl>
  <w:p w14:paraId="1A4EDE60" w14:textId="77777777" w:rsidR="007452E8" w:rsidRPr="00826007" w:rsidRDefault="007452E8" w:rsidP="007452E8">
    <w:pPr>
      <w:pStyle w:val="Footer"/>
      <w:tabs>
        <w:tab w:val="left" w:pos="7620"/>
        <w:tab w:val="right" w:pos="8504"/>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70A" w14:textId="77777777" w:rsidR="007452E8" w:rsidRPr="008E3C43" w:rsidRDefault="007452E8" w:rsidP="00745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2497D" w14:textId="77777777" w:rsidR="001521FC" w:rsidRDefault="001521FC" w:rsidP="00F02AEC">
      <w:pPr>
        <w:spacing w:after="0" w:line="240" w:lineRule="auto"/>
      </w:pPr>
      <w:r>
        <w:separator/>
      </w:r>
    </w:p>
  </w:footnote>
  <w:footnote w:type="continuationSeparator" w:id="0">
    <w:p w14:paraId="5A613118" w14:textId="77777777" w:rsidR="001521FC" w:rsidRDefault="001521FC" w:rsidP="00F02AEC">
      <w:pPr>
        <w:spacing w:after="0" w:line="240" w:lineRule="auto"/>
      </w:pPr>
      <w:r>
        <w:continuationSeparator/>
      </w:r>
    </w:p>
  </w:footnote>
  <w:footnote w:id="1">
    <w:p w14:paraId="68402A9B" w14:textId="42E6F8E0" w:rsidR="007452E8" w:rsidRPr="00A93DC6" w:rsidRDefault="007452E8">
      <w:pPr>
        <w:pStyle w:val="FootnoteText"/>
        <w:rPr>
          <w:lang w:val="en-GB"/>
        </w:rPr>
      </w:pPr>
      <w:r>
        <w:rPr>
          <w:rStyle w:val="FootnoteReference"/>
        </w:rPr>
        <w:footnoteRef/>
      </w:r>
      <w:r>
        <w:t xml:space="preserve"> </w:t>
      </w:r>
      <w:r w:rsidR="00FB236E">
        <w:t>This is the original indication proposed by the sponsor</w:t>
      </w:r>
      <w:r w:rsidR="00FB236E">
        <w:rPr>
          <w:lang w:val="en-GB"/>
        </w:rPr>
        <w:t xml:space="preserve"> when the TGA commenced the evaluation of this submission. It </w:t>
      </w:r>
      <w:r w:rsidRPr="007452E8">
        <w:rPr>
          <w:lang w:val="en-GB"/>
        </w:rPr>
        <w:t xml:space="preserve">may </w:t>
      </w:r>
      <w:r w:rsidR="00FB236E">
        <w:rPr>
          <w:lang w:val="en-GB"/>
        </w:rPr>
        <w:t>differ</w:t>
      </w:r>
      <w:r w:rsidRPr="007452E8">
        <w:rPr>
          <w:lang w:val="en-GB"/>
        </w:rPr>
        <w:t xml:space="preserve"> to the final indication approved by th</w:t>
      </w:r>
      <w:r w:rsidR="00FB236E">
        <w:rPr>
          <w:lang w:val="en-GB"/>
        </w:rPr>
        <w:t xml:space="preserve">e TGA and registered </w:t>
      </w:r>
      <w:r w:rsidR="005C4B46">
        <w:rPr>
          <w:lang w:val="en-GB"/>
        </w:rPr>
        <w:t xml:space="preserve">in </w:t>
      </w:r>
      <w:r w:rsidR="00FB236E">
        <w:rPr>
          <w:lang w:val="en-GB"/>
        </w:rPr>
        <w:t>the Australian Register of Therapeutic Goods.</w:t>
      </w:r>
    </w:p>
  </w:footnote>
  <w:footnote w:id="2">
    <w:p w14:paraId="1153DAC1" w14:textId="77777777" w:rsidR="00917EB3" w:rsidRDefault="00917EB3" w:rsidP="00917EB3">
      <w:pPr>
        <w:pStyle w:val="FootnoteText"/>
      </w:pPr>
      <w:r>
        <w:rPr>
          <w:rStyle w:val="FootnoteReference"/>
        </w:rPr>
        <w:footnoteRef/>
      </w:r>
      <w:r>
        <w:t xml:space="preserve"> </w:t>
      </w:r>
      <w:r w:rsidRPr="00AB4FEA">
        <w:t>American Diabetes Association Professional Practice Committee (2024). 2. Diagnosis and Classification of Diabetes: Standards of Care in Diabetes-2024. </w:t>
      </w:r>
      <w:r w:rsidRPr="00AB4FEA">
        <w:rPr>
          <w:i/>
          <w:iCs/>
        </w:rPr>
        <w:t>Diabetes care</w:t>
      </w:r>
      <w:r w:rsidRPr="00AB4FEA">
        <w:t>, </w:t>
      </w:r>
      <w:r w:rsidRPr="00AB4FEA">
        <w:rPr>
          <w:i/>
          <w:iCs/>
        </w:rPr>
        <w:t>47</w:t>
      </w:r>
      <w:r w:rsidRPr="00AB4FEA">
        <w:t xml:space="preserve">(Suppl 1), S20–S42. </w:t>
      </w:r>
      <w:hyperlink r:id="rId1" w:history="1">
        <w:r w:rsidRPr="00781EC3">
          <w:rPr>
            <w:rStyle w:val="Hyperlink"/>
          </w:rPr>
          <w:t>https://doi.org/10.2337/dc24-S002</w:t>
        </w:r>
      </w:hyperlink>
      <w:r>
        <w:t xml:space="preserve"> </w:t>
      </w:r>
    </w:p>
  </w:footnote>
  <w:footnote w:id="3">
    <w:p w14:paraId="1A473ADE" w14:textId="61283216" w:rsidR="00B2032E" w:rsidRDefault="00B2032E">
      <w:pPr>
        <w:pStyle w:val="FootnoteText"/>
      </w:pPr>
      <w:r>
        <w:rPr>
          <w:rStyle w:val="FootnoteReference"/>
        </w:rPr>
        <w:footnoteRef/>
      </w:r>
      <w:r>
        <w:t xml:space="preserve"> </w:t>
      </w:r>
      <w:r w:rsidR="00A8178D" w:rsidRPr="00A8178D">
        <w:t xml:space="preserve">Haller MJ et al. </w:t>
      </w:r>
      <w:r w:rsidR="00A8178D">
        <w:t>(</w:t>
      </w:r>
      <w:r w:rsidR="00A8178D" w:rsidRPr="00A8178D">
        <w:t>2024</w:t>
      </w:r>
      <w:r w:rsidR="00A8178D">
        <w:t>)</w:t>
      </w:r>
      <w:r w:rsidR="00A8178D" w:rsidRPr="00A8178D">
        <w:t xml:space="preserve"> ISPAD Clinical Practice Consensus Guidelines 2024: Screening, Staging, and Strategies to Preserve Beta-Cell Function in Children and Adolescents with Type 1 Diabetes. </w:t>
      </w:r>
      <w:r w:rsidR="00A8178D" w:rsidRPr="00A8178D">
        <w:rPr>
          <w:i/>
          <w:iCs/>
        </w:rPr>
        <w:t xml:space="preserve">Horm Res </w:t>
      </w:r>
      <w:proofErr w:type="spellStart"/>
      <w:r w:rsidR="00A8178D" w:rsidRPr="00A8178D">
        <w:rPr>
          <w:i/>
          <w:iCs/>
        </w:rPr>
        <w:t>Paediatr</w:t>
      </w:r>
      <w:proofErr w:type="spellEnd"/>
      <w:r w:rsidR="00616BB4">
        <w:t>.</w:t>
      </w:r>
      <w:r w:rsidR="00616BB4" w:rsidRPr="00616BB4">
        <w:rPr>
          <w:rFonts w:ascii="Open Sans" w:eastAsiaTheme="minorHAnsi" w:hAnsi="Open Sans" w:cs="Open Sans"/>
          <w:color w:val="333333"/>
          <w:sz w:val="22"/>
          <w:shd w:val="clear" w:color="auto" w:fill="FFFFFF"/>
        </w:rPr>
        <w:t xml:space="preserve"> </w:t>
      </w:r>
      <w:r w:rsidR="00616BB4" w:rsidRPr="00616BB4">
        <w:t>28 December 2024; 97 (6): 529–545. </w:t>
      </w:r>
      <w:hyperlink r:id="rId2" w:tgtFrame="_blank" w:history="1">
        <w:r w:rsidR="00616BB4" w:rsidRPr="00616BB4">
          <w:rPr>
            <w:rStyle w:val="Hyperlink"/>
          </w:rPr>
          <w:t>https://doi.org/10.1159/000543035</w:t>
        </w:r>
      </w:hyperlink>
    </w:p>
  </w:footnote>
  <w:footnote w:id="4">
    <w:p w14:paraId="1DFE6A65" w14:textId="30BF7D6C" w:rsidR="00200D63" w:rsidRDefault="00200D63">
      <w:pPr>
        <w:pStyle w:val="FootnoteText"/>
      </w:pPr>
      <w:r>
        <w:rPr>
          <w:rStyle w:val="FootnoteReference"/>
        </w:rPr>
        <w:footnoteRef/>
      </w:r>
      <w:r>
        <w:t xml:space="preserve"> </w:t>
      </w:r>
      <w:r w:rsidRPr="00200D63">
        <w:t xml:space="preserve">AIHW 2024. Diabetes: Australian facts [online]. Available at: </w:t>
      </w:r>
      <w:hyperlink r:id="rId3" w:history="1">
        <w:r w:rsidRPr="00200D63">
          <w:rPr>
            <w:rStyle w:val="Hyperlink"/>
          </w:rPr>
          <w:t>https://www.aihw.gov.au/reports/diabetes/diabetes/contents/how-common-is-diabetes/type-1-diabetes</w:t>
        </w:r>
      </w:hyperlink>
      <w:r w:rsidRPr="00200D63">
        <w:t xml:space="preserve"> (accessed 11 Dec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F619" w14:textId="254D0A87" w:rsidR="000E2A65" w:rsidRDefault="000E2A65">
    <w:pPr>
      <w:pStyle w:val="Header"/>
    </w:pPr>
    <w:r>
      <w:rPr>
        <w:noProof/>
      </w:rPr>
      <mc:AlternateContent>
        <mc:Choice Requires="wps">
          <w:drawing>
            <wp:anchor distT="0" distB="0" distL="0" distR="0" simplePos="0" relativeHeight="251658242" behindDoc="0" locked="0" layoutInCell="1" allowOverlap="1" wp14:anchorId="1799A56D" wp14:editId="58023AFE">
              <wp:simplePos x="635" y="635"/>
              <wp:positionH relativeFrom="page">
                <wp:align>center</wp:align>
              </wp:positionH>
              <wp:positionV relativeFrom="page">
                <wp:align>top</wp:align>
              </wp:positionV>
              <wp:extent cx="424180" cy="357505"/>
              <wp:effectExtent l="0" t="0" r="13970" b="4445"/>
              <wp:wrapNone/>
              <wp:docPr id="772226340"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4180" cy="357505"/>
                      </a:xfrm>
                      <a:prstGeom prst="rect">
                        <a:avLst/>
                      </a:prstGeom>
                      <a:noFill/>
                      <a:ln>
                        <a:noFill/>
                      </a:ln>
                    </wps:spPr>
                    <wps:txbx>
                      <w:txbxContent>
                        <w:p w14:paraId="36DF5EC5" w14:textId="3243863B" w:rsidR="000E2A65" w:rsidRPr="000E2A65" w:rsidRDefault="000E2A65" w:rsidP="000E2A65">
                          <w:pPr>
                            <w:spacing w:after="0"/>
                            <w:rPr>
                              <w:rFonts w:ascii="Aptos" w:eastAsia="Aptos" w:hAnsi="Aptos" w:cs="Aptos"/>
                              <w:noProof/>
                              <w:color w:val="4A569E"/>
                              <w:sz w:val="20"/>
                            </w:rPr>
                          </w:pPr>
                          <w:r w:rsidRPr="000E2A65">
                            <w:rPr>
                              <w:rFonts w:ascii="Aptos" w:eastAsia="Aptos" w:hAnsi="Aptos" w:cs="Aptos"/>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9A56D" id="_x0000_t202" coordsize="21600,21600" o:spt="202" path="m,l,21600r21600,l21600,xe">
              <v:stroke joinstyle="miter"/>
              <v:path gradientshapeok="t" o:connecttype="rect"/>
            </v:shapetype>
            <v:shape id="Text Box 2" o:spid="_x0000_s1026" type="#_x0000_t202" alt="Internal" style="position:absolute;left:0;text-align:left;margin-left:0;margin-top:0;width:33.4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QCQIAABUEAAAOAAAAZHJzL2Uyb0RvYy54bWysU8Fu2zAMvQ/YPwi6L3ayZuuMOEXWIsOA&#10;oC2QFj0rshQbkERBUmJnXz9KtpOu62nYRaZI+pF8fFrcdFqRo3C+AVPS6SSnRBgOVWP2JX1+Wn+6&#10;psQHZiqmwIiSnoSnN8uPHxatLcQMalCVcARBjC9aW9I6BFtkmee10MxPwAqDQQlOs4BXt88qx1pE&#10;1yqb5fmXrAVXWQdceI/euz5IlwlfSsHDg5ReBKJKir2FdLp07uKZLRes2Dtm64YPbbB/6EKzxmDR&#10;M9QdC4wcXPMXlG64Aw8yTDjoDKRsuEgz4DTT/M0025pZkWZBcrw90+T/Hyy/P27toyOh+w4dLjAS&#10;0lpfeHTGeTrpdPxipwTjSOHpTJvoAuHovJpdTa8xwjH0ef51ns8jSnb52ToffgjQJBoldbiVRBY7&#10;bnzoU8eUWMvAulEqbUaZPxyIGT3ZpcNohW7XDW3voDrhNA76RXvL1w3W3DAfHpnDzWKbqNbwgIdU&#10;0JYUBouSGtyv9/wxHwnHKCUtKqWkBqVMifppcBFRVMmYfsvnOd7c6N6NhjnoW0D9TfEpWJ7MmBfU&#10;aEoH+gV1vIqFMMQMx3IlDaN5G3rJ4jvgYrVKSagfy8LGbC2P0JGnSOJT98KcHZgOuKJ7GGXEijeE&#10;97nxT29Xh4C0p21ETnsiB6pRe2mfwzuJ4n59T1mX17z8DQAA//8DAFBLAwQUAAYACAAAACEAmPez&#10;WtoAAAADAQAADwAAAGRycy9kb3ducmV2LnhtbEyPzU7DMBCE70h9B2uReqNOQIlQiFNVlXrorZSf&#10;8zZekkC8jmK3Tfv0LFzgMtJqVjPflMvJ9epEY+g8G0gXCSji2tuOGwOvL5u7R1AhIlvsPZOBCwVY&#10;VrObEgvrz/xMp31slIRwKNBAG+NQaB3qlhyGhR+Ixfvwo8Mo59hoO+JZwl2v75Mk1w47loYWB1q3&#10;VH/tj85Al618TOltu/l8d6lPr7ttdt0ZM7+dVk+gIk3x7xl+8AUdKmE6+CPboHoDMiT+qnh5LisO&#10;BrL8AXRV6v/s1TcAAAD//wMAUEsBAi0AFAAGAAgAAAAhALaDOJL+AAAA4QEAABMAAAAAAAAAAAAA&#10;AAAAAAAAAFtDb250ZW50X1R5cGVzXS54bWxQSwECLQAUAAYACAAAACEAOP0h/9YAAACUAQAACwAA&#10;AAAAAAAAAAAAAAAvAQAAX3JlbHMvLnJlbHNQSwECLQAUAAYACAAAACEAGwWP0AkCAAAVBAAADgAA&#10;AAAAAAAAAAAAAAAuAgAAZHJzL2Uyb0RvYy54bWxQSwECLQAUAAYACAAAACEAmPezWtoAAAADAQAA&#10;DwAAAAAAAAAAAAAAAABjBAAAZHJzL2Rvd25yZXYueG1sUEsFBgAAAAAEAAQA8wAAAGoFAAAAAA==&#10;" filled="f" stroked="f">
              <v:textbox style="mso-fit-shape-to-text:t" inset="0,15pt,0,0">
                <w:txbxContent>
                  <w:p w14:paraId="36DF5EC5" w14:textId="3243863B" w:rsidR="000E2A65" w:rsidRPr="000E2A65" w:rsidRDefault="000E2A65" w:rsidP="000E2A65">
                    <w:pPr>
                      <w:spacing w:after="0"/>
                      <w:rPr>
                        <w:rFonts w:ascii="Aptos" w:eastAsia="Aptos" w:hAnsi="Aptos" w:cs="Aptos"/>
                        <w:noProof/>
                        <w:color w:val="4A569E"/>
                        <w:sz w:val="20"/>
                      </w:rPr>
                    </w:pPr>
                    <w:r w:rsidRPr="000E2A65">
                      <w:rPr>
                        <w:rFonts w:ascii="Aptos" w:eastAsia="Aptos" w:hAnsi="Aptos" w:cs="Aptos"/>
                        <w:noProof/>
                        <w:color w:val="4A569E"/>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3517" w14:textId="0ED821FB" w:rsidR="007452E8" w:rsidRPr="00CB0550" w:rsidRDefault="000E2A65" w:rsidP="00CB0550">
    <w:pPr>
      <w:pStyle w:val="Header"/>
      <w:jc w:val="left"/>
    </w:pPr>
    <w:r>
      <w:rPr>
        <w:noProof/>
      </w:rPr>
      <mc:AlternateContent>
        <mc:Choice Requires="wps">
          <w:drawing>
            <wp:anchor distT="0" distB="0" distL="0" distR="0" simplePos="0" relativeHeight="251658243" behindDoc="0" locked="0" layoutInCell="1" allowOverlap="1" wp14:anchorId="149C4499" wp14:editId="12897E6A">
              <wp:simplePos x="635" y="635"/>
              <wp:positionH relativeFrom="page">
                <wp:align>center</wp:align>
              </wp:positionH>
              <wp:positionV relativeFrom="page">
                <wp:align>top</wp:align>
              </wp:positionV>
              <wp:extent cx="424180" cy="357505"/>
              <wp:effectExtent l="0" t="0" r="13970" b="4445"/>
              <wp:wrapNone/>
              <wp:docPr id="1716517273"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4180" cy="357505"/>
                      </a:xfrm>
                      <a:prstGeom prst="rect">
                        <a:avLst/>
                      </a:prstGeom>
                      <a:noFill/>
                      <a:ln>
                        <a:noFill/>
                      </a:ln>
                    </wps:spPr>
                    <wps:txbx>
                      <w:txbxContent>
                        <w:p w14:paraId="391FDF5E" w14:textId="16C8E906" w:rsidR="000E2A65" w:rsidRPr="000E2A65" w:rsidRDefault="000E2A65" w:rsidP="000E2A65">
                          <w:pPr>
                            <w:spacing w:after="0"/>
                            <w:rPr>
                              <w:rFonts w:ascii="Aptos" w:eastAsia="Aptos" w:hAnsi="Aptos" w:cs="Aptos"/>
                              <w:noProof/>
                              <w:color w:val="4A569E"/>
                              <w:sz w:val="20"/>
                            </w:rPr>
                          </w:pPr>
                          <w:r w:rsidRPr="000E2A65">
                            <w:rPr>
                              <w:rFonts w:ascii="Aptos" w:eastAsia="Aptos" w:hAnsi="Aptos" w:cs="Aptos"/>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9C4499" id="_x0000_t202" coordsize="21600,21600" o:spt="202" path="m,l,21600r21600,l21600,xe">
              <v:stroke joinstyle="miter"/>
              <v:path gradientshapeok="t" o:connecttype="rect"/>
            </v:shapetype>
            <v:shape id="Text Box 3" o:spid="_x0000_s1027" type="#_x0000_t202" alt="Internal" style="position:absolute;margin-left:0;margin-top:0;width:33.4pt;height:28.1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TQDAIAABwEAAAOAAAAZHJzL2Uyb0RvYy54bWysU8Fu2zAMvQ/YPwi6L3ayZuuMOEXWIsOA&#10;oi2QDj0rshQbkEVBYmJnXz9KjpOu22nYRaZI+pF8fFrc9K1hB+VDA7bk00nOmbISqsbuSv7jef3h&#10;mrOAwlbCgFUlP6rAb5bv3y06V6gZ1GAq5RmB2FB0ruQ1oiuyLMhatSJMwClLQQ2+FUhXv8sqLzpC&#10;b002y/NPWQe+ch6kCoG8d0OQLxO+1krio9ZBITMlp94wnT6d23hmy4Uodl64upGnNsQ/dNGKxlLR&#10;M9SdQMH2vvkDqm2khwAaJxLaDLRupEoz0DTT/M00m1o4lWYhcoI70xT+H6x8OGzck2fYf4WeFhgJ&#10;6VwoAjnjPL32bfxSp4ziROHxTJvqkUlyXs2uptcUkRT6OP88z+cRJbv87HzAbwpaFo2Se9pKIksc&#10;7gMOqWNKrGVh3RiTNmPsbw7CjJ7s0mG0sN/2rKledb+F6khDeRj2HZxcN1T6XgR8Ep4WTN2SaPGR&#10;Dm2gKzmcLM5q8D//5o/5xDtFOetIMCW3pGjOzHdL+4jaSsb0Sz7P6eZH93Y07L69BZLhlF6Ek8mM&#10;eWhGU3toX0jOq1iIQsJKKldyHM1bHJRLz0Gq1SolkYycwHu7cTJCR7oil8/9i/DuRDjSph5gVJMo&#10;3vA+5MY/g1vtkdhPS4nUDkSeGCcJprWenkvU+Ot7yro86uUvAAAA//8DAFBLAwQUAAYACAAAACEA&#10;mPezWtoAAAADAQAADwAAAGRycy9kb3ducmV2LnhtbEyPzU7DMBCE70h9B2uReqNOQIlQiFNVlXro&#10;rZSf8zZekkC8jmK3Tfv0LFzgMtJqVjPflMvJ9epEY+g8G0gXCSji2tuOGwOvL5u7R1AhIlvsPZOB&#10;CwVYVrObEgvrz/xMp31slIRwKNBAG+NQaB3qlhyGhR+Ixfvwo8Mo59hoO+JZwl2v75Mk1w47loYW&#10;B1q3VH/tj85Al618TOltu/l8d6lPr7ttdt0ZM7+dVk+gIk3x7xl+8AUdKmE6+CPboHoDMiT+qnh5&#10;LisOBrL8AXRV6v/s1TcAAAD//wMAUEsBAi0AFAAGAAgAAAAhALaDOJL+AAAA4QEAABMAAAAAAAAA&#10;AAAAAAAAAAAAAFtDb250ZW50X1R5cGVzXS54bWxQSwECLQAUAAYACAAAACEAOP0h/9YAAACUAQAA&#10;CwAAAAAAAAAAAAAAAAAvAQAAX3JlbHMvLnJlbHNQSwECLQAUAAYACAAAACEAt4aE0AwCAAAcBAAA&#10;DgAAAAAAAAAAAAAAAAAuAgAAZHJzL2Uyb0RvYy54bWxQSwECLQAUAAYACAAAACEAmPezWtoAAAAD&#10;AQAADwAAAAAAAAAAAAAAAABmBAAAZHJzL2Rvd25yZXYueG1sUEsFBgAAAAAEAAQA8wAAAG0FAAAA&#10;AA==&#10;" filled="f" stroked="f">
              <v:textbox style="mso-fit-shape-to-text:t" inset="0,15pt,0,0">
                <w:txbxContent>
                  <w:p w14:paraId="391FDF5E" w14:textId="16C8E906" w:rsidR="000E2A65" w:rsidRPr="000E2A65" w:rsidRDefault="000E2A65" w:rsidP="000E2A65">
                    <w:pPr>
                      <w:spacing w:after="0"/>
                      <w:rPr>
                        <w:rFonts w:ascii="Aptos" w:eastAsia="Aptos" w:hAnsi="Aptos" w:cs="Aptos"/>
                        <w:noProof/>
                        <w:color w:val="4A569E"/>
                        <w:sz w:val="20"/>
                      </w:rPr>
                    </w:pPr>
                    <w:r w:rsidRPr="000E2A65">
                      <w:rPr>
                        <w:rFonts w:ascii="Aptos" w:eastAsia="Aptos" w:hAnsi="Aptos" w:cs="Aptos"/>
                        <w:noProof/>
                        <w:color w:val="4A569E"/>
                        <w:sz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7452E8" w:rsidRPr="002B29B2" w14:paraId="3E15C3BC" w14:textId="77777777" w:rsidTr="007452E8">
      <w:trPr>
        <w:trHeight w:hRule="exact" w:val="8845"/>
      </w:trPr>
      <w:tc>
        <w:tcPr>
          <w:tcW w:w="11964" w:type="dxa"/>
          <w:vAlign w:val="center"/>
        </w:tcPr>
        <w:p w14:paraId="6FDE4BFB" w14:textId="08B6C09A" w:rsidR="007452E8" w:rsidRPr="002B29B2" w:rsidRDefault="001521FC" w:rsidP="007452E8">
          <w:pPr>
            <w:ind w:left="-57"/>
            <w:rPr>
              <w:noProof/>
            </w:rPr>
          </w:pPr>
          <w:sdt>
            <w:sdtPr>
              <w:rPr>
                <w:noProof/>
              </w:rPr>
              <w:id w:val="1926993388"/>
              <w:showingPlcHdr/>
              <w:picture/>
            </w:sdtPr>
            <w:sdtEndPr/>
            <w:sdtContent>
              <w:r w:rsidR="007452E8" w:rsidRPr="00F71E1E">
                <w:rPr>
                  <w:noProof/>
                  <w:lang w:val="en-GB" w:eastAsia="en-GB"/>
                </w:rPr>
                <w:drawing>
                  <wp:inline distT="0" distB="0" distL="0" distR="0" wp14:anchorId="5C7F8AC9" wp14:editId="23FC1BBE">
                    <wp:extent cx="7631430" cy="5523865"/>
                    <wp:effectExtent l="0" t="0" r="7620" b="635"/>
                    <wp:docPr id="370616657" name="Picture 37061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1430" cy="5523865"/>
                            </a:xfrm>
                            <a:prstGeom prst="rect">
                              <a:avLst/>
                            </a:prstGeom>
                            <a:noFill/>
                            <a:ln w="9525">
                              <a:noFill/>
                              <a:miter lim="800000"/>
                              <a:headEnd/>
                              <a:tailEnd/>
                            </a:ln>
                          </pic:spPr>
                        </pic:pic>
                      </a:graphicData>
                    </a:graphic>
                  </wp:inline>
                </w:drawing>
              </w:r>
            </w:sdtContent>
          </w:sdt>
        </w:p>
      </w:tc>
    </w:tr>
  </w:tbl>
  <w:p w14:paraId="6402DE55" w14:textId="38802056" w:rsidR="007452E8" w:rsidRDefault="0006693A" w:rsidP="007452E8">
    <w:pPr>
      <w:rPr>
        <w:noProof/>
      </w:rPr>
    </w:pPr>
    <w:r>
      <w:rPr>
        <w:noProof/>
      </w:rPr>
      <w:drawing>
        <wp:inline distT="0" distB="0" distL="0" distR="0" wp14:anchorId="26654E9F" wp14:editId="78E105AB">
          <wp:extent cx="3344545" cy="694055"/>
          <wp:effectExtent l="0" t="0" r="8255" b="0"/>
          <wp:docPr id="435492072"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7861" name="Picture 2"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7452E8" w:rsidRPr="002B29B2">
      <w:rPr>
        <w:noProof/>
        <w:lang w:val="en-GB" w:eastAsia="en-GB"/>
      </w:rPr>
      <w:drawing>
        <wp:anchor distT="0" distB="0" distL="114300" distR="114300" simplePos="0" relativeHeight="251658240" behindDoc="0" locked="0" layoutInCell="0" allowOverlap="1" wp14:anchorId="14BBEAC1" wp14:editId="5D9F0498">
          <wp:simplePos x="0" y="0"/>
          <wp:positionH relativeFrom="page">
            <wp:align>left</wp:align>
          </wp:positionH>
          <wp:positionV relativeFrom="page">
            <wp:posOffset>3239495</wp:posOffset>
          </wp:positionV>
          <wp:extent cx="7663815" cy="4323091"/>
          <wp:effectExtent l="0" t="0" r="0" b="1270"/>
          <wp:wrapNone/>
          <wp:docPr id="1184758538" name="Picture 118475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632D" w14:textId="0AE1A476" w:rsidR="007452E8" w:rsidRDefault="007452E8" w:rsidP="007452E8">
    <w:pPr>
      <w:pStyle w:val="Header"/>
    </w:pPr>
    <w:r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477B" w14:textId="0571C83D" w:rsidR="007452E8" w:rsidRPr="00FE501F" w:rsidRDefault="007452E8" w:rsidP="007452E8">
    <w:pPr>
      <w:pStyle w:val="Headerno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70C"/>
    <w:multiLevelType w:val="hybridMultilevel"/>
    <w:tmpl w:val="70D88C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5A00C7"/>
    <w:multiLevelType w:val="hybridMultilevel"/>
    <w:tmpl w:val="45CC2FD0"/>
    <w:lvl w:ilvl="0" w:tplc="C2D03DB8">
      <w:start w:val="1"/>
      <w:numFmt w:val="bullet"/>
      <w:pStyle w:val="AufzhlungKstchen"/>
      <w:lvlText w:val=""/>
      <w:lvlJc w:val="left"/>
      <w:pPr>
        <w:ind w:left="360" w:hanging="360"/>
      </w:pPr>
      <w:rPr>
        <w:rFonts w:ascii="Wingdings" w:hAnsi="Wingdings" w:hint="default"/>
      </w:rPr>
    </w:lvl>
    <w:lvl w:ilvl="1" w:tplc="4FD8AA04">
      <w:start w:val="1"/>
      <w:numFmt w:val="bullet"/>
      <w:lvlText w:val="-"/>
      <w:lvlJc w:val="left"/>
      <w:pPr>
        <w:ind w:left="1080" w:hanging="360"/>
      </w:pPr>
      <w:rPr>
        <w:rFonts w:ascii="Courier New" w:hAnsi="Courier New" w:hint="default"/>
      </w:rPr>
    </w:lvl>
    <w:lvl w:ilvl="2" w:tplc="E0FEF79A">
      <w:start w:val="1"/>
      <w:numFmt w:val="bullet"/>
      <w:lvlText w:val=""/>
      <w:lvlJc w:val="left"/>
      <w:pPr>
        <w:ind w:left="1800" w:hanging="360"/>
      </w:pPr>
      <w:rPr>
        <w:rFonts w:ascii="Wingdings" w:hAnsi="Wingdings" w:hint="default"/>
      </w:rPr>
    </w:lvl>
    <w:lvl w:ilvl="3" w:tplc="51023B16" w:tentative="1">
      <w:start w:val="1"/>
      <w:numFmt w:val="bullet"/>
      <w:lvlText w:val=""/>
      <w:lvlJc w:val="left"/>
      <w:pPr>
        <w:ind w:left="2520" w:hanging="360"/>
      </w:pPr>
      <w:rPr>
        <w:rFonts w:ascii="Symbol" w:hAnsi="Symbol" w:hint="default"/>
      </w:rPr>
    </w:lvl>
    <w:lvl w:ilvl="4" w:tplc="2FD2096A" w:tentative="1">
      <w:start w:val="1"/>
      <w:numFmt w:val="bullet"/>
      <w:lvlText w:val="o"/>
      <w:lvlJc w:val="left"/>
      <w:pPr>
        <w:ind w:left="3240" w:hanging="360"/>
      </w:pPr>
      <w:rPr>
        <w:rFonts w:ascii="Courier New" w:hAnsi="Courier New" w:cs="Courier New" w:hint="default"/>
      </w:rPr>
    </w:lvl>
    <w:lvl w:ilvl="5" w:tplc="9EE8BBE8" w:tentative="1">
      <w:start w:val="1"/>
      <w:numFmt w:val="bullet"/>
      <w:lvlText w:val=""/>
      <w:lvlJc w:val="left"/>
      <w:pPr>
        <w:ind w:left="3960" w:hanging="360"/>
      </w:pPr>
      <w:rPr>
        <w:rFonts w:ascii="Wingdings" w:hAnsi="Wingdings" w:hint="default"/>
      </w:rPr>
    </w:lvl>
    <w:lvl w:ilvl="6" w:tplc="4DE25F0C" w:tentative="1">
      <w:start w:val="1"/>
      <w:numFmt w:val="bullet"/>
      <w:lvlText w:val=""/>
      <w:lvlJc w:val="left"/>
      <w:pPr>
        <w:ind w:left="4680" w:hanging="360"/>
      </w:pPr>
      <w:rPr>
        <w:rFonts w:ascii="Symbol" w:hAnsi="Symbol" w:hint="default"/>
      </w:rPr>
    </w:lvl>
    <w:lvl w:ilvl="7" w:tplc="CDCC8AC0" w:tentative="1">
      <w:start w:val="1"/>
      <w:numFmt w:val="bullet"/>
      <w:lvlText w:val="o"/>
      <w:lvlJc w:val="left"/>
      <w:pPr>
        <w:ind w:left="5400" w:hanging="360"/>
      </w:pPr>
      <w:rPr>
        <w:rFonts w:ascii="Courier New" w:hAnsi="Courier New" w:cs="Courier New" w:hint="default"/>
      </w:rPr>
    </w:lvl>
    <w:lvl w:ilvl="8" w:tplc="71B0FDC8" w:tentative="1">
      <w:start w:val="1"/>
      <w:numFmt w:val="bullet"/>
      <w:lvlText w:val=""/>
      <w:lvlJc w:val="left"/>
      <w:pPr>
        <w:ind w:left="6120" w:hanging="360"/>
      </w:pPr>
      <w:rPr>
        <w:rFonts w:ascii="Wingdings" w:hAnsi="Wingdings" w:hint="default"/>
      </w:rPr>
    </w:lvl>
  </w:abstractNum>
  <w:abstractNum w:abstractNumId="2" w15:restartNumberingAfterBreak="0">
    <w:nsid w:val="10053F11"/>
    <w:multiLevelType w:val="multilevel"/>
    <w:tmpl w:val="9B4A173E"/>
    <w:styleLink w:val="NumberBullet"/>
    <w:lvl w:ilvl="0">
      <w:start w:val="1"/>
      <w:numFmt w:val="decimal"/>
      <w:pStyle w:val="Numberbullet0"/>
      <w:lvlText w:val="%1."/>
      <w:lvlJc w:val="left"/>
      <w:pPr>
        <w:ind w:left="720" w:hanging="360"/>
      </w:pPr>
      <w:rPr>
        <w:rFonts w:ascii="Arial" w:hAnsi="Arial" w:hint="default"/>
      </w:rPr>
    </w:lvl>
    <w:lvl w:ilvl="1">
      <w:start w:val="1"/>
      <w:numFmt w:val="lowerLetter"/>
      <w:pStyle w:val="Numberbullet2"/>
      <w:lvlText w:val="%2."/>
      <w:lvlJc w:val="left"/>
      <w:pPr>
        <w:ind w:left="1211" w:hanging="426"/>
      </w:pPr>
      <w:rPr>
        <w:rFonts w:hint="default"/>
      </w:rPr>
    </w:lvl>
    <w:lvl w:ilvl="2">
      <w:start w:val="1"/>
      <w:numFmt w:val="lowerRoman"/>
      <w:lvlText w:val="%3."/>
      <w:lvlJc w:val="left"/>
      <w:pPr>
        <w:ind w:left="1636" w:hanging="425"/>
      </w:pPr>
      <w:rPr>
        <w:rFonts w:hint="default"/>
      </w:rPr>
    </w:lvl>
    <w:lvl w:ilvl="3">
      <w:start w:val="1"/>
      <w:numFmt w:val="none"/>
      <w:lvlText w:val=""/>
      <w:lvlJc w:val="left"/>
      <w:pPr>
        <w:ind w:left="1636" w:hanging="425"/>
      </w:pPr>
      <w:rPr>
        <w:rFonts w:hint="default"/>
      </w:rPr>
    </w:lvl>
    <w:lvl w:ilvl="4">
      <w:start w:val="1"/>
      <w:numFmt w:val="none"/>
      <w:lvlText w:val=""/>
      <w:lvlJc w:val="left"/>
      <w:pPr>
        <w:ind w:left="1636" w:hanging="425"/>
      </w:pPr>
      <w:rPr>
        <w:rFonts w:hint="default"/>
      </w:rPr>
    </w:lvl>
    <w:lvl w:ilvl="5">
      <w:start w:val="1"/>
      <w:numFmt w:val="none"/>
      <w:lvlText w:val=""/>
      <w:lvlJc w:val="left"/>
      <w:pPr>
        <w:ind w:left="1636" w:hanging="425"/>
      </w:pPr>
      <w:rPr>
        <w:rFonts w:hint="default"/>
      </w:rPr>
    </w:lvl>
    <w:lvl w:ilvl="6">
      <w:start w:val="1"/>
      <w:numFmt w:val="none"/>
      <w:lvlText w:val="%7"/>
      <w:lvlJc w:val="left"/>
      <w:pPr>
        <w:ind w:left="1636" w:hanging="425"/>
      </w:pPr>
      <w:rPr>
        <w:rFonts w:hint="default"/>
      </w:rPr>
    </w:lvl>
    <w:lvl w:ilvl="7">
      <w:start w:val="1"/>
      <w:numFmt w:val="none"/>
      <w:lvlText w:val=""/>
      <w:lvlJc w:val="left"/>
      <w:pPr>
        <w:ind w:left="1636" w:hanging="425"/>
      </w:pPr>
      <w:rPr>
        <w:rFonts w:hint="default"/>
      </w:rPr>
    </w:lvl>
    <w:lvl w:ilvl="8">
      <w:start w:val="1"/>
      <w:numFmt w:val="none"/>
      <w:lvlText w:val=""/>
      <w:lvlJc w:val="left"/>
      <w:pPr>
        <w:ind w:left="1636" w:hanging="425"/>
      </w:pPr>
      <w:rPr>
        <w:rFonts w:hint="default"/>
      </w:rPr>
    </w:lvl>
  </w:abstractNum>
  <w:abstractNum w:abstractNumId="3" w15:restartNumberingAfterBreak="0">
    <w:nsid w:val="11954162"/>
    <w:multiLevelType w:val="hybridMultilevel"/>
    <w:tmpl w:val="21E0E150"/>
    <w:lvl w:ilvl="0" w:tplc="66A8C192">
      <w:start w:val="1"/>
      <w:numFmt w:val="bullet"/>
      <w:lvlText w:val=""/>
      <w:lvlJc w:val="left"/>
      <w:pPr>
        <w:ind w:left="720" w:hanging="360"/>
      </w:pPr>
      <w:rPr>
        <w:rFonts w:ascii="Symbol" w:hAnsi="Symbol"/>
      </w:rPr>
    </w:lvl>
    <w:lvl w:ilvl="1" w:tplc="816C6ABA">
      <w:start w:val="1"/>
      <w:numFmt w:val="bullet"/>
      <w:lvlText w:val=""/>
      <w:lvlJc w:val="left"/>
      <w:pPr>
        <w:ind w:left="720" w:hanging="360"/>
      </w:pPr>
      <w:rPr>
        <w:rFonts w:ascii="Symbol" w:hAnsi="Symbol"/>
      </w:rPr>
    </w:lvl>
    <w:lvl w:ilvl="2" w:tplc="FA228082">
      <w:start w:val="1"/>
      <w:numFmt w:val="bullet"/>
      <w:lvlText w:val=""/>
      <w:lvlJc w:val="left"/>
      <w:pPr>
        <w:ind w:left="720" w:hanging="360"/>
      </w:pPr>
      <w:rPr>
        <w:rFonts w:ascii="Symbol" w:hAnsi="Symbol"/>
      </w:rPr>
    </w:lvl>
    <w:lvl w:ilvl="3" w:tplc="5FFA528C">
      <w:start w:val="1"/>
      <w:numFmt w:val="bullet"/>
      <w:lvlText w:val=""/>
      <w:lvlJc w:val="left"/>
      <w:pPr>
        <w:ind w:left="720" w:hanging="360"/>
      </w:pPr>
      <w:rPr>
        <w:rFonts w:ascii="Symbol" w:hAnsi="Symbol"/>
      </w:rPr>
    </w:lvl>
    <w:lvl w:ilvl="4" w:tplc="1ADE0C1E">
      <w:start w:val="1"/>
      <w:numFmt w:val="bullet"/>
      <w:lvlText w:val=""/>
      <w:lvlJc w:val="left"/>
      <w:pPr>
        <w:ind w:left="720" w:hanging="360"/>
      </w:pPr>
      <w:rPr>
        <w:rFonts w:ascii="Symbol" w:hAnsi="Symbol"/>
      </w:rPr>
    </w:lvl>
    <w:lvl w:ilvl="5" w:tplc="1FC2A16A">
      <w:start w:val="1"/>
      <w:numFmt w:val="bullet"/>
      <w:lvlText w:val=""/>
      <w:lvlJc w:val="left"/>
      <w:pPr>
        <w:ind w:left="720" w:hanging="360"/>
      </w:pPr>
      <w:rPr>
        <w:rFonts w:ascii="Symbol" w:hAnsi="Symbol"/>
      </w:rPr>
    </w:lvl>
    <w:lvl w:ilvl="6" w:tplc="CC9273EE">
      <w:start w:val="1"/>
      <w:numFmt w:val="bullet"/>
      <w:lvlText w:val=""/>
      <w:lvlJc w:val="left"/>
      <w:pPr>
        <w:ind w:left="720" w:hanging="360"/>
      </w:pPr>
      <w:rPr>
        <w:rFonts w:ascii="Symbol" w:hAnsi="Symbol"/>
      </w:rPr>
    </w:lvl>
    <w:lvl w:ilvl="7" w:tplc="D0167D44">
      <w:start w:val="1"/>
      <w:numFmt w:val="bullet"/>
      <w:lvlText w:val=""/>
      <w:lvlJc w:val="left"/>
      <w:pPr>
        <w:ind w:left="720" w:hanging="360"/>
      </w:pPr>
      <w:rPr>
        <w:rFonts w:ascii="Symbol" w:hAnsi="Symbol"/>
      </w:rPr>
    </w:lvl>
    <w:lvl w:ilvl="8" w:tplc="19C639C8">
      <w:start w:val="1"/>
      <w:numFmt w:val="bullet"/>
      <w:lvlText w:val=""/>
      <w:lvlJc w:val="left"/>
      <w:pPr>
        <w:ind w:left="720" w:hanging="360"/>
      </w:pPr>
      <w:rPr>
        <w:rFonts w:ascii="Symbol" w:hAnsi="Symbol"/>
      </w:rPr>
    </w:lvl>
  </w:abstractNum>
  <w:abstractNum w:abstractNumId="4"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168F13E9"/>
    <w:multiLevelType w:val="multilevel"/>
    <w:tmpl w:val="520883D8"/>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17A53F58"/>
    <w:multiLevelType w:val="hybridMultilevel"/>
    <w:tmpl w:val="9006CE9C"/>
    <w:lvl w:ilvl="0" w:tplc="CCE608D2">
      <w:start w:val="1"/>
      <w:numFmt w:val="bullet"/>
      <w:lvlText w:val=""/>
      <w:lvlJc w:val="left"/>
      <w:pPr>
        <w:ind w:left="720" w:hanging="360"/>
      </w:pPr>
      <w:rPr>
        <w:rFonts w:ascii="Symbol" w:hAnsi="Symbol"/>
      </w:rPr>
    </w:lvl>
    <w:lvl w:ilvl="1" w:tplc="DD000D32">
      <w:start w:val="1"/>
      <w:numFmt w:val="bullet"/>
      <w:lvlText w:val=""/>
      <w:lvlJc w:val="left"/>
      <w:pPr>
        <w:ind w:left="720" w:hanging="360"/>
      </w:pPr>
      <w:rPr>
        <w:rFonts w:ascii="Symbol" w:hAnsi="Symbol"/>
      </w:rPr>
    </w:lvl>
    <w:lvl w:ilvl="2" w:tplc="B9A68454">
      <w:start w:val="1"/>
      <w:numFmt w:val="bullet"/>
      <w:lvlText w:val=""/>
      <w:lvlJc w:val="left"/>
      <w:pPr>
        <w:ind w:left="720" w:hanging="360"/>
      </w:pPr>
      <w:rPr>
        <w:rFonts w:ascii="Symbol" w:hAnsi="Symbol"/>
      </w:rPr>
    </w:lvl>
    <w:lvl w:ilvl="3" w:tplc="0F56BB88">
      <w:start w:val="1"/>
      <w:numFmt w:val="bullet"/>
      <w:lvlText w:val=""/>
      <w:lvlJc w:val="left"/>
      <w:pPr>
        <w:ind w:left="720" w:hanging="360"/>
      </w:pPr>
      <w:rPr>
        <w:rFonts w:ascii="Symbol" w:hAnsi="Symbol"/>
      </w:rPr>
    </w:lvl>
    <w:lvl w:ilvl="4" w:tplc="CD46838A">
      <w:start w:val="1"/>
      <w:numFmt w:val="bullet"/>
      <w:lvlText w:val=""/>
      <w:lvlJc w:val="left"/>
      <w:pPr>
        <w:ind w:left="720" w:hanging="360"/>
      </w:pPr>
      <w:rPr>
        <w:rFonts w:ascii="Symbol" w:hAnsi="Symbol"/>
      </w:rPr>
    </w:lvl>
    <w:lvl w:ilvl="5" w:tplc="BBAA1BCC">
      <w:start w:val="1"/>
      <w:numFmt w:val="bullet"/>
      <w:lvlText w:val=""/>
      <w:lvlJc w:val="left"/>
      <w:pPr>
        <w:ind w:left="720" w:hanging="360"/>
      </w:pPr>
      <w:rPr>
        <w:rFonts w:ascii="Symbol" w:hAnsi="Symbol"/>
      </w:rPr>
    </w:lvl>
    <w:lvl w:ilvl="6" w:tplc="BF04908C">
      <w:start w:val="1"/>
      <w:numFmt w:val="bullet"/>
      <w:lvlText w:val=""/>
      <w:lvlJc w:val="left"/>
      <w:pPr>
        <w:ind w:left="720" w:hanging="360"/>
      </w:pPr>
      <w:rPr>
        <w:rFonts w:ascii="Symbol" w:hAnsi="Symbol"/>
      </w:rPr>
    </w:lvl>
    <w:lvl w:ilvl="7" w:tplc="E4DC650E">
      <w:start w:val="1"/>
      <w:numFmt w:val="bullet"/>
      <w:lvlText w:val=""/>
      <w:lvlJc w:val="left"/>
      <w:pPr>
        <w:ind w:left="720" w:hanging="360"/>
      </w:pPr>
      <w:rPr>
        <w:rFonts w:ascii="Symbol" w:hAnsi="Symbol"/>
      </w:rPr>
    </w:lvl>
    <w:lvl w:ilvl="8" w:tplc="2CE8444E">
      <w:start w:val="1"/>
      <w:numFmt w:val="bullet"/>
      <w:lvlText w:val=""/>
      <w:lvlJc w:val="left"/>
      <w:pPr>
        <w:ind w:left="720" w:hanging="360"/>
      </w:pPr>
      <w:rPr>
        <w:rFonts w:ascii="Symbol" w:hAnsi="Symbol"/>
      </w:rPr>
    </w:lvl>
  </w:abstractNum>
  <w:abstractNum w:abstractNumId="7" w15:restartNumberingAfterBreak="0">
    <w:nsid w:val="1A6A0220"/>
    <w:multiLevelType w:val="hybridMultilevel"/>
    <w:tmpl w:val="7910ED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E6065A"/>
    <w:multiLevelType w:val="hybridMultilevel"/>
    <w:tmpl w:val="AB2422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FB1C56"/>
    <w:multiLevelType w:val="multilevel"/>
    <w:tmpl w:val="339EBC96"/>
    <w:lvl w:ilvl="0">
      <w:start w:val="1"/>
      <w:numFmt w:val="bullet"/>
      <w:pStyle w:val="ListBullet-dotick"/>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0" w15:restartNumberingAfterBreak="0">
    <w:nsid w:val="2B05265E"/>
    <w:multiLevelType w:val="hybridMultilevel"/>
    <w:tmpl w:val="621C5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6836578"/>
    <w:multiLevelType w:val="hybridMultilevel"/>
    <w:tmpl w:val="F350D9EC"/>
    <w:lvl w:ilvl="0" w:tplc="B8AAF4A2">
      <w:start w:val="1"/>
      <w:numFmt w:val="bullet"/>
      <w:lvlText w:val=""/>
      <w:lvlJc w:val="left"/>
      <w:pPr>
        <w:ind w:left="720" w:hanging="360"/>
      </w:pPr>
      <w:rPr>
        <w:rFonts w:ascii="Symbol" w:hAnsi="Symbol"/>
      </w:rPr>
    </w:lvl>
    <w:lvl w:ilvl="1" w:tplc="B63ED5FC">
      <w:start w:val="1"/>
      <w:numFmt w:val="bullet"/>
      <w:lvlText w:val=""/>
      <w:lvlJc w:val="left"/>
      <w:pPr>
        <w:ind w:left="720" w:hanging="360"/>
      </w:pPr>
      <w:rPr>
        <w:rFonts w:ascii="Symbol" w:hAnsi="Symbol"/>
      </w:rPr>
    </w:lvl>
    <w:lvl w:ilvl="2" w:tplc="C9C41D84">
      <w:start w:val="1"/>
      <w:numFmt w:val="bullet"/>
      <w:lvlText w:val=""/>
      <w:lvlJc w:val="left"/>
      <w:pPr>
        <w:ind w:left="720" w:hanging="360"/>
      </w:pPr>
      <w:rPr>
        <w:rFonts w:ascii="Symbol" w:hAnsi="Symbol"/>
      </w:rPr>
    </w:lvl>
    <w:lvl w:ilvl="3" w:tplc="A9FCBD70">
      <w:start w:val="1"/>
      <w:numFmt w:val="bullet"/>
      <w:lvlText w:val=""/>
      <w:lvlJc w:val="left"/>
      <w:pPr>
        <w:ind w:left="720" w:hanging="360"/>
      </w:pPr>
      <w:rPr>
        <w:rFonts w:ascii="Symbol" w:hAnsi="Symbol"/>
      </w:rPr>
    </w:lvl>
    <w:lvl w:ilvl="4" w:tplc="28B4DAE8">
      <w:start w:val="1"/>
      <w:numFmt w:val="bullet"/>
      <w:lvlText w:val=""/>
      <w:lvlJc w:val="left"/>
      <w:pPr>
        <w:ind w:left="720" w:hanging="360"/>
      </w:pPr>
      <w:rPr>
        <w:rFonts w:ascii="Symbol" w:hAnsi="Symbol"/>
      </w:rPr>
    </w:lvl>
    <w:lvl w:ilvl="5" w:tplc="7C5A0216">
      <w:start w:val="1"/>
      <w:numFmt w:val="bullet"/>
      <w:lvlText w:val=""/>
      <w:lvlJc w:val="left"/>
      <w:pPr>
        <w:ind w:left="720" w:hanging="360"/>
      </w:pPr>
      <w:rPr>
        <w:rFonts w:ascii="Symbol" w:hAnsi="Symbol"/>
      </w:rPr>
    </w:lvl>
    <w:lvl w:ilvl="6" w:tplc="5D96E20E">
      <w:start w:val="1"/>
      <w:numFmt w:val="bullet"/>
      <w:lvlText w:val=""/>
      <w:lvlJc w:val="left"/>
      <w:pPr>
        <w:ind w:left="720" w:hanging="360"/>
      </w:pPr>
      <w:rPr>
        <w:rFonts w:ascii="Symbol" w:hAnsi="Symbol"/>
      </w:rPr>
    </w:lvl>
    <w:lvl w:ilvl="7" w:tplc="B96E25EA">
      <w:start w:val="1"/>
      <w:numFmt w:val="bullet"/>
      <w:lvlText w:val=""/>
      <w:lvlJc w:val="left"/>
      <w:pPr>
        <w:ind w:left="720" w:hanging="360"/>
      </w:pPr>
      <w:rPr>
        <w:rFonts w:ascii="Symbol" w:hAnsi="Symbol"/>
      </w:rPr>
    </w:lvl>
    <w:lvl w:ilvl="8" w:tplc="ECF04C6A">
      <w:start w:val="1"/>
      <w:numFmt w:val="bullet"/>
      <w:lvlText w:val=""/>
      <w:lvlJc w:val="left"/>
      <w:pPr>
        <w:ind w:left="720" w:hanging="360"/>
      </w:pPr>
      <w:rPr>
        <w:rFonts w:ascii="Symbol" w:hAnsi="Symbol"/>
      </w:rPr>
    </w:lvl>
  </w:abstractNum>
  <w:abstractNum w:abstractNumId="12"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3" w15:restartNumberingAfterBreak="0">
    <w:nsid w:val="4F8D23DB"/>
    <w:multiLevelType w:val="hybridMultilevel"/>
    <w:tmpl w:val="9A4A81D0"/>
    <w:lvl w:ilvl="0" w:tplc="898EA3AA">
      <w:start w:val="1"/>
      <w:numFmt w:val="bullet"/>
      <w:lvlText w:val=""/>
      <w:lvlJc w:val="left"/>
      <w:pPr>
        <w:ind w:left="720" w:hanging="360"/>
      </w:pPr>
      <w:rPr>
        <w:rFonts w:ascii="Symbol" w:hAnsi="Symbol"/>
      </w:rPr>
    </w:lvl>
    <w:lvl w:ilvl="1" w:tplc="403E12E2">
      <w:start w:val="1"/>
      <w:numFmt w:val="bullet"/>
      <w:lvlText w:val=""/>
      <w:lvlJc w:val="left"/>
      <w:pPr>
        <w:ind w:left="720" w:hanging="360"/>
      </w:pPr>
      <w:rPr>
        <w:rFonts w:ascii="Symbol" w:hAnsi="Symbol"/>
      </w:rPr>
    </w:lvl>
    <w:lvl w:ilvl="2" w:tplc="C678A248">
      <w:start w:val="1"/>
      <w:numFmt w:val="bullet"/>
      <w:lvlText w:val=""/>
      <w:lvlJc w:val="left"/>
      <w:pPr>
        <w:ind w:left="720" w:hanging="360"/>
      </w:pPr>
      <w:rPr>
        <w:rFonts w:ascii="Symbol" w:hAnsi="Symbol"/>
      </w:rPr>
    </w:lvl>
    <w:lvl w:ilvl="3" w:tplc="4EE4EEBA">
      <w:start w:val="1"/>
      <w:numFmt w:val="bullet"/>
      <w:lvlText w:val=""/>
      <w:lvlJc w:val="left"/>
      <w:pPr>
        <w:ind w:left="720" w:hanging="360"/>
      </w:pPr>
      <w:rPr>
        <w:rFonts w:ascii="Symbol" w:hAnsi="Symbol"/>
      </w:rPr>
    </w:lvl>
    <w:lvl w:ilvl="4" w:tplc="F31E8080">
      <w:start w:val="1"/>
      <w:numFmt w:val="bullet"/>
      <w:lvlText w:val=""/>
      <w:lvlJc w:val="left"/>
      <w:pPr>
        <w:ind w:left="720" w:hanging="360"/>
      </w:pPr>
      <w:rPr>
        <w:rFonts w:ascii="Symbol" w:hAnsi="Symbol"/>
      </w:rPr>
    </w:lvl>
    <w:lvl w:ilvl="5" w:tplc="261AFD6A">
      <w:start w:val="1"/>
      <w:numFmt w:val="bullet"/>
      <w:lvlText w:val=""/>
      <w:lvlJc w:val="left"/>
      <w:pPr>
        <w:ind w:left="720" w:hanging="360"/>
      </w:pPr>
      <w:rPr>
        <w:rFonts w:ascii="Symbol" w:hAnsi="Symbol"/>
      </w:rPr>
    </w:lvl>
    <w:lvl w:ilvl="6" w:tplc="94FC1AF8">
      <w:start w:val="1"/>
      <w:numFmt w:val="bullet"/>
      <w:lvlText w:val=""/>
      <w:lvlJc w:val="left"/>
      <w:pPr>
        <w:ind w:left="720" w:hanging="360"/>
      </w:pPr>
      <w:rPr>
        <w:rFonts w:ascii="Symbol" w:hAnsi="Symbol"/>
      </w:rPr>
    </w:lvl>
    <w:lvl w:ilvl="7" w:tplc="FF503C7C">
      <w:start w:val="1"/>
      <w:numFmt w:val="bullet"/>
      <w:lvlText w:val=""/>
      <w:lvlJc w:val="left"/>
      <w:pPr>
        <w:ind w:left="720" w:hanging="360"/>
      </w:pPr>
      <w:rPr>
        <w:rFonts w:ascii="Symbol" w:hAnsi="Symbol"/>
      </w:rPr>
    </w:lvl>
    <w:lvl w:ilvl="8" w:tplc="E8B4BDE6">
      <w:start w:val="1"/>
      <w:numFmt w:val="bullet"/>
      <w:lvlText w:val=""/>
      <w:lvlJc w:val="left"/>
      <w:pPr>
        <w:ind w:left="720" w:hanging="360"/>
      </w:pPr>
      <w:rPr>
        <w:rFonts w:ascii="Symbol" w:hAnsi="Symbol"/>
      </w:rPr>
    </w:lvl>
  </w:abstractNum>
  <w:abstractNum w:abstractNumId="14"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2AE1AB5"/>
    <w:multiLevelType w:val="hybridMultilevel"/>
    <w:tmpl w:val="985EB4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40A482D"/>
    <w:multiLevelType w:val="hybridMultilevel"/>
    <w:tmpl w:val="4ACE3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D22096"/>
    <w:multiLevelType w:val="hybridMultilevel"/>
    <w:tmpl w:val="9DF2F518"/>
    <w:lvl w:ilvl="0" w:tplc="480AF4BC">
      <w:start w:val="1"/>
      <w:numFmt w:val="bullet"/>
      <w:lvlText w:val=""/>
      <w:lvlJc w:val="left"/>
      <w:pPr>
        <w:ind w:left="720" w:hanging="360"/>
      </w:pPr>
      <w:rPr>
        <w:rFonts w:ascii="Symbol" w:hAnsi="Symbol"/>
      </w:rPr>
    </w:lvl>
    <w:lvl w:ilvl="1" w:tplc="519064D0">
      <w:start w:val="1"/>
      <w:numFmt w:val="bullet"/>
      <w:lvlText w:val=""/>
      <w:lvlJc w:val="left"/>
      <w:pPr>
        <w:ind w:left="720" w:hanging="360"/>
      </w:pPr>
      <w:rPr>
        <w:rFonts w:ascii="Symbol" w:hAnsi="Symbol"/>
      </w:rPr>
    </w:lvl>
    <w:lvl w:ilvl="2" w:tplc="D5968F16">
      <w:start w:val="1"/>
      <w:numFmt w:val="bullet"/>
      <w:lvlText w:val=""/>
      <w:lvlJc w:val="left"/>
      <w:pPr>
        <w:ind w:left="720" w:hanging="360"/>
      </w:pPr>
      <w:rPr>
        <w:rFonts w:ascii="Symbol" w:hAnsi="Symbol"/>
      </w:rPr>
    </w:lvl>
    <w:lvl w:ilvl="3" w:tplc="E800FA06">
      <w:start w:val="1"/>
      <w:numFmt w:val="bullet"/>
      <w:lvlText w:val=""/>
      <w:lvlJc w:val="left"/>
      <w:pPr>
        <w:ind w:left="720" w:hanging="360"/>
      </w:pPr>
      <w:rPr>
        <w:rFonts w:ascii="Symbol" w:hAnsi="Symbol"/>
      </w:rPr>
    </w:lvl>
    <w:lvl w:ilvl="4" w:tplc="6BCA7B38">
      <w:start w:val="1"/>
      <w:numFmt w:val="bullet"/>
      <w:lvlText w:val=""/>
      <w:lvlJc w:val="left"/>
      <w:pPr>
        <w:ind w:left="720" w:hanging="360"/>
      </w:pPr>
      <w:rPr>
        <w:rFonts w:ascii="Symbol" w:hAnsi="Symbol"/>
      </w:rPr>
    </w:lvl>
    <w:lvl w:ilvl="5" w:tplc="AA40038E">
      <w:start w:val="1"/>
      <w:numFmt w:val="bullet"/>
      <w:lvlText w:val=""/>
      <w:lvlJc w:val="left"/>
      <w:pPr>
        <w:ind w:left="720" w:hanging="360"/>
      </w:pPr>
      <w:rPr>
        <w:rFonts w:ascii="Symbol" w:hAnsi="Symbol"/>
      </w:rPr>
    </w:lvl>
    <w:lvl w:ilvl="6" w:tplc="D34480EE">
      <w:start w:val="1"/>
      <w:numFmt w:val="bullet"/>
      <w:lvlText w:val=""/>
      <w:lvlJc w:val="left"/>
      <w:pPr>
        <w:ind w:left="720" w:hanging="360"/>
      </w:pPr>
      <w:rPr>
        <w:rFonts w:ascii="Symbol" w:hAnsi="Symbol"/>
      </w:rPr>
    </w:lvl>
    <w:lvl w:ilvl="7" w:tplc="BABE86B6">
      <w:start w:val="1"/>
      <w:numFmt w:val="bullet"/>
      <w:lvlText w:val=""/>
      <w:lvlJc w:val="left"/>
      <w:pPr>
        <w:ind w:left="720" w:hanging="360"/>
      </w:pPr>
      <w:rPr>
        <w:rFonts w:ascii="Symbol" w:hAnsi="Symbol"/>
      </w:rPr>
    </w:lvl>
    <w:lvl w:ilvl="8" w:tplc="5AD2833C">
      <w:start w:val="1"/>
      <w:numFmt w:val="bullet"/>
      <w:lvlText w:val=""/>
      <w:lvlJc w:val="left"/>
      <w:pPr>
        <w:ind w:left="720" w:hanging="360"/>
      </w:pPr>
      <w:rPr>
        <w:rFonts w:ascii="Symbol" w:hAnsi="Symbol"/>
      </w:rPr>
    </w:lvl>
  </w:abstractNum>
  <w:abstractNum w:abstractNumId="18" w15:restartNumberingAfterBreak="0">
    <w:nsid w:val="5DA25FF0"/>
    <w:multiLevelType w:val="hybridMultilevel"/>
    <w:tmpl w:val="E6D62674"/>
    <w:lvl w:ilvl="0" w:tplc="0C090001">
      <w:start w:val="1"/>
      <w:numFmt w:val="bullet"/>
      <w:lvlText w:val=""/>
      <w:lvlJc w:val="left"/>
      <w:pPr>
        <w:ind w:left="360" w:hanging="360"/>
      </w:pPr>
      <w:rPr>
        <w:rFonts w:ascii="Symbol" w:hAnsi="Symbol" w:hint="default"/>
      </w:rPr>
    </w:lvl>
    <w:lvl w:ilvl="1" w:tplc="80965CBE">
      <w:start w:val="3"/>
      <w:numFmt w:val="bullet"/>
      <w:lvlText w:val="•"/>
      <w:lvlJc w:val="left"/>
      <w:pPr>
        <w:ind w:left="1440" w:hanging="720"/>
      </w:pPr>
      <w:rPr>
        <w:rFonts w:ascii="Cambria" w:eastAsia="Cambria" w:hAnsi="Cambria"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9CE579F"/>
    <w:multiLevelType w:val="hybridMultilevel"/>
    <w:tmpl w:val="4B4046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A5166D8"/>
    <w:multiLevelType w:val="hybridMultilevel"/>
    <w:tmpl w:val="54ACC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D0B1B75"/>
    <w:multiLevelType w:val="multilevel"/>
    <w:tmpl w:val="D8748B36"/>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1135"/>
        </w:tabs>
        <w:ind w:left="1135" w:hanging="1022"/>
      </w:pPr>
      <w:rPr>
        <w:rFonts w:hint="default"/>
      </w:rPr>
    </w:lvl>
    <w:lvl w:ilvl="2">
      <w:start w:val="1"/>
      <w:numFmt w:val="decimal"/>
      <w:lvlText w:val="%1.%2.%3."/>
      <w:lvlJc w:val="left"/>
      <w:pPr>
        <w:tabs>
          <w:tab w:val="num" w:pos="1134"/>
        </w:tabs>
        <w:ind w:left="1134" w:hanging="964"/>
      </w:pPr>
      <w:rPr>
        <w:rFonts w:hint="default"/>
      </w:rPr>
    </w:lvl>
    <w:lvl w:ilvl="3">
      <w:start w:val="1"/>
      <w:numFmt w:val="decimal"/>
      <w:lvlText w:val="%1.%2.%3.%4."/>
      <w:lvlJc w:val="left"/>
      <w:pPr>
        <w:tabs>
          <w:tab w:val="num" w:pos="1418"/>
        </w:tabs>
        <w:ind w:left="1418" w:hanging="1191"/>
      </w:pPr>
      <w:rPr>
        <w:rFonts w:hint="default"/>
      </w:rPr>
    </w:lvl>
    <w:lvl w:ilvl="4">
      <w:start w:val="1"/>
      <w:numFmt w:val="decimal"/>
      <w:lvlText w:val="%1.%2.%3.%4.%5."/>
      <w:lvlJc w:val="left"/>
      <w:pPr>
        <w:tabs>
          <w:tab w:val="num" w:pos="1701"/>
        </w:tabs>
        <w:ind w:left="1701" w:hanging="1417"/>
      </w:pPr>
      <w:rPr>
        <w:rFonts w:hint="default"/>
      </w:rPr>
    </w:lvl>
    <w:lvl w:ilvl="5">
      <w:start w:val="1"/>
      <w:numFmt w:val="decimal"/>
      <w:lvlText w:val="%1.%2.%3.%4.%5.%6."/>
      <w:lvlJc w:val="left"/>
      <w:pPr>
        <w:tabs>
          <w:tab w:val="num" w:pos="1985"/>
        </w:tabs>
        <w:ind w:left="1985" w:hanging="1645"/>
      </w:pPr>
      <w:rPr>
        <w:rFonts w:hint="default"/>
      </w:rPr>
    </w:lvl>
    <w:lvl w:ilvl="6">
      <w:start w:val="1"/>
      <w:numFmt w:val="decimal"/>
      <w:lvlText w:val="%1.%2.%3.%4.%5.%6.%7."/>
      <w:lvlJc w:val="left"/>
      <w:pPr>
        <w:tabs>
          <w:tab w:val="num" w:pos="2268"/>
        </w:tabs>
        <w:ind w:left="2268" w:hanging="1871"/>
      </w:pPr>
      <w:rPr>
        <w:rFonts w:hint="default"/>
      </w:rPr>
    </w:lvl>
    <w:lvl w:ilvl="7">
      <w:start w:val="1"/>
      <w:numFmt w:val="none"/>
      <w:lvlText w:val=""/>
      <w:lvlJc w:val="left"/>
      <w:pPr>
        <w:tabs>
          <w:tab w:val="num" w:pos="510"/>
        </w:tabs>
        <w:ind w:left="0" w:firstLine="510"/>
      </w:pPr>
      <w:rPr>
        <w:rFonts w:hint="default"/>
      </w:rPr>
    </w:lvl>
    <w:lvl w:ilvl="8">
      <w:start w:val="1"/>
      <w:numFmt w:val="none"/>
      <w:lvlText w:val=""/>
      <w:lvlJc w:val="left"/>
      <w:pPr>
        <w:ind w:left="0" w:firstLine="567"/>
      </w:pPr>
      <w:rPr>
        <w:rFonts w:hint="default"/>
      </w:rPr>
    </w:lvl>
  </w:abstractNum>
  <w:abstractNum w:abstractNumId="22" w15:restartNumberingAfterBreak="0">
    <w:nsid w:val="7A6379A9"/>
    <w:multiLevelType w:val="hybridMultilevel"/>
    <w:tmpl w:val="4FE8D072"/>
    <w:lvl w:ilvl="0" w:tplc="40AA1BA0">
      <w:start w:val="1"/>
      <w:numFmt w:val="bullet"/>
      <w:lvlText w:val=""/>
      <w:lvlJc w:val="left"/>
      <w:pPr>
        <w:ind w:left="720" w:hanging="360"/>
      </w:pPr>
      <w:rPr>
        <w:rFonts w:ascii="Symbol" w:hAnsi="Symbol"/>
      </w:rPr>
    </w:lvl>
    <w:lvl w:ilvl="1" w:tplc="15A0EAC8">
      <w:start w:val="1"/>
      <w:numFmt w:val="bullet"/>
      <w:lvlText w:val=""/>
      <w:lvlJc w:val="left"/>
      <w:pPr>
        <w:ind w:left="720" w:hanging="360"/>
      </w:pPr>
      <w:rPr>
        <w:rFonts w:ascii="Symbol" w:hAnsi="Symbol"/>
      </w:rPr>
    </w:lvl>
    <w:lvl w:ilvl="2" w:tplc="A2A06F8A">
      <w:start w:val="1"/>
      <w:numFmt w:val="bullet"/>
      <w:lvlText w:val=""/>
      <w:lvlJc w:val="left"/>
      <w:pPr>
        <w:ind w:left="720" w:hanging="360"/>
      </w:pPr>
      <w:rPr>
        <w:rFonts w:ascii="Symbol" w:hAnsi="Symbol"/>
      </w:rPr>
    </w:lvl>
    <w:lvl w:ilvl="3" w:tplc="638C4750">
      <w:start w:val="1"/>
      <w:numFmt w:val="bullet"/>
      <w:lvlText w:val=""/>
      <w:lvlJc w:val="left"/>
      <w:pPr>
        <w:ind w:left="720" w:hanging="360"/>
      </w:pPr>
      <w:rPr>
        <w:rFonts w:ascii="Symbol" w:hAnsi="Symbol"/>
      </w:rPr>
    </w:lvl>
    <w:lvl w:ilvl="4" w:tplc="593CA732">
      <w:start w:val="1"/>
      <w:numFmt w:val="bullet"/>
      <w:lvlText w:val=""/>
      <w:lvlJc w:val="left"/>
      <w:pPr>
        <w:ind w:left="720" w:hanging="360"/>
      </w:pPr>
      <w:rPr>
        <w:rFonts w:ascii="Symbol" w:hAnsi="Symbol"/>
      </w:rPr>
    </w:lvl>
    <w:lvl w:ilvl="5" w:tplc="A2B0A4B0">
      <w:start w:val="1"/>
      <w:numFmt w:val="bullet"/>
      <w:lvlText w:val=""/>
      <w:lvlJc w:val="left"/>
      <w:pPr>
        <w:ind w:left="720" w:hanging="360"/>
      </w:pPr>
      <w:rPr>
        <w:rFonts w:ascii="Symbol" w:hAnsi="Symbol"/>
      </w:rPr>
    </w:lvl>
    <w:lvl w:ilvl="6" w:tplc="60CE26AE">
      <w:start w:val="1"/>
      <w:numFmt w:val="bullet"/>
      <w:lvlText w:val=""/>
      <w:lvlJc w:val="left"/>
      <w:pPr>
        <w:ind w:left="720" w:hanging="360"/>
      </w:pPr>
      <w:rPr>
        <w:rFonts w:ascii="Symbol" w:hAnsi="Symbol"/>
      </w:rPr>
    </w:lvl>
    <w:lvl w:ilvl="7" w:tplc="488A39BE">
      <w:start w:val="1"/>
      <w:numFmt w:val="bullet"/>
      <w:lvlText w:val=""/>
      <w:lvlJc w:val="left"/>
      <w:pPr>
        <w:ind w:left="720" w:hanging="360"/>
      </w:pPr>
      <w:rPr>
        <w:rFonts w:ascii="Symbol" w:hAnsi="Symbol"/>
      </w:rPr>
    </w:lvl>
    <w:lvl w:ilvl="8" w:tplc="C188F4DC">
      <w:start w:val="1"/>
      <w:numFmt w:val="bullet"/>
      <w:lvlText w:val=""/>
      <w:lvlJc w:val="left"/>
      <w:pPr>
        <w:ind w:left="720" w:hanging="360"/>
      </w:pPr>
      <w:rPr>
        <w:rFonts w:ascii="Symbol" w:hAnsi="Symbol"/>
      </w:rPr>
    </w:lvl>
  </w:abstractNum>
  <w:abstractNum w:abstractNumId="23" w15:restartNumberingAfterBreak="0">
    <w:nsid w:val="7C494642"/>
    <w:multiLevelType w:val="hybridMultilevel"/>
    <w:tmpl w:val="5B702990"/>
    <w:lvl w:ilvl="0" w:tplc="2402AFA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32997172">
    <w:abstractNumId w:val="5"/>
  </w:num>
  <w:num w:numId="2" w16cid:durableId="1856573705">
    <w:abstractNumId w:val="2"/>
  </w:num>
  <w:num w:numId="3" w16cid:durableId="357703499">
    <w:abstractNumId w:val="4"/>
  </w:num>
  <w:num w:numId="4" w16cid:durableId="1869176708">
    <w:abstractNumId w:val="14"/>
  </w:num>
  <w:num w:numId="5" w16cid:durableId="1652950129">
    <w:abstractNumId w:val="9"/>
  </w:num>
  <w:num w:numId="6" w16cid:durableId="1053193207">
    <w:abstractNumId w:val="12"/>
  </w:num>
  <w:num w:numId="7" w16cid:durableId="201135927">
    <w:abstractNumId w:val="2"/>
    <w:lvlOverride w:ilvl="0">
      <w:startOverride w:val="1"/>
      <w:lvl w:ilvl="0">
        <w:start w:val="1"/>
        <w:numFmt w:val="decimal"/>
        <w:pStyle w:val="Numberbullet0"/>
        <w:lvlText w:val="%1."/>
        <w:lvlJc w:val="left"/>
        <w:pPr>
          <w:ind w:left="425" w:hanging="425"/>
        </w:pPr>
        <w:rPr>
          <w:rFonts w:ascii="Cambria" w:hAnsi="Cambria" w:hint="default"/>
        </w:rPr>
      </w:lvl>
    </w:lvlOverride>
    <w:lvlOverride w:ilvl="1">
      <w:startOverride w:val="1"/>
      <w:lvl w:ilvl="1">
        <w:start w:val="1"/>
        <w:numFmt w:val="lowerLetter"/>
        <w:pStyle w:val="Numberbullet2"/>
        <w:lvlText w:val="%2."/>
        <w:lvlJc w:val="left"/>
        <w:pPr>
          <w:ind w:left="851" w:hanging="426"/>
        </w:pPr>
        <w:rPr>
          <w:rFonts w:hint="default"/>
        </w:rPr>
      </w:lvl>
    </w:lvlOverride>
    <w:lvlOverride w:ilvl="2">
      <w:startOverride w:val="1"/>
      <w:lvl w:ilvl="2">
        <w:start w:val="1"/>
        <w:numFmt w:val="lowerRoman"/>
        <w:lvlText w:val="%3."/>
        <w:lvlJc w:val="left"/>
        <w:pPr>
          <w:ind w:left="1276" w:hanging="425"/>
        </w:pPr>
        <w:rPr>
          <w:rFonts w:hint="default"/>
        </w:rPr>
      </w:lvl>
    </w:lvlOverride>
    <w:lvlOverride w:ilvl="3">
      <w:startOverride w:val="1"/>
      <w:lvl w:ilvl="3">
        <w:start w:val="1"/>
        <w:numFmt w:val="none"/>
        <w:lvlText w:val=""/>
        <w:lvlJc w:val="left"/>
        <w:pPr>
          <w:ind w:left="1276" w:hanging="425"/>
        </w:pPr>
        <w:rPr>
          <w:rFonts w:hint="default"/>
        </w:rPr>
      </w:lvl>
    </w:lvlOverride>
    <w:lvlOverride w:ilvl="4">
      <w:startOverride w:val="1"/>
      <w:lvl w:ilvl="4">
        <w:start w:val="1"/>
        <w:numFmt w:val="none"/>
        <w:lvlText w:val=""/>
        <w:lvlJc w:val="left"/>
        <w:pPr>
          <w:ind w:left="1276" w:hanging="425"/>
        </w:pPr>
        <w:rPr>
          <w:rFonts w:hint="default"/>
        </w:rPr>
      </w:lvl>
    </w:lvlOverride>
    <w:lvlOverride w:ilvl="5">
      <w:startOverride w:val="1"/>
      <w:lvl w:ilvl="5">
        <w:start w:val="1"/>
        <w:numFmt w:val="none"/>
        <w:lvlText w:val=""/>
        <w:lvlJc w:val="left"/>
        <w:pPr>
          <w:ind w:left="1276" w:hanging="425"/>
        </w:pPr>
        <w:rPr>
          <w:rFonts w:hint="default"/>
        </w:rPr>
      </w:lvl>
    </w:lvlOverride>
    <w:lvlOverride w:ilvl="6">
      <w:startOverride w:val="1"/>
      <w:lvl w:ilvl="6">
        <w:start w:val="1"/>
        <w:numFmt w:val="none"/>
        <w:lvlText w:val="%7"/>
        <w:lvlJc w:val="left"/>
        <w:pPr>
          <w:ind w:left="1276" w:hanging="425"/>
        </w:pPr>
        <w:rPr>
          <w:rFonts w:hint="default"/>
        </w:rPr>
      </w:lvl>
    </w:lvlOverride>
    <w:lvlOverride w:ilvl="7">
      <w:startOverride w:val="1"/>
      <w:lvl w:ilvl="7">
        <w:start w:val="1"/>
        <w:numFmt w:val="none"/>
        <w:lvlText w:val=""/>
        <w:lvlJc w:val="left"/>
        <w:pPr>
          <w:ind w:left="1276" w:hanging="425"/>
        </w:pPr>
        <w:rPr>
          <w:rFonts w:hint="default"/>
        </w:rPr>
      </w:lvl>
    </w:lvlOverride>
    <w:lvlOverride w:ilvl="8">
      <w:startOverride w:val="1"/>
      <w:lvl w:ilvl="8">
        <w:start w:val="1"/>
        <w:numFmt w:val="none"/>
        <w:lvlText w:val=""/>
        <w:lvlJc w:val="left"/>
        <w:pPr>
          <w:ind w:left="1276" w:hanging="425"/>
        </w:pPr>
        <w:rPr>
          <w:rFonts w:hint="default"/>
        </w:rPr>
      </w:lvl>
    </w:lvlOverride>
  </w:num>
  <w:num w:numId="8" w16cid:durableId="1604608059">
    <w:abstractNumId w:val="13"/>
  </w:num>
  <w:num w:numId="9" w16cid:durableId="173421270">
    <w:abstractNumId w:val="3"/>
  </w:num>
  <w:num w:numId="10" w16cid:durableId="2108043357">
    <w:abstractNumId w:val="6"/>
  </w:num>
  <w:num w:numId="11" w16cid:durableId="1725904230">
    <w:abstractNumId w:val="11"/>
  </w:num>
  <w:num w:numId="12" w16cid:durableId="141579354">
    <w:abstractNumId w:val="17"/>
  </w:num>
  <w:num w:numId="13" w16cid:durableId="283735081">
    <w:abstractNumId w:val="22"/>
  </w:num>
  <w:num w:numId="14" w16cid:durableId="916551781">
    <w:abstractNumId w:val="1"/>
  </w:num>
  <w:num w:numId="15" w16cid:durableId="95987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93150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7458703">
    <w:abstractNumId w:val="15"/>
  </w:num>
  <w:num w:numId="18" w16cid:durableId="2087458115">
    <w:abstractNumId w:val="20"/>
  </w:num>
  <w:num w:numId="19" w16cid:durableId="1320885695">
    <w:abstractNumId w:val="18"/>
  </w:num>
  <w:num w:numId="20" w16cid:durableId="1391268929">
    <w:abstractNumId w:val="21"/>
  </w:num>
  <w:num w:numId="21" w16cid:durableId="580023561">
    <w:abstractNumId w:val="7"/>
  </w:num>
  <w:num w:numId="22" w16cid:durableId="742144686">
    <w:abstractNumId w:val="19"/>
  </w:num>
  <w:num w:numId="23" w16cid:durableId="1370642003">
    <w:abstractNumId w:val="0"/>
  </w:num>
  <w:num w:numId="24" w16cid:durableId="571357391">
    <w:abstractNumId w:val="8"/>
  </w:num>
  <w:num w:numId="25" w16cid:durableId="1002659854">
    <w:abstractNumId w:val="16"/>
  </w:num>
  <w:num w:numId="26" w16cid:durableId="1048529875">
    <w:abstractNumId w:val="23"/>
  </w:num>
  <w:num w:numId="27" w16cid:durableId="1086876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2344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2"/>
    <w:rsid w:val="00000E6E"/>
    <w:rsid w:val="00004431"/>
    <w:rsid w:val="00005062"/>
    <w:rsid w:val="00005DFC"/>
    <w:rsid w:val="0000603E"/>
    <w:rsid w:val="00006667"/>
    <w:rsid w:val="000067FE"/>
    <w:rsid w:val="0001064C"/>
    <w:rsid w:val="0001384A"/>
    <w:rsid w:val="00016BA2"/>
    <w:rsid w:val="00021C13"/>
    <w:rsid w:val="000220A0"/>
    <w:rsid w:val="00027531"/>
    <w:rsid w:val="000277CF"/>
    <w:rsid w:val="00027C6F"/>
    <w:rsid w:val="00030AC1"/>
    <w:rsid w:val="00030CF4"/>
    <w:rsid w:val="0003185B"/>
    <w:rsid w:val="00031AF4"/>
    <w:rsid w:val="00031C1C"/>
    <w:rsid w:val="00032A0F"/>
    <w:rsid w:val="000360FB"/>
    <w:rsid w:val="00036745"/>
    <w:rsid w:val="00036E0D"/>
    <w:rsid w:val="00040D8D"/>
    <w:rsid w:val="0004407A"/>
    <w:rsid w:val="00046423"/>
    <w:rsid w:val="000477F5"/>
    <w:rsid w:val="0005040A"/>
    <w:rsid w:val="0005067C"/>
    <w:rsid w:val="000512B1"/>
    <w:rsid w:val="0005204D"/>
    <w:rsid w:val="00054776"/>
    <w:rsid w:val="00055FAC"/>
    <w:rsid w:val="0005670D"/>
    <w:rsid w:val="00056E5F"/>
    <w:rsid w:val="0006104E"/>
    <w:rsid w:val="000627C3"/>
    <w:rsid w:val="000627CD"/>
    <w:rsid w:val="000640BD"/>
    <w:rsid w:val="00064BFE"/>
    <w:rsid w:val="00065839"/>
    <w:rsid w:val="00065E45"/>
    <w:rsid w:val="00065FDF"/>
    <w:rsid w:val="0006693A"/>
    <w:rsid w:val="00067E0A"/>
    <w:rsid w:val="000726AC"/>
    <w:rsid w:val="00075A1C"/>
    <w:rsid w:val="00077844"/>
    <w:rsid w:val="00080AC5"/>
    <w:rsid w:val="00080CE7"/>
    <w:rsid w:val="00082A24"/>
    <w:rsid w:val="00083763"/>
    <w:rsid w:val="00083FD0"/>
    <w:rsid w:val="00084FD1"/>
    <w:rsid w:val="00090510"/>
    <w:rsid w:val="000917AE"/>
    <w:rsid w:val="00094B81"/>
    <w:rsid w:val="00095C6A"/>
    <w:rsid w:val="00095F37"/>
    <w:rsid w:val="000975AA"/>
    <w:rsid w:val="000A2C0D"/>
    <w:rsid w:val="000A6BAD"/>
    <w:rsid w:val="000B4D82"/>
    <w:rsid w:val="000B4FEE"/>
    <w:rsid w:val="000B6B15"/>
    <w:rsid w:val="000B7E6A"/>
    <w:rsid w:val="000C0008"/>
    <w:rsid w:val="000C25A7"/>
    <w:rsid w:val="000C5432"/>
    <w:rsid w:val="000C6767"/>
    <w:rsid w:val="000C69FA"/>
    <w:rsid w:val="000C752C"/>
    <w:rsid w:val="000D10A6"/>
    <w:rsid w:val="000D58F7"/>
    <w:rsid w:val="000D78EC"/>
    <w:rsid w:val="000D7934"/>
    <w:rsid w:val="000E2420"/>
    <w:rsid w:val="000E2434"/>
    <w:rsid w:val="000E2597"/>
    <w:rsid w:val="000E2A65"/>
    <w:rsid w:val="000E3384"/>
    <w:rsid w:val="000E504E"/>
    <w:rsid w:val="000E61C2"/>
    <w:rsid w:val="000E6746"/>
    <w:rsid w:val="000E70EA"/>
    <w:rsid w:val="000E754A"/>
    <w:rsid w:val="000E7E31"/>
    <w:rsid w:val="000F19A9"/>
    <w:rsid w:val="000F4AF3"/>
    <w:rsid w:val="000F7B51"/>
    <w:rsid w:val="00101BEE"/>
    <w:rsid w:val="00101CE6"/>
    <w:rsid w:val="00101FB1"/>
    <w:rsid w:val="0010558A"/>
    <w:rsid w:val="00107992"/>
    <w:rsid w:val="001101FF"/>
    <w:rsid w:val="00111989"/>
    <w:rsid w:val="00113F9F"/>
    <w:rsid w:val="00114025"/>
    <w:rsid w:val="001162D5"/>
    <w:rsid w:val="001176D0"/>
    <w:rsid w:val="00121008"/>
    <w:rsid w:val="001227F6"/>
    <w:rsid w:val="0012473C"/>
    <w:rsid w:val="00125D91"/>
    <w:rsid w:val="00126B34"/>
    <w:rsid w:val="00127A74"/>
    <w:rsid w:val="00130D52"/>
    <w:rsid w:val="0013132F"/>
    <w:rsid w:val="00131B1B"/>
    <w:rsid w:val="0013306D"/>
    <w:rsid w:val="0013528C"/>
    <w:rsid w:val="0013550A"/>
    <w:rsid w:val="00140244"/>
    <w:rsid w:val="0014088C"/>
    <w:rsid w:val="00141D50"/>
    <w:rsid w:val="00143370"/>
    <w:rsid w:val="001434CA"/>
    <w:rsid w:val="001442A2"/>
    <w:rsid w:val="00144D67"/>
    <w:rsid w:val="00146451"/>
    <w:rsid w:val="0014646B"/>
    <w:rsid w:val="001468CA"/>
    <w:rsid w:val="001473C0"/>
    <w:rsid w:val="001500A8"/>
    <w:rsid w:val="00150A2E"/>
    <w:rsid w:val="001521FC"/>
    <w:rsid w:val="00155D85"/>
    <w:rsid w:val="00156870"/>
    <w:rsid w:val="00157A69"/>
    <w:rsid w:val="0016030C"/>
    <w:rsid w:val="00165D28"/>
    <w:rsid w:val="001675D7"/>
    <w:rsid w:val="0017005C"/>
    <w:rsid w:val="00173C7B"/>
    <w:rsid w:val="00175CD8"/>
    <w:rsid w:val="00182BD8"/>
    <w:rsid w:val="00190853"/>
    <w:rsid w:val="001A1773"/>
    <w:rsid w:val="001A1A59"/>
    <w:rsid w:val="001A39DF"/>
    <w:rsid w:val="001A5FB3"/>
    <w:rsid w:val="001A76A0"/>
    <w:rsid w:val="001A76F9"/>
    <w:rsid w:val="001A79D7"/>
    <w:rsid w:val="001A7B77"/>
    <w:rsid w:val="001B06FF"/>
    <w:rsid w:val="001B1703"/>
    <w:rsid w:val="001B2661"/>
    <w:rsid w:val="001C1C2E"/>
    <w:rsid w:val="001C31A1"/>
    <w:rsid w:val="001C3FA2"/>
    <w:rsid w:val="001C5EE2"/>
    <w:rsid w:val="001C780A"/>
    <w:rsid w:val="001D0077"/>
    <w:rsid w:val="001D6C19"/>
    <w:rsid w:val="001D7E8F"/>
    <w:rsid w:val="001E07E5"/>
    <w:rsid w:val="001E407B"/>
    <w:rsid w:val="001E4FF2"/>
    <w:rsid w:val="001E7FC6"/>
    <w:rsid w:val="001F2502"/>
    <w:rsid w:val="001F29FC"/>
    <w:rsid w:val="001F3E17"/>
    <w:rsid w:val="001F414B"/>
    <w:rsid w:val="001F4958"/>
    <w:rsid w:val="001F5520"/>
    <w:rsid w:val="001F61B0"/>
    <w:rsid w:val="001F66E7"/>
    <w:rsid w:val="001F70A5"/>
    <w:rsid w:val="00200D63"/>
    <w:rsid w:val="0020235D"/>
    <w:rsid w:val="0020369B"/>
    <w:rsid w:val="00205513"/>
    <w:rsid w:val="002059C4"/>
    <w:rsid w:val="002068DA"/>
    <w:rsid w:val="00207B4D"/>
    <w:rsid w:val="00210F9B"/>
    <w:rsid w:val="002117B1"/>
    <w:rsid w:val="00213200"/>
    <w:rsid w:val="00214562"/>
    <w:rsid w:val="00217CCE"/>
    <w:rsid w:val="002203B1"/>
    <w:rsid w:val="002241C4"/>
    <w:rsid w:val="00224F70"/>
    <w:rsid w:val="00226F39"/>
    <w:rsid w:val="0022769B"/>
    <w:rsid w:val="00230FCE"/>
    <w:rsid w:val="002334AD"/>
    <w:rsid w:val="00233A92"/>
    <w:rsid w:val="00235B40"/>
    <w:rsid w:val="00237B44"/>
    <w:rsid w:val="00241B60"/>
    <w:rsid w:val="0024269C"/>
    <w:rsid w:val="00244697"/>
    <w:rsid w:val="00245738"/>
    <w:rsid w:val="002523F3"/>
    <w:rsid w:val="00252B2C"/>
    <w:rsid w:val="0025618B"/>
    <w:rsid w:val="0025785B"/>
    <w:rsid w:val="00257969"/>
    <w:rsid w:val="00262A40"/>
    <w:rsid w:val="002634B3"/>
    <w:rsid w:val="00265A8B"/>
    <w:rsid w:val="00265CD1"/>
    <w:rsid w:val="00267061"/>
    <w:rsid w:val="002740A9"/>
    <w:rsid w:val="002753CF"/>
    <w:rsid w:val="002757ED"/>
    <w:rsid w:val="0027749F"/>
    <w:rsid w:val="00277535"/>
    <w:rsid w:val="00280048"/>
    <w:rsid w:val="0028489E"/>
    <w:rsid w:val="002848DE"/>
    <w:rsid w:val="00284A91"/>
    <w:rsid w:val="00284F28"/>
    <w:rsid w:val="0028794E"/>
    <w:rsid w:val="0029733B"/>
    <w:rsid w:val="002A1C10"/>
    <w:rsid w:val="002A5841"/>
    <w:rsid w:val="002A7361"/>
    <w:rsid w:val="002A7FBD"/>
    <w:rsid w:val="002B1EDF"/>
    <w:rsid w:val="002B2061"/>
    <w:rsid w:val="002B33C3"/>
    <w:rsid w:val="002B4B58"/>
    <w:rsid w:val="002B5005"/>
    <w:rsid w:val="002B5861"/>
    <w:rsid w:val="002C1232"/>
    <w:rsid w:val="002C1E44"/>
    <w:rsid w:val="002C50D8"/>
    <w:rsid w:val="002C5C92"/>
    <w:rsid w:val="002C5E29"/>
    <w:rsid w:val="002C5F45"/>
    <w:rsid w:val="002D0478"/>
    <w:rsid w:val="002D5DBC"/>
    <w:rsid w:val="002D66E9"/>
    <w:rsid w:val="002D6A98"/>
    <w:rsid w:val="002D7127"/>
    <w:rsid w:val="002E0FD5"/>
    <w:rsid w:val="002E2E0E"/>
    <w:rsid w:val="002E5BDE"/>
    <w:rsid w:val="002F2139"/>
    <w:rsid w:val="002F222F"/>
    <w:rsid w:val="002F4AEE"/>
    <w:rsid w:val="002F599E"/>
    <w:rsid w:val="002F5E08"/>
    <w:rsid w:val="002F6DB2"/>
    <w:rsid w:val="003008D8"/>
    <w:rsid w:val="00301D9A"/>
    <w:rsid w:val="0030368B"/>
    <w:rsid w:val="00303959"/>
    <w:rsid w:val="003044AF"/>
    <w:rsid w:val="00306E72"/>
    <w:rsid w:val="0031177A"/>
    <w:rsid w:val="00312AC3"/>
    <w:rsid w:val="00314430"/>
    <w:rsid w:val="003163BC"/>
    <w:rsid w:val="003212D9"/>
    <w:rsid w:val="0032351A"/>
    <w:rsid w:val="00323777"/>
    <w:rsid w:val="00324268"/>
    <w:rsid w:val="00324B33"/>
    <w:rsid w:val="00327488"/>
    <w:rsid w:val="00330D9C"/>
    <w:rsid w:val="003338FD"/>
    <w:rsid w:val="00333C81"/>
    <w:rsid w:val="003348C4"/>
    <w:rsid w:val="00334FA3"/>
    <w:rsid w:val="00336045"/>
    <w:rsid w:val="00336FE1"/>
    <w:rsid w:val="0033711B"/>
    <w:rsid w:val="00337988"/>
    <w:rsid w:val="00337BD8"/>
    <w:rsid w:val="00341729"/>
    <w:rsid w:val="003426FC"/>
    <w:rsid w:val="00342D56"/>
    <w:rsid w:val="003430D0"/>
    <w:rsid w:val="00343E3F"/>
    <w:rsid w:val="003456E7"/>
    <w:rsid w:val="003459F5"/>
    <w:rsid w:val="00345ED2"/>
    <w:rsid w:val="00346EC2"/>
    <w:rsid w:val="003477F9"/>
    <w:rsid w:val="003535B2"/>
    <w:rsid w:val="0035444D"/>
    <w:rsid w:val="00356D62"/>
    <w:rsid w:val="00361BF8"/>
    <w:rsid w:val="00363391"/>
    <w:rsid w:val="00363EE3"/>
    <w:rsid w:val="0037097A"/>
    <w:rsid w:val="003735F3"/>
    <w:rsid w:val="0037360E"/>
    <w:rsid w:val="00374729"/>
    <w:rsid w:val="00374CAF"/>
    <w:rsid w:val="003777F6"/>
    <w:rsid w:val="00380718"/>
    <w:rsid w:val="003813A9"/>
    <w:rsid w:val="00383C66"/>
    <w:rsid w:val="00387298"/>
    <w:rsid w:val="00387984"/>
    <w:rsid w:val="00393C2F"/>
    <w:rsid w:val="00395140"/>
    <w:rsid w:val="003959DB"/>
    <w:rsid w:val="00395FFA"/>
    <w:rsid w:val="003A10A7"/>
    <w:rsid w:val="003A2422"/>
    <w:rsid w:val="003A34E2"/>
    <w:rsid w:val="003A5A97"/>
    <w:rsid w:val="003A62CE"/>
    <w:rsid w:val="003B0A0D"/>
    <w:rsid w:val="003B149C"/>
    <w:rsid w:val="003B2FE5"/>
    <w:rsid w:val="003B474E"/>
    <w:rsid w:val="003C0FDB"/>
    <w:rsid w:val="003C1192"/>
    <w:rsid w:val="003C55E2"/>
    <w:rsid w:val="003C63D5"/>
    <w:rsid w:val="003C7AA8"/>
    <w:rsid w:val="003D71A1"/>
    <w:rsid w:val="003D7B13"/>
    <w:rsid w:val="003D7CEC"/>
    <w:rsid w:val="003E0CE6"/>
    <w:rsid w:val="003E4C35"/>
    <w:rsid w:val="003E71F6"/>
    <w:rsid w:val="003E7939"/>
    <w:rsid w:val="003F12AC"/>
    <w:rsid w:val="003F71D1"/>
    <w:rsid w:val="00403AEB"/>
    <w:rsid w:val="004167CA"/>
    <w:rsid w:val="0041688F"/>
    <w:rsid w:val="00417361"/>
    <w:rsid w:val="00417B0B"/>
    <w:rsid w:val="0042376F"/>
    <w:rsid w:val="004246B8"/>
    <w:rsid w:val="004248F1"/>
    <w:rsid w:val="004274CC"/>
    <w:rsid w:val="0043139C"/>
    <w:rsid w:val="00433318"/>
    <w:rsid w:val="00434F1D"/>
    <w:rsid w:val="004411D9"/>
    <w:rsid w:val="00442A56"/>
    <w:rsid w:val="004430CF"/>
    <w:rsid w:val="004444B0"/>
    <w:rsid w:val="0045060B"/>
    <w:rsid w:val="0045292C"/>
    <w:rsid w:val="004626FF"/>
    <w:rsid w:val="0046285C"/>
    <w:rsid w:val="00470A52"/>
    <w:rsid w:val="00471BB0"/>
    <w:rsid w:val="00471BD5"/>
    <w:rsid w:val="0047348F"/>
    <w:rsid w:val="004742E7"/>
    <w:rsid w:val="00474FB7"/>
    <w:rsid w:val="00477A21"/>
    <w:rsid w:val="00477C4E"/>
    <w:rsid w:val="00477F07"/>
    <w:rsid w:val="00480BC1"/>
    <w:rsid w:val="00481503"/>
    <w:rsid w:val="00481D12"/>
    <w:rsid w:val="00484E52"/>
    <w:rsid w:val="004854A6"/>
    <w:rsid w:val="00491A55"/>
    <w:rsid w:val="00492340"/>
    <w:rsid w:val="00494C3E"/>
    <w:rsid w:val="00497C3C"/>
    <w:rsid w:val="00497DF1"/>
    <w:rsid w:val="004A1B8F"/>
    <w:rsid w:val="004A318E"/>
    <w:rsid w:val="004A45D4"/>
    <w:rsid w:val="004A57E8"/>
    <w:rsid w:val="004A6454"/>
    <w:rsid w:val="004B190B"/>
    <w:rsid w:val="004B3081"/>
    <w:rsid w:val="004B4A09"/>
    <w:rsid w:val="004C25D6"/>
    <w:rsid w:val="004C3ED1"/>
    <w:rsid w:val="004C41CE"/>
    <w:rsid w:val="004C4D05"/>
    <w:rsid w:val="004C631B"/>
    <w:rsid w:val="004D0933"/>
    <w:rsid w:val="004D2F00"/>
    <w:rsid w:val="004D31D8"/>
    <w:rsid w:val="004D35D1"/>
    <w:rsid w:val="004D4AD5"/>
    <w:rsid w:val="004D5388"/>
    <w:rsid w:val="004D598A"/>
    <w:rsid w:val="004D79C1"/>
    <w:rsid w:val="004E16C6"/>
    <w:rsid w:val="004E46ED"/>
    <w:rsid w:val="004E6995"/>
    <w:rsid w:val="004E7F16"/>
    <w:rsid w:val="004F18EC"/>
    <w:rsid w:val="004F24F0"/>
    <w:rsid w:val="004F510F"/>
    <w:rsid w:val="004F77F3"/>
    <w:rsid w:val="00500D68"/>
    <w:rsid w:val="005017A3"/>
    <w:rsid w:val="0050212C"/>
    <w:rsid w:val="00502A95"/>
    <w:rsid w:val="00513770"/>
    <w:rsid w:val="005260B2"/>
    <w:rsid w:val="005273C3"/>
    <w:rsid w:val="005319A4"/>
    <w:rsid w:val="0053377D"/>
    <w:rsid w:val="00535DFE"/>
    <w:rsid w:val="005369AA"/>
    <w:rsid w:val="005373B5"/>
    <w:rsid w:val="00537AB7"/>
    <w:rsid w:val="00540822"/>
    <w:rsid w:val="005444A2"/>
    <w:rsid w:val="0054669B"/>
    <w:rsid w:val="00556A44"/>
    <w:rsid w:val="00557684"/>
    <w:rsid w:val="00560EC1"/>
    <w:rsid w:val="005610D1"/>
    <w:rsid w:val="0056129E"/>
    <w:rsid w:val="00562F42"/>
    <w:rsid w:val="00563E2B"/>
    <w:rsid w:val="00565739"/>
    <w:rsid w:val="0056766D"/>
    <w:rsid w:val="0057346E"/>
    <w:rsid w:val="00573A34"/>
    <w:rsid w:val="00575215"/>
    <w:rsid w:val="005775D0"/>
    <w:rsid w:val="00581138"/>
    <w:rsid w:val="0058575E"/>
    <w:rsid w:val="00586D47"/>
    <w:rsid w:val="0058783C"/>
    <w:rsid w:val="00587C77"/>
    <w:rsid w:val="005911AE"/>
    <w:rsid w:val="005926E2"/>
    <w:rsid w:val="0059313A"/>
    <w:rsid w:val="00593626"/>
    <w:rsid w:val="0059384C"/>
    <w:rsid w:val="005A54EA"/>
    <w:rsid w:val="005A6D61"/>
    <w:rsid w:val="005A7639"/>
    <w:rsid w:val="005B023F"/>
    <w:rsid w:val="005B02A2"/>
    <w:rsid w:val="005B1417"/>
    <w:rsid w:val="005B2353"/>
    <w:rsid w:val="005B31C2"/>
    <w:rsid w:val="005B34B5"/>
    <w:rsid w:val="005B69CF"/>
    <w:rsid w:val="005C2976"/>
    <w:rsid w:val="005C3F07"/>
    <w:rsid w:val="005C4B46"/>
    <w:rsid w:val="005C5DC5"/>
    <w:rsid w:val="005C5DD9"/>
    <w:rsid w:val="005D0E1E"/>
    <w:rsid w:val="005D2089"/>
    <w:rsid w:val="005D3F40"/>
    <w:rsid w:val="005D7514"/>
    <w:rsid w:val="005D7781"/>
    <w:rsid w:val="005D7976"/>
    <w:rsid w:val="005E0FC6"/>
    <w:rsid w:val="005E1A7B"/>
    <w:rsid w:val="005E231F"/>
    <w:rsid w:val="005E2BA0"/>
    <w:rsid w:val="005E5E51"/>
    <w:rsid w:val="005F0780"/>
    <w:rsid w:val="005F18B0"/>
    <w:rsid w:val="005F2D67"/>
    <w:rsid w:val="00600D57"/>
    <w:rsid w:val="00602AF6"/>
    <w:rsid w:val="00602D6E"/>
    <w:rsid w:val="00605C05"/>
    <w:rsid w:val="00611351"/>
    <w:rsid w:val="006114B0"/>
    <w:rsid w:val="0061217D"/>
    <w:rsid w:val="006129AE"/>
    <w:rsid w:val="00616BB4"/>
    <w:rsid w:val="00616D3E"/>
    <w:rsid w:val="00617747"/>
    <w:rsid w:val="006204FF"/>
    <w:rsid w:val="006277A1"/>
    <w:rsid w:val="00627C05"/>
    <w:rsid w:val="006325A3"/>
    <w:rsid w:val="00633BD7"/>
    <w:rsid w:val="00633C8E"/>
    <w:rsid w:val="00634580"/>
    <w:rsid w:val="00634884"/>
    <w:rsid w:val="006351D9"/>
    <w:rsid w:val="006370FB"/>
    <w:rsid w:val="00637130"/>
    <w:rsid w:val="00637F0E"/>
    <w:rsid w:val="00640FD8"/>
    <w:rsid w:val="006423F2"/>
    <w:rsid w:val="006428C5"/>
    <w:rsid w:val="00645043"/>
    <w:rsid w:val="00650234"/>
    <w:rsid w:val="00650CEF"/>
    <w:rsid w:val="00651D32"/>
    <w:rsid w:val="00652F03"/>
    <w:rsid w:val="00653DD7"/>
    <w:rsid w:val="0065752B"/>
    <w:rsid w:val="00657D2E"/>
    <w:rsid w:val="0066044B"/>
    <w:rsid w:val="00661938"/>
    <w:rsid w:val="00662947"/>
    <w:rsid w:val="006630AA"/>
    <w:rsid w:val="00663544"/>
    <w:rsid w:val="00666539"/>
    <w:rsid w:val="00666911"/>
    <w:rsid w:val="00671E24"/>
    <w:rsid w:val="006737BE"/>
    <w:rsid w:val="00674FD9"/>
    <w:rsid w:val="00675F81"/>
    <w:rsid w:val="006773B0"/>
    <w:rsid w:val="0068143E"/>
    <w:rsid w:val="00681B73"/>
    <w:rsid w:val="0068507D"/>
    <w:rsid w:val="00691AF2"/>
    <w:rsid w:val="0069252B"/>
    <w:rsid w:val="00692B80"/>
    <w:rsid w:val="00692CCD"/>
    <w:rsid w:val="00692D51"/>
    <w:rsid w:val="00694DD7"/>
    <w:rsid w:val="0069636B"/>
    <w:rsid w:val="006A083B"/>
    <w:rsid w:val="006A0A1E"/>
    <w:rsid w:val="006A1762"/>
    <w:rsid w:val="006A19CE"/>
    <w:rsid w:val="006A1BFB"/>
    <w:rsid w:val="006A1F0B"/>
    <w:rsid w:val="006A277A"/>
    <w:rsid w:val="006A372F"/>
    <w:rsid w:val="006A3F59"/>
    <w:rsid w:val="006A4651"/>
    <w:rsid w:val="006A5973"/>
    <w:rsid w:val="006A7B51"/>
    <w:rsid w:val="006B04F3"/>
    <w:rsid w:val="006B57E6"/>
    <w:rsid w:val="006B5E64"/>
    <w:rsid w:val="006B6804"/>
    <w:rsid w:val="006B7126"/>
    <w:rsid w:val="006B7372"/>
    <w:rsid w:val="006C6B86"/>
    <w:rsid w:val="006C79C0"/>
    <w:rsid w:val="006D1A8C"/>
    <w:rsid w:val="006D289D"/>
    <w:rsid w:val="006D4553"/>
    <w:rsid w:val="006D4A35"/>
    <w:rsid w:val="006D5AB3"/>
    <w:rsid w:val="006D6B44"/>
    <w:rsid w:val="006D7A62"/>
    <w:rsid w:val="006E005C"/>
    <w:rsid w:val="006E0F71"/>
    <w:rsid w:val="006E27FE"/>
    <w:rsid w:val="006E5797"/>
    <w:rsid w:val="00700465"/>
    <w:rsid w:val="00701110"/>
    <w:rsid w:val="0070156B"/>
    <w:rsid w:val="00702E91"/>
    <w:rsid w:val="0070330F"/>
    <w:rsid w:val="00703624"/>
    <w:rsid w:val="007046ED"/>
    <w:rsid w:val="0070541F"/>
    <w:rsid w:val="007072A1"/>
    <w:rsid w:val="007078BC"/>
    <w:rsid w:val="0071060C"/>
    <w:rsid w:val="00710BC5"/>
    <w:rsid w:val="007121CA"/>
    <w:rsid w:val="00715C9C"/>
    <w:rsid w:val="00715CAD"/>
    <w:rsid w:val="0072003B"/>
    <w:rsid w:val="00721059"/>
    <w:rsid w:val="007211E6"/>
    <w:rsid w:val="007220C4"/>
    <w:rsid w:val="00724F1E"/>
    <w:rsid w:val="007257F4"/>
    <w:rsid w:val="007278AD"/>
    <w:rsid w:val="007305ED"/>
    <w:rsid w:val="007311B9"/>
    <w:rsid w:val="00731864"/>
    <w:rsid w:val="00732361"/>
    <w:rsid w:val="00732A22"/>
    <w:rsid w:val="007355A5"/>
    <w:rsid w:val="007357B9"/>
    <w:rsid w:val="0074174E"/>
    <w:rsid w:val="00741AB9"/>
    <w:rsid w:val="00742D03"/>
    <w:rsid w:val="0074373C"/>
    <w:rsid w:val="00744216"/>
    <w:rsid w:val="007452E8"/>
    <w:rsid w:val="007455C1"/>
    <w:rsid w:val="007461AF"/>
    <w:rsid w:val="00746990"/>
    <w:rsid w:val="00747093"/>
    <w:rsid w:val="00750774"/>
    <w:rsid w:val="00750895"/>
    <w:rsid w:val="00750D70"/>
    <w:rsid w:val="007540F7"/>
    <w:rsid w:val="00756852"/>
    <w:rsid w:val="007575D0"/>
    <w:rsid w:val="007662E0"/>
    <w:rsid w:val="00776E9C"/>
    <w:rsid w:val="00777901"/>
    <w:rsid w:val="007808B7"/>
    <w:rsid w:val="007816D8"/>
    <w:rsid w:val="00784150"/>
    <w:rsid w:val="0078567E"/>
    <w:rsid w:val="00791850"/>
    <w:rsid w:val="00792913"/>
    <w:rsid w:val="00793272"/>
    <w:rsid w:val="0079499A"/>
    <w:rsid w:val="00794B64"/>
    <w:rsid w:val="00795506"/>
    <w:rsid w:val="00795C2F"/>
    <w:rsid w:val="007967C3"/>
    <w:rsid w:val="00796D6E"/>
    <w:rsid w:val="007A0A33"/>
    <w:rsid w:val="007A65AC"/>
    <w:rsid w:val="007A7D6C"/>
    <w:rsid w:val="007B04DE"/>
    <w:rsid w:val="007B0AE6"/>
    <w:rsid w:val="007C0F0B"/>
    <w:rsid w:val="007C0F3C"/>
    <w:rsid w:val="007C105D"/>
    <w:rsid w:val="007C25CD"/>
    <w:rsid w:val="007C4B27"/>
    <w:rsid w:val="007C57BC"/>
    <w:rsid w:val="007C73ED"/>
    <w:rsid w:val="007C7ACF"/>
    <w:rsid w:val="007D04CA"/>
    <w:rsid w:val="007D0A2B"/>
    <w:rsid w:val="007D12A1"/>
    <w:rsid w:val="007D2D03"/>
    <w:rsid w:val="007D40E5"/>
    <w:rsid w:val="007D4138"/>
    <w:rsid w:val="007D4683"/>
    <w:rsid w:val="007D5664"/>
    <w:rsid w:val="007E0CF8"/>
    <w:rsid w:val="007E2F95"/>
    <w:rsid w:val="007E4178"/>
    <w:rsid w:val="007E6443"/>
    <w:rsid w:val="007F0A77"/>
    <w:rsid w:val="007F1E37"/>
    <w:rsid w:val="007F50D3"/>
    <w:rsid w:val="007F692E"/>
    <w:rsid w:val="007F6B1F"/>
    <w:rsid w:val="007F6E05"/>
    <w:rsid w:val="007F79A2"/>
    <w:rsid w:val="00800D27"/>
    <w:rsid w:val="0080117C"/>
    <w:rsid w:val="008013F0"/>
    <w:rsid w:val="00803926"/>
    <w:rsid w:val="00804897"/>
    <w:rsid w:val="00810EF7"/>
    <w:rsid w:val="00816479"/>
    <w:rsid w:val="008170BE"/>
    <w:rsid w:val="008173BC"/>
    <w:rsid w:val="00822708"/>
    <w:rsid w:val="00824E41"/>
    <w:rsid w:val="00826D66"/>
    <w:rsid w:val="00827591"/>
    <w:rsid w:val="00830789"/>
    <w:rsid w:val="0083112F"/>
    <w:rsid w:val="00831E70"/>
    <w:rsid w:val="008329DB"/>
    <w:rsid w:val="008356B4"/>
    <w:rsid w:val="008361C5"/>
    <w:rsid w:val="0083628F"/>
    <w:rsid w:val="00837263"/>
    <w:rsid w:val="00837AB9"/>
    <w:rsid w:val="00842EFE"/>
    <w:rsid w:val="00850637"/>
    <w:rsid w:val="008514CE"/>
    <w:rsid w:val="00851B2A"/>
    <w:rsid w:val="00852FFC"/>
    <w:rsid w:val="00854B70"/>
    <w:rsid w:val="00854D98"/>
    <w:rsid w:val="0085751E"/>
    <w:rsid w:val="00857FBA"/>
    <w:rsid w:val="00860B29"/>
    <w:rsid w:val="0086183B"/>
    <w:rsid w:val="008622E8"/>
    <w:rsid w:val="008645EE"/>
    <w:rsid w:val="0086507B"/>
    <w:rsid w:val="008656C1"/>
    <w:rsid w:val="008671C9"/>
    <w:rsid w:val="00870144"/>
    <w:rsid w:val="0087072C"/>
    <w:rsid w:val="00871312"/>
    <w:rsid w:val="0087384A"/>
    <w:rsid w:val="00873D7A"/>
    <w:rsid w:val="00877A4F"/>
    <w:rsid w:val="00877CB3"/>
    <w:rsid w:val="008804CF"/>
    <w:rsid w:val="00882D58"/>
    <w:rsid w:val="00882F19"/>
    <w:rsid w:val="00883D35"/>
    <w:rsid w:val="00884569"/>
    <w:rsid w:val="00887A51"/>
    <w:rsid w:val="0089038A"/>
    <w:rsid w:val="00890D9B"/>
    <w:rsid w:val="00891C6C"/>
    <w:rsid w:val="008935B4"/>
    <w:rsid w:val="00893CCD"/>
    <w:rsid w:val="008964B3"/>
    <w:rsid w:val="008A29D2"/>
    <w:rsid w:val="008A2B72"/>
    <w:rsid w:val="008A2BE9"/>
    <w:rsid w:val="008B1CB5"/>
    <w:rsid w:val="008B3271"/>
    <w:rsid w:val="008B3545"/>
    <w:rsid w:val="008B56C9"/>
    <w:rsid w:val="008B5F79"/>
    <w:rsid w:val="008C2D69"/>
    <w:rsid w:val="008C2F8C"/>
    <w:rsid w:val="008C4579"/>
    <w:rsid w:val="008C49C6"/>
    <w:rsid w:val="008C4E5F"/>
    <w:rsid w:val="008C6844"/>
    <w:rsid w:val="008C754C"/>
    <w:rsid w:val="008D4A06"/>
    <w:rsid w:val="008D56C9"/>
    <w:rsid w:val="008D56CA"/>
    <w:rsid w:val="008D5B45"/>
    <w:rsid w:val="008D6A54"/>
    <w:rsid w:val="008E257F"/>
    <w:rsid w:val="008E2585"/>
    <w:rsid w:val="008E2B69"/>
    <w:rsid w:val="008E2B9D"/>
    <w:rsid w:val="008E2D7A"/>
    <w:rsid w:val="008F3215"/>
    <w:rsid w:val="008F49AB"/>
    <w:rsid w:val="008F4A62"/>
    <w:rsid w:val="008F7256"/>
    <w:rsid w:val="009003D7"/>
    <w:rsid w:val="0090424C"/>
    <w:rsid w:val="00904E36"/>
    <w:rsid w:val="009051FE"/>
    <w:rsid w:val="0090605E"/>
    <w:rsid w:val="00906C74"/>
    <w:rsid w:val="009108CE"/>
    <w:rsid w:val="00912ED7"/>
    <w:rsid w:val="00913E31"/>
    <w:rsid w:val="00915A9F"/>
    <w:rsid w:val="00915BCE"/>
    <w:rsid w:val="0091766C"/>
    <w:rsid w:val="00917A96"/>
    <w:rsid w:val="00917EB3"/>
    <w:rsid w:val="00921225"/>
    <w:rsid w:val="009213C1"/>
    <w:rsid w:val="00922BA0"/>
    <w:rsid w:val="00923A02"/>
    <w:rsid w:val="00924234"/>
    <w:rsid w:val="0092479A"/>
    <w:rsid w:val="00924DD7"/>
    <w:rsid w:val="00927F56"/>
    <w:rsid w:val="00930D58"/>
    <w:rsid w:val="009310E1"/>
    <w:rsid w:val="00935193"/>
    <w:rsid w:val="00935583"/>
    <w:rsid w:val="00935AAA"/>
    <w:rsid w:val="0093690E"/>
    <w:rsid w:val="009371D3"/>
    <w:rsid w:val="00937AAB"/>
    <w:rsid w:val="0095031E"/>
    <w:rsid w:val="009510DD"/>
    <w:rsid w:val="009522B3"/>
    <w:rsid w:val="00953505"/>
    <w:rsid w:val="00954297"/>
    <w:rsid w:val="00954577"/>
    <w:rsid w:val="00960A56"/>
    <w:rsid w:val="00961F35"/>
    <w:rsid w:val="00966362"/>
    <w:rsid w:val="00966373"/>
    <w:rsid w:val="00966EF1"/>
    <w:rsid w:val="00967223"/>
    <w:rsid w:val="009708AE"/>
    <w:rsid w:val="00970D01"/>
    <w:rsid w:val="009736AC"/>
    <w:rsid w:val="00974162"/>
    <w:rsid w:val="009748CB"/>
    <w:rsid w:val="009751F7"/>
    <w:rsid w:val="0097633A"/>
    <w:rsid w:val="00976FEB"/>
    <w:rsid w:val="00977B5D"/>
    <w:rsid w:val="009814B4"/>
    <w:rsid w:val="0098168B"/>
    <w:rsid w:val="00982716"/>
    <w:rsid w:val="00982F97"/>
    <w:rsid w:val="0098350E"/>
    <w:rsid w:val="00990C12"/>
    <w:rsid w:val="009913B9"/>
    <w:rsid w:val="009939D4"/>
    <w:rsid w:val="0099404F"/>
    <w:rsid w:val="00996FA5"/>
    <w:rsid w:val="009A13F7"/>
    <w:rsid w:val="009A2802"/>
    <w:rsid w:val="009A5164"/>
    <w:rsid w:val="009A6726"/>
    <w:rsid w:val="009B19C0"/>
    <w:rsid w:val="009B31AD"/>
    <w:rsid w:val="009B414B"/>
    <w:rsid w:val="009B526F"/>
    <w:rsid w:val="009B5662"/>
    <w:rsid w:val="009B71EE"/>
    <w:rsid w:val="009C2211"/>
    <w:rsid w:val="009C40E8"/>
    <w:rsid w:val="009C45C5"/>
    <w:rsid w:val="009C5D4C"/>
    <w:rsid w:val="009C6ED3"/>
    <w:rsid w:val="009C7E08"/>
    <w:rsid w:val="009D1DC5"/>
    <w:rsid w:val="009D5EED"/>
    <w:rsid w:val="009D692D"/>
    <w:rsid w:val="009E6750"/>
    <w:rsid w:val="009E6858"/>
    <w:rsid w:val="009E6F8C"/>
    <w:rsid w:val="009F072C"/>
    <w:rsid w:val="009F405F"/>
    <w:rsid w:val="009F457F"/>
    <w:rsid w:val="009F689D"/>
    <w:rsid w:val="009F7534"/>
    <w:rsid w:val="00A01C56"/>
    <w:rsid w:val="00A0215B"/>
    <w:rsid w:val="00A078D2"/>
    <w:rsid w:val="00A07A18"/>
    <w:rsid w:val="00A14986"/>
    <w:rsid w:val="00A15DF8"/>
    <w:rsid w:val="00A15ECE"/>
    <w:rsid w:val="00A16F7E"/>
    <w:rsid w:val="00A1703D"/>
    <w:rsid w:val="00A2152F"/>
    <w:rsid w:val="00A2221B"/>
    <w:rsid w:val="00A239A4"/>
    <w:rsid w:val="00A23B2C"/>
    <w:rsid w:val="00A240E9"/>
    <w:rsid w:val="00A30B39"/>
    <w:rsid w:val="00A3163B"/>
    <w:rsid w:val="00A32C50"/>
    <w:rsid w:val="00A33EF2"/>
    <w:rsid w:val="00A34D77"/>
    <w:rsid w:val="00A358E7"/>
    <w:rsid w:val="00A3596B"/>
    <w:rsid w:val="00A36C60"/>
    <w:rsid w:val="00A432DE"/>
    <w:rsid w:val="00A4380B"/>
    <w:rsid w:val="00A459F3"/>
    <w:rsid w:val="00A46800"/>
    <w:rsid w:val="00A51A2D"/>
    <w:rsid w:val="00A5596B"/>
    <w:rsid w:val="00A572DA"/>
    <w:rsid w:val="00A63C07"/>
    <w:rsid w:val="00A63D9B"/>
    <w:rsid w:val="00A6677A"/>
    <w:rsid w:val="00A6685F"/>
    <w:rsid w:val="00A67F77"/>
    <w:rsid w:val="00A704DC"/>
    <w:rsid w:val="00A70716"/>
    <w:rsid w:val="00A741B8"/>
    <w:rsid w:val="00A75B5A"/>
    <w:rsid w:val="00A8178D"/>
    <w:rsid w:val="00A851FB"/>
    <w:rsid w:val="00A87482"/>
    <w:rsid w:val="00A917B7"/>
    <w:rsid w:val="00A925BE"/>
    <w:rsid w:val="00A93626"/>
    <w:rsid w:val="00A93DC6"/>
    <w:rsid w:val="00A9411A"/>
    <w:rsid w:val="00AA44EF"/>
    <w:rsid w:val="00AA4A4B"/>
    <w:rsid w:val="00AA6682"/>
    <w:rsid w:val="00AB0613"/>
    <w:rsid w:val="00AB10A6"/>
    <w:rsid w:val="00AB18F4"/>
    <w:rsid w:val="00AB450D"/>
    <w:rsid w:val="00AB4C19"/>
    <w:rsid w:val="00AB4FEA"/>
    <w:rsid w:val="00AB7454"/>
    <w:rsid w:val="00AB7C5C"/>
    <w:rsid w:val="00AB7CBF"/>
    <w:rsid w:val="00AC1209"/>
    <w:rsid w:val="00AD0111"/>
    <w:rsid w:val="00AD0B68"/>
    <w:rsid w:val="00AD3F95"/>
    <w:rsid w:val="00AD40C3"/>
    <w:rsid w:val="00AD4C72"/>
    <w:rsid w:val="00AD5451"/>
    <w:rsid w:val="00AE1271"/>
    <w:rsid w:val="00AE1947"/>
    <w:rsid w:val="00AE77CC"/>
    <w:rsid w:val="00AF1C8B"/>
    <w:rsid w:val="00AF299B"/>
    <w:rsid w:val="00AF2A83"/>
    <w:rsid w:val="00AF32F2"/>
    <w:rsid w:val="00AF7C4E"/>
    <w:rsid w:val="00AF7E43"/>
    <w:rsid w:val="00B01D5E"/>
    <w:rsid w:val="00B02AE0"/>
    <w:rsid w:val="00B03F25"/>
    <w:rsid w:val="00B04FDB"/>
    <w:rsid w:val="00B05326"/>
    <w:rsid w:val="00B065CC"/>
    <w:rsid w:val="00B1410D"/>
    <w:rsid w:val="00B14545"/>
    <w:rsid w:val="00B14E60"/>
    <w:rsid w:val="00B17BA2"/>
    <w:rsid w:val="00B2032E"/>
    <w:rsid w:val="00B26758"/>
    <w:rsid w:val="00B26DC3"/>
    <w:rsid w:val="00B30B9D"/>
    <w:rsid w:val="00B34686"/>
    <w:rsid w:val="00B35BAD"/>
    <w:rsid w:val="00B36946"/>
    <w:rsid w:val="00B4574D"/>
    <w:rsid w:val="00B468E1"/>
    <w:rsid w:val="00B46BC0"/>
    <w:rsid w:val="00B46DFB"/>
    <w:rsid w:val="00B4794E"/>
    <w:rsid w:val="00B5141B"/>
    <w:rsid w:val="00B532D4"/>
    <w:rsid w:val="00B53DA1"/>
    <w:rsid w:val="00B54305"/>
    <w:rsid w:val="00B54BA4"/>
    <w:rsid w:val="00B55033"/>
    <w:rsid w:val="00B55681"/>
    <w:rsid w:val="00B57AAD"/>
    <w:rsid w:val="00B6374E"/>
    <w:rsid w:val="00B66198"/>
    <w:rsid w:val="00B66313"/>
    <w:rsid w:val="00B67529"/>
    <w:rsid w:val="00B72B16"/>
    <w:rsid w:val="00B772A9"/>
    <w:rsid w:val="00B80408"/>
    <w:rsid w:val="00B81397"/>
    <w:rsid w:val="00B818ED"/>
    <w:rsid w:val="00B90619"/>
    <w:rsid w:val="00B925DB"/>
    <w:rsid w:val="00B957F0"/>
    <w:rsid w:val="00B967FF"/>
    <w:rsid w:val="00B974B9"/>
    <w:rsid w:val="00B9755E"/>
    <w:rsid w:val="00BA3F6D"/>
    <w:rsid w:val="00BA4BE6"/>
    <w:rsid w:val="00BA4FC0"/>
    <w:rsid w:val="00BA61E0"/>
    <w:rsid w:val="00BA63E2"/>
    <w:rsid w:val="00BA657C"/>
    <w:rsid w:val="00BA7F7D"/>
    <w:rsid w:val="00BB12D4"/>
    <w:rsid w:val="00BB1C14"/>
    <w:rsid w:val="00BB1C94"/>
    <w:rsid w:val="00BB3E60"/>
    <w:rsid w:val="00BB6847"/>
    <w:rsid w:val="00BB7F8F"/>
    <w:rsid w:val="00BB7FA9"/>
    <w:rsid w:val="00BC27E4"/>
    <w:rsid w:val="00BC58FC"/>
    <w:rsid w:val="00BC5F3F"/>
    <w:rsid w:val="00BC716A"/>
    <w:rsid w:val="00BD07DF"/>
    <w:rsid w:val="00BD1D4F"/>
    <w:rsid w:val="00BD26F4"/>
    <w:rsid w:val="00BD3933"/>
    <w:rsid w:val="00BD5DBD"/>
    <w:rsid w:val="00BD5DF6"/>
    <w:rsid w:val="00BD639D"/>
    <w:rsid w:val="00BE0041"/>
    <w:rsid w:val="00BE1E55"/>
    <w:rsid w:val="00BE36F7"/>
    <w:rsid w:val="00BE4C4F"/>
    <w:rsid w:val="00BE640F"/>
    <w:rsid w:val="00BE6D2A"/>
    <w:rsid w:val="00BF0122"/>
    <w:rsid w:val="00BF0609"/>
    <w:rsid w:val="00BF2969"/>
    <w:rsid w:val="00BF2D7F"/>
    <w:rsid w:val="00BF4237"/>
    <w:rsid w:val="00BF4638"/>
    <w:rsid w:val="00BF5130"/>
    <w:rsid w:val="00BF515D"/>
    <w:rsid w:val="00C00844"/>
    <w:rsid w:val="00C059D0"/>
    <w:rsid w:val="00C07551"/>
    <w:rsid w:val="00C108F7"/>
    <w:rsid w:val="00C1109F"/>
    <w:rsid w:val="00C12D65"/>
    <w:rsid w:val="00C133AB"/>
    <w:rsid w:val="00C141E0"/>
    <w:rsid w:val="00C176DB"/>
    <w:rsid w:val="00C20263"/>
    <w:rsid w:val="00C20B56"/>
    <w:rsid w:val="00C22214"/>
    <w:rsid w:val="00C24047"/>
    <w:rsid w:val="00C26F72"/>
    <w:rsid w:val="00C309A7"/>
    <w:rsid w:val="00C3164D"/>
    <w:rsid w:val="00C32DDE"/>
    <w:rsid w:val="00C335AB"/>
    <w:rsid w:val="00C348B9"/>
    <w:rsid w:val="00C35D23"/>
    <w:rsid w:val="00C407AB"/>
    <w:rsid w:val="00C40EF6"/>
    <w:rsid w:val="00C42210"/>
    <w:rsid w:val="00C46DBC"/>
    <w:rsid w:val="00C52B7B"/>
    <w:rsid w:val="00C547CD"/>
    <w:rsid w:val="00C56771"/>
    <w:rsid w:val="00C570FF"/>
    <w:rsid w:val="00C57CEA"/>
    <w:rsid w:val="00C60FEC"/>
    <w:rsid w:val="00C62B1C"/>
    <w:rsid w:val="00C64B59"/>
    <w:rsid w:val="00C6574E"/>
    <w:rsid w:val="00C663D1"/>
    <w:rsid w:val="00C67744"/>
    <w:rsid w:val="00C707FD"/>
    <w:rsid w:val="00C7437C"/>
    <w:rsid w:val="00C76DEB"/>
    <w:rsid w:val="00C811D8"/>
    <w:rsid w:val="00C816C6"/>
    <w:rsid w:val="00C863A7"/>
    <w:rsid w:val="00C865EB"/>
    <w:rsid w:val="00C912F4"/>
    <w:rsid w:val="00C9156F"/>
    <w:rsid w:val="00C95098"/>
    <w:rsid w:val="00C9581A"/>
    <w:rsid w:val="00C95E4B"/>
    <w:rsid w:val="00C963FE"/>
    <w:rsid w:val="00C96F38"/>
    <w:rsid w:val="00C97D29"/>
    <w:rsid w:val="00C97DD1"/>
    <w:rsid w:val="00CA1A92"/>
    <w:rsid w:val="00CA21F6"/>
    <w:rsid w:val="00CA309E"/>
    <w:rsid w:val="00CA4DFB"/>
    <w:rsid w:val="00CA7957"/>
    <w:rsid w:val="00CB0550"/>
    <w:rsid w:val="00CB4EC6"/>
    <w:rsid w:val="00CB6813"/>
    <w:rsid w:val="00CC1C72"/>
    <w:rsid w:val="00CC4614"/>
    <w:rsid w:val="00CD2769"/>
    <w:rsid w:val="00CD3D54"/>
    <w:rsid w:val="00CD428D"/>
    <w:rsid w:val="00CD622C"/>
    <w:rsid w:val="00CE149A"/>
    <w:rsid w:val="00CE3798"/>
    <w:rsid w:val="00CE65E7"/>
    <w:rsid w:val="00CF0F80"/>
    <w:rsid w:val="00CF0F99"/>
    <w:rsid w:val="00CF691B"/>
    <w:rsid w:val="00CF6A55"/>
    <w:rsid w:val="00CF6DC6"/>
    <w:rsid w:val="00CF6DCF"/>
    <w:rsid w:val="00D014AA"/>
    <w:rsid w:val="00D0169F"/>
    <w:rsid w:val="00D019AE"/>
    <w:rsid w:val="00D01DDB"/>
    <w:rsid w:val="00D078BE"/>
    <w:rsid w:val="00D123D0"/>
    <w:rsid w:val="00D13F8A"/>
    <w:rsid w:val="00D14183"/>
    <w:rsid w:val="00D15BF8"/>
    <w:rsid w:val="00D16192"/>
    <w:rsid w:val="00D16F60"/>
    <w:rsid w:val="00D21171"/>
    <w:rsid w:val="00D2172E"/>
    <w:rsid w:val="00D22981"/>
    <w:rsid w:val="00D24FFC"/>
    <w:rsid w:val="00D31E97"/>
    <w:rsid w:val="00D325AF"/>
    <w:rsid w:val="00D32C6F"/>
    <w:rsid w:val="00D3349B"/>
    <w:rsid w:val="00D349C8"/>
    <w:rsid w:val="00D4080B"/>
    <w:rsid w:val="00D424A8"/>
    <w:rsid w:val="00D464CE"/>
    <w:rsid w:val="00D56FCE"/>
    <w:rsid w:val="00D6036F"/>
    <w:rsid w:val="00D6193B"/>
    <w:rsid w:val="00D61C51"/>
    <w:rsid w:val="00D62877"/>
    <w:rsid w:val="00D63760"/>
    <w:rsid w:val="00D64AE1"/>
    <w:rsid w:val="00D66AED"/>
    <w:rsid w:val="00D6703F"/>
    <w:rsid w:val="00D67060"/>
    <w:rsid w:val="00D67C3B"/>
    <w:rsid w:val="00D734EB"/>
    <w:rsid w:val="00D77212"/>
    <w:rsid w:val="00D82713"/>
    <w:rsid w:val="00D83D0A"/>
    <w:rsid w:val="00D84F63"/>
    <w:rsid w:val="00D86F00"/>
    <w:rsid w:val="00D918D5"/>
    <w:rsid w:val="00D94C8E"/>
    <w:rsid w:val="00DA08AD"/>
    <w:rsid w:val="00DA486E"/>
    <w:rsid w:val="00DA766F"/>
    <w:rsid w:val="00DA7C06"/>
    <w:rsid w:val="00DB1372"/>
    <w:rsid w:val="00DB192C"/>
    <w:rsid w:val="00DB1CF3"/>
    <w:rsid w:val="00DB5425"/>
    <w:rsid w:val="00DB6360"/>
    <w:rsid w:val="00DB6E2B"/>
    <w:rsid w:val="00DB72A6"/>
    <w:rsid w:val="00DC0AAA"/>
    <w:rsid w:val="00DC1C47"/>
    <w:rsid w:val="00DC2FD5"/>
    <w:rsid w:val="00DC33AF"/>
    <w:rsid w:val="00DC6611"/>
    <w:rsid w:val="00DC669B"/>
    <w:rsid w:val="00DC7D3A"/>
    <w:rsid w:val="00DD364C"/>
    <w:rsid w:val="00DD5AFB"/>
    <w:rsid w:val="00DE1344"/>
    <w:rsid w:val="00DE443A"/>
    <w:rsid w:val="00DE5403"/>
    <w:rsid w:val="00DE5F6F"/>
    <w:rsid w:val="00DF1CFD"/>
    <w:rsid w:val="00DF3979"/>
    <w:rsid w:val="00DF5BFE"/>
    <w:rsid w:val="00DF783F"/>
    <w:rsid w:val="00E0094A"/>
    <w:rsid w:val="00E04630"/>
    <w:rsid w:val="00E04F7D"/>
    <w:rsid w:val="00E0523F"/>
    <w:rsid w:val="00E0592B"/>
    <w:rsid w:val="00E05EED"/>
    <w:rsid w:val="00E070FC"/>
    <w:rsid w:val="00E13D31"/>
    <w:rsid w:val="00E14335"/>
    <w:rsid w:val="00E17BCC"/>
    <w:rsid w:val="00E21FC7"/>
    <w:rsid w:val="00E23E50"/>
    <w:rsid w:val="00E26213"/>
    <w:rsid w:val="00E274DF"/>
    <w:rsid w:val="00E27A4E"/>
    <w:rsid w:val="00E305C4"/>
    <w:rsid w:val="00E3421E"/>
    <w:rsid w:val="00E34D66"/>
    <w:rsid w:val="00E362C4"/>
    <w:rsid w:val="00E403FF"/>
    <w:rsid w:val="00E46CC2"/>
    <w:rsid w:val="00E46DCF"/>
    <w:rsid w:val="00E47E0C"/>
    <w:rsid w:val="00E51813"/>
    <w:rsid w:val="00E52C0B"/>
    <w:rsid w:val="00E53D3F"/>
    <w:rsid w:val="00E554DA"/>
    <w:rsid w:val="00E5579B"/>
    <w:rsid w:val="00E575E7"/>
    <w:rsid w:val="00E57FF4"/>
    <w:rsid w:val="00E64407"/>
    <w:rsid w:val="00E66744"/>
    <w:rsid w:val="00E679D1"/>
    <w:rsid w:val="00E67C1C"/>
    <w:rsid w:val="00E67FFC"/>
    <w:rsid w:val="00E740DB"/>
    <w:rsid w:val="00E777DB"/>
    <w:rsid w:val="00E83B14"/>
    <w:rsid w:val="00E83D18"/>
    <w:rsid w:val="00E84881"/>
    <w:rsid w:val="00E84F26"/>
    <w:rsid w:val="00E86EC6"/>
    <w:rsid w:val="00E90484"/>
    <w:rsid w:val="00E90A18"/>
    <w:rsid w:val="00E91F11"/>
    <w:rsid w:val="00E92EDB"/>
    <w:rsid w:val="00E9706D"/>
    <w:rsid w:val="00EA08B9"/>
    <w:rsid w:val="00EA3AF4"/>
    <w:rsid w:val="00EA490F"/>
    <w:rsid w:val="00EA6900"/>
    <w:rsid w:val="00EB2845"/>
    <w:rsid w:val="00EB2BE5"/>
    <w:rsid w:val="00EB46D3"/>
    <w:rsid w:val="00EB5221"/>
    <w:rsid w:val="00EB5613"/>
    <w:rsid w:val="00EC0B99"/>
    <w:rsid w:val="00EC1191"/>
    <w:rsid w:val="00EC28B7"/>
    <w:rsid w:val="00EC34B1"/>
    <w:rsid w:val="00EC574B"/>
    <w:rsid w:val="00EC7387"/>
    <w:rsid w:val="00ED17D3"/>
    <w:rsid w:val="00ED17E6"/>
    <w:rsid w:val="00ED2C86"/>
    <w:rsid w:val="00ED7574"/>
    <w:rsid w:val="00EE2677"/>
    <w:rsid w:val="00EE4B01"/>
    <w:rsid w:val="00EF30B1"/>
    <w:rsid w:val="00EF3E02"/>
    <w:rsid w:val="00EF3F0B"/>
    <w:rsid w:val="00EF5583"/>
    <w:rsid w:val="00EF6A1F"/>
    <w:rsid w:val="00EF7566"/>
    <w:rsid w:val="00EF7EED"/>
    <w:rsid w:val="00F0289D"/>
    <w:rsid w:val="00F02AEC"/>
    <w:rsid w:val="00F03039"/>
    <w:rsid w:val="00F07572"/>
    <w:rsid w:val="00F1043E"/>
    <w:rsid w:val="00F106AC"/>
    <w:rsid w:val="00F1073F"/>
    <w:rsid w:val="00F123FC"/>
    <w:rsid w:val="00F134CD"/>
    <w:rsid w:val="00F1402A"/>
    <w:rsid w:val="00F157FC"/>
    <w:rsid w:val="00F176AC"/>
    <w:rsid w:val="00F24925"/>
    <w:rsid w:val="00F256CB"/>
    <w:rsid w:val="00F2776F"/>
    <w:rsid w:val="00F27DA4"/>
    <w:rsid w:val="00F27E1A"/>
    <w:rsid w:val="00F304C0"/>
    <w:rsid w:val="00F30AF3"/>
    <w:rsid w:val="00F323D7"/>
    <w:rsid w:val="00F35A23"/>
    <w:rsid w:val="00F40021"/>
    <w:rsid w:val="00F4238C"/>
    <w:rsid w:val="00F428EE"/>
    <w:rsid w:val="00F43CD1"/>
    <w:rsid w:val="00F44F50"/>
    <w:rsid w:val="00F4534B"/>
    <w:rsid w:val="00F45AE0"/>
    <w:rsid w:val="00F45B33"/>
    <w:rsid w:val="00F470D4"/>
    <w:rsid w:val="00F51D9E"/>
    <w:rsid w:val="00F54385"/>
    <w:rsid w:val="00F56DBE"/>
    <w:rsid w:val="00F57382"/>
    <w:rsid w:val="00F57E9B"/>
    <w:rsid w:val="00F60CF2"/>
    <w:rsid w:val="00F61AEC"/>
    <w:rsid w:val="00F657B4"/>
    <w:rsid w:val="00F67F3F"/>
    <w:rsid w:val="00F72725"/>
    <w:rsid w:val="00F7295C"/>
    <w:rsid w:val="00F73A47"/>
    <w:rsid w:val="00F7649F"/>
    <w:rsid w:val="00F767D3"/>
    <w:rsid w:val="00F779FB"/>
    <w:rsid w:val="00F8083B"/>
    <w:rsid w:val="00F82D1B"/>
    <w:rsid w:val="00F83959"/>
    <w:rsid w:val="00F8568E"/>
    <w:rsid w:val="00F86487"/>
    <w:rsid w:val="00F865A7"/>
    <w:rsid w:val="00F913F7"/>
    <w:rsid w:val="00F91554"/>
    <w:rsid w:val="00F92B60"/>
    <w:rsid w:val="00F9727B"/>
    <w:rsid w:val="00FA038E"/>
    <w:rsid w:val="00FA0754"/>
    <w:rsid w:val="00FA1BC9"/>
    <w:rsid w:val="00FA49C3"/>
    <w:rsid w:val="00FA7427"/>
    <w:rsid w:val="00FB1640"/>
    <w:rsid w:val="00FB236E"/>
    <w:rsid w:val="00FB2822"/>
    <w:rsid w:val="00FB3F7B"/>
    <w:rsid w:val="00FB4C2A"/>
    <w:rsid w:val="00FC2107"/>
    <w:rsid w:val="00FC3144"/>
    <w:rsid w:val="00FC4195"/>
    <w:rsid w:val="00FC48FE"/>
    <w:rsid w:val="00FC6F56"/>
    <w:rsid w:val="00FD168C"/>
    <w:rsid w:val="00FD587B"/>
    <w:rsid w:val="00FE087C"/>
    <w:rsid w:val="00FE0D43"/>
    <w:rsid w:val="00FE131D"/>
    <w:rsid w:val="00FE1725"/>
    <w:rsid w:val="00FE2F3B"/>
    <w:rsid w:val="00FE439D"/>
    <w:rsid w:val="00FE79A0"/>
    <w:rsid w:val="00FE7BC4"/>
    <w:rsid w:val="00FF0939"/>
    <w:rsid w:val="00FF232C"/>
    <w:rsid w:val="00FF3093"/>
    <w:rsid w:val="00FF6CE9"/>
    <w:rsid w:val="1997FFEE"/>
    <w:rsid w:val="2FE7D786"/>
    <w:rsid w:val="58BC1B41"/>
    <w:rsid w:val="60C9C012"/>
    <w:rsid w:val="7E454E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C024"/>
  <w15:chartTrackingRefBased/>
  <w15:docId w15:val="{585B1B7B-FA00-4BF7-8D2E-A7C7B8E6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EB3"/>
    <w:rPr>
      <w:rFonts w:ascii="Cambria" w:hAnsi="Cambria"/>
      <w:sz w:val="22"/>
    </w:rPr>
  </w:style>
  <w:style w:type="paragraph" w:styleId="Heading1">
    <w:name w:val="heading 1"/>
    <w:basedOn w:val="Heading2"/>
    <w:next w:val="Normal"/>
    <w:link w:val="Heading1Char"/>
    <w:uiPriority w:val="9"/>
    <w:qFormat/>
    <w:rsid w:val="00CD2769"/>
    <w:pPr>
      <w:numPr>
        <w:numId w:val="15"/>
      </w:numPr>
      <w:adjustRightInd w:val="0"/>
      <w:snapToGrid w:val="0"/>
      <w:spacing w:before="120" w:after="360"/>
      <w:outlineLvl w:val="0"/>
    </w:pPr>
    <w:rPr>
      <w:rFonts w:asciiTheme="majorHAnsi" w:hAnsiTheme="majorHAnsi" w:cstheme="majorHAnsi"/>
      <w:color w:val="auto"/>
      <w:sz w:val="64"/>
      <w:szCs w:val="64"/>
      <w:lang w:eastAsia="ja-JP"/>
    </w:rPr>
  </w:style>
  <w:style w:type="paragraph" w:styleId="Heading2">
    <w:name w:val="heading 2"/>
    <w:basedOn w:val="Normal"/>
    <w:next w:val="Normal"/>
    <w:link w:val="Heading2Char"/>
    <w:qFormat/>
    <w:rsid w:val="00F02AEC"/>
    <w:pPr>
      <w:keepNext/>
      <w:keepLines/>
      <w:spacing w:before="480" w:line="240" w:lineRule="atLeast"/>
      <w:outlineLvl w:val="1"/>
    </w:pPr>
    <w:rPr>
      <w:rFonts w:ascii="Arial" w:eastAsia="Times New Roman" w:hAnsi="Arial" w:cs="Times New Roman"/>
      <w:b/>
      <w:bCs/>
      <w:color w:val="001871"/>
      <w:sz w:val="38"/>
      <w:szCs w:val="38"/>
    </w:rPr>
  </w:style>
  <w:style w:type="paragraph" w:styleId="Heading3">
    <w:name w:val="heading 3"/>
    <w:basedOn w:val="Normal"/>
    <w:next w:val="Normal"/>
    <w:link w:val="Heading3Char"/>
    <w:qFormat/>
    <w:rsid w:val="00F02AEC"/>
    <w:pPr>
      <w:keepNext/>
      <w:keepLines/>
      <w:spacing w:before="480" w:line="240" w:lineRule="atLeast"/>
      <w:outlineLvl w:val="2"/>
    </w:pPr>
    <w:rPr>
      <w:rFonts w:ascii="Arial" w:eastAsia="Times New Roman" w:hAnsi="Arial" w:cs="Times New Roman"/>
      <w:b/>
      <w:bCs/>
      <w:color w:val="001871"/>
      <w:sz w:val="32"/>
      <w:szCs w:val="32"/>
    </w:rPr>
  </w:style>
  <w:style w:type="paragraph" w:styleId="Heading4">
    <w:name w:val="heading 4"/>
    <w:basedOn w:val="Normal"/>
    <w:next w:val="Normal"/>
    <w:link w:val="Heading4Char"/>
    <w:qFormat/>
    <w:rsid w:val="00F02AEC"/>
    <w:pPr>
      <w:keepNext/>
      <w:keepLines/>
      <w:spacing w:before="360" w:line="240" w:lineRule="atLeast"/>
      <w:outlineLvl w:val="3"/>
    </w:pPr>
    <w:rPr>
      <w:rFonts w:ascii="Arial" w:eastAsia="Cambria" w:hAnsi="Arial" w:cs="Times New Roman"/>
      <w:b/>
      <w:bCs/>
      <w:color w:val="001871"/>
      <w:sz w:val="28"/>
      <w:szCs w:val="26"/>
    </w:rPr>
  </w:style>
  <w:style w:type="paragraph" w:styleId="Heading5">
    <w:name w:val="heading 5"/>
    <w:basedOn w:val="Normal"/>
    <w:next w:val="Normal"/>
    <w:link w:val="Heading5Char"/>
    <w:uiPriority w:val="9"/>
    <w:rsid w:val="00F02AEC"/>
    <w:pPr>
      <w:keepNext/>
      <w:keepLines/>
      <w:spacing w:before="240" w:line="240" w:lineRule="atLeast"/>
      <w:outlineLvl w:val="4"/>
    </w:pPr>
    <w:rPr>
      <w:rFonts w:ascii="Arial" w:eastAsia="Times New Roman" w:hAnsi="Arial" w:cs="Times New Roman"/>
      <w:b/>
      <w:bCs/>
      <w:i/>
      <w:color w:val="001871"/>
      <w:sz w:val="26"/>
      <w:szCs w:val="26"/>
    </w:rPr>
  </w:style>
  <w:style w:type="paragraph" w:styleId="Heading6">
    <w:name w:val="heading 6"/>
    <w:basedOn w:val="Normal"/>
    <w:next w:val="Normal"/>
    <w:link w:val="Heading6Char"/>
    <w:uiPriority w:val="9"/>
    <w:rsid w:val="00F02AEC"/>
    <w:pPr>
      <w:keepNext/>
      <w:keepLines/>
      <w:spacing w:before="240" w:line="240" w:lineRule="atLeast"/>
      <w:outlineLvl w:val="5"/>
    </w:pPr>
    <w:rPr>
      <w:rFonts w:ascii="Arial" w:eastAsia="Times New Roman" w:hAnsi="Arial" w:cs="Times New Roman"/>
      <w:b/>
      <w:bCs/>
      <w:i/>
      <w:color w:val="001871"/>
      <w:sz w:val="24"/>
      <w:szCs w:val="21"/>
    </w:rPr>
  </w:style>
  <w:style w:type="paragraph" w:styleId="Heading7">
    <w:name w:val="heading 7"/>
    <w:basedOn w:val="Normal"/>
    <w:next w:val="Normal"/>
    <w:link w:val="Heading7Char"/>
    <w:uiPriority w:val="9"/>
    <w:unhideWhenUsed/>
    <w:qFormat/>
    <w:rsid w:val="003959D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8329DB"/>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DEEAF6" w:themeFill="accent5" w:themeFillTint="33"/>
      </w:tcPr>
    </w:tblStylePr>
    <w:tblStylePr w:type="firstCol">
      <w:pPr>
        <w:keepNext w:val="0"/>
        <w:wordWrap/>
      </w:pPr>
    </w:tblStylePr>
  </w:style>
  <w:style w:type="character" w:customStyle="1" w:styleId="Heading2Char">
    <w:name w:val="Heading 2 Char"/>
    <w:basedOn w:val="DefaultParagraphFont"/>
    <w:link w:val="Heading2"/>
    <w:rsid w:val="00F02AEC"/>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F02AEC"/>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F02AEC"/>
    <w:rPr>
      <w:rFonts w:ascii="Arial" w:eastAsia="Cambria" w:hAnsi="Arial" w:cs="Times New Roman"/>
      <w:b/>
      <w:bCs/>
      <w:color w:val="001871"/>
      <w:sz w:val="28"/>
      <w:szCs w:val="26"/>
    </w:rPr>
  </w:style>
  <w:style w:type="character" w:customStyle="1" w:styleId="Heading5Char">
    <w:name w:val="Heading 5 Char"/>
    <w:basedOn w:val="DefaultParagraphFont"/>
    <w:link w:val="Heading5"/>
    <w:uiPriority w:val="9"/>
    <w:rsid w:val="00F02AEC"/>
    <w:rPr>
      <w:rFonts w:ascii="Arial" w:eastAsia="Times New Roman" w:hAnsi="Arial" w:cs="Times New Roman"/>
      <w:b/>
      <w:bCs/>
      <w:i/>
      <w:color w:val="001871"/>
      <w:sz w:val="26"/>
      <w:szCs w:val="26"/>
    </w:rPr>
  </w:style>
  <w:style w:type="character" w:customStyle="1" w:styleId="Heading6Char">
    <w:name w:val="Heading 6 Char"/>
    <w:basedOn w:val="DefaultParagraphFont"/>
    <w:link w:val="Heading6"/>
    <w:uiPriority w:val="9"/>
    <w:rsid w:val="00F02AEC"/>
    <w:rPr>
      <w:rFonts w:ascii="Arial" w:eastAsia="Times New Roman" w:hAnsi="Arial" w:cs="Times New Roman"/>
      <w:b/>
      <w:bCs/>
      <w:i/>
      <w:color w:val="001871"/>
      <w:sz w:val="24"/>
      <w:szCs w:val="21"/>
    </w:rPr>
  </w:style>
  <w:style w:type="paragraph" w:styleId="Date">
    <w:name w:val="Date"/>
    <w:basedOn w:val="Normal"/>
    <w:next w:val="Normal"/>
    <w:link w:val="DateChar"/>
    <w:uiPriority w:val="99"/>
    <w:rsid w:val="00F02AEC"/>
    <w:pPr>
      <w:spacing w:before="120" w:after="0" w:line="240" w:lineRule="atLeast"/>
    </w:pPr>
    <w:rPr>
      <w:rFonts w:ascii="Arial" w:eastAsia="Cambria" w:hAnsi="Arial" w:cs="Times New Roman"/>
      <w:color w:val="333F4A"/>
      <w:sz w:val="28"/>
    </w:rPr>
  </w:style>
  <w:style w:type="character" w:customStyle="1" w:styleId="DateChar">
    <w:name w:val="Date Char"/>
    <w:basedOn w:val="DefaultParagraphFont"/>
    <w:link w:val="Date"/>
    <w:uiPriority w:val="99"/>
    <w:rsid w:val="00F02AEC"/>
    <w:rPr>
      <w:rFonts w:ascii="Arial" w:eastAsia="Cambria" w:hAnsi="Arial" w:cs="Times New Roman"/>
      <w:color w:val="333F4A"/>
      <w:sz w:val="28"/>
      <w:szCs w:val="20"/>
    </w:rPr>
  </w:style>
  <w:style w:type="paragraph" w:styleId="Footer">
    <w:name w:val="footer"/>
    <w:basedOn w:val="Normal"/>
    <w:link w:val="FooterChar"/>
    <w:uiPriority w:val="99"/>
    <w:rsid w:val="0056766D"/>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6766D"/>
    <w:rPr>
      <w:rFonts w:ascii="Cambria" w:eastAsia="Cambria" w:hAnsi="Cambria" w:cs="Times New Roman"/>
      <w:color w:val="333F4A"/>
      <w:sz w:val="17"/>
    </w:rPr>
  </w:style>
  <w:style w:type="paragraph" w:styleId="Header">
    <w:name w:val="header"/>
    <w:basedOn w:val="Normal"/>
    <w:link w:val="HeaderChar"/>
    <w:uiPriority w:val="99"/>
    <w:rsid w:val="00F02AEC"/>
    <w:pPr>
      <w:pBdr>
        <w:bottom w:val="single" w:sz="4" w:space="3" w:color="auto"/>
      </w:pBdr>
      <w:tabs>
        <w:tab w:val="center" w:pos="4513"/>
        <w:tab w:val="right" w:pos="9026"/>
      </w:tabs>
      <w:spacing w:after="0" w:line="240" w:lineRule="auto"/>
      <w:jc w:val="right"/>
    </w:pPr>
    <w:rPr>
      <w:rFonts w:ascii="Arial" w:eastAsia="Cambria" w:hAnsi="Arial" w:cs="Times New Roman"/>
      <w:color w:val="333F4A"/>
      <w:sz w:val="17"/>
    </w:rPr>
  </w:style>
  <w:style w:type="character" w:customStyle="1" w:styleId="HeaderChar">
    <w:name w:val="Header Char"/>
    <w:basedOn w:val="DefaultParagraphFont"/>
    <w:link w:val="Header"/>
    <w:uiPriority w:val="99"/>
    <w:rsid w:val="00F02AEC"/>
    <w:rPr>
      <w:rFonts w:ascii="Arial" w:eastAsia="Cambria" w:hAnsi="Arial" w:cs="Times New Roman"/>
      <w:color w:val="333F4A"/>
      <w:sz w:val="17"/>
      <w:szCs w:val="20"/>
    </w:rPr>
  </w:style>
  <w:style w:type="character" w:styleId="Hyperlink">
    <w:name w:val="Hyperlink"/>
    <w:basedOn w:val="DefaultParagraphFont"/>
    <w:uiPriority w:val="99"/>
    <w:unhideWhenUsed/>
    <w:rsid w:val="0056766D"/>
    <w:rPr>
      <w:rFonts w:ascii="Cambria" w:hAnsi="Cambria"/>
      <w:color w:val="0000FF"/>
      <w:u w:val="single"/>
    </w:rPr>
  </w:style>
  <w:style w:type="paragraph" w:customStyle="1" w:styleId="LegalCopy">
    <w:name w:val="Legal Copy"/>
    <w:basedOn w:val="Footer"/>
    <w:rsid w:val="0056766D"/>
  </w:style>
  <w:style w:type="paragraph" w:customStyle="1" w:styleId="LegalSubheading">
    <w:name w:val="Legal Subheading"/>
    <w:basedOn w:val="Footer"/>
    <w:rsid w:val="0056766D"/>
    <w:pPr>
      <w:outlineLvl w:val="1"/>
    </w:pPr>
    <w:rPr>
      <w:b/>
    </w:rPr>
  </w:style>
  <w:style w:type="paragraph" w:styleId="ListBullet">
    <w:name w:val="List Bullet"/>
    <w:basedOn w:val="Normal"/>
    <w:uiPriority w:val="2"/>
    <w:qFormat/>
    <w:rsid w:val="00FC6F56"/>
    <w:pPr>
      <w:numPr>
        <w:numId w:val="1"/>
      </w:numPr>
      <w:spacing w:before="120" w:after="180" w:line="240" w:lineRule="atLeast"/>
    </w:pPr>
    <w:rPr>
      <w:rFonts w:eastAsia="Cambria" w:cs="Times New Roman"/>
      <w:color w:val="000000" w:themeColor="text1"/>
    </w:rPr>
  </w:style>
  <w:style w:type="paragraph" w:styleId="ListBullet2">
    <w:name w:val="List Bullet 2"/>
    <w:basedOn w:val="Normal"/>
    <w:uiPriority w:val="2"/>
    <w:qFormat/>
    <w:rsid w:val="00FC6F56"/>
    <w:pPr>
      <w:numPr>
        <w:ilvl w:val="1"/>
        <w:numId w:val="1"/>
      </w:numPr>
      <w:spacing w:before="120" w:after="180" w:line="240" w:lineRule="atLeast"/>
      <w:ind w:left="850" w:hanging="425"/>
    </w:pPr>
    <w:rPr>
      <w:rFonts w:eastAsia="Cambria" w:cs="Times New Roman"/>
      <w:color w:val="000000" w:themeColor="text1"/>
    </w:rPr>
  </w:style>
  <w:style w:type="paragraph" w:styleId="ListBullet3">
    <w:name w:val="List Bullet 3"/>
    <w:basedOn w:val="Normal"/>
    <w:uiPriority w:val="2"/>
    <w:qFormat/>
    <w:rsid w:val="00FC6F56"/>
    <w:pPr>
      <w:numPr>
        <w:numId w:val="3"/>
      </w:numPr>
      <w:spacing w:before="120" w:after="180" w:line="240" w:lineRule="atLeast"/>
      <w:ind w:left="1276" w:hanging="425"/>
    </w:pPr>
    <w:rPr>
      <w:rFonts w:eastAsia="Cambria" w:cs="Times New Roman"/>
    </w:rPr>
  </w:style>
  <w:style w:type="numbering" w:customStyle="1" w:styleId="ListBullets">
    <w:name w:val="ListBullets"/>
    <w:uiPriority w:val="99"/>
    <w:locked/>
    <w:rsid w:val="00F02AEC"/>
    <w:pPr>
      <w:numPr>
        <w:numId w:val="1"/>
      </w:numPr>
    </w:pPr>
  </w:style>
  <w:style w:type="paragraph" w:customStyle="1" w:styleId="Numberbullet0">
    <w:name w:val="Number bullet"/>
    <w:basedOn w:val="ListBullet"/>
    <w:uiPriority w:val="2"/>
    <w:qFormat/>
    <w:rsid w:val="00FC6F56"/>
    <w:pPr>
      <w:numPr>
        <w:numId w:val="2"/>
      </w:numPr>
    </w:pPr>
  </w:style>
  <w:style w:type="paragraph" w:customStyle="1" w:styleId="Numberbullet2">
    <w:name w:val="Number bullet 2"/>
    <w:basedOn w:val="ListBullet2"/>
    <w:uiPriority w:val="2"/>
    <w:qFormat/>
    <w:rsid w:val="00F02AEC"/>
    <w:pPr>
      <w:numPr>
        <w:numId w:val="2"/>
      </w:numPr>
      <w:ind w:left="850" w:hanging="425"/>
    </w:pPr>
  </w:style>
  <w:style w:type="paragraph" w:customStyle="1" w:styleId="Numberbullet3">
    <w:name w:val="Number bullet 3"/>
    <w:basedOn w:val="Normal"/>
    <w:uiPriority w:val="2"/>
    <w:qFormat/>
    <w:rsid w:val="00F02AEC"/>
    <w:pPr>
      <w:numPr>
        <w:numId w:val="4"/>
      </w:numPr>
      <w:spacing w:before="120" w:after="180" w:line="240" w:lineRule="atLeast"/>
      <w:ind w:left="1361" w:hanging="397"/>
    </w:pPr>
    <w:rPr>
      <w:rFonts w:ascii="Arial" w:eastAsia="Cambria" w:hAnsi="Arial" w:cs="Times New Roman"/>
      <w:color w:val="333F48"/>
    </w:rPr>
  </w:style>
  <w:style w:type="numbering" w:customStyle="1" w:styleId="NumberBullet">
    <w:name w:val="NumberBullet"/>
    <w:uiPriority w:val="99"/>
    <w:locked/>
    <w:rsid w:val="00F02AEC"/>
    <w:pPr>
      <w:numPr>
        <w:numId w:val="2"/>
      </w:numPr>
    </w:pPr>
  </w:style>
  <w:style w:type="paragraph" w:styleId="Subtitle">
    <w:name w:val="Subtitle"/>
    <w:basedOn w:val="Normal"/>
    <w:link w:val="SubtitleChar"/>
    <w:uiPriority w:val="11"/>
    <w:rsid w:val="00F02AEC"/>
    <w:pPr>
      <w:numPr>
        <w:ilvl w:val="1"/>
      </w:numPr>
      <w:spacing w:after="0" w:line="240" w:lineRule="atLeast"/>
      <w:ind w:left="170"/>
    </w:pPr>
    <w:rPr>
      <w:rFonts w:ascii="Arial" w:eastAsia="Times New Roman" w:hAnsi="Arial" w:cs="Times New Roman"/>
      <w:bCs/>
      <w:iCs/>
      <w:color w:val="006BA6"/>
      <w:sz w:val="40"/>
      <w:szCs w:val="24"/>
    </w:rPr>
  </w:style>
  <w:style w:type="character" w:customStyle="1" w:styleId="SubtitleChar">
    <w:name w:val="Subtitle Char"/>
    <w:basedOn w:val="DefaultParagraphFont"/>
    <w:link w:val="Subtitle"/>
    <w:uiPriority w:val="11"/>
    <w:rsid w:val="00F02AEC"/>
    <w:rPr>
      <w:rFonts w:ascii="Arial" w:eastAsia="Times New Roman" w:hAnsi="Arial" w:cs="Times New Roman"/>
      <w:bCs/>
      <w:iCs/>
      <w:color w:val="006BA6"/>
      <w:sz w:val="40"/>
      <w:szCs w:val="24"/>
    </w:rPr>
  </w:style>
  <w:style w:type="table" w:styleId="TableGrid">
    <w:name w:val="Table Grid"/>
    <w:basedOn w:val="TableNormal"/>
    <w:uiPriority w:val="59"/>
    <w:rsid w:val="00F02AEC"/>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rsid w:val="00F02AEC"/>
    <w:pPr>
      <w:spacing w:before="120" w:after="360" w:line="240" w:lineRule="atLeast"/>
      <w:jc w:val="center"/>
    </w:pPr>
    <w:rPr>
      <w:rFonts w:ascii="Arial" w:eastAsia="Cambria" w:hAnsi="Arial" w:cs="Times New Roman"/>
      <w:b/>
      <w:color w:val="333F48"/>
      <w:sz w:val="28"/>
    </w:rPr>
  </w:style>
  <w:style w:type="paragraph" w:styleId="Title">
    <w:name w:val="Title"/>
    <w:link w:val="TitleChar"/>
    <w:uiPriority w:val="10"/>
    <w:rsid w:val="00F02AEC"/>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F02AEC"/>
    <w:rPr>
      <w:rFonts w:ascii="Arial" w:eastAsia="Times New Roman" w:hAnsi="Arial" w:cs="Times New Roman"/>
      <w:color w:val="001871"/>
      <w:spacing w:val="5"/>
      <w:kern w:val="28"/>
      <w:sz w:val="52"/>
      <w:szCs w:val="52"/>
    </w:rPr>
  </w:style>
  <w:style w:type="paragraph" w:styleId="TOC1">
    <w:name w:val="toc 1"/>
    <w:basedOn w:val="Normal"/>
    <w:next w:val="Normal"/>
    <w:uiPriority w:val="39"/>
    <w:unhideWhenUsed/>
    <w:rsid w:val="00F02AEC"/>
    <w:pPr>
      <w:keepNext/>
      <w:keepLines/>
      <w:tabs>
        <w:tab w:val="right" w:leader="underscore" w:pos="8505"/>
      </w:tabs>
      <w:spacing w:before="120" w:after="200" w:line="240" w:lineRule="atLeast"/>
    </w:pPr>
    <w:rPr>
      <w:rFonts w:ascii="Arial" w:eastAsia="Cambria" w:hAnsi="Arial" w:cs="Times New Roman"/>
      <w:b/>
      <w:color w:val="333F48"/>
      <w:sz w:val="32"/>
    </w:rPr>
  </w:style>
  <w:style w:type="paragraph" w:styleId="TOC2">
    <w:name w:val="toc 2"/>
    <w:basedOn w:val="Normal"/>
    <w:next w:val="Normal"/>
    <w:uiPriority w:val="39"/>
    <w:unhideWhenUsed/>
    <w:rsid w:val="00F02AEC"/>
    <w:pPr>
      <w:keepNext/>
      <w:keepLines/>
      <w:tabs>
        <w:tab w:val="right" w:leader="underscore" w:pos="8505"/>
      </w:tabs>
      <w:spacing w:before="120" w:after="100" w:line="240" w:lineRule="atLeast"/>
      <w:ind w:left="425"/>
    </w:pPr>
    <w:rPr>
      <w:rFonts w:ascii="Arial" w:eastAsia="Cambria" w:hAnsi="Arial" w:cs="Times New Roman"/>
      <w:b/>
      <w:color w:val="333F48"/>
      <w:sz w:val="25"/>
    </w:rPr>
  </w:style>
  <w:style w:type="paragraph" w:styleId="TOC3">
    <w:name w:val="toc 3"/>
    <w:basedOn w:val="Normal"/>
    <w:next w:val="Normal"/>
    <w:uiPriority w:val="39"/>
    <w:unhideWhenUsed/>
    <w:rsid w:val="00F02AEC"/>
    <w:pPr>
      <w:keepNext/>
      <w:keepLines/>
      <w:tabs>
        <w:tab w:val="right" w:leader="hyphen" w:pos="8505"/>
      </w:tabs>
      <w:spacing w:before="120" w:after="100" w:line="240" w:lineRule="atLeast"/>
      <w:ind w:left="851"/>
    </w:pPr>
    <w:rPr>
      <w:rFonts w:ascii="Arial" w:eastAsia="Cambria" w:hAnsi="Arial" w:cs="Times New Roman"/>
      <w:b/>
      <w:color w:val="333F48"/>
    </w:rPr>
  </w:style>
  <w:style w:type="paragraph" w:styleId="FootnoteText">
    <w:name w:val="footnote text"/>
    <w:basedOn w:val="Normal"/>
    <w:link w:val="FootnoteTextChar"/>
    <w:qFormat/>
    <w:rsid w:val="00FE087C"/>
    <w:pPr>
      <w:keepLines/>
      <w:spacing w:after="0" w:line="240" w:lineRule="atLeast"/>
    </w:pPr>
    <w:rPr>
      <w:rFonts w:eastAsia="Cambria" w:cs="Times New Roman"/>
      <w:color w:val="333F48"/>
      <w:sz w:val="17"/>
    </w:rPr>
  </w:style>
  <w:style w:type="character" w:customStyle="1" w:styleId="FootnoteTextChar">
    <w:name w:val="Footnote Text Char"/>
    <w:basedOn w:val="DefaultParagraphFont"/>
    <w:link w:val="FootnoteText"/>
    <w:rsid w:val="00FE087C"/>
    <w:rPr>
      <w:rFonts w:ascii="Cambria" w:eastAsia="Cambria" w:hAnsi="Cambria" w:cs="Times New Roman"/>
      <w:color w:val="333F48"/>
      <w:sz w:val="17"/>
    </w:rPr>
  </w:style>
  <w:style w:type="character" w:styleId="FootnoteReference">
    <w:name w:val="footnote reference"/>
    <w:basedOn w:val="DefaultParagraphFont"/>
    <w:uiPriority w:val="99"/>
    <w:semiHidden/>
    <w:unhideWhenUsed/>
    <w:rsid w:val="00F02AEC"/>
    <w:rPr>
      <w:vertAlign w:val="superscript"/>
    </w:rPr>
  </w:style>
  <w:style w:type="paragraph" w:customStyle="1" w:styleId="NonTOCheading2">
    <w:name w:val="Non TOC heading 2"/>
    <w:basedOn w:val="Normal"/>
    <w:next w:val="Normal"/>
    <w:rsid w:val="00F02AEC"/>
    <w:pPr>
      <w:keepNext/>
      <w:keepLines/>
      <w:pageBreakBefore/>
      <w:spacing w:after="180" w:line="240" w:lineRule="atLeast"/>
      <w:outlineLvl w:val="1"/>
    </w:pPr>
    <w:rPr>
      <w:rFonts w:ascii="Arial" w:eastAsia="Cambria" w:hAnsi="Arial" w:cs="Times New Roman"/>
      <w:b/>
      <w:color w:val="001871"/>
      <w:sz w:val="38"/>
    </w:rPr>
  </w:style>
  <w:style w:type="paragraph" w:customStyle="1" w:styleId="Headernoline">
    <w:name w:val="Header no line"/>
    <w:basedOn w:val="Header"/>
    <w:rsid w:val="00F02AEC"/>
    <w:pPr>
      <w:pBdr>
        <w:bottom w:val="none" w:sz="0" w:space="0" w:color="auto"/>
      </w:pBdr>
      <w:spacing w:line="240" w:lineRule="atLeast"/>
    </w:pPr>
  </w:style>
  <w:style w:type="paragraph" w:customStyle="1" w:styleId="Address">
    <w:name w:val="Address"/>
    <w:basedOn w:val="Normal"/>
    <w:rsid w:val="00F02AEC"/>
    <w:pPr>
      <w:spacing w:after="0" w:line="240" w:lineRule="auto"/>
    </w:pPr>
    <w:rPr>
      <w:rFonts w:ascii="Arial" w:eastAsia="Cambria" w:hAnsi="Arial" w:cs="Times New Roman"/>
      <w:color w:val="333F48"/>
      <w:sz w:val="21"/>
    </w:rPr>
  </w:style>
  <w:style w:type="paragraph" w:customStyle="1" w:styleId="ListBullet-dotick">
    <w:name w:val="List Bullet - do (tick)"/>
    <w:basedOn w:val="ListBullet"/>
    <w:autoRedefine/>
    <w:uiPriority w:val="1"/>
    <w:rsid w:val="00F02AEC"/>
    <w:pPr>
      <w:numPr>
        <w:numId w:val="5"/>
      </w:numPr>
      <w:tabs>
        <w:tab w:val="left" w:pos="425"/>
      </w:tabs>
    </w:pPr>
  </w:style>
  <w:style w:type="paragraph" w:customStyle="1" w:styleId="ListBullet-donotcross">
    <w:name w:val="List Bullet - do not (cross)"/>
    <w:basedOn w:val="ListBullet"/>
    <w:autoRedefine/>
    <w:uiPriority w:val="1"/>
    <w:rsid w:val="00F02AEC"/>
    <w:pPr>
      <w:numPr>
        <w:numId w:val="6"/>
      </w:numPr>
      <w:ind w:left="357" w:hanging="357"/>
    </w:pPr>
    <w:rPr>
      <w:rFonts w:eastAsiaTheme="minorHAnsi" w:cstheme="minorBidi"/>
      <w:szCs w:val="22"/>
    </w:rPr>
  </w:style>
  <w:style w:type="table" w:customStyle="1" w:styleId="TGABlack2023">
    <w:name w:val="TGA Black 2023"/>
    <w:basedOn w:val="TableTGAblue2023"/>
    <w:uiPriority w:val="99"/>
    <w:rsid w:val="00FA49C3"/>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paragraph" w:customStyle="1" w:styleId="NonTOCHeading20">
    <w:name w:val="Non TOC Heading 2"/>
    <w:basedOn w:val="Normal"/>
    <w:rsid w:val="00346EC2"/>
    <w:pPr>
      <w:spacing w:before="240" w:line="240" w:lineRule="atLeast"/>
      <w:outlineLvl w:val="1"/>
    </w:pPr>
    <w:rPr>
      <w:rFonts w:ascii="Arial" w:eastAsia="Cambria" w:hAnsi="Arial" w:cs="Times New Roman"/>
      <w:b/>
      <w:sz w:val="32"/>
      <w:szCs w:val="22"/>
    </w:rPr>
  </w:style>
  <w:style w:type="table" w:customStyle="1" w:styleId="TableTGAblue">
    <w:name w:val="Table TGA blue"/>
    <w:basedOn w:val="TableNormal"/>
    <w:uiPriority w:val="99"/>
    <w:qFormat/>
    <w:rsid w:val="00324B33"/>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keepNext/>
        <w:wordWrap/>
      </w:pPr>
      <w:rPr>
        <w:rFonts w:ascii="Myanmar Text" w:hAnsi="Myanmar Text"/>
        <w:b/>
        <w:color w:val="FFFFFF" w:themeColor="background1"/>
        <w:sz w:val="22"/>
      </w:rPr>
      <w:tblPr/>
      <w:trPr>
        <w:tblHeader/>
      </w:tr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style>
  <w:style w:type="paragraph" w:customStyle="1" w:styleId="Instructions">
    <w:name w:val="Instructions"/>
    <w:basedOn w:val="Normal"/>
    <w:next w:val="Normal"/>
    <w:uiPriority w:val="1"/>
    <w:qFormat/>
    <w:rsid w:val="00324B33"/>
    <w:pPr>
      <w:spacing w:before="120" w:line="240" w:lineRule="atLeast"/>
    </w:pPr>
    <w:rPr>
      <w:rFonts w:eastAsia="Cambria" w:cs="Times New Roman"/>
      <w:i/>
      <w:color w:val="007099"/>
      <w:szCs w:val="22"/>
    </w:rPr>
  </w:style>
  <w:style w:type="paragraph" w:customStyle="1" w:styleId="TableTitle">
    <w:name w:val="Table Title"/>
    <w:basedOn w:val="Normal"/>
    <w:rsid w:val="00324B33"/>
    <w:pPr>
      <w:keepNext/>
      <w:spacing w:before="120" w:line="240" w:lineRule="atLeast"/>
    </w:pPr>
    <w:rPr>
      <w:rFonts w:eastAsia="Cambria" w:cs="Times New Roman"/>
      <w:b/>
      <w:szCs w:val="22"/>
    </w:rPr>
  </w:style>
  <w:style w:type="paragraph" w:customStyle="1" w:styleId="TableDescription">
    <w:name w:val="Table Description"/>
    <w:basedOn w:val="Normal"/>
    <w:qFormat/>
    <w:rsid w:val="00854D98"/>
    <w:pPr>
      <w:spacing w:before="120" w:line="240" w:lineRule="auto"/>
    </w:pPr>
    <w:rPr>
      <w:rFonts w:eastAsia="Cambria" w:cs="Times New Roman"/>
      <w:sz w:val="18"/>
      <w:szCs w:val="19"/>
    </w:rPr>
  </w:style>
  <w:style w:type="character" w:styleId="CommentReference">
    <w:name w:val="annotation reference"/>
    <w:basedOn w:val="DefaultParagraphFont"/>
    <w:uiPriority w:val="99"/>
    <w:semiHidden/>
    <w:unhideWhenUsed/>
    <w:rsid w:val="00E47E0C"/>
    <w:rPr>
      <w:sz w:val="16"/>
      <w:szCs w:val="16"/>
    </w:rPr>
  </w:style>
  <w:style w:type="paragraph" w:styleId="CommentText">
    <w:name w:val="annotation text"/>
    <w:basedOn w:val="Normal"/>
    <w:link w:val="CommentTextChar"/>
    <w:uiPriority w:val="99"/>
    <w:unhideWhenUsed/>
    <w:rsid w:val="00E47E0C"/>
    <w:pPr>
      <w:spacing w:line="240" w:lineRule="auto"/>
    </w:pPr>
  </w:style>
  <w:style w:type="character" w:customStyle="1" w:styleId="CommentTextChar">
    <w:name w:val="Comment Text Char"/>
    <w:basedOn w:val="DefaultParagraphFont"/>
    <w:link w:val="CommentText"/>
    <w:uiPriority w:val="99"/>
    <w:rsid w:val="00E47E0C"/>
    <w:rPr>
      <w:rFonts w:ascii="Cambria" w:hAnsi="Cambria"/>
    </w:rPr>
  </w:style>
  <w:style w:type="paragraph" w:styleId="CommentSubject">
    <w:name w:val="annotation subject"/>
    <w:basedOn w:val="CommentText"/>
    <w:next w:val="CommentText"/>
    <w:link w:val="CommentSubjectChar"/>
    <w:uiPriority w:val="99"/>
    <w:semiHidden/>
    <w:unhideWhenUsed/>
    <w:rsid w:val="00E47E0C"/>
    <w:rPr>
      <w:b/>
      <w:bCs/>
    </w:rPr>
  </w:style>
  <w:style w:type="character" w:customStyle="1" w:styleId="CommentSubjectChar">
    <w:name w:val="Comment Subject Char"/>
    <w:basedOn w:val="CommentTextChar"/>
    <w:link w:val="CommentSubject"/>
    <w:uiPriority w:val="99"/>
    <w:semiHidden/>
    <w:rsid w:val="00E47E0C"/>
    <w:rPr>
      <w:rFonts w:ascii="Cambria" w:hAnsi="Cambria"/>
      <w:b/>
      <w:bCs/>
    </w:rPr>
  </w:style>
  <w:style w:type="paragraph" w:styleId="BalloonText">
    <w:name w:val="Balloon Text"/>
    <w:basedOn w:val="Normal"/>
    <w:link w:val="BalloonTextChar"/>
    <w:uiPriority w:val="99"/>
    <w:semiHidden/>
    <w:unhideWhenUsed/>
    <w:rsid w:val="00D63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60"/>
    <w:rPr>
      <w:rFonts w:ascii="Segoe UI" w:hAnsi="Segoe UI" w:cs="Segoe UI"/>
      <w:sz w:val="18"/>
      <w:szCs w:val="18"/>
    </w:rPr>
  </w:style>
  <w:style w:type="character" w:styleId="FollowedHyperlink">
    <w:name w:val="FollowedHyperlink"/>
    <w:basedOn w:val="DefaultParagraphFont"/>
    <w:uiPriority w:val="99"/>
    <w:semiHidden/>
    <w:unhideWhenUsed/>
    <w:rsid w:val="001C1C2E"/>
    <w:rPr>
      <w:color w:val="954F72" w:themeColor="followedHyperlink"/>
      <w:u w:val="single"/>
    </w:rPr>
  </w:style>
  <w:style w:type="paragraph" w:styleId="Revision">
    <w:name w:val="Revision"/>
    <w:hidden/>
    <w:uiPriority w:val="99"/>
    <w:semiHidden/>
    <w:rsid w:val="008964B3"/>
    <w:pPr>
      <w:spacing w:after="0" w:line="240" w:lineRule="auto"/>
    </w:pPr>
    <w:rPr>
      <w:rFonts w:ascii="Cambria" w:hAnsi="Cambria"/>
    </w:rPr>
  </w:style>
  <w:style w:type="character" w:styleId="UnresolvedMention">
    <w:name w:val="Unresolved Mention"/>
    <w:basedOn w:val="DefaultParagraphFont"/>
    <w:uiPriority w:val="99"/>
    <w:semiHidden/>
    <w:unhideWhenUsed/>
    <w:rsid w:val="00966EF1"/>
    <w:rPr>
      <w:color w:val="605E5C"/>
      <w:shd w:val="clear" w:color="auto" w:fill="E1DFDD"/>
    </w:rPr>
  </w:style>
  <w:style w:type="paragraph" w:customStyle="1" w:styleId="TableText">
    <w:name w:val="Table Text"/>
    <w:basedOn w:val="FootnoteText"/>
    <w:qFormat/>
    <w:rsid w:val="005B69CF"/>
    <w:rPr>
      <w:color w:val="000000" w:themeColor="text1"/>
      <w:sz w:val="22"/>
      <w:lang w:val="en-GB"/>
    </w:rPr>
  </w:style>
  <w:style w:type="paragraph" w:customStyle="1" w:styleId="FigureTitle">
    <w:name w:val="Figure Title"/>
    <w:basedOn w:val="Normal"/>
    <w:qFormat/>
    <w:rsid w:val="00AB0613"/>
    <w:pPr>
      <w:keepNext/>
    </w:pPr>
    <w:rPr>
      <w:b/>
    </w:rPr>
  </w:style>
  <w:style w:type="paragraph" w:styleId="Caption">
    <w:name w:val="caption"/>
    <w:basedOn w:val="Normal"/>
    <w:next w:val="Normal"/>
    <w:uiPriority w:val="35"/>
    <w:unhideWhenUsed/>
    <w:qFormat/>
    <w:rsid w:val="0098350E"/>
    <w:pPr>
      <w:spacing w:after="200" w:line="240" w:lineRule="auto"/>
    </w:pPr>
    <w:rPr>
      <w:i/>
      <w:iCs/>
      <w:color w:val="44546A" w:themeColor="text2"/>
      <w:sz w:val="18"/>
      <w:szCs w:val="18"/>
    </w:rPr>
  </w:style>
  <w:style w:type="paragraph" w:customStyle="1" w:styleId="FigureDescription">
    <w:name w:val="Figure Description"/>
    <w:basedOn w:val="FigureTitle"/>
    <w:qFormat/>
    <w:rsid w:val="0010558A"/>
    <w:pPr>
      <w:spacing w:before="120"/>
    </w:pPr>
    <w:rPr>
      <w:b w:val="0"/>
      <w:sz w:val="19"/>
    </w:rPr>
  </w:style>
  <w:style w:type="paragraph" w:styleId="ListParagraph">
    <w:name w:val="List Paragraph"/>
    <w:basedOn w:val="Normal"/>
    <w:link w:val="ListParagraphChar"/>
    <w:uiPriority w:val="1"/>
    <w:qFormat/>
    <w:rsid w:val="006B7126"/>
    <w:pPr>
      <w:spacing w:after="160"/>
      <w:ind w:left="720"/>
      <w:contextualSpacing/>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B7126"/>
    <w:rPr>
      <w:rFonts w:ascii="Times New Roman" w:hAnsi="Times New Roman" w:cs="Times New Roman"/>
      <w:sz w:val="24"/>
      <w:szCs w:val="24"/>
    </w:rPr>
  </w:style>
  <w:style w:type="paragraph" w:customStyle="1" w:styleId="Indication">
    <w:name w:val="Indication"/>
    <w:basedOn w:val="Normal"/>
    <w:next w:val="Normal"/>
    <w:qFormat/>
    <w:rsid w:val="00BA3F6D"/>
    <w:pPr>
      <w:spacing w:before="120" w:line="240" w:lineRule="atLeast"/>
      <w:ind w:left="720"/>
      <w:contextualSpacing/>
    </w:pPr>
    <w:rPr>
      <w:i/>
      <w:color w:val="000000" w:themeColor="text1"/>
    </w:rPr>
  </w:style>
  <w:style w:type="paragraph" w:customStyle="1" w:styleId="DelegatesQuestions">
    <w:name w:val="Delegate's Questions"/>
    <w:basedOn w:val="Numberbullet0"/>
    <w:qFormat/>
    <w:rsid w:val="007575D0"/>
    <w:rPr>
      <w:b/>
      <w:bCs/>
      <w:i/>
      <w:iCs/>
    </w:rPr>
  </w:style>
  <w:style w:type="paragraph" w:customStyle="1" w:styleId="Default">
    <w:name w:val="Default"/>
    <w:rsid w:val="0093690E"/>
    <w:pPr>
      <w:autoSpaceDE w:val="0"/>
      <w:autoSpaceDN w:val="0"/>
      <w:adjustRightInd w:val="0"/>
      <w:spacing w:after="0" w:line="240" w:lineRule="auto"/>
    </w:pPr>
    <w:rPr>
      <w:rFonts w:ascii="Cambria" w:hAnsi="Cambria" w:cs="Cambria"/>
      <w:color w:val="000000"/>
      <w:sz w:val="24"/>
      <w:szCs w:val="24"/>
    </w:rPr>
  </w:style>
  <w:style w:type="paragraph" w:customStyle="1" w:styleId="AufzhlungKstchen">
    <w:name w:val="Aufzählung Kästchen"/>
    <w:basedOn w:val="ListParagraph"/>
    <w:qFormat/>
    <w:rsid w:val="002B5861"/>
    <w:pPr>
      <w:numPr>
        <w:numId w:val="14"/>
      </w:numPr>
      <w:spacing w:after="0" w:line="260" w:lineRule="atLeast"/>
    </w:pPr>
    <w:rPr>
      <w:rFonts w:ascii="Arial" w:hAnsi="Arial" w:cs="Arial"/>
      <w:sz w:val="22"/>
      <w:szCs w:val="22"/>
      <w:lang w:val="en-US"/>
    </w:rPr>
  </w:style>
  <w:style w:type="character" w:customStyle="1" w:styleId="Heading1Char">
    <w:name w:val="Heading 1 Char"/>
    <w:basedOn w:val="DefaultParagraphFont"/>
    <w:link w:val="Heading1"/>
    <w:uiPriority w:val="9"/>
    <w:rsid w:val="00CD2769"/>
    <w:rPr>
      <w:rFonts w:asciiTheme="majorHAnsi" w:eastAsia="Times New Roman" w:hAnsiTheme="majorHAnsi" w:cstheme="majorHAnsi"/>
      <w:b/>
      <w:bCs/>
      <w:sz w:val="64"/>
      <w:szCs w:val="64"/>
      <w:lang w:eastAsia="ja-JP"/>
    </w:rPr>
  </w:style>
  <w:style w:type="paragraph" w:customStyle="1" w:styleId="Tabletext0">
    <w:name w:val="Table text"/>
    <w:basedOn w:val="Normal"/>
    <w:link w:val="TabletextChar"/>
    <w:qFormat/>
    <w:rsid w:val="002F5E08"/>
    <w:pPr>
      <w:spacing w:before="120" w:line="240" w:lineRule="atLeast"/>
    </w:pPr>
    <w:rPr>
      <w:rFonts w:eastAsia="Cambria" w:cs="Times New Roman"/>
      <w:kern w:val="16"/>
      <w:sz w:val="19"/>
      <w:szCs w:val="24"/>
    </w:rPr>
  </w:style>
  <w:style w:type="character" w:customStyle="1" w:styleId="TabletextChar">
    <w:name w:val="Table text Char"/>
    <w:basedOn w:val="DefaultParagraphFont"/>
    <w:link w:val="Tabletext0"/>
    <w:rsid w:val="002F5E08"/>
    <w:rPr>
      <w:rFonts w:ascii="Cambria" w:eastAsia="Cambria" w:hAnsi="Cambria" w:cs="Times New Roman"/>
      <w:kern w:val="16"/>
      <w:sz w:val="19"/>
      <w:szCs w:val="24"/>
    </w:rPr>
  </w:style>
  <w:style w:type="table" w:styleId="PlainTable2">
    <w:name w:val="Plain Table 2"/>
    <w:basedOn w:val="TableNormal"/>
    <w:uiPriority w:val="42"/>
    <w:rsid w:val="00FC31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7Char">
    <w:name w:val="Heading 7 Char"/>
    <w:basedOn w:val="DefaultParagraphFont"/>
    <w:link w:val="Heading7"/>
    <w:uiPriority w:val="9"/>
    <w:rsid w:val="003959DB"/>
    <w:rPr>
      <w:rFonts w:asciiTheme="majorHAnsi" w:eastAsiaTheme="majorEastAsia" w:hAnsiTheme="majorHAnsi" w:cstheme="majorBidi"/>
      <w:i/>
      <w:iCs/>
      <w:color w:val="1F3763" w:themeColor="accent1" w:themeShade="7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5028">
      <w:bodyDiv w:val="1"/>
      <w:marLeft w:val="0"/>
      <w:marRight w:val="0"/>
      <w:marTop w:val="0"/>
      <w:marBottom w:val="0"/>
      <w:divBdr>
        <w:top w:val="none" w:sz="0" w:space="0" w:color="auto"/>
        <w:left w:val="none" w:sz="0" w:space="0" w:color="auto"/>
        <w:bottom w:val="none" w:sz="0" w:space="0" w:color="auto"/>
        <w:right w:val="none" w:sz="0" w:space="0" w:color="auto"/>
      </w:divBdr>
    </w:div>
    <w:div w:id="695735718">
      <w:bodyDiv w:val="1"/>
      <w:marLeft w:val="0"/>
      <w:marRight w:val="0"/>
      <w:marTop w:val="0"/>
      <w:marBottom w:val="0"/>
      <w:divBdr>
        <w:top w:val="none" w:sz="0" w:space="0" w:color="auto"/>
        <w:left w:val="none" w:sz="0" w:space="0" w:color="auto"/>
        <w:bottom w:val="none" w:sz="0" w:space="0" w:color="auto"/>
        <w:right w:val="none" w:sz="0" w:space="0" w:color="auto"/>
      </w:divBdr>
    </w:div>
    <w:div w:id="12937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www.tga.gov.au/obstetric-drug-information-services" TargetMode="Externa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hyperlink" Target="https://www.tga.gov.au/committee/advisory-committee-medicines-acm" TargetMode="External"/><Relationship Id="rId6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ga.gov.au/" TargetMode="External"/><Relationship Id="rId29" Type="http://schemas.openxmlformats.org/officeDocument/2006/relationships/image" Target="media/image8.png"/><Relationship Id="rId11" Type="http://schemas.openxmlformats.org/officeDocument/2006/relationships/header" Target="header1.xml"/><Relationship Id="rId24" Type="http://schemas.openxmlformats.org/officeDocument/2006/relationships/hyperlink" Target="https://www.tga.gov.au/australia-canada-singapore-switzerland-united-kingdom-access-consortium" TargetMode="External"/><Relationship Id="rId32" Type="http://schemas.openxmlformats.org/officeDocument/2006/relationships/image" Target="media/image11.emf"/><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s://www.tga.gov.au/publication/risk-management-plans-medicines-and-biologicals" TargetMode="External"/><Relationship Id="rId66" Type="http://schemas.openxmlformats.org/officeDocument/2006/relationships/hyperlink" Target="https://www.ebs.tga.gov.au/"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tga.gov.au/resources/resource/guidance/risk-management-plans-medicines-and-biologicals/australia-specific-annex-eu-rmp" TargetMode="External"/><Relationship Id="rId19" Type="http://schemas.openxmlformats.org/officeDocument/2006/relationships/hyperlink" Target="https://www.tga.gov.au/black-triangle-scheme" TargetMode="Externa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emf"/><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hyperlink" Target="https://www.tga.gov.au/form/certified-product-details-cpd-biologicalprescription-medicines" TargetMode="External"/><Relationship Id="rId69" Type="http://schemas.openxmlformats.org/officeDocument/2006/relationships/hyperlink" Target="mailto:info@tga.gov.au" TargetMode="External"/><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tga.gov.au/australian-public-assessment-report-auspar-guidance" TargetMode="External"/><Relationship Id="rId25" Type="http://schemas.openxmlformats.org/officeDocument/2006/relationships/hyperlink" Target="https://www.tga.gov.au/how-we-regulate/supply-therapeutic-good-0/supply-prescription-medicine/application-process/prescription-medicines-registration-process"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hyperlink" Target="https://www.tga.gov.au/tgas-risk-management-approach" TargetMode="External"/><Relationship Id="rId67" Type="http://schemas.openxmlformats.org/officeDocument/2006/relationships/header" Target="header4.xml"/><Relationship Id="rId20" Type="http://schemas.openxmlformats.org/officeDocument/2006/relationships/hyperlink" Target="https://www.tga.gov.au/products/medicines/find-information-about-medicine/prescribing-medicines-pregnancy-database"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37.png"/><Relationship Id="rId70" Type="http://schemas.openxmlformats.org/officeDocument/2006/relationships/hyperlink" Target="https://www.tga.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microsoft.com/office/2007/relationships/hdphoto" Target="media/hdphoto1.wdp"/><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hyperlink" Target="https://www.tga.gov.au/resources/resource/guidance/risk-management-plans-medicines-and-biologicals/australia-specific-annex-eu-rmp" TargetMode="External"/><Relationship Id="rId65" Type="http://schemas.openxmlformats.org/officeDocument/2006/relationships/hyperlink" Target="https://www.tga.gov.au/guidance-7-certified-product-details"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tga.copyright@tga.gov.au" TargetMode="External"/><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 Id="rId7" Type="http://schemas.openxmlformats.org/officeDocument/2006/relationships/settings" Target="settings.xml"/><Relationship Id="rId71"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reports/diabetes/diabetes/contents/how-common-is-diabetes/type-1-diabetes" TargetMode="External"/><Relationship Id="rId2" Type="http://schemas.openxmlformats.org/officeDocument/2006/relationships/hyperlink" Target="https://doi.org/10.1159/000543035" TargetMode="External"/><Relationship Id="rId1" Type="http://schemas.openxmlformats.org/officeDocument/2006/relationships/hyperlink" Target="https://doi.org/10.2337/dc24-S002"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D96C6A133E4F49896004572711620C" ma:contentTypeVersion="10" ma:contentTypeDescription="Create a new document." ma:contentTypeScope="" ma:versionID="46f02a063eefff6d2a8399c584f3dafe">
  <xsd:schema xmlns:xsd="http://www.w3.org/2001/XMLSchema" xmlns:xs="http://www.w3.org/2001/XMLSchema" xmlns:p="http://schemas.microsoft.com/office/2006/metadata/properties" xmlns:ns2="425d2864-7e57-4c0f-83d2-5c21031a17ca" xmlns:ns3="971b78d8-fc3c-460e-a291-b748c22c5a61" targetNamespace="http://schemas.microsoft.com/office/2006/metadata/properties" ma:root="true" ma:fieldsID="80d224446dd8ff73da67bc148e147b4b" ns2:_="" ns3:_="">
    <xsd:import namespace="425d2864-7e57-4c0f-83d2-5c21031a17ca"/>
    <xsd:import namespace="971b78d8-fc3c-460e-a291-b748c22c5a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d2864-7e57-4c0f-83d2-5c21031a1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1b78d8-fc3c-460e-a291-b748c22c5a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5A341-256C-4BC9-8615-3671C93C00C6}">
  <ds:schemaRefs>
    <ds:schemaRef ds:uri="http://schemas.microsoft.com/sharepoint/v3/contenttype/forms"/>
  </ds:schemaRefs>
</ds:datastoreItem>
</file>

<file path=customXml/itemProps2.xml><?xml version="1.0" encoding="utf-8"?>
<ds:datastoreItem xmlns:ds="http://schemas.openxmlformats.org/officeDocument/2006/customXml" ds:itemID="{CE478728-A05B-4308-8D09-409822E0C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d2864-7e57-4c0f-83d2-5c21031a17ca"/>
    <ds:schemaRef ds:uri="971b78d8-fc3c-460e-a291-b748c22c5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CD2A3-42FF-433D-A99F-C8FF01B7F4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11AE68-6449-47E6-9F10-0220946BAFE5}">
  <ds:schemaRefs>
    <ds:schemaRef ds:uri="http://schemas.openxmlformats.org/officeDocument/2006/bibliography"/>
  </ds:schemaRefs>
</ds:datastoreItem>
</file>

<file path=docMetadata/LabelInfo.xml><?xml version="1.0" encoding="utf-8"?>
<clbl:labelList xmlns:clbl="http://schemas.microsoft.com/office/2020/mipLabelMetadata">
  <clbl:label id="{9e3dcb88-8425-4e1d-b1a3-bd5572915bb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49</Pages>
  <Words>12833</Words>
  <Characters>73153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Australian public assessment report for</vt:lpstr>
    </vt:vector>
  </TitlesOfParts>
  <Company>Department of Health, Disability and Ageing</Company>
  <LinksUpToDate>false</LinksUpToDate>
  <CharactersWithSpaces>85815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public assessment report for Tzield</dc:title>
  <dc:subject>Prescription medicines</dc:subject>
  <dc:creator>Therapeutic Goods Administration</dc:creator>
  <cp:keywords/>
  <dc:description/>
  <cp:lastModifiedBy>LACK, Janet</cp:lastModifiedBy>
  <cp:revision>3</cp:revision>
  <dcterms:created xsi:type="dcterms:W3CDTF">2026-07-22T05:40:00Z</dcterms:created>
  <dcterms:modified xsi:type="dcterms:W3CDTF">2026-07-22T05:41:00Z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2025-12-01T03:47:48Z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93f14edd-a9cd-485c-a7b7-a4a0dd485297</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ClassificationContentMarkingHeaderShapeIds">
    <vt:lpwstr>3246c91d,2e073d24,664ff999,6473665,77a41eec</vt:lpwstr>
  </property>
  <property fmtid="{D5CDD505-2E9C-101B-9397-08002B2CF9AE}" pid="11" name="ClassificationContentMarkingHeaderFontProps">
    <vt:lpwstr>#4a569e,10,Aptos</vt:lpwstr>
  </property>
  <property fmtid="{D5CDD505-2E9C-101B-9397-08002B2CF9AE}" pid="12" name="ClassificationContentMarkingHeaderText">
    <vt:lpwstr>Internal</vt:lpwstr>
  </property>
  <property fmtid="{D5CDD505-2E9C-101B-9397-08002B2CF9AE}" pid="13" name="ContentTypeId">
    <vt:lpwstr>0x010100F3D96C6A133E4F49896004572711620C</vt:lpwstr>
  </property>
</Properties>
</file>