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02AEC" w:rsidRPr="00215D48" w14:paraId="08AE1D54" w14:textId="77777777" w:rsidTr="00346EC2">
        <w:trPr>
          <w:trHeight w:val="1558"/>
        </w:trPr>
        <w:tc>
          <w:tcPr>
            <w:tcW w:w="8720" w:type="dxa"/>
          </w:tcPr>
          <w:p w14:paraId="2538A211" w14:textId="5414A81A" w:rsidR="00F02AEC" w:rsidRPr="00215D48" w:rsidRDefault="00346EC2" w:rsidP="007452E8">
            <w:pPr>
              <w:pStyle w:val="Title"/>
            </w:pPr>
            <w:r w:rsidRPr="00346EC2">
              <w:t>Australian Public Assessment Report for</w:t>
            </w:r>
            <w:r w:rsidR="00142052">
              <w:t xml:space="preserve"> </w:t>
            </w:r>
            <w:r w:rsidR="00717D6E">
              <w:t>Tuoyi (</w:t>
            </w:r>
            <w:r w:rsidR="00EC7A92">
              <w:t>Zytorvi</w:t>
            </w:r>
            <w:r w:rsidR="00717D6E">
              <w:t>)</w:t>
            </w:r>
          </w:p>
        </w:tc>
      </w:tr>
      <w:tr w:rsidR="00F02AEC" w:rsidRPr="00215D48" w14:paraId="318A40A3" w14:textId="77777777" w:rsidTr="00346EC2">
        <w:trPr>
          <w:trHeight w:val="995"/>
        </w:trPr>
        <w:tc>
          <w:tcPr>
            <w:tcW w:w="8720" w:type="dxa"/>
          </w:tcPr>
          <w:p w14:paraId="1AA7C701" w14:textId="26888A4D" w:rsidR="00F02AEC" w:rsidRPr="00215D48" w:rsidRDefault="00346EC2" w:rsidP="007452E8">
            <w:pPr>
              <w:pStyle w:val="Subtitle"/>
              <w:ind w:left="0"/>
            </w:pPr>
            <w:r w:rsidRPr="00346EC2">
              <w:t>Active ingredient:</w:t>
            </w:r>
            <w:r w:rsidR="00323578" w:rsidRPr="00142052">
              <w:t xml:space="preserve"> </w:t>
            </w:r>
            <w:proofErr w:type="spellStart"/>
            <w:r w:rsidR="00323578">
              <w:t>T</w:t>
            </w:r>
            <w:r w:rsidR="00323578" w:rsidRPr="00142052">
              <w:t>oripalimab</w:t>
            </w:r>
            <w:proofErr w:type="spellEnd"/>
          </w:p>
        </w:tc>
      </w:tr>
      <w:tr w:rsidR="00346EC2" w:rsidRPr="00215D48" w14:paraId="362CCAE4" w14:textId="77777777" w:rsidTr="007452E8">
        <w:trPr>
          <w:trHeight w:val="1916"/>
        </w:trPr>
        <w:tc>
          <w:tcPr>
            <w:tcW w:w="8720" w:type="dxa"/>
          </w:tcPr>
          <w:p w14:paraId="709C45C0" w14:textId="36C03AED" w:rsidR="00346EC2" w:rsidRPr="00215D48" w:rsidRDefault="00346EC2" w:rsidP="007452E8">
            <w:pPr>
              <w:pStyle w:val="Subtitle"/>
              <w:ind w:left="0"/>
            </w:pPr>
            <w:r w:rsidRPr="00346EC2">
              <w:t>Sponsor:</w:t>
            </w:r>
            <w:r w:rsidR="00EC3469" w:rsidRPr="000D30EA">
              <w:t xml:space="preserve"> AA-Med Pty Ltd</w:t>
            </w:r>
            <w:r w:rsidR="00F76DD5">
              <w:t xml:space="preserve"> (</w:t>
            </w:r>
            <w:r w:rsidR="00F76DD5" w:rsidRPr="00544D2C">
              <w:rPr>
                <w:szCs w:val="22"/>
              </w:rPr>
              <w:t>Dr Reddy's Laboratories Australia Pty Ltd</w:t>
            </w:r>
            <w:r w:rsidR="00F76DD5">
              <w:rPr>
                <w:szCs w:val="22"/>
              </w:rPr>
              <w:t>)</w:t>
            </w:r>
          </w:p>
        </w:tc>
      </w:tr>
      <w:tr w:rsidR="00F02AEC" w:rsidRPr="00215D48" w14:paraId="37F2AA1F" w14:textId="77777777" w:rsidTr="007452E8">
        <w:tc>
          <w:tcPr>
            <w:tcW w:w="8720" w:type="dxa"/>
          </w:tcPr>
          <w:p w14:paraId="1FDE8DCD" w14:textId="3D2F7B00" w:rsidR="00F02AEC" w:rsidRPr="00215D48" w:rsidRDefault="00920924" w:rsidP="007452E8">
            <w:pPr>
              <w:pStyle w:val="Date"/>
            </w:pPr>
            <w:r>
              <w:t>Ju</w:t>
            </w:r>
            <w:r w:rsidR="00182AE8">
              <w:t>ly</w:t>
            </w:r>
            <w:r w:rsidR="00D555E4">
              <w:t xml:space="preserve"> 2026</w:t>
            </w:r>
          </w:p>
        </w:tc>
      </w:tr>
    </w:tbl>
    <w:p w14:paraId="73752706" w14:textId="77777777" w:rsidR="00F02AEC" w:rsidRPr="00215D48" w:rsidRDefault="00F02AEC" w:rsidP="007452E8">
      <w:pPr>
        <w:pStyle w:val="ListBullet"/>
        <w:numPr>
          <w:ilvl w:val="0"/>
          <w:numId w:val="0"/>
        </w:numPr>
        <w:sectPr w:rsidR="00F02AEC" w:rsidRPr="00215D48" w:rsidSect="00CB055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p w14:paraId="2170A423" w14:textId="77777777" w:rsidR="00346EC2" w:rsidRPr="001F6CBA" w:rsidRDefault="00346EC2" w:rsidP="00346EC2">
      <w:pPr>
        <w:pStyle w:val="NonTOCHeading20"/>
      </w:pPr>
      <w:r w:rsidRPr="001F6CBA">
        <w:lastRenderedPageBreak/>
        <w:t>About the Therapeutic Goods Administration (TGA)</w:t>
      </w:r>
    </w:p>
    <w:p w14:paraId="79558AE9" w14:textId="038D0DA4" w:rsidR="00346EC2" w:rsidRPr="00391B0C" w:rsidRDefault="00346EC2" w:rsidP="0056766D">
      <w:pPr>
        <w:pStyle w:val="ListBullet"/>
      </w:pPr>
      <w:r w:rsidRPr="00391B0C">
        <w:t xml:space="preserve">The Therapeutic Goods Administration (TGA) is part of the Australian Government </w:t>
      </w:r>
      <w:r w:rsidRPr="00C22214">
        <w:t>Department of Health</w:t>
      </w:r>
      <w:r w:rsidR="0006693A">
        <w:t>, Disability</w:t>
      </w:r>
      <w:r w:rsidRPr="00C22214">
        <w:t xml:space="preserve"> and Ag</w:t>
      </w:r>
      <w:r w:rsidR="0006693A">
        <w:t>eing</w:t>
      </w:r>
      <w:r>
        <w:t xml:space="preserve"> </w:t>
      </w:r>
      <w:r w:rsidRPr="00391B0C">
        <w:t>and is responsible for regulating therapeutic goods, including medicines, medical devices, and biologicals.</w:t>
      </w:r>
    </w:p>
    <w:p w14:paraId="61BEFDB6" w14:textId="77777777" w:rsidR="00346EC2" w:rsidRPr="00391B0C" w:rsidRDefault="00346EC2" w:rsidP="00346EC2">
      <w:pPr>
        <w:pStyle w:val="ListBullet"/>
      </w:pPr>
      <w:r w:rsidRPr="00391B0C">
        <w:t xml:space="preserve">The TGA administers the </w:t>
      </w:r>
      <w:r w:rsidRPr="00822FCB">
        <w:rPr>
          <w:i/>
          <w:iCs/>
        </w:rPr>
        <w:t>Therapeutic Goods Act 1989</w:t>
      </w:r>
      <w:r w:rsidRPr="00391B0C">
        <w:t xml:space="preserve"> (the Act), applying a risk management approach designed to ensure therapeutic goods supplied in Australia meet acceptable standards of quality, safety, and efficacy.</w:t>
      </w:r>
    </w:p>
    <w:p w14:paraId="77180CB3" w14:textId="77777777" w:rsidR="00346EC2" w:rsidRPr="003C6D1F" w:rsidRDefault="00346EC2" w:rsidP="00346EC2">
      <w:pPr>
        <w:pStyle w:val="ListBullet"/>
      </w:pPr>
      <w:r w:rsidRPr="003C6D1F">
        <w:t xml:space="preserve">The work of the TGA is based on applying scientific and clinical expertise to decision-making, to ensure that the benefits to </w:t>
      </w:r>
      <w:r>
        <w:t>the Australian public</w:t>
      </w:r>
      <w:r w:rsidRPr="003C6D1F">
        <w:t xml:space="preserve"> outweigh any risks associated with the use of </w:t>
      </w:r>
      <w:r>
        <w:t>therapeutic goods</w:t>
      </w:r>
      <w:r w:rsidRPr="003C6D1F">
        <w:t>.</w:t>
      </w:r>
    </w:p>
    <w:p w14:paraId="70AC2A35" w14:textId="77777777" w:rsidR="00346EC2" w:rsidRPr="003C6D1F" w:rsidRDefault="00346EC2" w:rsidP="00346EC2">
      <w:pPr>
        <w:pStyle w:val="ListBullet"/>
      </w:pPr>
      <w:r w:rsidRPr="003C6D1F">
        <w:t xml:space="preserve">The TGA relies on the public, healthcare professionals and industry to report problems with </w:t>
      </w:r>
      <w:r>
        <w:t>therapeutic goods</w:t>
      </w:r>
      <w:r w:rsidRPr="003C6D1F">
        <w:t>.</w:t>
      </w:r>
      <w:r>
        <w:t xml:space="preserve"> The</w:t>
      </w:r>
      <w:r w:rsidRPr="003C6D1F">
        <w:t xml:space="preserve"> TGA investigates reports received to determine any necessary regulatory action.</w:t>
      </w:r>
    </w:p>
    <w:p w14:paraId="17DC24C6" w14:textId="3ECFB144" w:rsidR="00346EC2" w:rsidRDefault="00346EC2" w:rsidP="00346EC2">
      <w:pPr>
        <w:pStyle w:val="ListBullet"/>
      </w:pPr>
      <w:r w:rsidRPr="003C6D1F">
        <w:t xml:space="preserve">To report a problem with a </w:t>
      </w:r>
      <w:r>
        <w:t>therapeutic good</w:t>
      </w:r>
      <w:r w:rsidRPr="003C6D1F">
        <w:t xml:space="preserve">, please see the information on the </w:t>
      </w:r>
      <w:hyperlink r:id="rId17" w:history="1">
        <w:r w:rsidRPr="00A63C07">
          <w:rPr>
            <w:rStyle w:val="Hyperlink"/>
          </w:rPr>
          <w:t>TGA website</w:t>
        </w:r>
      </w:hyperlink>
      <w:r w:rsidRPr="003C6D1F">
        <w:t>.</w:t>
      </w:r>
    </w:p>
    <w:p w14:paraId="737B7A99" w14:textId="77777777" w:rsidR="00346EC2" w:rsidRDefault="00346EC2" w:rsidP="00346EC2">
      <w:pPr>
        <w:pStyle w:val="NonTOCHeading20"/>
      </w:pPr>
      <w:r>
        <w:t>About AusPARs</w:t>
      </w:r>
    </w:p>
    <w:p w14:paraId="631B2209" w14:textId="15C669A2" w:rsidR="00346EC2" w:rsidRPr="003C6D1F" w:rsidRDefault="00346EC2" w:rsidP="00346EC2">
      <w:pPr>
        <w:pStyle w:val="ListBullet"/>
      </w:pPr>
      <w:r>
        <w:t>The</w:t>
      </w:r>
      <w:r w:rsidRPr="003C6D1F">
        <w:t xml:space="preserve"> Australian Public Assessment Report (AusPAR) provides information about the evaluation of a prescription medicine and the considerations that led the TGA to approve or not approve a prescription medicine submission.</w:t>
      </w:r>
      <w:r>
        <w:t xml:space="preserve"> Further information can be found in </w:t>
      </w:r>
      <w:hyperlink r:id="rId18" w:history="1">
        <w:r w:rsidRPr="005A2EB8">
          <w:rPr>
            <w:rStyle w:val="Hyperlink"/>
          </w:rPr>
          <w:t>Australian Public Assessment Report (AusPAR) guidance</w:t>
        </w:r>
      </w:hyperlink>
      <w:r>
        <w:t>.</w:t>
      </w:r>
    </w:p>
    <w:p w14:paraId="22F5A730" w14:textId="77777777" w:rsidR="00346EC2" w:rsidRPr="003C6D1F" w:rsidRDefault="00346EC2" w:rsidP="00346EC2">
      <w:pPr>
        <w:pStyle w:val="ListBullet"/>
      </w:pPr>
      <w:r w:rsidRPr="003C6D1F">
        <w:t>AusPARs are prepared and published by the TGA.</w:t>
      </w:r>
    </w:p>
    <w:p w14:paraId="451B8FD7" w14:textId="77777777" w:rsidR="00346EC2" w:rsidRPr="003C6D1F" w:rsidRDefault="00346EC2" w:rsidP="00346EC2">
      <w:pPr>
        <w:pStyle w:val="ListBullet"/>
      </w:pPr>
      <w:r w:rsidRPr="003C6D1F">
        <w:t>AusPAR</w:t>
      </w:r>
      <w:r>
        <w:t xml:space="preserve">s are </w:t>
      </w:r>
      <w:r w:rsidRPr="003C6D1F">
        <w:t>static document</w:t>
      </w:r>
      <w:r>
        <w:t xml:space="preserve">s that </w:t>
      </w:r>
      <w:r w:rsidRPr="003C6D1F">
        <w:t>provide information that relates to a submission at a particular point in time.</w:t>
      </w:r>
      <w:r>
        <w:t xml:space="preserve"> The publication of an AusPAR is an important part of the transparency of the TGA’s decision-making process.</w:t>
      </w:r>
    </w:p>
    <w:p w14:paraId="4D69F5CF" w14:textId="77777777" w:rsidR="00346EC2" w:rsidRPr="003C6D1F" w:rsidRDefault="00346EC2" w:rsidP="00346EC2">
      <w:pPr>
        <w:pStyle w:val="ListBullet"/>
      </w:pPr>
      <w:r w:rsidRPr="003C6D1F">
        <w:t xml:space="preserve">A new AusPAR </w:t>
      </w:r>
      <w:r>
        <w:t xml:space="preserve">may be provided </w:t>
      </w:r>
      <w:r w:rsidRPr="003C6D1F">
        <w:t>to reflect changes to indications or major variations to a prescription medicine subject to evaluation by the TGA.</w:t>
      </w:r>
    </w:p>
    <w:p w14:paraId="7067011F" w14:textId="510D5C5C" w:rsidR="00F02AEC" w:rsidRPr="00E1198B" w:rsidRDefault="00F02AEC" w:rsidP="00FE087C">
      <w:pPr>
        <w:pStyle w:val="LegalSubheading"/>
        <w:spacing w:before="3600"/>
      </w:pPr>
      <w:r w:rsidRPr="00BA0DFC">
        <w:t>Copyright</w:t>
      </w:r>
    </w:p>
    <w:p w14:paraId="170A8A5D" w14:textId="62758E37" w:rsidR="00175CD8" w:rsidRPr="00346EC2" w:rsidRDefault="00F02AEC" w:rsidP="00346EC2">
      <w:pPr>
        <w:pStyle w:val="LegalCopy"/>
        <w:rPr>
          <w:rFonts w:cs="Arial"/>
        </w:rPr>
      </w:pPr>
      <w:r w:rsidRPr="00215D48">
        <w:rPr>
          <w:rFonts w:cs="Arial"/>
        </w:rPr>
        <w:t>© Commonwealth of Australia 20</w:t>
      </w:r>
      <w:r>
        <w:rPr>
          <w:rFonts w:cs="Arial"/>
        </w:rPr>
        <w:t>2</w:t>
      </w:r>
      <w:r w:rsidR="00AA6080">
        <w:rPr>
          <w:rFonts w:cs="Arial"/>
        </w:rPr>
        <w:t>6</w:t>
      </w:r>
      <w:r w:rsidRPr="00215D48">
        <w:rPr>
          <w:rFonts w:cs="Arial"/>
        </w:rPr>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215D48">
        <w:rPr>
          <w:rFonts w:cs="Arial"/>
          <w:i/>
        </w:rPr>
        <w:t>Copyright Act 1968</w:t>
      </w:r>
      <w:r w:rsidRPr="00215D48">
        <w:rPr>
          <w:rFonts w:cs="Arial"/>
        </w:rPr>
        <w:t xml:space="preserve"> or allowed by this copyright notice, all other rights are reserved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19" w:history="1">
        <w:r w:rsidRPr="00215D48">
          <w:rPr>
            <w:rStyle w:val="Hyperlink"/>
            <w:rFonts w:cs="Arial"/>
          </w:rPr>
          <w:t>tga.copyright@tga.gov.au</w:t>
        </w:r>
      </w:hyperlink>
      <w:r w:rsidRPr="00215D48">
        <w:rPr>
          <w:rFonts w:cs="Arial"/>
        </w:rPr>
        <w:t>&gt;.</w:t>
      </w:r>
    </w:p>
    <w:sdt>
      <w:sdtPr>
        <w:rPr>
          <w:rFonts w:ascii="Cambria" w:eastAsiaTheme="minorEastAsia" w:hAnsi="Cambria" w:cstheme="minorBidi"/>
          <w:b w:val="0"/>
          <w:color w:val="auto"/>
          <w:sz w:val="22"/>
          <w:szCs w:val="22"/>
        </w:rPr>
        <w:id w:val="21514769"/>
        <w:docPartObj>
          <w:docPartGallery w:val="Table of Contents"/>
          <w:docPartUnique/>
        </w:docPartObj>
      </w:sdtPr>
      <w:sdtEndPr/>
      <w:sdtContent>
        <w:p w14:paraId="0A6ADA2B" w14:textId="77777777" w:rsidR="00F02AEC" w:rsidRPr="00215D48" w:rsidRDefault="00F02AEC" w:rsidP="007452E8">
          <w:pPr>
            <w:pStyle w:val="NonTOCheading2"/>
          </w:pPr>
          <w:r w:rsidRPr="00215D48">
            <w:t>Contents</w:t>
          </w:r>
        </w:p>
        <w:p w14:paraId="5702BDD2" w14:textId="398EDD3A" w:rsidR="00D82028" w:rsidRDefault="00F02AEC">
          <w:pPr>
            <w:pStyle w:val="TOC1"/>
            <w:rPr>
              <w:rFonts w:asciiTheme="minorHAnsi" w:eastAsiaTheme="minorEastAsia" w:hAnsiTheme="minorHAnsi" w:cstheme="minorBidi"/>
              <w:b w:val="0"/>
              <w:noProof/>
              <w:color w:val="auto"/>
              <w:kern w:val="2"/>
              <w:sz w:val="24"/>
              <w:szCs w:val="24"/>
              <w:lang w:eastAsia="en-AU"/>
              <w14:ligatures w14:val="standardContextual"/>
            </w:rPr>
          </w:pPr>
          <w:r w:rsidRPr="00215D48">
            <w:fldChar w:fldCharType="begin"/>
          </w:r>
          <w:r w:rsidRPr="00215D48">
            <w:instrText xml:space="preserve"> TOC \h \z \u \t "Heading 2,1,Heading 3,2,Heading 4,3" </w:instrText>
          </w:r>
          <w:r w:rsidRPr="00215D48">
            <w:fldChar w:fldCharType="separate"/>
          </w:r>
          <w:hyperlink w:anchor="_Toc233974532" w:history="1">
            <w:r w:rsidR="00D82028" w:rsidRPr="00DD760C">
              <w:rPr>
                <w:rStyle w:val="Hyperlink"/>
                <w:noProof/>
              </w:rPr>
              <w:t>List of abbreviations</w:t>
            </w:r>
            <w:r w:rsidR="00D82028">
              <w:rPr>
                <w:noProof/>
                <w:webHidden/>
              </w:rPr>
              <w:tab/>
            </w:r>
            <w:r w:rsidR="00D82028">
              <w:rPr>
                <w:noProof/>
                <w:webHidden/>
              </w:rPr>
              <w:fldChar w:fldCharType="begin"/>
            </w:r>
            <w:r w:rsidR="00D82028">
              <w:rPr>
                <w:noProof/>
                <w:webHidden/>
              </w:rPr>
              <w:instrText xml:space="preserve"> PAGEREF _Toc233974532 \h </w:instrText>
            </w:r>
            <w:r w:rsidR="00D82028">
              <w:rPr>
                <w:noProof/>
                <w:webHidden/>
              </w:rPr>
            </w:r>
            <w:r w:rsidR="00D82028">
              <w:rPr>
                <w:noProof/>
                <w:webHidden/>
              </w:rPr>
              <w:fldChar w:fldCharType="separate"/>
            </w:r>
            <w:r w:rsidR="00D82028">
              <w:rPr>
                <w:noProof/>
                <w:webHidden/>
              </w:rPr>
              <w:t>4</w:t>
            </w:r>
            <w:r w:rsidR="00D82028">
              <w:rPr>
                <w:noProof/>
                <w:webHidden/>
              </w:rPr>
              <w:fldChar w:fldCharType="end"/>
            </w:r>
          </w:hyperlink>
        </w:p>
        <w:p w14:paraId="1F38F2F7" w14:textId="2EB16766" w:rsidR="00D82028" w:rsidRDefault="00D82028">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3974533" w:history="1">
            <w:r w:rsidRPr="00DD760C">
              <w:rPr>
                <w:rStyle w:val="Hyperlink"/>
                <w:noProof/>
              </w:rPr>
              <w:t>Product submission</w:t>
            </w:r>
            <w:r>
              <w:rPr>
                <w:noProof/>
                <w:webHidden/>
              </w:rPr>
              <w:tab/>
            </w:r>
            <w:r>
              <w:rPr>
                <w:noProof/>
                <w:webHidden/>
              </w:rPr>
              <w:fldChar w:fldCharType="begin"/>
            </w:r>
            <w:r>
              <w:rPr>
                <w:noProof/>
                <w:webHidden/>
              </w:rPr>
              <w:instrText xml:space="preserve"> PAGEREF _Toc233974533 \h </w:instrText>
            </w:r>
            <w:r>
              <w:rPr>
                <w:noProof/>
                <w:webHidden/>
              </w:rPr>
            </w:r>
            <w:r>
              <w:rPr>
                <w:noProof/>
                <w:webHidden/>
              </w:rPr>
              <w:fldChar w:fldCharType="separate"/>
            </w:r>
            <w:r>
              <w:rPr>
                <w:noProof/>
                <w:webHidden/>
              </w:rPr>
              <w:t>6</w:t>
            </w:r>
            <w:r>
              <w:rPr>
                <w:noProof/>
                <w:webHidden/>
              </w:rPr>
              <w:fldChar w:fldCharType="end"/>
            </w:r>
          </w:hyperlink>
        </w:p>
        <w:p w14:paraId="66CDA0C1" w14:textId="1C8BFE95" w:rsidR="00D82028" w:rsidRDefault="00D82028">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74534" w:history="1">
            <w:r w:rsidRPr="00DD760C">
              <w:rPr>
                <w:rStyle w:val="Hyperlink"/>
                <w:noProof/>
                <w:lang w:eastAsia="en-AU"/>
              </w:rPr>
              <w:t>Submission details</w:t>
            </w:r>
            <w:r>
              <w:rPr>
                <w:noProof/>
                <w:webHidden/>
              </w:rPr>
              <w:tab/>
            </w:r>
            <w:r>
              <w:rPr>
                <w:noProof/>
                <w:webHidden/>
              </w:rPr>
              <w:fldChar w:fldCharType="begin"/>
            </w:r>
            <w:r>
              <w:rPr>
                <w:noProof/>
                <w:webHidden/>
              </w:rPr>
              <w:instrText xml:space="preserve"> PAGEREF _Toc233974534 \h </w:instrText>
            </w:r>
            <w:r>
              <w:rPr>
                <w:noProof/>
                <w:webHidden/>
              </w:rPr>
            </w:r>
            <w:r>
              <w:rPr>
                <w:noProof/>
                <w:webHidden/>
              </w:rPr>
              <w:fldChar w:fldCharType="separate"/>
            </w:r>
            <w:r>
              <w:rPr>
                <w:noProof/>
                <w:webHidden/>
              </w:rPr>
              <w:t>6</w:t>
            </w:r>
            <w:r>
              <w:rPr>
                <w:noProof/>
                <w:webHidden/>
              </w:rPr>
              <w:fldChar w:fldCharType="end"/>
            </w:r>
          </w:hyperlink>
        </w:p>
        <w:p w14:paraId="799D00B3" w14:textId="71BF54D0" w:rsidR="00D82028" w:rsidRDefault="00D82028">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74535" w:history="1">
            <w:r w:rsidRPr="00DD760C">
              <w:rPr>
                <w:rStyle w:val="Hyperlink"/>
                <w:noProof/>
              </w:rPr>
              <w:t>Product background</w:t>
            </w:r>
            <w:r>
              <w:rPr>
                <w:noProof/>
                <w:webHidden/>
              </w:rPr>
              <w:tab/>
            </w:r>
            <w:r>
              <w:rPr>
                <w:noProof/>
                <w:webHidden/>
              </w:rPr>
              <w:fldChar w:fldCharType="begin"/>
            </w:r>
            <w:r>
              <w:rPr>
                <w:noProof/>
                <w:webHidden/>
              </w:rPr>
              <w:instrText xml:space="preserve"> PAGEREF _Toc233974535 \h </w:instrText>
            </w:r>
            <w:r>
              <w:rPr>
                <w:noProof/>
                <w:webHidden/>
              </w:rPr>
            </w:r>
            <w:r>
              <w:rPr>
                <w:noProof/>
                <w:webHidden/>
              </w:rPr>
              <w:fldChar w:fldCharType="separate"/>
            </w:r>
            <w:r>
              <w:rPr>
                <w:noProof/>
                <w:webHidden/>
              </w:rPr>
              <w:t>7</w:t>
            </w:r>
            <w:r>
              <w:rPr>
                <w:noProof/>
                <w:webHidden/>
              </w:rPr>
              <w:fldChar w:fldCharType="end"/>
            </w:r>
          </w:hyperlink>
        </w:p>
        <w:p w14:paraId="1730C525" w14:textId="424E0120" w:rsidR="00D82028" w:rsidRDefault="00D82028">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74536" w:history="1">
            <w:r w:rsidRPr="00DD760C">
              <w:rPr>
                <w:rStyle w:val="Hyperlink"/>
                <w:noProof/>
              </w:rPr>
              <w:t>Disease or condition</w:t>
            </w:r>
            <w:r>
              <w:rPr>
                <w:noProof/>
                <w:webHidden/>
              </w:rPr>
              <w:tab/>
            </w:r>
            <w:r>
              <w:rPr>
                <w:noProof/>
                <w:webHidden/>
              </w:rPr>
              <w:fldChar w:fldCharType="begin"/>
            </w:r>
            <w:r>
              <w:rPr>
                <w:noProof/>
                <w:webHidden/>
              </w:rPr>
              <w:instrText xml:space="preserve"> PAGEREF _Toc233974536 \h </w:instrText>
            </w:r>
            <w:r>
              <w:rPr>
                <w:noProof/>
                <w:webHidden/>
              </w:rPr>
            </w:r>
            <w:r>
              <w:rPr>
                <w:noProof/>
                <w:webHidden/>
              </w:rPr>
              <w:fldChar w:fldCharType="separate"/>
            </w:r>
            <w:r>
              <w:rPr>
                <w:noProof/>
                <w:webHidden/>
              </w:rPr>
              <w:t>7</w:t>
            </w:r>
            <w:r>
              <w:rPr>
                <w:noProof/>
                <w:webHidden/>
              </w:rPr>
              <w:fldChar w:fldCharType="end"/>
            </w:r>
          </w:hyperlink>
        </w:p>
        <w:p w14:paraId="4507E87E" w14:textId="71412096" w:rsidR="00D82028" w:rsidRDefault="00D82028">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74537" w:history="1">
            <w:r w:rsidRPr="00DD760C">
              <w:rPr>
                <w:rStyle w:val="Hyperlink"/>
                <w:noProof/>
              </w:rPr>
              <w:t>Current treatment options</w:t>
            </w:r>
            <w:r>
              <w:rPr>
                <w:noProof/>
                <w:webHidden/>
              </w:rPr>
              <w:tab/>
            </w:r>
            <w:r>
              <w:rPr>
                <w:noProof/>
                <w:webHidden/>
              </w:rPr>
              <w:fldChar w:fldCharType="begin"/>
            </w:r>
            <w:r>
              <w:rPr>
                <w:noProof/>
                <w:webHidden/>
              </w:rPr>
              <w:instrText xml:space="preserve"> PAGEREF _Toc233974537 \h </w:instrText>
            </w:r>
            <w:r>
              <w:rPr>
                <w:noProof/>
                <w:webHidden/>
              </w:rPr>
            </w:r>
            <w:r>
              <w:rPr>
                <w:noProof/>
                <w:webHidden/>
              </w:rPr>
              <w:fldChar w:fldCharType="separate"/>
            </w:r>
            <w:r>
              <w:rPr>
                <w:noProof/>
                <w:webHidden/>
              </w:rPr>
              <w:t>8</w:t>
            </w:r>
            <w:r>
              <w:rPr>
                <w:noProof/>
                <w:webHidden/>
              </w:rPr>
              <w:fldChar w:fldCharType="end"/>
            </w:r>
          </w:hyperlink>
        </w:p>
        <w:p w14:paraId="5B6F119F" w14:textId="17EC7E40" w:rsidR="00D82028" w:rsidRDefault="00D82028">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74538" w:history="1">
            <w:r w:rsidRPr="00DD760C">
              <w:rPr>
                <w:rStyle w:val="Hyperlink"/>
                <w:noProof/>
              </w:rPr>
              <w:t>Clinical rationale</w:t>
            </w:r>
            <w:r>
              <w:rPr>
                <w:noProof/>
                <w:webHidden/>
              </w:rPr>
              <w:tab/>
            </w:r>
            <w:r>
              <w:rPr>
                <w:noProof/>
                <w:webHidden/>
              </w:rPr>
              <w:fldChar w:fldCharType="begin"/>
            </w:r>
            <w:r>
              <w:rPr>
                <w:noProof/>
                <w:webHidden/>
              </w:rPr>
              <w:instrText xml:space="preserve"> PAGEREF _Toc233974538 \h </w:instrText>
            </w:r>
            <w:r>
              <w:rPr>
                <w:noProof/>
                <w:webHidden/>
              </w:rPr>
            </w:r>
            <w:r>
              <w:rPr>
                <w:noProof/>
                <w:webHidden/>
              </w:rPr>
              <w:fldChar w:fldCharType="separate"/>
            </w:r>
            <w:r>
              <w:rPr>
                <w:noProof/>
                <w:webHidden/>
              </w:rPr>
              <w:t>8</w:t>
            </w:r>
            <w:r>
              <w:rPr>
                <w:noProof/>
                <w:webHidden/>
              </w:rPr>
              <w:fldChar w:fldCharType="end"/>
            </w:r>
          </w:hyperlink>
        </w:p>
        <w:p w14:paraId="4F03F786" w14:textId="25A79919" w:rsidR="00D82028" w:rsidRDefault="00D82028">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74539" w:history="1">
            <w:r w:rsidRPr="00DD760C">
              <w:rPr>
                <w:rStyle w:val="Hyperlink"/>
                <w:noProof/>
              </w:rPr>
              <w:t>Regulatory status</w:t>
            </w:r>
            <w:r>
              <w:rPr>
                <w:noProof/>
                <w:webHidden/>
              </w:rPr>
              <w:tab/>
            </w:r>
            <w:r>
              <w:rPr>
                <w:noProof/>
                <w:webHidden/>
              </w:rPr>
              <w:fldChar w:fldCharType="begin"/>
            </w:r>
            <w:r>
              <w:rPr>
                <w:noProof/>
                <w:webHidden/>
              </w:rPr>
              <w:instrText xml:space="preserve"> PAGEREF _Toc233974539 \h </w:instrText>
            </w:r>
            <w:r>
              <w:rPr>
                <w:noProof/>
                <w:webHidden/>
              </w:rPr>
            </w:r>
            <w:r>
              <w:rPr>
                <w:noProof/>
                <w:webHidden/>
              </w:rPr>
              <w:fldChar w:fldCharType="separate"/>
            </w:r>
            <w:r>
              <w:rPr>
                <w:noProof/>
                <w:webHidden/>
              </w:rPr>
              <w:t>8</w:t>
            </w:r>
            <w:r>
              <w:rPr>
                <w:noProof/>
                <w:webHidden/>
              </w:rPr>
              <w:fldChar w:fldCharType="end"/>
            </w:r>
          </w:hyperlink>
        </w:p>
        <w:p w14:paraId="663BA5B2" w14:textId="55D89C02" w:rsidR="00D82028" w:rsidRDefault="00D82028">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74540" w:history="1">
            <w:r w:rsidRPr="00DD760C">
              <w:rPr>
                <w:rStyle w:val="Hyperlink"/>
                <w:noProof/>
              </w:rPr>
              <w:t>Australian regulatory status</w:t>
            </w:r>
            <w:r>
              <w:rPr>
                <w:noProof/>
                <w:webHidden/>
              </w:rPr>
              <w:tab/>
            </w:r>
            <w:r>
              <w:rPr>
                <w:noProof/>
                <w:webHidden/>
              </w:rPr>
              <w:fldChar w:fldCharType="begin"/>
            </w:r>
            <w:r>
              <w:rPr>
                <w:noProof/>
                <w:webHidden/>
              </w:rPr>
              <w:instrText xml:space="preserve"> PAGEREF _Toc233974540 \h </w:instrText>
            </w:r>
            <w:r>
              <w:rPr>
                <w:noProof/>
                <w:webHidden/>
              </w:rPr>
            </w:r>
            <w:r>
              <w:rPr>
                <w:noProof/>
                <w:webHidden/>
              </w:rPr>
              <w:fldChar w:fldCharType="separate"/>
            </w:r>
            <w:r>
              <w:rPr>
                <w:noProof/>
                <w:webHidden/>
              </w:rPr>
              <w:t>8</w:t>
            </w:r>
            <w:r>
              <w:rPr>
                <w:noProof/>
                <w:webHidden/>
              </w:rPr>
              <w:fldChar w:fldCharType="end"/>
            </w:r>
          </w:hyperlink>
        </w:p>
        <w:p w14:paraId="19508B96" w14:textId="17EE804F" w:rsidR="00D82028" w:rsidRDefault="00D82028">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74541" w:history="1">
            <w:r w:rsidRPr="00DD760C">
              <w:rPr>
                <w:rStyle w:val="Hyperlink"/>
                <w:noProof/>
              </w:rPr>
              <w:t>International regulatory status</w:t>
            </w:r>
            <w:r>
              <w:rPr>
                <w:noProof/>
                <w:webHidden/>
              </w:rPr>
              <w:tab/>
            </w:r>
            <w:r>
              <w:rPr>
                <w:noProof/>
                <w:webHidden/>
              </w:rPr>
              <w:fldChar w:fldCharType="begin"/>
            </w:r>
            <w:r>
              <w:rPr>
                <w:noProof/>
                <w:webHidden/>
              </w:rPr>
              <w:instrText xml:space="preserve"> PAGEREF _Toc233974541 \h </w:instrText>
            </w:r>
            <w:r>
              <w:rPr>
                <w:noProof/>
                <w:webHidden/>
              </w:rPr>
            </w:r>
            <w:r>
              <w:rPr>
                <w:noProof/>
                <w:webHidden/>
              </w:rPr>
              <w:fldChar w:fldCharType="separate"/>
            </w:r>
            <w:r>
              <w:rPr>
                <w:noProof/>
                <w:webHidden/>
              </w:rPr>
              <w:t>8</w:t>
            </w:r>
            <w:r>
              <w:rPr>
                <w:noProof/>
                <w:webHidden/>
              </w:rPr>
              <w:fldChar w:fldCharType="end"/>
            </w:r>
          </w:hyperlink>
        </w:p>
        <w:p w14:paraId="4207BEE0" w14:textId="77BD60B0" w:rsidR="00D82028" w:rsidRDefault="00D82028">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3974542" w:history="1">
            <w:r w:rsidRPr="00DD760C">
              <w:rPr>
                <w:rStyle w:val="Hyperlink"/>
                <w:noProof/>
              </w:rPr>
              <w:t>Registration timeline</w:t>
            </w:r>
            <w:r>
              <w:rPr>
                <w:noProof/>
                <w:webHidden/>
              </w:rPr>
              <w:tab/>
            </w:r>
            <w:r>
              <w:rPr>
                <w:noProof/>
                <w:webHidden/>
              </w:rPr>
              <w:fldChar w:fldCharType="begin"/>
            </w:r>
            <w:r>
              <w:rPr>
                <w:noProof/>
                <w:webHidden/>
              </w:rPr>
              <w:instrText xml:space="preserve"> PAGEREF _Toc233974542 \h </w:instrText>
            </w:r>
            <w:r>
              <w:rPr>
                <w:noProof/>
                <w:webHidden/>
              </w:rPr>
            </w:r>
            <w:r>
              <w:rPr>
                <w:noProof/>
                <w:webHidden/>
              </w:rPr>
              <w:fldChar w:fldCharType="separate"/>
            </w:r>
            <w:r>
              <w:rPr>
                <w:noProof/>
                <w:webHidden/>
              </w:rPr>
              <w:t>12</w:t>
            </w:r>
            <w:r>
              <w:rPr>
                <w:noProof/>
                <w:webHidden/>
              </w:rPr>
              <w:fldChar w:fldCharType="end"/>
            </w:r>
          </w:hyperlink>
        </w:p>
        <w:p w14:paraId="3E3278DB" w14:textId="41DA91BA" w:rsidR="00D82028" w:rsidRDefault="00D82028">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3974543" w:history="1">
            <w:r w:rsidRPr="00DD760C">
              <w:rPr>
                <w:rStyle w:val="Hyperlink"/>
                <w:noProof/>
              </w:rPr>
              <w:t>Assessment overview</w:t>
            </w:r>
            <w:r>
              <w:rPr>
                <w:noProof/>
                <w:webHidden/>
              </w:rPr>
              <w:tab/>
            </w:r>
            <w:r>
              <w:rPr>
                <w:noProof/>
                <w:webHidden/>
              </w:rPr>
              <w:fldChar w:fldCharType="begin"/>
            </w:r>
            <w:r>
              <w:rPr>
                <w:noProof/>
                <w:webHidden/>
              </w:rPr>
              <w:instrText xml:space="preserve"> PAGEREF _Toc233974543 \h </w:instrText>
            </w:r>
            <w:r>
              <w:rPr>
                <w:noProof/>
                <w:webHidden/>
              </w:rPr>
            </w:r>
            <w:r>
              <w:rPr>
                <w:noProof/>
                <w:webHidden/>
              </w:rPr>
              <w:fldChar w:fldCharType="separate"/>
            </w:r>
            <w:r>
              <w:rPr>
                <w:noProof/>
                <w:webHidden/>
              </w:rPr>
              <w:t>13</w:t>
            </w:r>
            <w:r>
              <w:rPr>
                <w:noProof/>
                <w:webHidden/>
              </w:rPr>
              <w:fldChar w:fldCharType="end"/>
            </w:r>
          </w:hyperlink>
        </w:p>
        <w:p w14:paraId="31534F76" w14:textId="423ADC05" w:rsidR="00D82028" w:rsidRDefault="00D82028">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74544" w:history="1">
            <w:r w:rsidRPr="00DD760C">
              <w:rPr>
                <w:rStyle w:val="Hyperlink"/>
                <w:noProof/>
              </w:rPr>
              <w:t>Quality evaluation summary</w:t>
            </w:r>
            <w:r>
              <w:rPr>
                <w:noProof/>
                <w:webHidden/>
              </w:rPr>
              <w:tab/>
            </w:r>
            <w:r>
              <w:rPr>
                <w:noProof/>
                <w:webHidden/>
              </w:rPr>
              <w:fldChar w:fldCharType="begin"/>
            </w:r>
            <w:r>
              <w:rPr>
                <w:noProof/>
                <w:webHidden/>
              </w:rPr>
              <w:instrText xml:space="preserve"> PAGEREF _Toc233974544 \h </w:instrText>
            </w:r>
            <w:r>
              <w:rPr>
                <w:noProof/>
                <w:webHidden/>
              </w:rPr>
            </w:r>
            <w:r>
              <w:rPr>
                <w:noProof/>
                <w:webHidden/>
              </w:rPr>
              <w:fldChar w:fldCharType="separate"/>
            </w:r>
            <w:r>
              <w:rPr>
                <w:noProof/>
                <w:webHidden/>
              </w:rPr>
              <w:t>13</w:t>
            </w:r>
            <w:r>
              <w:rPr>
                <w:noProof/>
                <w:webHidden/>
              </w:rPr>
              <w:fldChar w:fldCharType="end"/>
            </w:r>
          </w:hyperlink>
        </w:p>
        <w:p w14:paraId="641C3CE7" w14:textId="0AEE2109" w:rsidR="00D82028" w:rsidRDefault="00D82028">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74545" w:history="1">
            <w:r w:rsidRPr="00DD760C">
              <w:rPr>
                <w:rStyle w:val="Hyperlink"/>
                <w:noProof/>
              </w:rPr>
              <w:t>Nonclinical evaluation summary</w:t>
            </w:r>
            <w:r>
              <w:rPr>
                <w:noProof/>
                <w:webHidden/>
              </w:rPr>
              <w:tab/>
            </w:r>
            <w:r>
              <w:rPr>
                <w:noProof/>
                <w:webHidden/>
              </w:rPr>
              <w:fldChar w:fldCharType="begin"/>
            </w:r>
            <w:r>
              <w:rPr>
                <w:noProof/>
                <w:webHidden/>
              </w:rPr>
              <w:instrText xml:space="preserve"> PAGEREF _Toc233974545 \h </w:instrText>
            </w:r>
            <w:r>
              <w:rPr>
                <w:noProof/>
                <w:webHidden/>
              </w:rPr>
            </w:r>
            <w:r>
              <w:rPr>
                <w:noProof/>
                <w:webHidden/>
              </w:rPr>
              <w:fldChar w:fldCharType="separate"/>
            </w:r>
            <w:r>
              <w:rPr>
                <w:noProof/>
                <w:webHidden/>
              </w:rPr>
              <w:t>13</w:t>
            </w:r>
            <w:r>
              <w:rPr>
                <w:noProof/>
                <w:webHidden/>
              </w:rPr>
              <w:fldChar w:fldCharType="end"/>
            </w:r>
          </w:hyperlink>
        </w:p>
        <w:p w14:paraId="2A595E5C" w14:textId="09941CB7" w:rsidR="00D82028" w:rsidRDefault="00D82028">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74546" w:history="1">
            <w:r w:rsidRPr="00DD760C">
              <w:rPr>
                <w:rStyle w:val="Hyperlink"/>
                <w:noProof/>
              </w:rPr>
              <w:t>Nonclinical evaluation conclusions</w:t>
            </w:r>
            <w:r>
              <w:rPr>
                <w:noProof/>
                <w:webHidden/>
              </w:rPr>
              <w:tab/>
            </w:r>
            <w:r>
              <w:rPr>
                <w:noProof/>
                <w:webHidden/>
              </w:rPr>
              <w:fldChar w:fldCharType="begin"/>
            </w:r>
            <w:r>
              <w:rPr>
                <w:noProof/>
                <w:webHidden/>
              </w:rPr>
              <w:instrText xml:space="preserve"> PAGEREF _Toc233974546 \h </w:instrText>
            </w:r>
            <w:r>
              <w:rPr>
                <w:noProof/>
                <w:webHidden/>
              </w:rPr>
            </w:r>
            <w:r>
              <w:rPr>
                <w:noProof/>
                <w:webHidden/>
              </w:rPr>
              <w:fldChar w:fldCharType="separate"/>
            </w:r>
            <w:r>
              <w:rPr>
                <w:noProof/>
                <w:webHidden/>
              </w:rPr>
              <w:t>15</w:t>
            </w:r>
            <w:r>
              <w:rPr>
                <w:noProof/>
                <w:webHidden/>
              </w:rPr>
              <w:fldChar w:fldCharType="end"/>
            </w:r>
          </w:hyperlink>
        </w:p>
        <w:p w14:paraId="4185AD3D" w14:textId="2EF8CBD1" w:rsidR="00D82028" w:rsidRDefault="00D82028">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74547" w:history="1">
            <w:r w:rsidRPr="00DD760C">
              <w:rPr>
                <w:rStyle w:val="Hyperlink"/>
                <w:noProof/>
              </w:rPr>
              <w:t>Clinical evaluation summary</w:t>
            </w:r>
            <w:r>
              <w:rPr>
                <w:noProof/>
                <w:webHidden/>
              </w:rPr>
              <w:tab/>
            </w:r>
            <w:r>
              <w:rPr>
                <w:noProof/>
                <w:webHidden/>
              </w:rPr>
              <w:fldChar w:fldCharType="begin"/>
            </w:r>
            <w:r>
              <w:rPr>
                <w:noProof/>
                <w:webHidden/>
              </w:rPr>
              <w:instrText xml:space="preserve"> PAGEREF _Toc233974547 \h </w:instrText>
            </w:r>
            <w:r>
              <w:rPr>
                <w:noProof/>
                <w:webHidden/>
              </w:rPr>
            </w:r>
            <w:r>
              <w:rPr>
                <w:noProof/>
                <w:webHidden/>
              </w:rPr>
              <w:fldChar w:fldCharType="separate"/>
            </w:r>
            <w:r>
              <w:rPr>
                <w:noProof/>
                <w:webHidden/>
              </w:rPr>
              <w:t>15</w:t>
            </w:r>
            <w:r>
              <w:rPr>
                <w:noProof/>
                <w:webHidden/>
              </w:rPr>
              <w:fldChar w:fldCharType="end"/>
            </w:r>
          </w:hyperlink>
        </w:p>
        <w:p w14:paraId="4053D161" w14:textId="098118E7" w:rsidR="00D82028" w:rsidRDefault="00D82028">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74548" w:history="1">
            <w:r w:rsidRPr="00DD760C">
              <w:rPr>
                <w:rStyle w:val="Hyperlink"/>
                <w:noProof/>
              </w:rPr>
              <w:t>Summary of clinical studies</w:t>
            </w:r>
            <w:r>
              <w:rPr>
                <w:noProof/>
                <w:webHidden/>
              </w:rPr>
              <w:tab/>
            </w:r>
            <w:r>
              <w:rPr>
                <w:noProof/>
                <w:webHidden/>
              </w:rPr>
              <w:fldChar w:fldCharType="begin"/>
            </w:r>
            <w:r>
              <w:rPr>
                <w:noProof/>
                <w:webHidden/>
              </w:rPr>
              <w:instrText xml:space="preserve"> PAGEREF _Toc233974548 \h </w:instrText>
            </w:r>
            <w:r>
              <w:rPr>
                <w:noProof/>
                <w:webHidden/>
              </w:rPr>
            </w:r>
            <w:r>
              <w:rPr>
                <w:noProof/>
                <w:webHidden/>
              </w:rPr>
              <w:fldChar w:fldCharType="separate"/>
            </w:r>
            <w:r>
              <w:rPr>
                <w:noProof/>
                <w:webHidden/>
              </w:rPr>
              <w:t>15</w:t>
            </w:r>
            <w:r>
              <w:rPr>
                <w:noProof/>
                <w:webHidden/>
              </w:rPr>
              <w:fldChar w:fldCharType="end"/>
            </w:r>
          </w:hyperlink>
        </w:p>
        <w:p w14:paraId="6A94565E" w14:textId="2BEDD5D1" w:rsidR="00D82028" w:rsidRDefault="00D82028">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74549" w:history="1">
            <w:r w:rsidRPr="00DD760C">
              <w:rPr>
                <w:rStyle w:val="Hyperlink"/>
                <w:noProof/>
              </w:rPr>
              <w:t>Clinical pharmacology</w:t>
            </w:r>
            <w:r>
              <w:rPr>
                <w:noProof/>
                <w:webHidden/>
              </w:rPr>
              <w:tab/>
            </w:r>
            <w:r>
              <w:rPr>
                <w:noProof/>
                <w:webHidden/>
              </w:rPr>
              <w:fldChar w:fldCharType="begin"/>
            </w:r>
            <w:r>
              <w:rPr>
                <w:noProof/>
                <w:webHidden/>
              </w:rPr>
              <w:instrText xml:space="preserve"> PAGEREF _Toc233974549 \h </w:instrText>
            </w:r>
            <w:r>
              <w:rPr>
                <w:noProof/>
                <w:webHidden/>
              </w:rPr>
            </w:r>
            <w:r>
              <w:rPr>
                <w:noProof/>
                <w:webHidden/>
              </w:rPr>
              <w:fldChar w:fldCharType="separate"/>
            </w:r>
            <w:r>
              <w:rPr>
                <w:noProof/>
                <w:webHidden/>
              </w:rPr>
              <w:t>15</w:t>
            </w:r>
            <w:r>
              <w:rPr>
                <w:noProof/>
                <w:webHidden/>
              </w:rPr>
              <w:fldChar w:fldCharType="end"/>
            </w:r>
          </w:hyperlink>
        </w:p>
        <w:p w14:paraId="57C25613" w14:textId="056765F8" w:rsidR="00D82028" w:rsidRDefault="00D82028">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74550" w:history="1">
            <w:r w:rsidRPr="00DD760C">
              <w:rPr>
                <w:rStyle w:val="Hyperlink"/>
                <w:noProof/>
              </w:rPr>
              <w:t>Efficacy</w:t>
            </w:r>
            <w:r>
              <w:rPr>
                <w:noProof/>
                <w:webHidden/>
              </w:rPr>
              <w:tab/>
            </w:r>
            <w:r>
              <w:rPr>
                <w:noProof/>
                <w:webHidden/>
              </w:rPr>
              <w:fldChar w:fldCharType="begin"/>
            </w:r>
            <w:r>
              <w:rPr>
                <w:noProof/>
                <w:webHidden/>
              </w:rPr>
              <w:instrText xml:space="preserve"> PAGEREF _Toc233974550 \h </w:instrText>
            </w:r>
            <w:r>
              <w:rPr>
                <w:noProof/>
                <w:webHidden/>
              </w:rPr>
            </w:r>
            <w:r>
              <w:rPr>
                <w:noProof/>
                <w:webHidden/>
              </w:rPr>
              <w:fldChar w:fldCharType="separate"/>
            </w:r>
            <w:r>
              <w:rPr>
                <w:noProof/>
                <w:webHidden/>
              </w:rPr>
              <w:t>17</w:t>
            </w:r>
            <w:r>
              <w:rPr>
                <w:noProof/>
                <w:webHidden/>
              </w:rPr>
              <w:fldChar w:fldCharType="end"/>
            </w:r>
          </w:hyperlink>
        </w:p>
        <w:p w14:paraId="556CEF64" w14:textId="50D05417" w:rsidR="00D82028" w:rsidRDefault="00D82028">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74551" w:history="1">
            <w:r w:rsidRPr="00DD760C">
              <w:rPr>
                <w:rStyle w:val="Hyperlink"/>
                <w:noProof/>
              </w:rPr>
              <w:t>Safety</w:t>
            </w:r>
            <w:r>
              <w:rPr>
                <w:noProof/>
                <w:webHidden/>
              </w:rPr>
              <w:tab/>
            </w:r>
            <w:r>
              <w:rPr>
                <w:noProof/>
                <w:webHidden/>
              </w:rPr>
              <w:fldChar w:fldCharType="begin"/>
            </w:r>
            <w:r>
              <w:rPr>
                <w:noProof/>
                <w:webHidden/>
              </w:rPr>
              <w:instrText xml:space="preserve"> PAGEREF _Toc233974551 \h </w:instrText>
            </w:r>
            <w:r>
              <w:rPr>
                <w:noProof/>
                <w:webHidden/>
              </w:rPr>
            </w:r>
            <w:r>
              <w:rPr>
                <w:noProof/>
                <w:webHidden/>
              </w:rPr>
              <w:fldChar w:fldCharType="separate"/>
            </w:r>
            <w:r>
              <w:rPr>
                <w:noProof/>
                <w:webHidden/>
              </w:rPr>
              <w:t>24</w:t>
            </w:r>
            <w:r>
              <w:rPr>
                <w:noProof/>
                <w:webHidden/>
              </w:rPr>
              <w:fldChar w:fldCharType="end"/>
            </w:r>
          </w:hyperlink>
        </w:p>
        <w:p w14:paraId="4F28BD06" w14:textId="4B67829C" w:rsidR="00D82028" w:rsidRDefault="00D82028">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74552" w:history="1">
            <w:r w:rsidRPr="00DD760C">
              <w:rPr>
                <w:rStyle w:val="Hyperlink"/>
                <w:noProof/>
              </w:rPr>
              <w:t>Recommendation following the clinical evaluation</w:t>
            </w:r>
            <w:r>
              <w:rPr>
                <w:noProof/>
                <w:webHidden/>
              </w:rPr>
              <w:tab/>
            </w:r>
            <w:r>
              <w:rPr>
                <w:noProof/>
                <w:webHidden/>
              </w:rPr>
              <w:fldChar w:fldCharType="begin"/>
            </w:r>
            <w:r>
              <w:rPr>
                <w:noProof/>
                <w:webHidden/>
              </w:rPr>
              <w:instrText xml:space="preserve"> PAGEREF _Toc233974552 \h </w:instrText>
            </w:r>
            <w:r>
              <w:rPr>
                <w:noProof/>
                <w:webHidden/>
              </w:rPr>
            </w:r>
            <w:r>
              <w:rPr>
                <w:noProof/>
                <w:webHidden/>
              </w:rPr>
              <w:fldChar w:fldCharType="separate"/>
            </w:r>
            <w:r>
              <w:rPr>
                <w:noProof/>
                <w:webHidden/>
              </w:rPr>
              <w:t>31</w:t>
            </w:r>
            <w:r>
              <w:rPr>
                <w:noProof/>
                <w:webHidden/>
              </w:rPr>
              <w:fldChar w:fldCharType="end"/>
            </w:r>
          </w:hyperlink>
        </w:p>
        <w:p w14:paraId="68E86605" w14:textId="737B2A66" w:rsidR="00D82028" w:rsidRDefault="00D82028">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74553" w:history="1">
            <w:r w:rsidRPr="00DD760C">
              <w:rPr>
                <w:rStyle w:val="Hyperlink"/>
                <w:noProof/>
                <w:lang w:eastAsia="en-AU"/>
              </w:rPr>
              <w:t>Risk management plan</w:t>
            </w:r>
            <w:r>
              <w:rPr>
                <w:noProof/>
                <w:webHidden/>
              </w:rPr>
              <w:tab/>
            </w:r>
            <w:r>
              <w:rPr>
                <w:noProof/>
                <w:webHidden/>
              </w:rPr>
              <w:fldChar w:fldCharType="begin"/>
            </w:r>
            <w:r>
              <w:rPr>
                <w:noProof/>
                <w:webHidden/>
              </w:rPr>
              <w:instrText xml:space="preserve"> PAGEREF _Toc233974553 \h </w:instrText>
            </w:r>
            <w:r>
              <w:rPr>
                <w:noProof/>
                <w:webHidden/>
              </w:rPr>
            </w:r>
            <w:r>
              <w:rPr>
                <w:noProof/>
                <w:webHidden/>
              </w:rPr>
              <w:fldChar w:fldCharType="separate"/>
            </w:r>
            <w:r>
              <w:rPr>
                <w:noProof/>
                <w:webHidden/>
              </w:rPr>
              <w:t>32</w:t>
            </w:r>
            <w:r>
              <w:rPr>
                <w:noProof/>
                <w:webHidden/>
              </w:rPr>
              <w:fldChar w:fldCharType="end"/>
            </w:r>
          </w:hyperlink>
        </w:p>
        <w:p w14:paraId="369EBBAA" w14:textId="16427C3A" w:rsidR="00D82028" w:rsidRDefault="00D82028">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74554" w:history="1">
            <w:r w:rsidRPr="00DD760C">
              <w:rPr>
                <w:rStyle w:val="Hyperlink"/>
                <w:noProof/>
              </w:rPr>
              <w:t>Risk-benefit analysis</w:t>
            </w:r>
            <w:r>
              <w:rPr>
                <w:noProof/>
                <w:webHidden/>
              </w:rPr>
              <w:tab/>
            </w:r>
            <w:r>
              <w:rPr>
                <w:noProof/>
                <w:webHidden/>
              </w:rPr>
              <w:fldChar w:fldCharType="begin"/>
            </w:r>
            <w:r>
              <w:rPr>
                <w:noProof/>
                <w:webHidden/>
              </w:rPr>
              <w:instrText xml:space="preserve"> PAGEREF _Toc233974554 \h </w:instrText>
            </w:r>
            <w:r>
              <w:rPr>
                <w:noProof/>
                <w:webHidden/>
              </w:rPr>
            </w:r>
            <w:r>
              <w:rPr>
                <w:noProof/>
                <w:webHidden/>
              </w:rPr>
              <w:fldChar w:fldCharType="separate"/>
            </w:r>
            <w:r>
              <w:rPr>
                <w:noProof/>
                <w:webHidden/>
              </w:rPr>
              <w:t>33</w:t>
            </w:r>
            <w:r>
              <w:rPr>
                <w:noProof/>
                <w:webHidden/>
              </w:rPr>
              <w:fldChar w:fldCharType="end"/>
            </w:r>
          </w:hyperlink>
        </w:p>
        <w:p w14:paraId="0292272D" w14:textId="34CBC205" w:rsidR="00D82028" w:rsidRDefault="00D82028">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74555" w:history="1">
            <w:r w:rsidRPr="00DD760C">
              <w:rPr>
                <w:rStyle w:val="Hyperlink"/>
                <w:noProof/>
              </w:rPr>
              <w:t>Delegate’s considerations</w:t>
            </w:r>
            <w:r>
              <w:rPr>
                <w:noProof/>
                <w:webHidden/>
              </w:rPr>
              <w:tab/>
            </w:r>
            <w:r>
              <w:rPr>
                <w:noProof/>
                <w:webHidden/>
              </w:rPr>
              <w:fldChar w:fldCharType="begin"/>
            </w:r>
            <w:r>
              <w:rPr>
                <w:noProof/>
                <w:webHidden/>
              </w:rPr>
              <w:instrText xml:space="preserve"> PAGEREF _Toc233974555 \h </w:instrText>
            </w:r>
            <w:r>
              <w:rPr>
                <w:noProof/>
                <w:webHidden/>
              </w:rPr>
            </w:r>
            <w:r>
              <w:rPr>
                <w:noProof/>
                <w:webHidden/>
              </w:rPr>
              <w:fldChar w:fldCharType="separate"/>
            </w:r>
            <w:r>
              <w:rPr>
                <w:noProof/>
                <w:webHidden/>
              </w:rPr>
              <w:t>33</w:t>
            </w:r>
            <w:r>
              <w:rPr>
                <w:noProof/>
                <w:webHidden/>
              </w:rPr>
              <w:fldChar w:fldCharType="end"/>
            </w:r>
          </w:hyperlink>
        </w:p>
        <w:p w14:paraId="3BF5A896" w14:textId="13D107E8" w:rsidR="00D82028" w:rsidRDefault="00D82028">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74556" w:history="1">
            <w:r w:rsidRPr="00DD760C">
              <w:rPr>
                <w:rStyle w:val="Hyperlink"/>
                <w:noProof/>
              </w:rPr>
              <w:t>Proposed action</w:t>
            </w:r>
            <w:r>
              <w:rPr>
                <w:noProof/>
                <w:webHidden/>
              </w:rPr>
              <w:tab/>
            </w:r>
            <w:r>
              <w:rPr>
                <w:noProof/>
                <w:webHidden/>
              </w:rPr>
              <w:fldChar w:fldCharType="begin"/>
            </w:r>
            <w:r>
              <w:rPr>
                <w:noProof/>
                <w:webHidden/>
              </w:rPr>
              <w:instrText xml:space="preserve"> PAGEREF _Toc233974556 \h </w:instrText>
            </w:r>
            <w:r>
              <w:rPr>
                <w:noProof/>
                <w:webHidden/>
              </w:rPr>
            </w:r>
            <w:r>
              <w:rPr>
                <w:noProof/>
                <w:webHidden/>
              </w:rPr>
              <w:fldChar w:fldCharType="separate"/>
            </w:r>
            <w:r>
              <w:rPr>
                <w:noProof/>
                <w:webHidden/>
              </w:rPr>
              <w:t>36</w:t>
            </w:r>
            <w:r>
              <w:rPr>
                <w:noProof/>
                <w:webHidden/>
              </w:rPr>
              <w:fldChar w:fldCharType="end"/>
            </w:r>
          </w:hyperlink>
        </w:p>
        <w:p w14:paraId="5A516805" w14:textId="204A8A70" w:rsidR="00D82028" w:rsidRDefault="00D82028">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3974557" w:history="1">
            <w:r w:rsidRPr="00DD760C">
              <w:rPr>
                <w:rStyle w:val="Hyperlink"/>
                <w:noProof/>
              </w:rPr>
              <w:t>Assessment outcome</w:t>
            </w:r>
            <w:r>
              <w:rPr>
                <w:noProof/>
                <w:webHidden/>
              </w:rPr>
              <w:tab/>
            </w:r>
            <w:r>
              <w:rPr>
                <w:noProof/>
                <w:webHidden/>
              </w:rPr>
              <w:fldChar w:fldCharType="begin"/>
            </w:r>
            <w:r>
              <w:rPr>
                <w:noProof/>
                <w:webHidden/>
              </w:rPr>
              <w:instrText xml:space="preserve"> PAGEREF _Toc233974557 \h </w:instrText>
            </w:r>
            <w:r>
              <w:rPr>
                <w:noProof/>
                <w:webHidden/>
              </w:rPr>
            </w:r>
            <w:r>
              <w:rPr>
                <w:noProof/>
                <w:webHidden/>
              </w:rPr>
              <w:fldChar w:fldCharType="separate"/>
            </w:r>
            <w:r>
              <w:rPr>
                <w:noProof/>
                <w:webHidden/>
              </w:rPr>
              <w:t>36</w:t>
            </w:r>
            <w:r>
              <w:rPr>
                <w:noProof/>
                <w:webHidden/>
              </w:rPr>
              <w:fldChar w:fldCharType="end"/>
            </w:r>
          </w:hyperlink>
        </w:p>
        <w:p w14:paraId="00107D62" w14:textId="2EB61621" w:rsidR="00D82028" w:rsidRDefault="00D82028">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3974558" w:history="1">
            <w:r w:rsidRPr="00DD760C">
              <w:rPr>
                <w:rStyle w:val="Hyperlink"/>
                <w:noProof/>
              </w:rPr>
              <w:t>Specific conditions of registration</w:t>
            </w:r>
            <w:r>
              <w:rPr>
                <w:noProof/>
                <w:webHidden/>
              </w:rPr>
              <w:tab/>
            </w:r>
            <w:r>
              <w:rPr>
                <w:noProof/>
                <w:webHidden/>
              </w:rPr>
              <w:fldChar w:fldCharType="begin"/>
            </w:r>
            <w:r>
              <w:rPr>
                <w:noProof/>
                <w:webHidden/>
              </w:rPr>
              <w:instrText xml:space="preserve"> PAGEREF _Toc233974558 \h </w:instrText>
            </w:r>
            <w:r>
              <w:rPr>
                <w:noProof/>
                <w:webHidden/>
              </w:rPr>
            </w:r>
            <w:r>
              <w:rPr>
                <w:noProof/>
                <w:webHidden/>
              </w:rPr>
              <w:fldChar w:fldCharType="separate"/>
            </w:r>
            <w:r>
              <w:rPr>
                <w:noProof/>
                <w:webHidden/>
              </w:rPr>
              <w:t>36</w:t>
            </w:r>
            <w:r>
              <w:rPr>
                <w:noProof/>
                <w:webHidden/>
              </w:rPr>
              <w:fldChar w:fldCharType="end"/>
            </w:r>
          </w:hyperlink>
        </w:p>
        <w:p w14:paraId="13A6CBDB" w14:textId="1643267F" w:rsidR="00D82028" w:rsidRDefault="00D82028">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74559" w:history="1">
            <w:r w:rsidRPr="00DD760C">
              <w:rPr>
                <w:rStyle w:val="Hyperlink"/>
                <w:noProof/>
              </w:rPr>
              <w:t>Product Information and Consumer Medicine Information</w:t>
            </w:r>
            <w:r>
              <w:rPr>
                <w:noProof/>
                <w:webHidden/>
              </w:rPr>
              <w:tab/>
            </w:r>
            <w:r>
              <w:rPr>
                <w:noProof/>
                <w:webHidden/>
              </w:rPr>
              <w:fldChar w:fldCharType="begin"/>
            </w:r>
            <w:r>
              <w:rPr>
                <w:noProof/>
                <w:webHidden/>
              </w:rPr>
              <w:instrText xml:space="preserve"> PAGEREF _Toc233974559 \h </w:instrText>
            </w:r>
            <w:r>
              <w:rPr>
                <w:noProof/>
                <w:webHidden/>
              </w:rPr>
            </w:r>
            <w:r>
              <w:rPr>
                <w:noProof/>
                <w:webHidden/>
              </w:rPr>
              <w:fldChar w:fldCharType="separate"/>
            </w:r>
            <w:r>
              <w:rPr>
                <w:noProof/>
                <w:webHidden/>
              </w:rPr>
              <w:t>38</w:t>
            </w:r>
            <w:r>
              <w:rPr>
                <w:noProof/>
                <w:webHidden/>
              </w:rPr>
              <w:fldChar w:fldCharType="end"/>
            </w:r>
          </w:hyperlink>
        </w:p>
        <w:p w14:paraId="77659F2D" w14:textId="00E74D55" w:rsidR="00F02AEC" w:rsidRPr="00215D48" w:rsidRDefault="00F02AEC" w:rsidP="007452E8">
          <w:r w:rsidRPr="00215D48">
            <w:fldChar w:fldCharType="end"/>
          </w:r>
        </w:p>
      </w:sdtContent>
    </w:sdt>
    <w:p w14:paraId="10987AE2" w14:textId="77777777" w:rsidR="00F02AEC" w:rsidRPr="00215D48" w:rsidRDefault="00F02AEC" w:rsidP="007452E8">
      <w:r w:rsidRPr="00215D48">
        <w:br w:type="page"/>
      </w:r>
    </w:p>
    <w:p w14:paraId="58578454" w14:textId="522A6629" w:rsidR="00324B33" w:rsidRPr="00F76DD5" w:rsidRDefault="00324B33" w:rsidP="00F76DD5">
      <w:pPr>
        <w:pStyle w:val="Heading2"/>
      </w:pPr>
      <w:bookmarkStart w:id="0" w:name="_Toc98931917"/>
      <w:bookmarkStart w:id="1" w:name="_Toc103679287"/>
      <w:bookmarkStart w:id="2" w:name="_Toc233974532"/>
      <w:bookmarkStart w:id="3" w:name="_Toc323739589"/>
      <w:bookmarkStart w:id="4" w:name="_Toc356305216"/>
      <w:r>
        <w:lastRenderedPageBreak/>
        <w:t>List of abbreviations</w:t>
      </w:r>
      <w:bookmarkEnd w:id="0"/>
      <w:bookmarkEnd w:id="1"/>
      <w:bookmarkEnd w:id="2"/>
    </w:p>
    <w:tbl>
      <w:tblPr>
        <w:tblStyle w:val="TableTGAblue2023"/>
        <w:tblW w:w="9430" w:type="dxa"/>
        <w:tblLook w:val="04A0" w:firstRow="1" w:lastRow="0" w:firstColumn="1" w:lastColumn="0" w:noHBand="0" w:noVBand="1"/>
      </w:tblPr>
      <w:tblGrid>
        <w:gridCol w:w="2263"/>
        <w:gridCol w:w="7167"/>
      </w:tblGrid>
      <w:tr w:rsidR="00C36B4C" w:rsidRPr="003D71A1" w14:paraId="33335F34" w14:textId="77777777">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2263" w:type="dxa"/>
            <w:shd w:val="clear" w:color="auto" w:fill="EAEDF1" w:themeFill="text2" w:themeFillTint="1A"/>
          </w:tcPr>
          <w:p w14:paraId="2D30FCD2" w14:textId="77777777" w:rsidR="00C36B4C" w:rsidRPr="007C71D5" w:rsidRDefault="00C36B4C">
            <w:bookmarkStart w:id="5" w:name="_Hlk133418605"/>
            <w:r w:rsidRPr="007C71D5">
              <w:t>Abbreviation</w:t>
            </w:r>
          </w:p>
        </w:tc>
        <w:tc>
          <w:tcPr>
            <w:tcW w:w="7167" w:type="dxa"/>
            <w:shd w:val="clear" w:color="auto" w:fill="EAEDF1" w:themeFill="text2" w:themeFillTint="1A"/>
          </w:tcPr>
          <w:p w14:paraId="4B5FBF1B" w14:textId="77777777" w:rsidR="00C36B4C" w:rsidRPr="007C71D5" w:rsidRDefault="00C36B4C">
            <w:pPr>
              <w:cnfStyle w:val="100000000000" w:firstRow="1" w:lastRow="0" w:firstColumn="0" w:lastColumn="0" w:oddVBand="0" w:evenVBand="0" w:oddHBand="0" w:evenHBand="0" w:firstRowFirstColumn="0" w:firstRowLastColumn="0" w:lastRowFirstColumn="0" w:lastRowLastColumn="0"/>
            </w:pPr>
            <w:r w:rsidRPr="007C71D5">
              <w:t>Meaning</w:t>
            </w:r>
          </w:p>
        </w:tc>
      </w:tr>
      <w:tr w:rsidR="00C36B4C" w:rsidRPr="0095296B" w14:paraId="707BA3DF"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54D8130C" w14:textId="77777777" w:rsidR="00C36B4C" w:rsidRPr="0095296B" w:rsidRDefault="00C36B4C">
            <w:pPr>
              <w:rPr>
                <w:rFonts w:cstheme="minorHAnsi"/>
                <w:szCs w:val="40"/>
              </w:rPr>
            </w:pPr>
            <w:r w:rsidRPr="0095296B">
              <w:rPr>
                <w:rFonts w:cstheme="minorHAnsi"/>
              </w:rPr>
              <w:t>ADA</w:t>
            </w:r>
          </w:p>
        </w:tc>
        <w:tc>
          <w:tcPr>
            <w:tcW w:w="7167" w:type="dxa"/>
          </w:tcPr>
          <w:p w14:paraId="005FA64E"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rFonts w:cstheme="minorHAnsi"/>
                <w:szCs w:val="40"/>
              </w:rPr>
            </w:pPr>
            <w:r w:rsidRPr="0095296B">
              <w:rPr>
                <w:rFonts w:cstheme="minorHAnsi"/>
              </w:rPr>
              <w:t>Anti-drug antibodies</w:t>
            </w:r>
          </w:p>
        </w:tc>
      </w:tr>
      <w:tr w:rsidR="00C36B4C" w:rsidRPr="0095296B" w14:paraId="16A7D61F"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524AA24A" w14:textId="77777777" w:rsidR="00C36B4C" w:rsidRPr="0095296B" w:rsidRDefault="00C36B4C">
            <w:pPr>
              <w:rPr>
                <w:rFonts w:cstheme="minorHAnsi"/>
                <w:szCs w:val="32"/>
              </w:rPr>
            </w:pPr>
            <w:r w:rsidRPr="0095296B">
              <w:rPr>
                <w:rFonts w:cstheme="minorHAnsi"/>
                <w:szCs w:val="32"/>
              </w:rPr>
              <w:t>ARTG</w:t>
            </w:r>
          </w:p>
        </w:tc>
        <w:tc>
          <w:tcPr>
            <w:tcW w:w="7167" w:type="dxa"/>
          </w:tcPr>
          <w:p w14:paraId="1440D7EA"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rFonts w:cstheme="minorHAnsi"/>
                <w:szCs w:val="32"/>
              </w:rPr>
            </w:pPr>
            <w:r w:rsidRPr="0095296B">
              <w:rPr>
                <w:rFonts w:cstheme="minorHAnsi"/>
                <w:szCs w:val="32"/>
              </w:rPr>
              <w:t>Australian Register of Therapeutic Goods</w:t>
            </w:r>
          </w:p>
        </w:tc>
      </w:tr>
      <w:tr w:rsidR="00C36B4C" w:rsidRPr="0095296B" w14:paraId="54FE4FAD"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3FCE19E3" w14:textId="77777777" w:rsidR="00C36B4C" w:rsidRPr="0095296B" w:rsidRDefault="00C36B4C">
            <w:pPr>
              <w:rPr>
                <w:szCs w:val="32"/>
              </w:rPr>
            </w:pPr>
            <w:r w:rsidRPr="0095296B">
              <w:rPr>
                <w:szCs w:val="32"/>
              </w:rPr>
              <w:t>ASA</w:t>
            </w:r>
          </w:p>
        </w:tc>
        <w:tc>
          <w:tcPr>
            <w:tcW w:w="7167" w:type="dxa"/>
          </w:tcPr>
          <w:p w14:paraId="60C3DCE6"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szCs w:val="32"/>
              </w:rPr>
            </w:pPr>
            <w:r w:rsidRPr="0095296B">
              <w:rPr>
                <w:szCs w:val="32"/>
              </w:rPr>
              <w:t>Australia-specific annex</w:t>
            </w:r>
          </w:p>
        </w:tc>
      </w:tr>
      <w:tr w:rsidR="00C36B4C" w:rsidRPr="0095296B" w14:paraId="1A16C80D"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3B437DCF" w14:textId="77777777" w:rsidR="00C36B4C" w:rsidRPr="0095296B" w:rsidRDefault="00C36B4C">
            <w:pPr>
              <w:rPr>
                <w:szCs w:val="40"/>
              </w:rPr>
            </w:pPr>
            <w:r w:rsidRPr="0095296B">
              <w:rPr>
                <w:szCs w:val="40"/>
              </w:rPr>
              <w:t>AST</w:t>
            </w:r>
          </w:p>
        </w:tc>
        <w:tc>
          <w:tcPr>
            <w:tcW w:w="7167" w:type="dxa"/>
          </w:tcPr>
          <w:p w14:paraId="273E3F80"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szCs w:val="40"/>
              </w:rPr>
            </w:pPr>
            <w:r w:rsidRPr="0095296B">
              <w:rPr>
                <w:szCs w:val="40"/>
              </w:rPr>
              <w:t>Aspartate aminotransferase</w:t>
            </w:r>
          </w:p>
        </w:tc>
      </w:tr>
      <w:tr w:rsidR="00C36B4C" w:rsidRPr="0095296B" w14:paraId="3BC93CF2"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77055730" w14:textId="77777777" w:rsidR="00C36B4C" w:rsidRPr="0095296B" w:rsidRDefault="00C36B4C">
            <w:pPr>
              <w:rPr>
                <w:rFonts w:cstheme="minorHAnsi"/>
                <w:szCs w:val="48"/>
              </w:rPr>
            </w:pPr>
            <w:r w:rsidRPr="0095296B">
              <w:rPr>
                <w:rFonts w:cstheme="minorHAnsi"/>
                <w:szCs w:val="48"/>
              </w:rPr>
              <w:t>CI</w:t>
            </w:r>
          </w:p>
        </w:tc>
        <w:tc>
          <w:tcPr>
            <w:tcW w:w="7167" w:type="dxa"/>
          </w:tcPr>
          <w:p w14:paraId="22EEBCAF"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szCs w:val="48"/>
              </w:rPr>
            </w:pPr>
            <w:r w:rsidRPr="0095296B">
              <w:rPr>
                <w:szCs w:val="48"/>
              </w:rPr>
              <w:t>Confidence interval</w:t>
            </w:r>
          </w:p>
        </w:tc>
      </w:tr>
      <w:tr w:rsidR="00C36B4C" w:rsidRPr="0095296B" w14:paraId="02E4CB67"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3233F2AC" w14:textId="77777777" w:rsidR="00C36B4C" w:rsidRPr="0095296B" w:rsidRDefault="00C36B4C">
            <w:r w:rsidRPr="0095296B">
              <w:t>CLcr</w:t>
            </w:r>
          </w:p>
        </w:tc>
        <w:tc>
          <w:tcPr>
            <w:tcW w:w="7167" w:type="dxa"/>
          </w:tcPr>
          <w:p w14:paraId="0DF17366"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rFonts w:cstheme="minorHAnsi"/>
              </w:rPr>
            </w:pPr>
            <w:r w:rsidRPr="0095296B">
              <w:rPr>
                <w:rFonts w:cstheme="minorHAnsi"/>
              </w:rPr>
              <w:t>Creatinine clearance</w:t>
            </w:r>
          </w:p>
        </w:tc>
      </w:tr>
      <w:tr w:rsidR="00C36B4C" w:rsidRPr="0095296B" w14:paraId="00CC498E"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1E5BDC80" w14:textId="77777777" w:rsidR="00C36B4C" w:rsidRPr="0095296B" w:rsidRDefault="00C36B4C">
            <w:pPr>
              <w:rPr>
                <w:rFonts w:cstheme="minorHAnsi"/>
                <w:color w:val="auto"/>
              </w:rPr>
            </w:pPr>
            <w:r w:rsidRPr="0095296B">
              <w:rPr>
                <w:rFonts w:cstheme="minorHAnsi"/>
                <w:color w:val="auto"/>
              </w:rPr>
              <w:t>CMI</w:t>
            </w:r>
          </w:p>
        </w:tc>
        <w:tc>
          <w:tcPr>
            <w:tcW w:w="7167" w:type="dxa"/>
          </w:tcPr>
          <w:p w14:paraId="4526E92D"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95296B">
              <w:rPr>
                <w:rFonts w:cstheme="minorHAnsi"/>
                <w:color w:val="auto"/>
              </w:rPr>
              <w:t>Consumer Medicines Information</w:t>
            </w:r>
          </w:p>
        </w:tc>
      </w:tr>
      <w:tr w:rsidR="00C36B4C" w:rsidRPr="0095296B" w14:paraId="38B7AA75"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382E76C5" w14:textId="77777777" w:rsidR="00C36B4C" w:rsidRPr="0095296B" w:rsidRDefault="00C36B4C">
            <w:pPr>
              <w:rPr>
                <w:rFonts w:cstheme="minorHAnsi"/>
                <w:szCs w:val="32"/>
              </w:rPr>
            </w:pPr>
            <w:r w:rsidRPr="0095296B">
              <w:rPr>
                <w:rFonts w:cstheme="minorHAnsi"/>
                <w:szCs w:val="32"/>
              </w:rPr>
              <w:t>DLP</w:t>
            </w:r>
          </w:p>
        </w:tc>
        <w:tc>
          <w:tcPr>
            <w:tcW w:w="7167" w:type="dxa"/>
          </w:tcPr>
          <w:p w14:paraId="698F4785"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rFonts w:cstheme="minorHAnsi"/>
                <w:szCs w:val="32"/>
              </w:rPr>
            </w:pPr>
            <w:r w:rsidRPr="0095296B">
              <w:rPr>
                <w:rFonts w:cstheme="minorHAnsi"/>
                <w:szCs w:val="32"/>
              </w:rPr>
              <w:t>Data lock point</w:t>
            </w:r>
          </w:p>
        </w:tc>
      </w:tr>
      <w:tr w:rsidR="00C36B4C" w:rsidRPr="0095296B" w14:paraId="0867CA72"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79132EFB" w14:textId="77777777" w:rsidR="00C36B4C" w:rsidRPr="0095296B" w:rsidRDefault="00C36B4C">
            <w:pPr>
              <w:tabs>
                <w:tab w:val="left" w:pos="1200"/>
              </w:tabs>
              <w:rPr>
                <w:rFonts w:cstheme="minorHAnsi"/>
                <w:szCs w:val="280"/>
              </w:rPr>
            </w:pPr>
            <w:r w:rsidRPr="0095296B">
              <w:rPr>
                <w:rFonts w:cstheme="minorHAnsi"/>
                <w:szCs w:val="280"/>
              </w:rPr>
              <w:t>DOR/</w:t>
            </w:r>
            <w:proofErr w:type="spellStart"/>
            <w:r w:rsidRPr="0095296B">
              <w:rPr>
                <w:rFonts w:cstheme="minorHAnsi"/>
                <w:szCs w:val="280"/>
              </w:rPr>
              <w:t>DoR</w:t>
            </w:r>
            <w:proofErr w:type="spellEnd"/>
          </w:p>
        </w:tc>
        <w:tc>
          <w:tcPr>
            <w:tcW w:w="7167" w:type="dxa"/>
          </w:tcPr>
          <w:p w14:paraId="6FFE4346"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szCs w:val="280"/>
                <w:lang w:val="en-GB"/>
              </w:rPr>
            </w:pPr>
            <w:r w:rsidRPr="0095296B">
              <w:rPr>
                <w:szCs w:val="280"/>
                <w:lang w:val="en-GB"/>
              </w:rPr>
              <w:t>Duration of response</w:t>
            </w:r>
          </w:p>
        </w:tc>
      </w:tr>
      <w:tr w:rsidR="00C36B4C" w:rsidRPr="0095296B" w14:paraId="2594C115"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10CE2E31" w14:textId="77777777" w:rsidR="00C36B4C" w:rsidRPr="0095296B" w:rsidRDefault="00C36B4C">
            <w:pPr>
              <w:tabs>
                <w:tab w:val="left" w:pos="1200"/>
              </w:tabs>
              <w:rPr>
                <w:rFonts w:cstheme="minorHAnsi"/>
                <w:szCs w:val="240"/>
              </w:rPr>
            </w:pPr>
            <w:r w:rsidRPr="0095296B">
              <w:rPr>
                <w:rFonts w:cstheme="minorHAnsi"/>
                <w:szCs w:val="240"/>
              </w:rPr>
              <w:t>ECOG</w:t>
            </w:r>
          </w:p>
        </w:tc>
        <w:tc>
          <w:tcPr>
            <w:tcW w:w="7167" w:type="dxa"/>
          </w:tcPr>
          <w:p w14:paraId="50CEB8CF"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szCs w:val="240"/>
              </w:rPr>
            </w:pPr>
            <w:r w:rsidRPr="0095296B">
              <w:rPr>
                <w:szCs w:val="240"/>
                <w:lang w:val="en-GB"/>
              </w:rPr>
              <w:t>Eastern Cooperative Oncology Group</w:t>
            </w:r>
          </w:p>
        </w:tc>
      </w:tr>
      <w:tr w:rsidR="00C36B4C" w:rsidRPr="0095296B" w14:paraId="504499F7"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56BFFAF9" w14:textId="77777777" w:rsidR="00C36B4C" w:rsidRPr="0095296B" w:rsidRDefault="00C36B4C">
            <w:pPr>
              <w:rPr>
                <w:rFonts w:cstheme="minorHAnsi"/>
                <w:szCs w:val="200"/>
              </w:rPr>
            </w:pPr>
            <w:r w:rsidRPr="0095296B">
              <w:rPr>
                <w:rFonts w:cstheme="minorHAnsi"/>
                <w:szCs w:val="200"/>
              </w:rPr>
              <w:t>ER</w:t>
            </w:r>
          </w:p>
        </w:tc>
        <w:tc>
          <w:tcPr>
            <w:tcW w:w="7167" w:type="dxa"/>
          </w:tcPr>
          <w:p w14:paraId="1E0C1314" w14:textId="77777777" w:rsidR="00C36B4C" w:rsidRPr="0095296B" w:rsidRDefault="00C36B4C">
            <w:pPr>
              <w:tabs>
                <w:tab w:val="left" w:pos="2445"/>
              </w:tabs>
              <w:cnfStyle w:val="000000000000" w:firstRow="0" w:lastRow="0" w:firstColumn="0" w:lastColumn="0" w:oddVBand="0" w:evenVBand="0" w:oddHBand="0" w:evenHBand="0" w:firstRowFirstColumn="0" w:firstRowLastColumn="0" w:lastRowFirstColumn="0" w:lastRowLastColumn="0"/>
              <w:rPr>
                <w:szCs w:val="200"/>
              </w:rPr>
            </w:pPr>
            <w:r w:rsidRPr="0095296B">
              <w:rPr>
                <w:szCs w:val="200"/>
              </w:rPr>
              <w:t>Exposure response</w:t>
            </w:r>
          </w:p>
        </w:tc>
      </w:tr>
      <w:tr w:rsidR="00C36B4C" w:rsidRPr="0095296B" w14:paraId="291F9CEC"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72D37F4E" w14:textId="77777777" w:rsidR="00C36B4C" w:rsidRPr="0095296B" w:rsidRDefault="00C36B4C">
            <w:pPr>
              <w:rPr>
                <w:rFonts w:cstheme="minorHAnsi"/>
                <w:szCs w:val="160"/>
              </w:rPr>
            </w:pPr>
            <w:r w:rsidRPr="0095296B">
              <w:rPr>
                <w:rFonts w:cstheme="minorHAnsi"/>
                <w:szCs w:val="160"/>
              </w:rPr>
              <w:t>EU</w:t>
            </w:r>
          </w:p>
        </w:tc>
        <w:tc>
          <w:tcPr>
            <w:tcW w:w="7167" w:type="dxa"/>
          </w:tcPr>
          <w:p w14:paraId="36C7C6BA" w14:textId="77777777" w:rsidR="00C36B4C" w:rsidRPr="0095296B" w:rsidRDefault="00C36B4C">
            <w:pPr>
              <w:tabs>
                <w:tab w:val="left" w:pos="2445"/>
              </w:tabs>
              <w:cnfStyle w:val="000000000000" w:firstRow="0" w:lastRow="0" w:firstColumn="0" w:lastColumn="0" w:oddVBand="0" w:evenVBand="0" w:oddHBand="0" w:evenHBand="0" w:firstRowFirstColumn="0" w:firstRowLastColumn="0" w:lastRowFirstColumn="0" w:lastRowLastColumn="0"/>
              <w:rPr>
                <w:szCs w:val="160"/>
              </w:rPr>
            </w:pPr>
            <w:r w:rsidRPr="0095296B">
              <w:rPr>
                <w:szCs w:val="160"/>
              </w:rPr>
              <w:t>European Union</w:t>
            </w:r>
          </w:p>
        </w:tc>
      </w:tr>
      <w:tr w:rsidR="00C36B4C" w:rsidRPr="0095296B" w14:paraId="7864AC43"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3CD3CAEC" w14:textId="77777777" w:rsidR="00C36B4C" w:rsidRPr="0095296B" w:rsidRDefault="00C36B4C">
            <w:pPr>
              <w:rPr>
                <w:rFonts w:cstheme="minorHAnsi"/>
                <w:szCs w:val="96"/>
              </w:rPr>
            </w:pPr>
            <w:r w:rsidRPr="0095296B">
              <w:rPr>
                <w:rFonts w:cstheme="minorHAnsi"/>
                <w:szCs w:val="96"/>
              </w:rPr>
              <w:t>FDA</w:t>
            </w:r>
          </w:p>
        </w:tc>
        <w:tc>
          <w:tcPr>
            <w:tcW w:w="7167" w:type="dxa"/>
          </w:tcPr>
          <w:p w14:paraId="241C9AA0"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szCs w:val="96"/>
              </w:rPr>
            </w:pPr>
            <w:r w:rsidRPr="0095296B">
              <w:rPr>
                <w:szCs w:val="96"/>
              </w:rPr>
              <w:t>United States Food and Drug Administration</w:t>
            </w:r>
          </w:p>
        </w:tc>
      </w:tr>
      <w:tr w:rsidR="00C36B4C" w:rsidRPr="0095296B" w14:paraId="3E267BBF"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493172C3" w14:textId="77777777" w:rsidR="00C36B4C" w:rsidRPr="0095296B" w:rsidRDefault="00C36B4C">
            <w:pPr>
              <w:rPr>
                <w:rFonts w:cstheme="minorHAnsi"/>
              </w:rPr>
            </w:pPr>
            <w:r w:rsidRPr="0095296B">
              <w:rPr>
                <w:rFonts w:cstheme="minorHAnsi"/>
              </w:rPr>
              <w:t>HR</w:t>
            </w:r>
          </w:p>
        </w:tc>
        <w:tc>
          <w:tcPr>
            <w:tcW w:w="7167" w:type="dxa"/>
          </w:tcPr>
          <w:p w14:paraId="090C7663"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pPr>
            <w:r w:rsidRPr="0095296B">
              <w:t>Hazard ratio</w:t>
            </w:r>
          </w:p>
        </w:tc>
      </w:tr>
      <w:tr w:rsidR="00C36B4C" w:rsidRPr="0095296B" w14:paraId="19A96FC2"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656628AC" w14:textId="77777777" w:rsidR="00C36B4C" w:rsidRPr="0095296B" w:rsidRDefault="00C36B4C">
            <w:pPr>
              <w:rPr>
                <w:iCs/>
              </w:rPr>
            </w:pPr>
            <w:r w:rsidRPr="0095296B">
              <w:rPr>
                <w:iCs/>
              </w:rPr>
              <w:t>IRC</w:t>
            </w:r>
          </w:p>
        </w:tc>
        <w:tc>
          <w:tcPr>
            <w:tcW w:w="7167" w:type="dxa"/>
          </w:tcPr>
          <w:p w14:paraId="1B3349F8"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iCs/>
              </w:rPr>
            </w:pPr>
            <w:r w:rsidRPr="0095296B">
              <w:rPr>
                <w:iCs/>
              </w:rPr>
              <w:t>Independent Review Committee</w:t>
            </w:r>
          </w:p>
        </w:tc>
      </w:tr>
      <w:tr w:rsidR="00C36B4C" w:rsidRPr="0095296B" w14:paraId="064B5C24"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143135F4" w14:textId="77777777" w:rsidR="00C36B4C" w:rsidRPr="0095296B" w:rsidRDefault="00C36B4C">
            <w:pPr>
              <w:rPr>
                <w:iCs/>
                <w:szCs w:val="160"/>
              </w:rPr>
            </w:pPr>
            <w:r w:rsidRPr="0095296B">
              <w:rPr>
                <w:iCs/>
                <w:szCs w:val="160"/>
              </w:rPr>
              <w:t>IV</w:t>
            </w:r>
          </w:p>
        </w:tc>
        <w:tc>
          <w:tcPr>
            <w:tcW w:w="7167" w:type="dxa"/>
          </w:tcPr>
          <w:p w14:paraId="3EEF8844"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iCs/>
                <w:szCs w:val="160"/>
              </w:rPr>
            </w:pPr>
            <w:r w:rsidRPr="0095296B">
              <w:rPr>
                <w:iCs/>
                <w:szCs w:val="160"/>
              </w:rPr>
              <w:t>Intravenous</w:t>
            </w:r>
          </w:p>
        </w:tc>
      </w:tr>
      <w:tr w:rsidR="00C36B4C" w:rsidRPr="0095296B" w14:paraId="799263AF"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141A96D7" w14:textId="77777777" w:rsidR="00C36B4C" w:rsidRPr="0095296B" w:rsidRDefault="00C36B4C">
            <w:pPr>
              <w:rPr>
                <w:rFonts w:cstheme="minorHAnsi"/>
              </w:rPr>
            </w:pPr>
            <w:r w:rsidRPr="0095296B">
              <w:rPr>
                <w:rFonts w:cstheme="minorHAnsi"/>
              </w:rPr>
              <w:t>NE</w:t>
            </w:r>
          </w:p>
        </w:tc>
        <w:tc>
          <w:tcPr>
            <w:tcW w:w="7167" w:type="dxa"/>
          </w:tcPr>
          <w:p w14:paraId="5B196DB3"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pPr>
            <w:r w:rsidRPr="0095296B">
              <w:t>Not estimable</w:t>
            </w:r>
          </w:p>
        </w:tc>
      </w:tr>
      <w:tr w:rsidR="00C36B4C" w:rsidRPr="0095296B" w14:paraId="1B3CB9A4"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000733DA" w14:textId="77777777" w:rsidR="00C36B4C" w:rsidRPr="0095296B" w:rsidRDefault="00C36B4C">
            <w:pPr>
              <w:rPr>
                <w:rFonts w:cstheme="minorHAnsi"/>
              </w:rPr>
            </w:pPr>
            <w:r w:rsidRPr="0095296B">
              <w:rPr>
                <w:rFonts w:cstheme="minorHAnsi"/>
              </w:rPr>
              <w:t>NPC</w:t>
            </w:r>
          </w:p>
        </w:tc>
        <w:tc>
          <w:tcPr>
            <w:tcW w:w="7167" w:type="dxa"/>
          </w:tcPr>
          <w:p w14:paraId="2F5CEEAA"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pPr>
            <w:r w:rsidRPr="0095296B">
              <w:rPr>
                <w:szCs w:val="22"/>
              </w:rPr>
              <w:t>Nasopharyngeal carcinoma</w:t>
            </w:r>
          </w:p>
        </w:tc>
      </w:tr>
      <w:tr w:rsidR="00C36B4C" w:rsidRPr="0095296B" w14:paraId="58884080"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03AA8D71" w14:textId="77777777" w:rsidR="00C36B4C" w:rsidRPr="0095296B" w:rsidRDefault="00C36B4C">
            <w:pPr>
              <w:rPr>
                <w:rFonts w:cstheme="minorHAnsi"/>
                <w:szCs w:val="40"/>
              </w:rPr>
            </w:pPr>
            <w:r w:rsidRPr="0095296B">
              <w:rPr>
                <w:rFonts w:cstheme="minorHAnsi"/>
                <w:szCs w:val="40"/>
              </w:rPr>
              <w:t>ORR</w:t>
            </w:r>
          </w:p>
        </w:tc>
        <w:tc>
          <w:tcPr>
            <w:tcW w:w="7167" w:type="dxa"/>
          </w:tcPr>
          <w:p w14:paraId="4100D8C1"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rFonts w:cstheme="minorHAnsi"/>
                <w:szCs w:val="40"/>
              </w:rPr>
            </w:pPr>
            <w:r w:rsidRPr="0095296B">
              <w:rPr>
                <w:rFonts w:cstheme="minorHAnsi"/>
                <w:szCs w:val="40"/>
              </w:rPr>
              <w:t>Objective response rate</w:t>
            </w:r>
          </w:p>
        </w:tc>
      </w:tr>
      <w:tr w:rsidR="00C36B4C" w:rsidRPr="0095296B" w14:paraId="717BB855"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7E1F46E9" w14:textId="77777777" w:rsidR="00C36B4C" w:rsidRPr="0095296B" w:rsidRDefault="00C36B4C">
            <w:pPr>
              <w:rPr>
                <w:rFonts w:cstheme="minorHAnsi"/>
                <w:szCs w:val="32"/>
              </w:rPr>
            </w:pPr>
            <w:r w:rsidRPr="0095296B">
              <w:rPr>
                <w:rFonts w:cstheme="minorHAnsi"/>
                <w:szCs w:val="32"/>
              </w:rPr>
              <w:t>OS</w:t>
            </w:r>
          </w:p>
        </w:tc>
        <w:tc>
          <w:tcPr>
            <w:tcW w:w="7167" w:type="dxa"/>
          </w:tcPr>
          <w:p w14:paraId="10F065BD"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rFonts w:cstheme="minorHAnsi"/>
                <w:szCs w:val="32"/>
              </w:rPr>
            </w:pPr>
            <w:r w:rsidRPr="0095296B">
              <w:rPr>
                <w:rFonts w:cstheme="minorHAnsi"/>
                <w:szCs w:val="32"/>
              </w:rPr>
              <w:t>Overall survival</w:t>
            </w:r>
          </w:p>
        </w:tc>
      </w:tr>
      <w:tr w:rsidR="00C36B4C" w:rsidRPr="0095296B" w14:paraId="7F4EEA44"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325B8952" w14:textId="77777777" w:rsidR="00C36B4C" w:rsidRPr="0095296B" w:rsidRDefault="00C36B4C">
            <w:pPr>
              <w:rPr>
                <w:rFonts w:cstheme="minorHAnsi"/>
              </w:rPr>
            </w:pPr>
            <w:r w:rsidRPr="0095296B">
              <w:rPr>
                <w:rFonts w:cstheme="minorHAnsi"/>
              </w:rPr>
              <w:t>PD-1</w:t>
            </w:r>
          </w:p>
        </w:tc>
        <w:tc>
          <w:tcPr>
            <w:tcW w:w="7167" w:type="dxa"/>
          </w:tcPr>
          <w:p w14:paraId="7CAFCCC0"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pPr>
            <w:r w:rsidRPr="0095296B">
              <w:t>Programmed death receptor 1</w:t>
            </w:r>
          </w:p>
        </w:tc>
      </w:tr>
      <w:tr w:rsidR="00C36B4C" w:rsidRPr="0095296B" w14:paraId="6A00BF86"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117E311C" w14:textId="77777777" w:rsidR="00C36B4C" w:rsidRPr="0095296B" w:rsidRDefault="00C36B4C">
            <w:pPr>
              <w:rPr>
                <w:rFonts w:cstheme="minorHAnsi"/>
              </w:rPr>
            </w:pPr>
            <w:r w:rsidRPr="0095296B">
              <w:rPr>
                <w:rFonts w:cstheme="minorHAnsi"/>
              </w:rPr>
              <w:t>PD-L1</w:t>
            </w:r>
          </w:p>
        </w:tc>
        <w:tc>
          <w:tcPr>
            <w:tcW w:w="7167" w:type="dxa"/>
          </w:tcPr>
          <w:p w14:paraId="312EC322"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pPr>
            <w:r w:rsidRPr="0095296B">
              <w:t>Programmed death ligand 1</w:t>
            </w:r>
          </w:p>
        </w:tc>
      </w:tr>
      <w:tr w:rsidR="00C36B4C" w:rsidRPr="0095296B" w14:paraId="7B4E0766"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39C05F28" w14:textId="77777777" w:rsidR="00C36B4C" w:rsidRPr="0095296B" w:rsidRDefault="00C36B4C">
            <w:pPr>
              <w:rPr>
                <w:rFonts w:cstheme="minorHAnsi"/>
              </w:rPr>
            </w:pPr>
            <w:r w:rsidRPr="0095296B">
              <w:rPr>
                <w:rFonts w:cstheme="minorHAnsi"/>
              </w:rPr>
              <w:t>PD-L2</w:t>
            </w:r>
          </w:p>
        </w:tc>
        <w:tc>
          <w:tcPr>
            <w:tcW w:w="7167" w:type="dxa"/>
          </w:tcPr>
          <w:p w14:paraId="240F5574"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pPr>
            <w:r w:rsidRPr="0095296B">
              <w:t>Programmed death ligand 2</w:t>
            </w:r>
          </w:p>
        </w:tc>
      </w:tr>
      <w:tr w:rsidR="00C36B4C" w:rsidRPr="0095296B" w14:paraId="366469EC"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7B7EC019" w14:textId="77777777" w:rsidR="00C36B4C" w:rsidRPr="0095296B" w:rsidRDefault="00C36B4C">
            <w:pPr>
              <w:rPr>
                <w:rFonts w:cstheme="minorHAnsi"/>
                <w:szCs w:val="32"/>
              </w:rPr>
            </w:pPr>
            <w:r w:rsidRPr="0095296B">
              <w:rPr>
                <w:rFonts w:cstheme="minorHAnsi"/>
                <w:szCs w:val="32"/>
              </w:rPr>
              <w:t>PFS</w:t>
            </w:r>
          </w:p>
        </w:tc>
        <w:tc>
          <w:tcPr>
            <w:tcW w:w="7167" w:type="dxa"/>
          </w:tcPr>
          <w:p w14:paraId="489C7C96"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szCs w:val="32"/>
              </w:rPr>
            </w:pPr>
            <w:r w:rsidRPr="0095296B">
              <w:rPr>
                <w:szCs w:val="32"/>
              </w:rPr>
              <w:t>Progression-free survival</w:t>
            </w:r>
          </w:p>
        </w:tc>
      </w:tr>
      <w:tr w:rsidR="00C36B4C" w:rsidRPr="0095296B" w14:paraId="599C9F37"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45405DFF" w14:textId="77777777" w:rsidR="00C36B4C" w:rsidRPr="0095296B" w:rsidRDefault="00C36B4C">
            <w:pPr>
              <w:rPr>
                <w:rFonts w:cstheme="minorHAnsi"/>
                <w:color w:val="auto"/>
              </w:rPr>
            </w:pPr>
            <w:r w:rsidRPr="0095296B">
              <w:rPr>
                <w:rFonts w:cstheme="minorHAnsi"/>
                <w:color w:val="auto"/>
              </w:rPr>
              <w:t>PI</w:t>
            </w:r>
          </w:p>
        </w:tc>
        <w:tc>
          <w:tcPr>
            <w:tcW w:w="7167" w:type="dxa"/>
          </w:tcPr>
          <w:p w14:paraId="5162E29E"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95296B">
              <w:rPr>
                <w:rFonts w:cstheme="minorHAnsi"/>
                <w:color w:val="auto"/>
              </w:rPr>
              <w:t>Product Information</w:t>
            </w:r>
          </w:p>
        </w:tc>
      </w:tr>
      <w:tr w:rsidR="00C36B4C" w:rsidRPr="0095296B" w14:paraId="5C6E9451"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6894D652" w14:textId="77777777" w:rsidR="00C36B4C" w:rsidRPr="0095296B" w:rsidRDefault="00C36B4C">
            <w:pPr>
              <w:rPr>
                <w:rFonts w:cstheme="minorHAnsi"/>
                <w:szCs w:val="24"/>
              </w:rPr>
            </w:pPr>
            <w:r w:rsidRPr="0095296B">
              <w:rPr>
                <w:rFonts w:cstheme="minorHAnsi"/>
                <w:szCs w:val="24"/>
              </w:rPr>
              <w:t>PK</w:t>
            </w:r>
          </w:p>
        </w:tc>
        <w:tc>
          <w:tcPr>
            <w:tcW w:w="7167" w:type="dxa"/>
          </w:tcPr>
          <w:p w14:paraId="30EF03B9"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rFonts w:cstheme="minorHAnsi"/>
                <w:szCs w:val="24"/>
              </w:rPr>
            </w:pPr>
            <w:r w:rsidRPr="0095296B">
              <w:rPr>
                <w:rFonts w:cstheme="minorHAnsi"/>
                <w:szCs w:val="24"/>
              </w:rPr>
              <w:t>Pharmacokinetic(s)</w:t>
            </w:r>
          </w:p>
        </w:tc>
      </w:tr>
      <w:tr w:rsidR="00C36B4C" w:rsidRPr="0095296B" w14:paraId="14A11309"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193CC58A" w14:textId="77777777" w:rsidR="00C36B4C" w:rsidRPr="0095296B" w:rsidRDefault="00C36B4C">
            <w:pPr>
              <w:rPr>
                <w:rFonts w:cstheme="minorHAnsi"/>
                <w:szCs w:val="48"/>
              </w:rPr>
            </w:pPr>
            <w:proofErr w:type="spellStart"/>
            <w:r w:rsidRPr="0095296B">
              <w:rPr>
                <w:rFonts w:cstheme="minorHAnsi"/>
                <w:szCs w:val="48"/>
              </w:rPr>
              <w:t>PopPK</w:t>
            </w:r>
            <w:proofErr w:type="spellEnd"/>
          </w:p>
        </w:tc>
        <w:tc>
          <w:tcPr>
            <w:tcW w:w="7167" w:type="dxa"/>
          </w:tcPr>
          <w:p w14:paraId="4B72F801"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rFonts w:cstheme="minorHAnsi"/>
                <w:szCs w:val="48"/>
              </w:rPr>
            </w:pPr>
            <w:r w:rsidRPr="0095296B">
              <w:rPr>
                <w:rFonts w:cstheme="minorHAnsi"/>
                <w:szCs w:val="48"/>
              </w:rPr>
              <w:t>Population pharmacokinetic(s)</w:t>
            </w:r>
          </w:p>
        </w:tc>
      </w:tr>
      <w:tr w:rsidR="00C36B4C" w:rsidRPr="0095296B" w14:paraId="1785B6A1"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0263FD7D" w14:textId="77777777" w:rsidR="00C36B4C" w:rsidRPr="0095296B" w:rsidRDefault="00C36B4C">
            <w:pPr>
              <w:rPr>
                <w:rFonts w:cstheme="minorHAnsi"/>
                <w:szCs w:val="32"/>
              </w:rPr>
            </w:pPr>
            <w:r w:rsidRPr="0095296B">
              <w:rPr>
                <w:rFonts w:cstheme="minorHAnsi"/>
                <w:szCs w:val="32"/>
              </w:rPr>
              <w:t>PTAS</w:t>
            </w:r>
          </w:p>
        </w:tc>
        <w:tc>
          <w:tcPr>
            <w:tcW w:w="7167" w:type="dxa"/>
          </w:tcPr>
          <w:p w14:paraId="5100673F" w14:textId="77777777" w:rsidR="00C36B4C" w:rsidRPr="0095296B" w:rsidRDefault="00C36B4C">
            <w:pPr>
              <w:tabs>
                <w:tab w:val="center" w:pos="3532"/>
              </w:tabs>
              <w:cnfStyle w:val="000000000000" w:firstRow="0" w:lastRow="0" w:firstColumn="0" w:lastColumn="0" w:oddVBand="0" w:evenVBand="0" w:oddHBand="0" w:evenHBand="0" w:firstRowFirstColumn="0" w:firstRowLastColumn="0" w:lastRowFirstColumn="0" w:lastRowLastColumn="0"/>
              <w:rPr>
                <w:szCs w:val="32"/>
              </w:rPr>
            </w:pPr>
            <w:r w:rsidRPr="0095296B">
              <w:rPr>
                <w:szCs w:val="32"/>
              </w:rPr>
              <w:t>Platinum treated analysis set</w:t>
            </w:r>
          </w:p>
        </w:tc>
      </w:tr>
      <w:tr w:rsidR="00C36B4C" w:rsidRPr="0095296B" w14:paraId="2815D71A"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7FBC07B1" w14:textId="77777777" w:rsidR="00C36B4C" w:rsidRPr="0095296B" w:rsidRDefault="00C36B4C">
            <w:pPr>
              <w:rPr>
                <w:rFonts w:cstheme="minorHAnsi"/>
              </w:rPr>
            </w:pPr>
            <w:r w:rsidRPr="0095296B">
              <w:rPr>
                <w:rFonts w:cstheme="minorHAnsi"/>
              </w:rPr>
              <w:t>RECIST</w:t>
            </w:r>
          </w:p>
        </w:tc>
        <w:tc>
          <w:tcPr>
            <w:tcW w:w="7167" w:type="dxa"/>
          </w:tcPr>
          <w:p w14:paraId="6B7FFCE5" w14:textId="77777777" w:rsidR="00C36B4C" w:rsidRPr="0095296B" w:rsidRDefault="00C36B4C">
            <w:pPr>
              <w:tabs>
                <w:tab w:val="center" w:pos="3532"/>
              </w:tabs>
              <w:cnfStyle w:val="000000000000" w:firstRow="0" w:lastRow="0" w:firstColumn="0" w:lastColumn="0" w:oddVBand="0" w:evenVBand="0" w:oddHBand="0" w:evenHBand="0" w:firstRowFirstColumn="0" w:firstRowLastColumn="0" w:lastRowFirstColumn="0" w:lastRowLastColumn="0"/>
            </w:pPr>
            <w:r w:rsidRPr="0095296B">
              <w:t>Response Evaluation Criteria in Solid Tumours</w:t>
            </w:r>
          </w:p>
        </w:tc>
      </w:tr>
      <w:tr w:rsidR="00C36B4C" w:rsidRPr="0095296B" w14:paraId="430C8F6E"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68E9C84D" w14:textId="77777777" w:rsidR="00C36B4C" w:rsidRPr="0095296B" w:rsidRDefault="00C36B4C">
            <w:pPr>
              <w:rPr>
                <w:rFonts w:cstheme="minorHAnsi"/>
                <w:color w:val="auto"/>
              </w:rPr>
            </w:pPr>
            <w:r w:rsidRPr="0095296B">
              <w:rPr>
                <w:rFonts w:cstheme="minorHAnsi"/>
                <w:color w:val="auto"/>
              </w:rPr>
              <w:t>RMP</w:t>
            </w:r>
          </w:p>
        </w:tc>
        <w:tc>
          <w:tcPr>
            <w:tcW w:w="7167" w:type="dxa"/>
          </w:tcPr>
          <w:p w14:paraId="6BB6133A" w14:textId="77777777" w:rsidR="00C36B4C" w:rsidRPr="0095296B" w:rsidRDefault="00C36B4C">
            <w:pPr>
              <w:tabs>
                <w:tab w:val="center" w:pos="3532"/>
              </w:tabs>
              <w:cnfStyle w:val="000000000000" w:firstRow="0" w:lastRow="0" w:firstColumn="0" w:lastColumn="0" w:oddVBand="0" w:evenVBand="0" w:oddHBand="0" w:evenHBand="0" w:firstRowFirstColumn="0" w:firstRowLastColumn="0" w:lastRowFirstColumn="0" w:lastRowLastColumn="0"/>
              <w:rPr>
                <w:rFonts w:cstheme="minorHAnsi"/>
                <w:color w:val="auto"/>
              </w:rPr>
            </w:pPr>
            <w:r w:rsidRPr="0095296B">
              <w:rPr>
                <w:rFonts w:cstheme="minorHAnsi"/>
                <w:color w:val="auto"/>
              </w:rPr>
              <w:t>Risk management plan</w:t>
            </w:r>
          </w:p>
        </w:tc>
      </w:tr>
      <w:tr w:rsidR="00C36B4C" w:rsidRPr="0095296B" w14:paraId="2F2E56EF"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53E75670" w14:textId="77777777" w:rsidR="00C36B4C" w:rsidRPr="0095296B" w:rsidRDefault="00C36B4C">
            <w:pPr>
              <w:rPr>
                <w:rFonts w:cstheme="minorHAnsi"/>
                <w:color w:val="auto"/>
              </w:rPr>
            </w:pPr>
            <w:r w:rsidRPr="0095296B">
              <w:rPr>
                <w:rFonts w:cstheme="minorHAnsi"/>
                <w:color w:val="auto"/>
              </w:rPr>
              <w:t>TGA</w:t>
            </w:r>
          </w:p>
        </w:tc>
        <w:tc>
          <w:tcPr>
            <w:tcW w:w="7167" w:type="dxa"/>
          </w:tcPr>
          <w:p w14:paraId="6CEBDA9B"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95296B">
              <w:rPr>
                <w:rFonts w:cstheme="minorHAnsi"/>
                <w:color w:val="auto"/>
              </w:rPr>
              <w:t>Therapeutic Goods Administration</w:t>
            </w:r>
          </w:p>
        </w:tc>
      </w:tr>
      <w:tr w:rsidR="00C36B4C" w:rsidRPr="0095296B" w14:paraId="5340E1A7"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1FC9D496" w14:textId="77777777" w:rsidR="00C36B4C" w:rsidRPr="0095296B" w:rsidRDefault="00C36B4C">
            <w:pPr>
              <w:rPr>
                <w:rFonts w:cstheme="minorHAnsi"/>
                <w:szCs w:val="48"/>
              </w:rPr>
            </w:pPr>
            <w:r w:rsidRPr="0095296B">
              <w:rPr>
                <w:rFonts w:cstheme="minorHAnsi"/>
                <w:szCs w:val="48"/>
              </w:rPr>
              <w:t>ULN</w:t>
            </w:r>
          </w:p>
        </w:tc>
        <w:tc>
          <w:tcPr>
            <w:tcW w:w="7167" w:type="dxa"/>
          </w:tcPr>
          <w:p w14:paraId="1CED3617"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szCs w:val="48"/>
              </w:rPr>
            </w:pPr>
            <w:r w:rsidRPr="0095296B">
              <w:rPr>
                <w:szCs w:val="48"/>
              </w:rPr>
              <w:t>Upper limit of normal</w:t>
            </w:r>
          </w:p>
        </w:tc>
      </w:tr>
      <w:tr w:rsidR="00C36B4C" w:rsidRPr="00503217" w14:paraId="14A3278A" w14:textId="77777777">
        <w:trPr>
          <w:trHeight w:val="386"/>
        </w:trPr>
        <w:tc>
          <w:tcPr>
            <w:cnfStyle w:val="001000000000" w:firstRow="0" w:lastRow="0" w:firstColumn="1" w:lastColumn="0" w:oddVBand="0" w:evenVBand="0" w:oddHBand="0" w:evenHBand="0" w:firstRowFirstColumn="0" w:firstRowLastColumn="0" w:lastRowFirstColumn="0" w:lastRowLastColumn="0"/>
            <w:tcW w:w="2263" w:type="dxa"/>
          </w:tcPr>
          <w:p w14:paraId="7B1DA093" w14:textId="77777777" w:rsidR="00C36B4C" w:rsidRPr="0095296B" w:rsidRDefault="00C36B4C">
            <w:pPr>
              <w:rPr>
                <w:rFonts w:cstheme="minorHAnsi"/>
                <w:szCs w:val="40"/>
              </w:rPr>
            </w:pPr>
            <w:r w:rsidRPr="0095296B">
              <w:rPr>
                <w:rFonts w:cstheme="minorHAnsi"/>
              </w:rPr>
              <w:lastRenderedPageBreak/>
              <w:t>US</w:t>
            </w:r>
          </w:p>
        </w:tc>
        <w:tc>
          <w:tcPr>
            <w:tcW w:w="7167" w:type="dxa"/>
          </w:tcPr>
          <w:p w14:paraId="3AA63099" w14:textId="77777777" w:rsidR="00C36B4C" w:rsidRPr="0095296B" w:rsidRDefault="00C36B4C">
            <w:pPr>
              <w:cnfStyle w:val="000000000000" w:firstRow="0" w:lastRow="0" w:firstColumn="0" w:lastColumn="0" w:oddVBand="0" w:evenVBand="0" w:oddHBand="0" w:evenHBand="0" w:firstRowFirstColumn="0" w:firstRowLastColumn="0" w:lastRowFirstColumn="0" w:lastRowLastColumn="0"/>
              <w:rPr>
                <w:szCs w:val="40"/>
              </w:rPr>
            </w:pPr>
            <w:r w:rsidRPr="0095296B">
              <w:t>United States (of America)</w:t>
            </w:r>
          </w:p>
        </w:tc>
      </w:tr>
      <w:bookmarkEnd w:id="5"/>
    </w:tbl>
    <w:p w14:paraId="7378F926" w14:textId="77777777" w:rsidR="00324B33" w:rsidRDefault="00324B33" w:rsidP="00324B33"/>
    <w:p w14:paraId="02FB1F38" w14:textId="77777777" w:rsidR="00324B33" w:rsidRPr="00FD119B" w:rsidRDefault="00324B33" w:rsidP="00324B33">
      <w:pPr>
        <w:spacing w:after="200" w:line="0" w:lineRule="auto"/>
        <w:rPr>
          <w:b/>
          <w:i/>
          <w:sz w:val="24"/>
          <w:szCs w:val="24"/>
        </w:rPr>
      </w:pPr>
      <w:r w:rsidRPr="00FD119B">
        <w:rPr>
          <w:b/>
          <w:i/>
          <w:sz w:val="24"/>
          <w:szCs w:val="24"/>
        </w:rPr>
        <w:br w:type="page"/>
      </w:r>
    </w:p>
    <w:p w14:paraId="44C2A39C" w14:textId="77777777" w:rsidR="00324B33" w:rsidRDefault="00324B33" w:rsidP="00324B33">
      <w:pPr>
        <w:pStyle w:val="Heading2"/>
      </w:pPr>
      <w:bookmarkStart w:id="6" w:name="_Toc103679288"/>
      <w:bookmarkStart w:id="7" w:name="_Toc233974533"/>
      <w:r>
        <w:lastRenderedPageBreak/>
        <w:t>Product submission</w:t>
      </w:r>
      <w:bookmarkEnd w:id="6"/>
      <w:bookmarkEnd w:id="7"/>
    </w:p>
    <w:p w14:paraId="21D559DF" w14:textId="77777777" w:rsidR="00324B33" w:rsidRDefault="00324B33" w:rsidP="00324B33">
      <w:pPr>
        <w:pStyle w:val="Heading3"/>
        <w:rPr>
          <w:lang w:eastAsia="en-AU"/>
        </w:rPr>
      </w:pPr>
      <w:bookmarkStart w:id="8" w:name="_Toc247691502"/>
      <w:bookmarkStart w:id="9" w:name="_Toc314842483"/>
      <w:bookmarkStart w:id="10" w:name="_Toc103679289"/>
      <w:bookmarkStart w:id="11" w:name="_Toc233974534"/>
      <w:r>
        <w:rPr>
          <w:lang w:eastAsia="en-AU"/>
        </w:rPr>
        <w:t>Submission details</w:t>
      </w:r>
      <w:bookmarkEnd w:id="8"/>
      <w:bookmarkEnd w:id="9"/>
      <w:bookmarkEnd w:id="10"/>
      <w:bookmarkEnd w:id="11"/>
    </w:p>
    <w:tbl>
      <w:tblPr>
        <w:tblW w:w="5000" w:type="pct"/>
        <w:tblLook w:val="01E0" w:firstRow="1" w:lastRow="1" w:firstColumn="1" w:lastColumn="1" w:noHBand="0" w:noVBand="0"/>
      </w:tblPr>
      <w:tblGrid>
        <w:gridCol w:w="2861"/>
        <w:gridCol w:w="6209"/>
      </w:tblGrid>
      <w:tr w:rsidR="00324B33" w:rsidRPr="00BD5DBD" w14:paraId="77D11C95" w14:textId="77777777" w:rsidTr="00F865A7">
        <w:tc>
          <w:tcPr>
            <w:tcW w:w="1577" w:type="pct"/>
          </w:tcPr>
          <w:p w14:paraId="10E57D62" w14:textId="3E9C6740" w:rsidR="00324B33" w:rsidRPr="00BD5DBD" w:rsidRDefault="00324B33" w:rsidP="007452E8">
            <w:pPr>
              <w:rPr>
                <w:i/>
                <w:szCs w:val="22"/>
              </w:rPr>
            </w:pPr>
            <w:r w:rsidRPr="00BD5DBD">
              <w:rPr>
                <w:i/>
                <w:szCs w:val="22"/>
              </w:rPr>
              <w:t>Type of submission:</w:t>
            </w:r>
          </w:p>
        </w:tc>
        <w:tc>
          <w:tcPr>
            <w:tcW w:w="3423" w:type="pct"/>
          </w:tcPr>
          <w:p w14:paraId="4F07C303" w14:textId="13ED5A91" w:rsidR="00324B33" w:rsidRPr="00BD5DBD" w:rsidRDefault="00324B33" w:rsidP="007452E8">
            <w:pPr>
              <w:rPr>
                <w:szCs w:val="22"/>
              </w:rPr>
            </w:pPr>
            <w:r w:rsidRPr="00BD5DBD">
              <w:rPr>
                <w:szCs w:val="22"/>
              </w:rPr>
              <w:t xml:space="preserve">New </w:t>
            </w:r>
            <w:r w:rsidR="007E3438">
              <w:rPr>
                <w:szCs w:val="22"/>
              </w:rPr>
              <w:t>biological</w:t>
            </w:r>
            <w:r w:rsidRPr="00BD5DBD">
              <w:rPr>
                <w:szCs w:val="22"/>
              </w:rPr>
              <w:t xml:space="preserve"> entity</w:t>
            </w:r>
          </w:p>
        </w:tc>
      </w:tr>
      <w:tr w:rsidR="00324B33" w:rsidRPr="00BD5DBD" w14:paraId="13482B61" w14:textId="77777777" w:rsidTr="00F865A7">
        <w:tc>
          <w:tcPr>
            <w:tcW w:w="1577" w:type="pct"/>
          </w:tcPr>
          <w:p w14:paraId="2C427FCF" w14:textId="22309B0B" w:rsidR="00324B33" w:rsidRPr="00BD5DBD" w:rsidRDefault="00324B33" w:rsidP="007452E8">
            <w:pPr>
              <w:rPr>
                <w:i/>
                <w:szCs w:val="22"/>
              </w:rPr>
            </w:pPr>
            <w:r w:rsidRPr="00BD5DBD">
              <w:rPr>
                <w:i/>
                <w:szCs w:val="22"/>
              </w:rPr>
              <w:t>Product name:</w:t>
            </w:r>
          </w:p>
        </w:tc>
        <w:tc>
          <w:tcPr>
            <w:tcW w:w="3423" w:type="pct"/>
          </w:tcPr>
          <w:p w14:paraId="0E2DEF76" w14:textId="317512FA" w:rsidR="00324B33" w:rsidRPr="00BD5DBD" w:rsidRDefault="009B0D5D" w:rsidP="007452E8">
            <w:pPr>
              <w:rPr>
                <w:szCs w:val="22"/>
              </w:rPr>
            </w:pPr>
            <w:bookmarkStart w:id="12" w:name="_Ref227245216"/>
            <w:r>
              <w:rPr>
                <w:szCs w:val="22"/>
              </w:rPr>
              <w:t>Tuoyi</w:t>
            </w:r>
            <w:r w:rsidR="003268D4">
              <w:rPr>
                <w:rStyle w:val="FootnoteReference"/>
              </w:rPr>
              <w:footnoteReference w:id="1"/>
            </w:r>
            <w:bookmarkEnd w:id="12"/>
          </w:p>
        </w:tc>
      </w:tr>
      <w:tr w:rsidR="00324B33" w:rsidRPr="00BD5DBD" w14:paraId="01255B5B" w14:textId="77777777" w:rsidTr="00F865A7">
        <w:tc>
          <w:tcPr>
            <w:tcW w:w="1577" w:type="pct"/>
          </w:tcPr>
          <w:p w14:paraId="52B4F3D7" w14:textId="759EBB97" w:rsidR="00324B33" w:rsidRPr="00BD5DBD" w:rsidRDefault="00324B33" w:rsidP="007452E8">
            <w:pPr>
              <w:rPr>
                <w:i/>
                <w:szCs w:val="22"/>
              </w:rPr>
            </w:pPr>
            <w:r w:rsidRPr="00BD5DBD">
              <w:rPr>
                <w:i/>
                <w:szCs w:val="22"/>
              </w:rPr>
              <w:t>Active ingredient:</w:t>
            </w:r>
          </w:p>
        </w:tc>
        <w:tc>
          <w:tcPr>
            <w:tcW w:w="3423" w:type="pct"/>
          </w:tcPr>
          <w:p w14:paraId="02FB6383" w14:textId="192412B3" w:rsidR="00324B33" w:rsidRPr="00BD5DBD" w:rsidRDefault="000668C6" w:rsidP="007452E8">
            <w:pPr>
              <w:rPr>
                <w:szCs w:val="22"/>
              </w:rPr>
            </w:pPr>
            <w:proofErr w:type="spellStart"/>
            <w:r w:rsidRPr="000668C6">
              <w:rPr>
                <w:szCs w:val="22"/>
              </w:rPr>
              <w:t>Toripalimab</w:t>
            </w:r>
            <w:proofErr w:type="spellEnd"/>
          </w:p>
        </w:tc>
      </w:tr>
      <w:tr w:rsidR="00324B33" w:rsidRPr="00BD5DBD" w14:paraId="219A281B" w14:textId="77777777" w:rsidTr="00F865A7">
        <w:tc>
          <w:tcPr>
            <w:tcW w:w="1577" w:type="pct"/>
          </w:tcPr>
          <w:p w14:paraId="112E5F78" w14:textId="77777777" w:rsidR="00324B33" w:rsidRPr="00BD5DBD" w:rsidRDefault="00324B33" w:rsidP="007452E8">
            <w:pPr>
              <w:rPr>
                <w:i/>
                <w:szCs w:val="22"/>
              </w:rPr>
            </w:pPr>
            <w:r w:rsidRPr="00BD5DBD">
              <w:rPr>
                <w:i/>
                <w:szCs w:val="22"/>
              </w:rPr>
              <w:t>Decision:</w:t>
            </w:r>
          </w:p>
        </w:tc>
        <w:tc>
          <w:tcPr>
            <w:tcW w:w="3423" w:type="pct"/>
          </w:tcPr>
          <w:p w14:paraId="3B114BEA" w14:textId="0CEAF2BC" w:rsidR="00324B33" w:rsidRPr="00BD5DBD" w:rsidRDefault="00324B33" w:rsidP="007452E8">
            <w:pPr>
              <w:rPr>
                <w:szCs w:val="22"/>
              </w:rPr>
            </w:pPr>
            <w:r w:rsidRPr="00BD5DBD">
              <w:rPr>
                <w:szCs w:val="22"/>
              </w:rPr>
              <w:t>Approved</w:t>
            </w:r>
          </w:p>
        </w:tc>
      </w:tr>
      <w:tr w:rsidR="00AE1947" w:rsidRPr="00BD5DBD" w14:paraId="32B72632" w14:textId="77777777" w:rsidTr="00F865A7">
        <w:tc>
          <w:tcPr>
            <w:tcW w:w="1577" w:type="pct"/>
          </w:tcPr>
          <w:p w14:paraId="332A5CD5" w14:textId="65682B5F" w:rsidR="00AE1947" w:rsidRPr="00BD5DBD" w:rsidRDefault="00AE1947" w:rsidP="007F1E37">
            <w:r w:rsidRPr="00BD5DBD">
              <w:rPr>
                <w:i/>
                <w:szCs w:val="22"/>
              </w:rPr>
              <w:t>Date of decision:</w:t>
            </w:r>
          </w:p>
        </w:tc>
        <w:tc>
          <w:tcPr>
            <w:tcW w:w="3423" w:type="pct"/>
          </w:tcPr>
          <w:p w14:paraId="7B381CD6" w14:textId="26A3C32A" w:rsidR="00AE1947" w:rsidRPr="00BD5DBD" w:rsidRDefault="00F61392">
            <w:pPr>
              <w:rPr>
                <w:szCs w:val="22"/>
              </w:rPr>
            </w:pPr>
            <w:r>
              <w:rPr>
                <w:szCs w:val="22"/>
              </w:rPr>
              <w:t>16 January 2025</w:t>
            </w:r>
          </w:p>
        </w:tc>
      </w:tr>
      <w:tr w:rsidR="00324B33" w:rsidRPr="00BD5DBD" w14:paraId="60A25F5A" w14:textId="77777777" w:rsidTr="00F865A7">
        <w:tc>
          <w:tcPr>
            <w:tcW w:w="1577" w:type="pct"/>
          </w:tcPr>
          <w:p w14:paraId="5C5E4CBA" w14:textId="77777777" w:rsidR="00324B33" w:rsidRPr="00BD5DBD" w:rsidRDefault="00324B33" w:rsidP="007452E8">
            <w:pPr>
              <w:rPr>
                <w:i/>
                <w:szCs w:val="22"/>
              </w:rPr>
            </w:pPr>
            <w:r w:rsidRPr="00BD5DBD">
              <w:rPr>
                <w:i/>
                <w:szCs w:val="22"/>
              </w:rPr>
              <w:t>Date of entry onto ARTG:</w:t>
            </w:r>
          </w:p>
        </w:tc>
        <w:tc>
          <w:tcPr>
            <w:tcW w:w="3423" w:type="pct"/>
          </w:tcPr>
          <w:p w14:paraId="28B270E9" w14:textId="47D3FDE3" w:rsidR="00324B33" w:rsidRPr="00BD5DBD" w:rsidRDefault="00EE1113" w:rsidP="007452E8">
            <w:pPr>
              <w:rPr>
                <w:szCs w:val="22"/>
              </w:rPr>
            </w:pPr>
            <w:r>
              <w:rPr>
                <w:szCs w:val="22"/>
              </w:rPr>
              <w:t>21 January 2025</w:t>
            </w:r>
          </w:p>
        </w:tc>
      </w:tr>
      <w:tr w:rsidR="00324B33" w:rsidRPr="00BD5DBD" w14:paraId="547E08D7" w14:textId="77777777" w:rsidTr="00F865A7">
        <w:tc>
          <w:tcPr>
            <w:tcW w:w="1577" w:type="pct"/>
          </w:tcPr>
          <w:p w14:paraId="5030EF30" w14:textId="5621A3E4" w:rsidR="00324B33" w:rsidRPr="00BD5DBD" w:rsidRDefault="00324B33" w:rsidP="007452E8">
            <w:pPr>
              <w:rPr>
                <w:i/>
                <w:szCs w:val="22"/>
              </w:rPr>
            </w:pPr>
            <w:r w:rsidRPr="00BD5DBD">
              <w:rPr>
                <w:i/>
                <w:szCs w:val="22"/>
              </w:rPr>
              <w:t>ARTG number:</w:t>
            </w:r>
          </w:p>
        </w:tc>
        <w:tc>
          <w:tcPr>
            <w:tcW w:w="3423" w:type="pct"/>
          </w:tcPr>
          <w:p w14:paraId="0054E912" w14:textId="109D5DFA" w:rsidR="00324B33" w:rsidRPr="00BD5DBD" w:rsidRDefault="00F61392" w:rsidP="007452E8">
            <w:pPr>
              <w:rPr>
                <w:szCs w:val="22"/>
              </w:rPr>
            </w:pPr>
            <w:r w:rsidRPr="00F61392">
              <w:rPr>
                <w:szCs w:val="22"/>
              </w:rPr>
              <w:t>426950</w:t>
            </w:r>
          </w:p>
        </w:tc>
      </w:tr>
      <w:tr w:rsidR="00324B33" w:rsidRPr="00BD5DBD" w14:paraId="7618393F" w14:textId="77777777" w:rsidTr="00F865A7">
        <w:tc>
          <w:tcPr>
            <w:tcW w:w="1577" w:type="pct"/>
          </w:tcPr>
          <w:p w14:paraId="6C24CEB6" w14:textId="165619A1" w:rsidR="00E47E0C" w:rsidRPr="00BD5DBD" w:rsidRDefault="00324B33" w:rsidP="007452E8">
            <w:pPr>
              <w:rPr>
                <w:rStyle w:val="Hyperlink"/>
                <w:i/>
                <w:szCs w:val="22"/>
              </w:rPr>
            </w:pPr>
            <w:r w:rsidRPr="00BD5DBD">
              <w:rPr>
                <w:rFonts w:ascii="Wingdings 3" w:hAnsi="Wingdings 3"/>
                <w:szCs w:val="22"/>
                <w:lang w:eastAsia="en-AU"/>
              </w:rPr>
              <w:t></w:t>
            </w:r>
            <w:hyperlink r:id="rId20" w:history="1">
              <w:r w:rsidRPr="00BD5DBD">
                <w:rPr>
                  <w:rStyle w:val="Hyperlink"/>
                  <w:i/>
                  <w:szCs w:val="22"/>
                </w:rPr>
                <w:t>Black Triangle Scheme</w:t>
              </w:r>
            </w:hyperlink>
          </w:p>
          <w:p w14:paraId="02260DE2" w14:textId="1FC334AE" w:rsidR="00324B33" w:rsidRPr="00BD5DBD" w:rsidRDefault="00E47E0C" w:rsidP="007452E8">
            <w:pPr>
              <w:rPr>
                <w:i/>
                <w:szCs w:val="22"/>
              </w:rPr>
            </w:pPr>
            <w:r w:rsidRPr="00BD5DBD">
              <w:rPr>
                <w:i/>
                <w:szCs w:val="22"/>
              </w:rPr>
              <w:t xml:space="preserve">for </w:t>
            </w:r>
            <w:r w:rsidR="007B04DE" w:rsidRPr="00BD5DBD">
              <w:rPr>
                <w:i/>
                <w:szCs w:val="22"/>
              </w:rPr>
              <w:t>the current</w:t>
            </w:r>
            <w:r w:rsidRPr="00BD5DBD">
              <w:rPr>
                <w:i/>
                <w:szCs w:val="22"/>
              </w:rPr>
              <w:t xml:space="preserve"> submission</w:t>
            </w:r>
            <w:r w:rsidR="00324B33" w:rsidRPr="00BD5DBD">
              <w:rPr>
                <w:i/>
                <w:szCs w:val="22"/>
              </w:rPr>
              <w:t>:</w:t>
            </w:r>
          </w:p>
        </w:tc>
        <w:tc>
          <w:tcPr>
            <w:tcW w:w="3423" w:type="pct"/>
          </w:tcPr>
          <w:p w14:paraId="6FF3C6A2" w14:textId="36FC3A3C" w:rsidR="00324B33" w:rsidRPr="00BD5DBD" w:rsidRDefault="00324B33" w:rsidP="007452E8">
            <w:pPr>
              <w:rPr>
                <w:szCs w:val="22"/>
              </w:rPr>
            </w:pPr>
            <w:r w:rsidRPr="00BD5DBD">
              <w:rPr>
                <w:szCs w:val="22"/>
              </w:rPr>
              <w:t>Yes</w:t>
            </w:r>
          </w:p>
        </w:tc>
      </w:tr>
      <w:tr w:rsidR="00324B33" w:rsidRPr="00BD5DBD" w14:paraId="179E09FE" w14:textId="77777777" w:rsidTr="00F865A7">
        <w:tc>
          <w:tcPr>
            <w:tcW w:w="1577" w:type="pct"/>
          </w:tcPr>
          <w:p w14:paraId="1A592498" w14:textId="77777777" w:rsidR="00324B33" w:rsidRPr="00BD5DBD" w:rsidRDefault="00324B33" w:rsidP="007452E8">
            <w:pPr>
              <w:rPr>
                <w:i/>
                <w:szCs w:val="22"/>
              </w:rPr>
            </w:pPr>
            <w:r w:rsidRPr="00BD5DBD">
              <w:rPr>
                <w:i/>
                <w:szCs w:val="22"/>
              </w:rPr>
              <w:t>Sponsor’s name and address:</w:t>
            </w:r>
          </w:p>
        </w:tc>
        <w:tc>
          <w:tcPr>
            <w:tcW w:w="3423" w:type="pct"/>
          </w:tcPr>
          <w:p w14:paraId="61971A8A" w14:textId="622C480D" w:rsidR="00563957" w:rsidRPr="00563957" w:rsidRDefault="004108A1" w:rsidP="00563957">
            <w:pPr>
              <w:rPr>
                <w:szCs w:val="22"/>
              </w:rPr>
            </w:pPr>
            <w:bookmarkStart w:id="13" w:name="_Ref227245185"/>
            <w:r w:rsidRPr="004108A1">
              <w:rPr>
                <w:szCs w:val="22"/>
              </w:rPr>
              <w:t>AA-Med Pty Ltd</w:t>
            </w:r>
            <w:bookmarkStart w:id="14" w:name="_Ref227843930"/>
            <w:r w:rsidR="00563957">
              <w:rPr>
                <w:rStyle w:val="FootnoteReference"/>
                <w:szCs w:val="22"/>
              </w:rPr>
              <w:footnoteReference w:id="2"/>
            </w:r>
            <w:bookmarkEnd w:id="13"/>
            <w:bookmarkEnd w:id="14"/>
          </w:p>
          <w:p w14:paraId="1F0AF027" w14:textId="01ABBEDF" w:rsidR="004803D6" w:rsidRDefault="004803D6" w:rsidP="00563957">
            <w:pPr>
              <w:rPr>
                <w:szCs w:val="22"/>
              </w:rPr>
            </w:pPr>
            <w:r w:rsidRPr="004803D6">
              <w:rPr>
                <w:szCs w:val="22"/>
              </w:rPr>
              <w:t>Suite 4, Level 10, 1 Chandos Street</w:t>
            </w:r>
          </w:p>
          <w:p w14:paraId="68DD94B0" w14:textId="44C39A80" w:rsidR="00324B33" w:rsidRPr="00BD5DBD" w:rsidRDefault="004803D6" w:rsidP="00563957">
            <w:pPr>
              <w:rPr>
                <w:szCs w:val="22"/>
              </w:rPr>
            </w:pPr>
            <w:r w:rsidRPr="004803D6">
              <w:rPr>
                <w:szCs w:val="22"/>
              </w:rPr>
              <w:t>St Leonards NSW 2065</w:t>
            </w:r>
          </w:p>
        </w:tc>
      </w:tr>
      <w:tr w:rsidR="00324B33" w:rsidRPr="00BD5DBD" w14:paraId="5322B989" w14:textId="77777777" w:rsidTr="00F865A7">
        <w:tc>
          <w:tcPr>
            <w:tcW w:w="1577" w:type="pct"/>
          </w:tcPr>
          <w:p w14:paraId="24F217E3" w14:textId="2CA8CDFE" w:rsidR="00324B33" w:rsidRPr="00BD5DBD" w:rsidRDefault="00324B33" w:rsidP="007452E8">
            <w:pPr>
              <w:rPr>
                <w:i/>
                <w:szCs w:val="22"/>
              </w:rPr>
            </w:pPr>
            <w:r w:rsidRPr="00BD5DBD">
              <w:rPr>
                <w:i/>
                <w:szCs w:val="22"/>
              </w:rPr>
              <w:t>Dose form:</w:t>
            </w:r>
          </w:p>
        </w:tc>
        <w:tc>
          <w:tcPr>
            <w:tcW w:w="3423" w:type="pct"/>
          </w:tcPr>
          <w:p w14:paraId="768B254C" w14:textId="70ADF559" w:rsidR="00324B33" w:rsidRPr="00BD5DBD" w:rsidRDefault="002E1C9C" w:rsidP="007452E8">
            <w:pPr>
              <w:rPr>
                <w:szCs w:val="22"/>
              </w:rPr>
            </w:pPr>
            <w:r>
              <w:rPr>
                <w:szCs w:val="22"/>
              </w:rPr>
              <w:t>Concentrated injection</w:t>
            </w:r>
          </w:p>
        </w:tc>
      </w:tr>
      <w:tr w:rsidR="00324B33" w:rsidRPr="00BD5DBD" w14:paraId="115243E6" w14:textId="77777777" w:rsidTr="00F865A7">
        <w:tc>
          <w:tcPr>
            <w:tcW w:w="1577" w:type="pct"/>
          </w:tcPr>
          <w:p w14:paraId="7634B062" w14:textId="6EE0E900" w:rsidR="00324B33" w:rsidRPr="00BD5DBD" w:rsidRDefault="00324B33" w:rsidP="007452E8">
            <w:pPr>
              <w:rPr>
                <w:i/>
                <w:szCs w:val="22"/>
              </w:rPr>
            </w:pPr>
            <w:r w:rsidRPr="00BD5DBD">
              <w:rPr>
                <w:i/>
                <w:szCs w:val="22"/>
              </w:rPr>
              <w:t>Strength:</w:t>
            </w:r>
          </w:p>
        </w:tc>
        <w:tc>
          <w:tcPr>
            <w:tcW w:w="3423" w:type="pct"/>
          </w:tcPr>
          <w:p w14:paraId="5E5F83DB" w14:textId="4C29E475" w:rsidR="00324B33" w:rsidRPr="00BD5DBD" w:rsidRDefault="009F4041" w:rsidP="007452E8">
            <w:pPr>
              <w:rPr>
                <w:szCs w:val="22"/>
              </w:rPr>
            </w:pPr>
            <w:r>
              <w:rPr>
                <w:szCs w:val="22"/>
              </w:rPr>
              <w:t>240 mg/6 mL</w:t>
            </w:r>
          </w:p>
        </w:tc>
      </w:tr>
      <w:tr w:rsidR="00324B33" w:rsidRPr="00BD5DBD" w14:paraId="34B07BA6" w14:textId="77777777" w:rsidTr="00F865A7">
        <w:tc>
          <w:tcPr>
            <w:tcW w:w="1577" w:type="pct"/>
          </w:tcPr>
          <w:p w14:paraId="1C039224" w14:textId="14E2EC73" w:rsidR="00324B33" w:rsidRPr="00BD5DBD" w:rsidRDefault="00324B33" w:rsidP="007452E8">
            <w:pPr>
              <w:rPr>
                <w:i/>
                <w:szCs w:val="22"/>
              </w:rPr>
            </w:pPr>
            <w:r w:rsidRPr="00BD5DBD">
              <w:rPr>
                <w:i/>
                <w:szCs w:val="22"/>
              </w:rPr>
              <w:t>Container:</w:t>
            </w:r>
          </w:p>
        </w:tc>
        <w:tc>
          <w:tcPr>
            <w:tcW w:w="3423" w:type="pct"/>
          </w:tcPr>
          <w:p w14:paraId="500A42C6" w14:textId="49EEBE7C" w:rsidR="00324B33" w:rsidRPr="00BD5DBD" w:rsidRDefault="009F4041" w:rsidP="007452E8">
            <w:pPr>
              <w:rPr>
                <w:szCs w:val="22"/>
              </w:rPr>
            </w:pPr>
            <w:r>
              <w:rPr>
                <w:szCs w:val="22"/>
              </w:rPr>
              <w:t>Vial</w:t>
            </w:r>
          </w:p>
        </w:tc>
      </w:tr>
      <w:tr w:rsidR="00324B33" w:rsidRPr="00BD5DBD" w14:paraId="176B6773" w14:textId="77777777" w:rsidTr="00F865A7">
        <w:tc>
          <w:tcPr>
            <w:tcW w:w="1577" w:type="pct"/>
          </w:tcPr>
          <w:p w14:paraId="71846159" w14:textId="4F2CF414" w:rsidR="00324B33" w:rsidRPr="00BD5DBD" w:rsidRDefault="00324B33" w:rsidP="007452E8">
            <w:pPr>
              <w:rPr>
                <w:i/>
                <w:szCs w:val="22"/>
              </w:rPr>
            </w:pPr>
            <w:r w:rsidRPr="00BD5DBD">
              <w:rPr>
                <w:i/>
                <w:szCs w:val="22"/>
              </w:rPr>
              <w:t>Pack size:</w:t>
            </w:r>
          </w:p>
        </w:tc>
        <w:tc>
          <w:tcPr>
            <w:tcW w:w="3423" w:type="pct"/>
          </w:tcPr>
          <w:p w14:paraId="7E978F8F" w14:textId="043B653E" w:rsidR="00324B33" w:rsidRPr="00BD5DBD" w:rsidRDefault="003E1741" w:rsidP="007452E8">
            <w:pPr>
              <w:rPr>
                <w:szCs w:val="22"/>
              </w:rPr>
            </w:pPr>
            <w:r>
              <w:rPr>
                <w:szCs w:val="22"/>
              </w:rPr>
              <w:t>One</w:t>
            </w:r>
          </w:p>
        </w:tc>
      </w:tr>
      <w:tr w:rsidR="00324B33" w:rsidRPr="00BD5DBD" w14:paraId="19A2544A" w14:textId="77777777" w:rsidTr="00F865A7">
        <w:tc>
          <w:tcPr>
            <w:tcW w:w="1577" w:type="pct"/>
          </w:tcPr>
          <w:p w14:paraId="0E6C5C0E" w14:textId="7DB3FC66" w:rsidR="00324B33" w:rsidRPr="00BD5DBD" w:rsidRDefault="00324B33" w:rsidP="007452E8">
            <w:pPr>
              <w:rPr>
                <w:i/>
                <w:szCs w:val="22"/>
              </w:rPr>
            </w:pPr>
            <w:r w:rsidRPr="00BD5DBD">
              <w:rPr>
                <w:i/>
                <w:szCs w:val="22"/>
              </w:rPr>
              <w:t>Approved therapeutic use</w:t>
            </w:r>
            <w:r w:rsidR="00E47E0C" w:rsidRPr="00BD5DBD">
              <w:rPr>
                <w:i/>
                <w:szCs w:val="22"/>
              </w:rPr>
              <w:t xml:space="preserve"> </w:t>
            </w:r>
            <w:r w:rsidR="007B04DE" w:rsidRPr="00BD5DBD">
              <w:rPr>
                <w:i/>
                <w:szCs w:val="22"/>
              </w:rPr>
              <w:t>for the current</w:t>
            </w:r>
            <w:r w:rsidR="00E47E0C" w:rsidRPr="00BD5DBD">
              <w:rPr>
                <w:i/>
                <w:szCs w:val="22"/>
              </w:rPr>
              <w:t xml:space="preserve"> submission</w:t>
            </w:r>
            <w:r w:rsidRPr="00BD5DBD">
              <w:rPr>
                <w:i/>
                <w:szCs w:val="22"/>
              </w:rPr>
              <w:t>:</w:t>
            </w:r>
          </w:p>
        </w:tc>
        <w:tc>
          <w:tcPr>
            <w:tcW w:w="3423" w:type="pct"/>
          </w:tcPr>
          <w:p w14:paraId="47777C00" w14:textId="5C953788" w:rsidR="00D818C0" w:rsidRPr="00D818C0" w:rsidRDefault="004803D6" w:rsidP="00D818C0">
            <w:pPr>
              <w:rPr>
                <w:szCs w:val="22"/>
              </w:rPr>
            </w:pPr>
            <w:r>
              <w:rPr>
                <w:szCs w:val="22"/>
              </w:rPr>
              <w:t>Tuoyi</w:t>
            </w:r>
            <w:r w:rsidR="00D818C0" w:rsidRPr="00D818C0">
              <w:rPr>
                <w:szCs w:val="22"/>
              </w:rPr>
              <w:t xml:space="preserve"> is indicated, in combination with cisplatin and gemcitabine, for the first-line</w:t>
            </w:r>
            <w:r w:rsidR="00D818C0">
              <w:rPr>
                <w:szCs w:val="22"/>
              </w:rPr>
              <w:t xml:space="preserve"> </w:t>
            </w:r>
            <w:r w:rsidR="00D818C0" w:rsidRPr="00D818C0">
              <w:rPr>
                <w:szCs w:val="22"/>
              </w:rPr>
              <w:t>treatment of adults with metastatic or recurrent, locally advanced nasopharyngeal</w:t>
            </w:r>
            <w:r w:rsidR="00D818C0">
              <w:rPr>
                <w:szCs w:val="22"/>
              </w:rPr>
              <w:t xml:space="preserve"> </w:t>
            </w:r>
            <w:r w:rsidR="00D818C0" w:rsidRPr="00D818C0">
              <w:rPr>
                <w:szCs w:val="22"/>
              </w:rPr>
              <w:t>carcinoma (NPC).</w:t>
            </w:r>
          </w:p>
          <w:p w14:paraId="6E143E2E" w14:textId="45EE4B79" w:rsidR="00324B33" w:rsidRPr="00BD5DBD" w:rsidRDefault="004803D6" w:rsidP="00D818C0">
            <w:pPr>
              <w:rPr>
                <w:szCs w:val="22"/>
              </w:rPr>
            </w:pPr>
            <w:r>
              <w:rPr>
                <w:szCs w:val="22"/>
              </w:rPr>
              <w:t>Tuoyi</w:t>
            </w:r>
            <w:r w:rsidR="00D818C0" w:rsidRPr="00D818C0">
              <w:rPr>
                <w:szCs w:val="22"/>
              </w:rPr>
              <w:t xml:space="preserve"> is indicated, as a single agent, for the treatment of adults with recurrent</w:t>
            </w:r>
            <w:r w:rsidR="00D818C0">
              <w:rPr>
                <w:szCs w:val="22"/>
              </w:rPr>
              <w:t xml:space="preserve"> </w:t>
            </w:r>
            <w:r w:rsidR="00D818C0" w:rsidRPr="00D818C0">
              <w:rPr>
                <w:szCs w:val="22"/>
              </w:rPr>
              <w:t>unresectable or metastatic nasopharyngeal carcinoma (NPC) with disease progression</w:t>
            </w:r>
            <w:r w:rsidR="00D818C0">
              <w:rPr>
                <w:szCs w:val="22"/>
              </w:rPr>
              <w:t xml:space="preserve"> </w:t>
            </w:r>
            <w:r w:rsidR="00D818C0" w:rsidRPr="00D818C0">
              <w:rPr>
                <w:szCs w:val="22"/>
              </w:rPr>
              <w:t>on or after a platinum-containing chemotherapy.</w:t>
            </w:r>
          </w:p>
        </w:tc>
      </w:tr>
      <w:tr w:rsidR="00324B33" w:rsidRPr="00BD5DBD" w14:paraId="5AFDEED3" w14:textId="77777777" w:rsidTr="00F865A7">
        <w:tc>
          <w:tcPr>
            <w:tcW w:w="1577" w:type="pct"/>
          </w:tcPr>
          <w:p w14:paraId="03884BD1" w14:textId="11B3B696" w:rsidR="00324B33" w:rsidRPr="00BD5DBD" w:rsidRDefault="00324B33" w:rsidP="007452E8">
            <w:pPr>
              <w:rPr>
                <w:i/>
                <w:szCs w:val="22"/>
              </w:rPr>
            </w:pPr>
            <w:r w:rsidRPr="00BD5DBD">
              <w:rPr>
                <w:i/>
                <w:szCs w:val="22"/>
              </w:rPr>
              <w:t>Route of administration:</w:t>
            </w:r>
          </w:p>
        </w:tc>
        <w:tc>
          <w:tcPr>
            <w:tcW w:w="3423" w:type="pct"/>
          </w:tcPr>
          <w:p w14:paraId="1ED1357E" w14:textId="006D085A" w:rsidR="00324B33" w:rsidRPr="00BD5DBD" w:rsidRDefault="002E1C9C" w:rsidP="007452E8">
            <w:pPr>
              <w:rPr>
                <w:szCs w:val="22"/>
              </w:rPr>
            </w:pPr>
            <w:r>
              <w:rPr>
                <w:szCs w:val="22"/>
              </w:rPr>
              <w:t>Intravenous infusion</w:t>
            </w:r>
          </w:p>
        </w:tc>
      </w:tr>
      <w:tr w:rsidR="00324B33" w:rsidRPr="00BD5DBD" w14:paraId="70D7E9FA" w14:textId="77777777" w:rsidTr="00F865A7">
        <w:tc>
          <w:tcPr>
            <w:tcW w:w="1577" w:type="pct"/>
          </w:tcPr>
          <w:p w14:paraId="5ABFFC80" w14:textId="77777777" w:rsidR="00324B33" w:rsidRPr="00BD5DBD" w:rsidRDefault="00324B33" w:rsidP="007452E8">
            <w:pPr>
              <w:rPr>
                <w:i/>
                <w:szCs w:val="22"/>
              </w:rPr>
            </w:pPr>
            <w:r w:rsidRPr="00BD5DBD">
              <w:rPr>
                <w:i/>
                <w:szCs w:val="22"/>
              </w:rPr>
              <w:t>Dosage:</w:t>
            </w:r>
          </w:p>
        </w:tc>
        <w:tc>
          <w:tcPr>
            <w:tcW w:w="3423" w:type="pct"/>
          </w:tcPr>
          <w:p w14:paraId="19744005" w14:textId="6DADA0A4" w:rsidR="00B57A2C" w:rsidRDefault="00BC55E0" w:rsidP="007452E8">
            <w:pPr>
              <w:rPr>
                <w:szCs w:val="22"/>
              </w:rPr>
            </w:pPr>
            <w:r>
              <w:rPr>
                <w:szCs w:val="22"/>
              </w:rPr>
              <w:t xml:space="preserve">For first </w:t>
            </w:r>
            <w:r w:rsidR="00B57A2C">
              <w:rPr>
                <w:szCs w:val="22"/>
              </w:rPr>
              <w:t xml:space="preserve">line treatment of </w:t>
            </w:r>
            <w:r w:rsidR="000E3D07" w:rsidRPr="00D818C0">
              <w:rPr>
                <w:szCs w:val="22"/>
              </w:rPr>
              <w:t>nasopharyngeal</w:t>
            </w:r>
            <w:r w:rsidR="000E3D07">
              <w:rPr>
                <w:szCs w:val="22"/>
              </w:rPr>
              <w:t xml:space="preserve"> </w:t>
            </w:r>
            <w:r w:rsidR="000E3D07" w:rsidRPr="00D818C0">
              <w:rPr>
                <w:szCs w:val="22"/>
              </w:rPr>
              <w:t>carcinoma</w:t>
            </w:r>
            <w:r w:rsidR="000E3D07">
              <w:rPr>
                <w:szCs w:val="22"/>
              </w:rPr>
              <w:t xml:space="preserve"> </w:t>
            </w:r>
            <w:r w:rsidR="00BE2C54">
              <w:rPr>
                <w:szCs w:val="22"/>
              </w:rPr>
              <w:t>(</w:t>
            </w:r>
            <w:r w:rsidR="00B57A2C">
              <w:rPr>
                <w:szCs w:val="22"/>
              </w:rPr>
              <w:t>NPC</w:t>
            </w:r>
            <w:r w:rsidR="00BE2C54">
              <w:rPr>
                <w:szCs w:val="22"/>
              </w:rPr>
              <w:t>)</w:t>
            </w:r>
            <w:r w:rsidR="00B57A2C">
              <w:rPr>
                <w:szCs w:val="22"/>
              </w:rPr>
              <w:t xml:space="preserve"> the recommended dosage of </w:t>
            </w:r>
            <w:r w:rsidR="004803D6">
              <w:rPr>
                <w:szCs w:val="22"/>
              </w:rPr>
              <w:t>Tuoyi</w:t>
            </w:r>
            <w:r w:rsidR="00B57A2C">
              <w:rPr>
                <w:szCs w:val="22"/>
              </w:rPr>
              <w:t xml:space="preserve"> is 240 mg every three</w:t>
            </w:r>
            <w:r w:rsidR="0041688A">
              <w:rPr>
                <w:szCs w:val="22"/>
              </w:rPr>
              <w:t> </w:t>
            </w:r>
            <w:r w:rsidR="00B57A2C">
              <w:rPr>
                <w:szCs w:val="22"/>
              </w:rPr>
              <w:t xml:space="preserve">weeks until disease </w:t>
            </w:r>
            <w:r w:rsidR="00BE2C54">
              <w:rPr>
                <w:szCs w:val="22"/>
              </w:rPr>
              <w:t>progression</w:t>
            </w:r>
            <w:r w:rsidR="00B57A2C">
              <w:rPr>
                <w:szCs w:val="22"/>
              </w:rPr>
              <w:t>, unacceptable toxicity</w:t>
            </w:r>
            <w:r w:rsidR="0017279D">
              <w:rPr>
                <w:szCs w:val="22"/>
              </w:rPr>
              <w:t>,</w:t>
            </w:r>
            <w:r w:rsidR="00B57A2C">
              <w:rPr>
                <w:szCs w:val="22"/>
              </w:rPr>
              <w:t xml:space="preserve"> or up to 24</w:t>
            </w:r>
            <w:r w:rsidR="0041688A">
              <w:rPr>
                <w:szCs w:val="22"/>
              </w:rPr>
              <w:t> </w:t>
            </w:r>
            <w:r w:rsidR="00B57A2C">
              <w:rPr>
                <w:szCs w:val="22"/>
              </w:rPr>
              <w:t>months.</w:t>
            </w:r>
          </w:p>
          <w:p w14:paraId="4BD4ECF7" w14:textId="10127795" w:rsidR="00666911" w:rsidRDefault="00B57A2C" w:rsidP="007452E8">
            <w:pPr>
              <w:rPr>
                <w:szCs w:val="22"/>
              </w:rPr>
            </w:pPr>
            <w:r>
              <w:rPr>
                <w:szCs w:val="22"/>
              </w:rPr>
              <w:t xml:space="preserve">For treatment of </w:t>
            </w:r>
            <w:r w:rsidR="00C66A68">
              <w:rPr>
                <w:szCs w:val="22"/>
              </w:rPr>
              <w:t xml:space="preserve">recurrent </w:t>
            </w:r>
            <w:r w:rsidR="00BE2C54" w:rsidRPr="00D818C0">
              <w:rPr>
                <w:szCs w:val="22"/>
              </w:rPr>
              <w:t>nasopharyngeal</w:t>
            </w:r>
            <w:r w:rsidR="00BE2C54">
              <w:rPr>
                <w:szCs w:val="22"/>
              </w:rPr>
              <w:t xml:space="preserve"> </w:t>
            </w:r>
            <w:r w:rsidR="00BE2C54" w:rsidRPr="00D818C0">
              <w:rPr>
                <w:szCs w:val="22"/>
              </w:rPr>
              <w:t>carcinoma</w:t>
            </w:r>
            <w:r w:rsidR="00BE2C54">
              <w:rPr>
                <w:szCs w:val="22"/>
              </w:rPr>
              <w:t xml:space="preserve"> (</w:t>
            </w:r>
            <w:r w:rsidR="0017279D">
              <w:rPr>
                <w:szCs w:val="22"/>
              </w:rPr>
              <w:t>NPC</w:t>
            </w:r>
            <w:r w:rsidR="00BE2C54">
              <w:rPr>
                <w:szCs w:val="22"/>
              </w:rPr>
              <w:t>)</w:t>
            </w:r>
            <w:r w:rsidR="0017279D">
              <w:rPr>
                <w:szCs w:val="22"/>
              </w:rPr>
              <w:t>,</w:t>
            </w:r>
            <w:r w:rsidR="00C66A68">
              <w:rPr>
                <w:szCs w:val="22"/>
              </w:rPr>
              <w:t xml:space="preserve"> the recommended </w:t>
            </w:r>
            <w:r w:rsidR="00BE2C54">
              <w:rPr>
                <w:szCs w:val="22"/>
              </w:rPr>
              <w:t>dosage</w:t>
            </w:r>
            <w:r w:rsidR="00C66A68">
              <w:rPr>
                <w:szCs w:val="22"/>
              </w:rPr>
              <w:t xml:space="preserve"> of </w:t>
            </w:r>
            <w:r w:rsidR="004803D6">
              <w:rPr>
                <w:szCs w:val="22"/>
              </w:rPr>
              <w:t>Tuoyi</w:t>
            </w:r>
            <w:r w:rsidR="00C66A68">
              <w:rPr>
                <w:szCs w:val="22"/>
              </w:rPr>
              <w:t xml:space="preserve"> is 3 </w:t>
            </w:r>
            <w:r w:rsidR="0017279D">
              <w:rPr>
                <w:szCs w:val="22"/>
              </w:rPr>
              <w:t>mg/kg every two</w:t>
            </w:r>
            <w:r w:rsidR="0041688A">
              <w:rPr>
                <w:szCs w:val="22"/>
              </w:rPr>
              <w:t> </w:t>
            </w:r>
            <w:r w:rsidR="0017279D">
              <w:rPr>
                <w:szCs w:val="22"/>
              </w:rPr>
              <w:t>weeks until disease progression, unacceptable toxicity, or up to 24</w:t>
            </w:r>
            <w:r w:rsidR="0041688A">
              <w:rPr>
                <w:szCs w:val="22"/>
              </w:rPr>
              <w:t> </w:t>
            </w:r>
            <w:r w:rsidR="0017279D">
              <w:rPr>
                <w:szCs w:val="22"/>
              </w:rPr>
              <w:t>months.</w:t>
            </w:r>
          </w:p>
          <w:p w14:paraId="3D0B2D5C" w14:textId="6E29920D" w:rsidR="00324B33" w:rsidRPr="00BD5DBD" w:rsidRDefault="00324B33" w:rsidP="007452E8">
            <w:pPr>
              <w:rPr>
                <w:szCs w:val="22"/>
              </w:rPr>
            </w:pPr>
            <w:r w:rsidRPr="00BD5DBD">
              <w:rPr>
                <w:szCs w:val="22"/>
              </w:rPr>
              <w:lastRenderedPageBreak/>
              <w:t xml:space="preserve">For further information regarding dosage, </w:t>
            </w:r>
            <w:r w:rsidR="006B7126">
              <w:rPr>
                <w:szCs w:val="22"/>
              </w:rPr>
              <w:t xml:space="preserve">such as dosage modifications to manage adverse reactions, </w:t>
            </w:r>
            <w:r w:rsidRPr="00BD5DBD">
              <w:rPr>
                <w:szCs w:val="22"/>
              </w:rPr>
              <w:t>refer to the Product Information.</w:t>
            </w:r>
          </w:p>
        </w:tc>
      </w:tr>
      <w:tr w:rsidR="0017005C" w:rsidRPr="00BD5DBD" w14:paraId="7B7BB6AE" w14:textId="77777777" w:rsidTr="00F865A7">
        <w:tc>
          <w:tcPr>
            <w:tcW w:w="1577" w:type="pct"/>
          </w:tcPr>
          <w:p w14:paraId="3A76AFF7" w14:textId="7C436DD9" w:rsidR="0017005C" w:rsidRPr="00F8083B" w:rsidRDefault="0070330F" w:rsidP="0017005C">
            <w:r w:rsidRPr="00BD5DBD">
              <w:rPr>
                <w:i/>
                <w:szCs w:val="22"/>
              </w:rPr>
              <w:lastRenderedPageBreak/>
              <w:t>Pregnancy category:</w:t>
            </w:r>
          </w:p>
        </w:tc>
        <w:tc>
          <w:tcPr>
            <w:tcW w:w="3423" w:type="pct"/>
          </w:tcPr>
          <w:p w14:paraId="6D1B8B23" w14:textId="77777777" w:rsidR="00631127" w:rsidRDefault="00631127" w:rsidP="007967C3">
            <w:r>
              <w:t>D</w:t>
            </w:r>
          </w:p>
          <w:p w14:paraId="5D6E9706" w14:textId="0FBCA327" w:rsidR="00000E6E" w:rsidRPr="008A75A2" w:rsidRDefault="008A75A2" w:rsidP="00306E72">
            <w:r w:rsidRPr="008A75A2">
              <w:t>Drugs which have caused, are suspected to have caused or may be expected to cause, an increased incidence of human fetal malformations or irreversible damage. These drugs may also have adverse pharmacological effects. Accompanying texts should be consulted for further details.</w:t>
            </w:r>
          </w:p>
          <w:p w14:paraId="76497789" w14:textId="0A1BA0A4" w:rsidR="0017005C" w:rsidRPr="00BD5DBD" w:rsidRDefault="0070330F" w:rsidP="00306E72">
            <w:pPr>
              <w:rPr>
                <w:szCs w:val="22"/>
              </w:rPr>
            </w:pPr>
            <w:r w:rsidRPr="00BD5DBD">
              <w:rPr>
                <w:szCs w:val="22"/>
              </w:rPr>
              <w:t xml:space="preserve">The use of any medicine during pregnancy requires careful consideration of both risks and benefits by the treating health professional. </w:t>
            </w:r>
            <w:r w:rsidR="00721059">
              <w:rPr>
                <w:szCs w:val="22"/>
              </w:rPr>
              <w:t xml:space="preserve">The </w:t>
            </w:r>
            <w:hyperlink r:id="rId21" w:history="1">
              <w:r w:rsidR="00721059" w:rsidRPr="00065FDF">
                <w:rPr>
                  <w:rStyle w:val="Hyperlink"/>
                  <w:szCs w:val="22"/>
                </w:rPr>
                <w:t>pregnancy database</w:t>
              </w:r>
            </w:hyperlink>
            <w:r w:rsidR="00387984">
              <w:t xml:space="preserve"> </w:t>
            </w:r>
            <w:r w:rsidRPr="00BD5DBD">
              <w:rPr>
                <w:szCs w:val="22"/>
              </w:rPr>
              <w:t xml:space="preserve">must not be used as the sole basis of decision making in the use of medicines during pregnancy. The TGA does not provide advice on the use of medicines in pregnancy for specific cases. More information is available from </w:t>
            </w:r>
            <w:hyperlink r:id="rId22" w:history="1">
              <w:r w:rsidRPr="00C059D0">
                <w:rPr>
                  <w:rStyle w:val="Hyperlink"/>
                  <w:szCs w:val="22"/>
                </w:rPr>
                <w:t>obstetric drug information services</w:t>
              </w:r>
            </w:hyperlink>
            <w:r w:rsidRPr="00BD5DBD">
              <w:rPr>
                <w:szCs w:val="22"/>
              </w:rPr>
              <w:t xml:space="preserve"> in your </w:t>
            </w:r>
            <w:r w:rsidR="00306E72">
              <w:rPr>
                <w:szCs w:val="22"/>
              </w:rPr>
              <w:t>s</w:t>
            </w:r>
            <w:r w:rsidRPr="00BD5DBD">
              <w:rPr>
                <w:szCs w:val="22"/>
              </w:rPr>
              <w:t xml:space="preserve">tate or </w:t>
            </w:r>
            <w:r w:rsidR="00306E72">
              <w:rPr>
                <w:szCs w:val="22"/>
              </w:rPr>
              <w:t>t</w:t>
            </w:r>
            <w:r w:rsidRPr="00BD5DBD">
              <w:rPr>
                <w:szCs w:val="22"/>
              </w:rPr>
              <w:t>erritory.</w:t>
            </w:r>
          </w:p>
        </w:tc>
      </w:tr>
    </w:tbl>
    <w:p w14:paraId="51F2479F" w14:textId="1E34B277" w:rsidR="00324B33" w:rsidRDefault="00324B33" w:rsidP="00324B33">
      <w:pPr>
        <w:pStyle w:val="Heading3"/>
      </w:pPr>
      <w:bookmarkStart w:id="15" w:name="_Toc247691503"/>
      <w:bookmarkStart w:id="16" w:name="_Toc314842484"/>
      <w:bookmarkStart w:id="17" w:name="_Toc103679290"/>
      <w:bookmarkStart w:id="18" w:name="_Toc233974535"/>
      <w:r>
        <w:t>Product background</w:t>
      </w:r>
      <w:bookmarkEnd w:id="15"/>
      <w:bookmarkEnd w:id="16"/>
      <w:bookmarkEnd w:id="17"/>
      <w:bookmarkEnd w:id="18"/>
    </w:p>
    <w:p w14:paraId="59BF31D1" w14:textId="7D976E06" w:rsidR="001500A8" w:rsidRDefault="00324B33" w:rsidP="00065839">
      <w:r w:rsidRPr="00065839">
        <w:t>This AusPAR describes the submission</w:t>
      </w:r>
      <w:r w:rsidR="000D30EA">
        <w:t xml:space="preserve"> by</w:t>
      </w:r>
      <w:r w:rsidR="000D30EA" w:rsidRPr="000D30EA">
        <w:t xml:space="preserve"> AA-Med Pty Ltd</w:t>
      </w:r>
      <w:r w:rsidR="000D30EA">
        <w:t xml:space="preserve"> (the sponsor)</w:t>
      </w:r>
      <w:r w:rsidR="000D30EA">
        <w:fldChar w:fldCharType="begin"/>
      </w:r>
      <w:r w:rsidR="000D30EA">
        <w:instrText xml:space="preserve"> NOTEREF _Ref227843930 \f \h </w:instrText>
      </w:r>
      <w:r w:rsidR="000D30EA">
        <w:fldChar w:fldCharType="separate"/>
      </w:r>
      <w:r w:rsidR="00D82028" w:rsidRPr="00D82028">
        <w:rPr>
          <w:rStyle w:val="FootnoteReference"/>
        </w:rPr>
        <w:t>2</w:t>
      </w:r>
      <w:r w:rsidR="000D30EA">
        <w:fldChar w:fldCharType="end"/>
      </w:r>
      <w:r w:rsidRPr="00065839">
        <w:t xml:space="preserve"> to register</w:t>
      </w:r>
      <w:r w:rsidR="008A2522">
        <w:t xml:space="preserve"> </w:t>
      </w:r>
      <w:r w:rsidR="000D30EA">
        <w:t>Tuoyi</w:t>
      </w:r>
      <w:r w:rsidR="008A2522">
        <w:fldChar w:fldCharType="begin"/>
      </w:r>
      <w:r w:rsidR="008A2522">
        <w:instrText xml:space="preserve"> NOTEREF _Ref227245216 \f \h </w:instrText>
      </w:r>
      <w:r w:rsidR="008A2522">
        <w:fldChar w:fldCharType="separate"/>
      </w:r>
      <w:r w:rsidR="00D82028" w:rsidRPr="00D82028">
        <w:rPr>
          <w:rStyle w:val="FootnoteReference"/>
        </w:rPr>
        <w:t>1</w:t>
      </w:r>
      <w:r w:rsidR="008A2522">
        <w:fldChar w:fldCharType="end"/>
      </w:r>
      <w:r w:rsidRPr="00065839">
        <w:t xml:space="preserve"> (</w:t>
      </w:r>
      <w:proofErr w:type="spellStart"/>
      <w:r w:rsidR="008A2522">
        <w:t>toripalimab</w:t>
      </w:r>
      <w:proofErr w:type="spellEnd"/>
      <w:r w:rsidRPr="00065839">
        <w:t xml:space="preserve">) </w:t>
      </w:r>
      <w:r w:rsidR="000246BE">
        <w:t>240 mg/6 mL</w:t>
      </w:r>
      <w:r w:rsidRPr="00065839">
        <w:t>,</w:t>
      </w:r>
      <w:r w:rsidR="000246BE">
        <w:t xml:space="preserve"> concentrated injection, vial </w:t>
      </w:r>
      <w:r w:rsidRPr="00065839">
        <w:t>for the following proposed indication:</w:t>
      </w:r>
      <w:r w:rsidR="00D63760" w:rsidRPr="00065839">
        <w:rPr>
          <w:vertAlign w:val="superscript"/>
        </w:rPr>
        <w:footnoteReference w:id="3"/>
      </w:r>
    </w:p>
    <w:p w14:paraId="5955D8FB" w14:textId="2882B224" w:rsidR="00E502B3" w:rsidRPr="000D30EA" w:rsidRDefault="00E502B3" w:rsidP="000D30EA">
      <w:pPr>
        <w:ind w:left="720"/>
        <w:rPr>
          <w:i/>
          <w:iCs/>
        </w:rPr>
      </w:pPr>
      <w:r w:rsidRPr="000D30EA">
        <w:rPr>
          <w:i/>
          <w:iCs/>
        </w:rPr>
        <w:t>T</w:t>
      </w:r>
      <w:r w:rsidR="000D30EA">
        <w:rPr>
          <w:i/>
          <w:iCs/>
        </w:rPr>
        <w:t xml:space="preserve">uoyi </w:t>
      </w:r>
      <w:r w:rsidRPr="000D30EA">
        <w:rPr>
          <w:i/>
          <w:iCs/>
        </w:rPr>
        <w:t>is indicated, in combination with cisplatin and gemcitabine, for the first-line treatment of adults with metastatic or with recurrent, locally advanced nasopharyngeal carcinoma (NPC).</w:t>
      </w:r>
    </w:p>
    <w:p w14:paraId="757649CE" w14:textId="54A6EF87" w:rsidR="00322072" w:rsidRPr="000D30EA" w:rsidRDefault="00E502B3" w:rsidP="000D30EA">
      <w:pPr>
        <w:ind w:left="720"/>
        <w:rPr>
          <w:i/>
          <w:iCs/>
        </w:rPr>
      </w:pPr>
      <w:r w:rsidRPr="000D30EA">
        <w:rPr>
          <w:i/>
          <w:iCs/>
        </w:rPr>
        <w:t>T</w:t>
      </w:r>
      <w:r w:rsidR="000D30EA">
        <w:rPr>
          <w:i/>
          <w:iCs/>
        </w:rPr>
        <w:t>uoyi</w:t>
      </w:r>
      <w:r w:rsidRPr="000D30EA">
        <w:rPr>
          <w:i/>
          <w:iCs/>
        </w:rPr>
        <w:t xml:space="preserve"> is indicated, as a single agent, for the treatment of adults with recurrent unresectable or metastatic NPC with disease progression on or after a platinum-containing chemotherapy.</w:t>
      </w:r>
    </w:p>
    <w:p w14:paraId="7886F1C9" w14:textId="3756D878" w:rsidR="00CB6813" w:rsidRPr="001C5C46" w:rsidRDefault="00005DFC" w:rsidP="001C5C46">
      <w:pPr>
        <w:pStyle w:val="Heading4"/>
      </w:pPr>
      <w:bookmarkStart w:id="19" w:name="_Toc233974536"/>
      <w:bookmarkStart w:id="20" w:name="_Toc314842485"/>
      <w:bookmarkStart w:id="21" w:name="_Toc247691504"/>
      <w:r>
        <w:t>D</w:t>
      </w:r>
      <w:r w:rsidR="00CB6813" w:rsidRPr="00C12D65">
        <w:t>isease</w:t>
      </w:r>
      <w:r w:rsidR="006428C5">
        <w:t xml:space="preserve"> or condition</w:t>
      </w:r>
      <w:bookmarkEnd w:id="19"/>
    </w:p>
    <w:p w14:paraId="56745ADC" w14:textId="3470CD3A" w:rsidR="001C5C46" w:rsidRPr="001C5C46" w:rsidRDefault="001C5C46" w:rsidP="00FE6BAA">
      <w:r w:rsidRPr="001C5C46">
        <w:t>There were 133,354 new cases of nasopharyngeal carcinoma (</w:t>
      </w:r>
      <w:r w:rsidRPr="00CD1C6F">
        <w:t>NPC</w:t>
      </w:r>
      <w:r w:rsidRPr="001C5C46">
        <w:t xml:space="preserve">) diagnosed globally in 2020, and approximately 80,000 people died from NPC in 2020. More than 75% of the global cases of NPC develop in South and East Asia. Nasopharyngeal carcinoma is rare in the United </w:t>
      </w:r>
      <w:r w:rsidRPr="00D50610">
        <w:t>States (US)</w:t>
      </w:r>
      <w:r w:rsidRPr="001C5C46">
        <w:t xml:space="preserve"> and Europe (</w:t>
      </w:r>
      <w:r w:rsidR="00E711AA">
        <w:t>EU</w:t>
      </w:r>
      <w:r w:rsidR="00961863">
        <w:t>)</w:t>
      </w:r>
      <w:r w:rsidR="00E711AA">
        <w:t xml:space="preserve"> </w:t>
      </w:r>
      <w:r w:rsidR="00961863">
        <w:t>(</w:t>
      </w:r>
      <w:r w:rsidRPr="001C5C46">
        <w:t>assumed to be similar in Australia) with less than one case for every 100,000 people each year but occurs frequently in Southeast Asia.</w:t>
      </w:r>
    </w:p>
    <w:p w14:paraId="48CE990A" w14:textId="2B4E59A4" w:rsidR="001C5C46" w:rsidRPr="001C5C46" w:rsidRDefault="001C5C46" w:rsidP="00FE6BAA">
      <w:r w:rsidRPr="001C5C46">
        <w:t>The World Health Organization classifies NPC in three major subtypes: non-keratini</w:t>
      </w:r>
      <w:r w:rsidR="00C518E7">
        <w:t>s</w:t>
      </w:r>
      <w:r w:rsidRPr="001C5C46">
        <w:t>ing undifferentiated, non-keratini</w:t>
      </w:r>
      <w:r w:rsidR="00C518E7">
        <w:t>s</w:t>
      </w:r>
      <w:r w:rsidRPr="001C5C46">
        <w:t>ing differentiated, and keratini</w:t>
      </w:r>
      <w:r w:rsidR="00C518E7">
        <w:t>s</w:t>
      </w:r>
      <w:r w:rsidRPr="001C5C46">
        <w:t>ing squamous cell carcinoma. While the non-keratini</w:t>
      </w:r>
      <w:r w:rsidR="00C518E7">
        <w:t>s</w:t>
      </w:r>
      <w:r w:rsidRPr="001C5C46">
        <w:t>ing undifferentiated subtype of NPC is the predominant subtype in both Southern China (95%) and the US (63%), the keratini</w:t>
      </w:r>
      <w:r w:rsidR="00C518E7">
        <w:t>s</w:t>
      </w:r>
      <w:r w:rsidRPr="001C5C46">
        <w:t>ing subtype of NPC is uncommon in Southern China (2%) relative to the US (25%).</w:t>
      </w:r>
    </w:p>
    <w:p w14:paraId="1F2D803F" w14:textId="40CF6613" w:rsidR="001C5C46" w:rsidRPr="001C5C46" w:rsidRDefault="001C5C46" w:rsidP="00FE6BAA">
      <w:r w:rsidRPr="001C5C46">
        <w:t>The prognosis is poor for patients with locally recurrent, unresectable, or metastatic NPC, characteri</w:t>
      </w:r>
      <w:r w:rsidR="0069414B">
        <w:t>s</w:t>
      </w:r>
      <w:r w:rsidRPr="001C5C46">
        <w:t>ed by a median overall su</w:t>
      </w:r>
      <w:r w:rsidRPr="007864DA">
        <w:t>rvival (OS) of</w:t>
      </w:r>
      <w:r w:rsidRPr="001C5C46">
        <w:t xml:space="preserve"> 21 to 29 months.</w:t>
      </w:r>
    </w:p>
    <w:p w14:paraId="255E083A" w14:textId="77777777" w:rsidR="00CB6813" w:rsidRDefault="00CB6813" w:rsidP="00CB6813">
      <w:pPr>
        <w:pStyle w:val="Heading4"/>
      </w:pPr>
      <w:bookmarkStart w:id="22" w:name="_Toc233974537"/>
      <w:r>
        <w:lastRenderedPageBreak/>
        <w:t>Current treatment options</w:t>
      </w:r>
      <w:bookmarkEnd w:id="22"/>
    </w:p>
    <w:p w14:paraId="13BA6217" w14:textId="0388FF3E" w:rsidR="00C40AFC" w:rsidRPr="00C40AFC" w:rsidRDefault="00C40AFC" w:rsidP="00FE6BAA">
      <w:r w:rsidRPr="00C40AFC">
        <w:t>There are no therapies specifically approved by the TGA for the treatment of NPC as either first or later line treatment. Standard of care first-line treatment consists of cisplatin plus gemcitabine, which has demonstrated a median progression</w:t>
      </w:r>
      <w:r w:rsidR="00F67BE1">
        <w:t xml:space="preserve"> </w:t>
      </w:r>
      <w:r w:rsidRPr="00C40AFC">
        <w:t xml:space="preserve">free </w:t>
      </w:r>
      <w:r w:rsidRPr="009E10D7">
        <w:t>survival (PFS)</w:t>
      </w:r>
      <w:r w:rsidRPr="00C40AFC">
        <w:t xml:space="preserve"> of 7.0 months and a median OS of 29.1 months. There is no well-established standard of care for the treatment of NPC with progression on or after platinum-based chemotherapy; usual treatment is primarily with single agent regimens with clinical data based only on small, single arm trials.</w:t>
      </w:r>
    </w:p>
    <w:p w14:paraId="617EE1E0" w14:textId="3D5934BD" w:rsidR="00C309A7" w:rsidRPr="00F36ABE" w:rsidRDefault="00C40AFC" w:rsidP="00F36ABE">
      <w:r w:rsidRPr="00F36ABE">
        <w:t xml:space="preserve">Given the limited treatment options and poor prognosis, the treatment of recurrent, </w:t>
      </w:r>
      <w:r w:rsidR="00F36ABE" w:rsidRPr="00F36ABE">
        <w:t>unresectable and metastatic NPC represents an unmet medical need.</w:t>
      </w:r>
    </w:p>
    <w:p w14:paraId="37C47E09" w14:textId="14D3762D" w:rsidR="00CB6813" w:rsidRDefault="00CB6813" w:rsidP="00CB6813">
      <w:pPr>
        <w:pStyle w:val="Heading4"/>
      </w:pPr>
      <w:bookmarkStart w:id="23" w:name="_Toc233974538"/>
      <w:r>
        <w:t>C</w:t>
      </w:r>
      <w:r w:rsidRPr="00DE1344">
        <w:t>linical rational</w:t>
      </w:r>
      <w:r w:rsidR="0025785B">
        <w:t>e</w:t>
      </w:r>
      <w:bookmarkEnd w:id="23"/>
    </w:p>
    <w:p w14:paraId="3051D74C" w14:textId="591A6151" w:rsidR="00DD278C" w:rsidRPr="00DD278C" w:rsidRDefault="00A96887" w:rsidP="00DD278C">
      <w:proofErr w:type="spellStart"/>
      <w:r w:rsidRPr="00A96887">
        <w:t>Toripalimab</w:t>
      </w:r>
      <w:proofErr w:type="spellEnd"/>
      <w:r w:rsidRPr="00A96887">
        <w:t xml:space="preserve"> is a humanised</w:t>
      </w:r>
      <w:r w:rsidR="00696660">
        <w:t xml:space="preserve"> immunoglobulin </w:t>
      </w:r>
      <w:r w:rsidRPr="00A96887">
        <w:t xml:space="preserve">G4 monoclonal antibody that binds to the </w:t>
      </w:r>
      <w:r w:rsidR="000E3FF7">
        <w:t xml:space="preserve">programmed </w:t>
      </w:r>
      <w:r w:rsidR="000E3FF7" w:rsidRPr="00704BCB">
        <w:t>death receptor 1 (</w:t>
      </w:r>
      <w:r w:rsidRPr="00704BCB">
        <w:t>PD-1</w:t>
      </w:r>
      <w:r w:rsidR="000E3FF7" w:rsidRPr="00704BCB">
        <w:t>)</w:t>
      </w:r>
      <w:r w:rsidRPr="00704BCB">
        <w:t xml:space="preserve"> receptor and blocks its interaction with</w:t>
      </w:r>
      <w:r w:rsidR="007923DC" w:rsidRPr="00704BCB">
        <w:t xml:space="preserve"> programmed death ligand 1</w:t>
      </w:r>
      <w:r w:rsidRPr="00704BCB">
        <w:t xml:space="preserve"> </w:t>
      </w:r>
      <w:r w:rsidR="007923DC" w:rsidRPr="00704BCB">
        <w:t>(</w:t>
      </w:r>
      <w:r w:rsidRPr="00704BCB">
        <w:t>PD-L1</w:t>
      </w:r>
      <w:r w:rsidR="007923DC" w:rsidRPr="00704BCB">
        <w:t>)</w:t>
      </w:r>
      <w:r w:rsidRPr="00704BCB">
        <w:t xml:space="preserve"> and </w:t>
      </w:r>
      <w:r w:rsidR="007923DC" w:rsidRPr="00704BCB">
        <w:t>programmed death ligand 2 (</w:t>
      </w:r>
      <w:r w:rsidRPr="00704BCB">
        <w:t>PD-L2</w:t>
      </w:r>
      <w:r w:rsidR="007923DC" w:rsidRPr="00704BCB">
        <w:t>)</w:t>
      </w:r>
      <w:r w:rsidRPr="00704BCB">
        <w:t>, releasing</w:t>
      </w:r>
      <w:r w:rsidRPr="00A96887">
        <w:t xml:space="preserve"> PD-1 pathway mediated inhibition of the immune response, including the anti-tumour immune response. </w:t>
      </w:r>
      <w:r w:rsidR="002F3FF9" w:rsidRPr="00A96887">
        <w:t>Binding of the PD-1 ligands, PD-L1 and PD-L2, to the PD-1 receptor found on T</w:t>
      </w:r>
      <w:r w:rsidR="00170A63">
        <w:t> </w:t>
      </w:r>
      <w:r w:rsidR="002F3FF9" w:rsidRPr="00A96887">
        <w:t>cells, inhibits T</w:t>
      </w:r>
      <w:r w:rsidR="00170A63">
        <w:t> </w:t>
      </w:r>
      <w:r w:rsidR="002F3FF9" w:rsidRPr="00A96887">
        <w:t>cell proliferation and cytokine production. Upregulation of PD-1 ligands occurs in some tumours and signalling through this pathway can contribute to inhibition of active T</w:t>
      </w:r>
      <w:r w:rsidR="00BB4EC0">
        <w:t> </w:t>
      </w:r>
      <w:r w:rsidR="002F3FF9" w:rsidRPr="00A96887">
        <w:t xml:space="preserve">cell immune surveillance of tumours. </w:t>
      </w:r>
      <w:r w:rsidR="002F3FF9">
        <w:t>I</w:t>
      </w:r>
      <w:r w:rsidRPr="00A96887">
        <w:t>n syngeneic mouse tumour models, blocking PD-1 activity resulted in decreased tumour growth.</w:t>
      </w:r>
    </w:p>
    <w:p w14:paraId="0D615854" w14:textId="77777777" w:rsidR="00324B33" w:rsidRPr="003F31A2" w:rsidRDefault="00324B33" w:rsidP="00324B33">
      <w:pPr>
        <w:pStyle w:val="Heading3"/>
      </w:pPr>
      <w:bookmarkStart w:id="24" w:name="_Toc103679291"/>
      <w:bookmarkStart w:id="25" w:name="_Toc233974539"/>
      <w:r>
        <w:t>Regulatory status</w:t>
      </w:r>
      <w:bookmarkEnd w:id="20"/>
      <w:bookmarkEnd w:id="21"/>
      <w:bookmarkEnd w:id="24"/>
      <w:bookmarkEnd w:id="25"/>
    </w:p>
    <w:p w14:paraId="72C889D6" w14:textId="7E200950" w:rsidR="0017005C" w:rsidRPr="00BD5DBD" w:rsidRDefault="0017005C" w:rsidP="00741AB9">
      <w:pPr>
        <w:pStyle w:val="Heading4"/>
      </w:pPr>
      <w:bookmarkStart w:id="26" w:name="_Toc233974540"/>
      <w:r w:rsidRPr="00BD5DBD">
        <w:t>Australian regulatory</w:t>
      </w:r>
      <w:r>
        <w:t xml:space="preserve"> sta</w:t>
      </w:r>
      <w:r w:rsidR="0025785B">
        <w:t>t</w:t>
      </w:r>
      <w:r>
        <w:t>us</w:t>
      </w:r>
      <w:bookmarkEnd w:id="26"/>
    </w:p>
    <w:p w14:paraId="6A8633FA" w14:textId="278CBB83" w:rsidR="00324B33" w:rsidRDefault="00324B33" w:rsidP="00324B33">
      <w:pPr>
        <w:rPr>
          <w:szCs w:val="22"/>
        </w:rPr>
      </w:pPr>
      <w:r w:rsidRPr="00BD5DBD">
        <w:rPr>
          <w:szCs w:val="22"/>
        </w:rPr>
        <w:t xml:space="preserve">This product is considered a </w:t>
      </w:r>
      <w:r w:rsidR="008C754C" w:rsidRPr="00BD5DBD">
        <w:rPr>
          <w:szCs w:val="22"/>
        </w:rPr>
        <w:t xml:space="preserve">new </w:t>
      </w:r>
      <w:r w:rsidRPr="00BD5DBD">
        <w:rPr>
          <w:szCs w:val="22"/>
        </w:rPr>
        <w:t>biological entity for Australian regulatory purposes.</w:t>
      </w:r>
    </w:p>
    <w:p w14:paraId="546C1031" w14:textId="4EF98FA1" w:rsidR="0017005C" w:rsidRDefault="00131B1B" w:rsidP="0017005C">
      <w:pPr>
        <w:pStyle w:val="Heading4"/>
      </w:pPr>
      <w:bookmarkStart w:id="27" w:name="_Toc233974541"/>
      <w:r>
        <w:t xml:space="preserve">International </w:t>
      </w:r>
      <w:r w:rsidR="0017005C" w:rsidRPr="00BD5DBD">
        <w:t>regulatory</w:t>
      </w:r>
      <w:r w:rsidR="0017005C">
        <w:t xml:space="preserve"> status</w:t>
      </w:r>
      <w:bookmarkEnd w:id="27"/>
    </w:p>
    <w:p w14:paraId="48CDFF4E" w14:textId="768D4E32" w:rsidR="00C133AB" w:rsidRDefault="00C133AB" w:rsidP="00C133AB">
      <w:pPr>
        <w:rPr>
          <w:szCs w:val="22"/>
        </w:rPr>
      </w:pPr>
      <w:r w:rsidRPr="00BD5DBD">
        <w:rPr>
          <w:szCs w:val="22"/>
        </w:rPr>
        <w:t xml:space="preserve">This evaluation was facilitated through </w:t>
      </w:r>
      <w:hyperlink r:id="rId23" w:history="1">
        <w:r w:rsidRPr="00BD5DBD">
          <w:rPr>
            <w:rStyle w:val="Hyperlink"/>
            <w:szCs w:val="22"/>
          </w:rPr>
          <w:t>Pro</w:t>
        </w:r>
        <w:r w:rsidRPr="00BD5DBD">
          <w:rPr>
            <w:rStyle w:val="Hyperlink"/>
            <w:szCs w:val="22"/>
          </w:rPr>
          <w:t>ject Orbis</w:t>
        </w:r>
      </w:hyperlink>
      <w:r w:rsidRPr="00BD5DBD">
        <w:rPr>
          <w:szCs w:val="22"/>
        </w:rPr>
        <w:t xml:space="preserve">, an initiative of the United States Food and Drug Administration (FDA) Oncology </w:t>
      </w:r>
      <w:proofErr w:type="spellStart"/>
      <w:r w:rsidRPr="00BD5DBD">
        <w:rPr>
          <w:szCs w:val="22"/>
        </w:rPr>
        <w:t>Center</w:t>
      </w:r>
      <w:proofErr w:type="spellEnd"/>
      <w:r w:rsidRPr="00BD5DBD">
        <w:rPr>
          <w:szCs w:val="22"/>
        </w:rPr>
        <w:t xml:space="preserve"> of Excellence. Under this project, the </w:t>
      </w:r>
      <w:r w:rsidRPr="00774789">
        <w:t xml:space="preserve">FDA, Health Canada, National Health Surveillance Agency (Brazil), Ministry of Health (Israel), Health Sciences Authority (Singapore), </w:t>
      </w:r>
      <w:proofErr w:type="spellStart"/>
      <w:r w:rsidRPr="00774789">
        <w:t>Swissmedic</w:t>
      </w:r>
      <w:proofErr w:type="spellEnd"/>
      <w:r w:rsidRPr="00774789">
        <w:t xml:space="preserve"> (Switzerland), Medicines and Healthcare products Regulatory Agency (United Kingdom)</w:t>
      </w:r>
      <w:r w:rsidR="00B5141B">
        <w:t xml:space="preserve"> </w:t>
      </w:r>
      <w:r w:rsidRPr="00BD5DBD">
        <w:rPr>
          <w:szCs w:val="22"/>
        </w:rPr>
        <w:t>and the TGA collaboratively reviewed the submission. This evaluation process provided a framework for process alignment and management of evaluation issues in real-time across jurisdictions. Each regulator made independent decisions regarding approval (market authorisation) of the new medicine.</w:t>
      </w:r>
    </w:p>
    <w:p w14:paraId="7FDF4A0B" w14:textId="0A4B52DF" w:rsidR="008F4A62" w:rsidRPr="0017005C" w:rsidRDefault="008F4A62" w:rsidP="008F4A62">
      <w:r w:rsidRPr="00BD5DBD">
        <w:rPr>
          <w:szCs w:val="22"/>
        </w:rPr>
        <w:t xml:space="preserve">At the time the TGA considered this submission, a similar submission had been </w:t>
      </w:r>
      <w:r>
        <w:rPr>
          <w:szCs w:val="22"/>
        </w:rPr>
        <w:t xml:space="preserve">considered by other regulatory agencies. </w:t>
      </w:r>
      <w:r w:rsidRPr="00BD5DBD">
        <w:rPr>
          <w:szCs w:val="22"/>
        </w:rPr>
        <w:t>The following table summarises these submissions and provides the indications where approved.</w:t>
      </w:r>
    </w:p>
    <w:p w14:paraId="19B9E0AC" w14:textId="3B5A68DD" w:rsidR="00324B33" w:rsidRDefault="00324B33" w:rsidP="00324B33">
      <w:pPr>
        <w:pStyle w:val="TableTitle"/>
      </w:pPr>
      <w:bookmarkStart w:id="28" w:name="_Ref99705479"/>
      <w:r>
        <w:lastRenderedPageBreak/>
        <w:t xml:space="preserve">Table </w:t>
      </w:r>
      <w:fldSimple w:instr=" SEQ Table \* ARABIC ">
        <w:r w:rsidR="00D82028">
          <w:rPr>
            <w:noProof/>
          </w:rPr>
          <w:t>1</w:t>
        </w:r>
      </w:fldSimple>
      <w:bookmarkEnd w:id="28"/>
      <w:r>
        <w:t>: International regulatory status</w:t>
      </w:r>
    </w:p>
    <w:tbl>
      <w:tblPr>
        <w:tblStyle w:val="TableTGAblue2023"/>
        <w:tblW w:w="5000" w:type="pct"/>
        <w:tblLook w:val="04A0" w:firstRow="1" w:lastRow="0" w:firstColumn="1" w:lastColumn="0" w:noHBand="0" w:noVBand="1"/>
      </w:tblPr>
      <w:tblGrid>
        <w:gridCol w:w="1660"/>
        <w:gridCol w:w="2144"/>
        <w:gridCol w:w="2180"/>
        <w:gridCol w:w="3076"/>
      </w:tblGrid>
      <w:tr w:rsidR="00BF07D9" w:rsidRPr="00D01DDB" w14:paraId="405E5D78" w14:textId="16839333" w:rsidTr="007F1D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pct"/>
          </w:tcPr>
          <w:p w14:paraId="185B099B" w14:textId="7A4C0E6C" w:rsidR="00324B33" w:rsidRPr="00D01DDB" w:rsidRDefault="00324B33" w:rsidP="00324B33">
            <w:pPr>
              <w:rPr>
                <w:szCs w:val="22"/>
              </w:rPr>
            </w:pPr>
            <w:r w:rsidRPr="00D01DDB">
              <w:rPr>
                <w:szCs w:val="22"/>
              </w:rPr>
              <w:t>Region</w:t>
            </w:r>
          </w:p>
        </w:tc>
        <w:tc>
          <w:tcPr>
            <w:tcW w:w="1183" w:type="pct"/>
          </w:tcPr>
          <w:p w14:paraId="778C35C7" w14:textId="52D23C85"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Submission date</w:t>
            </w:r>
          </w:p>
        </w:tc>
        <w:tc>
          <w:tcPr>
            <w:tcW w:w="1118" w:type="pct"/>
          </w:tcPr>
          <w:p w14:paraId="58F81584" w14:textId="1D537B3F"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Status</w:t>
            </w:r>
          </w:p>
        </w:tc>
        <w:tc>
          <w:tcPr>
            <w:tcW w:w="1740" w:type="pct"/>
          </w:tcPr>
          <w:p w14:paraId="50B2D435" w14:textId="560588D2"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Approved indications</w:t>
            </w:r>
          </w:p>
        </w:tc>
      </w:tr>
      <w:tr w:rsidR="00BF07D9" w:rsidRPr="00D01DDB" w14:paraId="38D24E86" w14:textId="77777777" w:rsidTr="007F1DB1">
        <w:tc>
          <w:tcPr>
            <w:cnfStyle w:val="001000000000" w:firstRow="0" w:lastRow="0" w:firstColumn="1" w:lastColumn="0" w:oddVBand="0" w:evenVBand="0" w:oddHBand="0" w:evenHBand="0" w:firstRowFirstColumn="0" w:firstRowLastColumn="0" w:lastRowFirstColumn="0" w:lastRowLastColumn="0"/>
            <w:tcW w:w="959" w:type="pct"/>
          </w:tcPr>
          <w:p w14:paraId="4C540DE5" w14:textId="77A91AC4" w:rsidR="00324B33" w:rsidRPr="00F54F98" w:rsidRDefault="00E9296C" w:rsidP="00324B33">
            <w:pPr>
              <w:rPr>
                <w:rFonts w:cstheme="minorHAnsi"/>
                <w:szCs w:val="22"/>
              </w:rPr>
            </w:pPr>
            <w:r w:rsidRPr="00F54F98">
              <w:rPr>
                <w:rFonts w:cstheme="minorHAnsi"/>
                <w:szCs w:val="22"/>
              </w:rPr>
              <w:t>European Union</w:t>
            </w:r>
          </w:p>
        </w:tc>
        <w:tc>
          <w:tcPr>
            <w:tcW w:w="1183" w:type="pct"/>
          </w:tcPr>
          <w:p w14:paraId="4FA5DDA9" w14:textId="2864B711" w:rsidR="00324B33" w:rsidRPr="00F54F98" w:rsidRDefault="00920924" w:rsidP="00324B33">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14 </w:t>
            </w:r>
            <w:r w:rsidR="00056F45" w:rsidRPr="00F54F98">
              <w:rPr>
                <w:rFonts w:cstheme="minorHAnsi"/>
                <w:szCs w:val="22"/>
              </w:rPr>
              <w:t>November 202</w:t>
            </w:r>
            <w:r w:rsidR="00A049C1" w:rsidRPr="00F54F98">
              <w:rPr>
                <w:rFonts w:cstheme="minorHAnsi"/>
                <w:szCs w:val="22"/>
              </w:rPr>
              <w:t>2</w:t>
            </w:r>
          </w:p>
        </w:tc>
        <w:tc>
          <w:tcPr>
            <w:tcW w:w="1118" w:type="pct"/>
          </w:tcPr>
          <w:p w14:paraId="29358393" w14:textId="625A397D" w:rsidR="00324B33" w:rsidRPr="00F54F98" w:rsidRDefault="00056F45" w:rsidP="00324B33">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 xml:space="preserve">Approved on </w:t>
            </w:r>
            <w:r w:rsidR="00920924" w:rsidRPr="00F54F98">
              <w:rPr>
                <w:rFonts w:cstheme="minorHAnsi"/>
                <w:szCs w:val="22"/>
              </w:rPr>
              <w:t>25 </w:t>
            </w:r>
            <w:r w:rsidRPr="00F54F98">
              <w:rPr>
                <w:rFonts w:cstheme="minorHAnsi"/>
                <w:szCs w:val="22"/>
              </w:rPr>
              <w:t>July 2024</w:t>
            </w:r>
          </w:p>
        </w:tc>
        <w:tc>
          <w:tcPr>
            <w:tcW w:w="1740" w:type="pct"/>
          </w:tcPr>
          <w:p w14:paraId="7A86AA50" w14:textId="42F63038" w:rsidR="0014264C" w:rsidRPr="00F54F98" w:rsidRDefault="0014264C" w:rsidP="0014264C">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Loqtorzi, in combination with cisplatin and gemcitabine, is indicated for the first-line treatment of adult patients with metastatic or recurrent, locally advanced nasopharyngeal carcinoma.</w:t>
            </w:r>
          </w:p>
          <w:p w14:paraId="05055674" w14:textId="14113EB9" w:rsidR="00324B33" w:rsidRPr="00F54F98" w:rsidRDefault="0014264C" w:rsidP="0014264C">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Loqtorzi, in combination with platinum-based chemotherapy, is indicated for the first-line treatment of adult patients with recurrent or metastatic oesophageal squamous cell carcinoma.</w:t>
            </w:r>
          </w:p>
        </w:tc>
      </w:tr>
      <w:tr w:rsidR="00BF07D9" w:rsidRPr="00D01DDB" w14:paraId="18B6E2AA" w14:textId="7783D66F" w:rsidTr="007F1DB1">
        <w:tc>
          <w:tcPr>
            <w:cnfStyle w:val="001000000000" w:firstRow="0" w:lastRow="0" w:firstColumn="1" w:lastColumn="0" w:oddVBand="0" w:evenVBand="0" w:oddHBand="0" w:evenHBand="0" w:firstRowFirstColumn="0" w:firstRowLastColumn="0" w:lastRowFirstColumn="0" w:lastRowLastColumn="0"/>
            <w:tcW w:w="959" w:type="pct"/>
          </w:tcPr>
          <w:p w14:paraId="7F348960" w14:textId="0ED2FDA7" w:rsidR="00324B33" w:rsidRPr="00F54F98" w:rsidRDefault="00E9296C" w:rsidP="00324B33">
            <w:pPr>
              <w:rPr>
                <w:rFonts w:cstheme="minorHAnsi"/>
                <w:szCs w:val="22"/>
              </w:rPr>
            </w:pPr>
            <w:r w:rsidRPr="00F54F98">
              <w:rPr>
                <w:rFonts w:cstheme="minorHAnsi"/>
                <w:szCs w:val="22"/>
              </w:rPr>
              <w:t>United States of America</w:t>
            </w:r>
          </w:p>
        </w:tc>
        <w:tc>
          <w:tcPr>
            <w:tcW w:w="1183" w:type="pct"/>
          </w:tcPr>
          <w:p w14:paraId="1D871E57" w14:textId="26A41BD9" w:rsidR="00324B33" w:rsidRPr="00F54F98" w:rsidRDefault="00920924" w:rsidP="00324B33">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23 </w:t>
            </w:r>
            <w:r w:rsidR="00EF4BF4" w:rsidRPr="00F54F98">
              <w:rPr>
                <w:rFonts w:cstheme="minorHAnsi"/>
                <w:szCs w:val="22"/>
              </w:rPr>
              <w:t>June 2022</w:t>
            </w:r>
          </w:p>
        </w:tc>
        <w:tc>
          <w:tcPr>
            <w:tcW w:w="1118" w:type="pct"/>
          </w:tcPr>
          <w:p w14:paraId="63A3A9D3" w14:textId="10E3421D" w:rsidR="00324B33" w:rsidRPr="00F54F98" w:rsidRDefault="00EF4BF4" w:rsidP="00324B33">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 xml:space="preserve">Approved on </w:t>
            </w:r>
            <w:r w:rsidR="00920924" w:rsidRPr="00F54F98">
              <w:rPr>
                <w:rFonts w:cstheme="minorHAnsi"/>
                <w:szCs w:val="22"/>
              </w:rPr>
              <w:t>27 </w:t>
            </w:r>
            <w:r w:rsidRPr="00F54F98">
              <w:rPr>
                <w:rFonts w:cstheme="minorHAnsi"/>
                <w:szCs w:val="22"/>
              </w:rPr>
              <w:t>October</w:t>
            </w:r>
            <w:r w:rsidR="00920924" w:rsidRPr="00F54F98">
              <w:rPr>
                <w:rFonts w:cstheme="minorHAnsi"/>
                <w:szCs w:val="22"/>
              </w:rPr>
              <w:t> </w:t>
            </w:r>
            <w:r w:rsidRPr="00F54F98">
              <w:rPr>
                <w:rFonts w:cstheme="minorHAnsi"/>
                <w:szCs w:val="22"/>
              </w:rPr>
              <w:t>2023</w:t>
            </w:r>
          </w:p>
        </w:tc>
        <w:tc>
          <w:tcPr>
            <w:tcW w:w="1740" w:type="pct"/>
          </w:tcPr>
          <w:p w14:paraId="5D862524" w14:textId="47C12AB3" w:rsidR="00EF4BF4" w:rsidRPr="00F54F98" w:rsidRDefault="00EF4BF4" w:rsidP="00EF4BF4">
            <w:pPr>
              <w:ind w:left="0"/>
              <w:cnfStyle w:val="000000000000" w:firstRow="0" w:lastRow="0" w:firstColumn="0" w:lastColumn="0" w:oddVBand="0" w:evenVBand="0" w:oddHBand="0" w:evenHBand="0" w:firstRowFirstColumn="0" w:firstRowLastColumn="0" w:lastRowFirstColumn="0" w:lastRowLastColumn="0"/>
              <w:rPr>
                <w:rFonts w:cstheme="minorHAnsi"/>
                <w:i/>
                <w:iCs/>
                <w:szCs w:val="22"/>
              </w:rPr>
            </w:pPr>
            <w:proofErr w:type="spellStart"/>
            <w:r w:rsidRPr="00F54F98">
              <w:rPr>
                <w:rFonts w:cstheme="minorHAnsi"/>
                <w:i/>
                <w:iCs/>
                <w:szCs w:val="22"/>
              </w:rPr>
              <w:t>Loqtorzi</w:t>
            </w:r>
            <w:proofErr w:type="spellEnd"/>
            <w:r w:rsidRPr="00F54F98">
              <w:rPr>
                <w:rFonts w:cstheme="minorHAnsi"/>
                <w:i/>
                <w:iCs/>
                <w:szCs w:val="22"/>
              </w:rPr>
              <w:t xml:space="preserve"> is indicated:</w:t>
            </w:r>
          </w:p>
          <w:p w14:paraId="7E4BC545" w14:textId="77777777" w:rsidR="00EF4BF4" w:rsidRPr="00F54F98" w:rsidRDefault="00EF4BF4" w:rsidP="00EF4BF4">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 in combination with cisplatin and gemcitabine, for first-line treatment of adults with metastatic or recurrent, locally advanced nasopharyngeal carcinoma (NPC).</w:t>
            </w:r>
          </w:p>
          <w:p w14:paraId="17C650B8" w14:textId="3BDBD730" w:rsidR="00324B33" w:rsidRPr="00F54F98" w:rsidRDefault="00EF4BF4" w:rsidP="00EF4BF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i/>
                <w:iCs/>
                <w:szCs w:val="22"/>
              </w:rPr>
              <w:t>• as a single agent for the treatment of adults with recurrent unresectable or metastatic NPC with disease progression on or after a platinum-containing chemotherapy.</w:t>
            </w:r>
          </w:p>
        </w:tc>
      </w:tr>
      <w:tr w:rsidR="007B78BF" w:rsidRPr="00D01DDB" w14:paraId="0BE0735E" w14:textId="77777777" w:rsidTr="007F1DB1">
        <w:tc>
          <w:tcPr>
            <w:cnfStyle w:val="001000000000" w:firstRow="0" w:lastRow="0" w:firstColumn="1" w:lastColumn="0" w:oddVBand="0" w:evenVBand="0" w:oddHBand="0" w:evenHBand="0" w:firstRowFirstColumn="0" w:firstRowLastColumn="0" w:lastRowFirstColumn="0" w:lastRowLastColumn="0"/>
            <w:tcW w:w="959" w:type="pct"/>
          </w:tcPr>
          <w:p w14:paraId="098E8CC6" w14:textId="6B0D9581" w:rsidR="007B78BF" w:rsidRPr="00F54F98" w:rsidRDefault="007B78BF" w:rsidP="007B78BF">
            <w:pPr>
              <w:rPr>
                <w:rFonts w:cstheme="minorHAnsi"/>
                <w:szCs w:val="22"/>
              </w:rPr>
            </w:pPr>
            <w:r w:rsidRPr="00F54F98">
              <w:rPr>
                <w:rFonts w:cstheme="minorHAnsi"/>
                <w:szCs w:val="22"/>
              </w:rPr>
              <w:t>United Kingdom</w:t>
            </w:r>
          </w:p>
        </w:tc>
        <w:tc>
          <w:tcPr>
            <w:tcW w:w="1183" w:type="pct"/>
          </w:tcPr>
          <w:p w14:paraId="3CBB3AE2" w14:textId="27AF1078" w:rsidR="007B78BF" w:rsidRPr="00F54F98" w:rsidRDefault="00920924" w:rsidP="007B78BF">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21 </w:t>
            </w:r>
            <w:r w:rsidR="007B78BF" w:rsidRPr="00F54F98">
              <w:rPr>
                <w:rFonts w:cstheme="minorHAnsi"/>
                <w:szCs w:val="22"/>
              </w:rPr>
              <w:t>November 2022</w:t>
            </w:r>
          </w:p>
        </w:tc>
        <w:tc>
          <w:tcPr>
            <w:tcW w:w="1118" w:type="pct"/>
          </w:tcPr>
          <w:p w14:paraId="75CEB75B" w14:textId="7F807051" w:rsidR="007B78BF" w:rsidRPr="00F54F98" w:rsidRDefault="008F3232" w:rsidP="007B78BF">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 xml:space="preserve">Approved on </w:t>
            </w:r>
            <w:r w:rsidR="00920924" w:rsidRPr="00F54F98">
              <w:rPr>
                <w:rFonts w:cstheme="minorHAnsi"/>
                <w:szCs w:val="22"/>
              </w:rPr>
              <w:t>16 </w:t>
            </w:r>
            <w:r w:rsidR="007B78BF" w:rsidRPr="00F54F98">
              <w:rPr>
                <w:rFonts w:cstheme="minorHAnsi"/>
                <w:szCs w:val="22"/>
              </w:rPr>
              <w:t>November</w:t>
            </w:r>
            <w:r w:rsidR="00920924" w:rsidRPr="00F54F98">
              <w:rPr>
                <w:rFonts w:cstheme="minorHAnsi"/>
                <w:szCs w:val="22"/>
              </w:rPr>
              <w:t xml:space="preserve"> </w:t>
            </w:r>
            <w:r w:rsidR="007B78BF" w:rsidRPr="00F54F98">
              <w:rPr>
                <w:rFonts w:cstheme="minorHAnsi"/>
                <w:szCs w:val="22"/>
              </w:rPr>
              <w:t>2024</w:t>
            </w:r>
          </w:p>
        </w:tc>
        <w:tc>
          <w:tcPr>
            <w:tcW w:w="1740" w:type="pct"/>
          </w:tcPr>
          <w:p w14:paraId="0ADC9CB7" w14:textId="77777777" w:rsidR="007B78BF" w:rsidRPr="00F54F98" w:rsidRDefault="007B78BF" w:rsidP="007B78BF">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Loqtorzi, in combination with cisplatin and gemcitabine, is indicated for the first-line treatment of adult patients with metastatic or recurrent, locally advanced nasopharyngeal carcinoma.</w:t>
            </w:r>
          </w:p>
          <w:p w14:paraId="165D144C" w14:textId="4E98DA8F" w:rsidR="007B78BF" w:rsidRPr="00F54F98" w:rsidRDefault="007B78BF" w:rsidP="007B78BF">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Loqtorzi, in combination with platinum-based chemotherapy, is indicated for the first-line treatment of adult patients with recurrent or metastatic oesophageal squamous cell carcinom</w:t>
            </w:r>
            <w:r w:rsidR="00920924" w:rsidRPr="00F54F98">
              <w:rPr>
                <w:rFonts w:cstheme="minorHAnsi"/>
                <w:i/>
                <w:iCs/>
                <w:szCs w:val="22"/>
              </w:rPr>
              <w:t>a.</w:t>
            </w:r>
          </w:p>
        </w:tc>
      </w:tr>
      <w:tr w:rsidR="007B78BF" w:rsidRPr="00D01DDB" w14:paraId="3F551E0F" w14:textId="77777777" w:rsidTr="007F1DB1">
        <w:tc>
          <w:tcPr>
            <w:cnfStyle w:val="001000000000" w:firstRow="0" w:lastRow="0" w:firstColumn="1" w:lastColumn="0" w:oddVBand="0" w:evenVBand="0" w:oddHBand="0" w:evenHBand="0" w:firstRowFirstColumn="0" w:firstRowLastColumn="0" w:lastRowFirstColumn="0" w:lastRowLastColumn="0"/>
            <w:tcW w:w="959" w:type="pct"/>
          </w:tcPr>
          <w:p w14:paraId="3CB682C3" w14:textId="65C4A7CA" w:rsidR="007B78BF" w:rsidRPr="00F54F98" w:rsidRDefault="007B78BF" w:rsidP="007B78BF">
            <w:pPr>
              <w:rPr>
                <w:rFonts w:cstheme="minorHAnsi"/>
                <w:szCs w:val="22"/>
              </w:rPr>
            </w:pPr>
            <w:r w:rsidRPr="00F54F98">
              <w:rPr>
                <w:rFonts w:cstheme="minorHAnsi"/>
                <w:szCs w:val="22"/>
              </w:rPr>
              <w:lastRenderedPageBreak/>
              <w:t>Singapore</w:t>
            </w:r>
          </w:p>
        </w:tc>
        <w:tc>
          <w:tcPr>
            <w:tcW w:w="1183" w:type="pct"/>
          </w:tcPr>
          <w:p w14:paraId="40C353B9" w14:textId="1030F7A3" w:rsidR="007B78BF" w:rsidRPr="00F54F98" w:rsidRDefault="00920924" w:rsidP="007B78BF">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8 </w:t>
            </w:r>
            <w:r w:rsidR="007B78BF" w:rsidRPr="00F54F98">
              <w:rPr>
                <w:rFonts w:cstheme="minorHAnsi"/>
                <w:szCs w:val="22"/>
              </w:rPr>
              <w:t>November 2023</w:t>
            </w:r>
          </w:p>
        </w:tc>
        <w:tc>
          <w:tcPr>
            <w:tcW w:w="1118" w:type="pct"/>
          </w:tcPr>
          <w:p w14:paraId="206FB4BA" w14:textId="30E43A37" w:rsidR="007B78BF" w:rsidRPr="00F54F98" w:rsidRDefault="007B78BF" w:rsidP="007B78BF">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Under consideration</w:t>
            </w:r>
          </w:p>
        </w:tc>
        <w:tc>
          <w:tcPr>
            <w:tcW w:w="1740" w:type="pct"/>
          </w:tcPr>
          <w:p w14:paraId="78751936" w14:textId="19676B97" w:rsidR="007B78BF" w:rsidRPr="00F54F98" w:rsidRDefault="007B78BF" w:rsidP="007B78BF">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Under consideration</w:t>
            </w:r>
          </w:p>
        </w:tc>
      </w:tr>
      <w:tr w:rsidR="00BD6F83" w:rsidRPr="00D01DDB" w14:paraId="1D865D24" w14:textId="77777777" w:rsidTr="007F1DB1">
        <w:tc>
          <w:tcPr>
            <w:cnfStyle w:val="001000000000" w:firstRow="0" w:lastRow="0" w:firstColumn="1" w:lastColumn="0" w:oddVBand="0" w:evenVBand="0" w:oddHBand="0" w:evenHBand="0" w:firstRowFirstColumn="0" w:firstRowLastColumn="0" w:lastRowFirstColumn="0" w:lastRowLastColumn="0"/>
            <w:tcW w:w="959" w:type="pct"/>
          </w:tcPr>
          <w:p w14:paraId="1E0220D4" w14:textId="5F6B3166" w:rsidR="00C76F48" w:rsidRPr="00F54F98" w:rsidRDefault="00C76F48" w:rsidP="007B78BF">
            <w:pPr>
              <w:rPr>
                <w:rFonts w:cstheme="minorHAnsi"/>
                <w:szCs w:val="22"/>
              </w:rPr>
            </w:pPr>
            <w:r w:rsidRPr="00F54F98">
              <w:rPr>
                <w:rFonts w:cstheme="minorHAnsi"/>
                <w:szCs w:val="22"/>
              </w:rPr>
              <w:t xml:space="preserve">Canada </w:t>
            </w:r>
          </w:p>
        </w:tc>
        <w:tc>
          <w:tcPr>
            <w:tcW w:w="1183" w:type="pct"/>
          </w:tcPr>
          <w:p w14:paraId="52B21532" w14:textId="2E9906C4" w:rsidR="00C76F48" w:rsidRPr="00F54F98" w:rsidRDefault="00920924" w:rsidP="007B78BF">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1 </w:t>
            </w:r>
            <w:r w:rsidR="00C76F48" w:rsidRPr="00F54F98">
              <w:rPr>
                <w:rFonts w:cstheme="minorHAnsi"/>
                <w:szCs w:val="22"/>
              </w:rPr>
              <w:t>November</w:t>
            </w:r>
            <w:r w:rsidRPr="00F54F98">
              <w:rPr>
                <w:rFonts w:cstheme="minorHAnsi"/>
                <w:szCs w:val="22"/>
              </w:rPr>
              <w:t> </w:t>
            </w:r>
            <w:r w:rsidR="00C76F48" w:rsidRPr="00F54F98">
              <w:rPr>
                <w:rFonts w:cstheme="minorHAnsi"/>
                <w:szCs w:val="22"/>
              </w:rPr>
              <w:t>2024</w:t>
            </w:r>
          </w:p>
        </w:tc>
        <w:tc>
          <w:tcPr>
            <w:tcW w:w="1118" w:type="pct"/>
          </w:tcPr>
          <w:p w14:paraId="14E3F123" w14:textId="6CC8F7AD" w:rsidR="00C76F48" w:rsidRPr="00F54F98" w:rsidDel="007B78BF" w:rsidRDefault="00920924" w:rsidP="007B78BF">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Under consideration</w:t>
            </w:r>
          </w:p>
        </w:tc>
        <w:tc>
          <w:tcPr>
            <w:tcW w:w="1740" w:type="pct"/>
          </w:tcPr>
          <w:p w14:paraId="07A69A9E" w14:textId="7FD00F3A" w:rsidR="00C76F48" w:rsidRPr="00F54F98" w:rsidRDefault="00920924" w:rsidP="007B78BF">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Under consideration</w:t>
            </w:r>
          </w:p>
        </w:tc>
      </w:tr>
      <w:tr w:rsidR="00BD6F83" w:rsidRPr="00D01DDB" w14:paraId="400234A9" w14:textId="77777777" w:rsidTr="007F1DB1">
        <w:tc>
          <w:tcPr>
            <w:cnfStyle w:val="001000000000" w:firstRow="0" w:lastRow="0" w:firstColumn="1" w:lastColumn="0" w:oddVBand="0" w:evenVBand="0" w:oddHBand="0" w:evenHBand="0" w:firstRowFirstColumn="0" w:firstRowLastColumn="0" w:lastRowFirstColumn="0" w:lastRowLastColumn="0"/>
            <w:tcW w:w="959" w:type="pct"/>
          </w:tcPr>
          <w:p w14:paraId="38AD2968" w14:textId="2B5FE564" w:rsidR="00C76F48" w:rsidRPr="00F54F98" w:rsidRDefault="005415FC" w:rsidP="007B78BF">
            <w:pPr>
              <w:rPr>
                <w:rFonts w:cstheme="minorHAnsi"/>
                <w:szCs w:val="22"/>
              </w:rPr>
            </w:pPr>
            <w:r w:rsidRPr="00F54F98">
              <w:rPr>
                <w:rFonts w:cstheme="minorHAnsi"/>
                <w:szCs w:val="22"/>
              </w:rPr>
              <w:t xml:space="preserve">India </w:t>
            </w:r>
          </w:p>
        </w:tc>
        <w:tc>
          <w:tcPr>
            <w:tcW w:w="1183" w:type="pct"/>
          </w:tcPr>
          <w:p w14:paraId="661A5E36" w14:textId="2727805C" w:rsidR="00C76F48" w:rsidRPr="00F54F98" w:rsidRDefault="008D24F5" w:rsidP="007B78BF">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December</w:t>
            </w:r>
            <w:r w:rsidR="00920924" w:rsidRPr="00F54F98">
              <w:rPr>
                <w:rFonts w:cstheme="minorHAnsi"/>
                <w:szCs w:val="22"/>
              </w:rPr>
              <w:t> </w:t>
            </w:r>
            <w:r w:rsidRPr="00F54F98">
              <w:rPr>
                <w:rFonts w:cstheme="minorHAnsi"/>
                <w:szCs w:val="22"/>
              </w:rPr>
              <w:t>2023</w:t>
            </w:r>
          </w:p>
        </w:tc>
        <w:tc>
          <w:tcPr>
            <w:tcW w:w="1118" w:type="pct"/>
          </w:tcPr>
          <w:p w14:paraId="1C9D18E2" w14:textId="5030A87F" w:rsidR="00C76F48" w:rsidRPr="00F54F98" w:rsidDel="007B78BF" w:rsidRDefault="008F3232" w:rsidP="007B78BF">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 xml:space="preserve">Approved </w:t>
            </w:r>
            <w:r w:rsidR="00D82028">
              <w:rPr>
                <w:rFonts w:cstheme="minorHAnsi"/>
                <w:szCs w:val="22"/>
              </w:rPr>
              <w:t>i</w:t>
            </w:r>
            <w:r w:rsidRPr="00F54F98">
              <w:rPr>
                <w:rFonts w:cstheme="minorHAnsi"/>
                <w:szCs w:val="22"/>
              </w:rPr>
              <w:t xml:space="preserve">n </w:t>
            </w:r>
            <w:r w:rsidR="007F1DB1" w:rsidRPr="00F54F98">
              <w:rPr>
                <w:rFonts w:cstheme="minorHAnsi"/>
                <w:szCs w:val="22"/>
              </w:rPr>
              <w:t>Sep</w:t>
            </w:r>
            <w:r w:rsidR="008D24F5" w:rsidRPr="00F54F98">
              <w:rPr>
                <w:rFonts w:cstheme="minorHAnsi"/>
                <w:szCs w:val="22"/>
              </w:rPr>
              <w:t>tember</w:t>
            </w:r>
            <w:r w:rsidR="00920924" w:rsidRPr="00F54F98">
              <w:rPr>
                <w:rFonts w:cstheme="minorHAnsi"/>
                <w:szCs w:val="22"/>
              </w:rPr>
              <w:t> </w:t>
            </w:r>
            <w:r w:rsidR="005415FC" w:rsidRPr="00F54F98">
              <w:rPr>
                <w:rFonts w:cstheme="minorHAnsi"/>
                <w:szCs w:val="22"/>
              </w:rPr>
              <w:t>2024</w:t>
            </w:r>
          </w:p>
        </w:tc>
        <w:tc>
          <w:tcPr>
            <w:tcW w:w="1740" w:type="pct"/>
          </w:tcPr>
          <w:p w14:paraId="00EFA1C6" w14:textId="08F94F52" w:rsidR="00920924" w:rsidRPr="00F54F98" w:rsidRDefault="00C76F48" w:rsidP="007B78BF">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Zytorvi is indicated, in combination with cisplatin and gemcitabine, for first line treatment of adults with metastatic or with recurrent, locally advanced nasopharyngeal carcinoma (NPC).</w:t>
            </w:r>
          </w:p>
          <w:p w14:paraId="51D052B8" w14:textId="33EEDE48" w:rsidR="00C76F48" w:rsidRPr="00F54F98" w:rsidRDefault="00C76F48" w:rsidP="007B78BF">
            <w:pPr>
              <w:cnfStyle w:val="000000000000" w:firstRow="0" w:lastRow="0" w:firstColumn="0" w:lastColumn="0" w:oddVBand="0" w:evenVBand="0" w:oddHBand="0" w:evenHBand="0" w:firstRowFirstColumn="0" w:firstRowLastColumn="0" w:lastRowFirstColumn="0" w:lastRowLastColumn="0"/>
              <w:rPr>
                <w:rFonts w:cstheme="minorHAnsi"/>
                <w:i/>
                <w:iCs/>
                <w:szCs w:val="22"/>
              </w:rPr>
            </w:pPr>
            <w:proofErr w:type="spellStart"/>
            <w:r w:rsidRPr="00F54F98">
              <w:rPr>
                <w:rFonts w:cstheme="minorHAnsi"/>
                <w:i/>
                <w:iCs/>
                <w:szCs w:val="22"/>
              </w:rPr>
              <w:t>Toripalimab</w:t>
            </w:r>
            <w:proofErr w:type="spellEnd"/>
            <w:r w:rsidRPr="00F54F98">
              <w:rPr>
                <w:rFonts w:cstheme="minorHAnsi"/>
                <w:i/>
                <w:iCs/>
                <w:szCs w:val="22"/>
              </w:rPr>
              <w:t xml:space="preserve"> is indicated, as a single agent, for the treatment of adults with recurrent unresectable or metastatic NPC with disease progression on or after a platinum-containing chemotherapy.</w:t>
            </w:r>
          </w:p>
        </w:tc>
      </w:tr>
      <w:tr w:rsidR="00BD6F83" w:rsidRPr="00D01DDB" w14:paraId="0BCA3FF6" w14:textId="77777777" w:rsidTr="007F1DB1">
        <w:tc>
          <w:tcPr>
            <w:cnfStyle w:val="001000000000" w:firstRow="0" w:lastRow="0" w:firstColumn="1" w:lastColumn="0" w:oddVBand="0" w:evenVBand="0" w:oddHBand="0" w:evenHBand="0" w:firstRowFirstColumn="0" w:firstRowLastColumn="0" w:lastRowFirstColumn="0" w:lastRowLastColumn="0"/>
            <w:tcW w:w="959" w:type="pct"/>
          </w:tcPr>
          <w:p w14:paraId="75561D2D" w14:textId="0EFBA422" w:rsidR="00C76F48" w:rsidRPr="00F54F98" w:rsidRDefault="00240A3C" w:rsidP="007B78BF">
            <w:pPr>
              <w:rPr>
                <w:rFonts w:cstheme="minorHAnsi"/>
                <w:szCs w:val="22"/>
              </w:rPr>
            </w:pPr>
            <w:r w:rsidRPr="00F54F98">
              <w:rPr>
                <w:rFonts w:cstheme="minorHAnsi"/>
                <w:szCs w:val="22"/>
              </w:rPr>
              <w:t xml:space="preserve">Hong Kong SAR </w:t>
            </w:r>
          </w:p>
        </w:tc>
        <w:tc>
          <w:tcPr>
            <w:tcW w:w="1183" w:type="pct"/>
          </w:tcPr>
          <w:p w14:paraId="03AA42AF" w14:textId="574A1225" w:rsidR="00C76F48" w:rsidRPr="00F54F98" w:rsidRDefault="00920924" w:rsidP="007B78BF">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24 </w:t>
            </w:r>
            <w:r w:rsidR="00DF2368" w:rsidRPr="00F54F98">
              <w:rPr>
                <w:rFonts w:cstheme="minorHAnsi"/>
                <w:szCs w:val="22"/>
              </w:rPr>
              <w:t>April 2024</w:t>
            </w:r>
          </w:p>
        </w:tc>
        <w:tc>
          <w:tcPr>
            <w:tcW w:w="1118" w:type="pct"/>
          </w:tcPr>
          <w:p w14:paraId="35CCE674" w14:textId="19308B77" w:rsidR="00C76F48" w:rsidRPr="00F54F98" w:rsidDel="007B78BF" w:rsidRDefault="008F3232" w:rsidP="007B78BF">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 xml:space="preserve">Approved in </w:t>
            </w:r>
            <w:r w:rsidR="00240A3C" w:rsidRPr="00F54F98">
              <w:rPr>
                <w:rFonts w:cstheme="minorHAnsi"/>
                <w:szCs w:val="22"/>
              </w:rPr>
              <w:t>October 2024</w:t>
            </w:r>
          </w:p>
        </w:tc>
        <w:tc>
          <w:tcPr>
            <w:tcW w:w="1740" w:type="pct"/>
          </w:tcPr>
          <w:p w14:paraId="6DD5BA28" w14:textId="77777777" w:rsidR="00240A3C" w:rsidRPr="00F54F98" w:rsidRDefault="00240A3C" w:rsidP="007B78BF">
            <w:pPr>
              <w:cnfStyle w:val="000000000000" w:firstRow="0" w:lastRow="0" w:firstColumn="0" w:lastColumn="0" w:oddVBand="0" w:evenVBand="0" w:oddHBand="0" w:evenHBand="0" w:firstRowFirstColumn="0" w:firstRowLastColumn="0" w:lastRowFirstColumn="0" w:lastRowLastColumn="0"/>
              <w:rPr>
                <w:rFonts w:cstheme="minorHAnsi"/>
                <w:i/>
                <w:iCs/>
                <w:szCs w:val="22"/>
              </w:rPr>
            </w:pPr>
            <w:proofErr w:type="spellStart"/>
            <w:r w:rsidRPr="00F54F98">
              <w:rPr>
                <w:rFonts w:cstheme="minorHAnsi"/>
                <w:i/>
                <w:iCs/>
                <w:szCs w:val="22"/>
              </w:rPr>
              <w:t>Toripalimab</w:t>
            </w:r>
            <w:proofErr w:type="spellEnd"/>
            <w:r w:rsidRPr="00F54F98">
              <w:rPr>
                <w:rFonts w:cstheme="minorHAnsi"/>
                <w:i/>
                <w:iCs/>
                <w:szCs w:val="22"/>
              </w:rPr>
              <w:t xml:space="preserve"> in combination with cisplatin and gemcitabine for the first-line treatment of adult patients with metastatic or recurrent, locally advanced nasopharyngeal carcinoma (NPC),</w:t>
            </w:r>
          </w:p>
          <w:p w14:paraId="10B1B06F" w14:textId="5BCE7ECF" w:rsidR="00C76F48" w:rsidRPr="00F54F98" w:rsidRDefault="00240A3C" w:rsidP="007B78BF">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As a single agent for the treatment of adult patients with recurrent unresectable or metastatic NPC with disease progression on or after a platinum-containing chemotherapy.</w:t>
            </w:r>
          </w:p>
        </w:tc>
      </w:tr>
      <w:tr w:rsidR="00BD6F83" w:rsidRPr="00D01DDB" w14:paraId="6249A1AE" w14:textId="77777777" w:rsidTr="007F1DB1">
        <w:tc>
          <w:tcPr>
            <w:cnfStyle w:val="001000000000" w:firstRow="0" w:lastRow="0" w:firstColumn="1" w:lastColumn="0" w:oddVBand="0" w:evenVBand="0" w:oddHBand="0" w:evenHBand="0" w:firstRowFirstColumn="0" w:firstRowLastColumn="0" w:lastRowFirstColumn="0" w:lastRowLastColumn="0"/>
            <w:tcW w:w="959" w:type="pct"/>
          </w:tcPr>
          <w:p w14:paraId="637289C0" w14:textId="566914D7" w:rsidR="00C76F48" w:rsidRPr="00F54F98" w:rsidRDefault="00240A3C" w:rsidP="007B78BF">
            <w:pPr>
              <w:rPr>
                <w:rFonts w:cstheme="minorHAnsi"/>
                <w:szCs w:val="22"/>
              </w:rPr>
            </w:pPr>
            <w:r w:rsidRPr="00F54F98">
              <w:rPr>
                <w:rFonts w:cstheme="minorHAnsi"/>
                <w:szCs w:val="22"/>
              </w:rPr>
              <w:t>Jordan</w:t>
            </w:r>
          </w:p>
        </w:tc>
        <w:tc>
          <w:tcPr>
            <w:tcW w:w="1183" w:type="pct"/>
          </w:tcPr>
          <w:p w14:paraId="3C1B730D" w14:textId="05A59A88" w:rsidR="00C76F48" w:rsidRPr="00F54F98" w:rsidRDefault="00735FC0" w:rsidP="007B78BF">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25 </w:t>
            </w:r>
            <w:r w:rsidR="00DF2368" w:rsidRPr="00F54F98">
              <w:rPr>
                <w:rFonts w:cstheme="minorHAnsi"/>
                <w:szCs w:val="22"/>
              </w:rPr>
              <w:t>October</w:t>
            </w:r>
            <w:r w:rsidRPr="00F54F98">
              <w:rPr>
                <w:rFonts w:cstheme="minorHAnsi"/>
                <w:szCs w:val="22"/>
              </w:rPr>
              <w:t xml:space="preserve"> </w:t>
            </w:r>
            <w:r w:rsidR="00DF2368" w:rsidRPr="00F54F98">
              <w:rPr>
                <w:rFonts w:cstheme="minorHAnsi"/>
                <w:szCs w:val="22"/>
              </w:rPr>
              <w:t>2024</w:t>
            </w:r>
          </w:p>
        </w:tc>
        <w:tc>
          <w:tcPr>
            <w:tcW w:w="1118" w:type="pct"/>
          </w:tcPr>
          <w:p w14:paraId="04198D92" w14:textId="187545B5" w:rsidR="00C76F48" w:rsidRPr="00F54F98" w:rsidDel="007B78BF" w:rsidRDefault="00735FC0" w:rsidP="007B78BF">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Under consideration</w:t>
            </w:r>
          </w:p>
        </w:tc>
        <w:tc>
          <w:tcPr>
            <w:tcW w:w="1740" w:type="pct"/>
          </w:tcPr>
          <w:p w14:paraId="6358D754" w14:textId="4E729E8B" w:rsidR="00C76F48" w:rsidRPr="00F54F98" w:rsidRDefault="00735FC0" w:rsidP="007B78BF">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Under consideration</w:t>
            </w:r>
          </w:p>
        </w:tc>
      </w:tr>
      <w:tr w:rsidR="008F3232" w:rsidRPr="00D01DDB" w14:paraId="4985ED5C" w14:textId="77777777" w:rsidTr="008F3232">
        <w:trPr>
          <w:trHeight w:val="2249"/>
        </w:trPr>
        <w:tc>
          <w:tcPr>
            <w:cnfStyle w:val="001000000000" w:firstRow="0" w:lastRow="0" w:firstColumn="1" w:lastColumn="0" w:oddVBand="0" w:evenVBand="0" w:oddHBand="0" w:evenHBand="0" w:firstRowFirstColumn="0" w:firstRowLastColumn="0" w:lastRowFirstColumn="0" w:lastRowLastColumn="0"/>
            <w:tcW w:w="959" w:type="pct"/>
            <w:vMerge w:val="restart"/>
          </w:tcPr>
          <w:p w14:paraId="2549D631" w14:textId="2B758481" w:rsidR="008F3232" w:rsidRPr="00F54F98" w:rsidRDefault="008F3232" w:rsidP="007F1DB1">
            <w:pPr>
              <w:rPr>
                <w:rFonts w:cstheme="minorHAnsi"/>
                <w:szCs w:val="22"/>
              </w:rPr>
            </w:pPr>
            <w:r w:rsidRPr="00F54F98">
              <w:rPr>
                <w:rFonts w:cstheme="minorHAnsi"/>
                <w:szCs w:val="22"/>
              </w:rPr>
              <w:t>China</w:t>
            </w:r>
          </w:p>
        </w:tc>
        <w:tc>
          <w:tcPr>
            <w:tcW w:w="1183" w:type="pct"/>
          </w:tcPr>
          <w:p w14:paraId="1CAAD365" w14:textId="04692A6F" w:rsidR="008F3232" w:rsidRPr="00F54F98" w:rsidRDefault="008F3232" w:rsidP="008F3232">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eastAsiaTheme="minorEastAsia" w:cstheme="minorHAnsi"/>
                <w:szCs w:val="22"/>
                <w:lang w:eastAsia="zh-CN"/>
              </w:rPr>
              <w:t>March</w:t>
            </w:r>
            <w:r w:rsidR="00F54F98">
              <w:rPr>
                <w:rFonts w:cstheme="minorHAnsi"/>
                <w:szCs w:val="22"/>
              </w:rPr>
              <w:t> </w:t>
            </w:r>
            <w:r w:rsidRPr="00F54F98">
              <w:rPr>
                <w:rFonts w:cstheme="minorHAnsi"/>
                <w:szCs w:val="22"/>
              </w:rPr>
              <w:t>2018</w:t>
            </w:r>
          </w:p>
        </w:tc>
        <w:tc>
          <w:tcPr>
            <w:tcW w:w="1118" w:type="pct"/>
          </w:tcPr>
          <w:p w14:paraId="607C8901" w14:textId="74F25F52" w:rsidR="008F3232" w:rsidRPr="00F54F98" w:rsidRDefault="00F54F98" w:rsidP="008F3232">
            <w:pPr>
              <w:cnfStyle w:val="000000000000" w:firstRow="0" w:lastRow="0" w:firstColumn="0" w:lastColumn="0" w:oddVBand="0" w:evenVBand="0" w:oddHBand="0" w:evenHBand="0" w:firstRowFirstColumn="0" w:firstRowLastColumn="0" w:lastRowFirstColumn="0" w:lastRowLastColumn="0"/>
              <w:rPr>
                <w:rFonts w:cstheme="minorHAnsi"/>
                <w:szCs w:val="22"/>
              </w:rPr>
            </w:pPr>
            <w:r>
              <w:rPr>
                <w:rFonts w:eastAsiaTheme="minorEastAsia" w:cstheme="minorHAnsi"/>
                <w:szCs w:val="22"/>
                <w:lang w:eastAsia="zh-CN"/>
              </w:rPr>
              <w:t>Approved on 17 </w:t>
            </w:r>
            <w:r w:rsidR="008F3232" w:rsidRPr="00F54F98">
              <w:rPr>
                <w:rFonts w:eastAsiaTheme="minorEastAsia" w:cstheme="minorHAnsi"/>
                <w:szCs w:val="22"/>
                <w:lang w:eastAsia="zh-CN"/>
              </w:rPr>
              <w:t>December</w:t>
            </w:r>
            <w:r>
              <w:rPr>
                <w:rFonts w:eastAsiaTheme="minorEastAsia" w:cstheme="minorHAnsi"/>
                <w:szCs w:val="22"/>
                <w:lang w:eastAsia="zh-CN"/>
              </w:rPr>
              <w:t> </w:t>
            </w:r>
            <w:r w:rsidR="008F3232" w:rsidRPr="00F54F98">
              <w:rPr>
                <w:rFonts w:cstheme="minorHAnsi"/>
                <w:szCs w:val="22"/>
              </w:rPr>
              <w:t>2018</w:t>
            </w:r>
          </w:p>
        </w:tc>
        <w:tc>
          <w:tcPr>
            <w:tcW w:w="1740" w:type="pct"/>
          </w:tcPr>
          <w:p w14:paraId="24A0D7DD" w14:textId="11FD07D9" w:rsidR="008F3232" w:rsidRPr="00F54F98" w:rsidRDefault="008F3232" w:rsidP="008F3232">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T</w:t>
            </w:r>
            <w:r w:rsidR="00F54F98">
              <w:rPr>
                <w:rFonts w:cstheme="minorHAnsi"/>
                <w:i/>
                <w:iCs/>
                <w:szCs w:val="22"/>
              </w:rPr>
              <w:t>uoyi</w:t>
            </w:r>
            <w:r w:rsidRPr="00F54F98">
              <w:rPr>
                <w:rFonts w:cstheme="minorHAnsi"/>
                <w:i/>
                <w:iCs/>
                <w:szCs w:val="22"/>
              </w:rPr>
              <w:t>: Treatment of patients with locally advanced or metastatic melanoma who have progressed on or after systemic therapy.</w:t>
            </w:r>
          </w:p>
        </w:tc>
      </w:tr>
      <w:tr w:rsidR="008F3232" w:rsidRPr="00D01DDB" w14:paraId="3AE5FE2A" w14:textId="77777777" w:rsidTr="00F54F98">
        <w:trPr>
          <w:trHeight w:val="1851"/>
        </w:trPr>
        <w:tc>
          <w:tcPr>
            <w:cnfStyle w:val="001000000000" w:firstRow="0" w:lastRow="0" w:firstColumn="1" w:lastColumn="0" w:oddVBand="0" w:evenVBand="0" w:oddHBand="0" w:evenHBand="0" w:firstRowFirstColumn="0" w:firstRowLastColumn="0" w:lastRowFirstColumn="0" w:lastRowLastColumn="0"/>
            <w:tcW w:w="959" w:type="pct"/>
            <w:vMerge/>
          </w:tcPr>
          <w:p w14:paraId="0DF66B82" w14:textId="77777777" w:rsidR="008F3232" w:rsidRPr="00F54F98" w:rsidRDefault="008F3232" w:rsidP="007F1DB1">
            <w:pPr>
              <w:rPr>
                <w:rFonts w:cstheme="minorHAnsi"/>
                <w:szCs w:val="22"/>
              </w:rPr>
            </w:pPr>
          </w:p>
        </w:tc>
        <w:tc>
          <w:tcPr>
            <w:tcW w:w="1183" w:type="pct"/>
          </w:tcPr>
          <w:p w14:paraId="41870CF4" w14:textId="5F57EC55" w:rsidR="008F3232" w:rsidRPr="00F54F98" w:rsidRDefault="008F3232" w:rsidP="008F3232">
            <w:pPr>
              <w:cnfStyle w:val="000000000000" w:firstRow="0" w:lastRow="0" w:firstColumn="0" w:lastColumn="0" w:oddVBand="0" w:evenVBand="0" w:oddHBand="0" w:evenHBand="0" w:firstRowFirstColumn="0" w:firstRowLastColumn="0" w:lastRowFirstColumn="0" w:lastRowLastColumn="0"/>
              <w:rPr>
                <w:rFonts w:eastAsiaTheme="minorEastAsia" w:cstheme="minorHAnsi"/>
                <w:szCs w:val="22"/>
                <w:lang w:eastAsia="zh-CN"/>
              </w:rPr>
            </w:pPr>
            <w:r w:rsidRPr="00F54F98">
              <w:rPr>
                <w:rFonts w:cstheme="minorHAnsi"/>
                <w:szCs w:val="22"/>
              </w:rPr>
              <w:t>May</w:t>
            </w:r>
            <w:r w:rsidR="00F54F98">
              <w:rPr>
                <w:rFonts w:cstheme="minorHAnsi"/>
                <w:szCs w:val="22"/>
              </w:rPr>
              <w:t> </w:t>
            </w:r>
            <w:r w:rsidRPr="00F54F98">
              <w:rPr>
                <w:rFonts w:cstheme="minorHAnsi"/>
                <w:szCs w:val="22"/>
              </w:rPr>
              <w:t>2020</w:t>
            </w:r>
          </w:p>
        </w:tc>
        <w:tc>
          <w:tcPr>
            <w:tcW w:w="1118" w:type="pct"/>
          </w:tcPr>
          <w:p w14:paraId="7508C55A" w14:textId="24B1AB6F" w:rsidR="008F3232" w:rsidRPr="00F54F98" w:rsidRDefault="00F54F98" w:rsidP="008F3232">
            <w:pPr>
              <w:cnfStyle w:val="000000000000" w:firstRow="0" w:lastRow="0" w:firstColumn="0" w:lastColumn="0" w:oddVBand="0" w:evenVBand="0" w:oddHBand="0" w:evenHBand="0" w:firstRowFirstColumn="0" w:firstRowLastColumn="0" w:lastRowFirstColumn="0" w:lastRowLastColumn="0"/>
              <w:rPr>
                <w:rFonts w:eastAsiaTheme="minorEastAsia" w:cstheme="minorHAnsi"/>
                <w:b/>
                <w:bCs/>
                <w:szCs w:val="22"/>
                <w:lang w:eastAsia="zh-CN"/>
              </w:rPr>
            </w:pPr>
            <w:r>
              <w:rPr>
                <w:rFonts w:cstheme="minorHAnsi"/>
                <w:szCs w:val="22"/>
              </w:rPr>
              <w:t>Approved on 7 </w:t>
            </w:r>
            <w:r w:rsidR="008F3232" w:rsidRPr="00F54F98">
              <w:rPr>
                <w:rFonts w:cstheme="minorHAnsi"/>
                <w:szCs w:val="22"/>
              </w:rPr>
              <w:t>April</w:t>
            </w:r>
            <w:r>
              <w:rPr>
                <w:rFonts w:cstheme="minorHAnsi"/>
                <w:szCs w:val="22"/>
              </w:rPr>
              <w:t> </w:t>
            </w:r>
            <w:r w:rsidR="008F3232" w:rsidRPr="00F54F98">
              <w:rPr>
                <w:rFonts w:cstheme="minorHAnsi"/>
                <w:szCs w:val="22"/>
              </w:rPr>
              <w:t>2021</w:t>
            </w:r>
          </w:p>
        </w:tc>
        <w:tc>
          <w:tcPr>
            <w:tcW w:w="1740" w:type="pct"/>
          </w:tcPr>
          <w:p w14:paraId="6C88104B" w14:textId="4D226AD4" w:rsidR="008F3232" w:rsidRPr="00F54F98" w:rsidRDefault="008F3232" w:rsidP="008F3232">
            <w:pPr>
              <w:cnfStyle w:val="000000000000" w:firstRow="0" w:lastRow="0" w:firstColumn="0" w:lastColumn="0" w:oddVBand="0" w:evenVBand="0" w:oddHBand="0" w:evenHBand="0" w:firstRowFirstColumn="0" w:firstRowLastColumn="0" w:lastRowFirstColumn="0" w:lastRowLastColumn="0"/>
              <w:rPr>
                <w:rFonts w:cstheme="minorHAnsi"/>
                <w:b/>
                <w:bCs/>
                <w:i/>
                <w:iCs/>
                <w:szCs w:val="22"/>
              </w:rPr>
            </w:pPr>
            <w:r w:rsidRPr="00F54F98">
              <w:rPr>
                <w:rFonts w:cstheme="minorHAnsi"/>
                <w:i/>
                <w:iCs/>
                <w:szCs w:val="22"/>
              </w:rPr>
              <w:t>T</w:t>
            </w:r>
            <w:r w:rsidR="00F54F98">
              <w:rPr>
                <w:rFonts w:cstheme="minorHAnsi"/>
                <w:i/>
                <w:iCs/>
                <w:szCs w:val="22"/>
              </w:rPr>
              <w:t>uoyi</w:t>
            </w:r>
            <w:r w:rsidRPr="00F54F98">
              <w:rPr>
                <w:rFonts w:cstheme="minorHAnsi"/>
                <w:i/>
                <w:iCs/>
                <w:szCs w:val="22"/>
              </w:rPr>
              <w:t>:</w:t>
            </w:r>
            <w:r w:rsidR="00F54F98">
              <w:rPr>
                <w:rFonts w:cstheme="minorHAnsi"/>
                <w:i/>
                <w:iCs/>
                <w:szCs w:val="22"/>
              </w:rPr>
              <w:t xml:space="preserve"> </w:t>
            </w:r>
            <w:r w:rsidRPr="00F54F98">
              <w:rPr>
                <w:rFonts w:cstheme="minorHAnsi"/>
                <w:i/>
                <w:iCs/>
                <w:szCs w:val="22"/>
              </w:rPr>
              <w:t>Treatment of patients with recurrent or metastatic nasopharyngeal carcinoma (NPC) who have progressed on or after second-line systemic therapy</w:t>
            </w:r>
          </w:p>
        </w:tc>
      </w:tr>
      <w:tr w:rsidR="008F3232" w:rsidRPr="00D01DDB" w14:paraId="028462EE" w14:textId="77777777" w:rsidTr="008F3232">
        <w:trPr>
          <w:trHeight w:val="2246"/>
        </w:trPr>
        <w:tc>
          <w:tcPr>
            <w:cnfStyle w:val="001000000000" w:firstRow="0" w:lastRow="0" w:firstColumn="1" w:lastColumn="0" w:oddVBand="0" w:evenVBand="0" w:oddHBand="0" w:evenHBand="0" w:firstRowFirstColumn="0" w:firstRowLastColumn="0" w:lastRowFirstColumn="0" w:lastRowLastColumn="0"/>
            <w:tcW w:w="959" w:type="pct"/>
            <w:vMerge/>
          </w:tcPr>
          <w:p w14:paraId="245460E9" w14:textId="77777777" w:rsidR="008F3232" w:rsidRPr="00F54F98" w:rsidRDefault="008F3232" w:rsidP="007F1DB1">
            <w:pPr>
              <w:rPr>
                <w:rFonts w:cstheme="minorHAnsi"/>
                <w:szCs w:val="22"/>
              </w:rPr>
            </w:pPr>
          </w:p>
        </w:tc>
        <w:tc>
          <w:tcPr>
            <w:tcW w:w="1183" w:type="pct"/>
          </w:tcPr>
          <w:p w14:paraId="54168157" w14:textId="58CAB769" w:rsidR="008F3232" w:rsidRPr="00F54F98" w:rsidRDefault="008F3232" w:rsidP="00FE6BAA">
            <w:pPr>
              <w:cnfStyle w:val="000000000000" w:firstRow="0" w:lastRow="0" w:firstColumn="0" w:lastColumn="0" w:oddVBand="0" w:evenVBand="0" w:oddHBand="0" w:evenHBand="0" w:firstRowFirstColumn="0" w:firstRowLastColumn="0" w:lastRowFirstColumn="0" w:lastRowLastColumn="0"/>
              <w:rPr>
                <w:rFonts w:eastAsiaTheme="minorEastAsia" w:cstheme="minorHAnsi"/>
                <w:szCs w:val="22"/>
                <w:lang w:eastAsia="zh-CN"/>
              </w:rPr>
            </w:pPr>
            <w:r w:rsidRPr="00F54F98">
              <w:rPr>
                <w:rFonts w:cstheme="minorHAnsi"/>
                <w:szCs w:val="22"/>
              </w:rPr>
              <w:t>April</w:t>
            </w:r>
            <w:r w:rsidR="00F54F98">
              <w:rPr>
                <w:rFonts w:cstheme="minorHAnsi"/>
                <w:szCs w:val="22"/>
              </w:rPr>
              <w:t> </w:t>
            </w:r>
            <w:r w:rsidRPr="00F54F98">
              <w:rPr>
                <w:rFonts w:cstheme="minorHAnsi"/>
                <w:szCs w:val="22"/>
              </w:rPr>
              <w:t>2020</w:t>
            </w:r>
          </w:p>
        </w:tc>
        <w:tc>
          <w:tcPr>
            <w:tcW w:w="1118" w:type="pct"/>
          </w:tcPr>
          <w:p w14:paraId="7E6CD75E" w14:textId="0096E11A" w:rsidR="008F3232" w:rsidRPr="00F54F98" w:rsidRDefault="00F54F98" w:rsidP="00FE6BAA">
            <w:pPr>
              <w:cnfStyle w:val="000000000000" w:firstRow="0" w:lastRow="0" w:firstColumn="0" w:lastColumn="0" w:oddVBand="0" w:evenVBand="0" w:oddHBand="0" w:evenHBand="0" w:firstRowFirstColumn="0" w:firstRowLastColumn="0" w:lastRowFirstColumn="0" w:lastRowLastColumn="0"/>
              <w:rPr>
                <w:rFonts w:eastAsiaTheme="minorEastAsia" w:cstheme="minorHAnsi"/>
                <w:szCs w:val="22"/>
                <w:lang w:eastAsia="zh-CN"/>
              </w:rPr>
            </w:pPr>
            <w:r>
              <w:rPr>
                <w:rFonts w:cstheme="minorHAnsi"/>
                <w:szCs w:val="22"/>
              </w:rPr>
              <w:t>Approved on 10 </w:t>
            </w:r>
            <w:r w:rsidR="008F3232" w:rsidRPr="00F54F98">
              <w:rPr>
                <w:rFonts w:cstheme="minorHAnsi"/>
                <w:szCs w:val="22"/>
              </w:rPr>
              <w:t>February</w:t>
            </w:r>
            <w:r>
              <w:rPr>
                <w:rFonts w:cstheme="minorHAnsi"/>
                <w:szCs w:val="22"/>
              </w:rPr>
              <w:t> </w:t>
            </w:r>
            <w:r w:rsidR="008F3232" w:rsidRPr="00F54F98">
              <w:rPr>
                <w:rFonts w:cstheme="minorHAnsi"/>
                <w:szCs w:val="22"/>
              </w:rPr>
              <w:t>2021</w:t>
            </w:r>
          </w:p>
        </w:tc>
        <w:tc>
          <w:tcPr>
            <w:tcW w:w="1740" w:type="pct"/>
          </w:tcPr>
          <w:p w14:paraId="308F3F83" w14:textId="5120EE0B" w:rsidR="008F3232" w:rsidRPr="00F54F98" w:rsidRDefault="008F3232" w:rsidP="007F1DB1">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T</w:t>
            </w:r>
            <w:r w:rsidR="00F54F98">
              <w:rPr>
                <w:rFonts w:cstheme="minorHAnsi"/>
                <w:i/>
                <w:iCs/>
                <w:szCs w:val="22"/>
              </w:rPr>
              <w:t>uoyi</w:t>
            </w:r>
            <w:r w:rsidRPr="00F54F98">
              <w:rPr>
                <w:rFonts w:cstheme="minorHAnsi"/>
                <w:i/>
                <w:iCs/>
                <w:szCs w:val="22"/>
              </w:rPr>
              <w:t>: Treatment of patients with locally advanced or metastatic urothelial carcinoma who have progressed on or after platinum-containing chemotherapy or progressed within 12 months of neoadjuvant or adjuvant platinum-containing chemotherapy.</w:t>
            </w:r>
          </w:p>
        </w:tc>
      </w:tr>
      <w:tr w:rsidR="008F3232" w:rsidRPr="00D01DDB" w14:paraId="3A6FB388" w14:textId="77777777" w:rsidTr="00F54F98">
        <w:trPr>
          <w:trHeight w:val="1555"/>
        </w:trPr>
        <w:tc>
          <w:tcPr>
            <w:cnfStyle w:val="001000000000" w:firstRow="0" w:lastRow="0" w:firstColumn="1" w:lastColumn="0" w:oddVBand="0" w:evenVBand="0" w:oddHBand="0" w:evenHBand="0" w:firstRowFirstColumn="0" w:firstRowLastColumn="0" w:lastRowFirstColumn="0" w:lastRowLastColumn="0"/>
            <w:tcW w:w="959" w:type="pct"/>
            <w:vMerge/>
          </w:tcPr>
          <w:p w14:paraId="2BD3EBE0" w14:textId="77777777" w:rsidR="008F3232" w:rsidRPr="00F54F98" w:rsidRDefault="008F3232" w:rsidP="007F1DB1">
            <w:pPr>
              <w:rPr>
                <w:rFonts w:cstheme="minorHAnsi"/>
                <w:szCs w:val="22"/>
              </w:rPr>
            </w:pPr>
          </w:p>
        </w:tc>
        <w:tc>
          <w:tcPr>
            <w:tcW w:w="1183" w:type="pct"/>
          </w:tcPr>
          <w:p w14:paraId="7C0CB8AE" w14:textId="1FDC12D2" w:rsidR="008F3232" w:rsidRPr="00F54F98" w:rsidRDefault="008F3232" w:rsidP="00FE6BAA">
            <w:pPr>
              <w:cnfStyle w:val="000000000000" w:firstRow="0" w:lastRow="0" w:firstColumn="0" w:lastColumn="0" w:oddVBand="0" w:evenVBand="0" w:oddHBand="0" w:evenHBand="0" w:firstRowFirstColumn="0" w:firstRowLastColumn="0" w:lastRowFirstColumn="0" w:lastRowLastColumn="0"/>
              <w:rPr>
                <w:rFonts w:eastAsiaTheme="minorEastAsia" w:cstheme="minorHAnsi"/>
                <w:szCs w:val="22"/>
                <w:lang w:eastAsia="zh-CN"/>
              </w:rPr>
            </w:pPr>
            <w:r w:rsidRPr="00F54F98">
              <w:rPr>
                <w:rFonts w:cstheme="minorHAnsi"/>
                <w:szCs w:val="22"/>
              </w:rPr>
              <w:t>February</w:t>
            </w:r>
            <w:r w:rsidR="00F54F98">
              <w:rPr>
                <w:rFonts w:cstheme="minorHAnsi"/>
                <w:szCs w:val="22"/>
              </w:rPr>
              <w:t> </w:t>
            </w:r>
            <w:r w:rsidRPr="00F54F98">
              <w:rPr>
                <w:rFonts w:cstheme="minorHAnsi"/>
                <w:szCs w:val="22"/>
              </w:rPr>
              <w:t>2021</w:t>
            </w:r>
          </w:p>
        </w:tc>
        <w:tc>
          <w:tcPr>
            <w:tcW w:w="1118" w:type="pct"/>
          </w:tcPr>
          <w:p w14:paraId="0F15E6EC" w14:textId="4C5BB76A" w:rsidR="008F3232" w:rsidRPr="00F54F98" w:rsidRDefault="00F54F98" w:rsidP="00F54F98">
            <w:pP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Approved on 25 N</w:t>
            </w:r>
            <w:r w:rsidR="008F3232" w:rsidRPr="00F54F98">
              <w:rPr>
                <w:rFonts w:cstheme="minorHAnsi"/>
                <w:szCs w:val="22"/>
              </w:rPr>
              <w:t>ovember</w:t>
            </w:r>
            <w:r>
              <w:rPr>
                <w:rFonts w:cstheme="minorHAnsi"/>
                <w:szCs w:val="22"/>
              </w:rPr>
              <w:t> </w:t>
            </w:r>
            <w:r w:rsidR="008F3232" w:rsidRPr="00F54F98">
              <w:rPr>
                <w:rFonts w:cstheme="minorHAnsi"/>
                <w:szCs w:val="22"/>
              </w:rPr>
              <w:t>2021</w:t>
            </w:r>
          </w:p>
        </w:tc>
        <w:tc>
          <w:tcPr>
            <w:tcW w:w="1740" w:type="pct"/>
          </w:tcPr>
          <w:p w14:paraId="56489B03" w14:textId="0E4C4724" w:rsidR="008F3232" w:rsidRPr="00F54F98" w:rsidRDefault="008F3232" w:rsidP="00F54F98">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T</w:t>
            </w:r>
            <w:r w:rsidR="00F54F98">
              <w:rPr>
                <w:rFonts w:cstheme="minorHAnsi"/>
                <w:i/>
                <w:iCs/>
                <w:szCs w:val="22"/>
              </w:rPr>
              <w:t>uoyi</w:t>
            </w:r>
            <w:r w:rsidRPr="00F54F98">
              <w:rPr>
                <w:rFonts w:cstheme="minorHAnsi"/>
                <w:i/>
                <w:iCs/>
                <w:szCs w:val="22"/>
              </w:rPr>
              <w:t xml:space="preserve"> in combination with cisplatin and gemcitabine as the first-line treatment for patients with locally recurrent or metastatic NPC.</w:t>
            </w:r>
          </w:p>
        </w:tc>
      </w:tr>
      <w:tr w:rsidR="008F3232" w:rsidRPr="00D01DDB" w14:paraId="6CCA6BDE" w14:textId="77777777" w:rsidTr="008F3232">
        <w:trPr>
          <w:trHeight w:val="2246"/>
        </w:trPr>
        <w:tc>
          <w:tcPr>
            <w:cnfStyle w:val="001000000000" w:firstRow="0" w:lastRow="0" w:firstColumn="1" w:lastColumn="0" w:oddVBand="0" w:evenVBand="0" w:oddHBand="0" w:evenHBand="0" w:firstRowFirstColumn="0" w:firstRowLastColumn="0" w:lastRowFirstColumn="0" w:lastRowLastColumn="0"/>
            <w:tcW w:w="959" w:type="pct"/>
            <w:vMerge/>
          </w:tcPr>
          <w:p w14:paraId="6A474265" w14:textId="77777777" w:rsidR="008F3232" w:rsidRPr="00F54F98" w:rsidRDefault="008F3232" w:rsidP="007F1DB1">
            <w:pPr>
              <w:rPr>
                <w:rFonts w:cstheme="minorHAnsi"/>
                <w:szCs w:val="22"/>
              </w:rPr>
            </w:pPr>
          </w:p>
        </w:tc>
        <w:tc>
          <w:tcPr>
            <w:tcW w:w="1183" w:type="pct"/>
          </w:tcPr>
          <w:p w14:paraId="4ACAFC4D" w14:textId="1EB1A38D" w:rsidR="008F3232" w:rsidRPr="00F54F98" w:rsidRDefault="008F3232" w:rsidP="00FE6BAA">
            <w:pPr>
              <w:cnfStyle w:val="000000000000" w:firstRow="0" w:lastRow="0" w:firstColumn="0" w:lastColumn="0" w:oddVBand="0" w:evenVBand="0" w:oddHBand="0" w:evenHBand="0" w:firstRowFirstColumn="0" w:firstRowLastColumn="0" w:lastRowFirstColumn="0" w:lastRowLastColumn="0"/>
              <w:rPr>
                <w:rFonts w:eastAsiaTheme="minorEastAsia" w:cstheme="minorHAnsi"/>
                <w:szCs w:val="22"/>
                <w:lang w:eastAsia="zh-CN"/>
              </w:rPr>
            </w:pPr>
            <w:r w:rsidRPr="00F54F98">
              <w:rPr>
                <w:rFonts w:cstheme="minorHAnsi"/>
                <w:szCs w:val="22"/>
              </w:rPr>
              <w:t>July</w:t>
            </w:r>
            <w:r w:rsidR="00F54F98">
              <w:rPr>
                <w:rFonts w:cstheme="minorHAnsi"/>
                <w:szCs w:val="22"/>
              </w:rPr>
              <w:t> </w:t>
            </w:r>
            <w:r w:rsidRPr="00F54F98">
              <w:rPr>
                <w:rFonts w:cstheme="minorHAnsi"/>
                <w:szCs w:val="22"/>
              </w:rPr>
              <w:t>2021</w:t>
            </w:r>
          </w:p>
        </w:tc>
        <w:tc>
          <w:tcPr>
            <w:tcW w:w="1118" w:type="pct"/>
          </w:tcPr>
          <w:p w14:paraId="683DE71E" w14:textId="37464AD5" w:rsidR="008F3232" w:rsidRPr="00F54F98" w:rsidRDefault="00F54F98" w:rsidP="00FE6BAA">
            <w:pPr>
              <w:cnfStyle w:val="000000000000" w:firstRow="0" w:lastRow="0" w:firstColumn="0" w:lastColumn="0" w:oddVBand="0" w:evenVBand="0" w:oddHBand="0" w:evenHBand="0" w:firstRowFirstColumn="0" w:firstRowLastColumn="0" w:lastRowFirstColumn="0" w:lastRowLastColumn="0"/>
              <w:rPr>
                <w:rFonts w:eastAsiaTheme="minorEastAsia" w:cstheme="minorHAnsi"/>
                <w:szCs w:val="22"/>
                <w:lang w:eastAsia="zh-CN"/>
              </w:rPr>
            </w:pPr>
            <w:r>
              <w:rPr>
                <w:rFonts w:cstheme="minorHAnsi"/>
                <w:szCs w:val="22"/>
              </w:rPr>
              <w:t>Approved on 10 </w:t>
            </w:r>
            <w:r w:rsidR="008F3232" w:rsidRPr="00F54F98">
              <w:rPr>
                <w:rFonts w:cstheme="minorHAnsi"/>
                <w:szCs w:val="22"/>
              </w:rPr>
              <w:t>May</w:t>
            </w:r>
            <w:r>
              <w:rPr>
                <w:rFonts w:cstheme="minorHAnsi"/>
                <w:szCs w:val="22"/>
              </w:rPr>
              <w:t> </w:t>
            </w:r>
            <w:r w:rsidR="008F3232" w:rsidRPr="00F54F98">
              <w:rPr>
                <w:rFonts w:cstheme="minorHAnsi"/>
                <w:szCs w:val="22"/>
              </w:rPr>
              <w:t>2022</w:t>
            </w:r>
          </w:p>
        </w:tc>
        <w:tc>
          <w:tcPr>
            <w:tcW w:w="1740" w:type="pct"/>
          </w:tcPr>
          <w:p w14:paraId="29D85F3D" w14:textId="23CA2DCD" w:rsidR="008F3232" w:rsidRPr="00F54F98" w:rsidRDefault="008F3232" w:rsidP="007F1DB1">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 xml:space="preserve">In combination with paclitaxel and cisplatin in first-line treatment of patients with unresectable locally advanced/recurrent or distant metastatic </w:t>
            </w:r>
            <w:proofErr w:type="spellStart"/>
            <w:r w:rsidRPr="00F54F98">
              <w:rPr>
                <w:rFonts w:cstheme="minorHAnsi"/>
                <w:i/>
                <w:iCs/>
                <w:szCs w:val="22"/>
              </w:rPr>
              <w:t>esophageal</w:t>
            </w:r>
            <w:proofErr w:type="spellEnd"/>
            <w:r w:rsidRPr="00F54F98">
              <w:rPr>
                <w:rFonts w:cstheme="minorHAnsi"/>
                <w:i/>
                <w:iCs/>
                <w:szCs w:val="22"/>
              </w:rPr>
              <w:t xml:space="preserve"> squamous cell carcinoma (ESCC).</w:t>
            </w:r>
          </w:p>
        </w:tc>
      </w:tr>
      <w:tr w:rsidR="008F3232" w:rsidRPr="00D01DDB" w14:paraId="38EBAE64" w14:textId="77777777" w:rsidTr="008F3232">
        <w:trPr>
          <w:trHeight w:val="2246"/>
        </w:trPr>
        <w:tc>
          <w:tcPr>
            <w:cnfStyle w:val="001000000000" w:firstRow="0" w:lastRow="0" w:firstColumn="1" w:lastColumn="0" w:oddVBand="0" w:evenVBand="0" w:oddHBand="0" w:evenHBand="0" w:firstRowFirstColumn="0" w:firstRowLastColumn="0" w:lastRowFirstColumn="0" w:lastRowLastColumn="0"/>
            <w:tcW w:w="959" w:type="pct"/>
            <w:vMerge/>
          </w:tcPr>
          <w:p w14:paraId="2C991325" w14:textId="77777777" w:rsidR="008F3232" w:rsidRPr="00F54F98" w:rsidRDefault="008F3232" w:rsidP="007F1DB1">
            <w:pPr>
              <w:rPr>
                <w:rFonts w:cstheme="minorHAnsi"/>
                <w:szCs w:val="22"/>
              </w:rPr>
            </w:pPr>
          </w:p>
        </w:tc>
        <w:tc>
          <w:tcPr>
            <w:tcW w:w="1183" w:type="pct"/>
          </w:tcPr>
          <w:p w14:paraId="078030B6" w14:textId="710D4F00" w:rsidR="008F3232" w:rsidRPr="00F54F98" w:rsidRDefault="008F3232" w:rsidP="00F54F98">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December</w:t>
            </w:r>
            <w:r w:rsidR="00F54F98">
              <w:rPr>
                <w:rFonts w:cstheme="minorHAnsi"/>
                <w:szCs w:val="22"/>
              </w:rPr>
              <w:t> </w:t>
            </w:r>
            <w:r w:rsidRPr="00F54F98">
              <w:rPr>
                <w:rFonts w:cstheme="minorHAnsi"/>
                <w:szCs w:val="22"/>
              </w:rPr>
              <w:t>2021</w:t>
            </w:r>
          </w:p>
        </w:tc>
        <w:tc>
          <w:tcPr>
            <w:tcW w:w="1118" w:type="pct"/>
          </w:tcPr>
          <w:p w14:paraId="5BD9676B" w14:textId="0A4CCBB0" w:rsidR="008F3232" w:rsidRPr="00F54F98" w:rsidRDefault="00F54F98" w:rsidP="00F54F98">
            <w:pP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Approved on 14 </w:t>
            </w:r>
            <w:r w:rsidR="008F3232" w:rsidRPr="00F54F98">
              <w:rPr>
                <w:rFonts w:cstheme="minorHAnsi"/>
                <w:szCs w:val="22"/>
              </w:rPr>
              <w:t>Septembe</w:t>
            </w:r>
            <w:r>
              <w:rPr>
                <w:rFonts w:cstheme="minorHAnsi"/>
                <w:szCs w:val="22"/>
              </w:rPr>
              <w:t>r </w:t>
            </w:r>
            <w:r w:rsidR="008F3232" w:rsidRPr="00F54F98">
              <w:rPr>
                <w:rFonts w:cstheme="minorHAnsi"/>
                <w:szCs w:val="22"/>
              </w:rPr>
              <w:t>2022</w:t>
            </w:r>
          </w:p>
        </w:tc>
        <w:tc>
          <w:tcPr>
            <w:tcW w:w="1740" w:type="pct"/>
          </w:tcPr>
          <w:p w14:paraId="3E6161A4" w14:textId="7A72C834" w:rsidR="008F3232" w:rsidRPr="00F54F98" w:rsidRDefault="008F3232" w:rsidP="008F3232">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 xml:space="preserve">In combination with pemetrexed and platinum as the first-line treatment in EGFR mutation negative and ALK mutation-negative, unresectable, locally advanced, or metastatic </w:t>
            </w:r>
            <w:proofErr w:type="spellStart"/>
            <w:r w:rsidRPr="00F54F98">
              <w:rPr>
                <w:rFonts w:cstheme="minorHAnsi"/>
                <w:i/>
                <w:iCs/>
                <w:szCs w:val="22"/>
              </w:rPr>
              <w:t>nonsquamous</w:t>
            </w:r>
            <w:proofErr w:type="spellEnd"/>
            <w:r w:rsidRPr="00F54F98">
              <w:rPr>
                <w:rFonts w:cstheme="minorHAnsi"/>
                <w:i/>
                <w:iCs/>
                <w:szCs w:val="22"/>
              </w:rPr>
              <w:t xml:space="preserve"> non-small cell lung cancer (NSCLC)</w:t>
            </w:r>
          </w:p>
        </w:tc>
      </w:tr>
      <w:tr w:rsidR="008F3232" w:rsidRPr="00D01DDB" w14:paraId="1D95281B" w14:textId="77777777" w:rsidTr="008F3232">
        <w:trPr>
          <w:trHeight w:val="2246"/>
        </w:trPr>
        <w:tc>
          <w:tcPr>
            <w:cnfStyle w:val="001000000000" w:firstRow="0" w:lastRow="0" w:firstColumn="1" w:lastColumn="0" w:oddVBand="0" w:evenVBand="0" w:oddHBand="0" w:evenHBand="0" w:firstRowFirstColumn="0" w:firstRowLastColumn="0" w:lastRowFirstColumn="0" w:lastRowLastColumn="0"/>
            <w:tcW w:w="959" w:type="pct"/>
            <w:vMerge/>
          </w:tcPr>
          <w:p w14:paraId="448DF5B0" w14:textId="77777777" w:rsidR="008F3232" w:rsidRPr="00F54F98" w:rsidRDefault="008F3232" w:rsidP="007F1DB1">
            <w:pPr>
              <w:rPr>
                <w:rFonts w:cstheme="minorHAnsi"/>
                <w:szCs w:val="22"/>
              </w:rPr>
            </w:pPr>
          </w:p>
        </w:tc>
        <w:tc>
          <w:tcPr>
            <w:tcW w:w="1183" w:type="pct"/>
          </w:tcPr>
          <w:p w14:paraId="15174618" w14:textId="04DDBCEA" w:rsidR="008F3232" w:rsidRPr="00F54F98" w:rsidRDefault="008F3232" w:rsidP="00F54F98">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April</w:t>
            </w:r>
            <w:r w:rsidR="00F54F98">
              <w:rPr>
                <w:rFonts w:cstheme="minorHAnsi"/>
                <w:szCs w:val="22"/>
              </w:rPr>
              <w:t> </w:t>
            </w:r>
            <w:r w:rsidRPr="00F54F98">
              <w:rPr>
                <w:rFonts w:cstheme="minorHAnsi"/>
                <w:szCs w:val="22"/>
              </w:rPr>
              <w:t>2023</w:t>
            </w:r>
          </w:p>
        </w:tc>
        <w:tc>
          <w:tcPr>
            <w:tcW w:w="1118" w:type="pct"/>
          </w:tcPr>
          <w:p w14:paraId="38E8C270" w14:textId="72884973" w:rsidR="008F3232" w:rsidRPr="00F54F98" w:rsidRDefault="00F54F98" w:rsidP="00F54F98">
            <w:pP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Approved on 26 D</w:t>
            </w:r>
            <w:r w:rsidR="008F3232" w:rsidRPr="00F54F98">
              <w:rPr>
                <w:rFonts w:cstheme="minorHAnsi"/>
                <w:szCs w:val="22"/>
              </w:rPr>
              <w:t>ecember</w:t>
            </w:r>
            <w:r>
              <w:rPr>
                <w:rFonts w:cstheme="minorHAnsi"/>
                <w:szCs w:val="22"/>
              </w:rPr>
              <w:t> </w:t>
            </w:r>
            <w:r w:rsidR="008F3232" w:rsidRPr="00F54F98">
              <w:rPr>
                <w:rFonts w:cstheme="minorHAnsi"/>
                <w:szCs w:val="22"/>
              </w:rPr>
              <w:t>2023</w:t>
            </w:r>
          </w:p>
        </w:tc>
        <w:tc>
          <w:tcPr>
            <w:tcW w:w="1740" w:type="pct"/>
          </w:tcPr>
          <w:p w14:paraId="5478139C" w14:textId="6FAA3B25" w:rsidR="008F3232" w:rsidRPr="00F54F98" w:rsidRDefault="008F3232" w:rsidP="00F54F98">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 xml:space="preserve">Treatment in combination with chemotherapy as perioperative treatment and subsequently with monotherapy as adjuvant therapy for the treatment of adult patients with </w:t>
            </w:r>
            <w:proofErr w:type="spellStart"/>
            <w:r w:rsidRPr="00F54F98">
              <w:rPr>
                <w:rFonts w:cstheme="minorHAnsi"/>
                <w:i/>
                <w:iCs/>
                <w:szCs w:val="22"/>
              </w:rPr>
              <w:t>resectable</w:t>
            </w:r>
            <w:proofErr w:type="spellEnd"/>
            <w:r w:rsidRPr="00F54F98">
              <w:rPr>
                <w:rFonts w:cstheme="minorHAnsi"/>
                <w:i/>
                <w:iCs/>
                <w:szCs w:val="22"/>
              </w:rPr>
              <w:t xml:space="preserve"> stage IIIA-IIIB NSCLC.</w:t>
            </w:r>
          </w:p>
        </w:tc>
      </w:tr>
      <w:tr w:rsidR="008F3232" w:rsidRPr="00D01DDB" w14:paraId="207F98F1" w14:textId="77777777" w:rsidTr="00F54F98">
        <w:trPr>
          <w:trHeight w:val="1856"/>
        </w:trPr>
        <w:tc>
          <w:tcPr>
            <w:cnfStyle w:val="001000000000" w:firstRow="0" w:lastRow="0" w:firstColumn="1" w:lastColumn="0" w:oddVBand="0" w:evenVBand="0" w:oddHBand="0" w:evenHBand="0" w:firstRowFirstColumn="0" w:firstRowLastColumn="0" w:lastRowFirstColumn="0" w:lastRowLastColumn="0"/>
            <w:tcW w:w="959" w:type="pct"/>
            <w:vMerge/>
          </w:tcPr>
          <w:p w14:paraId="7E3064E1" w14:textId="77777777" w:rsidR="008F3232" w:rsidRPr="00F54F98" w:rsidRDefault="008F3232" w:rsidP="007F1DB1">
            <w:pPr>
              <w:rPr>
                <w:rFonts w:cstheme="minorHAnsi"/>
                <w:szCs w:val="22"/>
              </w:rPr>
            </w:pPr>
          </w:p>
        </w:tc>
        <w:tc>
          <w:tcPr>
            <w:tcW w:w="1183" w:type="pct"/>
          </w:tcPr>
          <w:p w14:paraId="219AFA1C" w14:textId="49B4ED12" w:rsidR="008F3232" w:rsidRPr="00F54F98" w:rsidRDefault="008F3232" w:rsidP="00F54F98">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July</w:t>
            </w:r>
            <w:r w:rsidR="00F54F98">
              <w:rPr>
                <w:rFonts w:cstheme="minorHAnsi"/>
                <w:szCs w:val="22"/>
              </w:rPr>
              <w:t> </w:t>
            </w:r>
            <w:r w:rsidRPr="00F54F98">
              <w:rPr>
                <w:rFonts w:cstheme="minorHAnsi"/>
                <w:szCs w:val="22"/>
              </w:rPr>
              <w:t>2023</w:t>
            </w:r>
          </w:p>
        </w:tc>
        <w:tc>
          <w:tcPr>
            <w:tcW w:w="1118" w:type="pct"/>
          </w:tcPr>
          <w:p w14:paraId="5179CD14" w14:textId="12324FCD" w:rsidR="008F3232" w:rsidRPr="00F54F98" w:rsidRDefault="00F54F98" w:rsidP="00F54F98">
            <w:pP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Approved on 2 </w:t>
            </w:r>
            <w:r w:rsidR="008F3232" w:rsidRPr="00F54F98">
              <w:rPr>
                <w:rFonts w:cstheme="minorHAnsi"/>
                <w:szCs w:val="22"/>
              </w:rPr>
              <w:t>April</w:t>
            </w:r>
            <w:r>
              <w:rPr>
                <w:rFonts w:cstheme="minorHAnsi"/>
                <w:szCs w:val="22"/>
              </w:rPr>
              <w:t> </w:t>
            </w:r>
            <w:r w:rsidR="008F3232" w:rsidRPr="00F54F98">
              <w:rPr>
                <w:rFonts w:cstheme="minorHAnsi"/>
                <w:szCs w:val="22"/>
              </w:rPr>
              <w:t>2024</w:t>
            </w:r>
          </w:p>
        </w:tc>
        <w:tc>
          <w:tcPr>
            <w:tcW w:w="1740" w:type="pct"/>
          </w:tcPr>
          <w:p w14:paraId="48BD47FD" w14:textId="48E979AA" w:rsidR="008F3232" w:rsidRPr="00F54F98" w:rsidRDefault="008F3232" w:rsidP="00F54F98">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 xml:space="preserve">Treatment in combination with </w:t>
            </w:r>
            <w:proofErr w:type="spellStart"/>
            <w:r w:rsidRPr="00F54F98">
              <w:rPr>
                <w:rFonts w:cstheme="minorHAnsi"/>
                <w:i/>
                <w:iCs/>
                <w:szCs w:val="22"/>
              </w:rPr>
              <w:t>axitinib</w:t>
            </w:r>
            <w:proofErr w:type="spellEnd"/>
            <w:r w:rsidRPr="00F54F98">
              <w:rPr>
                <w:rFonts w:cstheme="minorHAnsi"/>
                <w:i/>
                <w:iCs/>
                <w:szCs w:val="22"/>
              </w:rPr>
              <w:t xml:space="preserve"> for the first-line treatment of patients with medium to high risk unresectable or metastatic renal cell carcinoma (RCC)</w:t>
            </w:r>
            <w:r w:rsidR="00F54F98" w:rsidRPr="00F54F98">
              <w:rPr>
                <w:rFonts w:cstheme="minorHAnsi"/>
                <w:i/>
                <w:iCs/>
                <w:szCs w:val="22"/>
              </w:rPr>
              <w:t>.</w:t>
            </w:r>
          </w:p>
        </w:tc>
      </w:tr>
      <w:tr w:rsidR="008F3232" w:rsidRPr="00D01DDB" w14:paraId="5D1BA807" w14:textId="77777777" w:rsidTr="00F54F98">
        <w:trPr>
          <w:trHeight w:val="1591"/>
        </w:trPr>
        <w:tc>
          <w:tcPr>
            <w:cnfStyle w:val="001000000000" w:firstRow="0" w:lastRow="0" w:firstColumn="1" w:lastColumn="0" w:oddVBand="0" w:evenVBand="0" w:oddHBand="0" w:evenHBand="0" w:firstRowFirstColumn="0" w:firstRowLastColumn="0" w:lastRowFirstColumn="0" w:lastRowLastColumn="0"/>
            <w:tcW w:w="959" w:type="pct"/>
            <w:vMerge/>
          </w:tcPr>
          <w:p w14:paraId="5A1B1BD5" w14:textId="77777777" w:rsidR="008F3232" w:rsidRPr="00F54F98" w:rsidRDefault="008F3232" w:rsidP="007F1DB1">
            <w:pPr>
              <w:rPr>
                <w:rFonts w:cstheme="minorHAnsi"/>
                <w:szCs w:val="22"/>
              </w:rPr>
            </w:pPr>
          </w:p>
        </w:tc>
        <w:tc>
          <w:tcPr>
            <w:tcW w:w="1183" w:type="pct"/>
          </w:tcPr>
          <w:p w14:paraId="5D07A2C1" w14:textId="1A15F546" w:rsidR="008F3232" w:rsidRPr="00F54F98" w:rsidRDefault="008F3232" w:rsidP="00F54F98">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July</w:t>
            </w:r>
            <w:r w:rsidR="00F54F98">
              <w:rPr>
                <w:rFonts w:cstheme="minorHAnsi"/>
                <w:szCs w:val="22"/>
              </w:rPr>
              <w:t> </w:t>
            </w:r>
            <w:r w:rsidRPr="00F54F98">
              <w:rPr>
                <w:rFonts w:cstheme="minorHAnsi"/>
                <w:szCs w:val="22"/>
              </w:rPr>
              <w:t>2023</w:t>
            </w:r>
          </w:p>
        </w:tc>
        <w:tc>
          <w:tcPr>
            <w:tcW w:w="1118" w:type="pct"/>
          </w:tcPr>
          <w:p w14:paraId="08FBA0EE" w14:textId="04117A0D" w:rsidR="008F3232" w:rsidRPr="00F54F98" w:rsidRDefault="00F54F98" w:rsidP="00F54F98">
            <w:pP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Approved on 4 </w:t>
            </w:r>
            <w:r w:rsidR="008F3232" w:rsidRPr="00F54F98">
              <w:rPr>
                <w:rFonts w:cstheme="minorHAnsi"/>
                <w:szCs w:val="22"/>
              </w:rPr>
              <w:t>June</w:t>
            </w:r>
            <w:r>
              <w:rPr>
                <w:rFonts w:cstheme="minorHAnsi"/>
                <w:szCs w:val="22"/>
              </w:rPr>
              <w:t> </w:t>
            </w:r>
            <w:r w:rsidR="008F3232" w:rsidRPr="00F54F98">
              <w:rPr>
                <w:rFonts w:cstheme="minorHAnsi"/>
                <w:szCs w:val="22"/>
              </w:rPr>
              <w:t>2024</w:t>
            </w:r>
          </w:p>
        </w:tc>
        <w:tc>
          <w:tcPr>
            <w:tcW w:w="1740" w:type="pct"/>
          </w:tcPr>
          <w:p w14:paraId="385983A2" w14:textId="7D7FBC69" w:rsidR="008F3232" w:rsidRPr="00F54F98" w:rsidRDefault="008F3232" w:rsidP="00F54F98">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Treatment in combination with etoposide plus platinum for the first-line treatment of extensive-stage small cell lung cancer (ES-SCLC).</w:t>
            </w:r>
          </w:p>
        </w:tc>
      </w:tr>
      <w:tr w:rsidR="008F3232" w:rsidRPr="00D01DDB" w14:paraId="1ABC606D" w14:textId="77777777" w:rsidTr="00F54F98">
        <w:trPr>
          <w:trHeight w:val="1826"/>
        </w:trPr>
        <w:tc>
          <w:tcPr>
            <w:cnfStyle w:val="001000000000" w:firstRow="0" w:lastRow="0" w:firstColumn="1" w:lastColumn="0" w:oddVBand="0" w:evenVBand="0" w:oddHBand="0" w:evenHBand="0" w:firstRowFirstColumn="0" w:firstRowLastColumn="0" w:lastRowFirstColumn="0" w:lastRowLastColumn="0"/>
            <w:tcW w:w="959" w:type="pct"/>
            <w:vMerge/>
          </w:tcPr>
          <w:p w14:paraId="090A0E01" w14:textId="77777777" w:rsidR="008F3232" w:rsidRPr="00F54F98" w:rsidRDefault="008F3232" w:rsidP="007F1DB1">
            <w:pPr>
              <w:rPr>
                <w:rFonts w:cstheme="minorHAnsi"/>
                <w:szCs w:val="22"/>
              </w:rPr>
            </w:pPr>
          </w:p>
        </w:tc>
        <w:tc>
          <w:tcPr>
            <w:tcW w:w="1183" w:type="pct"/>
          </w:tcPr>
          <w:p w14:paraId="61C800B2" w14:textId="35F6611C" w:rsidR="008F3232" w:rsidRPr="00F54F98" w:rsidRDefault="008F3232" w:rsidP="00F54F98">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May</w:t>
            </w:r>
            <w:r w:rsidR="00F54F98">
              <w:rPr>
                <w:rFonts w:cstheme="minorHAnsi"/>
                <w:szCs w:val="22"/>
              </w:rPr>
              <w:t> </w:t>
            </w:r>
            <w:r w:rsidRPr="00F54F98">
              <w:rPr>
                <w:rFonts w:cstheme="minorHAnsi"/>
                <w:szCs w:val="22"/>
              </w:rPr>
              <w:t>2023</w:t>
            </w:r>
          </w:p>
        </w:tc>
        <w:tc>
          <w:tcPr>
            <w:tcW w:w="1118" w:type="pct"/>
          </w:tcPr>
          <w:p w14:paraId="50CF9FAE" w14:textId="783D27E8" w:rsidR="008F3232" w:rsidRPr="00F54F98" w:rsidRDefault="00F54F98" w:rsidP="00F54F98">
            <w:pP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Approved on 18 </w:t>
            </w:r>
            <w:r w:rsidR="008F3232" w:rsidRPr="00F54F98">
              <w:rPr>
                <w:rFonts w:cstheme="minorHAnsi"/>
                <w:szCs w:val="22"/>
              </w:rPr>
              <w:t>June</w:t>
            </w:r>
            <w:r>
              <w:rPr>
                <w:rFonts w:cstheme="minorHAnsi"/>
                <w:szCs w:val="22"/>
              </w:rPr>
              <w:t> </w:t>
            </w:r>
            <w:r w:rsidR="008F3232" w:rsidRPr="00F54F98">
              <w:rPr>
                <w:rFonts w:cstheme="minorHAnsi"/>
                <w:szCs w:val="22"/>
              </w:rPr>
              <w:t>2024</w:t>
            </w:r>
          </w:p>
        </w:tc>
        <w:tc>
          <w:tcPr>
            <w:tcW w:w="1740" w:type="pct"/>
          </w:tcPr>
          <w:p w14:paraId="482DA915" w14:textId="576F46F6" w:rsidR="008F3232" w:rsidRPr="00F54F98" w:rsidRDefault="008F3232" w:rsidP="007F1DB1">
            <w:pPr>
              <w:cnfStyle w:val="000000000000" w:firstRow="0" w:lastRow="0" w:firstColumn="0" w:lastColumn="0" w:oddVBand="0" w:evenVBand="0" w:oddHBand="0" w:evenHBand="0" w:firstRowFirstColumn="0" w:firstRowLastColumn="0" w:lastRowFirstColumn="0" w:lastRowLastColumn="0"/>
              <w:rPr>
                <w:rFonts w:cstheme="minorHAnsi"/>
                <w:i/>
                <w:iCs/>
                <w:szCs w:val="22"/>
              </w:rPr>
            </w:pPr>
            <w:r w:rsidRPr="00F54F98">
              <w:rPr>
                <w:rFonts w:cstheme="minorHAnsi"/>
                <w:i/>
                <w:iCs/>
                <w:szCs w:val="22"/>
              </w:rPr>
              <w:t>Treatment in combination with paclitaxel for injection (albumin-bound) for the first-line treatment of recurrent or metastatic triple-negative breast cancer (TNBC)</w:t>
            </w:r>
          </w:p>
        </w:tc>
      </w:tr>
      <w:tr w:rsidR="008F3232" w:rsidRPr="00D01DDB" w14:paraId="7390BAE4" w14:textId="77777777" w:rsidTr="00F54F98">
        <w:trPr>
          <w:trHeight w:val="799"/>
        </w:trPr>
        <w:tc>
          <w:tcPr>
            <w:cnfStyle w:val="001000000000" w:firstRow="0" w:lastRow="0" w:firstColumn="1" w:lastColumn="0" w:oddVBand="0" w:evenVBand="0" w:oddHBand="0" w:evenHBand="0" w:firstRowFirstColumn="0" w:firstRowLastColumn="0" w:lastRowFirstColumn="0" w:lastRowLastColumn="0"/>
            <w:tcW w:w="959" w:type="pct"/>
            <w:vMerge/>
          </w:tcPr>
          <w:p w14:paraId="47CBE840" w14:textId="77777777" w:rsidR="008F3232" w:rsidRPr="00F54F98" w:rsidRDefault="008F3232" w:rsidP="007F1DB1">
            <w:pPr>
              <w:rPr>
                <w:rFonts w:cstheme="minorHAnsi"/>
                <w:szCs w:val="22"/>
              </w:rPr>
            </w:pPr>
          </w:p>
        </w:tc>
        <w:tc>
          <w:tcPr>
            <w:tcW w:w="1183" w:type="pct"/>
          </w:tcPr>
          <w:p w14:paraId="7499B0FE" w14:textId="2B6E2C28" w:rsidR="008F3232" w:rsidRPr="00F54F98" w:rsidRDefault="008F3232" w:rsidP="00F54F98">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July</w:t>
            </w:r>
            <w:r w:rsidR="00F54F98">
              <w:rPr>
                <w:rFonts w:cstheme="minorHAnsi"/>
                <w:szCs w:val="22"/>
              </w:rPr>
              <w:t> </w:t>
            </w:r>
            <w:r w:rsidRPr="00F54F98">
              <w:rPr>
                <w:rFonts w:cstheme="minorHAnsi"/>
                <w:szCs w:val="22"/>
              </w:rPr>
              <w:t>2024</w:t>
            </w:r>
          </w:p>
        </w:tc>
        <w:tc>
          <w:tcPr>
            <w:tcW w:w="1118" w:type="pct"/>
          </w:tcPr>
          <w:p w14:paraId="472806FF" w14:textId="5E0351B5" w:rsidR="008F3232" w:rsidRPr="00F54F98" w:rsidRDefault="00F54F98" w:rsidP="00F54F98">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54F98">
              <w:rPr>
                <w:rFonts w:cstheme="minorHAnsi"/>
                <w:szCs w:val="22"/>
              </w:rPr>
              <w:t>Under consideration</w:t>
            </w:r>
          </w:p>
        </w:tc>
        <w:tc>
          <w:tcPr>
            <w:tcW w:w="1740" w:type="pct"/>
          </w:tcPr>
          <w:p w14:paraId="65A12EE4" w14:textId="7830180F" w:rsidR="008F3232" w:rsidRPr="00F54F98" w:rsidRDefault="00F54F98" w:rsidP="00F54F98">
            <w:pPr>
              <w:cnfStyle w:val="000000000000" w:firstRow="0" w:lastRow="0" w:firstColumn="0" w:lastColumn="0" w:oddVBand="0" w:evenVBand="0" w:oddHBand="0" w:evenHBand="0" w:firstRowFirstColumn="0" w:firstRowLastColumn="0" w:lastRowFirstColumn="0" w:lastRowLastColumn="0"/>
              <w:rPr>
                <w:rFonts w:cstheme="minorHAnsi"/>
                <w:i/>
                <w:iCs/>
                <w:szCs w:val="22"/>
                <w:lang w:val="en-US"/>
              </w:rPr>
            </w:pPr>
            <w:r>
              <w:rPr>
                <w:rFonts w:cstheme="minorHAnsi"/>
                <w:i/>
                <w:iCs/>
                <w:szCs w:val="22"/>
                <w:lang w:val="en-US"/>
              </w:rPr>
              <w:t>Under consideration</w:t>
            </w:r>
          </w:p>
        </w:tc>
      </w:tr>
      <w:tr w:rsidR="008F3232" w:rsidRPr="00D01DDB" w14:paraId="4B27723C" w14:textId="77777777" w:rsidTr="00F54F98">
        <w:trPr>
          <w:trHeight w:val="681"/>
        </w:trPr>
        <w:tc>
          <w:tcPr>
            <w:cnfStyle w:val="001000000000" w:firstRow="0" w:lastRow="0" w:firstColumn="1" w:lastColumn="0" w:oddVBand="0" w:evenVBand="0" w:oddHBand="0" w:evenHBand="0" w:firstRowFirstColumn="0" w:firstRowLastColumn="0" w:lastRowFirstColumn="0" w:lastRowLastColumn="0"/>
            <w:tcW w:w="959" w:type="pct"/>
            <w:vMerge/>
          </w:tcPr>
          <w:p w14:paraId="125EA368" w14:textId="77777777" w:rsidR="008F3232" w:rsidRPr="00F54F98" w:rsidRDefault="008F3232" w:rsidP="007F1DB1">
            <w:pPr>
              <w:rPr>
                <w:rFonts w:cstheme="minorHAnsi"/>
                <w:szCs w:val="22"/>
              </w:rPr>
            </w:pPr>
          </w:p>
        </w:tc>
        <w:tc>
          <w:tcPr>
            <w:tcW w:w="1183" w:type="pct"/>
          </w:tcPr>
          <w:p w14:paraId="53AF99E2" w14:textId="73EB2F07" w:rsidR="008F3232" w:rsidRPr="00F54F98" w:rsidRDefault="008F3232" w:rsidP="00FE6BAA">
            <w:pPr>
              <w:cnfStyle w:val="000000000000" w:firstRow="0" w:lastRow="0" w:firstColumn="0" w:lastColumn="0" w:oddVBand="0" w:evenVBand="0" w:oddHBand="0" w:evenHBand="0" w:firstRowFirstColumn="0" w:firstRowLastColumn="0" w:lastRowFirstColumn="0" w:lastRowLastColumn="0"/>
              <w:rPr>
                <w:rFonts w:eastAsiaTheme="minorEastAsia" w:cstheme="minorHAnsi"/>
                <w:szCs w:val="22"/>
                <w:lang w:eastAsia="zh-CN"/>
              </w:rPr>
            </w:pPr>
            <w:r w:rsidRPr="00F54F98">
              <w:rPr>
                <w:rFonts w:cstheme="minorHAnsi"/>
                <w:szCs w:val="22"/>
              </w:rPr>
              <w:t>August</w:t>
            </w:r>
            <w:r w:rsidR="00F54F98">
              <w:rPr>
                <w:rFonts w:cstheme="minorHAnsi"/>
                <w:szCs w:val="22"/>
              </w:rPr>
              <w:t> </w:t>
            </w:r>
            <w:r w:rsidRPr="00F54F98">
              <w:rPr>
                <w:rFonts w:cstheme="minorHAnsi"/>
                <w:szCs w:val="22"/>
              </w:rPr>
              <w:t>2024</w:t>
            </w:r>
          </w:p>
        </w:tc>
        <w:tc>
          <w:tcPr>
            <w:tcW w:w="1118" w:type="pct"/>
          </w:tcPr>
          <w:p w14:paraId="12AF496C" w14:textId="13A87382" w:rsidR="008F3232" w:rsidRPr="00F54F98" w:rsidRDefault="00F54F98" w:rsidP="00F54F98">
            <w:pPr>
              <w:cnfStyle w:val="000000000000" w:firstRow="0" w:lastRow="0" w:firstColumn="0" w:lastColumn="0" w:oddVBand="0" w:evenVBand="0" w:oddHBand="0" w:evenHBand="0" w:firstRowFirstColumn="0" w:firstRowLastColumn="0" w:lastRowFirstColumn="0" w:lastRowLastColumn="0"/>
              <w:rPr>
                <w:rFonts w:eastAsiaTheme="minorEastAsia" w:cstheme="minorHAnsi"/>
                <w:szCs w:val="22"/>
                <w:lang w:eastAsia="zh-CN"/>
              </w:rPr>
            </w:pPr>
            <w:r w:rsidRPr="00F54F98">
              <w:rPr>
                <w:rFonts w:eastAsiaTheme="minorEastAsia" w:cstheme="minorHAnsi"/>
                <w:szCs w:val="22"/>
                <w:lang w:eastAsia="zh-CN"/>
              </w:rPr>
              <w:t>Under consideration</w:t>
            </w:r>
          </w:p>
        </w:tc>
        <w:tc>
          <w:tcPr>
            <w:tcW w:w="1740" w:type="pct"/>
          </w:tcPr>
          <w:p w14:paraId="69A0714C" w14:textId="0A05BE94" w:rsidR="008F3232" w:rsidRPr="00F54F98" w:rsidRDefault="00F54F98" w:rsidP="00F54F98">
            <w:pPr>
              <w:cnfStyle w:val="000000000000" w:firstRow="0" w:lastRow="0" w:firstColumn="0" w:lastColumn="0" w:oddVBand="0" w:evenVBand="0" w:oddHBand="0" w:evenHBand="0" w:firstRowFirstColumn="0" w:firstRowLastColumn="0" w:lastRowFirstColumn="0" w:lastRowLastColumn="0"/>
              <w:rPr>
                <w:rFonts w:cstheme="minorHAnsi"/>
                <w:i/>
                <w:iCs/>
                <w:szCs w:val="22"/>
              </w:rPr>
            </w:pPr>
            <w:r>
              <w:rPr>
                <w:rFonts w:cstheme="minorHAnsi"/>
                <w:i/>
                <w:iCs/>
                <w:szCs w:val="22"/>
              </w:rPr>
              <w:t>Under consideration</w:t>
            </w:r>
          </w:p>
        </w:tc>
      </w:tr>
    </w:tbl>
    <w:p w14:paraId="6D92589C" w14:textId="09786CEF" w:rsidR="00324B33" w:rsidRDefault="00324B33" w:rsidP="00324B33">
      <w:pPr>
        <w:pStyle w:val="Heading2"/>
      </w:pPr>
      <w:bookmarkStart w:id="29" w:name="_Toc504480011"/>
      <w:bookmarkStart w:id="30" w:name="_Toc103679293"/>
      <w:bookmarkStart w:id="31" w:name="_Toc233974542"/>
      <w:r>
        <w:t>Registration timeline</w:t>
      </w:r>
      <w:bookmarkEnd w:id="29"/>
      <w:bookmarkEnd w:id="30"/>
      <w:bookmarkEnd w:id="31"/>
    </w:p>
    <w:p w14:paraId="225E3D87" w14:textId="1F3070CE" w:rsidR="00324B33" w:rsidRPr="00BD5DBD" w:rsidRDefault="00324B33" w:rsidP="00324B33">
      <w:pPr>
        <w:rPr>
          <w:szCs w:val="22"/>
        </w:rPr>
      </w:pPr>
      <w:r w:rsidRPr="00BD5DBD">
        <w:rPr>
          <w:szCs w:val="22"/>
        </w:rPr>
        <w:t>The following table captures the key steps and dates for this submission.</w:t>
      </w:r>
    </w:p>
    <w:p w14:paraId="6BB76942" w14:textId="3FBFAD22" w:rsidR="00477C4E" w:rsidRPr="00BD5DBD" w:rsidRDefault="00477C4E" w:rsidP="00324B33">
      <w:pPr>
        <w:rPr>
          <w:szCs w:val="22"/>
        </w:rPr>
      </w:pPr>
      <w:r w:rsidRPr="00BD5DBD">
        <w:rPr>
          <w:szCs w:val="22"/>
        </w:rPr>
        <w:t xml:space="preserve">This submission was evaluated under the </w:t>
      </w:r>
      <w:hyperlink r:id="rId24" w:history="1">
        <w:r w:rsidRPr="00BD5DBD">
          <w:rPr>
            <w:rStyle w:val="Hyperlink"/>
            <w:szCs w:val="22"/>
          </w:rPr>
          <w:t>standard prescription medicines registration process</w:t>
        </w:r>
      </w:hyperlink>
      <w:r w:rsidRPr="00BD5DBD">
        <w:rPr>
          <w:szCs w:val="22"/>
        </w:rPr>
        <w:t>.</w:t>
      </w:r>
    </w:p>
    <w:p w14:paraId="5173978A" w14:textId="3124FDF0" w:rsidR="003C1192" w:rsidRDefault="00324B33" w:rsidP="00CE2505">
      <w:pPr>
        <w:pStyle w:val="TableTitle"/>
      </w:pPr>
      <w:r w:rsidRPr="002C1232">
        <w:t xml:space="preserve">Table </w:t>
      </w:r>
      <w:fldSimple w:instr=" SEQ Table \* ARABIC ">
        <w:r w:rsidR="00D82028">
          <w:rPr>
            <w:noProof/>
          </w:rPr>
          <w:t>2</w:t>
        </w:r>
      </w:fldSimple>
      <w:r w:rsidRPr="002C1232">
        <w:t xml:space="preserve">: Timeline for Submission </w:t>
      </w:r>
      <w:r w:rsidR="004021D6" w:rsidRPr="004021D6">
        <w:t>PM-2023-04783-1-4</w:t>
      </w:r>
    </w:p>
    <w:tbl>
      <w:tblPr>
        <w:tblStyle w:val="TableTGAblue2023"/>
        <w:tblW w:w="8642" w:type="dxa"/>
        <w:tblLook w:val="04A0" w:firstRow="1" w:lastRow="0" w:firstColumn="1" w:lastColumn="0" w:noHBand="0" w:noVBand="1"/>
      </w:tblPr>
      <w:tblGrid>
        <w:gridCol w:w="6232"/>
        <w:gridCol w:w="2410"/>
      </w:tblGrid>
      <w:tr w:rsidR="00324B33" w:rsidRPr="00D01DDB" w14:paraId="6C59BE9C" w14:textId="77777777" w:rsidTr="00FE6B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16D80E78" w14:textId="3EC0CCAF" w:rsidR="00324B33" w:rsidRPr="00D01DDB" w:rsidRDefault="00324B33" w:rsidP="00324B33">
            <w:pPr>
              <w:rPr>
                <w:szCs w:val="22"/>
              </w:rPr>
            </w:pPr>
            <w:r w:rsidRPr="00D01DDB">
              <w:rPr>
                <w:szCs w:val="22"/>
              </w:rPr>
              <w:t>Description</w:t>
            </w:r>
          </w:p>
        </w:tc>
        <w:tc>
          <w:tcPr>
            <w:tcW w:w="2410" w:type="dxa"/>
          </w:tcPr>
          <w:p w14:paraId="79AFDC4B" w14:textId="05792035"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Date</w:t>
            </w:r>
          </w:p>
        </w:tc>
      </w:tr>
      <w:tr w:rsidR="00324B33" w:rsidRPr="00D01DDB" w14:paraId="1398460B" w14:textId="77777777" w:rsidTr="00FE6BAA">
        <w:tc>
          <w:tcPr>
            <w:cnfStyle w:val="001000000000" w:firstRow="0" w:lastRow="0" w:firstColumn="1" w:lastColumn="0" w:oddVBand="0" w:evenVBand="0" w:oddHBand="0" w:evenHBand="0" w:firstRowFirstColumn="0" w:firstRowLastColumn="0" w:lastRowFirstColumn="0" w:lastRowLastColumn="0"/>
            <w:tcW w:w="6232" w:type="dxa"/>
          </w:tcPr>
          <w:p w14:paraId="1106CC1E" w14:textId="56269E33" w:rsidR="00324B33" w:rsidRPr="00E679D1" w:rsidRDefault="00324B33" w:rsidP="00E679D1">
            <w:r w:rsidRPr="00E679D1">
              <w:t>Designation (Orphan)</w:t>
            </w:r>
          </w:p>
        </w:tc>
        <w:tc>
          <w:tcPr>
            <w:tcW w:w="2410" w:type="dxa"/>
          </w:tcPr>
          <w:p w14:paraId="4CD143CF" w14:textId="4B1249CC" w:rsidR="00324B33" w:rsidRPr="00D01DDB" w:rsidRDefault="00C616AF"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25 September 20</w:t>
            </w:r>
            <w:r w:rsidR="00824F40">
              <w:rPr>
                <w:szCs w:val="22"/>
              </w:rPr>
              <w:t>23</w:t>
            </w:r>
          </w:p>
        </w:tc>
      </w:tr>
      <w:tr w:rsidR="00324B33" w:rsidRPr="00D01DDB" w14:paraId="23610C53" w14:textId="77777777" w:rsidTr="00FE6BAA">
        <w:tc>
          <w:tcPr>
            <w:cnfStyle w:val="001000000000" w:firstRow="0" w:lastRow="0" w:firstColumn="1" w:lastColumn="0" w:oddVBand="0" w:evenVBand="0" w:oddHBand="0" w:evenHBand="0" w:firstRowFirstColumn="0" w:firstRowLastColumn="0" w:lastRowFirstColumn="0" w:lastRowLastColumn="0"/>
            <w:tcW w:w="6232" w:type="dxa"/>
          </w:tcPr>
          <w:p w14:paraId="759D2A12" w14:textId="0D705F83" w:rsidR="00324B33" w:rsidRPr="00E679D1" w:rsidRDefault="00324B33" w:rsidP="00E679D1">
            <w:r w:rsidRPr="00E679D1">
              <w:t>Submission dossier accepted and first round evaluation commenced</w:t>
            </w:r>
          </w:p>
        </w:tc>
        <w:tc>
          <w:tcPr>
            <w:tcW w:w="2410" w:type="dxa"/>
          </w:tcPr>
          <w:p w14:paraId="2963D9D8" w14:textId="5A8278F5" w:rsidR="00324B33" w:rsidRPr="00D01DDB" w:rsidRDefault="0054330E"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30 November 2023</w:t>
            </w:r>
          </w:p>
        </w:tc>
      </w:tr>
      <w:tr w:rsidR="00803926" w:rsidRPr="00D01DDB" w14:paraId="16D13F79" w14:textId="77777777" w:rsidTr="00FE6BAA">
        <w:tc>
          <w:tcPr>
            <w:cnfStyle w:val="001000000000" w:firstRow="0" w:lastRow="0" w:firstColumn="1" w:lastColumn="0" w:oddVBand="0" w:evenVBand="0" w:oddHBand="0" w:evenHBand="0" w:firstRowFirstColumn="0" w:firstRowLastColumn="0" w:lastRowFirstColumn="0" w:lastRowLastColumn="0"/>
            <w:tcW w:w="6232" w:type="dxa"/>
          </w:tcPr>
          <w:p w14:paraId="6858B45A" w14:textId="4702A0B9" w:rsidR="00803926" w:rsidRPr="00E679D1" w:rsidDel="00C62B1C" w:rsidRDefault="00803926" w:rsidP="00E679D1">
            <w:r>
              <w:t>Evaluation completed</w:t>
            </w:r>
          </w:p>
        </w:tc>
        <w:tc>
          <w:tcPr>
            <w:tcW w:w="2410" w:type="dxa"/>
          </w:tcPr>
          <w:p w14:paraId="2E0BD403" w14:textId="6735A9CE" w:rsidR="00803926" w:rsidRPr="00D01DDB" w:rsidRDefault="008D01B5"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31</w:t>
            </w:r>
            <w:r w:rsidR="00FB7C0B">
              <w:rPr>
                <w:szCs w:val="22"/>
              </w:rPr>
              <w:t> July 2024</w:t>
            </w:r>
          </w:p>
        </w:tc>
      </w:tr>
      <w:tr w:rsidR="00324B33" w:rsidRPr="00D01DDB" w14:paraId="6E5D32FE" w14:textId="77777777" w:rsidTr="00FE6BAA">
        <w:tc>
          <w:tcPr>
            <w:cnfStyle w:val="001000000000" w:firstRow="0" w:lastRow="0" w:firstColumn="1" w:lastColumn="0" w:oddVBand="0" w:evenVBand="0" w:oddHBand="0" w:evenHBand="0" w:firstRowFirstColumn="0" w:firstRowLastColumn="0" w:lastRowFirstColumn="0" w:lastRowLastColumn="0"/>
            <w:tcW w:w="6232" w:type="dxa"/>
          </w:tcPr>
          <w:p w14:paraId="4E95C44C" w14:textId="7A91C710" w:rsidR="00324B33" w:rsidRPr="00E679D1" w:rsidRDefault="00324B33" w:rsidP="00E679D1">
            <w:r w:rsidRPr="00E679D1">
              <w:t>Registration decision (Outcome)</w:t>
            </w:r>
          </w:p>
        </w:tc>
        <w:tc>
          <w:tcPr>
            <w:tcW w:w="2410" w:type="dxa"/>
          </w:tcPr>
          <w:p w14:paraId="62987ABD" w14:textId="3EA0CCC3" w:rsidR="00324B33" w:rsidRPr="00D01DDB" w:rsidRDefault="00040AFA"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16 January 2025</w:t>
            </w:r>
          </w:p>
        </w:tc>
      </w:tr>
      <w:tr w:rsidR="00324B33" w:rsidRPr="00D01DDB" w14:paraId="6DDCDDA4" w14:textId="77777777" w:rsidTr="00FE6BAA">
        <w:tc>
          <w:tcPr>
            <w:cnfStyle w:val="001000000000" w:firstRow="0" w:lastRow="0" w:firstColumn="1" w:lastColumn="0" w:oddVBand="0" w:evenVBand="0" w:oddHBand="0" w:evenHBand="0" w:firstRowFirstColumn="0" w:firstRowLastColumn="0" w:lastRowFirstColumn="0" w:lastRowLastColumn="0"/>
            <w:tcW w:w="6232" w:type="dxa"/>
          </w:tcPr>
          <w:p w14:paraId="192FD19D" w14:textId="2F3267A5" w:rsidR="00324B33" w:rsidRPr="00E679D1" w:rsidRDefault="00040AFA" w:rsidP="007311B9">
            <w:pPr>
              <w:ind w:left="0"/>
            </w:pPr>
            <w:r>
              <w:lastRenderedPageBreak/>
              <w:t xml:space="preserve">  </w:t>
            </w:r>
            <w:r w:rsidR="00C00844">
              <w:t>R</w:t>
            </w:r>
            <w:r w:rsidR="0013132F" w:rsidRPr="00E679D1">
              <w:t xml:space="preserve">egistration </w:t>
            </w:r>
            <w:r w:rsidR="005C4B46" w:rsidRPr="00E679D1">
              <w:t xml:space="preserve">in </w:t>
            </w:r>
            <w:r w:rsidR="0013132F" w:rsidRPr="00E679D1">
              <w:t>the ARTG completed</w:t>
            </w:r>
          </w:p>
        </w:tc>
        <w:tc>
          <w:tcPr>
            <w:tcW w:w="2410" w:type="dxa"/>
          </w:tcPr>
          <w:p w14:paraId="5A8923FD" w14:textId="172C529A" w:rsidR="00324B33" w:rsidRPr="00D01DDB" w:rsidRDefault="00040AFA"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21 January 2025</w:t>
            </w:r>
          </w:p>
        </w:tc>
      </w:tr>
      <w:tr w:rsidR="00324B33" w:rsidRPr="00D01DDB" w14:paraId="56D922E2" w14:textId="77777777" w:rsidTr="00FE6BAA">
        <w:tc>
          <w:tcPr>
            <w:cnfStyle w:val="001000000000" w:firstRow="0" w:lastRow="0" w:firstColumn="1" w:lastColumn="0" w:oddVBand="0" w:evenVBand="0" w:oddHBand="0" w:evenHBand="0" w:firstRowFirstColumn="0" w:firstRowLastColumn="0" w:lastRowFirstColumn="0" w:lastRowLastColumn="0"/>
            <w:tcW w:w="6232" w:type="dxa"/>
          </w:tcPr>
          <w:p w14:paraId="787FD8DD" w14:textId="0E0CF97F" w:rsidR="00324B33" w:rsidRPr="00E679D1" w:rsidRDefault="00324B33" w:rsidP="00E679D1">
            <w:r w:rsidRPr="00E679D1">
              <w:t>Number of working days from submission dossier acceptance to registration decision*</w:t>
            </w:r>
          </w:p>
        </w:tc>
        <w:tc>
          <w:tcPr>
            <w:tcW w:w="2410" w:type="dxa"/>
          </w:tcPr>
          <w:p w14:paraId="5BAF9FA1" w14:textId="214D3B83" w:rsidR="00324B33" w:rsidRPr="00D01DDB" w:rsidRDefault="008D0302"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201</w:t>
            </w:r>
          </w:p>
        </w:tc>
      </w:tr>
    </w:tbl>
    <w:p w14:paraId="47E88CFC" w14:textId="4C82F2F3" w:rsidR="00433318" w:rsidRDefault="00433318" w:rsidP="00854D98">
      <w:pPr>
        <w:pStyle w:val="TableDescription"/>
      </w:pPr>
      <w:r>
        <w:t>*</w:t>
      </w:r>
      <w:r w:rsidRPr="00BF3774">
        <w:t xml:space="preserve">Statutory </w:t>
      </w:r>
      <w:r>
        <w:t>timeframe for standard submissions is 255 working days</w:t>
      </w:r>
    </w:p>
    <w:p w14:paraId="220925F1" w14:textId="75C7430A" w:rsidR="00C22214" w:rsidRPr="00792A32" w:rsidRDefault="00083763" w:rsidP="00C22214">
      <w:pPr>
        <w:pStyle w:val="Heading2"/>
      </w:pPr>
      <w:bookmarkStart w:id="32" w:name="_Toc233974543"/>
      <w:bookmarkStart w:id="33" w:name="_Toc196046504"/>
      <w:bookmarkStart w:id="34" w:name="_Toc247691527"/>
      <w:bookmarkStart w:id="35" w:name="_Toc314842510"/>
      <w:bookmarkStart w:id="36" w:name="_Toc103679294"/>
      <w:r>
        <w:t xml:space="preserve">Assessment </w:t>
      </w:r>
      <w:r w:rsidR="00C22214" w:rsidRPr="00006FAB">
        <w:t>overview</w:t>
      </w:r>
      <w:bookmarkEnd w:id="32"/>
      <w:r w:rsidR="00C22214" w:rsidRPr="00006FAB">
        <w:t xml:space="preserve"> </w:t>
      </w:r>
      <w:bookmarkEnd w:id="33"/>
      <w:bookmarkEnd w:id="34"/>
      <w:bookmarkEnd w:id="35"/>
      <w:bookmarkEnd w:id="36"/>
    </w:p>
    <w:p w14:paraId="51B31CAB" w14:textId="6DDC6366" w:rsidR="00C22214" w:rsidRPr="008D0302" w:rsidRDefault="00C22214" w:rsidP="008D0302">
      <w:pPr>
        <w:rPr>
          <w:szCs w:val="22"/>
        </w:rPr>
      </w:pPr>
      <w:bookmarkStart w:id="37" w:name="_Toc247691528"/>
      <w:bookmarkStart w:id="38" w:name="_Toc314842511"/>
      <w:r w:rsidRPr="00BD5DBD">
        <w:rPr>
          <w:szCs w:val="22"/>
        </w:rPr>
        <w:t>A summary of the TGA’s assessment for this submission is provided below.</w:t>
      </w:r>
    </w:p>
    <w:p w14:paraId="5F5FAA14" w14:textId="77777777" w:rsidR="00C22214" w:rsidRPr="00BD5DBD" w:rsidRDefault="00C22214" w:rsidP="00C22214">
      <w:pPr>
        <w:rPr>
          <w:szCs w:val="22"/>
        </w:rPr>
      </w:pPr>
      <w:r w:rsidRPr="00BD5DBD">
        <w:rPr>
          <w:szCs w:val="22"/>
        </w:rPr>
        <w:t>This section is a TGA summary of wording used in TGA’s evaluation report, which discussed numerous aspects of overseas evaluation reports and included some information that was commercial-in-confidence.</w:t>
      </w:r>
    </w:p>
    <w:p w14:paraId="37F5A1C0" w14:textId="5D3D5FE0" w:rsidR="00C22214" w:rsidRDefault="00095C6A" w:rsidP="00C22214">
      <w:pPr>
        <w:pStyle w:val="Heading3"/>
      </w:pPr>
      <w:bookmarkStart w:id="39" w:name="_Toc103679295"/>
      <w:bookmarkStart w:id="40" w:name="_Toc233974544"/>
      <w:r>
        <w:t>Q</w:t>
      </w:r>
      <w:r w:rsidR="00C22214">
        <w:t>uality</w:t>
      </w:r>
      <w:bookmarkEnd w:id="37"/>
      <w:bookmarkEnd w:id="38"/>
      <w:bookmarkEnd w:id="39"/>
      <w:r w:rsidR="007E6443">
        <w:t xml:space="preserve"> evaluation</w:t>
      </w:r>
      <w:r>
        <w:t xml:space="preserve"> summary</w:t>
      </w:r>
      <w:bookmarkEnd w:id="40"/>
    </w:p>
    <w:p w14:paraId="0B0211F2" w14:textId="755CA8A8" w:rsidR="00DB74E2" w:rsidRDefault="00DB74E2" w:rsidP="00DB74E2">
      <w:proofErr w:type="spellStart"/>
      <w:r>
        <w:t>Toripalimab</w:t>
      </w:r>
      <w:proofErr w:type="spellEnd"/>
      <w:r>
        <w:t xml:space="preserve"> is a glycosylated recombinant humanised </w:t>
      </w:r>
      <w:r w:rsidR="00875788">
        <w:t xml:space="preserve">immunoglobulin </w:t>
      </w:r>
      <w:r w:rsidR="00B6411C">
        <w:t>G</w:t>
      </w:r>
      <w:r>
        <w:t xml:space="preserve"> kappa monoclonal antibody that specifically binds and neutralises human PD-1, a cell surface inhibitory receptor involved in down-regulating the immune response and promoting immunotolerance by suppressing T cell mediated activity. It has a molecular weight of approximately 147 </w:t>
      </w:r>
      <w:proofErr w:type="spellStart"/>
      <w:r>
        <w:t>kDa</w:t>
      </w:r>
      <w:proofErr w:type="spellEnd"/>
      <w:r>
        <w:t>, and it is composed of two heavy chains and two light chains, with an N-linked glycosylation site on the heavy chain.</w:t>
      </w:r>
    </w:p>
    <w:p w14:paraId="77E2809B" w14:textId="3E028D61" w:rsidR="00566037" w:rsidRPr="00566037" w:rsidRDefault="00DB74E2" w:rsidP="00DB74E2">
      <w:r>
        <w:t xml:space="preserve">The active ingredient was produced using recombinant DNA technology. Information about the manufacturing, storage and control facilities for the active substance has been provided. </w:t>
      </w:r>
      <w:r w:rsidR="006F0722">
        <w:t>Good Manufacturing Practice (</w:t>
      </w:r>
      <w:r w:rsidRPr="00C20C63">
        <w:t>GMP</w:t>
      </w:r>
      <w:r w:rsidR="006F0722">
        <w:t>)</w:t>
      </w:r>
      <w:r>
        <w:t xml:space="preserve"> compliance for the manufacturers has been demonstrated.</w:t>
      </w:r>
    </w:p>
    <w:p w14:paraId="6D854101" w14:textId="2261ABB2" w:rsidR="00222800" w:rsidRPr="00872307" w:rsidRDefault="00222800" w:rsidP="00222800">
      <w:r w:rsidRPr="00872307">
        <w:t>The overall quality of the active substance was demonstrated via adequate control of the starting material, control of critical steps and intermediates, process validation, extensive characterisation, control of impurities and contaminants, generation of robust reference materials and batch analyses that covered multiple manufacturing campaigns.</w:t>
      </w:r>
    </w:p>
    <w:p w14:paraId="322A9AAE" w14:textId="146F9493" w:rsidR="00566037" w:rsidRDefault="005146A8" w:rsidP="005146A8">
      <w:proofErr w:type="spellStart"/>
      <w:r>
        <w:t>Toripalimab</w:t>
      </w:r>
      <w:proofErr w:type="spellEnd"/>
      <w:r>
        <w:t xml:space="preserve"> finished product, T</w:t>
      </w:r>
      <w:r w:rsidR="005A28B8">
        <w:t>uoyi</w:t>
      </w:r>
      <w:r>
        <w:t>, is a concentrate for intravenous infusion presented at the concentration of 240</w:t>
      </w:r>
      <w:r w:rsidR="005A28B8">
        <w:t> </w:t>
      </w:r>
      <w:r>
        <w:t>mg/6</w:t>
      </w:r>
      <w:r w:rsidR="005A28B8">
        <w:t> </w:t>
      </w:r>
      <w:proofErr w:type="spellStart"/>
      <w:r>
        <w:t>mL.</w:t>
      </w:r>
      <w:proofErr w:type="spellEnd"/>
      <w:r>
        <w:t xml:space="preserve"> The product is available in a vial with a </w:t>
      </w:r>
      <w:r w:rsidR="005A28B8">
        <w:t>r</w:t>
      </w:r>
      <w:r>
        <w:t>ubber stopper and an aluminium seal fitted with a removable plastic cap.</w:t>
      </w:r>
      <w:r w:rsidR="00AA5F51">
        <w:t xml:space="preserve"> </w:t>
      </w:r>
      <w:r>
        <w:t>The container closure is considered suitable for its intended use as demonstrated by compatibility and stability studies.</w:t>
      </w:r>
    </w:p>
    <w:p w14:paraId="0C29B668" w14:textId="09D12B5D" w:rsidR="00D04AA9" w:rsidRPr="001F48AA" w:rsidRDefault="005E3DBC" w:rsidP="00D04AA9">
      <w:r>
        <w:t>T</w:t>
      </w:r>
      <w:r w:rsidR="00D04AA9">
        <w:t>he recommended storage condition is 36 months (3 years)</w:t>
      </w:r>
      <w:r w:rsidR="00D04AA9" w:rsidRPr="001F48AA">
        <w:t xml:space="preserve"> when stored at 5</w:t>
      </w:r>
      <w:r>
        <w:rPr>
          <w:lang w:val="en-GB"/>
        </w:rPr>
        <w:t> </w:t>
      </w:r>
      <w:r w:rsidR="00D04AA9" w:rsidRPr="0013140F">
        <w:rPr>
          <w:rFonts w:hint="eastAsia"/>
          <w:lang w:val="en-GB"/>
        </w:rPr>
        <w:t>±</w:t>
      </w:r>
      <w:r>
        <w:rPr>
          <w:lang w:val="en-GB"/>
        </w:rPr>
        <w:t> </w:t>
      </w:r>
      <w:r w:rsidR="00D04AA9" w:rsidRPr="0013140F">
        <w:rPr>
          <w:rFonts w:hint="eastAsia"/>
          <w:lang w:val="en-GB"/>
        </w:rPr>
        <w:t>3</w:t>
      </w:r>
      <w:r>
        <w:rPr>
          <w:lang w:val="en-GB"/>
        </w:rPr>
        <w:t> </w:t>
      </w:r>
      <w:r w:rsidR="00D04AA9" w:rsidRPr="0013140F">
        <w:rPr>
          <w:lang w:val="en-GB"/>
        </w:rPr>
        <w:t>℃</w:t>
      </w:r>
      <w:r w:rsidR="00D04AA9">
        <w:rPr>
          <w:lang w:val="en-GB"/>
        </w:rPr>
        <w:t xml:space="preserve"> (2</w:t>
      </w:r>
      <w:r>
        <w:rPr>
          <w:lang w:val="en-GB"/>
        </w:rPr>
        <w:t> to </w:t>
      </w:r>
      <w:r w:rsidR="00D04AA9">
        <w:rPr>
          <w:lang w:val="en-GB"/>
        </w:rPr>
        <w:t>8</w:t>
      </w:r>
      <w:r>
        <w:rPr>
          <w:lang w:val="en-GB"/>
        </w:rPr>
        <w:t> </w:t>
      </w:r>
      <w:r w:rsidR="00D04AA9">
        <w:rPr>
          <w:lang w:val="en-GB"/>
        </w:rPr>
        <w:t>℃)</w:t>
      </w:r>
      <w:r w:rsidR="00D04AA9" w:rsidRPr="0013140F">
        <w:rPr>
          <w:rFonts w:hint="eastAsia"/>
          <w:lang w:val="en-GB"/>
        </w:rPr>
        <w:t>.</w:t>
      </w:r>
    </w:p>
    <w:p w14:paraId="37476C21" w14:textId="63002923" w:rsidR="00D04AA9" w:rsidRDefault="00D04AA9" w:rsidP="00D04AA9">
      <w:r w:rsidRPr="001F48AA">
        <w:t xml:space="preserve">The </w:t>
      </w:r>
      <w:r>
        <w:t>recommended</w:t>
      </w:r>
      <w:r w:rsidRPr="001F48AA">
        <w:t xml:space="preserve"> shelf life and storage conditions for diluted product are</w:t>
      </w:r>
      <w:r>
        <w:t xml:space="preserve"> up to 8</w:t>
      </w:r>
      <w:r w:rsidR="005E3DBC">
        <w:t xml:space="preserve"> hours </w:t>
      </w:r>
      <w:r>
        <w:t>at room temperature; u</w:t>
      </w:r>
      <w:r>
        <w:rPr>
          <w:rFonts w:hint="eastAsia"/>
        </w:rPr>
        <w:t>p to 24</w:t>
      </w:r>
      <w:r w:rsidR="005E3DBC">
        <w:t xml:space="preserve"> hours </w:t>
      </w:r>
      <w:r>
        <w:rPr>
          <w:rFonts w:hint="eastAsia"/>
        </w:rPr>
        <w:t>at 2</w:t>
      </w:r>
      <w:r w:rsidR="005E3DBC">
        <w:t xml:space="preserve"> to </w:t>
      </w:r>
      <w:r>
        <w:rPr>
          <w:rFonts w:hint="eastAsia"/>
        </w:rPr>
        <w:t>8</w:t>
      </w:r>
      <w:r w:rsidR="005E3DBC">
        <w:t> </w:t>
      </w:r>
      <w:r>
        <w:t>℃</w:t>
      </w:r>
      <w:r>
        <w:rPr>
          <w:rFonts w:hint="eastAsia"/>
        </w:rPr>
        <w:t>;</w:t>
      </w:r>
      <w:r>
        <w:t xml:space="preserve"> infusion time of 30</w:t>
      </w:r>
      <w:r w:rsidR="005E3DBC">
        <w:t xml:space="preserve"> to </w:t>
      </w:r>
      <w:r>
        <w:t>60 min</w:t>
      </w:r>
      <w:r w:rsidR="002F007D">
        <w:t>utes</w:t>
      </w:r>
      <w:r>
        <w:t xml:space="preserve"> including a hold time of no more than 8</w:t>
      </w:r>
      <w:r w:rsidR="002F007D">
        <w:t> hours</w:t>
      </w:r>
      <w:r>
        <w:t xml:space="preserve"> at room temperature.</w:t>
      </w:r>
    </w:p>
    <w:p w14:paraId="2CF653A5" w14:textId="6C687384" w:rsidR="002A6752" w:rsidRDefault="001310C1" w:rsidP="005146A8">
      <w:r w:rsidRPr="001310C1">
        <w:t>There are no objections from a quality</w:t>
      </w:r>
      <w:r w:rsidR="00AA0F1F">
        <w:t xml:space="preserve"> </w:t>
      </w:r>
      <w:r w:rsidRPr="001310C1">
        <w:t>perspective to the approval of T</w:t>
      </w:r>
      <w:r w:rsidR="005E3142">
        <w:t>uoyi.</w:t>
      </w:r>
    </w:p>
    <w:p w14:paraId="2BE90AAE" w14:textId="35796FD3" w:rsidR="00C22214" w:rsidRDefault="00C22214" w:rsidP="00C22214">
      <w:pPr>
        <w:pStyle w:val="Heading3"/>
      </w:pPr>
      <w:bookmarkStart w:id="41" w:name="_Toc314842512"/>
      <w:bookmarkStart w:id="42" w:name="_Toc103679296"/>
      <w:bookmarkStart w:id="43" w:name="_Toc233974545"/>
      <w:r>
        <w:t>Nonclinical</w:t>
      </w:r>
      <w:bookmarkEnd w:id="41"/>
      <w:bookmarkEnd w:id="42"/>
      <w:r w:rsidR="007E6443">
        <w:t xml:space="preserve"> evaluation</w:t>
      </w:r>
      <w:r w:rsidR="00095C6A">
        <w:t xml:space="preserve"> summary</w:t>
      </w:r>
      <w:bookmarkEnd w:id="43"/>
    </w:p>
    <w:p w14:paraId="2D42BFDD" w14:textId="6F0CAEA2" w:rsidR="00DF46AD" w:rsidRPr="00DF46AD" w:rsidRDefault="00DF46AD" w:rsidP="00DF46AD">
      <w:r w:rsidRPr="00DF46AD">
        <w:t>T</w:t>
      </w:r>
      <w:r>
        <w:t>uoyi</w:t>
      </w:r>
      <w:r w:rsidRPr="00DF46AD">
        <w:t xml:space="preserve"> is proposed to be used in combination with cisplatin and gemcitabine, for the first-line treatment of adults with metastatic or with recurrent, locally advanced NPC and as a single agent for the treatment of adults with recurrent unresectable or metastatic NPC with disease progression on or after a platinum-containing chemotherapy. The proposed dosing regimen for the first-line NPC is 240</w:t>
      </w:r>
      <w:r w:rsidR="009C6CA0">
        <w:t> </w:t>
      </w:r>
      <w:r w:rsidRPr="00DF46AD">
        <w:t>mg of T</w:t>
      </w:r>
      <w:r w:rsidR="009C6CA0">
        <w:t>uoyi</w:t>
      </w:r>
      <w:r w:rsidRPr="00DF46AD">
        <w:t xml:space="preserve"> every three weeks and for recurrent NPC is 3</w:t>
      </w:r>
      <w:r w:rsidR="009C6CA0">
        <w:t> </w:t>
      </w:r>
      <w:r w:rsidRPr="00DF46AD">
        <w:t xml:space="preserve">mg/kg every </w:t>
      </w:r>
      <w:r w:rsidRPr="00DF46AD">
        <w:lastRenderedPageBreak/>
        <w:t>two weeks. T</w:t>
      </w:r>
      <w:r w:rsidR="009C6CA0">
        <w:t>uoyi</w:t>
      </w:r>
      <w:r w:rsidRPr="00DF46AD">
        <w:t xml:space="preserve"> is to be administered via </w:t>
      </w:r>
      <w:r w:rsidRPr="00B05735">
        <w:t>intravenous (IV)</w:t>
      </w:r>
      <w:r w:rsidRPr="00DF46AD">
        <w:t xml:space="preserve"> infusion over 60</w:t>
      </w:r>
      <w:r w:rsidR="009C6CA0">
        <w:t> </w:t>
      </w:r>
      <w:r w:rsidRPr="00DF46AD">
        <w:t>min</w:t>
      </w:r>
      <w:r w:rsidR="009C6CA0">
        <w:t>utes</w:t>
      </w:r>
      <w:r w:rsidRPr="00DF46AD">
        <w:t xml:space="preserve"> for the first dose, and over 30</w:t>
      </w:r>
      <w:r w:rsidR="009C6CA0">
        <w:t> </w:t>
      </w:r>
      <w:r w:rsidRPr="00DF46AD">
        <w:t>min</w:t>
      </w:r>
      <w:r w:rsidR="009C6CA0">
        <w:t>utes</w:t>
      </w:r>
      <w:r w:rsidRPr="00DF46AD">
        <w:t xml:space="preserve"> for subsequent doses. Treatment is for a maximum of 24</w:t>
      </w:r>
      <w:r w:rsidR="009C6CA0">
        <w:t> </w:t>
      </w:r>
      <w:r w:rsidRPr="00DF46AD">
        <w:t>months, or until disease progression or unacceptable toxicity.</w:t>
      </w:r>
    </w:p>
    <w:p w14:paraId="59DABA0F" w14:textId="1F310FEC" w:rsidR="0022298A" w:rsidRPr="0022298A" w:rsidRDefault="0022298A" w:rsidP="0022298A">
      <w:r w:rsidRPr="0022298A">
        <w:t xml:space="preserve">The submitted </w:t>
      </w:r>
      <w:r w:rsidR="00EA02DC">
        <w:t>nonclinical</w:t>
      </w:r>
      <w:r w:rsidRPr="0022298A">
        <w:t xml:space="preserve"> dossier was in accordance with the relevant guidelines. The overall quality of the nonclinical dossier was high. All pivotal safet</w:t>
      </w:r>
      <w:r w:rsidR="00D97EC8">
        <w:t xml:space="preserve">y </w:t>
      </w:r>
      <w:r w:rsidRPr="0022298A">
        <w:t xml:space="preserve">related studies were </w:t>
      </w:r>
      <w:r w:rsidR="00D97EC8">
        <w:t>Good Laboratory Practice (</w:t>
      </w:r>
      <w:r w:rsidRPr="002C61AC">
        <w:t>GLP</w:t>
      </w:r>
      <w:r w:rsidR="00D97EC8">
        <w:t>)</w:t>
      </w:r>
      <w:r w:rsidRPr="0022298A">
        <w:t xml:space="preserve"> compliant. Studies with the combination of </w:t>
      </w:r>
      <w:proofErr w:type="spellStart"/>
      <w:r w:rsidRPr="0022298A">
        <w:t>toripalimab</w:t>
      </w:r>
      <w:proofErr w:type="spellEnd"/>
      <w:r w:rsidRPr="0022298A">
        <w:t>, cisplatin and gemcitabine have not been submitted.</w:t>
      </w:r>
    </w:p>
    <w:p w14:paraId="3720B794" w14:textId="09747BAB" w:rsidR="0022298A" w:rsidRPr="0022298A" w:rsidRDefault="0022298A" w:rsidP="0022298A">
      <w:r w:rsidRPr="0022298A">
        <w:rPr>
          <w:i/>
          <w:iCs/>
        </w:rPr>
        <w:t>In vitro</w:t>
      </w:r>
      <w:r w:rsidRPr="0022298A">
        <w:t xml:space="preserve">, </w:t>
      </w:r>
      <w:proofErr w:type="spellStart"/>
      <w:r w:rsidRPr="0022298A">
        <w:t>toripalimab</w:t>
      </w:r>
      <w:proofErr w:type="spellEnd"/>
      <w:r w:rsidRPr="0022298A">
        <w:t xml:space="preserve"> exhibited nanomolar affinity for the PD-1, which is a cell surface receptor, and inhibited PD-1/PD-L1 and PD1/PD-L2 interactions, promoting T</w:t>
      </w:r>
      <w:r w:rsidR="00CA7076">
        <w:t> c</w:t>
      </w:r>
      <w:r w:rsidRPr="0022298A">
        <w:t xml:space="preserve">ell activity and proliferation. Although the drug’s affinity for the cynomolgus monkey PD-1 was </w:t>
      </w:r>
      <w:r w:rsidR="00D2549C">
        <w:t xml:space="preserve">approximately </w:t>
      </w:r>
      <w:r w:rsidRPr="0022298A">
        <w:t>6</w:t>
      </w:r>
      <w:r w:rsidR="00D2549C">
        <w:t> </w:t>
      </w:r>
      <w:r w:rsidRPr="0022298A">
        <w:t xml:space="preserve">times lower via </w:t>
      </w:r>
      <w:r w:rsidR="00BB61CC">
        <w:t>e</w:t>
      </w:r>
      <w:r w:rsidR="00BB61CC" w:rsidRPr="00BB61CC">
        <w:t>nzyme-</w:t>
      </w:r>
      <w:r w:rsidR="00BB61CC">
        <w:t>l</w:t>
      </w:r>
      <w:r w:rsidR="00BB61CC" w:rsidRPr="00BB61CC">
        <w:t xml:space="preserve">inked </w:t>
      </w:r>
      <w:r w:rsidR="00BB61CC">
        <w:t>i</w:t>
      </w:r>
      <w:r w:rsidR="00BB61CC" w:rsidRPr="00BB61CC">
        <w:t xml:space="preserve">mmunosorbent </w:t>
      </w:r>
      <w:r w:rsidR="00BB61CC">
        <w:t>a</w:t>
      </w:r>
      <w:r w:rsidR="00BB61CC" w:rsidRPr="00BB61CC">
        <w:t>ssay</w:t>
      </w:r>
      <w:r w:rsidR="00BB61CC">
        <w:t xml:space="preserve"> </w:t>
      </w:r>
      <w:r w:rsidRPr="0022298A">
        <w:t>c</w:t>
      </w:r>
      <w:r w:rsidR="004B0650">
        <w:t>ompared to</w:t>
      </w:r>
      <w:r w:rsidRPr="0022298A">
        <w:t xml:space="preserve"> the human orthologue, the </w:t>
      </w:r>
      <w:r w:rsidR="00175570" w:rsidRPr="00175570">
        <w:t>half</w:t>
      </w:r>
      <w:r w:rsidR="00175570">
        <w:t xml:space="preserve"> </w:t>
      </w:r>
      <w:r w:rsidR="00175570" w:rsidRPr="00175570">
        <w:t>maximal effective concentratio</w:t>
      </w:r>
      <w:r w:rsidR="00175570">
        <w:t>n</w:t>
      </w:r>
      <w:r w:rsidRPr="0022298A">
        <w:t xml:space="preserve"> of primary T</w:t>
      </w:r>
      <w:r w:rsidR="00CD5E80">
        <w:t> </w:t>
      </w:r>
      <w:r w:rsidRPr="0022298A">
        <w:t xml:space="preserve">cell binding via flow cytometric analysis, remained comparable between both species. There was no reactivity observed with murine or rat PD-1, which supports the use of cynomolgus monkeys in the toxicology program. </w:t>
      </w:r>
      <w:r w:rsidRPr="0022298A">
        <w:rPr>
          <w:i/>
          <w:iCs/>
        </w:rPr>
        <w:t>In vivo</w:t>
      </w:r>
      <w:r w:rsidRPr="0022298A">
        <w:t xml:space="preserve"> efficacy studie</w:t>
      </w:r>
      <w:r w:rsidR="007C6C79">
        <w:t>s</w:t>
      </w:r>
      <w:r w:rsidRPr="0022298A">
        <w:t xml:space="preserve"> were conducted in mice, which is not considered a pharmacologically relevant species.</w:t>
      </w:r>
    </w:p>
    <w:p w14:paraId="7D2F7258" w14:textId="24857310" w:rsidR="0022298A" w:rsidRPr="0022298A" w:rsidRDefault="0022298A" w:rsidP="0022298A">
      <w:r w:rsidRPr="0022298A">
        <w:t>Induction of antibody dependent cellular cytotoxicity or complement dependent cytotoxicity is not expected. No clinically relevant tissue cross-reactivity was observed.</w:t>
      </w:r>
    </w:p>
    <w:p w14:paraId="2042820C" w14:textId="73755275" w:rsidR="0022298A" w:rsidRPr="0022298A" w:rsidRDefault="0022298A" w:rsidP="0022298A">
      <w:r w:rsidRPr="0022298A">
        <w:t xml:space="preserve">Examination of the safety pharmacology of </w:t>
      </w:r>
      <w:proofErr w:type="spellStart"/>
      <w:r w:rsidRPr="0022298A">
        <w:t>toripalimab</w:t>
      </w:r>
      <w:proofErr w:type="spellEnd"/>
      <w:r w:rsidRPr="0022298A">
        <w:t xml:space="preserve"> was incorporated into the repeat</w:t>
      </w:r>
      <w:r w:rsidR="007C6C79">
        <w:t xml:space="preserve"> </w:t>
      </w:r>
      <w:r w:rsidRPr="0022298A">
        <w:t xml:space="preserve">dose toxicity study in cynomolgus monkeys. No effects were observed on </w:t>
      </w:r>
      <w:r w:rsidR="00127371">
        <w:t>central nervous system</w:t>
      </w:r>
      <w:r w:rsidRPr="0022298A">
        <w:t xml:space="preserve">, </w:t>
      </w:r>
      <w:r w:rsidR="00127371">
        <w:t>electrocardiogram</w:t>
      </w:r>
      <w:r w:rsidRPr="0022298A">
        <w:t xml:space="preserve"> or respiratory function at high </w:t>
      </w:r>
      <w:proofErr w:type="spellStart"/>
      <w:r w:rsidRPr="0022298A">
        <w:t>toripalimab</w:t>
      </w:r>
      <w:proofErr w:type="spellEnd"/>
      <w:r w:rsidRPr="0022298A">
        <w:t xml:space="preserve"> doses. No adverse effects on the function of central nervous system, cardiovascular or respiratory systems are predicted during clinical use.</w:t>
      </w:r>
    </w:p>
    <w:p w14:paraId="3283C560" w14:textId="64801347" w:rsidR="0022298A" w:rsidRPr="0022298A" w:rsidRDefault="0022298A" w:rsidP="0022298A">
      <w:r w:rsidRPr="0022298A">
        <w:t xml:space="preserve">The pharmacokinetics of </w:t>
      </w:r>
      <w:proofErr w:type="spellStart"/>
      <w:r w:rsidRPr="0022298A">
        <w:t>toripalimab</w:t>
      </w:r>
      <w:proofErr w:type="spellEnd"/>
      <w:r w:rsidRPr="0022298A">
        <w:t xml:space="preserve"> in cynomolgus monkeys and humans was generally consistent with the protein nature of the drug</w:t>
      </w:r>
      <w:r w:rsidR="00797A40">
        <w:t xml:space="preserve">, </w:t>
      </w:r>
      <w:r w:rsidRPr="0022298A">
        <w:t xml:space="preserve">long half-life and limited extravascular distribution. The pharmacokinetic profile of </w:t>
      </w:r>
      <w:proofErr w:type="spellStart"/>
      <w:r w:rsidRPr="0022298A">
        <w:t>toripalimab</w:t>
      </w:r>
      <w:proofErr w:type="spellEnd"/>
      <w:r w:rsidRPr="0022298A">
        <w:t xml:space="preserve"> was considered acceptably similar in cynomolgus monkeys and humans.</w:t>
      </w:r>
    </w:p>
    <w:p w14:paraId="0437C480" w14:textId="7690AC46" w:rsidR="0022298A" w:rsidRPr="0022298A" w:rsidRDefault="0022298A" w:rsidP="0022298A">
      <w:proofErr w:type="spellStart"/>
      <w:r w:rsidRPr="0022298A">
        <w:t>Toripalimab</w:t>
      </w:r>
      <w:proofErr w:type="spellEnd"/>
      <w:r w:rsidRPr="0022298A">
        <w:t xml:space="preserve"> had a low order of acute toxicity in monkeys up to the highest dose tested (203</w:t>
      </w:r>
      <w:r w:rsidR="00797A40">
        <w:t> </w:t>
      </w:r>
      <w:r w:rsidRPr="0022298A">
        <w:t>mg/kg).</w:t>
      </w:r>
    </w:p>
    <w:p w14:paraId="6A7A270F" w14:textId="45705F07" w:rsidR="0022298A" w:rsidRDefault="0022298A" w:rsidP="0022298A">
      <w:r w:rsidRPr="0022298A">
        <w:t>Repeat</w:t>
      </w:r>
      <w:r w:rsidR="00797A40">
        <w:t xml:space="preserve"> </w:t>
      </w:r>
      <w:r w:rsidRPr="0022298A">
        <w:t>dose toxicity studies by the clinical route were conducted in monkeys (up to 26</w:t>
      </w:r>
      <w:r w:rsidR="00797A40">
        <w:t> </w:t>
      </w:r>
      <w:r w:rsidRPr="0022298A">
        <w:t>weeks) Maximum exposures (</w:t>
      </w:r>
      <w:r w:rsidR="00797A40">
        <w:t>area under the concentration time curve)</w:t>
      </w:r>
      <w:r w:rsidRPr="0022298A">
        <w:t xml:space="preserve"> were high. There were no evident toxicities up to 100</w:t>
      </w:r>
      <w:r w:rsidR="00797A40">
        <w:t> </w:t>
      </w:r>
      <w:r w:rsidRPr="0022298A">
        <w:t>mg/kg (the maximum dose tested;</w:t>
      </w:r>
      <w:r w:rsidR="00773788" w:rsidRPr="00773788">
        <w:t xml:space="preserve"> </w:t>
      </w:r>
      <w:r w:rsidR="00773788">
        <w:t>e</w:t>
      </w:r>
      <w:r w:rsidR="00773788" w:rsidRPr="00773788">
        <w:t>xposure ratio based on area under the concentration-time curve</w:t>
      </w:r>
      <w:r w:rsidR="00FC4512">
        <w:t> </w:t>
      </w:r>
      <w:r w:rsidRPr="0022298A">
        <w:t>= 56 to 65). Despite consistent receptor saturation, no apparent impact on the frequency of major lymphocyte population or immune function parameters were observed in monkeys.</w:t>
      </w:r>
    </w:p>
    <w:p w14:paraId="1DC86E36" w14:textId="13D242DC" w:rsidR="0022298A" w:rsidRPr="0022298A" w:rsidRDefault="0022298A" w:rsidP="0022298A">
      <w:r w:rsidRPr="0022298A">
        <w:t>No genotoxicity studies were conducted. Given the protein nature of the drug, this is acceptable. No carcinogenicity studies were conducted. This is acceptable given the indication for the treatment of advance cancer.</w:t>
      </w:r>
    </w:p>
    <w:p w14:paraId="2D38D759" w14:textId="47BDD259" w:rsidR="0022298A" w:rsidRPr="0022298A" w:rsidRDefault="0022298A" w:rsidP="0022298A">
      <w:r w:rsidRPr="0022298A">
        <w:t xml:space="preserve">No fertility or embryofetal development studies were conducted. Instead, the sponsor provided a discussion on the potential for </w:t>
      </w:r>
      <w:proofErr w:type="spellStart"/>
      <w:r w:rsidRPr="0022298A">
        <w:t>toripalimab</w:t>
      </w:r>
      <w:proofErr w:type="spellEnd"/>
      <w:r w:rsidRPr="0022298A">
        <w:t xml:space="preserve"> to cause reproductive and developmental toxicity. Based on published literature, </w:t>
      </w:r>
      <w:proofErr w:type="spellStart"/>
      <w:r w:rsidRPr="0022298A">
        <w:t>toripalimab</w:t>
      </w:r>
      <w:proofErr w:type="spellEnd"/>
      <w:r w:rsidRPr="0022298A">
        <w:t xml:space="preserve"> is expected to cause embryofetal lethality in pregnant patients.</w:t>
      </w:r>
    </w:p>
    <w:p w14:paraId="78AA40FA" w14:textId="08733B7D" w:rsidR="0022298A" w:rsidRDefault="0022298A" w:rsidP="0022298A">
      <w:r w:rsidRPr="0022298A">
        <w:t>Based on findings in repeat</w:t>
      </w:r>
      <w:r w:rsidR="00C043F8">
        <w:t xml:space="preserve"> </w:t>
      </w:r>
      <w:r w:rsidRPr="0022298A">
        <w:t>dose toxicity studies, injection site reactions are not expected during clinical use.</w:t>
      </w:r>
    </w:p>
    <w:p w14:paraId="18325D40" w14:textId="6EB9EE2C" w:rsidR="000A7209" w:rsidRPr="0022298A" w:rsidRDefault="000A7209" w:rsidP="000A7209">
      <w:pPr>
        <w:pStyle w:val="Heading4"/>
      </w:pPr>
      <w:bookmarkStart w:id="44" w:name="_Toc233974546"/>
      <w:r>
        <w:lastRenderedPageBreak/>
        <w:t>Nonclinical evaluation conclusions</w:t>
      </w:r>
      <w:bookmarkEnd w:id="44"/>
    </w:p>
    <w:p w14:paraId="3EAEAE1E" w14:textId="77777777" w:rsidR="003C713F" w:rsidRDefault="003C713F" w:rsidP="000A7209">
      <w:pPr>
        <w:pStyle w:val="ListBullet"/>
      </w:pPr>
      <w:r>
        <w:t>Th</w:t>
      </w:r>
      <w:r w:rsidR="00FC3242" w:rsidRPr="00FC3242">
        <w:t>e pharmacology studies lend limited support for the proposed indication.</w:t>
      </w:r>
    </w:p>
    <w:p w14:paraId="5DFEEF9D" w14:textId="77777777" w:rsidR="000A7209" w:rsidRDefault="00FC3242" w:rsidP="000A7209">
      <w:pPr>
        <w:pStyle w:val="ListBullet"/>
      </w:pPr>
      <w:r w:rsidRPr="00FC3242">
        <w:t>Secondary and safety pharmacology studies did not identify any clinically relevant hazards.</w:t>
      </w:r>
    </w:p>
    <w:p w14:paraId="268C4FDC" w14:textId="77777777" w:rsidR="000A7209" w:rsidRDefault="00FC3242" w:rsidP="000A7209">
      <w:pPr>
        <w:pStyle w:val="ListBullet"/>
      </w:pPr>
      <w:r w:rsidRPr="00FC3242">
        <w:t>No target organs were identified in repeat dose toxicity studies in monkeys.</w:t>
      </w:r>
    </w:p>
    <w:p w14:paraId="2AAD71C9" w14:textId="77777777" w:rsidR="00F50116" w:rsidRDefault="00FC3242" w:rsidP="000A7209">
      <w:pPr>
        <w:pStyle w:val="ListBullet"/>
      </w:pPr>
      <w:proofErr w:type="spellStart"/>
      <w:r w:rsidRPr="00FC3242">
        <w:t>Toripalimab</w:t>
      </w:r>
      <w:proofErr w:type="spellEnd"/>
      <w:r w:rsidRPr="00FC3242">
        <w:t xml:space="preserve"> is predicted to induce reproductive toxicity if used during pregnancy. Pregnancy Category D, as proposed by the </w:t>
      </w:r>
      <w:r w:rsidR="000A7209">
        <w:t>s</w:t>
      </w:r>
      <w:r w:rsidRPr="00FC3242">
        <w:t>ponsor, is recommended</w:t>
      </w:r>
      <w:r w:rsidR="00F50116">
        <w:t>.</w:t>
      </w:r>
    </w:p>
    <w:p w14:paraId="438F993E" w14:textId="6862A053" w:rsidR="00FC3242" w:rsidRPr="00FC3242" w:rsidRDefault="00FC3242" w:rsidP="000A7209">
      <w:pPr>
        <w:pStyle w:val="ListBullet"/>
      </w:pPr>
      <w:r w:rsidRPr="00FC3242">
        <w:t xml:space="preserve">There are no nonclinical objections to registration of </w:t>
      </w:r>
      <w:proofErr w:type="spellStart"/>
      <w:r w:rsidRPr="00FC3242">
        <w:t>toripalimab</w:t>
      </w:r>
      <w:proofErr w:type="spellEnd"/>
      <w:r w:rsidRPr="00FC3242">
        <w:t xml:space="preserve"> for the proposed indication</w:t>
      </w:r>
      <w:r w:rsidRPr="000A7209">
        <w:rPr>
          <w:b/>
          <w:bCs/>
        </w:rPr>
        <w:t>.</w:t>
      </w:r>
    </w:p>
    <w:p w14:paraId="35B580A5" w14:textId="40B226DC" w:rsidR="00C22214" w:rsidRDefault="00C22214" w:rsidP="008804CF">
      <w:pPr>
        <w:pStyle w:val="Heading3"/>
      </w:pPr>
      <w:bookmarkStart w:id="45" w:name="_Toc247691530"/>
      <w:bookmarkStart w:id="46" w:name="_Toc314842513"/>
      <w:bookmarkStart w:id="47" w:name="_Toc103679297"/>
      <w:bookmarkStart w:id="48" w:name="_Toc233974547"/>
      <w:r>
        <w:t>Clinical</w:t>
      </w:r>
      <w:bookmarkEnd w:id="45"/>
      <w:bookmarkEnd w:id="46"/>
      <w:bookmarkEnd w:id="47"/>
      <w:r w:rsidR="00095C6A">
        <w:t xml:space="preserve"> evaluation summary</w:t>
      </w:r>
      <w:bookmarkEnd w:id="48"/>
    </w:p>
    <w:p w14:paraId="32B0DEDA" w14:textId="77777777" w:rsidR="00C22214" w:rsidRPr="00433318" w:rsidRDefault="00C22214" w:rsidP="00433318">
      <w:pPr>
        <w:pStyle w:val="Heading4"/>
      </w:pPr>
      <w:bookmarkStart w:id="49" w:name="_Toc98931928"/>
      <w:bookmarkStart w:id="50" w:name="_Toc233974548"/>
      <w:r>
        <w:t>Summary of clinical studies</w:t>
      </w:r>
      <w:bookmarkEnd w:id="49"/>
      <w:bookmarkEnd w:id="50"/>
    </w:p>
    <w:p w14:paraId="46622364" w14:textId="2C728F95" w:rsidR="00C22214" w:rsidRPr="00BD5DBD" w:rsidRDefault="00C22214" w:rsidP="00C22214">
      <w:pPr>
        <w:rPr>
          <w:szCs w:val="22"/>
        </w:rPr>
      </w:pPr>
      <w:r w:rsidRPr="00BD5DBD">
        <w:rPr>
          <w:szCs w:val="22"/>
        </w:rPr>
        <w:t>The clinical dossier consisted of</w:t>
      </w:r>
      <w:r w:rsidR="007357B9" w:rsidRPr="00BD5DBD">
        <w:rPr>
          <w:szCs w:val="22"/>
        </w:rPr>
        <w:t>:</w:t>
      </w:r>
      <w:r w:rsidRPr="00BD5DBD">
        <w:rPr>
          <w:szCs w:val="22"/>
        </w:rPr>
        <w:t xml:space="preserve"> </w:t>
      </w:r>
    </w:p>
    <w:p w14:paraId="3DF49722" w14:textId="64A51D53" w:rsidR="00C22214" w:rsidRPr="00BD5DBD" w:rsidRDefault="009215C9" w:rsidP="00C22214">
      <w:pPr>
        <w:pStyle w:val="ListBullet"/>
        <w:rPr>
          <w:szCs w:val="22"/>
        </w:rPr>
      </w:pPr>
      <w:r>
        <w:rPr>
          <w:szCs w:val="22"/>
        </w:rPr>
        <w:t>9</w:t>
      </w:r>
      <w:r w:rsidR="00C22214" w:rsidRPr="00BD5DBD">
        <w:rPr>
          <w:szCs w:val="22"/>
        </w:rPr>
        <w:t xml:space="preserve"> Phase I studies</w:t>
      </w:r>
    </w:p>
    <w:p w14:paraId="6B56CB17" w14:textId="572E4C68" w:rsidR="00C22214" w:rsidRDefault="009215C9" w:rsidP="00C22214">
      <w:pPr>
        <w:pStyle w:val="ListBullet"/>
        <w:rPr>
          <w:szCs w:val="22"/>
        </w:rPr>
      </w:pPr>
      <w:r>
        <w:rPr>
          <w:szCs w:val="22"/>
        </w:rPr>
        <w:t>4</w:t>
      </w:r>
      <w:r w:rsidR="00C22214" w:rsidRPr="00BD5DBD">
        <w:rPr>
          <w:szCs w:val="22"/>
        </w:rPr>
        <w:t xml:space="preserve"> Phase II studies</w:t>
      </w:r>
    </w:p>
    <w:p w14:paraId="0F80EF64" w14:textId="2E2F4654" w:rsidR="00123B95" w:rsidRDefault="00123B95" w:rsidP="00C22214">
      <w:pPr>
        <w:pStyle w:val="ListBullet"/>
        <w:rPr>
          <w:szCs w:val="22"/>
        </w:rPr>
      </w:pPr>
      <w:r>
        <w:rPr>
          <w:szCs w:val="22"/>
        </w:rPr>
        <w:t>One Phase III study</w:t>
      </w:r>
    </w:p>
    <w:p w14:paraId="7851EEE0" w14:textId="1667DFA4" w:rsidR="002309AF" w:rsidRPr="00B8472B" w:rsidRDefault="002309AF" w:rsidP="00B8472B">
      <w:r w:rsidRPr="00B8472B">
        <w:t xml:space="preserve">The primary evidence to support the clinical efficacy and safety of </w:t>
      </w:r>
      <w:proofErr w:type="spellStart"/>
      <w:r w:rsidRPr="00B8472B">
        <w:t>toripalimab</w:t>
      </w:r>
      <w:proofErr w:type="spellEnd"/>
      <w:r w:rsidRPr="00B8472B">
        <w:t xml:space="preserve"> as first-line treatment in patients with recurrent/metastatic NPC is from JUPITER-02.</w:t>
      </w:r>
    </w:p>
    <w:p w14:paraId="7A460AB9" w14:textId="427C1512" w:rsidR="002309AF" w:rsidRPr="00B8472B" w:rsidRDefault="002309AF" w:rsidP="00B8472B">
      <w:r w:rsidRPr="00B8472B">
        <w:t>JUPITER-02 was a multinational, double</w:t>
      </w:r>
      <w:r w:rsidR="00B519A0">
        <w:t xml:space="preserve"> </w:t>
      </w:r>
      <w:r w:rsidRPr="00B8472B">
        <w:t>blind, randomised placebo</w:t>
      </w:r>
      <w:r w:rsidR="00D078D5">
        <w:t>-</w:t>
      </w:r>
      <w:r w:rsidRPr="00B8472B">
        <w:t xml:space="preserve">controlled trial in which 289 patients with NPC who had received no prior therapy for recurrent/metastatic disease were randomised to </w:t>
      </w:r>
      <w:proofErr w:type="spellStart"/>
      <w:r w:rsidRPr="00B8472B">
        <w:t>toripalimab</w:t>
      </w:r>
      <w:proofErr w:type="spellEnd"/>
      <w:r w:rsidRPr="00B8472B">
        <w:t xml:space="preserve"> plus cisplatin/gemcitabine or placebo plus cisplatin/gemcitabine. The </w:t>
      </w:r>
      <w:r w:rsidRPr="007B35DC">
        <w:t xml:space="preserve">primary endpoint is </w:t>
      </w:r>
      <w:r w:rsidR="00F67BE1" w:rsidRPr="007B35DC">
        <w:t>Independent R</w:t>
      </w:r>
      <w:r w:rsidR="005B0728" w:rsidRPr="007B35DC">
        <w:t xml:space="preserve">eview </w:t>
      </w:r>
      <w:r w:rsidR="00540028" w:rsidRPr="007B35DC">
        <w:t>Co</w:t>
      </w:r>
      <w:r w:rsidR="00F67BE1" w:rsidRPr="007B35DC">
        <w:t>mmittee (</w:t>
      </w:r>
      <w:r w:rsidRPr="007B35DC">
        <w:t>IRC</w:t>
      </w:r>
      <w:r w:rsidR="00F67BE1" w:rsidRPr="007B35DC">
        <w:t>)</w:t>
      </w:r>
      <w:r w:rsidR="002C021D" w:rsidRPr="007B35DC">
        <w:t xml:space="preserve"> </w:t>
      </w:r>
      <w:r w:rsidRPr="007B35DC">
        <w:t xml:space="preserve">determined </w:t>
      </w:r>
      <w:r w:rsidR="00A72FCE" w:rsidRPr="007B35DC">
        <w:t>progression free survival (</w:t>
      </w:r>
      <w:r w:rsidRPr="007B35DC">
        <w:t>PFS</w:t>
      </w:r>
      <w:r w:rsidR="00A72FCE" w:rsidRPr="007B35DC">
        <w:t>)</w:t>
      </w:r>
      <w:r w:rsidRPr="007B35DC">
        <w:t xml:space="preserve">. Key secondary endpoints are </w:t>
      </w:r>
      <w:r w:rsidR="00A72FCE" w:rsidRPr="007B35DC">
        <w:t>objective response rate (</w:t>
      </w:r>
      <w:r w:rsidRPr="007B35DC">
        <w:t>ORR</w:t>
      </w:r>
      <w:r w:rsidR="00A72FCE" w:rsidRPr="007B35DC">
        <w:t>)</w:t>
      </w:r>
      <w:r w:rsidRPr="007B35DC">
        <w:t xml:space="preserve"> and </w:t>
      </w:r>
      <w:r w:rsidR="00D078D5" w:rsidRPr="007B35DC">
        <w:t>overall survival (</w:t>
      </w:r>
      <w:r w:rsidRPr="007B35DC">
        <w:t>OS</w:t>
      </w:r>
      <w:r w:rsidR="00D078D5" w:rsidRPr="007B35DC">
        <w:t>)</w:t>
      </w:r>
      <w:r w:rsidRPr="007B35DC">
        <w:t>.</w:t>
      </w:r>
    </w:p>
    <w:p w14:paraId="2F3208FD" w14:textId="7918388F" w:rsidR="008C1E0D" w:rsidRPr="00B8472B" w:rsidRDefault="008C1E0D" w:rsidP="00B8472B">
      <w:r w:rsidRPr="00B8472B">
        <w:t xml:space="preserve">This is supported by data from 12 patients in Cohort 7 of POLARIS-02. These patients had not received systemic therapy for recurrent/metastatic NPC and were treated with </w:t>
      </w:r>
      <w:proofErr w:type="spellStart"/>
      <w:r w:rsidRPr="00B8472B">
        <w:t>toripalimab</w:t>
      </w:r>
      <w:proofErr w:type="spellEnd"/>
      <w:r w:rsidRPr="00B8472B">
        <w:t xml:space="preserve"> plus cisplatin/gemcitabine.</w:t>
      </w:r>
    </w:p>
    <w:p w14:paraId="2D8F9D97" w14:textId="547F1FE4" w:rsidR="008C1E0D" w:rsidRPr="00B8472B" w:rsidRDefault="008C1E0D" w:rsidP="00B8472B">
      <w:r w:rsidRPr="00B8472B">
        <w:t xml:space="preserve">The primary evidence to support the clinical efficacy of </w:t>
      </w:r>
      <w:proofErr w:type="spellStart"/>
      <w:r w:rsidRPr="00B8472B">
        <w:t>toripalimab</w:t>
      </w:r>
      <w:proofErr w:type="spellEnd"/>
      <w:r w:rsidRPr="00B8472B">
        <w:t xml:space="preserve"> in patients with recurrent or metastatic NPC following platinum-based therapy is from 172 patients in Cohort 3 of POLARIS</w:t>
      </w:r>
      <w:r w:rsidR="00B46159">
        <w:noBreakHyphen/>
      </w:r>
      <w:r w:rsidRPr="00B8472B">
        <w:t xml:space="preserve">02 who received </w:t>
      </w:r>
      <w:proofErr w:type="spellStart"/>
      <w:r w:rsidRPr="00B8472B">
        <w:t>toripalimab</w:t>
      </w:r>
      <w:proofErr w:type="spellEnd"/>
      <w:r w:rsidRPr="00B8472B">
        <w:t xml:space="preserve"> monotherapy. The key efficacy endpoints were IRC</w:t>
      </w:r>
      <w:r w:rsidR="000E768E">
        <w:t xml:space="preserve"> </w:t>
      </w:r>
      <w:r w:rsidRPr="00B8472B">
        <w:t xml:space="preserve">determined ORR and </w:t>
      </w:r>
      <w:r w:rsidR="00DC5F76">
        <w:t>duration of response (</w:t>
      </w:r>
      <w:proofErr w:type="spellStart"/>
      <w:r w:rsidRPr="00F50116">
        <w:t>DoR</w:t>
      </w:r>
      <w:proofErr w:type="spellEnd"/>
      <w:r w:rsidR="00DC5F76" w:rsidRPr="00F50116">
        <w:t>)</w:t>
      </w:r>
      <w:r w:rsidRPr="00F50116">
        <w:t>.</w:t>
      </w:r>
    </w:p>
    <w:p w14:paraId="799D6EDC" w14:textId="7EA8D363" w:rsidR="008C1E0D" w:rsidRPr="00B8472B" w:rsidRDefault="008C1E0D" w:rsidP="00B8472B">
      <w:r w:rsidRPr="00B8472B">
        <w:t xml:space="preserve">The primary evidence to support the safety of </w:t>
      </w:r>
      <w:proofErr w:type="spellStart"/>
      <w:r w:rsidRPr="00B8472B">
        <w:t>toripalimab</w:t>
      </w:r>
      <w:proofErr w:type="spellEnd"/>
      <w:r w:rsidRPr="00B8472B">
        <w:t xml:space="preserve"> is derived from:</w:t>
      </w:r>
    </w:p>
    <w:p w14:paraId="27B2F94A" w14:textId="42764184" w:rsidR="008C1E0D" w:rsidRPr="00B8472B" w:rsidRDefault="008C1E0D" w:rsidP="00DC5F76">
      <w:pPr>
        <w:pStyle w:val="ListBullet"/>
      </w:pPr>
      <w:r w:rsidRPr="00B8472B">
        <w:t xml:space="preserve">851 patients with various tumour types who received </w:t>
      </w:r>
      <w:proofErr w:type="spellStart"/>
      <w:r w:rsidRPr="00B8472B">
        <w:t>toripalimab</w:t>
      </w:r>
      <w:proofErr w:type="spellEnd"/>
      <w:r w:rsidRPr="00B8472B">
        <w:t xml:space="preserve"> 3</w:t>
      </w:r>
      <w:r w:rsidR="00DC5F76">
        <w:t> </w:t>
      </w:r>
      <w:r w:rsidRPr="00B8472B">
        <w:t xml:space="preserve">mg/kg IV </w:t>
      </w:r>
      <w:r w:rsidR="00776581">
        <w:t xml:space="preserve">every 2 weeks as </w:t>
      </w:r>
      <w:r w:rsidRPr="00B8472B">
        <w:t>a single agent, including 190 patients with NPC in POLARIS-02</w:t>
      </w:r>
      <w:r w:rsidR="00986AF4">
        <w:t>/Cohort 3</w:t>
      </w:r>
      <w:r w:rsidR="002514F8">
        <w:t>.</w:t>
      </w:r>
    </w:p>
    <w:p w14:paraId="18126008" w14:textId="7B244F97" w:rsidR="008C1E0D" w:rsidRDefault="008C1E0D" w:rsidP="00DC5F76">
      <w:pPr>
        <w:pStyle w:val="ListBullet"/>
      </w:pPr>
      <w:r w:rsidRPr="00B8472B">
        <w:t xml:space="preserve">146 patients who received </w:t>
      </w:r>
      <w:proofErr w:type="spellStart"/>
      <w:r w:rsidRPr="00B8472B">
        <w:t>toripalimab</w:t>
      </w:r>
      <w:proofErr w:type="spellEnd"/>
      <w:r w:rsidRPr="00B8472B">
        <w:t xml:space="preserve"> 240</w:t>
      </w:r>
      <w:r w:rsidR="00776581">
        <w:t> </w:t>
      </w:r>
      <w:r w:rsidRPr="00B8472B">
        <w:t xml:space="preserve">mg/kg IV </w:t>
      </w:r>
      <w:r w:rsidR="00957C21">
        <w:t>every 3 weeks</w:t>
      </w:r>
      <w:r w:rsidRPr="00B8472B">
        <w:t xml:space="preserve"> in combination with cisplatin and gemcitabine in JUPITER-02</w:t>
      </w:r>
      <w:r w:rsidR="00776581">
        <w:t>.</w:t>
      </w:r>
    </w:p>
    <w:p w14:paraId="6E2315A5" w14:textId="11B3C03E" w:rsidR="000710B8" w:rsidRDefault="000710B8" w:rsidP="000F1893">
      <w:pPr>
        <w:pStyle w:val="Heading4"/>
      </w:pPr>
      <w:bookmarkStart w:id="51" w:name="_Toc233974549"/>
      <w:r>
        <w:t xml:space="preserve">Clinical </w:t>
      </w:r>
      <w:r w:rsidR="00A54391">
        <w:t>p</w:t>
      </w:r>
      <w:r>
        <w:t>harmacology</w:t>
      </w:r>
      <w:bookmarkEnd w:id="51"/>
      <w:r>
        <w:t xml:space="preserve"> </w:t>
      </w:r>
    </w:p>
    <w:p w14:paraId="32131270" w14:textId="2D30DA22" w:rsidR="00A65D3E" w:rsidRDefault="00A65D3E" w:rsidP="003E0AEF">
      <w:r w:rsidRPr="003E0AEF">
        <w:t xml:space="preserve">The primary assessment of </w:t>
      </w:r>
      <w:proofErr w:type="spellStart"/>
      <w:r w:rsidRPr="003E0AEF">
        <w:t>toripalimab</w:t>
      </w:r>
      <w:proofErr w:type="spellEnd"/>
      <w:r w:rsidRPr="003E0AEF">
        <w:t xml:space="preserve"> pharmacokinetics relies on population PK modelling. This base model was based on a dataset that included </w:t>
      </w:r>
      <w:r w:rsidR="00D42A26">
        <w:t>pharmac</w:t>
      </w:r>
      <w:r w:rsidR="00D42A26" w:rsidRPr="004A529D">
        <w:t>okinetic (</w:t>
      </w:r>
      <w:r w:rsidRPr="004A529D">
        <w:t>PK</w:t>
      </w:r>
      <w:r w:rsidR="00D42A26" w:rsidRPr="004A529D">
        <w:t>)</w:t>
      </w:r>
      <w:r w:rsidRPr="004A529D">
        <w:t xml:space="preserve"> data</w:t>
      </w:r>
      <w:r w:rsidRPr="003E0AEF">
        <w:t xml:space="preserve"> from 862 patients enrolled across 12 clinical studies administered </w:t>
      </w:r>
      <w:proofErr w:type="spellStart"/>
      <w:r w:rsidRPr="003E0AEF">
        <w:t>toripalimab</w:t>
      </w:r>
      <w:proofErr w:type="spellEnd"/>
      <w:r w:rsidRPr="003E0AEF">
        <w:t xml:space="preserve"> as monotherapy, including </w:t>
      </w:r>
      <w:r w:rsidRPr="003E0AEF">
        <w:lastRenderedPageBreak/>
        <w:t>data from patients enrolled in the pivotal study, Cohort 3/POLARIS</w:t>
      </w:r>
      <w:r w:rsidR="00D42A26">
        <w:noBreakHyphen/>
      </w:r>
      <w:r w:rsidRPr="003E0AEF">
        <w:t>02 and data from a Phase I study (</w:t>
      </w:r>
      <w:r w:rsidR="00CF2B48">
        <w:t xml:space="preserve">Study </w:t>
      </w:r>
      <w:r w:rsidRPr="003E0AEF">
        <w:t>TAB001-01) conducted in the US.</w:t>
      </w:r>
    </w:p>
    <w:p w14:paraId="392D4D39" w14:textId="5927862C" w:rsidR="00BA404E" w:rsidRPr="00BA404E" w:rsidRDefault="00FE5216" w:rsidP="00BA404E">
      <w:pPr>
        <w:pStyle w:val="Heading5"/>
      </w:pPr>
      <w:r>
        <w:t>Pharmacokinetic</w:t>
      </w:r>
      <w:r w:rsidR="00BA404E">
        <w:t>s</w:t>
      </w:r>
    </w:p>
    <w:p w14:paraId="2C512B11" w14:textId="6884129F" w:rsidR="00A65D3E" w:rsidRPr="00743A0D" w:rsidRDefault="00A65D3E" w:rsidP="00743A0D">
      <w:pPr>
        <w:pStyle w:val="ListBullet"/>
        <w:rPr>
          <w:szCs w:val="22"/>
        </w:rPr>
      </w:pPr>
      <w:r w:rsidRPr="00A65D3E">
        <w:rPr>
          <w:szCs w:val="22"/>
        </w:rPr>
        <w:t xml:space="preserve">Distribution: </w:t>
      </w:r>
      <w:proofErr w:type="spellStart"/>
      <w:r w:rsidR="00743A0D">
        <w:rPr>
          <w:szCs w:val="22"/>
        </w:rPr>
        <w:t>t</w:t>
      </w:r>
      <w:r w:rsidRPr="00A65D3E">
        <w:rPr>
          <w:szCs w:val="22"/>
        </w:rPr>
        <w:t>oripalimab</w:t>
      </w:r>
      <w:proofErr w:type="spellEnd"/>
      <w:r w:rsidRPr="00A65D3E">
        <w:rPr>
          <w:szCs w:val="22"/>
        </w:rPr>
        <w:t xml:space="preserve"> is primarily distributed in the plasma with a geometric mean volume of distribution at steady state of approximately 3.7</w:t>
      </w:r>
      <w:r w:rsidR="00590A2E">
        <w:rPr>
          <w:szCs w:val="22"/>
        </w:rPr>
        <w:t> </w:t>
      </w:r>
      <w:r w:rsidRPr="00A65D3E">
        <w:rPr>
          <w:szCs w:val="22"/>
        </w:rPr>
        <w:t>L (</w:t>
      </w:r>
      <w:r w:rsidR="00743A0D">
        <w:rPr>
          <w:szCs w:val="22"/>
        </w:rPr>
        <w:t xml:space="preserve">coefficient of variation </w:t>
      </w:r>
      <w:r w:rsidRPr="00A65D3E">
        <w:rPr>
          <w:szCs w:val="22"/>
        </w:rPr>
        <w:t>=</w:t>
      </w:r>
      <w:r w:rsidR="00743A0D">
        <w:rPr>
          <w:szCs w:val="22"/>
        </w:rPr>
        <w:t> </w:t>
      </w:r>
      <w:r w:rsidRPr="00A65D3E">
        <w:rPr>
          <w:szCs w:val="22"/>
        </w:rPr>
        <w:t>27%).</w:t>
      </w:r>
    </w:p>
    <w:p w14:paraId="7C639F89" w14:textId="04BD907B" w:rsidR="00A65D3E" w:rsidRPr="007C0811" w:rsidRDefault="00A65D3E" w:rsidP="007C0811">
      <w:pPr>
        <w:pStyle w:val="ListBullet"/>
      </w:pPr>
      <w:r w:rsidRPr="00743A0D">
        <w:t xml:space="preserve">Metabolism: </w:t>
      </w:r>
      <w:proofErr w:type="spellStart"/>
      <w:r w:rsidR="00743A0D">
        <w:t>t</w:t>
      </w:r>
      <w:r w:rsidRPr="00743A0D">
        <w:t>oripalimab</w:t>
      </w:r>
      <w:proofErr w:type="spellEnd"/>
      <w:r w:rsidRPr="00743A0D">
        <w:t xml:space="preserve"> is expected to be metabolised into small peptides by catabolic pathways. The mean clearance was 14.9</w:t>
      </w:r>
      <w:r w:rsidR="00D015B4">
        <w:t> </w:t>
      </w:r>
      <w:r w:rsidRPr="00743A0D">
        <w:t>mL/h</w:t>
      </w:r>
      <w:r w:rsidR="00D015B4">
        <w:t xml:space="preserve">our </w:t>
      </w:r>
      <w:r w:rsidRPr="00743A0D">
        <w:t>(31%) after the first dose and 9.5</w:t>
      </w:r>
      <w:r w:rsidR="00D015B4">
        <w:t> </w:t>
      </w:r>
      <w:r w:rsidRPr="00743A0D">
        <w:t>mL/h</w:t>
      </w:r>
      <w:r w:rsidR="00D015B4">
        <w:t>our</w:t>
      </w:r>
      <w:r w:rsidRPr="00743A0D">
        <w:t xml:space="preserve"> (36%) at steady state. The mean terminal half-life (± standard deviation) was 10</w:t>
      </w:r>
      <w:r w:rsidR="0067194A">
        <w:t> </w:t>
      </w:r>
      <w:r w:rsidRPr="00743A0D">
        <w:t>±</w:t>
      </w:r>
      <w:r w:rsidR="0067194A">
        <w:t> </w:t>
      </w:r>
      <w:r w:rsidRPr="00743A0D">
        <w:t>1.5 days after the first dose and 18</w:t>
      </w:r>
      <w:r w:rsidR="0067194A">
        <w:t> </w:t>
      </w:r>
      <w:r w:rsidRPr="00743A0D">
        <w:t>±</w:t>
      </w:r>
      <w:r w:rsidR="0067194A">
        <w:t> </w:t>
      </w:r>
      <w:r w:rsidRPr="00743A0D">
        <w:t>9.4 days at steady state.</w:t>
      </w:r>
      <w:r w:rsidR="00610775">
        <w:t xml:space="preserve"> </w:t>
      </w:r>
      <w:r w:rsidR="00610775" w:rsidRPr="00610775">
        <w:t xml:space="preserve">Based upon its expected metabolism, </w:t>
      </w:r>
      <w:proofErr w:type="spellStart"/>
      <w:r w:rsidR="00610775" w:rsidRPr="00610775">
        <w:t>toripalimab</w:t>
      </w:r>
      <w:proofErr w:type="spellEnd"/>
      <w:r w:rsidR="00610775" w:rsidRPr="00610775">
        <w:t xml:space="preserve"> is not expected to have drug-drug interactions</w:t>
      </w:r>
      <w:r w:rsidR="00154C9A">
        <w:t>.</w:t>
      </w:r>
    </w:p>
    <w:p w14:paraId="14EC3924" w14:textId="4C327F3D" w:rsidR="00A65D3E" w:rsidRPr="00A65D3E" w:rsidRDefault="00A65D3E" w:rsidP="00A65D3E">
      <w:pPr>
        <w:pStyle w:val="ListBullet"/>
        <w:rPr>
          <w:szCs w:val="22"/>
        </w:rPr>
      </w:pPr>
      <w:r w:rsidRPr="00A65D3E">
        <w:rPr>
          <w:szCs w:val="22"/>
        </w:rPr>
        <w:t>P</w:t>
      </w:r>
      <w:r w:rsidR="00154C9A">
        <w:rPr>
          <w:szCs w:val="22"/>
        </w:rPr>
        <w:t xml:space="preserve">harmacokinetics </w:t>
      </w:r>
      <w:r w:rsidRPr="00A65D3E">
        <w:rPr>
          <w:szCs w:val="22"/>
        </w:rPr>
        <w:t>in special populations:</w:t>
      </w:r>
    </w:p>
    <w:p w14:paraId="2DEC1419" w14:textId="6FA31780" w:rsidR="00A65D3E" w:rsidRPr="007C0811" w:rsidRDefault="00A65D3E" w:rsidP="007C0811">
      <w:pPr>
        <w:pStyle w:val="ListBullet2"/>
      </w:pPr>
      <w:r w:rsidRPr="00A65D3E">
        <w:t xml:space="preserve">No clinically significant differences in the </w:t>
      </w:r>
      <w:r w:rsidR="00714E77">
        <w:t>PK</w:t>
      </w:r>
      <w:r w:rsidRPr="00A65D3E">
        <w:t xml:space="preserve"> were observed based on age (21 to 85</w:t>
      </w:r>
      <w:r w:rsidR="00714E77">
        <w:t> </w:t>
      </w:r>
      <w:r w:rsidRPr="00A65D3E">
        <w:t>years), body weight (32 to 164</w:t>
      </w:r>
      <w:r w:rsidR="00380FC2">
        <w:t> </w:t>
      </w:r>
      <w:r w:rsidRPr="00A65D3E">
        <w:t xml:space="preserve">kg), sex, race (White and Asian), concomitant chemotherapy, mild renal impairment (creatinine clearance </w:t>
      </w:r>
      <w:r w:rsidR="00380FC2" w:rsidRPr="00845165">
        <w:t>(</w:t>
      </w:r>
      <w:r w:rsidRPr="00845165">
        <w:t>CLcr</w:t>
      </w:r>
      <w:r w:rsidR="00380FC2" w:rsidRPr="00845165">
        <w:t>)</w:t>
      </w:r>
      <w:r w:rsidRPr="00A65D3E">
        <w:t xml:space="preserve"> 60 to 89</w:t>
      </w:r>
      <w:r w:rsidR="00380FC2">
        <w:t> </w:t>
      </w:r>
      <w:r w:rsidRPr="00A65D3E">
        <w:t>mL/min</w:t>
      </w:r>
      <w:r w:rsidR="00380FC2">
        <w:t>ute</w:t>
      </w:r>
      <w:r w:rsidRPr="00A65D3E">
        <w:t xml:space="preserve">), mild hepatic impairment (total </w:t>
      </w:r>
      <w:r w:rsidRPr="00287D53">
        <w:t>bilirubin &gt;</w:t>
      </w:r>
      <w:r w:rsidR="00380FC2" w:rsidRPr="00287D53">
        <w:t> </w:t>
      </w:r>
      <w:r w:rsidRPr="00287D53">
        <w:t xml:space="preserve">1 to 1.5 times </w:t>
      </w:r>
      <w:r w:rsidR="00380FC2" w:rsidRPr="00287D53">
        <w:t>upper limit of normal (</w:t>
      </w:r>
      <w:r w:rsidRPr="00287D53">
        <w:t>ULN</w:t>
      </w:r>
      <w:r w:rsidR="00380FC2" w:rsidRPr="00287D53">
        <w:t>)</w:t>
      </w:r>
      <w:r w:rsidRPr="00287D53">
        <w:t xml:space="preserve"> with any </w:t>
      </w:r>
      <w:r w:rsidR="00064992" w:rsidRPr="00287D53">
        <w:t>aspartate aminotransferase (</w:t>
      </w:r>
      <w:r w:rsidRPr="00287D53">
        <w:t>AST</w:t>
      </w:r>
      <w:r w:rsidR="00064992" w:rsidRPr="00287D53">
        <w:t>)</w:t>
      </w:r>
      <w:r w:rsidRPr="00287D53">
        <w:t xml:space="preserve"> or total bilirubin ≤</w:t>
      </w:r>
      <w:r w:rsidR="00064992" w:rsidRPr="00287D53">
        <w:t> </w:t>
      </w:r>
      <w:r w:rsidRPr="00287D53">
        <w:t>ULN with AST</w:t>
      </w:r>
      <w:r w:rsidR="00064992" w:rsidRPr="00287D53">
        <w:t> </w:t>
      </w:r>
      <w:r w:rsidRPr="00287D53">
        <w:t>&gt;</w:t>
      </w:r>
      <w:r w:rsidR="00064992" w:rsidRPr="00287D53">
        <w:t> </w:t>
      </w:r>
      <w:r w:rsidRPr="00287D53">
        <w:t>ULN), tumour burden and primary cancer</w:t>
      </w:r>
      <w:r w:rsidR="003C0CA0" w:rsidRPr="00287D53">
        <w:t>.</w:t>
      </w:r>
    </w:p>
    <w:p w14:paraId="54CBC970" w14:textId="76CBC157" w:rsidR="00A65D3E" w:rsidRPr="00A65D3E" w:rsidRDefault="00A65D3E" w:rsidP="007C0811">
      <w:pPr>
        <w:pStyle w:val="ListBullet2"/>
      </w:pPr>
      <w:r w:rsidRPr="00A65D3E">
        <w:t>The effect of moderate (total bilirubin &gt;</w:t>
      </w:r>
      <w:r w:rsidR="003C0CA0">
        <w:t> </w:t>
      </w:r>
      <w:r w:rsidRPr="00A65D3E">
        <w:t>1.5 to 3 times ULN and any AST) or severe (total bilirubin &gt;</w:t>
      </w:r>
      <w:r w:rsidR="003C0CA0">
        <w:t> </w:t>
      </w:r>
      <w:r w:rsidRPr="00A65D3E">
        <w:t>3 times ULN and any AST) hepatic impairment or of moderate (CLcr</w:t>
      </w:r>
      <w:r w:rsidR="003C0CA0">
        <w:t> </w:t>
      </w:r>
      <w:r w:rsidRPr="00A65D3E">
        <w:t>30 to 59</w:t>
      </w:r>
      <w:r w:rsidR="003C0CA0">
        <w:t> </w:t>
      </w:r>
      <w:r w:rsidRPr="00A65D3E">
        <w:t>mL/min</w:t>
      </w:r>
      <w:r w:rsidR="003C0CA0">
        <w:t>ute</w:t>
      </w:r>
      <w:r w:rsidRPr="00A65D3E">
        <w:t>) or severe (CLcr 15 to 29</w:t>
      </w:r>
      <w:r w:rsidR="003C0CA0">
        <w:t> </w:t>
      </w:r>
      <w:r w:rsidRPr="00A65D3E">
        <w:t>mL/min</w:t>
      </w:r>
      <w:r w:rsidR="003C0CA0">
        <w:t>ute</w:t>
      </w:r>
      <w:r w:rsidRPr="00A65D3E">
        <w:t xml:space="preserve">) renal impairment on the pharmacokinetics of </w:t>
      </w:r>
      <w:proofErr w:type="spellStart"/>
      <w:r w:rsidRPr="00A65D3E">
        <w:t>toripalimab</w:t>
      </w:r>
      <w:proofErr w:type="spellEnd"/>
      <w:r w:rsidRPr="00A65D3E">
        <w:t xml:space="preserve"> has not been studied</w:t>
      </w:r>
      <w:r w:rsidR="003C0CA0">
        <w:t>.</w:t>
      </w:r>
    </w:p>
    <w:p w14:paraId="28FBBD08" w14:textId="423748F8" w:rsidR="00A65D3E" w:rsidRPr="00A65D3E" w:rsidRDefault="002E6DC0" w:rsidP="00A65D3E">
      <w:pPr>
        <w:pStyle w:val="ListBullet"/>
        <w:rPr>
          <w:szCs w:val="22"/>
        </w:rPr>
      </w:pPr>
      <w:r w:rsidRPr="002E6DC0">
        <w:rPr>
          <w:szCs w:val="22"/>
        </w:rPr>
        <w:t xml:space="preserve">Based upon its expected metabolism, </w:t>
      </w:r>
      <w:proofErr w:type="spellStart"/>
      <w:r w:rsidRPr="002E6DC0">
        <w:rPr>
          <w:szCs w:val="22"/>
        </w:rPr>
        <w:t>toripalimab</w:t>
      </w:r>
      <w:proofErr w:type="spellEnd"/>
      <w:r w:rsidRPr="002E6DC0">
        <w:rPr>
          <w:szCs w:val="22"/>
        </w:rPr>
        <w:t xml:space="preserve"> is not expected to have drug-drug interactions</w:t>
      </w:r>
    </w:p>
    <w:p w14:paraId="142841CE" w14:textId="126DFBC2" w:rsidR="00DB02ED" w:rsidRDefault="00602ED7" w:rsidP="00602ED7">
      <w:pPr>
        <w:pStyle w:val="ListBullet"/>
      </w:pPr>
      <w:r>
        <w:t xml:space="preserve">Two </w:t>
      </w:r>
      <w:r w:rsidR="00615238">
        <w:t>population pharmacokinet</w:t>
      </w:r>
      <w:r w:rsidR="00615238" w:rsidRPr="00522C5F">
        <w:t>ics (</w:t>
      </w:r>
      <w:proofErr w:type="spellStart"/>
      <w:r w:rsidR="00344EDC" w:rsidRPr="00522C5F">
        <w:t>p</w:t>
      </w:r>
      <w:r w:rsidR="00615238" w:rsidRPr="00522C5F">
        <w:t>opPK</w:t>
      </w:r>
      <w:proofErr w:type="spellEnd"/>
      <w:r w:rsidR="00615238" w:rsidRPr="00522C5F">
        <w:t>)</w:t>
      </w:r>
      <w:r w:rsidR="00615238">
        <w:t xml:space="preserve"> models</w:t>
      </w:r>
      <w:r w:rsidR="00A51CE0">
        <w:t xml:space="preserve"> were developed in support of this </w:t>
      </w:r>
      <w:r w:rsidR="00646554">
        <w:t>submission.</w:t>
      </w:r>
    </w:p>
    <w:p w14:paraId="2B4773AB" w14:textId="205FFD0C" w:rsidR="00646554" w:rsidRPr="00344EDC" w:rsidRDefault="00646554" w:rsidP="00646554">
      <w:pPr>
        <w:pStyle w:val="ListBullet2"/>
      </w:pPr>
      <w:r>
        <w:t xml:space="preserve">The first model utilised a dataset that was limited to patients who received </w:t>
      </w:r>
      <w:proofErr w:type="spellStart"/>
      <w:r>
        <w:t>toripalimab</w:t>
      </w:r>
      <w:proofErr w:type="spellEnd"/>
      <w:r>
        <w:t xml:space="preserve"> as a single agent (that is, as monotherapy)</w:t>
      </w:r>
      <w:r w:rsidR="00B649C9">
        <w:t xml:space="preserve">. </w:t>
      </w:r>
      <w:r w:rsidR="00344EDC" w:rsidRPr="00A96979">
        <w:rPr>
          <w:rFonts w:cs="Calibri"/>
          <w:szCs w:val="22"/>
        </w:rPr>
        <w:t xml:space="preserve">This </w:t>
      </w:r>
      <w:proofErr w:type="spellStart"/>
      <w:r w:rsidR="00344EDC" w:rsidRPr="00A96979">
        <w:rPr>
          <w:rFonts w:cs="Calibri"/>
          <w:szCs w:val="22"/>
        </w:rPr>
        <w:t>popPK</w:t>
      </w:r>
      <w:proofErr w:type="spellEnd"/>
      <w:r w:rsidR="00344EDC" w:rsidRPr="00A96979">
        <w:rPr>
          <w:rFonts w:cs="Calibri"/>
          <w:szCs w:val="22"/>
        </w:rPr>
        <w:t xml:space="preserve"> analysis model was conducted on a database containing 9377 PK observation records in 862 patients with various cancers.</w:t>
      </w:r>
    </w:p>
    <w:p w14:paraId="19EAF018" w14:textId="4C4056F2" w:rsidR="00344EDC" w:rsidRDefault="00C63BFF" w:rsidP="00F153A9">
      <w:pPr>
        <w:pStyle w:val="ListBullet2"/>
      </w:pPr>
      <w:r w:rsidRPr="00A96979">
        <w:t xml:space="preserve">The second (updated) model was developed to assess the effects of concurrent chemotherapy on </w:t>
      </w:r>
      <w:proofErr w:type="spellStart"/>
      <w:r w:rsidRPr="00A96979">
        <w:t>toripalimab</w:t>
      </w:r>
      <w:proofErr w:type="spellEnd"/>
      <w:r w:rsidRPr="00A96979">
        <w:t xml:space="preserve"> PK and utili</w:t>
      </w:r>
      <w:r w:rsidR="00F96250">
        <w:t>s</w:t>
      </w:r>
      <w:r w:rsidRPr="00A96979">
        <w:t xml:space="preserve">ed a combined dataset that included all patients in the original </w:t>
      </w:r>
      <w:proofErr w:type="spellStart"/>
      <w:r w:rsidRPr="00A96979">
        <w:t>popPK</w:t>
      </w:r>
      <w:proofErr w:type="spellEnd"/>
      <w:r w:rsidRPr="00A96979">
        <w:t xml:space="preserve"> model and additional data from two studies, POLARIS</w:t>
      </w:r>
      <w:r w:rsidR="00F96250">
        <w:noBreakHyphen/>
      </w:r>
      <w:r w:rsidRPr="00A96979">
        <w:t>02/CT5 cohorts 5</w:t>
      </w:r>
      <w:r w:rsidR="00F96250">
        <w:t xml:space="preserve"> to </w:t>
      </w:r>
      <w:r w:rsidRPr="00A96979">
        <w:t xml:space="preserve">8 and JUPITER-02, in which patients received </w:t>
      </w:r>
      <w:proofErr w:type="spellStart"/>
      <w:r w:rsidRPr="00A96979">
        <w:t>toripalimab</w:t>
      </w:r>
      <w:proofErr w:type="spellEnd"/>
      <w:r w:rsidRPr="00A96979">
        <w:t xml:space="preserve"> in combination with one of several platinum-based chemotherapy regimens. The updated </w:t>
      </w:r>
      <w:proofErr w:type="spellStart"/>
      <w:r w:rsidRPr="00A96979">
        <w:t>popPK</w:t>
      </w:r>
      <w:proofErr w:type="spellEnd"/>
      <w:r w:rsidRPr="00A96979">
        <w:t xml:space="preserve"> analysis model contained 10430 PK observation records from 1014</w:t>
      </w:r>
      <w:r w:rsidR="00F153A9">
        <w:t> </w:t>
      </w:r>
      <w:r w:rsidRPr="00A96979">
        <w:t>patients with various cancers.</w:t>
      </w:r>
    </w:p>
    <w:p w14:paraId="4C6DE283" w14:textId="0DF15F43" w:rsidR="00F153A9" w:rsidRDefault="006A46C2" w:rsidP="00F153A9">
      <w:pPr>
        <w:pStyle w:val="Heading5"/>
      </w:pPr>
      <w:r>
        <w:t>Pharmacokinetics conclusions</w:t>
      </w:r>
    </w:p>
    <w:p w14:paraId="009EAB82" w14:textId="77B5471A" w:rsidR="00DB02ED" w:rsidRPr="006A46C2" w:rsidRDefault="006A46C2" w:rsidP="00BA54E8">
      <w:pPr>
        <w:pStyle w:val="ListBullet"/>
      </w:pPr>
      <w:r w:rsidRPr="006A46C2">
        <w:t>T</w:t>
      </w:r>
      <w:r w:rsidR="00DB02ED" w:rsidRPr="006A46C2">
        <w:t xml:space="preserve">he updated </w:t>
      </w:r>
      <w:proofErr w:type="spellStart"/>
      <w:r>
        <w:t>p</w:t>
      </w:r>
      <w:r w:rsidR="00DB02ED" w:rsidRPr="006A46C2">
        <w:t>opPK</w:t>
      </w:r>
      <w:proofErr w:type="spellEnd"/>
      <w:r w:rsidR="00DB02ED" w:rsidRPr="006A46C2">
        <w:t xml:space="preserve"> analysis model contained 10430 PK observations from 1014 patients with 25 tumour </w:t>
      </w:r>
      <w:r w:rsidRPr="006A46C2">
        <w:t>types;</w:t>
      </w:r>
      <w:r w:rsidR="00DB02ED" w:rsidRPr="006A46C2">
        <w:t xml:space="preserve"> trials were primarily conducted in China. </w:t>
      </w:r>
      <w:proofErr w:type="spellStart"/>
      <w:r w:rsidR="00DB02ED" w:rsidRPr="006A46C2">
        <w:t>Toripalimab</w:t>
      </w:r>
      <w:proofErr w:type="spellEnd"/>
      <w:r w:rsidR="00DB02ED" w:rsidRPr="006A46C2">
        <w:t xml:space="preserve"> clearance</w:t>
      </w:r>
      <w:r>
        <w:t xml:space="preserve"> </w:t>
      </w:r>
      <w:r w:rsidR="00DB02ED" w:rsidRPr="006A46C2">
        <w:t>decreases over time.</w:t>
      </w:r>
    </w:p>
    <w:p w14:paraId="622658B7" w14:textId="3A090B42" w:rsidR="00DB02ED" w:rsidRPr="006A46C2" w:rsidRDefault="00DB02ED" w:rsidP="00BA54E8">
      <w:pPr>
        <w:pStyle w:val="ListBullet"/>
      </w:pPr>
      <w:r w:rsidRPr="006A46C2">
        <w:t xml:space="preserve">The proposed dose regimen of </w:t>
      </w:r>
      <w:proofErr w:type="spellStart"/>
      <w:r w:rsidRPr="006A46C2">
        <w:t>toripalimab</w:t>
      </w:r>
      <w:proofErr w:type="spellEnd"/>
      <w:r w:rsidRPr="006A46C2">
        <w:t xml:space="preserve"> 240</w:t>
      </w:r>
      <w:r w:rsidR="00B01F1B">
        <w:t> </w:t>
      </w:r>
      <w:r w:rsidRPr="006A46C2">
        <w:t xml:space="preserve">mg </w:t>
      </w:r>
      <w:r w:rsidR="00B01F1B">
        <w:t xml:space="preserve">once every </w:t>
      </w:r>
      <w:r w:rsidR="00351469">
        <w:t>3</w:t>
      </w:r>
      <w:r w:rsidR="00B01F1B">
        <w:t xml:space="preserve"> weeks </w:t>
      </w:r>
      <w:r w:rsidRPr="006A46C2">
        <w:t>in combination with chemotherapy was evaluated in clinical trials and seems acceptable.</w:t>
      </w:r>
    </w:p>
    <w:p w14:paraId="7B95A8B7" w14:textId="29B730B7" w:rsidR="00DB02ED" w:rsidRDefault="00DB02ED" w:rsidP="00BA54E8">
      <w:pPr>
        <w:pStyle w:val="ListBullet"/>
      </w:pPr>
      <w:r w:rsidRPr="006A46C2">
        <w:t xml:space="preserve">The proposed dosage in monotherapy of </w:t>
      </w:r>
      <w:r w:rsidR="00B01F1B">
        <w:t>3 </w:t>
      </w:r>
      <w:r w:rsidRPr="006A46C2">
        <w:t>mg/</w:t>
      </w:r>
      <w:r w:rsidR="00B01F1B">
        <w:t>kg</w:t>
      </w:r>
      <w:r w:rsidRPr="006A46C2">
        <w:t xml:space="preserve"> for previously treated NPC patients is supported by PK data.</w:t>
      </w:r>
    </w:p>
    <w:p w14:paraId="6889AE76" w14:textId="5373B908" w:rsidR="00BA54E8" w:rsidRDefault="00BA54E8" w:rsidP="00BA54E8">
      <w:pPr>
        <w:pStyle w:val="Heading5"/>
      </w:pPr>
      <w:r>
        <w:lastRenderedPageBreak/>
        <w:t>Pharmacodynamics</w:t>
      </w:r>
    </w:p>
    <w:p w14:paraId="470D3C32" w14:textId="0403DC15" w:rsidR="002D6510" w:rsidRPr="0079287A" w:rsidRDefault="0079287A" w:rsidP="0079287A">
      <w:r>
        <w:t>T</w:t>
      </w:r>
      <w:r w:rsidR="002D6510" w:rsidRPr="0079287A">
        <w:t>he difference in clearance between White and Asian populations is unlikely to be meaningful. The available</w:t>
      </w:r>
      <w:r w:rsidR="000A10C0">
        <w:t xml:space="preserve"> exposur</w:t>
      </w:r>
      <w:r w:rsidR="0030172A">
        <w:t>e re</w:t>
      </w:r>
      <w:r w:rsidR="000A10C0">
        <w:t>sponse</w:t>
      </w:r>
      <w:r w:rsidR="002D6510" w:rsidRPr="0079287A">
        <w:t xml:space="preserve"> </w:t>
      </w:r>
      <w:r w:rsidR="0030172A">
        <w:t xml:space="preserve">(ER) </w:t>
      </w:r>
      <w:r w:rsidR="002D6510" w:rsidRPr="0079287A">
        <w:t xml:space="preserve">analysis to support efficacy and safety of </w:t>
      </w:r>
      <w:proofErr w:type="spellStart"/>
      <w:r w:rsidR="002D6510" w:rsidRPr="0079287A">
        <w:t>toripalimab</w:t>
      </w:r>
      <w:proofErr w:type="spellEnd"/>
      <w:r w:rsidR="002D6510" w:rsidRPr="0079287A">
        <w:t xml:space="preserve"> did not include US patients with NPC, which is a new indication for a PD-1 inhibitor drug. The </w:t>
      </w:r>
      <w:r w:rsidR="00EF5511">
        <w:t>sponsor</w:t>
      </w:r>
      <w:r w:rsidR="002D6510" w:rsidRPr="0079287A">
        <w:t xml:space="preserve"> plans to conduct a Phase </w:t>
      </w:r>
      <w:r w:rsidR="00EF5511">
        <w:t>IV</w:t>
      </w:r>
      <w:r w:rsidR="002D6510" w:rsidRPr="0079287A">
        <w:t xml:space="preserve"> trial in the US patient population. Sparse sampling for supportive </w:t>
      </w:r>
      <w:r w:rsidR="00F032B2">
        <w:t>ER ana</w:t>
      </w:r>
      <w:r w:rsidR="002D6510" w:rsidRPr="0079287A">
        <w:t xml:space="preserve">lyses will be included in the Phase </w:t>
      </w:r>
      <w:r w:rsidR="00EF5511">
        <w:t>IV</w:t>
      </w:r>
      <w:r w:rsidR="002D6510" w:rsidRPr="0079287A">
        <w:t xml:space="preserve"> trial. The </w:t>
      </w:r>
      <w:r w:rsidR="00F032B2">
        <w:t xml:space="preserve">ER </w:t>
      </w:r>
      <w:r w:rsidR="002D6510" w:rsidRPr="0079287A">
        <w:t>analyses may be used to help characteri</w:t>
      </w:r>
      <w:r w:rsidR="00D95BF3">
        <w:t>s</w:t>
      </w:r>
      <w:r w:rsidR="002D6510" w:rsidRPr="0079287A">
        <w:t xml:space="preserve">e efficacy and safety in a US patient </w:t>
      </w:r>
      <w:r w:rsidR="00D95BF3">
        <w:t>population.</w:t>
      </w:r>
    </w:p>
    <w:p w14:paraId="61CB14A4" w14:textId="3E846C14" w:rsidR="002D6510" w:rsidRPr="00D95BF3" w:rsidRDefault="00D95BF3" w:rsidP="00D95BF3">
      <w:r w:rsidRPr="00D95BF3">
        <w:t>I</w:t>
      </w:r>
      <w:r w:rsidR="002D6510" w:rsidRPr="00D95BF3">
        <w:t xml:space="preserve">ndependent analysis shows a flat </w:t>
      </w:r>
      <w:r w:rsidR="00F032B2">
        <w:t>ER</w:t>
      </w:r>
      <w:r w:rsidR="002D6510" w:rsidRPr="00D95BF3">
        <w:t xml:space="preserve"> relationship for ORR and shallow positive relationship was identified for </w:t>
      </w:r>
      <w:r w:rsidR="00E15ACA">
        <w:t>disease control rate</w:t>
      </w:r>
      <w:r w:rsidR="002D6510" w:rsidRPr="00D95BF3">
        <w:t xml:space="preserve"> in patients with NPC treated with </w:t>
      </w:r>
      <w:proofErr w:type="spellStart"/>
      <w:r w:rsidR="002D6510" w:rsidRPr="00D95BF3">
        <w:t>toripalimab</w:t>
      </w:r>
      <w:proofErr w:type="spellEnd"/>
      <w:r w:rsidR="002D6510" w:rsidRPr="00D95BF3">
        <w:t xml:space="preserve"> as monotherapy. The flat</w:t>
      </w:r>
      <w:r w:rsidR="00282A2E">
        <w:t xml:space="preserve"> </w:t>
      </w:r>
      <w:r w:rsidR="009E6E64">
        <w:t>ER</w:t>
      </w:r>
      <w:r w:rsidR="00282A2E">
        <w:t xml:space="preserve"> </w:t>
      </w:r>
      <w:r w:rsidR="002D6510" w:rsidRPr="00D95BF3">
        <w:t>relationship should be interpreted with caution as it was derived based on a small sample size and narrow exposure range from a single dose level</w:t>
      </w:r>
      <w:r w:rsidR="007A04C6">
        <w:t>.</w:t>
      </w:r>
    </w:p>
    <w:p w14:paraId="46E3C68C" w14:textId="2D0D9FC9" w:rsidR="002D6510" w:rsidRPr="002D6510" w:rsidRDefault="007A04C6" w:rsidP="007A04C6">
      <w:pPr>
        <w:pStyle w:val="ListBullet"/>
        <w:numPr>
          <w:ilvl w:val="0"/>
          <w:numId w:val="0"/>
        </w:numPr>
        <w:rPr>
          <w:szCs w:val="22"/>
        </w:rPr>
      </w:pPr>
      <w:r>
        <w:rPr>
          <w:szCs w:val="22"/>
        </w:rPr>
        <w:t>T</w:t>
      </w:r>
      <w:r w:rsidR="002D6510" w:rsidRPr="002D6510">
        <w:rPr>
          <w:szCs w:val="22"/>
        </w:rPr>
        <w:t xml:space="preserve">here appears to be no apparent relationship between </w:t>
      </w:r>
      <w:proofErr w:type="spellStart"/>
      <w:r w:rsidR="002D6510" w:rsidRPr="002D6510">
        <w:rPr>
          <w:szCs w:val="22"/>
        </w:rPr>
        <w:t>toripalimab</w:t>
      </w:r>
      <w:proofErr w:type="spellEnd"/>
      <w:r w:rsidR="002D6510" w:rsidRPr="002D6510">
        <w:rPr>
          <w:szCs w:val="22"/>
        </w:rPr>
        <w:t xml:space="preserve"> exposure and Grade ≥</w:t>
      </w:r>
      <w:r>
        <w:rPr>
          <w:szCs w:val="22"/>
        </w:rPr>
        <w:t> </w:t>
      </w:r>
      <w:r w:rsidR="002D6510" w:rsidRPr="002D6510">
        <w:rPr>
          <w:szCs w:val="22"/>
        </w:rPr>
        <w:t xml:space="preserve">3 </w:t>
      </w:r>
      <w:r>
        <w:rPr>
          <w:szCs w:val="22"/>
        </w:rPr>
        <w:t>adverse events</w:t>
      </w:r>
      <w:r w:rsidR="002D6510" w:rsidRPr="002D6510">
        <w:rPr>
          <w:szCs w:val="22"/>
        </w:rPr>
        <w:t xml:space="preserve">. The observed trend of reversed </w:t>
      </w:r>
      <w:r w:rsidR="0036298F">
        <w:rPr>
          <w:szCs w:val="22"/>
        </w:rPr>
        <w:t>ER</w:t>
      </w:r>
      <w:r w:rsidR="002D6510" w:rsidRPr="002D6510">
        <w:rPr>
          <w:szCs w:val="22"/>
        </w:rPr>
        <w:t xml:space="preserve"> relationship for safety could be due to other unknown confounding effects.</w:t>
      </w:r>
    </w:p>
    <w:p w14:paraId="2B44C313" w14:textId="7F12B5B0" w:rsidR="002D6510" w:rsidRPr="00015869" w:rsidRDefault="00015869" w:rsidP="00015869">
      <w:r w:rsidRPr="00015869">
        <w:t>D</w:t>
      </w:r>
      <w:r w:rsidR="002D6510" w:rsidRPr="00015869">
        <w:t xml:space="preserve">ose adjustments are not required in the presence of mild hepatic failure or mild to moderate renal failure. </w:t>
      </w:r>
      <w:proofErr w:type="spellStart"/>
      <w:r w:rsidR="002D6510" w:rsidRPr="00015869">
        <w:t>Toripalimab</w:t>
      </w:r>
      <w:proofErr w:type="spellEnd"/>
      <w:r w:rsidR="002D6510" w:rsidRPr="00015869">
        <w:t xml:space="preserve"> has not been studied in patients will moderate hepatic failure or in patients with severe hepatic or renal failure.</w:t>
      </w:r>
    </w:p>
    <w:p w14:paraId="5A162000" w14:textId="6A772444" w:rsidR="002D6510" w:rsidRDefault="00015869" w:rsidP="00015869">
      <w:pPr>
        <w:pStyle w:val="Heading5"/>
      </w:pPr>
      <w:r>
        <w:t>Pharmacodynamics</w:t>
      </w:r>
      <w:r w:rsidR="006F7FF5">
        <w:t xml:space="preserve"> conclusions</w:t>
      </w:r>
    </w:p>
    <w:p w14:paraId="6252D278" w14:textId="4207EF19" w:rsidR="003371BB" w:rsidRPr="00BA54E8" w:rsidRDefault="003371BB">
      <w:pPr>
        <w:pStyle w:val="ListBullet"/>
      </w:pPr>
      <w:r w:rsidRPr="00BA54E8">
        <w:t xml:space="preserve">A flat </w:t>
      </w:r>
      <w:r w:rsidR="00CF59B1">
        <w:t>ER</w:t>
      </w:r>
      <w:r w:rsidRPr="00BA54E8">
        <w:t xml:space="preserve"> relationship was observed for </w:t>
      </w:r>
      <w:proofErr w:type="spellStart"/>
      <w:r w:rsidRPr="00BA54E8">
        <w:t>toripalimab</w:t>
      </w:r>
      <w:proofErr w:type="spellEnd"/>
      <w:r w:rsidRPr="00BA54E8">
        <w:t xml:space="preserve"> monotherapy and in combination with chemotherapy.</w:t>
      </w:r>
      <w:r w:rsidR="00966CD1">
        <w:t xml:space="preserve"> </w:t>
      </w:r>
      <w:r w:rsidRPr="00BA54E8">
        <w:t>This conclusion was based on a small sample size, so should be treated with some caution.</w:t>
      </w:r>
    </w:p>
    <w:p w14:paraId="1E6140DA" w14:textId="6540BB0C" w:rsidR="003371BB" w:rsidRDefault="003371BB" w:rsidP="003371BB">
      <w:pPr>
        <w:pStyle w:val="ListBullet"/>
      </w:pPr>
      <w:r w:rsidRPr="00BA54E8">
        <w:t xml:space="preserve">There also appears to be no relationship between </w:t>
      </w:r>
      <w:proofErr w:type="spellStart"/>
      <w:r w:rsidRPr="00BA54E8">
        <w:t>toripalimab</w:t>
      </w:r>
      <w:proofErr w:type="spellEnd"/>
      <w:r w:rsidRPr="00BA54E8">
        <w:t xml:space="preserve"> exposure and Grade ≥</w:t>
      </w:r>
      <w:r>
        <w:t> </w:t>
      </w:r>
      <w:r w:rsidRPr="00BA54E8">
        <w:t>3</w:t>
      </w:r>
      <w:r w:rsidR="00CF59B1">
        <w:t xml:space="preserve"> adverse events</w:t>
      </w:r>
      <w:r w:rsidRPr="00BA54E8">
        <w:t>.</w:t>
      </w:r>
    </w:p>
    <w:p w14:paraId="7EEEAE28" w14:textId="29B13119" w:rsidR="00966CD1" w:rsidRDefault="00A353C7" w:rsidP="00B85080">
      <w:pPr>
        <w:pStyle w:val="Heading5"/>
      </w:pPr>
      <w:r>
        <w:t>Clinical pharmacology conclusion</w:t>
      </w:r>
    </w:p>
    <w:p w14:paraId="7DF51B60" w14:textId="0CC00E4D" w:rsidR="00A353C7" w:rsidRDefault="00A353C7" w:rsidP="00A353C7">
      <w:r w:rsidRPr="00A353C7">
        <w:t>The clinical evaluat</w:t>
      </w:r>
      <w:r>
        <w:t>ion</w:t>
      </w:r>
      <w:r w:rsidRPr="00A353C7">
        <w:t xml:space="preserve"> did not identify any outstanding concerns in the assessment of clinical pharmacology for </w:t>
      </w:r>
      <w:proofErr w:type="spellStart"/>
      <w:r w:rsidRPr="00A353C7">
        <w:t>toripalimab</w:t>
      </w:r>
      <w:proofErr w:type="spellEnd"/>
      <w:r w:rsidRPr="00A353C7">
        <w:t>.</w:t>
      </w:r>
    </w:p>
    <w:p w14:paraId="7474F6F0" w14:textId="4567893F" w:rsidR="00E952C4" w:rsidRDefault="00E952C4" w:rsidP="00E952C4">
      <w:pPr>
        <w:pStyle w:val="Heading4"/>
      </w:pPr>
      <w:bookmarkStart w:id="52" w:name="_Toc233974550"/>
      <w:r>
        <w:t>Efficacy</w:t>
      </w:r>
      <w:bookmarkEnd w:id="52"/>
    </w:p>
    <w:p w14:paraId="31F1B96C" w14:textId="2C63442A" w:rsidR="00BC3AC3" w:rsidRPr="00BC3AC3" w:rsidRDefault="00BC3AC3" w:rsidP="000E5421">
      <w:r w:rsidRPr="00BC3AC3">
        <w:t>The pivotal data for efficacy are from JUPITER-02.</w:t>
      </w:r>
    </w:p>
    <w:p w14:paraId="21633024" w14:textId="77777777" w:rsidR="00BC3AC3" w:rsidRPr="00BC3AC3" w:rsidRDefault="00BC3AC3" w:rsidP="00BC3AC3">
      <w:pPr>
        <w:pStyle w:val="Heading5"/>
      </w:pPr>
      <w:r w:rsidRPr="00BC3AC3">
        <w:t xml:space="preserve">JUPITER-02 </w:t>
      </w:r>
    </w:p>
    <w:p w14:paraId="6617AAF7" w14:textId="034BEFC6" w:rsidR="00E952C4" w:rsidRPr="000E5421" w:rsidRDefault="00BC3AC3" w:rsidP="000E5421">
      <w:r w:rsidRPr="000E5421">
        <w:t xml:space="preserve">JUPITER-02 is a multinational, randomised, double blinded, placebo-controlled study designed to evaluate the efficacy and safety of </w:t>
      </w:r>
      <w:proofErr w:type="spellStart"/>
      <w:r w:rsidRPr="000E5421">
        <w:t>toripalimab</w:t>
      </w:r>
      <w:proofErr w:type="spellEnd"/>
      <w:r w:rsidRPr="000E5421">
        <w:t xml:space="preserve"> in combination with cisplatin and gemcitabine chemotherapy as first-line treatment of patients with histologically or cytologically confirmed, locally advanced, recurrent or primary metastatic NPC.</w:t>
      </w:r>
    </w:p>
    <w:p w14:paraId="4A454C52" w14:textId="30892147" w:rsidR="000F4D21" w:rsidRDefault="000F4D21" w:rsidP="000F4D21">
      <w:pPr>
        <w:pStyle w:val="Heading6"/>
      </w:pPr>
      <w:r>
        <w:t>Trial location</w:t>
      </w:r>
    </w:p>
    <w:p w14:paraId="6A125C72" w14:textId="00EF297C" w:rsidR="000F4D21" w:rsidRDefault="000F4D21" w:rsidP="00E766C9">
      <w:r>
        <w:t>The study was conducted from October 2018 until May 2020 at 35 sites in mainland China, Taiwan and Singapore.</w:t>
      </w:r>
    </w:p>
    <w:p w14:paraId="33E1ECEC" w14:textId="7E541E2F" w:rsidR="000F4D21" w:rsidRDefault="00D20D08" w:rsidP="00E766C9">
      <w:pPr>
        <w:pStyle w:val="Heading6"/>
      </w:pPr>
      <w:r>
        <w:t xml:space="preserve">Key </w:t>
      </w:r>
      <w:r w:rsidR="00C17B5C">
        <w:t>i</w:t>
      </w:r>
      <w:r w:rsidR="00BC7DF6">
        <w:t>nclusion/ex</w:t>
      </w:r>
      <w:r w:rsidR="00800F08">
        <w:t xml:space="preserve">clusion criteria </w:t>
      </w:r>
    </w:p>
    <w:p w14:paraId="22FA65D6" w14:textId="2E8D1EB8" w:rsidR="00CE35BD" w:rsidRDefault="00CE35BD" w:rsidP="00CE35BD">
      <w:pPr>
        <w:pStyle w:val="ListBullet"/>
      </w:pPr>
      <w:r w:rsidRPr="00FB1EAD">
        <w:t>Age 18</w:t>
      </w:r>
      <w:r w:rsidR="00155E79">
        <w:t xml:space="preserve"> to </w:t>
      </w:r>
      <w:r w:rsidRPr="00FB1EAD">
        <w:t>75 years</w:t>
      </w:r>
    </w:p>
    <w:p w14:paraId="7B217850" w14:textId="76E03ADA" w:rsidR="00CE35BD" w:rsidRPr="00FB1EAD" w:rsidRDefault="00CE35BD" w:rsidP="00CE35BD">
      <w:pPr>
        <w:pStyle w:val="ListBullet"/>
      </w:pPr>
      <w:r w:rsidRPr="00FB1EAD">
        <w:t>Patients with recurrent or metastatic NPC</w:t>
      </w:r>
    </w:p>
    <w:p w14:paraId="4E119065" w14:textId="7DF915EB" w:rsidR="00CE35BD" w:rsidRPr="00505A22" w:rsidRDefault="00CE35BD" w:rsidP="00CE35BD">
      <w:pPr>
        <w:pStyle w:val="ListBullet"/>
      </w:pPr>
      <w:r w:rsidRPr="00505A22">
        <w:lastRenderedPageBreak/>
        <w:t xml:space="preserve">Measurable disease per </w:t>
      </w:r>
      <w:r w:rsidR="006A65C8" w:rsidRPr="00505A22">
        <w:t>Response Evaluation Criteria in Solid Tumours (</w:t>
      </w:r>
      <w:r w:rsidRPr="00505A22">
        <w:t>RECIST</w:t>
      </w:r>
      <w:r w:rsidR="006A65C8" w:rsidRPr="00505A22">
        <w:t>)</w:t>
      </w:r>
      <w:r w:rsidRPr="00505A22">
        <w:t xml:space="preserve"> v1.1</w:t>
      </w:r>
    </w:p>
    <w:p w14:paraId="12DD4BEF" w14:textId="0C38CD59" w:rsidR="00CE35BD" w:rsidRDefault="00720617" w:rsidP="00CE35BD">
      <w:pPr>
        <w:pStyle w:val="ListBullet"/>
      </w:pPr>
      <w:r w:rsidRPr="00505A22">
        <w:t>Eastern Cooperative Oncology Group (</w:t>
      </w:r>
      <w:r w:rsidR="00CE35BD" w:rsidRPr="00505A22">
        <w:t>ECOG</w:t>
      </w:r>
      <w:r w:rsidRPr="00505A22">
        <w:t>)</w:t>
      </w:r>
      <w:r w:rsidR="00CE35BD" w:rsidRPr="00FB1EAD">
        <w:t xml:space="preserve"> Performance status 0</w:t>
      </w:r>
      <w:r>
        <w:t xml:space="preserve"> to </w:t>
      </w:r>
      <w:r w:rsidR="00CE35BD" w:rsidRPr="00FB1EAD">
        <w:t>1</w:t>
      </w:r>
    </w:p>
    <w:p w14:paraId="4EB6D01D" w14:textId="4CEEA51A" w:rsidR="00CE35BD" w:rsidRDefault="00CE35BD" w:rsidP="00CE35BD">
      <w:pPr>
        <w:pStyle w:val="ListBullet"/>
      </w:pPr>
      <w:r w:rsidRPr="00FB1EAD">
        <w:t>No prior systemic therapy for recurrent or metastatic disease</w:t>
      </w:r>
    </w:p>
    <w:p w14:paraId="565ABC87" w14:textId="414D8637" w:rsidR="00CE35BD" w:rsidRDefault="00CE35BD" w:rsidP="00CE35BD">
      <w:pPr>
        <w:pStyle w:val="ListBullet"/>
      </w:pPr>
      <w:r w:rsidRPr="00FB1EAD">
        <w:t>Patients with recurrent NPC after treatment with curative intent were eligible if there was an interval of at least 6 months between recurrence and the last dose of radiotherapy or chemotherapy</w:t>
      </w:r>
    </w:p>
    <w:p w14:paraId="71FF78A2" w14:textId="5622C572" w:rsidR="00CE35BD" w:rsidRDefault="00CE35BD" w:rsidP="00CE35BD">
      <w:pPr>
        <w:pStyle w:val="ListBullet"/>
      </w:pPr>
      <w:r w:rsidRPr="00FB1EAD">
        <w:t>Patients were not amenable to potentially curative locoregional treatment</w:t>
      </w:r>
    </w:p>
    <w:p w14:paraId="70C3C6C6" w14:textId="27937161" w:rsidR="00CE35BD" w:rsidRDefault="00CE35BD" w:rsidP="00CE35BD">
      <w:pPr>
        <w:pStyle w:val="ListBullet"/>
      </w:pPr>
      <w:r w:rsidRPr="00FB1EAD">
        <w:t xml:space="preserve">Patients with necrotic lesions at risk for massive haemorrhage (per </w:t>
      </w:r>
      <w:r w:rsidR="00803189">
        <w:t>i</w:t>
      </w:r>
      <w:r w:rsidRPr="00FB1EAD">
        <w:t>nvestigator) were not eligible</w:t>
      </w:r>
    </w:p>
    <w:p w14:paraId="21AD97BD" w14:textId="77777777" w:rsidR="00CE35BD" w:rsidRDefault="00CE35BD" w:rsidP="00CE35BD">
      <w:pPr>
        <w:pStyle w:val="ListBullet"/>
      </w:pPr>
      <w:r w:rsidRPr="00FB1EAD">
        <w:t xml:space="preserve">An archival tumour specimen or fresh biopsy tumour sample was available </w:t>
      </w:r>
    </w:p>
    <w:p w14:paraId="1BA2E03D" w14:textId="2D7BD74E" w:rsidR="00CE35BD" w:rsidRPr="00822AA3" w:rsidRDefault="00CE35BD" w:rsidP="00CE35BD">
      <w:pPr>
        <w:pStyle w:val="ListBullet"/>
      </w:pPr>
      <w:r w:rsidRPr="00822AA3">
        <w:t>No active autoimmune disease or a history of autoimmune disease (except vitiligo, childhood asthma)</w:t>
      </w:r>
    </w:p>
    <w:p w14:paraId="52814EF0" w14:textId="7956811D" w:rsidR="00CE35BD" w:rsidRPr="00822AA3" w:rsidRDefault="00CE35BD" w:rsidP="00CE35BD">
      <w:pPr>
        <w:pStyle w:val="ListBullet"/>
      </w:pPr>
      <w:r w:rsidRPr="00822AA3">
        <w:t>No concomitant diseases requiring treatment with immunosuppressive drugs or corticosteroids at a dose equivalent to &gt;</w:t>
      </w:r>
      <w:r w:rsidR="00111034">
        <w:t> </w:t>
      </w:r>
      <w:r w:rsidRPr="00822AA3">
        <w:t>10 mg/d</w:t>
      </w:r>
      <w:r w:rsidR="00C048A7">
        <w:t>ay</w:t>
      </w:r>
      <w:r w:rsidRPr="00822AA3">
        <w:t xml:space="preserve"> prednisone</w:t>
      </w:r>
    </w:p>
    <w:p w14:paraId="45BE31AB" w14:textId="78F7EF4F" w:rsidR="00CE35BD" w:rsidRPr="00C048A7" w:rsidRDefault="00CE35BD" w:rsidP="00CE35BD">
      <w:pPr>
        <w:pStyle w:val="ListBullet"/>
      </w:pPr>
      <w:r w:rsidRPr="00C048A7">
        <w:t xml:space="preserve">No positive test for </w:t>
      </w:r>
      <w:r w:rsidR="005F0D70" w:rsidRPr="00C048A7">
        <w:t>human immunodefi</w:t>
      </w:r>
      <w:r w:rsidR="0075139C" w:rsidRPr="00C048A7">
        <w:t>ciency virus (</w:t>
      </w:r>
      <w:r w:rsidRPr="00C048A7">
        <w:t>HIV</w:t>
      </w:r>
      <w:r w:rsidR="0075139C" w:rsidRPr="00C048A7">
        <w:t>)</w:t>
      </w:r>
      <w:r w:rsidRPr="00C048A7">
        <w:t>,</w:t>
      </w:r>
      <w:r w:rsidR="005F0D70" w:rsidRPr="00C048A7">
        <w:t xml:space="preserve"> </w:t>
      </w:r>
      <w:r w:rsidR="0075139C" w:rsidRPr="00C048A7">
        <w:t>h</w:t>
      </w:r>
      <w:r w:rsidR="005F0D70" w:rsidRPr="00C048A7">
        <w:t>epatitis B surface antigen</w:t>
      </w:r>
      <w:r w:rsidRPr="00C048A7">
        <w:t xml:space="preserve"> </w:t>
      </w:r>
      <w:r w:rsidR="005F0D70" w:rsidRPr="00C048A7">
        <w:t>(</w:t>
      </w:r>
      <w:r w:rsidRPr="00C048A7">
        <w:t>HBsAg</w:t>
      </w:r>
      <w:r w:rsidR="005F0D70" w:rsidRPr="00C048A7">
        <w:t>)</w:t>
      </w:r>
      <w:r w:rsidRPr="00C048A7">
        <w:t xml:space="preserve"> with detectable</w:t>
      </w:r>
      <w:r w:rsidR="005F0D70" w:rsidRPr="00C048A7">
        <w:t xml:space="preserve"> hepatitis B virus</w:t>
      </w:r>
      <w:r w:rsidRPr="00C048A7">
        <w:t xml:space="preserve"> </w:t>
      </w:r>
      <w:r w:rsidR="005F0D70" w:rsidRPr="00C048A7">
        <w:t>(</w:t>
      </w:r>
      <w:r w:rsidRPr="00C048A7">
        <w:t>HBV</w:t>
      </w:r>
      <w:r w:rsidR="005F0D70" w:rsidRPr="00C048A7">
        <w:t>)</w:t>
      </w:r>
      <w:r w:rsidRPr="00C048A7">
        <w:t xml:space="preserve"> DNA</w:t>
      </w:r>
    </w:p>
    <w:p w14:paraId="2C8436DA" w14:textId="5AA4B298" w:rsidR="00CE35BD" w:rsidRPr="00822AA3" w:rsidRDefault="00CE35BD" w:rsidP="00CE35BD">
      <w:pPr>
        <w:pStyle w:val="ListBullet"/>
      </w:pPr>
      <w:r w:rsidRPr="00822AA3">
        <w:t>No prior treatment with an anti-PD-1/L1, an anti-PD-L2, or an anti-CTLA4 antibody</w:t>
      </w:r>
    </w:p>
    <w:p w14:paraId="673918D8" w14:textId="3D5C4509" w:rsidR="00CE35BD" w:rsidRPr="00822AA3" w:rsidRDefault="00CE35BD" w:rsidP="00CE35BD">
      <w:pPr>
        <w:pStyle w:val="ListBullet"/>
      </w:pPr>
      <w:r w:rsidRPr="00822AA3">
        <w:t>Toxicity from previous anticancer therapy must have recovered to grade 0</w:t>
      </w:r>
      <w:r w:rsidR="0075139C">
        <w:t xml:space="preserve"> to </w:t>
      </w:r>
      <w:r w:rsidRPr="00822AA3">
        <w:t>1, except alopecia, pigmentation</w:t>
      </w:r>
    </w:p>
    <w:p w14:paraId="2CB27FBA" w14:textId="7480ECA1" w:rsidR="0075139C" w:rsidRDefault="00104DB0" w:rsidP="00E766C9">
      <w:pPr>
        <w:pStyle w:val="Heading6"/>
      </w:pPr>
      <w:r>
        <w:t>Study treatments</w:t>
      </w:r>
    </w:p>
    <w:p w14:paraId="6FDA13EA" w14:textId="77777777" w:rsidR="0042228E" w:rsidRPr="0042228E" w:rsidRDefault="0042228E" w:rsidP="0042228E">
      <w:r w:rsidRPr="0042228E">
        <w:t>Patients were stratified by:</w:t>
      </w:r>
    </w:p>
    <w:p w14:paraId="1C3AE854" w14:textId="2E48DE65" w:rsidR="0042228E" w:rsidRPr="0042228E" w:rsidRDefault="0042228E" w:rsidP="0042228E">
      <w:pPr>
        <w:pStyle w:val="ListBullet"/>
      </w:pPr>
      <w:r w:rsidRPr="0042228E">
        <w:t xml:space="preserve">ECOG performance status (0 versus 1) and </w:t>
      </w:r>
    </w:p>
    <w:p w14:paraId="1AEF9CC9" w14:textId="332C7AC7" w:rsidR="0042228E" w:rsidRPr="0042228E" w:rsidRDefault="0042228E" w:rsidP="0042228E">
      <w:pPr>
        <w:pStyle w:val="ListBullet"/>
      </w:pPr>
      <w:r w:rsidRPr="0042228E">
        <w:t>Disease stage (recurrent versus metastatic)</w:t>
      </w:r>
    </w:p>
    <w:p w14:paraId="7DA48770" w14:textId="77777777" w:rsidR="00F50116" w:rsidRDefault="0042228E" w:rsidP="0042228E">
      <w:r w:rsidRPr="0042228E">
        <w:t>Patients were randomised 1:1 to Arm A or B</w:t>
      </w:r>
      <w:r w:rsidR="00F50116">
        <w:t>.</w:t>
      </w:r>
    </w:p>
    <w:p w14:paraId="44D4438F" w14:textId="41B952A6" w:rsidR="0042228E" w:rsidRDefault="0042228E" w:rsidP="0042228E">
      <w:pPr>
        <w:pStyle w:val="ListBullet"/>
      </w:pPr>
      <w:r w:rsidRPr="00B261FD">
        <w:t>Arm</w:t>
      </w:r>
      <w:r>
        <w:t xml:space="preserve"> </w:t>
      </w:r>
      <w:r w:rsidRPr="00B261FD">
        <w:t>A</w:t>
      </w:r>
    </w:p>
    <w:p w14:paraId="4F935B36" w14:textId="422FCB1F" w:rsidR="0042228E" w:rsidRDefault="0042228E">
      <w:pPr>
        <w:pStyle w:val="ListBullet2"/>
      </w:pPr>
      <w:proofErr w:type="spellStart"/>
      <w:r w:rsidRPr="00B261FD">
        <w:t>Toripalimab</w:t>
      </w:r>
      <w:proofErr w:type="spellEnd"/>
      <w:r w:rsidRPr="00B261FD">
        <w:t xml:space="preserve"> 240</w:t>
      </w:r>
      <w:r>
        <w:t> </w:t>
      </w:r>
      <w:r w:rsidRPr="00B261FD">
        <w:t xml:space="preserve">mg </w:t>
      </w:r>
      <w:r w:rsidRPr="00515909">
        <w:t>IV</w:t>
      </w:r>
      <w:r w:rsidRPr="00B261FD">
        <w:t xml:space="preserve"> </w:t>
      </w:r>
      <w:r>
        <w:t xml:space="preserve">once every </w:t>
      </w:r>
      <w:r w:rsidR="00351469">
        <w:t>3 weeks</w:t>
      </w:r>
    </w:p>
    <w:p w14:paraId="4AE3B612" w14:textId="64BF8A56" w:rsidR="0042228E" w:rsidRDefault="0042228E">
      <w:pPr>
        <w:pStyle w:val="ListBullet2"/>
      </w:pPr>
      <w:r w:rsidRPr="00891AD6">
        <w:t>Cisplatin 80</w:t>
      </w:r>
      <w:r>
        <w:t> </w:t>
      </w:r>
      <w:r w:rsidRPr="00891AD6">
        <w:t>mg/m</w:t>
      </w:r>
      <w:r w:rsidRPr="000F649A">
        <w:rPr>
          <w:position w:val="8"/>
          <w:vertAlign w:val="superscript"/>
        </w:rPr>
        <w:t>2</w:t>
      </w:r>
      <w:r w:rsidRPr="0042228E">
        <w:rPr>
          <w:position w:val="8"/>
        </w:rPr>
        <w:t xml:space="preserve"> </w:t>
      </w:r>
      <w:r w:rsidRPr="00891AD6">
        <w:t xml:space="preserve">IV </w:t>
      </w:r>
      <w:r w:rsidR="0063369F">
        <w:t xml:space="preserve">once every </w:t>
      </w:r>
      <w:r w:rsidR="00351469">
        <w:t>3 weeks</w:t>
      </w:r>
      <w:r w:rsidR="0063369F">
        <w:t xml:space="preserve"> for 6 cycles</w:t>
      </w:r>
    </w:p>
    <w:p w14:paraId="1CCCB193" w14:textId="3F309733" w:rsidR="0042228E" w:rsidRPr="00891AD6" w:rsidRDefault="0042228E" w:rsidP="0042228E">
      <w:pPr>
        <w:pStyle w:val="ListBullet2"/>
      </w:pPr>
      <w:r w:rsidRPr="00891AD6">
        <w:t>Gemcitabine 1000</w:t>
      </w:r>
      <w:r w:rsidR="0063369F">
        <w:t> </w:t>
      </w:r>
      <w:r w:rsidRPr="00891AD6">
        <w:t>mg/m</w:t>
      </w:r>
      <w:r w:rsidRPr="000F649A">
        <w:rPr>
          <w:position w:val="8"/>
          <w:vertAlign w:val="superscript"/>
        </w:rPr>
        <w:t>2</w:t>
      </w:r>
      <w:r w:rsidRPr="00891AD6">
        <w:rPr>
          <w:position w:val="8"/>
        </w:rPr>
        <w:t xml:space="preserve"> </w:t>
      </w:r>
      <w:r w:rsidRPr="00891AD6">
        <w:t xml:space="preserve">IV </w:t>
      </w:r>
      <w:r w:rsidR="0063369F">
        <w:t xml:space="preserve">on </w:t>
      </w:r>
      <w:r w:rsidRPr="00891AD6">
        <w:t>Days 1</w:t>
      </w:r>
      <w:r w:rsidR="00523EF8">
        <w:t xml:space="preserve"> and </w:t>
      </w:r>
      <w:r w:rsidRPr="00891AD6">
        <w:t xml:space="preserve">8 </w:t>
      </w:r>
      <w:r w:rsidR="00523EF8">
        <w:t xml:space="preserve">then once every </w:t>
      </w:r>
      <w:r w:rsidR="00351469">
        <w:t>3 weeks</w:t>
      </w:r>
      <w:r w:rsidR="00523EF8">
        <w:t xml:space="preserve"> for 6 cycles</w:t>
      </w:r>
      <w:r w:rsidRPr="00891AD6">
        <w:t xml:space="preserve"> </w:t>
      </w:r>
    </w:p>
    <w:p w14:paraId="73C5107E" w14:textId="77777777" w:rsidR="0042228E" w:rsidRDefault="0042228E" w:rsidP="00523EF8">
      <w:pPr>
        <w:pStyle w:val="ListBullet"/>
      </w:pPr>
      <w:r w:rsidRPr="00B261FD">
        <w:t>Arm</w:t>
      </w:r>
      <w:r>
        <w:t xml:space="preserve"> </w:t>
      </w:r>
      <w:r w:rsidRPr="00B261FD">
        <w:t>B</w:t>
      </w:r>
    </w:p>
    <w:p w14:paraId="6A16A589" w14:textId="31F5B9C2" w:rsidR="0042228E" w:rsidRPr="00891AD6" w:rsidRDefault="0042228E" w:rsidP="00523EF8">
      <w:pPr>
        <w:pStyle w:val="ListBullet2"/>
      </w:pPr>
      <w:r w:rsidRPr="00B261FD">
        <w:t xml:space="preserve">Placebo IV </w:t>
      </w:r>
      <w:r w:rsidR="00523EF8">
        <w:t xml:space="preserve">once every </w:t>
      </w:r>
      <w:r w:rsidR="00351469">
        <w:t>3 weeks</w:t>
      </w:r>
    </w:p>
    <w:p w14:paraId="01D96B0A" w14:textId="2F1122CF" w:rsidR="0042228E" w:rsidRPr="00891AD6" w:rsidRDefault="0042228E" w:rsidP="005D14B3">
      <w:pPr>
        <w:pStyle w:val="ListBullet2"/>
      </w:pPr>
      <w:r w:rsidRPr="00B261FD">
        <w:t>Cisplatin 80 mg/m</w:t>
      </w:r>
      <w:r w:rsidRPr="000F649A">
        <w:rPr>
          <w:position w:val="8"/>
          <w:vertAlign w:val="superscript"/>
        </w:rPr>
        <w:t>2</w:t>
      </w:r>
      <w:r w:rsidRPr="00B261FD">
        <w:rPr>
          <w:position w:val="8"/>
        </w:rPr>
        <w:t xml:space="preserve"> </w:t>
      </w:r>
      <w:r w:rsidRPr="00B261FD">
        <w:t xml:space="preserve">IV </w:t>
      </w:r>
      <w:r w:rsidR="005D14B3" w:rsidRPr="005D14B3">
        <w:t xml:space="preserve">once every </w:t>
      </w:r>
      <w:r w:rsidR="00351469">
        <w:t>3 weeks</w:t>
      </w:r>
      <w:r w:rsidR="005D14B3" w:rsidRPr="005D14B3">
        <w:t xml:space="preserve"> for 6 cycles</w:t>
      </w:r>
    </w:p>
    <w:p w14:paraId="0CEC1230" w14:textId="68BC30EC" w:rsidR="0042228E" w:rsidRPr="00B261FD" w:rsidRDefault="0042228E" w:rsidP="005D14B3">
      <w:pPr>
        <w:pStyle w:val="ListBullet2"/>
      </w:pPr>
      <w:r w:rsidRPr="00B261FD">
        <w:t>Gemcitabine 1000 mg/m</w:t>
      </w:r>
      <w:r w:rsidRPr="000F649A">
        <w:rPr>
          <w:position w:val="8"/>
          <w:vertAlign w:val="superscript"/>
        </w:rPr>
        <w:t>2</w:t>
      </w:r>
      <w:r w:rsidRPr="00B261FD">
        <w:rPr>
          <w:position w:val="8"/>
        </w:rPr>
        <w:t xml:space="preserve"> </w:t>
      </w:r>
      <w:r w:rsidRPr="00B261FD">
        <w:t xml:space="preserve">IV </w:t>
      </w:r>
      <w:r w:rsidR="005D14B3" w:rsidRPr="005D14B3">
        <w:t xml:space="preserve">on Days 1 and 8 then once every </w:t>
      </w:r>
      <w:r w:rsidR="00351469">
        <w:t>3 weeks</w:t>
      </w:r>
      <w:r w:rsidR="005D14B3" w:rsidRPr="005D14B3">
        <w:t xml:space="preserve"> for 6 cycles</w:t>
      </w:r>
    </w:p>
    <w:p w14:paraId="57826DB7" w14:textId="721E6829" w:rsidR="0042228E" w:rsidRPr="00FF5843" w:rsidRDefault="0042228E" w:rsidP="00FF5843">
      <w:r w:rsidRPr="00FF5843">
        <w:t xml:space="preserve">After completing up to 6 cycles of cisplatin/gemcitabine, patients received </w:t>
      </w:r>
      <w:proofErr w:type="spellStart"/>
      <w:r w:rsidRPr="00FF5843">
        <w:t>toripalimab</w:t>
      </w:r>
      <w:proofErr w:type="spellEnd"/>
      <w:r w:rsidRPr="00FF5843">
        <w:t>/placebo (depending upon initial assignment)</w:t>
      </w:r>
      <w:r w:rsidR="00FF5843" w:rsidRPr="00FF5843">
        <w:t xml:space="preserve"> once every </w:t>
      </w:r>
      <w:r w:rsidR="006E12B6">
        <w:t>3 weeks</w:t>
      </w:r>
      <w:r w:rsidRPr="00FF5843">
        <w:t>.</w:t>
      </w:r>
    </w:p>
    <w:p w14:paraId="41B7F1BE" w14:textId="223FBD3C" w:rsidR="0042228E" w:rsidRPr="00FF5843" w:rsidRDefault="0042228E" w:rsidP="00FF5843">
      <w:r w:rsidRPr="00FF5843">
        <w:lastRenderedPageBreak/>
        <w:t xml:space="preserve">Patients remained on treatment until disease progression, loss of clinical benefit, death, intolerable toxicity, withdrawal of consent, initiation of new anticancer therapy, or </w:t>
      </w:r>
      <w:r w:rsidR="00FF5843" w:rsidRPr="00FF5843">
        <w:t>i</w:t>
      </w:r>
      <w:r w:rsidRPr="00FF5843">
        <w:t>nvestigator’s decision.</w:t>
      </w:r>
    </w:p>
    <w:p w14:paraId="19185A38" w14:textId="516721D3" w:rsidR="00FF5843" w:rsidRPr="00FF5843" w:rsidRDefault="0042228E" w:rsidP="00FF5843">
      <w:r w:rsidRPr="00FF5843">
        <w:t xml:space="preserve">Patients experiencing clinical benefit (per </w:t>
      </w:r>
      <w:r w:rsidR="00FC14A1">
        <w:t>i</w:t>
      </w:r>
      <w:r w:rsidRPr="00FF5843">
        <w:t xml:space="preserve">nvestigator) in the absence of unacceptable toxicity or symptomatic deterioration continued treatment with </w:t>
      </w:r>
      <w:proofErr w:type="spellStart"/>
      <w:r w:rsidRPr="00FF5843">
        <w:t>toripalimab</w:t>
      </w:r>
      <w:proofErr w:type="spellEnd"/>
      <w:r w:rsidRPr="00FF5843">
        <w:t>/placebo until confirmed disease progression.</w:t>
      </w:r>
    </w:p>
    <w:p w14:paraId="51204E2C" w14:textId="7C896F6B" w:rsidR="0042228E" w:rsidRPr="00FF5843" w:rsidRDefault="0042228E" w:rsidP="00FF5843">
      <w:r w:rsidRPr="00FF5843">
        <w:t>Crossover of patients in the control arm was not permitted.</w:t>
      </w:r>
    </w:p>
    <w:p w14:paraId="36C7D964" w14:textId="7DDAF989" w:rsidR="00104DB0" w:rsidRDefault="00E766C9" w:rsidP="00E766C9">
      <w:pPr>
        <w:pStyle w:val="Heading6"/>
      </w:pPr>
      <w:r>
        <w:t>Primary objective</w:t>
      </w:r>
    </w:p>
    <w:p w14:paraId="3A6FC05B" w14:textId="4EE3DDE9" w:rsidR="005A3EB0" w:rsidRPr="007A553F" w:rsidRDefault="005A3EB0" w:rsidP="007A553F">
      <w:r w:rsidRPr="007A553F">
        <w:t xml:space="preserve">The primary objective of the study is to evaluate the efficacy of </w:t>
      </w:r>
      <w:proofErr w:type="spellStart"/>
      <w:r w:rsidRPr="007A553F">
        <w:t>toripalimab</w:t>
      </w:r>
      <w:proofErr w:type="spellEnd"/>
      <w:r w:rsidRPr="007A553F">
        <w:t xml:space="preserve"> plus chemotherapy compared with placebo plus chemotherapy, as measured by </w:t>
      </w:r>
      <w:r w:rsidRPr="002C021D">
        <w:t>IRC</w:t>
      </w:r>
      <w:r w:rsidRPr="007A553F">
        <w:t xml:space="preserve"> assess</w:t>
      </w:r>
      <w:r w:rsidR="004C0EF6" w:rsidRPr="007A553F">
        <w:t xml:space="preserve">ed </w:t>
      </w:r>
      <w:r w:rsidRPr="007A553F">
        <w:t>PFS according to RECIST v1.1 in patients with recurrent or metastatic NPC in the intent-to-</w:t>
      </w:r>
      <w:r w:rsidR="007A553F" w:rsidRPr="007A553F">
        <w:t>t</w:t>
      </w:r>
      <w:r w:rsidRPr="007A553F">
        <w:t>reat (all randomised patients) population.</w:t>
      </w:r>
    </w:p>
    <w:p w14:paraId="30D0DDEE" w14:textId="6C333913" w:rsidR="00E766C9" w:rsidRPr="007A553F" w:rsidRDefault="005A3EB0" w:rsidP="007A553F">
      <w:r w:rsidRPr="007A553F">
        <w:t>Progression-free survival is defined as the time from randomisation to the time of first documented disease progression or death due to any cause (whichever occurs first).</w:t>
      </w:r>
    </w:p>
    <w:p w14:paraId="0AC539EA" w14:textId="666AFBF0" w:rsidR="005A3EB0" w:rsidRDefault="005A3EB0" w:rsidP="005A3EB0">
      <w:pPr>
        <w:pStyle w:val="Heading6"/>
      </w:pPr>
      <w:r>
        <w:t>Secondary objectives</w:t>
      </w:r>
    </w:p>
    <w:p w14:paraId="657F99D1" w14:textId="6B05B5DE" w:rsidR="005A3EB0" w:rsidRDefault="004C0EF6" w:rsidP="004C0EF6">
      <w:pPr>
        <w:rPr>
          <w:rFonts w:cs="Calibri"/>
          <w:szCs w:val="22"/>
        </w:rPr>
      </w:pPr>
      <w:r>
        <w:rPr>
          <w:rFonts w:cs="Arial"/>
          <w:szCs w:val="22"/>
        </w:rPr>
        <w:t>T</w:t>
      </w:r>
      <w:r w:rsidRPr="00F6516F">
        <w:rPr>
          <w:rFonts w:cs="Arial"/>
          <w:szCs w:val="22"/>
        </w:rPr>
        <w:t xml:space="preserve">o evaluate the efficacy of </w:t>
      </w:r>
      <w:proofErr w:type="spellStart"/>
      <w:r>
        <w:rPr>
          <w:rFonts w:cs="Arial"/>
          <w:szCs w:val="22"/>
        </w:rPr>
        <w:t>toripalimab</w:t>
      </w:r>
      <w:proofErr w:type="spellEnd"/>
      <w:r w:rsidRPr="00F6516F">
        <w:rPr>
          <w:rFonts w:cs="Arial"/>
          <w:szCs w:val="22"/>
        </w:rPr>
        <w:t xml:space="preserve"> plus chemotherapy compared with placebo plus chemotherapy</w:t>
      </w:r>
      <w:r>
        <w:rPr>
          <w:rFonts w:cs="Arial"/>
          <w:szCs w:val="22"/>
        </w:rPr>
        <w:t xml:space="preserve"> as measured by OS and </w:t>
      </w:r>
      <w:r w:rsidRPr="009E59EC">
        <w:rPr>
          <w:rFonts w:cs="Calibri"/>
          <w:szCs w:val="22"/>
        </w:rPr>
        <w:t>IRC</w:t>
      </w:r>
      <w:r w:rsidR="008D7CBA">
        <w:rPr>
          <w:rFonts w:cs="Calibri"/>
          <w:szCs w:val="22"/>
        </w:rPr>
        <w:t xml:space="preserve"> </w:t>
      </w:r>
      <w:r w:rsidRPr="009E59EC">
        <w:rPr>
          <w:rFonts w:cs="Calibri"/>
          <w:szCs w:val="22"/>
        </w:rPr>
        <w:t xml:space="preserve">determined ORR and </w:t>
      </w:r>
      <w:proofErr w:type="spellStart"/>
      <w:r w:rsidRPr="009E59EC">
        <w:rPr>
          <w:rFonts w:cs="Calibri"/>
          <w:szCs w:val="22"/>
        </w:rPr>
        <w:t>DoR</w:t>
      </w:r>
      <w:proofErr w:type="spellEnd"/>
      <w:r>
        <w:rPr>
          <w:rFonts w:cs="Calibri"/>
          <w:szCs w:val="22"/>
        </w:rPr>
        <w:t xml:space="preserve"> </w:t>
      </w:r>
      <w:r w:rsidRPr="009E59EC">
        <w:rPr>
          <w:rFonts w:cs="Calibri"/>
          <w:szCs w:val="22"/>
        </w:rPr>
        <w:t>per RECIST v1.1</w:t>
      </w:r>
      <w:r>
        <w:rPr>
          <w:rFonts w:cs="Calibri"/>
          <w:szCs w:val="22"/>
        </w:rPr>
        <w:t>.</w:t>
      </w:r>
    </w:p>
    <w:p w14:paraId="4886A6D3" w14:textId="72386B53" w:rsidR="00587B33" w:rsidRDefault="007B215F" w:rsidP="007B215F">
      <w:pPr>
        <w:pStyle w:val="Heading6"/>
      </w:pPr>
      <w:r>
        <w:t>Baseline characteristics</w:t>
      </w:r>
    </w:p>
    <w:p w14:paraId="7420EBEB" w14:textId="77777777" w:rsidR="00F50116" w:rsidRDefault="007B215F" w:rsidP="007B215F">
      <w:r w:rsidRPr="007B215F">
        <w:t>JUPITER-02 accrued patients in China, Taiwan and Singapore; all patients were Asian</w:t>
      </w:r>
      <w:r w:rsidR="00F50116">
        <w:t>.</w:t>
      </w:r>
    </w:p>
    <w:p w14:paraId="70A0B735" w14:textId="094340FD" w:rsidR="007B215F" w:rsidRPr="007B215F" w:rsidRDefault="007B215F" w:rsidP="007B215F">
      <w:pPr>
        <w:pStyle w:val="ListBullet"/>
      </w:pPr>
      <w:r w:rsidRPr="007B215F">
        <w:t>Men: 84.9% (</w:t>
      </w:r>
      <w:proofErr w:type="spellStart"/>
      <w:r w:rsidRPr="007B215F">
        <w:t>toripalimab</w:t>
      </w:r>
      <w:proofErr w:type="spellEnd"/>
      <w:r w:rsidRPr="007B215F">
        <w:t xml:space="preserve">) </w:t>
      </w:r>
      <w:r>
        <w:t>versus</w:t>
      </w:r>
      <w:r w:rsidRPr="007B215F">
        <w:t xml:space="preserve"> 81.1% (placebo</w:t>
      </w:r>
      <w:r>
        <w:t>)</w:t>
      </w:r>
    </w:p>
    <w:p w14:paraId="60A158D3" w14:textId="1B8E4462" w:rsidR="007B215F" w:rsidRPr="007B215F" w:rsidRDefault="007B215F" w:rsidP="007B215F">
      <w:pPr>
        <w:pStyle w:val="ListBullet"/>
      </w:pPr>
      <w:r w:rsidRPr="007B215F">
        <w:t>Age median: 46 years, range 19</w:t>
      </w:r>
      <w:r>
        <w:t xml:space="preserve"> to </w:t>
      </w:r>
      <w:r w:rsidRPr="007B215F">
        <w:t>72 (</w:t>
      </w:r>
      <w:proofErr w:type="spellStart"/>
      <w:r w:rsidRPr="007B215F">
        <w:t>toripalimab</w:t>
      </w:r>
      <w:proofErr w:type="spellEnd"/>
      <w:r w:rsidRPr="007B215F">
        <w:t xml:space="preserve">) </w:t>
      </w:r>
      <w:r>
        <w:t>versus</w:t>
      </w:r>
      <w:r w:rsidRPr="007B215F">
        <w:t xml:space="preserve"> 51 years, range 21</w:t>
      </w:r>
      <w:r>
        <w:t xml:space="preserve"> to </w:t>
      </w:r>
      <w:r w:rsidRPr="007B215F">
        <w:t>72 (placebo)</w:t>
      </w:r>
    </w:p>
    <w:p w14:paraId="28D97823" w14:textId="11850C9F" w:rsidR="007B215F" w:rsidRPr="007B215F" w:rsidRDefault="007B215F" w:rsidP="007B215F">
      <w:pPr>
        <w:pStyle w:val="ListBullet"/>
      </w:pPr>
      <w:r w:rsidRPr="007B215F">
        <w:t>Asian: 100% (</w:t>
      </w:r>
      <w:proofErr w:type="spellStart"/>
      <w:r w:rsidRPr="007B215F">
        <w:t>toripalimab</w:t>
      </w:r>
      <w:proofErr w:type="spellEnd"/>
      <w:r w:rsidRPr="007B215F">
        <w:t>) v</w:t>
      </w:r>
      <w:r>
        <w:t>ersus</w:t>
      </w:r>
      <w:r w:rsidRPr="007B215F">
        <w:t xml:space="preserve"> 100% (placebo) </w:t>
      </w:r>
    </w:p>
    <w:p w14:paraId="39E29641" w14:textId="79B97BD4" w:rsidR="007B215F" w:rsidRPr="007B215F" w:rsidRDefault="007B215F" w:rsidP="007B215F">
      <w:pPr>
        <w:pStyle w:val="ListBullet"/>
      </w:pPr>
      <w:r w:rsidRPr="007B215F">
        <w:t>Histology subtype – non-keratini</w:t>
      </w:r>
      <w:r>
        <w:t>s</w:t>
      </w:r>
      <w:r w:rsidRPr="007B215F">
        <w:t xml:space="preserve">ing: </w:t>
      </w:r>
      <w:r w:rsidR="00934F1C">
        <w:t>99.3</w:t>
      </w:r>
      <w:r w:rsidRPr="007B215F">
        <w:t>% (</w:t>
      </w:r>
      <w:proofErr w:type="spellStart"/>
      <w:r w:rsidRPr="007B215F">
        <w:t>toripalimab</w:t>
      </w:r>
      <w:proofErr w:type="spellEnd"/>
      <w:r w:rsidRPr="007B215F">
        <w:t>) v</w:t>
      </w:r>
      <w:r>
        <w:t>ersus</w:t>
      </w:r>
      <w:r w:rsidRPr="007B215F">
        <w:t xml:space="preserve"> </w:t>
      </w:r>
      <w:r w:rsidR="00934F1C">
        <w:t>97.9</w:t>
      </w:r>
      <w:r w:rsidRPr="007B215F">
        <w:t>% (placebo)</w:t>
      </w:r>
    </w:p>
    <w:p w14:paraId="1F800505" w14:textId="4593801C" w:rsidR="007B215F" w:rsidRDefault="007B215F" w:rsidP="007B215F">
      <w:pPr>
        <w:pStyle w:val="ListBullet"/>
      </w:pPr>
      <w:r w:rsidRPr="007B215F">
        <w:t>ECOG 0: 56.8% (</w:t>
      </w:r>
      <w:proofErr w:type="spellStart"/>
      <w:r w:rsidRPr="007B215F">
        <w:t>toripalimab</w:t>
      </w:r>
      <w:proofErr w:type="spellEnd"/>
      <w:r w:rsidRPr="007B215F">
        <w:t xml:space="preserve">) </w:t>
      </w:r>
      <w:r>
        <w:t>versus</w:t>
      </w:r>
      <w:r w:rsidRPr="007B215F">
        <w:t xml:space="preserve"> 55.9% (placebo)</w:t>
      </w:r>
    </w:p>
    <w:p w14:paraId="54F3C443" w14:textId="79DA68D2" w:rsidR="009C384B" w:rsidRPr="007B215F" w:rsidRDefault="007B215F" w:rsidP="009C384B">
      <w:pPr>
        <w:pStyle w:val="ListBullet"/>
      </w:pPr>
      <w:r w:rsidRPr="007B215F">
        <w:t xml:space="preserve">ECOG 1: 43.2% </w:t>
      </w:r>
      <w:r w:rsidR="009C384B">
        <w:t>(</w:t>
      </w:r>
      <w:proofErr w:type="spellStart"/>
      <w:r w:rsidR="009C384B">
        <w:t>toripalimab</w:t>
      </w:r>
      <w:proofErr w:type="spellEnd"/>
      <w:r w:rsidR="009C384B">
        <w:t>) versus</w:t>
      </w:r>
      <w:r w:rsidRPr="007B215F">
        <w:t xml:space="preserve"> 44.1% </w:t>
      </w:r>
      <w:r w:rsidR="009C384B">
        <w:t>(placebo)</w:t>
      </w:r>
    </w:p>
    <w:p w14:paraId="7290D2BE" w14:textId="3DAE8EED" w:rsidR="007B215F" w:rsidRPr="007B215F" w:rsidRDefault="007B215F" w:rsidP="009C384B">
      <w:pPr>
        <w:pStyle w:val="ListBullet"/>
      </w:pPr>
      <w:r w:rsidRPr="007B215F">
        <w:t>PD-L1 status ≥</w:t>
      </w:r>
      <w:r w:rsidR="009C384B">
        <w:t> </w:t>
      </w:r>
      <w:r w:rsidRPr="007B215F">
        <w:t>1%: 74.7% (</w:t>
      </w:r>
      <w:proofErr w:type="spellStart"/>
      <w:r w:rsidRPr="007B215F">
        <w:t>toripalimab</w:t>
      </w:r>
      <w:proofErr w:type="spellEnd"/>
      <w:r w:rsidRPr="007B215F">
        <w:t>) v</w:t>
      </w:r>
      <w:r w:rsidR="009C384B">
        <w:t>ersus</w:t>
      </w:r>
      <w:r w:rsidRPr="007B215F">
        <w:t xml:space="preserve"> 76.2% (placebo)</w:t>
      </w:r>
    </w:p>
    <w:p w14:paraId="38F1A734" w14:textId="1E23BB5F" w:rsidR="007B215F" w:rsidRPr="007B215F" w:rsidRDefault="007B215F" w:rsidP="007C2B01">
      <w:pPr>
        <w:pStyle w:val="ListBullet"/>
      </w:pPr>
      <w:r w:rsidRPr="007B215F">
        <w:t>Stage IVB at study entry: 87.0% (</w:t>
      </w:r>
      <w:proofErr w:type="spellStart"/>
      <w:r w:rsidRPr="007B215F">
        <w:t>toripalimab</w:t>
      </w:r>
      <w:proofErr w:type="spellEnd"/>
      <w:r w:rsidRPr="007B215F">
        <w:t>) v</w:t>
      </w:r>
      <w:r w:rsidR="0040116A">
        <w:t>ersus</w:t>
      </w:r>
      <w:r w:rsidRPr="007B215F">
        <w:t xml:space="preserve"> 84.6% (placebo)</w:t>
      </w:r>
    </w:p>
    <w:p w14:paraId="29A84A30" w14:textId="3A467C95" w:rsidR="007B215F" w:rsidRPr="007B215F" w:rsidRDefault="007B215F" w:rsidP="0040116A">
      <w:pPr>
        <w:pStyle w:val="ListBullet"/>
      </w:pPr>
      <w:r w:rsidRPr="007B215F">
        <w:t>Recurrent disease at consent: 56.8% (</w:t>
      </w:r>
      <w:proofErr w:type="spellStart"/>
      <w:r w:rsidRPr="007B215F">
        <w:t>toripalimab</w:t>
      </w:r>
      <w:proofErr w:type="spellEnd"/>
      <w:r w:rsidRPr="007B215F">
        <w:t>) v</w:t>
      </w:r>
      <w:r w:rsidR="0040116A">
        <w:t>ersus</w:t>
      </w:r>
      <w:r w:rsidRPr="007B215F">
        <w:t xml:space="preserve"> 57.3% (placebo)</w:t>
      </w:r>
    </w:p>
    <w:p w14:paraId="3832D42D" w14:textId="0D3D9011" w:rsidR="007B215F" w:rsidRPr="007B215F" w:rsidRDefault="007B215F" w:rsidP="0040116A">
      <w:pPr>
        <w:pStyle w:val="ListBullet"/>
      </w:pPr>
      <w:r w:rsidRPr="007B215F">
        <w:t>Metastatic disease at consent: 43.2% (</w:t>
      </w:r>
      <w:proofErr w:type="spellStart"/>
      <w:r w:rsidRPr="007B215F">
        <w:t>toripalimab</w:t>
      </w:r>
      <w:proofErr w:type="spellEnd"/>
      <w:r w:rsidRPr="007B215F">
        <w:t>) v</w:t>
      </w:r>
      <w:r w:rsidR="0040116A">
        <w:t>ersus</w:t>
      </w:r>
      <w:r w:rsidRPr="007B215F">
        <w:t xml:space="preserve"> 42.7% (placebo)</w:t>
      </w:r>
    </w:p>
    <w:p w14:paraId="616908A7" w14:textId="2FB4248A" w:rsidR="007B215F" w:rsidRDefault="007B215F" w:rsidP="007B215F">
      <w:r w:rsidRPr="007B215F">
        <w:t xml:space="preserve">Among the patients with recurrent disease at study entry, 70.3% (59 </w:t>
      </w:r>
      <w:proofErr w:type="spellStart"/>
      <w:r w:rsidRPr="007B215F">
        <w:t>toripalimab</w:t>
      </w:r>
      <w:proofErr w:type="spellEnd"/>
      <w:r w:rsidRPr="007B215F">
        <w:t>, 62 placebo) of these patients</w:t>
      </w:r>
      <w:r w:rsidR="007D48C1">
        <w:t xml:space="preserve"> </w:t>
      </w:r>
      <w:r w:rsidR="007D48C1" w:rsidRPr="007D48C1">
        <w:t>received prior platinum-based chemoradiation for definitive treatment of loco</w:t>
      </w:r>
      <w:r w:rsidR="00436CBF">
        <w:noBreakHyphen/>
      </w:r>
      <w:r w:rsidR="007D48C1" w:rsidRPr="007D48C1">
        <w:t>regional NPC.</w:t>
      </w:r>
    </w:p>
    <w:p w14:paraId="46A56523" w14:textId="2BF5C1B2" w:rsidR="007D48C1" w:rsidRDefault="00EA5466" w:rsidP="00EA5466">
      <w:pPr>
        <w:pStyle w:val="Heading6"/>
      </w:pPr>
      <w:r>
        <w:t>Results</w:t>
      </w:r>
    </w:p>
    <w:p w14:paraId="47365007" w14:textId="0CDEFBCD" w:rsidR="00EA5466" w:rsidRDefault="00836929" w:rsidP="00836929">
      <w:pPr>
        <w:pStyle w:val="Heading7"/>
      </w:pPr>
      <w:r>
        <w:t>Primary efficacy results – progression free survival</w:t>
      </w:r>
    </w:p>
    <w:p w14:paraId="6A833639" w14:textId="66DB7FCB" w:rsidR="00836929" w:rsidRDefault="00210AD4" w:rsidP="00210AD4">
      <w:r w:rsidRPr="00210AD4">
        <w:t>An analysis of IRC</w:t>
      </w:r>
      <w:r w:rsidR="008265AE">
        <w:t xml:space="preserve"> </w:t>
      </w:r>
      <w:r w:rsidRPr="00210AD4">
        <w:t xml:space="preserve">determined PFS, conducted at the time of the pre-specified final analysis of PFS (data cut-off </w:t>
      </w:r>
      <w:r w:rsidR="008265AE">
        <w:t xml:space="preserve">8 </w:t>
      </w:r>
      <w:r w:rsidRPr="00210AD4">
        <w:t xml:space="preserve">June 2021) demonstrated a clinically meaningful and statistically significant </w:t>
      </w:r>
      <w:r w:rsidRPr="00210AD4">
        <w:lastRenderedPageBreak/>
        <w:t>improvement in IRC</w:t>
      </w:r>
      <w:r w:rsidR="008265AE">
        <w:t xml:space="preserve"> </w:t>
      </w:r>
      <w:r w:rsidRPr="00210AD4">
        <w:t xml:space="preserve">determined PFS with the addition of </w:t>
      </w:r>
      <w:proofErr w:type="spellStart"/>
      <w:r w:rsidRPr="00210AD4">
        <w:t>toripalimab</w:t>
      </w:r>
      <w:proofErr w:type="spellEnd"/>
      <w:r w:rsidRPr="00210AD4">
        <w:t xml:space="preserve"> to standard chemotherapy</w:t>
      </w:r>
      <w:r w:rsidR="008265AE">
        <w:t>. Hazard ratio (</w:t>
      </w:r>
      <w:r w:rsidRPr="00210AD4">
        <w:t>HR</w:t>
      </w:r>
      <w:r w:rsidR="008265AE">
        <w:t>) </w:t>
      </w:r>
      <w:r w:rsidRPr="00210AD4">
        <w:t>=</w:t>
      </w:r>
      <w:r w:rsidR="008265AE">
        <w:t> </w:t>
      </w:r>
      <w:r w:rsidRPr="00210AD4">
        <w:t xml:space="preserve">0.52 (95% </w:t>
      </w:r>
      <w:r w:rsidR="008265AE">
        <w:t>confidence interval (</w:t>
      </w:r>
      <w:r w:rsidRPr="00210AD4">
        <w:t>CI</w:t>
      </w:r>
      <w:r w:rsidR="008265AE">
        <w:t>)</w:t>
      </w:r>
      <w:r w:rsidRPr="00210AD4">
        <w:t>: 0.37, 0.73)</w:t>
      </w:r>
      <w:r w:rsidR="00466424">
        <w:t>.</w:t>
      </w:r>
    </w:p>
    <w:p w14:paraId="7AD07F02" w14:textId="0B65DB9A" w:rsidR="00466424" w:rsidRDefault="00C90D0A" w:rsidP="002918A6">
      <w:pPr>
        <w:pStyle w:val="TableTitle"/>
      </w:pPr>
      <w:r>
        <w:t xml:space="preserve">Table </w:t>
      </w:r>
      <w:fldSimple w:instr=" SEQ Table \* ARABIC ">
        <w:r w:rsidR="00D82028">
          <w:rPr>
            <w:noProof/>
          </w:rPr>
          <w:t>3</w:t>
        </w:r>
      </w:fldSimple>
      <w:r>
        <w:t>: JUPITER</w:t>
      </w:r>
      <w:r>
        <w:noBreakHyphen/>
      </w:r>
      <w:r w:rsidR="002918A6">
        <w:t>02</w:t>
      </w:r>
      <w:r>
        <w:t xml:space="preserve"> IRC determined </w:t>
      </w:r>
      <w:r w:rsidR="002918A6">
        <w:t>progression free survival</w:t>
      </w:r>
    </w:p>
    <w:p w14:paraId="19F33424" w14:textId="027E7847" w:rsidR="00D80D8A" w:rsidRDefault="008265AE" w:rsidP="00210AD4">
      <w:r w:rsidRPr="008265AE">
        <w:rPr>
          <w:noProof/>
        </w:rPr>
        <w:drawing>
          <wp:inline distT="0" distB="0" distL="0" distR="0" wp14:anchorId="48D8ECDF" wp14:editId="50178356">
            <wp:extent cx="5425725" cy="1600200"/>
            <wp:effectExtent l="0" t="0" r="3810" b="0"/>
            <wp:docPr id="198368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8782" name=""/>
                    <pic:cNvPicPr/>
                  </pic:nvPicPr>
                  <pic:blipFill>
                    <a:blip r:embed="rId25"/>
                    <a:stretch>
                      <a:fillRect/>
                    </a:stretch>
                  </pic:blipFill>
                  <pic:spPr>
                    <a:xfrm>
                      <a:off x="0" y="0"/>
                      <a:ext cx="5427523" cy="1600730"/>
                    </a:xfrm>
                    <a:prstGeom prst="rect">
                      <a:avLst/>
                    </a:prstGeom>
                  </pic:spPr>
                </pic:pic>
              </a:graphicData>
            </a:graphic>
          </wp:inline>
        </w:drawing>
      </w:r>
    </w:p>
    <w:p w14:paraId="30A0C4C5" w14:textId="21BFAD71" w:rsidR="00B60F3C" w:rsidRDefault="00EB62C3" w:rsidP="00BB1582">
      <w:pPr>
        <w:pStyle w:val="TableDescription"/>
      </w:pPr>
      <w:r>
        <w:rPr>
          <w:vertAlign w:val="superscript"/>
        </w:rPr>
        <w:t xml:space="preserve">1 </w:t>
      </w:r>
      <w:r>
        <w:t>Strata are performance status</w:t>
      </w:r>
      <w:r w:rsidR="00B306B6">
        <w:t xml:space="preserve"> and disease stage</w:t>
      </w:r>
      <w:r w:rsidR="00B60F3C">
        <w:t>.</w:t>
      </w:r>
    </w:p>
    <w:p w14:paraId="20867EF5" w14:textId="330F1175" w:rsidR="00B306B6" w:rsidRDefault="00B306B6" w:rsidP="00BB1582">
      <w:pPr>
        <w:pStyle w:val="TableDescription"/>
      </w:pPr>
      <w:r>
        <w:rPr>
          <w:vertAlign w:val="superscript"/>
        </w:rPr>
        <w:t xml:space="preserve">2 </w:t>
      </w:r>
      <w:r>
        <w:t>Crossed the boundary of 0.010 adjusted for 128 observed PFS events, for the interim analysis.</w:t>
      </w:r>
    </w:p>
    <w:p w14:paraId="17585BDA" w14:textId="0F35CAF6" w:rsidR="00BB1582" w:rsidRDefault="00B60F3C" w:rsidP="00BB1582">
      <w:pPr>
        <w:pStyle w:val="TableDescription"/>
      </w:pPr>
      <w:r>
        <w:t>Abbreviation: CI = confidence interval, IRC = </w:t>
      </w:r>
      <w:r w:rsidR="00FB220F">
        <w:t>independent review committee, NE = not estimable, OS = overall survival, PFS</w:t>
      </w:r>
      <w:r w:rsidR="00BB1582">
        <w:t> = progression free survival.</w:t>
      </w:r>
    </w:p>
    <w:p w14:paraId="00DE519A" w14:textId="1DBA4EF5" w:rsidR="0017057A" w:rsidRPr="0017057A" w:rsidRDefault="0017057A" w:rsidP="00890A8B">
      <w:pPr>
        <w:pStyle w:val="FigureTitle"/>
      </w:pPr>
      <w:r w:rsidRPr="00EA1E81">
        <w:t xml:space="preserve">Figure </w:t>
      </w:r>
      <w:fldSimple w:instr=" SEQ Figure \* ARABIC ">
        <w:r w:rsidR="00D82028">
          <w:rPr>
            <w:noProof/>
          </w:rPr>
          <w:t>1</w:t>
        </w:r>
      </w:fldSimple>
      <w:r w:rsidRPr="00EA1E81">
        <w:t>: JUPITER</w:t>
      </w:r>
      <w:r w:rsidRPr="00EA1E81">
        <w:noBreakHyphen/>
        <w:t xml:space="preserve">02 </w:t>
      </w:r>
      <w:r w:rsidR="00545EA8" w:rsidRPr="00EA1E81">
        <w:t>final analysis of IRC determined</w:t>
      </w:r>
      <w:r w:rsidR="001F190E" w:rsidRPr="00EA1E81">
        <w:t xml:space="preserve"> progression free survival</w:t>
      </w:r>
    </w:p>
    <w:p w14:paraId="36EEA2FE" w14:textId="6DBE3C67" w:rsidR="00BB1582" w:rsidRDefault="00F67B6F" w:rsidP="00BB1582">
      <w:r w:rsidRPr="00F67B6F">
        <w:rPr>
          <w:noProof/>
        </w:rPr>
        <w:drawing>
          <wp:inline distT="0" distB="0" distL="0" distR="0" wp14:anchorId="3620285D" wp14:editId="6CEA5019">
            <wp:extent cx="5143500" cy="2187831"/>
            <wp:effectExtent l="0" t="0" r="0" b="3175"/>
            <wp:docPr id="1665988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988275" name=""/>
                    <pic:cNvPicPr/>
                  </pic:nvPicPr>
                  <pic:blipFill>
                    <a:blip r:embed="rId26"/>
                    <a:stretch>
                      <a:fillRect/>
                    </a:stretch>
                  </pic:blipFill>
                  <pic:spPr>
                    <a:xfrm>
                      <a:off x="0" y="0"/>
                      <a:ext cx="5147220" cy="2189413"/>
                    </a:xfrm>
                    <a:prstGeom prst="rect">
                      <a:avLst/>
                    </a:prstGeom>
                  </pic:spPr>
                </pic:pic>
              </a:graphicData>
            </a:graphic>
          </wp:inline>
        </w:drawing>
      </w:r>
    </w:p>
    <w:p w14:paraId="4BA8E983" w14:textId="7B004D40" w:rsidR="00070241" w:rsidRPr="00070241" w:rsidRDefault="00EA1E81" w:rsidP="00EA1E81">
      <w:pPr>
        <w:pStyle w:val="FigureDescription"/>
        <w:keepNext w:val="0"/>
      </w:pPr>
      <w:r w:rsidRPr="00EA1E81">
        <w:t>JS001</w:t>
      </w:r>
      <w:r>
        <w:t> </w:t>
      </w:r>
      <w:r w:rsidRPr="00EA1E81">
        <w:t>=</w:t>
      </w:r>
      <w:r>
        <w:t> </w:t>
      </w:r>
      <w:proofErr w:type="spellStart"/>
      <w:r w:rsidRPr="00EA1E81">
        <w:t>toripalimab</w:t>
      </w:r>
      <w:proofErr w:type="spellEnd"/>
    </w:p>
    <w:p w14:paraId="4CE3DB1A" w14:textId="4C8C9D48" w:rsidR="009C4D75" w:rsidRDefault="00003DE2" w:rsidP="009C4D75">
      <w:pPr>
        <w:pStyle w:val="Heading7"/>
      </w:pPr>
      <w:r>
        <w:t>Secondary endpoint</w:t>
      </w:r>
      <w:r w:rsidR="009C4D75">
        <w:t xml:space="preserve"> – overall response rate</w:t>
      </w:r>
    </w:p>
    <w:p w14:paraId="0B0F3962" w14:textId="3EF3A30B" w:rsidR="008C07DC" w:rsidRPr="006B1EF2" w:rsidRDefault="004D13E9" w:rsidP="006B1EF2">
      <w:r w:rsidRPr="006B1EF2">
        <w:t>T</w:t>
      </w:r>
      <w:r w:rsidR="008C07DC" w:rsidRPr="006B1EF2">
        <w:t>he difference in IRC</w:t>
      </w:r>
      <w:r w:rsidR="00F17ADB" w:rsidRPr="006B1EF2">
        <w:t xml:space="preserve"> </w:t>
      </w:r>
      <w:r w:rsidR="008C07DC" w:rsidRPr="006B1EF2">
        <w:t xml:space="preserve">determined response rates between the </w:t>
      </w:r>
      <w:proofErr w:type="spellStart"/>
      <w:r w:rsidR="008C07DC" w:rsidRPr="006B1EF2">
        <w:t>toripalimab</w:t>
      </w:r>
      <w:proofErr w:type="spellEnd"/>
      <w:r w:rsidR="008C07DC" w:rsidRPr="006B1EF2">
        <w:t xml:space="preserve"> and placebo arms, per RECIST v1.1, was statistically significant</w:t>
      </w:r>
      <w:r w:rsidR="00EC31BB" w:rsidRPr="006B1EF2">
        <w:t xml:space="preserve">. Overall response rate </w:t>
      </w:r>
      <w:r w:rsidR="008C07DC" w:rsidRPr="006B1EF2">
        <w:t xml:space="preserve">of 77.4% in the </w:t>
      </w:r>
      <w:proofErr w:type="spellStart"/>
      <w:r w:rsidR="008C07DC" w:rsidRPr="006B1EF2">
        <w:t>toripalimab</w:t>
      </w:r>
      <w:proofErr w:type="spellEnd"/>
      <w:r w:rsidR="008C07DC" w:rsidRPr="006B1EF2">
        <w:t xml:space="preserve"> and 66.4% in the placebo arms, with a difference in ORR of 10.8%, p</w:t>
      </w:r>
      <w:r w:rsidR="00EC31BB" w:rsidRPr="006B1EF2">
        <w:t> </w:t>
      </w:r>
      <w:r w:rsidR="008C07DC" w:rsidRPr="006B1EF2">
        <w:t>=</w:t>
      </w:r>
      <w:r w:rsidR="00EC31BB" w:rsidRPr="006B1EF2">
        <w:t> </w:t>
      </w:r>
      <w:r w:rsidR="008C07DC" w:rsidRPr="006B1EF2">
        <w:t xml:space="preserve">0.0335 </w:t>
      </w:r>
      <w:r w:rsidR="00EC31BB" w:rsidRPr="006B1EF2">
        <w:t xml:space="preserve">(data cut-off </w:t>
      </w:r>
      <w:r w:rsidRPr="006B1EF2">
        <w:t>30 May 2020</w:t>
      </w:r>
      <w:r w:rsidR="00D37FE6">
        <w:t>)</w:t>
      </w:r>
      <w:r w:rsidRPr="006B1EF2">
        <w:t>.</w:t>
      </w:r>
    </w:p>
    <w:p w14:paraId="558B5E24" w14:textId="6E3AC85D" w:rsidR="009C4D75" w:rsidRPr="006B1EF2" w:rsidRDefault="008C07DC" w:rsidP="006B1EF2">
      <w:r w:rsidRPr="006B1EF2">
        <w:t>In the post hoc analysis (</w:t>
      </w:r>
      <w:r w:rsidR="004D13E9" w:rsidRPr="006B1EF2">
        <w:t>data cut-off 8 June </w:t>
      </w:r>
      <w:r w:rsidRPr="006B1EF2">
        <w:t>2021), IRC</w:t>
      </w:r>
      <w:r w:rsidR="004D13E9" w:rsidRPr="006B1EF2">
        <w:t xml:space="preserve"> </w:t>
      </w:r>
      <w:r w:rsidRPr="006B1EF2">
        <w:t xml:space="preserve">determined ORR was 78.8% and 67.1% in the </w:t>
      </w:r>
      <w:proofErr w:type="spellStart"/>
      <w:r w:rsidRPr="006B1EF2">
        <w:t>toripalimab</w:t>
      </w:r>
      <w:proofErr w:type="spellEnd"/>
      <w:r w:rsidRPr="006B1EF2">
        <w:t xml:space="preserve"> and placebo arms, respectively, which was similar to that seen at the time of the definitive analysis of ORR; however, IRC</w:t>
      </w:r>
      <w:r w:rsidR="006B1EF2" w:rsidRPr="006B1EF2">
        <w:t xml:space="preserve"> </w:t>
      </w:r>
      <w:r w:rsidRPr="006B1EF2">
        <w:t xml:space="preserve">determined </w:t>
      </w:r>
      <w:proofErr w:type="spellStart"/>
      <w:r w:rsidR="00D340D2">
        <w:t>DoR</w:t>
      </w:r>
      <w:proofErr w:type="spellEnd"/>
      <w:r w:rsidRPr="006B1EF2">
        <w:t xml:space="preserve"> was considerably longer with a median </w:t>
      </w:r>
      <w:proofErr w:type="spellStart"/>
      <w:r w:rsidR="00D340D2">
        <w:t>DoR</w:t>
      </w:r>
      <w:proofErr w:type="spellEnd"/>
      <w:r w:rsidRPr="006B1EF2">
        <w:t xml:space="preserve"> of 18.0 months in the </w:t>
      </w:r>
      <w:proofErr w:type="spellStart"/>
      <w:r w:rsidRPr="006B1EF2">
        <w:t>toripalimab</w:t>
      </w:r>
      <w:proofErr w:type="spellEnd"/>
      <w:r w:rsidRPr="006B1EF2">
        <w:t xml:space="preserve"> and 6.0 months in the placebo arm as compared to the previous analysis.</w:t>
      </w:r>
    </w:p>
    <w:p w14:paraId="0411AFE1" w14:textId="365B0B58" w:rsidR="009C4D75" w:rsidRDefault="009C4D75" w:rsidP="008C07DC">
      <w:pPr>
        <w:pStyle w:val="Heading7"/>
        <w:tabs>
          <w:tab w:val="left" w:pos="5220"/>
        </w:tabs>
      </w:pPr>
      <w:r>
        <w:t>Secondary endpoint – overall survival</w:t>
      </w:r>
    </w:p>
    <w:p w14:paraId="67952145" w14:textId="08B1D4DA" w:rsidR="008C07DC" w:rsidRDefault="008C07DC" w:rsidP="00645014">
      <w:r w:rsidRPr="00645014">
        <w:t xml:space="preserve">The final analysis of OS demonstrated a clinically meaningful and statistically significant improvement in OS with the addition of </w:t>
      </w:r>
      <w:proofErr w:type="spellStart"/>
      <w:r w:rsidRPr="00645014">
        <w:t>toripalimab</w:t>
      </w:r>
      <w:proofErr w:type="spellEnd"/>
      <w:r w:rsidRPr="00645014">
        <w:t xml:space="preserve">. The median OS was not estimable in the </w:t>
      </w:r>
      <w:proofErr w:type="spellStart"/>
      <w:r w:rsidRPr="00645014">
        <w:t>toripalimab</w:t>
      </w:r>
      <w:proofErr w:type="spellEnd"/>
      <w:r w:rsidRPr="00645014">
        <w:t xml:space="preserve"> arm (lower bound of the 95% CI 38.7 months) and 33.7 months in the placebo arm with a HR of 0.63 (95% CI: 0.45, 0.89), p</w:t>
      </w:r>
      <w:r w:rsidR="00645014" w:rsidRPr="00645014">
        <w:t> </w:t>
      </w:r>
      <w:r w:rsidRPr="00645014">
        <w:t>=</w:t>
      </w:r>
      <w:r w:rsidR="00645014" w:rsidRPr="00645014">
        <w:t> </w:t>
      </w:r>
      <w:r w:rsidRPr="00645014">
        <w:t>0.0083</w:t>
      </w:r>
      <w:r w:rsidR="00645014" w:rsidRPr="00645014">
        <w:t>.</w:t>
      </w:r>
    </w:p>
    <w:p w14:paraId="5A35FEE2" w14:textId="103B670A" w:rsidR="0005580E" w:rsidRPr="0005580E" w:rsidRDefault="009749E7" w:rsidP="0005580E">
      <w:pPr>
        <w:pStyle w:val="TableTitle"/>
      </w:pPr>
      <w:r>
        <w:lastRenderedPageBreak/>
        <w:t xml:space="preserve">Table </w:t>
      </w:r>
      <w:fldSimple w:instr=" SEQ Table \* ARABIC ">
        <w:r w:rsidR="00D82028">
          <w:rPr>
            <w:noProof/>
          </w:rPr>
          <w:t>4</w:t>
        </w:r>
      </w:fldSimple>
      <w:r>
        <w:t xml:space="preserve">: </w:t>
      </w:r>
      <w:r w:rsidR="00894405">
        <w:t>JUPITER</w:t>
      </w:r>
      <w:r w:rsidR="00894405">
        <w:noBreakHyphen/>
        <w:t xml:space="preserve">02 </w:t>
      </w:r>
      <w:r w:rsidR="0005580E">
        <w:t>key secondary endpoints</w:t>
      </w:r>
    </w:p>
    <w:p w14:paraId="406CCE2B" w14:textId="68548C7E" w:rsidR="008C07DC" w:rsidRDefault="00894405" w:rsidP="008C07DC">
      <w:r w:rsidRPr="00894405">
        <w:rPr>
          <w:noProof/>
        </w:rPr>
        <w:drawing>
          <wp:inline distT="0" distB="0" distL="0" distR="0" wp14:anchorId="0E9EAD7F" wp14:editId="0FAF8543">
            <wp:extent cx="5664200" cy="4622537"/>
            <wp:effectExtent l="0" t="0" r="0" b="6985"/>
            <wp:docPr id="26888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8892" name=""/>
                    <pic:cNvPicPr/>
                  </pic:nvPicPr>
                  <pic:blipFill>
                    <a:blip r:embed="rId27"/>
                    <a:stretch>
                      <a:fillRect/>
                    </a:stretch>
                  </pic:blipFill>
                  <pic:spPr>
                    <a:xfrm>
                      <a:off x="0" y="0"/>
                      <a:ext cx="5667798" cy="4625473"/>
                    </a:xfrm>
                    <a:prstGeom prst="rect">
                      <a:avLst/>
                    </a:prstGeom>
                  </pic:spPr>
                </pic:pic>
              </a:graphicData>
            </a:graphic>
          </wp:inline>
        </w:drawing>
      </w:r>
    </w:p>
    <w:p w14:paraId="4DF9711D" w14:textId="25A63E9C" w:rsidR="0005580E" w:rsidRDefault="0005580E" w:rsidP="00773A2F">
      <w:pPr>
        <w:pStyle w:val="TableDescription"/>
      </w:pPr>
      <w:r>
        <w:rPr>
          <w:vertAlign w:val="superscript"/>
        </w:rPr>
        <w:t xml:space="preserve">1 </w:t>
      </w:r>
      <w:r>
        <w:t>Strata are performance status and disease stage</w:t>
      </w:r>
    </w:p>
    <w:p w14:paraId="3C320A28" w14:textId="014DEDBE" w:rsidR="00316ECD" w:rsidRDefault="00316ECD" w:rsidP="00773A2F">
      <w:pPr>
        <w:pStyle w:val="TableDescription"/>
      </w:pPr>
      <w:r>
        <w:rPr>
          <w:vertAlign w:val="superscript"/>
        </w:rPr>
        <w:t xml:space="preserve">2 </w:t>
      </w:r>
      <w:r>
        <w:t>Stratified Cochran-Mantel-Hae</w:t>
      </w:r>
      <w:r w:rsidR="00B04230">
        <w:t xml:space="preserve">nszel </w:t>
      </w:r>
      <w:proofErr w:type="gramStart"/>
      <w:r w:rsidR="00B04230">
        <w:t>test</w:t>
      </w:r>
      <w:proofErr w:type="gramEnd"/>
    </w:p>
    <w:p w14:paraId="6D893C3C" w14:textId="3FEA1A2A" w:rsidR="00B04230" w:rsidRDefault="00B04230" w:rsidP="00773A2F">
      <w:pPr>
        <w:pStyle w:val="TableDescription"/>
        <w:rPr>
          <w:vertAlign w:val="superscript"/>
        </w:rPr>
      </w:pPr>
      <w:r>
        <w:rPr>
          <w:vertAlign w:val="superscript"/>
        </w:rPr>
        <w:t xml:space="preserve">3 </w:t>
      </w:r>
      <w:r w:rsidRPr="00B04230">
        <w:t>Cox proportional hazards model</w:t>
      </w:r>
    </w:p>
    <w:p w14:paraId="2FA38CDD" w14:textId="6F6498FC" w:rsidR="00B04230" w:rsidRDefault="00B04230" w:rsidP="00773A2F">
      <w:pPr>
        <w:pStyle w:val="TableDescription"/>
      </w:pPr>
      <w:r>
        <w:rPr>
          <w:vertAlign w:val="superscript"/>
        </w:rPr>
        <w:t xml:space="preserve">4 </w:t>
      </w:r>
      <w:r>
        <w:t xml:space="preserve">Data cut-off date </w:t>
      </w:r>
      <w:r w:rsidR="00A67270">
        <w:t>18 February 2021</w:t>
      </w:r>
    </w:p>
    <w:p w14:paraId="5FE29BEF" w14:textId="0ED6F26D" w:rsidR="00A67270" w:rsidRDefault="0020786B" w:rsidP="00773A2F">
      <w:pPr>
        <w:pStyle w:val="TableDescription"/>
      </w:pPr>
      <w:r>
        <w:t xml:space="preserve">Abbreviations: </w:t>
      </w:r>
      <w:r w:rsidR="00A67270">
        <w:t xml:space="preserve">CI = confidence interval, </w:t>
      </w:r>
      <w:proofErr w:type="spellStart"/>
      <w:r w:rsidR="00773A2F">
        <w:t>DoR</w:t>
      </w:r>
      <w:proofErr w:type="spellEnd"/>
      <w:r w:rsidR="00773A2F">
        <w:t> = duration of response, IRC independent review committee, NE = not estimable, ORR = objective response rate, OS = overall survival.</w:t>
      </w:r>
    </w:p>
    <w:p w14:paraId="7AF56D7B" w14:textId="6879AA1C" w:rsidR="00773A2F" w:rsidRDefault="00EB4B6C" w:rsidP="00EB4B6C">
      <w:pPr>
        <w:pStyle w:val="TableTitle"/>
      </w:pPr>
      <w:r>
        <w:t xml:space="preserve">Table </w:t>
      </w:r>
      <w:fldSimple w:instr=" SEQ Table \* ARABIC ">
        <w:r w:rsidR="00D82028">
          <w:rPr>
            <w:noProof/>
          </w:rPr>
          <w:t>5</w:t>
        </w:r>
      </w:fldSimple>
      <w:r>
        <w:t>: JUPITER</w:t>
      </w:r>
      <w:r>
        <w:noBreakHyphen/>
        <w:t>02 final analysis of overall survival</w:t>
      </w:r>
    </w:p>
    <w:p w14:paraId="1334A3C4" w14:textId="6721A905" w:rsidR="00EB4B6C" w:rsidRDefault="004E695D" w:rsidP="00CA7F43">
      <w:r w:rsidRPr="004E695D">
        <w:rPr>
          <w:noProof/>
        </w:rPr>
        <w:drawing>
          <wp:inline distT="0" distB="0" distL="0" distR="0" wp14:anchorId="115E2279" wp14:editId="3AF0307C">
            <wp:extent cx="5664200" cy="1441450"/>
            <wp:effectExtent l="0" t="0" r="0" b="6350"/>
            <wp:docPr id="1890588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88810" name=""/>
                    <pic:cNvPicPr/>
                  </pic:nvPicPr>
                  <pic:blipFill rotWithShape="1">
                    <a:blip r:embed="rId28"/>
                    <a:srcRect l="1654"/>
                    <a:stretch>
                      <a:fillRect/>
                    </a:stretch>
                  </pic:blipFill>
                  <pic:spPr bwMode="auto">
                    <a:xfrm>
                      <a:off x="0" y="0"/>
                      <a:ext cx="5664200" cy="1441450"/>
                    </a:xfrm>
                    <a:prstGeom prst="rect">
                      <a:avLst/>
                    </a:prstGeom>
                    <a:ln>
                      <a:noFill/>
                    </a:ln>
                    <a:extLst>
                      <a:ext uri="{53640926-AAD7-44D8-BBD7-CCE9431645EC}">
                        <a14:shadowObscured xmlns:a14="http://schemas.microsoft.com/office/drawing/2010/main"/>
                      </a:ext>
                    </a:extLst>
                  </pic:spPr>
                </pic:pic>
              </a:graphicData>
            </a:graphic>
          </wp:inline>
        </w:drawing>
      </w:r>
    </w:p>
    <w:p w14:paraId="5A021B21" w14:textId="0047D1C7" w:rsidR="00DA38A4" w:rsidRPr="00DA38A4" w:rsidRDefault="00DA38A4" w:rsidP="0020786B">
      <w:pPr>
        <w:pStyle w:val="TableDescription"/>
      </w:pPr>
      <w:r w:rsidRPr="00DA38A4">
        <w:rPr>
          <w:vertAlign w:val="superscript"/>
        </w:rPr>
        <w:t>1</w:t>
      </w:r>
      <w:r>
        <w:t xml:space="preserve"> </w:t>
      </w:r>
      <w:r w:rsidRPr="00DA38A4">
        <w:t>Median OS was estimated using the Kaplan-Meier method. The Brookmeyer-Crowley method was used to construct the 95% confidence interval.</w:t>
      </w:r>
      <w:r w:rsidR="00113D94" w:rsidRPr="00113D94">
        <w:t xml:space="preserve"> </w:t>
      </w:r>
      <w:r w:rsidR="00113D94" w:rsidRPr="00801CBF">
        <w:t xml:space="preserve">Data </w:t>
      </w:r>
      <w:r w:rsidR="00C17B5C">
        <w:t>c</w:t>
      </w:r>
      <w:r w:rsidR="00113D94" w:rsidRPr="00801CBF">
        <w:t>ut</w:t>
      </w:r>
      <w:r w:rsidR="00C17B5C">
        <w:noBreakHyphen/>
      </w:r>
      <w:r w:rsidR="00113D94" w:rsidRPr="00801CBF">
        <w:t xml:space="preserve">off </w:t>
      </w:r>
      <w:r w:rsidR="00C17B5C">
        <w:t>18 </w:t>
      </w:r>
      <w:r w:rsidR="00113D94" w:rsidRPr="00801CBF">
        <w:t xml:space="preserve">November </w:t>
      </w:r>
      <w:r w:rsidR="00C17B5C">
        <w:t>2</w:t>
      </w:r>
      <w:r w:rsidR="00113D94" w:rsidRPr="00801CBF">
        <w:t>022</w:t>
      </w:r>
      <w:r w:rsidR="00C17B5C">
        <w:t>.</w:t>
      </w:r>
    </w:p>
    <w:p w14:paraId="1DD7A120" w14:textId="58B9EB1A" w:rsidR="00DA38A4" w:rsidRPr="00DA38A4" w:rsidRDefault="00DA38A4" w:rsidP="0020786B">
      <w:pPr>
        <w:pStyle w:val="TableDescription"/>
      </w:pPr>
      <w:r w:rsidRPr="0020786B">
        <w:rPr>
          <w:vertAlign w:val="superscript"/>
        </w:rPr>
        <w:t>2</w:t>
      </w:r>
      <w:r w:rsidR="0020786B">
        <w:t xml:space="preserve"> </w:t>
      </w:r>
      <w:r w:rsidRPr="00DA38A4">
        <w:t>The hazard ratio and its 95% confidence intervals were estimated using the Cox proportional hazards model using the stratification factors at randomi</w:t>
      </w:r>
      <w:r w:rsidR="0020786B">
        <w:t>s</w:t>
      </w:r>
      <w:r w:rsidRPr="00DA38A4">
        <w:t>ation.</w:t>
      </w:r>
    </w:p>
    <w:p w14:paraId="744CFDD2" w14:textId="6F7D2866" w:rsidR="00DA38A4" w:rsidRPr="00DA38A4" w:rsidRDefault="00DA38A4" w:rsidP="0020786B">
      <w:pPr>
        <w:pStyle w:val="TableDescription"/>
      </w:pPr>
      <w:r w:rsidRPr="0020786B">
        <w:rPr>
          <w:vertAlign w:val="superscript"/>
        </w:rPr>
        <w:t>3</w:t>
      </w:r>
      <w:r w:rsidR="0020786B">
        <w:t xml:space="preserve"> </w:t>
      </w:r>
      <w:r w:rsidRPr="00DA38A4">
        <w:t>The log rank test was used to determine the p-value.</w:t>
      </w:r>
    </w:p>
    <w:p w14:paraId="7CE2CC6C" w14:textId="12BED6A9" w:rsidR="00DA38A4" w:rsidRDefault="0020786B" w:rsidP="0020786B">
      <w:pPr>
        <w:pStyle w:val="TableDescription"/>
      </w:pPr>
      <w:r>
        <w:t xml:space="preserve">Abbreviations: </w:t>
      </w:r>
      <w:r w:rsidR="00DA38A4" w:rsidRPr="00DA38A4">
        <w:t>CI</w:t>
      </w:r>
      <w:r>
        <w:t> </w:t>
      </w:r>
      <w:r w:rsidR="00DA38A4" w:rsidRPr="00DA38A4">
        <w:t>=</w:t>
      </w:r>
      <w:r>
        <w:t> </w:t>
      </w:r>
      <w:r w:rsidR="00DA38A4" w:rsidRPr="00DA38A4">
        <w:t>confidence interval</w:t>
      </w:r>
      <w:r>
        <w:t>,</w:t>
      </w:r>
      <w:r w:rsidR="00DA38A4" w:rsidRPr="00DA38A4">
        <w:t xml:space="preserve"> GC</w:t>
      </w:r>
      <w:r>
        <w:t> </w:t>
      </w:r>
      <w:r w:rsidR="00DA38A4" w:rsidRPr="00DA38A4">
        <w:t>=</w:t>
      </w:r>
      <w:r>
        <w:t> </w:t>
      </w:r>
      <w:r w:rsidR="00DA38A4" w:rsidRPr="00DA38A4">
        <w:t>gemcitabine/cisplatin</w:t>
      </w:r>
      <w:r>
        <w:t>,</w:t>
      </w:r>
      <w:r w:rsidR="00DA38A4" w:rsidRPr="00DA38A4">
        <w:t xml:space="preserve"> NE</w:t>
      </w:r>
      <w:r>
        <w:t> </w:t>
      </w:r>
      <w:r w:rsidR="00DA38A4" w:rsidRPr="00DA38A4">
        <w:t>=</w:t>
      </w:r>
      <w:r>
        <w:t> </w:t>
      </w:r>
      <w:r w:rsidR="00DA38A4" w:rsidRPr="00DA38A4">
        <w:t>not estimable</w:t>
      </w:r>
      <w:r>
        <w:t xml:space="preserve">, </w:t>
      </w:r>
      <w:r w:rsidR="00DA38A4" w:rsidRPr="00DA38A4">
        <w:t>OS</w:t>
      </w:r>
      <w:r>
        <w:t> </w:t>
      </w:r>
      <w:r w:rsidR="00DA38A4" w:rsidRPr="00DA38A4">
        <w:t>=</w:t>
      </w:r>
      <w:r>
        <w:t> </w:t>
      </w:r>
      <w:r w:rsidR="00DA38A4" w:rsidRPr="00DA38A4">
        <w:t>overall survival</w:t>
      </w:r>
      <w:r>
        <w:t>.</w:t>
      </w:r>
    </w:p>
    <w:p w14:paraId="48982EB8" w14:textId="6D519C25" w:rsidR="0020786B" w:rsidRDefault="00106A30" w:rsidP="00106A30">
      <w:pPr>
        <w:pStyle w:val="FigureTitle"/>
      </w:pPr>
      <w:r>
        <w:lastRenderedPageBreak/>
        <w:t xml:space="preserve">Figure </w:t>
      </w:r>
      <w:fldSimple w:instr=" SEQ Figure \* ARABIC ">
        <w:r w:rsidR="00D82028">
          <w:rPr>
            <w:noProof/>
          </w:rPr>
          <w:t>2</w:t>
        </w:r>
      </w:fldSimple>
      <w:r>
        <w:t xml:space="preserve">: </w:t>
      </w:r>
      <w:r w:rsidRPr="00106A30">
        <w:t>JUPITER 02 final analysis of overall survival</w:t>
      </w:r>
    </w:p>
    <w:p w14:paraId="38C32C0D" w14:textId="4F238FB7" w:rsidR="00106A30" w:rsidRDefault="00AE12F4" w:rsidP="00CA7F43">
      <w:r w:rsidRPr="00AE12F4">
        <w:rPr>
          <w:noProof/>
        </w:rPr>
        <w:drawing>
          <wp:inline distT="0" distB="0" distL="0" distR="0" wp14:anchorId="224D42B0" wp14:editId="6AF27E73">
            <wp:extent cx="5607050" cy="2590165"/>
            <wp:effectExtent l="0" t="0" r="0" b="635"/>
            <wp:docPr id="853676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76919" name=""/>
                    <pic:cNvPicPr/>
                  </pic:nvPicPr>
                  <pic:blipFill rotWithShape="1">
                    <a:blip r:embed="rId29"/>
                    <a:srcRect l="2646"/>
                    <a:stretch>
                      <a:fillRect/>
                    </a:stretch>
                  </pic:blipFill>
                  <pic:spPr bwMode="auto">
                    <a:xfrm>
                      <a:off x="0" y="0"/>
                      <a:ext cx="5607050" cy="2590165"/>
                    </a:xfrm>
                    <a:prstGeom prst="rect">
                      <a:avLst/>
                    </a:prstGeom>
                    <a:ln>
                      <a:noFill/>
                    </a:ln>
                    <a:extLst>
                      <a:ext uri="{53640926-AAD7-44D8-BBD7-CCE9431645EC}">
                        <a14:shadowObscured xmlns:a14="http://schemas.microsoft.com/office/drawing/2010/main"/>
                      </a:ext>
                    </a:extLst>
                  </pic:spPr>
                </pic:pic>
              </a:graphicData>
            </a:graphic>
          </wp:inline>
        </w:drawing>
      </w:r>
    </w:p>
    <w:p w14:paraId="7ECA251D" w14:textId="77777777" w:rsidR="00AE12F4" w:rsidRPr="00AE12F4" w:rsidRDefault="00AE12F4" w:rsidP="00AE12F4">
      <w:pPr>
        <w:pStyle w:val="FigureDescription"/>
      </w:pPr>
      <w:r w:rsidRPr="00EA1E81">
        <w:t>JS001</w:t>
      </w:r>
      <w:r>
        <w:t> </w:t>
      </w:r>
      <w:r w:rsidRPr="00EA1E81">
        <w:t>=</w:t>
      </w:r>
      <w:r>
        <w:t> </w:t>
      </w:r>
      <w:proofErr w:type="spellStart"/>
      <w:r w:rsidRPr="00EA1E81">
        <w:t>toripalimab</w:t>
      </w:r>
      <w:proofErr w:type="spellEnd"/>
    </w:p>
    <w:p w14:paraId="707AED09" w14:textId="237B12CE" w:rsidR="00AE12F4" w:rsidRDefault="006C137C" w:rsidP="005E05E9">
      <w:pPr>
        <w:pStyle w:val="Heading5"/>
      </w:pPr>
      <w:r w:rsidRPr="006C137C">
        <w:t>POLARIS-02/</w:t>
      </w:r>
      <w:r w:rsidR="006A1C7D">
        <w:t>C</w:t>
      </w:r>
      <w:r w:rsidRPr="006C137C">
        <w:t>ohort 7</w:t>
      </w:r>
    </w:p>
    <w:p w14:paraId="1E751884" w14:textId="5C567ABA" w:rsidR="006D2B85" w:rsidRPr="003C4B0C" w:rsidRDefault="006D2B85" w:rsidP="003C4B0C">
      <w:r w:rsidRPr="003C4B0C">
        <w:t xml:space="preserve">This was a </w:t>
      </w:r>
      <w:r w:rsidR="003C4B0C">
        <w:t>P</w:t>
      </w:r>
      <w:r w:rsidRPr="003C4B0C">
        <w:t xml:space="preserve">hase </w:t>
      </w:r>
      <w:r w:rsidR="003C4B0C">
        <w:t>II</w:t>
      </w:r>
      <w:r w:rsidRPr="003C4B0C">
        <w:t>, multiple</w:t>
      </w:r>
      <w:r w:rsidR="003C4B0C">
        <w:t xml:space="preserve"> </w:t>
      </w:r>
      <w:proofErr w:type="gramStart"/>
      <w:r w:rsidRPr="003C4B0C">
        <w:t>cohort</w:t>
      </w:r>
      <w:proofErr w:type="gramEnd"/>
      <w:r w:rsidRPr="003C4B0C">
        <w:t>, activity</w:t>
      </w:r>
      <w:r w:rsidR="003C4B0C">
        <w:t xml:space="preserve"> </w:t>
      </w:r>
      <w:r w:rsidRPr="003C4B0C">
        <w:t>estimating trial comprising 8 cohorts.</w:t>
      </w:r>
    </w:p>
    <w:p w14:paraId="0D3A37EE" w14:textId="7DFCC435" w:rsidR="006D2B85" w:rsidRPr="003C4B0C" w:rsidRDefault="006D2B85" w:rsidP="003C4B0C">
      <w:r w:rsidRPr="003C4B0C">
        <w:t xml:space="preserve">Supportive evidence of the clinical efficacy and safety of </w:t>
      </w:r>
      <w:proofErr w:type="spellStart"/>
      <w:r w:rsidRPr="003C4B0C">
        <w:t>toripalimab</w:t>
      </w:r>
      <w:proofErr w:type="spellEnd"/>
      <w:r w:rsidRPr="003C4B0C">
        <w:t xml:space="preserve"> as first line treatment in patients with recurrent/metastatic NPC is from data from 12 patients in Cohort 7 of POLARIS</w:t>
      </w:r>
      <w:r w:rsidR="003C4B0C">
        <w:noBreakHyphen/>
      </w:r>
      <w:r w:rsidRPr="003C4B0C">
        <w:t xml:space="preserve">02. Cohort 7 enrolled patients with NPC who had received no prior systemic therapy for recurrent or metastatic disease. Patients received </w:t>
      </w:r>
      <w:proofErr w:type="spellStart"/>
      <w:r w:rsidRPr="003C4B0C">
        <w:t>toripalimab</w:t>
      </w:r>
      <w:proofErr w:type="spellEnd"/>
      <w:r w:rsidRPr="003C4B0C">
        <w:t xml:space="preserve"> 240</w:t>
      </w:r>
      <w:r w:rsidR="003C4B0C">
        <w:t xml:space="preserve"> mg </w:t>
      </w:r>
      <w:r w:rsidRPr="003C4B0C">
        <w:t>or 360</w:t>
      </w:r>
      <w:r w:rsidR="003C4B0C">
        <w:t> </w:t>
      </w:r>
      <w:r w:rsidRPr="003C4B0C">
        <w:t xml:space="preserve">mg IV </w:t>
      </w:r>
      <w:r w:rsidR="003C4B0C">
        <w:t xml:space="preserve">once every </w:t>
      </w:r>
      <w:r w:rsidR="006E12B6">
        <w:t>3 weeks</w:t>
      </w:r>
      <w:r w:rsidR="003C4B0C">
        <w:t xml:space="preserve"> </w:t>
      </w:r>
      <w:r w:rsidRPr="003C4B0C">
        <w:t>in combination with cisplatin 80</w:t>
      </w:r>
      <w:r w:rsidR="006E12B6">
        <w:t> </w:t>
      </w:r>
      <w:r w:rsidRPr="003C4B0C">
        <w:t>mg/m</w:t>
      </w:r>
      <w:r w:rsidRPr="000F649A">
        <w:rPr>
          <w:vertAlign w:val="superscript"/>
        </w:rPr>
        <w:t>2</w:t>
      </w:r>
      <w:r w:rsidRPr="003C4B0C">
        <w:t xml:space="preserve"> IV</w:t>
      </w:r>
      <w:r w:rsidR="006E12B6">
        <w:t xml:space="preserve"> once every 3 weeks </w:t>
      </w:r>
      <w:r w:rsidRPr="003C4B0C">
        <w:t>and gemcitabine 1000</w:t>
      </w:r>
      <w:r w:rsidR="006E12B6">
        <w:t> </w:t>
      </w:r>
      <w:r w:rsidRPr="003C4B0C">
        <w:t>mg/m</w:t>
      </w:r>
      <w:r w:rsidRPr="000F649A">
        <w:rPr>
          <w:vertAlign w:val="superscript"/>
        </w:rPr>
        <w:t>2</w:t>
      </w:r>
      <w:r w:rsidRPr="003C4B0C">
        <w:t xml:space="preserve"> IV Days 1 and 8 </w:t>
      </w:r>
      <w:r w:rsidR="00D55AF9">
        <w:t>then once every 3 weeks</w:t>
      </w:r>
      <w:r w:rsidRPr="003C4B0C">
        <w:t xml:space="preserve">. The primary endpoint, </w:t>
      </w:r>
      <w:r w:rsidR="00D55AF9">
        <w:t>i</w:t>
      </w:r>
      <w:r w:rsidRPr="003C4B0C">
        <w:t>nvestigator</w:t>
      </w:r>
      <w:r w:rsidR="00D55AF9">
        <w:t xml:space="preserve"> </w:t>
      </w:r>
      <w:r w:rsidRPr="003C4B0C">
        <w:t>determined objective response rate per RECIST v1.1 was 75.0% (95% CI: 42.8, 94.5). The key secondary endpoint, median duration of response was 7.1 months (95% CI: 4.2, 15.3).</w:t>
      </w:r>
    </w:p>
    <w:p w14:paraId="54C84B0B" w14:textId="4B239A1E" w:rsidR="006C137C" w:rsidRPr="003C4B0C" w:rsidRDefault="006D2B85" w:rsidP="003C4B0C">
      <w:r w:rsidRPr="003C4B0C">
        <w:t>Given the low patient numbers</w:t>
      </w:r>
      <w:r w:rsidR="00D55AF9">
        <w:t>,</w:t>
      </w:r>
      <w:r w:rsidRPr="003C4B0C">
        <w:t xml:space="preserve"> it is not considered that these data materially alter the efficacy assessment derived from JUPITER</w:t>
      </w:r>
      <w:r w:rsidR="00D55AF9">
        <w:noBreakHyphen/>
      </w:r>
      <w:r w:rsidRPr="003C4B0C">
        <w:t>02.</w:t>
      </w:r>
    </w:p>
    <w:p w14:paraId="7B1A3E4B" w14:textId="194D062D" w:rsidR="006C137C" w:rsidRDefault="008736F9" w:rsidP="006C137C">
      <w:pPr>
        <w:pStyle w:val="Heading5"/>
      </w:pPr>
      <w:r w:rsidRPr="008736F9">
        <w:t>POLARIS-02/</w:t>
      </w:r>
      <w:r w:rsidR="006A1C7D">
        <w:t>C</w:t>
      </w:r>
      <w:r w:rsidRPr="008736F9">
        <w:t>ohort 3</w:t>
      </w:r>
    </w:p>
    <w:p w14:paraId="7E5AB45C" w14:textId="1AEB5328" w:rsidR="006D2B85" w:rsidRPr="00D55AF9" w:rsidRDefault="006D2B85" w:rsidP="00D55AF9">
      <w:r w:rsidRPr="00D55AF9">
        <w:t xml:space="preserve">The primary evidence to support the clinical efficacy of </w:t>
      </w:r>
      <w:proofErr w:type="spellStart"/>
      <w:r w:rsidRPr="00D55AF9">
        <w:t>toripalimab</w:t>
      </w:r>
      <w:proofErr w:type="spellEnd"/>
      <w:r w:rsidRPr="00D55AF9">
        <w:t xml:space="preserve"> in patients with recurrent or metastatic NPC following platinum-based therapy is from 172 patients in Cohort 3 of POLARIS</w:t>
      </w:r>
      <w:r w:rsidR="004E6D7D">
        <w:noBreakHyphen/>
      </w:r>
      <w:r w:rsidRPr="00D55AF9">
        <w:t xml:space="preserve">02 who received </w:t>
      </w:r>
      <w:proofErr w:type="spellStart"/>
      <w:r w:rsidRPr="00D55AF9">
        <w:t>toripalimab</w:t>
      </w:r>
      <w:proofErr w:type="spellEnd"/>
      <w:r w:rsidRPr="00D55AF9">
        <w:t xml:space="preserve"> monotherapy. </w:t>
      </w:r>
      <w:r w:rsidR="004E6D7D">
        <w:t>This s</w:t>
      </w:r>
      <w:r w:rsidRPr="00D55AF9">
        <w:t>tudy was conducted in China.</w:t>
      </w:r>
    </w:p>
    <w:p w14:paraId="78C6169E" w14:textId="6AE66D95" w:rsidR="006D2B85" w:rsidRPr="00D55AF9" w:rsidRDefault="006D2B85" w:rsidP="00D55AF9">
      <w:r w:rsidRPr="00D55AF9">
        <w:t>Key inclusion criteria</w:t>
      </w:r>
      <w:r w:rsidR="004E6D7D">
        <w:t xml:space="preserve"> included </w:t>
      </w:r>
      <w:r w:rsidRPr="00D55AF9">
        <w:t>adult patients (18</w:t>
      </w:r>
      <w:r w:rsidR="004E6D7D">
        <w:t xml:space="preserve"> to </w:t>
      </w:r>
      <w:r w:rsidRPr="00D55AF9">
        <w:t>75 years) with recurrent NPC or metastatic NPC, who have previously received at least one prior line of treatment (including, but not limited to, chemotherapy or radio-chemotherapy) for advanced NPC with disease progression or who were intolerant to existing treatment regimens</w:t>
      </w:r>
      <w:r w:rsidR="006E038B">
        <w:t>. U</w:t>
      </w:r>
      <w:r w:rsidRPr="00D55AF9">
        <w:t>nder version 5.0 of the protocol, eligibility for the NPC cohort was limited to patients who received at least two prior lines of treatment (including, but not limited to, chemotherapy or chemoradiotherapy) for advanced NPC with disease progression or who were intolerant existing treatment regimens.</w:t>
      </w:r>
    </w:p>
    <w:p w14:paraId="7FA70600" w14:textId="34370064" w:rsidR="008736F9" w:rsidRPr="00D55AF9" w:rsidRDefault="006D2B85" w:rsidP="00D55AF9">
      <w:r w:rsidRPr="00D55AF9">
        <w:t xml:space="preserve">Treatment with </w:t>
      </w:r>
      <w:proofErr w:type="spellStart"/>
      <w:r w:rsidRPr="00D55AF9">
        <w:t>toripalimab</w:t>
      </w:r>
      <w:proofErr w:type="spellEnd"/>
      <w:r w:rsidRPr="00D55AF9">
        <w:t xml:space="preserve"> was at 3</w:t>
      </w:r>
      <w:r w:rsidR="006E038B">
        <w:t> </w:t>
      </w:r>
      <w:r w:rsidRPr="00D55AF9">
        <w:t xml:space="preserve">mg/kg IV </w:t>
      </w:r>
      <w:r w:rsidR="006E038B">
        <w:t>once every 2 weeks</w:t>
      </w:r>
      <w:r w:rsidRPr="00D55AF9">
        <w:t>. In 172 patients who had received prior platinum</w:t>
      </w:r>
      <w:r w:rsidR="006E038B">
        <w:t>-</w:t>
      </w:r>
      <w:r w:rsidRPr="00D55AF9">
        <w:t>based therapy, the IR</w:t>
      </w:r>
      <w:r w:rsidR="006E038B">
        <w:t xml:space="preserve">C </w:t>
      </w:r>
      <w:r w:rsidRPr="00D55AF9">
        <w:t>determined response rate was 20.9% (95% CI: 15.1, 27.8) and the IRC</w:t>
      </w:r>
      <w:r w:rsidR="006E038B">
        <w:t xml:space="preserve"> </w:t>
      </w:r>
      <w:r w:rsidRPr="00D55AF9">
        <w:t xml:space="preserve">determined median </w:t>
      </w:r>
      <w:proofErr w:type="spellStart"/>
      <w:r w:rsidR="004115F8">
        <w:t>DoR</w:t>
      </w:r>
      <w:proofErr w:type="spellEnd"/>
      <w:r w:rsidRPr="00D55AF9">
        <w:t xml:space="preserve"> was 14.9 months (95% CI: 10.3, </w:t>
      </w:r>
      <w:r w:rsidR="00495824">
        <w:t>not estimable (</w:t>
      </w:r>
      <w:r w:rsidRPr="00B660B1">
        <w:t>NE</w:t>
      </w:r>
      <w:r w:rsidR="00495824" w:rsidRPr="00B660B1">
        <w:t>)</w:t>
      </w:r>
      <w:r w:rsidRPr="00B660B1">
        <w:t>)</w:t>
      </w:r>
    </w:p>
    <w:p w14:paraId="060ED38E" w14:textId="49C11260" w:rsidR="006D2B85" w:rsidRDefault="006D2B85" w:rsidP="006A1C7D">
      <w:pPr>
        <w:pStyle w:val="TableTitle"/>
      </w:pPr>
      <w:r>
        <w:lastRenderedPageBreak/>
        <w:t xml:space="preserve">Table </w:t>
      </w:r>
      <w:fldSimple w:instr=" SEQ Table \* ARABIC ">
        <w:r w:rsidR="00D82028">
          <w:rPr>
            <w:noProof/>
          </w:rPr>
          <w:t>6</w:t>
        </w:r>
      </w:fldSimple>
      <w:r>
        <w:t xml:space="preserve">: </w:t>
      </w:r>
      <w:r w:rsidR="001D2E83">
        <w:t>POLARIS</w:t>
      </w:r>
      <w:r w:rsidR="001D2E83">
        <w:noBreakHyphen/>
        <w:t xml:space="preserve">02/Cohort 3 independent review committee determined </w:t>
      </w:r>
      <w:r w:rsidR="006A1C7D">
        <w:t>objective response rate and duration of response</w:t>
      </w:r>
    </w:p>
    <w:p w14:paraId="76594C0A" w14:textId="68DFAA3A" w:rsidR="006A1C7D" w:rsidRDefault="005539BE" w:rsidP="00CA7F43">
      <w:r w:rsidRPr="005539BE">
        <w:rPr>
          <w:noProof/>
        </w:rPr>
        <w:drawing>
          <wp:inline distT="0" distB="0" distL="0" distR="0" wp14:anchorId="67925D04" wp14:editId="10672465">
            <wp:extent cx="5419931" cy="1838325"/>
            <wp:effectExtent l="0" t="0" r="9525" b="0"/>
            <wp:docPr id="989772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772355" name=""/>
                    <pic:cNvPicPr/>
                  </pic:nvPicPr>
                  <pic:blipFill rotWithShape="1">
                    <a:blip r:embed="rId30"/>
                    <a:srcRect l="662"/>
                    <a:stretch>
                      <a:fillRect/>
                    </a:stretch>
                  </pic:blipFill>
                  <pic:spPr bwMode="auto">
                    <a:xfrm>
                      <a:off x="0" y="0"/>
                      <a:ext cx="5421611" cy="1838895"/>
                    </a:xfrm>
                    <a:prstGeom prst="rect">
                      <a:avLst/>
                    </a:prstGeom>
                    <a:ln>
                      <a:noFill/>
                    </a:ln>
                    <a:extLst>
                      <a:ext uri="{53640926-AAD7-44D8-BBD7-CCE9431645EC}">
                        <a14:shadowObscured xmlns:a14="http://schemas.microsoft.com/office/drawing/2010/main"/>
                      </a:ext>
                    </a:extLst>
                  </pic:spPr>
                </pic:pic>
              </a:graphicData>
            </a:graphic>
          </wp:inline>
        </w:drawing>
      </w:r>
    </w:p>
    <w:p w14:paraId="6BF7B97E" w14:textId="09EE4F49" w:rsidR="005539BE" w:rsidRDefault="008A72C6" w:rsidP="008A72C6">
      <w:pPr>
        <w:pStyle w:val="TableDescription"/>
      </w:pPr>
      <w:r>
        <w:t xml:space="preserve">Abbreviations: </w:t>
      </w:r>
      <w:r w:rsidRPr="008A72C6">
        <w:t>CI</w:t>
      </w:r>
      <w:r>
        <w:t> </w:t>
      </w:r>
      <w:r w:rsidRPr="008A72C6">
        <w:t>=</w:t>
      </w:r>
      <w:r>
        <w:t> </w:t>
      </w:r>
      <w:r w:rsidRPr="008A72C6">
        <w:t>confidence interval</w:t>
      </w:r>
      <w:r>
        <w:t>,</w:t>
      </w:r>
      <w:r w:rsidRPr="008A72C6">
        <w:t xml:space="preserve"> </w:t>
      </w:r>
      <w:proofErr w:type="spellStart"/>
      <w:r w:rsidRPr="008A72C6">
        <w:t>DoR</w:t>
      </w:r>
      <w:proofErr w:type="spellEnd"/>
      <w:r>
        <w:t> </w:t>
      </w:r>
      <w:r w:rsidRPr="008A72C6">
        <w:t>=</w:t>
      </w:r>
      <w:r>
        <w:t> </w:t>
      </w:r>
      <w:r w:rsidRPr="008A72C6">
        <w:t>duration of response</w:t>
      </w:r>
      <w:r>
        <w:t>,</w:t>
      </w:r>
      <w:r w:rsidRPr="008A72C6">
        <w:t xml:space="preserve"> IRC</w:t>
      </w:r>
      <w:r>
        <w:t> </w:t>
      </w:r>
      <w:r w:rsidRPr="008A72C6">
        <w:t>=</w:t>
      </w:r>
      <w:r>
        <w:t> </w:t>
      </w:r>
      <w:r w:rsidRPr="008A72C6">
        <w:t>independent review committee</w:t>
      </w:r>
      <w:r>
        <w:t>,</w:t>
      </w:r>
      <w:r w:rsidRPr="008A72C6">
        <w:t xml:space="preserve"> NE</w:t>
      </w:r>
      <w:r>
        <w:t> </w:t>
      </w:r>
      <w:r w:rsidRPr="008A72C6">
        <w:t>=</w:t>
      </w:r>
      <w:r>
        <w:t> </w:t>
      </w:r>
      <w:r w:rsidRPr="008A72C6">
        <w:t>not estimable</w:t>
      </w:r>
      <w:r>
        <w:t>.</w:t>
      </w:r>
    </w:p>
    <w:p w14:paraId="5D15189A" w14:textId="015371A2" w:rsidR="008736F9" w:rsidRDefault="00885256" w:rsidP="008736F9">
      <w:pPr>
        <w:pStyle w:val="Heading5"/>
      </w:pPr>
      <w:r>
        <w:t>E</w:t>
      </w:r>
      <w:r w:rsidR="008736F9" w:rsidRPr="008736F9">
        <w:t>fficacy</w:t>
      </w:r>
      <w:r w:rsidRPr="00885256">
        <w:t xml:space="preserve"> </w:t>
      </w:r>
      <w:r w:rsidRPr="008736F9">
        <w:t>conclusion</w:t>
      </w:r>
      <w:r w:rsidR="007611E7">
        <w:t>s</w:t>
      </w:r>
    </w:p>
    <w:p w14:paraId="6160AF2C" w14:textId="77777777" w:rsidR="00E51423" w:rsidRPr="00910D85" w:rsidRDefault="00E51423" w:rsidP="005F2426">
      <w:pPr>
        <w:pStyle w:val="ListBullet"/>
      </w:pPr>
      <w:r w:rsidRPr="00910D85">
        <w:t>The incidence of NPC is substantially higher in Southeast Asia relative to Australia.</w:t>
      </w:r>
    </w:p>
    <w:p w14:paraId="552D0D71" w14:textId="7E5FD7E3" w:rsidR="00E51423" w:rsidRPr="00910D85" w:rsidRDefault="00E51423" w:rsidP="005F2426">
      <w:pPr>
        <w:pStyle w:val="ListBullet"/>
      </w:pPr>
      <w:r w:rsidRPr="00910D85">
        <w:t xml:space="preserve">Although the epidemiologic data is not strong, the pattern of disease is expected to be </w:t>
      </w:r>
      <w:proofErr w:type="gramStart"/>
      <w:r w:rsidRPr="00910D85">
        <w:t>similar to</w:t>
      </w:r>
      <w:proofErr w:type="gramEnd"/>
      <w:r w:rsidRPr="00910D85">
        <w:t xml:space="preserve"> the US where a higher proportion of NPC patients develop the keratini</w:t>
      </w:r>
      <w:r w:rsidR="00910D85">
        <w:t>s</w:t>
      </w:r>
      <w:r w:rsidRPr="00910D85">
        <w:t xml:space="preserve">ing squamous subtype compared with China, where </w:t>
      </w:r>
      <w:proofErr w:type="gramStart"/>
      <w:r w:rsidRPr="00910D85">
        <w:t>the vast majority of</w:t>
      </w:r>
      <w:proofErr w:type="gramEnd"/>
      <w:r w:rsidRPr="00910D85">
        <w:t xml:space="preserve"> patients develop the non</w:t>
      </w:r>
      <w:r w:rsidR="000F4881">
        <w:noBreakHyphen/>
      </w:r>
      <w:r w:rsidRPr="00910D85">
        <w:t>keratini</w:t>
      </w:r>
      <w:r w:rsidR="00910D85">
        <w:t>s</w:t>
      </w:r>
      <w:r w:rsidRPr="00910D85">
        <w:t>ing undifferentiated subtype.</w:t>
      </w:r>
    </w:p>
    <w:p w14:paraId="3C6980EB" w14:textId="4D98D7EA" w:rsidR="00E51423" w:rsidRDefault="00E51423" w:rsidP="005F2426">
      <w:pPr>
        <w:pStyle w:val="ListBullet"/>
      </w:pPr>
      <w:r>
        <w:t>The prognosis of metastatic NPC remains poor, characteri</w:t>
      </w:r>
      <w:r w:rsidR="00910D85">
        <w:t>s</w:t>
      </w:r>
      <w:r>
        <w:t xml:space="preserve">ed by a median </w:t>
      </w:r>
      <w:r w:rsidR="000F4881">
        <w:t xml:space="preserve">OS </w:t>
      </w:r>
      <w:r>
        <w:t xml:space="preserve">of 21 to </w:t>
      </w:r>
      <w:r w:rsidRPr="000F4881">
        <w:t>29</w:t>
      </w:r>
      <w:r w:rsidR="000F4881">
        <w:t> </w:t>
      </w:r>
      <w:r w:rsidRPr="000F4881">
        <w:t>months</w:t>
      </w:r>
      <w:r>
        <w:t>.</w:t>
      </w:r>
    </w:p>
    <w:p w14:paraId="36837B2F" w14:textId="7E0EA3E0" w:rsidR="00E51423" w:rsidRDefault="00E51423" w:rsidP="005F2426">
      <w:pPr>
        <w:pStyle w:val="ListBullet"/>
      </w:pPr>
      <w:r>
        <w:t>There are no TGA approved therapies specifically for NPC.</w:t>
      </w:r>
    </w:p>
    <w:p w14:paraId="6D197C4F" w14:textId="6255C226" w:rsidR="00E51423" w:rsidRDefault="00E51423" w:rsidP="00C91121">
      <w:pPr>
        <w:pStyle w:val="ListBullet"/>
      </w:pPr>
      <w:r>
        <w:t>Standard of care therapy consists of first</w:t>
      </w:r>
      <w:r w:rsidR="005F2426">
        <w:t xml:space="preserve"> </w:t>
      </w:r>
      <w:r>
        <w:t>line chemotherapy with cisplatin plus gemcitabine. Usual treatment in second</w:t>
      </w:r>
      <w:r w:rsidR="005F2426">
        <w:t xml:space="preserve"> </w:t>
      </w:r>
      <w:r>
        <w:t>line and beyond is with single agent regimens; however, the clinical data supporting use are predominantly from small, single arm trials. Metastatic NPC represents a life-threatening disease with an unmet medical need.</w:t>
      </w:r>
    </w:p>
    <w:p w14:paraId="05C2D26C" w14:textId="4273F9F1" w:rsidR="00E51423" w:rsidRDefault="00E51423" w:rsidP="00C91121">
      <w:pPr>
        <w:pStyle w:val="ListBullet"/>
      </w:pPr>
      <w:r>
        <w:t xml:space="preserve">The design, methodology and sample size of the pivotal trials included in this submission are considered adequate to assess efficacy of </w:t>
      </w:r>
      <w:proofErr w:type="spellStart"/>
      <w:r>
        <w:t>toripalimab</w:t>
      </w:r>
      <w:proofErr w:type="spellEnd"/>
      <w:r>
        <w:t>.</w:t>
      </w:r>
    </w:p>
    <w:p w14:paraId="1E0F261E" w14:textId="4CC2846A" w:rsidR="00E51423" w:rsidRDefault="00E51423" w:rsidP="00C91121">
      <w:pPr>
        <w:pStyle w:val="ListBullet"/>
      </w:pPr>
      <w:r>
        <w:t>The primary endpoint of PFS is a recognised regulatory endpoint and is supported by overall survival and ORR data.</w:t>
      </w:r>
    </w:p>
    <w:p w14:paraId="46361F2B" w14:textId="3ECC00A3" w:rsidR="00E51423" w:rsidRDefault="00E51423" w:rsidP="00A40C3C">
      <w:pPr>
        <w:pStyle w:val="ListBullet"/>
      </w:pPr>
      <w:r>
        <w:t xml:space="preserve">The </w:t>
      </w:r>
      <w:r w:rsidR="004754DC">
        <w:t>13.2-month</w:t>
      </w:r>
      <w:r>
        <w:t xml:space="preserve"> improvement in median PFS demonstrated in JUPITER-02 is considered clinically meaningful in this disease setting. These results, supported by a statistically significant improvement in ORR, along with a longer median </w:t>
      </w:r>
      <w:proofErr w:type="spellStart"/>
      <w:r>
        <w:t>DoR</w:t>
      </w:r>
      <w:proofErr w:type="spellEnd"/>
      <w:r>
        <w:t xml:space="preserve"> in the </w:t>
      </w:r>
      <w:proofErr w:type="spellStart"/>
      <w:r>
        <w:t>toripalimab</w:t>
      </w:r>
      <w:proofErr w:type="spellEnd"/>
      <w:r>
        <w:t xml:space="preserve"> plus chemotherapy arm v</w:t>
      </w:r>
      <w:r w:rsidR="00A40C3C">
        <w:t>ersus</w:t>
      </w:r>
      <w:r>
        <w:t xml:space="preserve"> the placebo plus chemotherapy arm provide substantial evidence of effectiveness for </w:t>
      </w:r>
      <w:proofErr w:type="spellStart"/>
      <w:r>
        <w:t>toripalimab</w:t>
      </w:r>
      <w:proofErr w:type="spellEnd"/>
      <w:r>
        <w:t>, in combination with cisplatin and gemcitabine, for the first</w:t>
      </w:r>
      <w:r w:rsidR="00A40C3C">
        <w:t xml:space="preserve"> </w:t>
      </w:r>
      <w:r>
        <w:t>line treatment of adults with metastatic or with recurrent, locally advanced</w:t>
      </w:r>
      <w:r w:rsidR="007A4162">
        <w:t xml:space="preserve"> </w:t>
      </w:r>
      <w:r>
        <w:t>NPC.</w:t>
      </w:r>
    </w:p>
    <w:p w14:paraId="25569F65" w14:textId="473DB710" w:rsidR="00E51423" w:rsidRDefault="00E51423" w:rsidP="008405DC">
      <w:pPr>
        <w:pStyle w:val="ListBullet"/>
      </w:pPr>
      <w:r>
        <w:t xml:space="preserve">The final analysis of OS, based on </w:t>
      </w:r>
      <w:r w:rsidR="002448B2">
        <w:t>data cut-off 18 </w:t>
      </w:r>
      <w:r>
        <w:t xml:space="preserve">November 2022 demonstrated a clinically meaningful and statistically significant improvement in OS with the addition of </w:t>
      </w:r>
      <w:proofErr w:type="spellStart"/>
      <w:r>
        <w:t>toripalimab</w:t>
      </w:r>
      <w:proofErr w:type="spellEnd"/>
      <w:r>
        <w:t xml:space="preserve">. The median OS was not estimable in the </w:t>
      </w:r>
      <w:proofErr w:type="spellStart"/>
      <w:r>
        <w:t>toripalimab</w:t>
      </w:r>
      <w:proofErr w:type="spellEnd"/>
      <w:r>
        <w:t xml:space="preserve"> arm (lower bound of the 95% CI, 38.7 months) and 33.7 months in the placebo arm with a HR of 0.63, p</w:t>
      </w:r>
      <w:r w:rsidR="005B1888">
        <w:t> </w:t>
      </w:r>
      <w:r>
        <w:t>=</w:t>
      </w:r>
      <w:r w:rsidR="005B1888">
        <w:t> </w:t>
      </w:r>
      <w:r>
        <w:t>0.0083.</w:t>
      </w:r>
    </w:p>
    <w:p w14:paraId="072DB951" w14:textId="4FC37238" w:rsidR="00E51423" w:rsidRDefault="00E51423" w:rsidP="005B1888">
      <w:pPr>
        <w:pStyle w:val="ListBullet"/>
      </w:pPr>
      <w:r>
        <w:t>POLARIS-02</w:t>
      </w:r>
      <w:r w:rsidR="0095145E">
        <w:t>/Cohort 3</w:t>
      </w:r>
      <w:r>
        <w:t>, a multicohort trial, included 190 patients with previously treated recurrent unresectable or metastatic NPC, including 172 patients with disease progression on or after platinum</w:t>
      </w:r>
      <w:r w:rsidR="00CD3958">
        <w:t>-</w:t>
      </w:r>
      <w:r>
        <w:t>based chemotherapy (</w:t>
      </w:r>
      <w:r w:rsidR="00CD3958">
        <w:t xml:space="preserve">platinum treated analysis </w:t>
      </w:r>
      <w:r>
        <w:t>set</w:t>
      </w:r>
      <w:r w:rsidR="00CD3958">
        <w:t xml:space="preserve"> (</w:t>
      </w:r>
      <w:r w:rsidR="00CD3958" w:rsidRPr="00C47599">
        <w:t>PTAS)</w:t>
      </w:r>
      <w:r w:rsidRPr="00C47599">
        <w:t>,</w:t>
      </w:r>
      <w:r>
        <w:t xml:space="preserve"> efficacy population), who received </w:t>
      </w:r>
      <w:proofErr w:type="spellStart"/>
      <w:r>
        <w:t>toripalimab</w:t>
      </w:r>
      <w:proofErr w:type="spellEnd"/>
      <w:r>
        <w:t xml:space="preserve"> 3</w:t>
      </w:r>
      <w:r w:rsidR="00CD3958">
        <w:t> </w:t>
      </w:r>
      <w:r>
        <w:t xml:space="preserve">mg/kg </w:t>
      </w:r>
      <w:r w:rsidR="00CD3958">
        <w:t xml:space="preserve">once every 2 weeks </w:t>
      </w:r>
      <w:r>
        <w:t>as a single agent.</w:t>
      </w:r>
    </w:p>
    <w:p w14:paraId="79357EAF" w14:textId="75773CBF" w:rsidR="00E51423" w:rsidRDefault="00E51423" w:rsidP="00CD3958">
      <w:pPr>
        <w:pStyle w:val="ListBullet"/>
      </w:pPr>
      <w:r>
        <w:lastRenderedPageBreak/>
        <w:t>In the PTAS set of POLARIS-02</w:t>
      </w:r>
      <w:r w:rsidR="00C47599">
        <w:t>/Cohort 3</w:t>
      </w:r>
      <w:r>
        <w:t>, the ICR</w:t>
      </w:r>
      <w:r w:rsidR="00CD3958">
        <w:t xml:space="preserve"> </w:t>
      </w:r>
      <w:r>
        <w:t xml:space="preserve">assessed ORR was 21% (95% CI: 15, 28), with a median </w:t>
      </w:r>
      <w:proofErr w:type="spellStart"/>
      <w:r>
        <w:t>D</w:t>
      </w:r>
      <w:r w:rsidR="00896B19">
        <w:t>o</w:t>
      </w:r>
      <w:r>
        <w:t>R</w:t>
      </w:r>
      <w:proofErr w:type="spellEnd"/>
      <w:r>
        <w:t xml:space="preserve"> of 14.9 months (95% CI: 10.3, NE). Among the 36 patients with an objective response, 83% had </w:t>
      </w:r>
      <w:proofErr w:type="spellStart"/>
      <w:r>
        <w:t>DoR</w:t>
      </w:r>
      <w:proofErr w:type="spellEnd"/>
      <w:r>
        <w:t xml:space="preserve"> of ≥</w:t>
      </w:r>
      <w:r w:rsidR="00896B19">
        <w:t> </w:t>
      </w:r>
      <w:r>
        <w:t xml:space="preserve">6 months and 39% had </w:t>
      </w:r>
      <w:proofErr w:type="spellStart"/>
      <w:r>
        <w:t>DoR</w:t>
      </w:r>
      <w:proofErr w:type="spellEnd"/>
      <w:r>
        <w:t xml:space="preserve"> of</w:t>
      </w:r>
      <w:r w:rsidR="00896B19">
        <w:t xml:space="preserve"> </w:t>
      </w:r>
      <w:r>
        <w:t>≥</w:t>
      </w:r>
      <w:r w:rsidR="00896B19">
        <w:t> </w:t>
      </w:r>
      <w:r>
        <w:t>12 months.</w:t>
      </w:r>
    </w:p>
    <w:p w14:paraId="5D3C4D5D" w14:textId="77777777" w:rsidR="00910D85" w:rsidRDefault="00910D85" w:rsidP="00896B19">
      <w:pPr>
        <w:pStyle w:val="ListBullet"/>
      </w:pPr>
      <w:r>
        <w:t>This result is considered clinically meaningful given the unmet need in the intended population.</w:t>
      </w:r>
    </w:p>
    <w:p w14:paraId="6D70D20F" w14:textId="4E4485E4" w:rsidR="00910D85" w:rsidRDefault="00910D85" w:rsidP="00896B19">
      <w:pPr>
        <w:pStyle w:val="ListBullet"/>
      </w:pPr>
      <w:r>
        <w:t>A limitation of the data is that the two primary trials supporting thi</w:t>
      </w:r>
      <w:r w:rsidR="00FD29B5">
        <w:t xml:space="preserve">s </w:t>
      </w:r>
      <w:r>
        <w:t>application were conducted exclusively in Asia. JUPITER-02 had clinical sites only in China, Taiwan and Singapore, while POLARIS-02 was conducted exclusively in China, and all patients enrolled in both studies were Asian patients.</w:t>
      </w:r>
    </w:p>
    <w:p w14:paraId="4AD02466" w14:textId="2FCAAB18" w:rsidR="00E51423" w:rsidRDefault="00910D85" w:rsidP="005E2DED">
      <w:pPr>
        <w:pStyle w:val="ListBullet"/>
      </w:pPr>
      <w:r>
        <w:t>Therefore, the patient population in the trials are not reflective of the racial and ethnic diversity of patients with NPC in Australia.</w:t>
      </w:r>
    </w:p>
    <w:p w14:paraId="4A89182F" w14:textId="45437CD9" w:rsidR="005E2DED" w:rsidRDefault="00CE1304" w:rsidP="00CE1304">
      <w:pPr>
        <w:pStyle w:val="Heading4"/>
      </w:pPr>
      <w:bookmarkStart w:id="53" w:name="_Toc233974551"/>
      <w:r>
        <w:t>Safety</w:t>
      </w:r>
      <w:bookmarkEnd w:id="53"/>
    </w:p>
    <w:p w14:paraId="0F51288C" w14:textId="703E277F" w:rsidR="00AE250F" w:rsidRPr="00AE250F" w:rsidRDefault="00AE250F" w:rsidP="00AE250F">
      <w:r w:rsidRPr="00AE250F">
        <w:t xml:space="preserve">The review of the safety profile of </w:t>
      </w:r>
      <w:proofErr w:type="spellStart"/>
      <w:r w:rsidRPr="00AE250F">
        <w:t>toripalimab</w:t>
      </w:r>
      <w:proofErr w:type="spellEnd"/>
      <w:r w:rsidRPr="00AE250F">
        <w:t xml:space="preserve"> 240</w:t>
      </w:r>
      <w:r w:rsidR="0066115D">
        <w:t> </w:t>
      </w:r>
      <w:r w:rsidRPr="00AE250F">
        <w:t xml:space="preserve">mg </w:t>
      </w:r>
      <w:r w:rsidR="0066115D">
        <w:t>once every 3 weeks</w:t>
      </w:r>
      <w:r w:rsidRPr="00AE250F">
        <w:t xml:space="preserve"> in combination with cisplatin and gemcitabine as first</w:t>
      </w:r>
      <w:r w:rsidR="0066115D">
        <w:t xml:space="preserve"> </w:t>
      </w:r>
      <w:r w:rsidRPr="00AE250F">
        <w:t xml:space="preserve">line treatment for locally recurrent or metastatic NPC was based on data from 146 patients treated with </w:t>
      </w:r>
      <w:proofErr w:type="spellStart"/>
      <w:r w:rsidRPr="00AE250F">
        <w:t>toripalimab</w:t>
      </w:r>
      <w:proofErr w:type="spellEnd"/>
      <w:r w:rsidRPr="00AE250F">
        <w:t xml:space="preserve"> 240</w:t>
      </w:r>
      <w:r w:rsidR="0066115D">
        <w:t> </w:t>
      </w:r>
      <w:r w:rsidRPr="00AE250F">
        <w:t xml:space="preserve">mg </w:t>
      </w:r>
      <w:r w:rsidR="0066115D">
        <w:t xml:space="preserve">once every 3 weeks </w:t>
      </w:r>
      <w:r w:rsidRPr="00AE250F">
        <w:t>in JUPITER</w:t>
      </w:r>
      <w:r w:rsidR="0066115D">
        <w:noBreakHyphen/>
      </w:r>
      <w:r w:rsidRPr="00AE250F">
        <w:t>02.</w:t>
      </w:r>
    </w:p>
    <w:p w14:paraId="02E99E92" w14:textId="0445E9E1" w:rsidR="00AF1830" w:rsidRPr="008F0D25" w:rsidRDefault="00AE250F" w:rsidP="008F0D25">
      <w:r w:rsidRPr="008F0D25">
        <w:t xml:space="preserve">The primary safety analysis populations for the review of the safety profile of </w:t>
      </w:r>
      <w:proofErr w:type="spellStart"/>
      <w:r w:rsidRPr="008F0D25">
        <w:t>toripalimab</w:t>
      </w:r>
      <w:proofErr w:type="spellEnd"/>
      <w:r w:rsidRPr="008F0D25">
        <w:t xml:space="preserve"> as a single agent were 190 patients with previously treated NPC in POLARIS</w:t>
      </w:r>
      <w:r w:rsidR="002527F9" w:rsidRPr="008F0D25">
        <w:noBreakHyphen/>
      </w:r>
      <w:r w:rsidRPr="008F0D25">
        <w:t>02</w:t>
      </w:r>
      <w:r w:rsidR="004441A1" w:rsidRPr="008F0D25">
        <w:t>/Cohort 3</w:t>
      </w:r>
      <w:r w:rsidRPr="008F0D25">
        <w:t xml:space="preserve"> who received </w:t>
      </w:r>
      <w:proofErr w:type="spellStart"/>
      <w:r w:rsidRPr="008F0D25">
        <w:t>toripalimab</w:t>
      </w:r>
      <w:proofErr w:type="spellEnd"/>
      <w:r w:rsidRPr="008F0D25">
        <w:t xml:space="preserve"> 3</w:t>
      </w:r>
      <w:r w:rsidR="002527F9" w:rsidRPr="008F0D25">
        <w:t> </w:t>
      </w:r>
      <w:r w:rsidRPr="008F0D25">
        <w:t xml:space="preserve">mg/kg and a pooled safety dataset of 851 patients with various advanced solid tumours who received </w:t>
      </w:r>
      <w:proofErr w:type="spellStart"/>
      <w:r w:rsidRPr="008F0D25">
        <w:t>toripalimab</w:t>
      </w:r>
      <w:proofErr w:type="spellEnd"/>
      <w:r w:rsidRPr="008F0D25">
        <w:t xml:space="preserve"> as a single agent at a dose of 3</w:t>
      </w:r>
      <w:r w:rsidR="002527F9" w:rsidRPr="008F0D25">
        <w:t> </w:t>
      </w:r>
      <w:r w:rsidRPr="008F0D25">
        <w:t xml:space="preserve">mg/kg </w:t>
      </w:r>
      <w:r w:rsidR="002527F9" w:rsidRPr="008F0D25">
        <w:t>once every 2</w:t>
      </w:r>
      <w:r w:rsidR="008F0D25" w:rsidRPr="008F0D25">
        <w:t> </w:t>
      </w:r>
      <w:r w:rsidR="002527F9" w:rsidRPr="008F0D25">
        <w:t>weeks</w:t>
      </w:r>
      <w:r w:rsidRPr="008F0D25">
        <w:t xml:space="preserve"> across multiple clinical trials (this represents a subset of the </w:t>
      </w:r>
      <w:r w:rsidR="002527F9" w:rsidRPr="008F0D25">
        <w:t>s</w:t>
      </w:r>
      <w:r w:rsidRPr="008F0D25">
        <w:t xml:space="preserve">ponsor’s originally submitted pooled dataset of 1066 patients because some of these patients received </w:t>
      </w:r>
      <w:proofErr w:type="spellStart"/>
      <w:r w:rsidRPr="008F0D25">
        <w:t>toripalimab</w:t>
      </w:r>
      <w:proofErr w:type="spellEnd"/>
      <w:r w:rsidRPr="008F0D25">
        <w:t xml:space="preserve"> at doses ranging from 0.3</w:t>
      </w:r>
      <w:r w:rsidR="002527F9" w:rsidRPr="008F0D25">
        <w:t> </w:t>
      </w:r>
      <w:r w:rsidRPr="008F0D25">
        <w:t xml:space="preserve">mg/kg </w:t>
      </w:r>
      <w:r w:rsidR="002527F9" w:rsidRPr="008F0D25">
        <w:t>once every 2 weeks</w:t>
      </w:r>
      <w:r w:rsidRPr="008F0D25">
        <w:t xml:space="preserve"> to 10</w:t>
      </w:r>
      <w:r w:rsidR="002527F9" w:rsidRPr="008F0D25">
        <w:t> </w:t>
      </w:r>
      <w:r w:rsidRPr="008F0D25">
        <w:t xml:space="preserve">mg/kg </w:t>
      </w:r>
      <w:r w:rsidR="002527F9" w:rsidRPr="008F0D25">
        <w:t>once every 2 weeks</w:t>
      </w:r>
      <w:r w:rsidRPr="008F0D25">
        <w:t xml:space="preserve"> and from 80</w:t>
      </w:r>
      <w:r w:rsidR="002527F9" w:rsidRPr="008F0D25">
        <w:t> </w:t>
      </w:r>
      <w:r w:rsidRPr="008F0D25">
        <w:t xml:space="preserve">mg </w:t>
      </w:r>
      <w:r w:rsidR="002527F9" w:rsidRPr="008F0D25">
        <w:t>once every 2 weeks</w:t>
      </w:r>
      <w:r w:rsidRPr="008F0D25">
        <w:t xml:space="preserve"> to 480</w:t>
      </w:r>
      <w:r w:rsidR="002527F9" w:rsidRPr="008F0D25">
        <w:t> </w:t>
      </w:r>
      <w:r w:rsidRPr="008F0D25">
        <w:t xml:space="preserve">mg </w:t>
      </w:r>
      <w:r w:rsidR="002527F9" w:rsidRPr="008F0D25">
        <w:t>once every 2 weeks</w:t>
      </w:r>
      <w:r w:rsidRPr="008F0D25">
        <w:t>).</w:t>
      </w:r>
    </w:p>
    <w:p w14:paraId="213F7630" w14:textId="15B0A8E6" w:rsidR="003B7094" w:rsidRPr="003B7094" w:rsidRDefault="00E97743" w:rsidP="003B7094">
      <w:pPr>
        <w:pStyle w:val="Heading5"/>
      </w:pPr>
      <w:r>
        <w:t>Adverse events</w:t>
      </w:r>
    </w:p>
    <w:p w14:paraId="53FF1742" w14:textId="5A0F1DCD" w:rsidR="00F50116" w:rsidRDefault="001E1050" w:rsidP="00AA541B">
      <w:r w:rsidRPr="00AA541B">
        <w:t xml:space="preserve">The most common adverse events </w:t>
      </w:r>
      <w:r w:rsidR="00065824" w:rsidRPr="00AA541B">
        <w:t xml:space="preserve">(all grades) </w:t>
      </w:r>
      <w:r w:rsidRPr="00AA541B">
        <w:t>in</w:t>
      </w:r>
      <w:r w:rsidR="003B7094" w:rsidRPr="00AA541B">
        <w:t xml:space="preserve"> JUPITER</w:t>
      </w:r>
      <w:r w:rsidR="003B7094" w:rsidRPr="00AA541B">
        <w:noBreakHyphen/>
        <w:t>02 for</w:t>
      </w:r>
      <w:r w:rsidRPr="00AA541B">
        <w:t xml:space="preserve"> the </w:t>
      </w:r>
      <w:proofErr w:type="spellStart"/>
      <w:r w:rsidR="00CD2556" w:rsidRPr="00AA541B">
        <w:t>t</w:t>
      </w:r>
      <w:r w:rsidR="004F6FDE" w:rsidRPr="00AA541B">
        <w:t>oripalimab</w:t>
      </w:r>
      <w:proofErr w:type="spellEnd"/>
      <w:r w:rsidR="004F6FDE" w:rsidRPr="00AA541B">
        <w:t xml:space="preserve"> and </w:t>
      </w:r>
      <w:r w:rsidR="00A739BA" w:rsidRPr="00AA541B">
        <w:t xml:space="preserve">gemcitabine/cisplatin </w:t>
      </w:r>
      <w:r w:rsidR="00AD0A31" w:rsidRPr="00AA541B">
        <w:t xml:space="preserve">arm were </w:t>
      </w:r>
      <w:r w:rsidR="00AD0A31" w:rsidRPr="00AA541B">
        <w:rPr>
          <w:lang w:val="en-GB"/>
        </w:rPr>
        <w:t xml:space="preserve">nausea (69.2%), vomiting (67.1%), decreased appetite (53.4%), constipation (39.0%), fatigue (35.6%), hypothyroidism (30.8%), pyrexia (30.8%), rash (27.4%), diarrhoea (30.1%), </w:t>
      </w:r>
      <w:r w:rsidR="00AD0A31" w:rsidRPr="00AA541B">
        <w:t xml:space="preserve">and </w:t>
      </w:r>
      <w:r w:rsidR="00AD0A31" w:rsidRPr="00AA541B">
        <w:rPr>
          <w:lang w:val="en-GB"/>
        </w:rPr>
        <w:t>peripheral neuropathy (30%)</w:t>
      </w:r>
      <w:r w:rsidR="00AD0A31" w:rsidRPr="00AA541B">
        <w:t xml:space="preserve">. In the placebo </w:t>
      </w:r>
      <w:r w:rsidR="000B29E7" w:rsidRPr="00AA541B">
        <w:t xml:space="preserve">and gemcitabine/cisplatin </w:t>
      </w:r>
      <w:r w:rsidR="00AD0A31" w:rsidRPr="00AA541B">
        <w:t xml:space="preserve">arm the most common adverse events were </w:t>
      </w:r>
      <w:r w:rsidR="00CD2556" w:rsidRPr="00AA541B">
        <w:rPr>
          <w:lang w:val="en-GB"/>
        </w:rPr>
        <w:t xml:space="preserve">nausea (83.2%), vomiting (65.7%), decreased </w:t>
      </w:r>
      <w:r w:rsidR="00CD2556" w:rsidRPr="00AB466D">
        <w:rPr>
          <w:lang w:val="en-GB"/>
        </w:rPr>
        <w:t xml:space="preserve">appetite (58.7%), constipation (44.8%), fatigue (35.7%), </w:t>
      </w:r>
      <w:r w:rsidR="00CD2556" w:rsidRPr="00AB466D">
        <w:t xml:space="preserve">and </w:t>
      </w:r>
      <w:r w:rsidR="00CD2556" w:rsidRPr="00AB466D">
        <w:rPr>
          <w:lang w:val="en-GB"/>
        </w:rPr>
        <w:t>peripheral neuropathy (28.7%)</w:t>
      </w:r>
      <w:r w:rsidR="00065824" w:rsidRPr="00AB466D">
        <w:t xml:space="preserve"> (</w:t>
      </w:r>
      <w:r w:rsidR="00AB466D">
        <w:fldChar w:fldCharType="begin"/>
      </w:r>
      <w:r w:rsidR="00AB466D">
        <w:instrText xml:space="preserve"> REF _Ref229671790 \h </w:instrText>
      </w:r>
      <w:r w:rsidR="00AB466D">
        <w:fldChar w:fldCharType="separate"/>
      </w:r>
      <w:r w:rsidR="00D82028">
        <w:t xml:space="preserve">Table </w:t>
      </w:r>
      <w:r w:rsidR="00D82028">
        <w:rPr>
          <w:noProof/>
        </w:rPr>
        <w:t>7</w:t>
      </w:r>
      <w:r w:rsidR="00AB466D">
        <w:fldChar w:fldCharType="end"/>
      </w:r>
      <w:r w:rsidR="00065824" w:rsidRPr="00AB466D">
        <w:t>)</w:t>
      </w:r>
      <w:r w:rsidR="00F50116">
        <w:t>.</w:t>
      </w:r>
    </w:p>
    <w:p w14:paraId="5900CCD4" w14:textId="6434ADDE" w:rsidR="00A739BA" w:rsidRPr="00AA541B" w:rsidRDefault="000B29E7" w:rsidP="00AA541B">
      <w:r w:rsidRPr="00AA541B">
        <w:t>In POLARIS-02</w:t>
      </w:r>
      <w:r w:rsidR="003D4FFA">
        <w:t>/Cohort 3</w:t>
      </w:r>
      <w:r w:rsidRPr="00AA541B">
        <w:t xml:space="preserve"> </w:t>
      </w:r>
      <w:r w:rsidR="00F81F79" w:rsidRPr="00AA541B">
        <w:rPr>
          <w:lang w:val="en-GB"/>
        </w:rPr>
        <w:t xml:space="preserve">the most common adverse events were hypothyroidism (25%), asthenia (22%), musculoskeletal pain (18%), cough (17%), </w:t>
      </w:r>
      <w:r w:rsidR="00F81F79" w:rsidRPr="00AA541B">
        <w:t xml:space="preserve">and </w:t>
      </w:r>
      <w:r w:rsidR="00F81F79" w:rsidRPr="00AA541B">
        <w:rPr>
          <w:lang w:val="en-GB"/>
        </w:rPr>
        <w:t>pyrexia (16%).</w:t>
      </w:r>
    </w:p>
    <w:p w14:paraId="29973B13" w14:textId="2CD40506" w:rsidR="00F50116" w:rsidRDefault="002B53A7" w:rsidP="00AA541B">
      <w:r w:rsidRPr="00AA541B">
        <w:t>The most common adverse events ≥ Grade 3 in JUPITER</w:t>
      </w:r>
      <w:r w:rsidRPr="00AA541B">
        <w:noBreakHyphen/>
        <w:t xml:space="preserve">02 for the </w:t>
      </w:r>
      <w:proofErr w:type="spellStart"/>
      <w:r w:rsidRPr="00AA541B">
        <w:t>toripalimab</w:t>
      </w:r>
      <w:proofErr w:type="spellEnd"/>
      <w:r w:rsidRPr="00AA541B">
        <w:t xml:space="preserve"> and gemcitabine/cisplatin arm</w:t>
      </w:r>
      <w:r w:rsidR="0052445F" w:rsidRPr="00AA541B">
        <w:t xml:space="preserve"> were pneumonia (10.3%), upper respiratory tract infection (3.4%), and rash (3.4%). </w:t>
      </w:r>
      <w:r w:rsidR="00AA541B" w:rsidRPr="00AA541B">
        <w:t xml:space="preserve">In the placebo and gemcitabine/cisplatin arm the most common adverse events ≥ Grade 3 were pneumonia (3.5%), and nausea (2.8%) </w:t>
      </w:r>
      <w:r w:rsidR="00AA541B" w:rsidRPr="00AB466D">
        <w:t>(</w:t>
      </w:r>
      <w:r w:rsidR="0031011F">
        <w:fldChar w:fldCharType="begin"/>
      </w:r>
      <w:r w:rsidR="0031011F">
        <w:instrText xml:space="preserve"> REF _Ref229671790 \h </w:instrText>
      </w:r>
      <w:r w:rsidR="0031011F">
        <w:fldChar w:fldCharType="separate"/>
      </w:r>
      <w:r w:rsidR="00D82028">
        <w:t xml:space="preserve">Table </w:t>
      </w:r>
      <w:r w:rsidR="00D82028">
        <w:rPr>
          <w:noProof/>
        </w:rPr>
        <w:t>7</w:t>
      </w:r>
      <w:r w:rsidR="0031011F">
        <w:fldChar w:fldCharType="end"/>
      </w:r>
      <w:r w:rsidR="00AA541B" w:rsidRPr="00AB466D">
        <w:t>)</w:t>
      </w:r>
      <w:r w:rsidR="00F50116">
        <w:t>.</w:t>
      </w:r>
    </w:p>
    <w:p w14:paraId="29C9FDE8" w14:textId="735C3DB0" w:rsidR="009873AB" w:rsidRPr="00AA541B" w:rsidRDefault="0070782C" w:rsidP="0070782C">
      <w:pPr>
        <w:pStyle w:val="TableTitle"/>
      </w:pPr>
      <w:bookmarkStart w:id="54" w:name="_Ref229671790"/>
      <w:r>
        <w:lastRenderedPageBreak/>
        <w:t xml:space="preserve">Table </w:t>
      </w:r>
      <w:fldSimple w:instr=" SEQ Table \* ARABIC ">
        <w:r w:rsidR="00D82028">
          <w:rPr>
            <w:noProof/>
          </w:rPr>
          <w:t>7</w:t>
        </w:r>
      </w:fldSimple>
      <w:bookmarkEnd w:id="54"/>
      <w:r>
        <w:t>: Treatment-emergent adverse events in greater than 10% of patients in JUPITER</w:t>
      </w:r>
      <w:r>
        <w:noBreakHyphen/>
        <w:t>02</w:t>
      </w:r>
    </w:p>
    <w:p w14:paraId="66A9559A" w14:textId="44C6478B" w:rsidR="00AA541B" w:rsidRDefault="009873AB" w:rsidP="00905E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 w:rsidRPr="009873AB">
        <w:rPr>
          <w:noProof/>
        </w:rPr>
        <w:drawing>
          <wp:inline distT="0" distB="0" distL="0" distR="0" wp14:anchorId="05B36928" wp14:editId="1CED388C">
            <wp:extent cx="4886960" cy="4601163"/>
            <wp:effectExtent l="0" t="0" r="8890" b="9525"/>
            <wp:docPr id="394568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68239" name=""/>
                    <pic:cNvPicPr/>
                  </pic:nvPicPr>
                  <pic:blipFill rotWithShape="1">
                    <a:blip r:embed="rId31"/>
                    <a:srcRect l="1536"/>
                    <a:stretch>
                      <a:fillRect/>
                    </a:stretch>
                  </pic:blipFill>
                  <pic:spPr bwMode="auto">
                    <a:xfrm>
                      <a:off x="0" y="0"/>
                      <a:ext cx="4887017" cy="4601217"/>
                    </a:xfrm>
                    <a:prstGeom prst="rect">
                      <a:avLst/>
                    </a:prstGeom>
                    <a:ln>
                      <a:noFill/>
                    </a:ln>
                    <a:extLst>
                      <a:ext uri="{53640926-AAD7-44D8-BBD7-CCE9431645EC}">
                        <a14:shadowObscured xmlns:a14="http://schemas.microsoft.com/office/drawing/2010/main"/>
                      </a:ext>
                    </a:extLst>
                  </pic:spPr>
                </pic:pic>
              </a:graphicData>
            </a:graphic>
          </wp:inline>
        </w:drawing>
      </w:r>
    </w:p>
    <w:p w14:paraId="22BA27DE" w14:textId="4C21E231" w:rsidR="000544FE" w:rsidRDefault="00AB466D" w:rsidP="00AB466D">
      <w:pPr>
        <w:pStyle w:val="TableDescription"/>
      </w:pPr>
      <w:r w:rsidRPr="00AB466D">
        <w:rPr>
          <w:vertAlign w:val="superscript"/>
        </w:rPr>
        <w:t>1</w:t>
      </w:r>
      <w:r w:rsidR="000544FE">
        <w:t xml:space="preserve"> </w:t>
      </w:r>
      <w:r w:rsidR="00D41530">
        <w:t>I</w:t>
      </w:r>
      <w:r w:rsidR="000544FE">
        <w:t>ncludes diarrhea, gastroenteritis</w:t>
      </w:r>
    </w:p>
    <w:p w14:paraId="393E53A4" w14:textId="77777777" w:rsidR="00D41530" w:rsidRDefault="00D41530" w:rsidP="00AB466D">
      <w:pPr>
        <w:pStyle w:val="TableDescription"/>
      </w:pPr>
      <w:r w:rsidRPr="00D41530">
        <w:rPr>
          <w:vertAlign w:val="superscript"/>
        </w:rPr>
        <w:t>2</w:t>
      </w:r>
      <w:r>
        <w:t xml:space="preserve"> </w:t>
      </w:r>
      <w:r w:rsidRPr="00D41530">
        <w:t>Includes acute sinusitis, bronchitis, laryngitis, nasopharyngitis, pharyngitis, rhinitis, sinusitis, and upper respiratory tract infection</w:t>
      </w:r>
    </w:p>
    <w:p w14:paraId="06043A2D" w14:textId="66F8D187" w:rsidR="00D41530" w:rsidRPr="00D41530" w:rsidRDefault="00D41530" w:rsidP="00AB466D">
      <w:pPr>
        <w:pStyle w:val="TableDescription"/>
      </w:pPr>
      <w:r w:rsidRPr="00D41530">
        <w:rPr>
          <w:vertAlign w:val="superscript"/>
        </w:rPr>
        <w:t>3</w:t>
      </w:r>
      <w:r>
        <w:t xml:space="preserve"> </w:t>
      </w:r>
      <w:r w:rsidRPr="00D41530">
        <w:t>Includes pneumonia and aspiration pneumonia</w:t>
      </w:r>
    </w:p>
    <w:p w14:paraId="3BCEAE80" w14:textId="728B209A" w:rsidR="000544FE" w:rsidRDefault="00D41530" w:rsidP="00AB466D">
      <w:pPr>
        <w:pStyle w:val="TableDescription"/>
      </w:pPr>
      <w:r w:rsidRPr="00AB466D">
        <w:rPr>
          <w:vertAlign w:val="superscript"/>
        </w:rPr>
        <w:t>4</w:t>
      </w:r>
      <w:r>
        <w:t xml:space="preserve"> </w:t>
      </w:r>
      <w:r w:rsidRPr="00D41530">
        <w:t>Includes drug eruption, erythema, maculopapular rash, papule, pruritic rash, and rash</w:t>
      </w:r>
    </w:p>
    <w:p w14:paraId="6AF81E7B" w14:textId="167C4AE9" w:rsidR="009873AB" w:rsidRDefault="0031011F" w:rsidP="0031011F">
      <w:pPr>
        <w:pStyle w:val="Heading5"/>
      </w:pPr>
      <w:r>
        <w:t>Deaths</w:t>
      </w:r>
    </w:p>
    <w:p w14:paraId="73FD4C7D" w14:textId="3A8EA651" w:rsidR="00E15CCC" w:rsidRDefault="00E15CCC" w:rsidP="00E15CCC">
      <w:r>
        <w:t>In JUPITER</w:t>
      </w:r>
      <w:r w:rsidR="000156C4">
        <w:noBreakHyphen/>
      </w:r>
      <w:r>
        <w:t xml:space="preserve">02, there was </w:t>
      </w:r>
      <w:r w:rsidR="000156C4">
        <w:t>one</w:t>
      </w:r>
      <w:r>
        <w:t xml:space="preserve"> death in the </w:t>
      </w:r>
      <w:proofErr w:type="spellStart"/>
      <w:r>
        <w:t>toripalimab</w:t>
      </w:r>
      <w:proofErr w:type="spellEnd"/>
      <w:r>
        <w:t xml:space="preserve"> arm and 2 deaths in the placebo arm within 30 days of the last dose. Adverse events accounted for 2 of the deaths (</w:t>
      </w:r>
      <w:r w:rsidR="000156C4">
        <w:t>one</w:t>
      </w:r>
      <w:r>
        <w:t xml:space="preserve"> in each arm) while </w:t>
      </w:r>
      <w:r w:rsidR="000156C4">
        <w:t>one</w:t>
      </w:r>
      <w:r>
        <w:t xml:space="preserve"> (placebo arm) was due to disease progression. In POLARIS</w:t>
      </w:r>
      <w:r w:rsidR="000156C4">
        <w:noBreakHyphen/>
      </w:r>
      <w:r>
        <w:t>02</w:t>
      </w:r>
      <w:r w:rsidR="0042686B">
        <w:t>/Cohort 3</w:t>
      </w:r>
      <w:r>
        <w:t xml:space="preserve">, 9 (4.7%) deaths occurred within 30 days of the last dose of </w:t>
      </w:r>
      <w:proofErr w:type="spellStart"/>
      <w:r>
        <w:t>toripalimab</w:t>
      </w:r>
      <w:proofErr w:type="spellEnd"/>
      <w:r>
        <w:t>. Adverse events were the most common cause of death accounting for 6 of</w:t>
      </w:r>
      <w:r w:rsidR="000156C4">
        <w:t xml:space="preserve"> the</w:t>
      </w:r>
      <w:r>
        <w:t xml:space="preserve"> 9 deaths.</w:t>
      </w:r>
    </w:p>
    <w:p w14:paraId="2FFDF4EC" w14:textId="549127A7" w:rsidR="0031011F" w:rsidRDefault="00E15CCC" w:rsidP="006219A2">
      <w:r>
        <w:t xml:space="preserve">In the </w:t>
      </w:r>
      <w:proofErr w:type="spellStart"/>
      <w:r>
        <w:t>toripalimab</w:t>
      </w:r>
      <w:proofErr w:type="spellEnd"/>
      <w:r>
        <w:t xml:space="preserve"> arm, epistaxis was the only death that occurred within 30 days of the last dose of study drug. There were 3 additional deaths attributed to an adverse event that occurred more than 30 days after the last dose of </w:t>
      </w:r>
      <w:proofErr w:type="spellStart"/>
      <w:r>
        <w:t>toripalimab</w:t>
      </w:r>
      <w:proofErr w:type="spellEnd"/>
      <w:r>
        <w:t>. These</w:t>
      </w:r>
      <w:r w:rsidR="000156C4" w:rsidRPr="000156C4">
        <w:t xml:space="preserve"> </w:t>
      </w:r>
      <w:r w:rsidR="000156C4">
        <w:t xml:space="preserve">were a death due to intracranial </w:t>
      </w:r>
      <w:r w:rsidR="00DB32BF">
        <w:t>haemorrhage</w:t>
      </w:r>
      <w:r w:rsidR="000156C4">
        <w:t xml:space="preserve"> that occurred 61</w:t>
      </w:r>
      <w:r w:rsidR="00B634B8">
        <w:t> </w:t>
      </w:r>
      <w:r w:rsidR="000156C4">
        <w:t xml:space="preserve">days after the last dose of </w:t>
      </w:r>
      <w:proofErr w:type="spellStart"/>
      <w:r w:rsidR="000156C4">
        <w:t>toripalimab</w:t>
      </w:r>
      <w:proofErr w:type="spellEnd"/>
      <w:r w:rsidR="000156C4">
        <w:t xml:space="preserve"> that was related to an ongoing autoimmune event; a death due to disease progression that occurred 60</w:t>
      </w:r>
      <w:r w:rsidR="00241328">
        <w:t> </w:t>
      </w:r>
      <w:r w:rsidR="000156C4">
        <w:t xml:space="preserve">days after the last dose of </w:t>
      </w:r>
      <w:proofErr w:type="spellStart"/>
      <w:r w:rsidR="000156C4">
        <w:t>toripalimab</w:t>
      </w:r>
      <w:proofErr w:type="spellEnd"/>
      <w:r w:rsidR="000156C4">
        <w:t xml:space="preserve"> in a patient with documented progression; and a death that occurred 48</w:t>
      </w:r>
      <w:r w:rsidR="00B634B8">
        <w:t> </w:t>
      </w:r>
      <w:r w:rsidR="000156C4">
        <w:t xml:space="preserve">days after the last dose of </w:t>
      </w:r>
      <w:proofErr w:type="spellStart"/>
      <w:r w:rsidR="000156C4">
        <w:t>toripalimab</w:t>
      </w:r>
      <w:proofErr w:type="spellEnd"/>
      <w:r w:rsidR="000156C4">
        <w:t xml:space="preserve"> that was reported using the adverse event term death not otherwise specified.</w:t>
      </w:r>
    </w:p>
    <w:p w14:paraId="40EAE021" w14:textId="761E68EC" w:rsidR="006219A2" w:rsidRDefault="00413263" w:rsidP="00413263">
      <w:pPr>
        <w:pStyle w:val="Heading5"/>
      </w:pPr>
      <w:r>
        <w:lastRenderedPageBreak/>
        <w:t>Serious adverse events</w:t>
      </w:r>
    </w:p>
    <w:p w14:paraId="21D1FA9D" w14:textId="5E476D13" w:rsidR="005E4544" w:rsidRDefault="005E4544" w:rsidP="00413263">
      <w:r>
        <w:t xml:space="preserve">Serious adverse events occurred in </w:t>
      </w:r>
      <w:r w:rsidR="00915563">
        <w:t xml:space="preserve">JUPITER-02 in 43.2% of </w:t>
      </w:r>
      <w:r w:rsidR="00854E48">
        <w:t xml:space="preserve">patients in the </w:t>
      </w:r>
      <w:proofErr w:type="spellStart"/>
      <w:r w:rsidR="00854E48">
        <w:t>toripalimab</w:t>
      </w:r>
      <w:proofErr w:type="spellEnd"/>
      <w:r w:rsidR="00854E48">
        <w:t xml:space="preserve"> arm versus 43.4% in the placebo arm.</w:t>
      </w:r>
    </w:p>
    <w:p w14:paraId="6F277D50" w14:textId="13E4BAC2" w:rsidR="00413263" w:rsidRDefault="00854E48" w:rsidP="00413263">
      <w:r>
        <w:t>I</w:t>
      </w:r>
      <w:r w:rsidR="00D97FAD" w:rsidRPr="00D97FAD">
        <w:t xml:space="preserve">n the </w:t>
      </w:r>
      <w:proofErr w:type="spellStart"/>
      <w:r w:rsidR="00D97FAD" w:rsidRPr="00D97FAD">
        <w:t>toripalimab</w:t>
      </w:r>
      <w:proofErr w:type="spellEnd"/>
      <w:r w:rsidR="00D97FAD" w:rsidRPr="00D97FAD">
        <w:t xml:space="preserve"> arm, the most common serious adverse </w:t>
      </w:r>
      <w:r w:rsidR="00EF5B65">
        <w:t>events</w:t>
      </w:r>
      <w:r w:rsidR="00D97FAD" w:rsidRPr="00D97FAD">
        <w:t xml:space="preserve"> (≥</w:t>
      </w:r>
      <w:r w:rsidR="00D97FAD">
        <w:t> </w:t>
      </w:r>
      <w:r w:rsidR="00D97FAD" w:rsidRPr="00D97FAD">
        <w:t>2%) were thrombocytopenia (14%), decreased neutrophil count (10%), pneumonia (10%), anaemia (9%), abnormal hepatic function (2.7%), and rash (2.1%).</w:t>
      </w:r>
    </w:p>
    <w:p w14:paraId="033185E8" w14:textId="1BF0350B" w:rsidR="00D97FAD" w:rsidRDefault="00027E44" w:rsidP="00413263">
      <w:r>
        <w:t>In POLARIS</w:t>
      </w:r>
      <w:r>
        <w:noBreakHyphen/>
        <w:t>02/Cohort 3, 2</w:t>
      </w:r>
      <w:r w:rsidR="00B50856">
        <w:t>5</w:t>
      </w:r>
      <w:r>
        <w:t xml:space="preserve">% of patients </w:t>
      </w:r>
      <w:r w:rsidR="00C91ED0">
        <w:t xml:space="preserve">had one or more serious adverse event. The most common serious adverse event </w:t>
      </w:r>
      <w:r w:rsidR="00C91ED0" w:rsidRPr="00D97FAD">
        <w:t>(≥</w:t>
      </w:r>
      <w:r w:rsidR="00C91ED0">
        <w:t> </w:t>
      </w:r>
      <w:r w:rsidR="00C91ED0" w:rsidRPr="00D97FAD">
        <w:t>2%)</w:t>
      </w:r>
      <w:r w:rsidR="008170BA">
        <w:t xml:space="preserve"> included pneumonia</w:t>
      </w:r>
      <w:r w:rsidR="0096662E">
        <w:t xml:space="preserve"> (4.7%)</w:t>
      </w:r>
      <w:r w:rsidR="008170BA">
        <w:t>, hepatic function abnormal</w:t>
      </w:r>
      <w:r w:rsidR="0096662E">
        <w:t xml:space="preserve"> (2.6%)</w:t>
      </w:r>
      <w:r w:rsidR="008170BA">
        <w:t>, and hyperbilirubinemia</w:t>
      </w:r>
      <w:r w:rsidR="00CF4E9E">
        <w:t xml:space="preserve"> (2.1%)</w:t>
      </w:r>
      <w:r w:rsidR="008170BA">
        <w:t>.</w:t>
      </w:r>
    </w:p>
    <w:p w14:paraId="1AF99382" w14:textId="1177265B" w:rsidR="00724557" w:rsidRDefault="00F76D03" w:rsidP="00F76D03">
      <w:pPr>
        <w:pStyle w:val="Heading5"/>
      </w:pPr>
      <w:r>
        <w:t xml:space="preserve">Discontinuation due to adverse </w:t>
      </w:r>
      <w:r w:rsidR="00BE793C">
        <w:t>events</w:t>
      </w:r>
    </w:p>
    <w:p w14:paraId="245BA4CB" w14:textId="13C7AECE" w:rsidR="00EA477D" w:rsidRDefault="00E85131" w:rsidP="00F76D03">
      <w:pPr>
        <w:rPr>
          <w:rFonts w:cs="Calibri"/>
          <w:szCs w:val="22"/>
        </w:rPr>
      </w:pPr>
      <w:r w:rsidRPr="007C181C">
        <w:rPr>
          <w:rFonts w:cs="Calibri"/>
          <w:szCs w:val="22"/>
        </w:rPr>
        <w:t>In JUPITER</w:t>
      </w:r>
      <w:r>
        <w:rPr>
          <w:rFonts w:cs="Calibri"/>
          <w:szCs w:val="22"/>
        </w:rPr>
        <w:noBreakHyphen/>
      </w:r>
      <w:r w:rsidRPr="007C181C">
        <w:rPr>
          <w:rFonts w:cs="Calibri"/>
          <w:szCs w:val="22"/>
        </w:rPr>
        <w:t>02</w:t>
      </w:r>
      <w:r w:rsidR="00EA477D">
        <w:rPr>
          <w:rFonts w:cs="Calibri"/>
          <w:szCs w:val="22"/>
        </w:rPr>
        <w:t xml:space="preserve"> discontinuation due to adverse events occurred in </w:t>
      </w:r>
      <w:r w:rsidR="00AB5E71">
        <w:rPr>
          <w:rFonts w:cs="Calibri"/>
          <w:szCs w:val="22"/>
        </w:rPr>
        <w:t xml:space="preserve">11.6% of patients in the </w:t>
      </w:r>
      <w:proofErr w:type="spellStart"/>
      <w:r w:rsidR="00AB5E71">
        <w:rPr>
          <w:rFonts w:cs="Calibri"/>
          <w:szCs w:val="22"/>
        </w:rPr>
        <w:t>toripalimab</w:t>
      </w:r>
      <w:proofErr w:type="spellEnd"/>
      <w:r w:rsidR="00AB5E71">
        <w:rPr>
          <w:rFonts w:cs="Calibri"/>
          <w:szCs w:val="22"/>
        </w:rPr>
        <w:t xml:space="preserve"> arm versus 2.9% in the placebo arm.</w:t>
      </w:r>
    </w:p>
    <w:p w14:paraId="4E3F9D2D" w14:textId="7C58DBCC" w:rsidR="00F76D03" w:rsidRDefault="00AB5E71" w:rsidP="00F76D03">
      <w:pPr>
        <w:rPr>
          <w:rFonts w:cs="Calibri"/>
          <w:szCs w:val="22"/>
        </w:rPr>
      </w:pPr>
      <w:r>
        <w:rPr>
          <w:rFonts w:cs="Calibri"/>
          <w:szCs w:val="22"/>
        </w:rPr>
        <w:t>T</w:t>
      </w:r>
      <w:r w:rsidR="00E85131" w:rsidRPr="007C181C">
        <w:rPr>
          <w:rFonts w:cs="Calibri"/>
          <w:szCs w:val="22"/>
        </w:rPr>
        <w:t>he most common causes of permanent discontinuation</w:t>
      </w:r>
      <w:r w:rsidR="00A27FE2">
        <w:rPr>
          <w:rFonts w:cs="Calibri"/>
          <w:szCs w:val="22"/>
        </w:rPr>
        <w:t xml:space="preserve"> of </w:t>
      </w:r>
      <w:proofErr w:type="spellStart"/>
      <w:r w:rsidR="00A27FE2">
        <w:rPr>
          <w:rFonts w:cs="Calibri"/>
          <w:szCs w:val="22"/>
        </w:rPr>
        <w:t>toripalimab</w:t>
      </w:r>
      <w:proofErr w:type="spellEnd"/>
      <w:r w:rsidR="00A27FE2">
        <w:rPr>
          <w:rFonts w:cs="Calibri"/>
          <w:szCs w:val="22"/>
        </w:rPr>
        <w:t xml:space="preserve"> in ≥ 1% of patients were</w:t>
      </w:r>
      <w:r w:rsidR="00E85131" w:rsidRPr="007C181C">
        <w:rPr>
          <w:rFonts w:cs="Calibri"/>
          <w:szCs w:val="22"/>
        </w:rPr>
        <w:t xml:space="preserve"> pneumonia</w:t>
      </w:r>
      <w:r w:rsidR="00A27FE2">
        <w:rPr>
          <w:rFonts w:cs="Calibri"/>
          <w:szCs w:val="22"/>
        </w:rPr>
        <w:t xml:space="preserve"> (2.1%), </w:t>
      </w:r>
      <w:r w:rsidR="00E85131" w:rsidRPr="007C181C">
        <w:rPr>
          <w:rFonts w:cs="Calibri"/>
          <w:szCs w:val="22"/>
        </w:rPr>
        <w:t>pulmonary tuberculosis</w:t>
      </w:r>
      <w:r w:rsidR="00DC3F49">
        <w:rPr>
          <w:rFonts w:cs="Calibri"/>
          <w:szCs w:val="22"/>
        </w:rPr>
        <w:t xml:space="preserve"> (1.4%)</w:t>
      </w:r>
      <w:r w:rsidR="00E85131" w:rsidRPr="007C181C">
        <w:rPr>
          <w:rFonts w:cs="Calibri"/>
          <w:szCs w:val="22"/>
        </w:rPr>
        <w:t xml:space="preserve"> and rash</w:t>
      </w:r>
      <w:r w:rsidR="00DC3F49">
        <w:rPr>
          <w:rFonts w:cs="Calibri"/>
          <w:szCs w:val="22"/>
        </w:rPr>
        <w:t xml:space="preserve"> (1.4%)</w:t>
      </w:r>
      <w:r w:rsidR="00E85131" w:rsidRPr="007C181C">
        <w:rPr>
          <w:rFonts w:cs="Calibri"/>
          <w:szCs w:val="22"/>
        </w:rPr>
        <w:t>.</w:t>
      </w:r>
    </w:p>
    <w:p w14:paraId="06FAA193" w14:textId="372DE311" w:rsidR="00DC3F49" w:rsidRDefault="007A53AC" w:rsidP="00F76D03">
      <w:r>
        <w:t>In POLARIS</w:t>
      </w:r>
      <w:r>
        <w:noBreakHyphen/>
        <w:t xml:space="preserve">2/Cohort 3, 8.9% of patients had an adverse event that resulted in permanent </w:t>
      </w:r>
      <w:r w:rsidR="00F84A27">
        <w:t>discontinuation.</w:t>
      </w:r>
    </w:p>
    <w:p w14:paraId="63F6C419" w14:textId="50132003" w:rsidR="00651BB3" w:rsidRPr="00F84A27" w:rsidRDefault="00F84A27" w:rsidP="00F84A27">
      <w:r>
        <w:t xml:space="preserve">In the </w:t>
      </w:r>
      <w:proofErr w:type="spellStart"/>
      <w:r>
        <w:t>toripalimab</w:t>
      </w:r>
      <w:proofErr w:type="spellEnd"/>
      <w:r>
        <w:t xml:space="preserve"> monotherapy safety dataset </w:t>
      </w:r>
      <w:r w:rsidR="00651BB3" w:rsidRPr="007C181C">
        <w:rPr>
          <w:rFonts w:cs="Calibri"/>
          <w:szCs w:val="22"/>
        </w:rPr>
        <w:t>12.</w:t>
      </w:r>
      <w:r w:rsidR="00651BB3">
        <w:rPr>
          <w:rFonts w:cs="Calibri"/>
          <w:szCs w:val="22"/>
        </w:rPr>
        <w:t>1</w:t>
      </w:r>
      <w:r w:rsidR="00651BB3" w:rsidRPr="007C181C">
        <w:rPr>
          <w:rFonts w:cs="Calibri"/>
          <w:szCs w:val="22"/>
        </w:rPr>
        <w:t>% of patients had an adverse event that resulted in permanent discontinuation.</w:t>
      </w:r>
    </w:p>
    <w:p w14:paraId="4B5055C2" w14:textId="20A63292" w:rsidR="00651BB3" w:rsidRDefault="00016FA7" w:rsidP="00016FA7">
      <w:pPr>
        <w:pStyle w:val="Heading5"/>
      </w:pPr>
      <w:r>
        <w:t>Dose interruption due to adverse events</w:t>
      </w:r>
    </w:p>
    <w:p w14:paraId="31EDBF39" w14:textId="77777777" w:rsidR="00F50116" w:rsidRDefault="007D767C" w:rsidP="00016FA7">
      <w:r>
        <w:t>In JUPITER</w:t>
      </w:r>
      <w:r>
        <w:noBreakHyphen/>
        <w:t xml:space="preserve">02 </w:t>
      </w:r>
      <w:r w:rsidR="00A46062">
        <w:t>dose interruption due to adverse events occurred in</w:t>
      </w:r>
      <w:r w:rsidR="00D16FC9">
        <w:t xml:space="preserve"> 50.0% of patients in the </w:t>
      </w:r>
      <w:proofErr w:type="spellStart"/>
      <w:r w:rsidR="00D16FC9">
        <w:t>toripalimab</w:t>
      </w:r>
      <w:proofErr w:type="spellEnd"/>
      <w:r w:rsidR="00D16FC9">
        <w:t xml:space="preserve"> arm versus 48.3% in the placebo arm</w:t>
      </w:r>
      <w:r w:rsidR="00F50116">
        <w:t>.</w:t>
      </w:r>
    </w:p>
    <w:p w14:paraId="7CFF6417" w14:textId="08514C6E" w:rsidR="00D16FC9" w:rsidRDefault="00D16FC9" w:rsidP="00016FA7">
      <w:r>
        <w:t>In POLARIS</w:t>
      </w:r>
      <w:r w:rsidR="00183C66">
        <w:noBreakHyphen/>
        <w:t>02/Cohort 3 dose interruption due to adverse events occurred in 23% of patients.</w:t>
      </w:r>
    </w:p>
    <w:p w14:paraId="1C41E2AB" w14:textId="08DF1F81" w:rsidR="00183C66" w:rsidRDefault="00183C66" w:rsidP="00016FA7">
      <w:r>
        <w:t>In</w:t>
      </w:r>
      <w:r w:rsidR="00BF27F9">
        <w:t xml:space="preserve"> the pooled safety set dose interruption due to adverse events occurred in 19% of patients.</w:t>
      </w:r>
    </w:p>
    <w:p w14:paraId="07474E11" w14:textId="4B5C3ADE" w:rsidR="00BF27F9" w:rsidRDefault="00BF27F9" w:rsidP="00BF27F9">
      <w:pPr>
        <w:pStyle w:val="Heading5"/>
      </w:pPr>
      <w:r>
        <w:t>Haematology/clinical chemistry</w:t>
      </w:r>
    </w:p>
    <w:p w14:paraId="7DE853FC" w14:textId="2BBD4ACE" w:rsidR="00F50116" w:rsidRDefault="001B0C7E" w:rsidP="001B0C7E">
      <w:r w:rsidRPr="001B0C7E">
        <w:t>Laboratory abnormalities seen in &gt;</w:t>
      </w:r>
      <w:r w:rsidR="00335F90">
        <w:t> </w:t>
      </w:r>
      <w:r w:rsidRPr="001B0C7E">
        <w:t xml:space="preserve">20% of patients </w:t>
      </w:r>
      <w:r w:rsidR="00335F90">
        <w:t>in</w:t>
      </w:r>
      <w:r w:rsidRPr="001B0C7E">
        <w:t xml:space="preserve"> JUPITER-02 are shown in the tabl</w:t>
      </w:r>
      <w:r w:rsidR="00F82C2D">
        <w:t xml:space="preserve">e </w:t>
      </w:r>
      <w:r w:rsidRPr="001B0C7E">
        <w:t>below</w:t>
      </w:r>
      <w:r w:rsidR="00F82C2D">
        <w:t xml:space="preserve"> </w:t>
      </w:r>
      <w:r w:rsidR="00F82C2D" w:rsidRPr="001B0C7E">
        <w:t>(</w:t>
      </w:r>
      <w:r w:rsidR="00F82C2D" w:rsidRPr="001B0C7E">
        <w:fldChar w:fldCharType="begin"/>
      </w:r>
      <w:r w:rsidR="00F82C2D" w:rsidRPr="001B0C7E">
        <w:instrText xml:space="preserve"> REF _Ref229987532 \h </w:instrText>
      </w:r>
      <w:r w:rsidR="00F82C2D">
        <w:instrText xml:space="preserve"> \* MERGEFORMAT </w:instrText>
      </w:r>
      <w:r w:rsidR="00F82C2D" w:rsidRPr="001B0C7E">
        <w:fldChar w:fldCharType="separate"/>
      </w:r>
      <w:r w:rsidR="00D82028">
        <w:t>Table 8</w:t>
      </w:r>
      <w:r w:rsidR="00F82C2D" w:rsidRPr="001B0C7E">
        <w:fldChar w:fldCharType="end"/>
      </w:r>
      <w:r w:rsidR="00F82C2D" w:rsidRPr="001B0C7E">
        <w:t>)</w:t>
      </w:r>
      <w:r w:rsidR="00F50116">
        <w:t>.</w:t>
      </w:r>
    </w:p>
    <w:p w14:paraId="321A55F8" w14:textId="0918E7CD" w:rsidR="00171783" w:rsidRDefault="00171783" w:rsidP="006D6BD4">
      <w:pPr>
        <w:pStyle w:val="TableTitle"/>
      </w:pPr>
      <w:bookmarkStart w:id="55" w:name="_Ref229987532"/>
      <w:r>
        <w:lastRenderedPageBreak/>
        <w:t xml:space="preserve">Table </w:t>
      </w:r>
      <w:fldSimple w:instr=" SEQ Table \* ARABIC ">
        <w:r w:rsidR="00D82028">
          <w:rPr>
            <w:noProof/>
          </w:rPr>
          <w:t>8</w:t>
        </w:r>
      </w:fldSimple>
      <w:bookmarkEnd w:id="55"/>
      <w:r>
        <w:t>: Worsening laboratory</w:t>
      </w:r>
      <w:r w:rsidR="006D6BD4">
        <w:t xml:space="preserve"> abnormalities from Baseline occurring in ≥ 20% of patients in the </w:t>
      </w:r>
      <w:proofErr w:type="spellStart"/>
      <w:r w:rsidR="006D6BD4">
        <w:t>toripalimab</w:t>
      </w:r>
      <w:proofErr w:type="spellEnd"/>
      <w:r w:rsidR="006D6BD4">
        <w:t xml:space="preserve"> arm of JUPITER</w:t>
      </w:r>
      <w:r w:rsidR="006D6BD4">
        <w:noBreakHyphen/>
        <w:t>02</w:t>
      </w:r>
    </w:p>
    <w:p w14:paraId="5934541F" w14:textId="2F7CA818" w:rsidR="006D6BD4" w:rsidRDefault="00BF1681" w:rsidP="00CA7F43">
      <w:r w:rsidRPr="00BF1681">
        <w:rPr>
          <w:noProof/>
        </w:rPr>
        <w:drawing>
          <wp:inline distT="0" distB="0" distL="0" distR="0" wp14:anchorId="5C495E02" wp14:editId="2CA05EDC">
            <wp:extent cx="5759450" cy="4827270"/>
            <wp:effectExtent l="0" t="0" r="0" b="0"/>
            <wp:docPr id="123888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88660" name=""/>
                    <pic:cNvPicPr/>
                  </pic:nvPicPr>
                  <pic:blipFill>
                    <a:blip r:embed="rId32"/>
                    <a:stretch>
                      <a:fillRect/>
                    </a:stretch>
                  </pic:blipFill>
                  <pic:spPr>
                    <a:xfrm>
                      <a:off x="0" y="0"/>
                      <a:ext cx="5759450" cy="4827270"/>
                    </a:xfrm>
                    <a:prstGeom prst="rect">
                      <a:avLst/>
                    </a:prstGeom>
                  </pic:spPr>
                </pic:pic>
              </a:graphicData>
            </a:graphic>
          </wp:inline>
        </w:drawing>
      </w:r>
    </w:p>
    <w:p w14:paraId="54FD355C" w14:textId="69BB7B14" w:rsidR="00BF1681" w:rsidRPr="00BF27F9" w:rsidRDefault="00A26D9E" w:rsidP="00A26D9E">
      <w:pPr>
        <w:pStyle w:val="TableDescription"/>
      </w:pPr>
      <w:r w:rsidRPr="00A26D9E">
        <w:rPr>
          <w:vertAlign w:val="superscript"/>
        </w:rPr>
        <w:t>2</w:t>
      </w:r>
      <w:r>
        <w:t xml:space="preserve"> </w:t>
      </w:r>
      <w:r w:rsidRPr="00A26D9E">
        <w:t>Calculations are based on the actual number of patients with baseline and ≥</w:t>
      </w:r>
      <w:r>
        <w:t> </w:t>
      </w:r>
      <w:r w:rsidRPr="00A26D9E">
        <w:t>1 post-baseline value.</w:t>
      </w:r>
    </w:p>
    <w:p w14:paraId="1D21F704" w14:textId="7EC7C165" w:rsidR="0028623D" w:rsidRPr="002D1050" w:rsidRDefault="00335F90" w:rsidP="002D1050">
      <w:r w:rsidRPr="002D1050">
        <w:t xml:space="preserve">Laboratory abnormalities seen in &gt; 10% of patients </w:t>
      </w:r>
      <w:r w:rsidR="00EC6C35" w:rsidRPr="002D1050">
        <w:t>in</w:t>
      </w:r>
      <w:r w:rsidRPr="002D1050">
        <w:t xml:space="preserve"> POLARIS</w:t>
      </w:r>
      <w:r w:rsidR="00EC6C35" w:rsidRPr="002D1050">
        <w:noBreakHyphen/>
      </w:r>
      <w:r w:rsidRPr="002D1050">
        <w:t>02</w:t>
      </w:r>
      <w:r w:rsidR="002A2F98">
        <w:t>/Cohort 3</w:t>
      </w:r>
      <w:r w:rsidR="00EC6C35" w:rsidRPr="002D1050">
        <w:t xml:space="preserve"> are shown in the table below (</w:t>
      </w:r>
      <w:r w:rsidR="002D1050">
        <w:fldChar w:fldCharType="begin"/>
      </w:r>
      <w:r w:rsidR="002D1050">
        <w:instrText xml:space="preserve"> REF _Ref229988790 \h </w:instrText>
      </w:r>
      <w:r w:rsidR="002D1050">
        <w:fldChar w:fldCharType="separate"/>
      </w:r>
      <w:r w:rsidR="00D82028">
        <w:t xml:space="preserve">Table </w:t>
      </w:r>
      <w:r w:rsidR="00D82028">
        <w:rPr>
          <w:noProof/>
        </w:rPr>
        <w:t>9</w:t>
      </w:r>
      <w:r w:rsidR="002D1050">
        <w:fldChar w:fldCharType="end"/>
      </w:r>
      <w:r w:rsidR="00EC6C35" w:rsidRPr="002D1050">
        <w:t>)</w:t>
      </w:r>
      <w:r w:rsidR="002A2F98">
        <w:t>.</w:t>
      </w:r>
    </w:p>
    <w:p w14:paraId="31D03B9A" w14:textId="4CF58E40" w:rsidR="002D1050" w:rsidRDefault="002D1050" w:rsidP="002A2F98">
      <w:pPr>
        <w:pStyle w:val="TableTitle"/>
      </w:pPr>
      <w:bookmarkStart w:id="56" w:name="_Ref229988790"/>
      <w:r>
        <w:lastRenderedPageBreak/>
        <w:t xml:space="preserve">Table </w:t>
      </w:r>
      <w:fldSimple w:instr=" SEQ Table \* ARABIC ">
        <w:r w:rsidR="00D82028">
          <w:rPr>
            <w:noProof/>
          </w:rPr>
          <w:t>9</w:t>
        </w:r>
      </w:fldSimple>
      <w:bookmarkEnd w:id="56"/>
      <w:r>
        <w:t>: Worsening laboratory abnormalities in &gt;</w:t>
      </w:r>
      <w:r w:rsidR="002A2F98">
        <w:t> 10% of patients in POLARIS</w:t>
      </w:r>
      <w:r w:rsidR="002A2F98">
        <w:noBreakHyphen/>
        <w:t>02/Cohort 3</w:t>
      </w:r>
    </w:p>
    <w:p w14:paraId="2C74A05F" w14:textId="38623815" w:rsidR="002A2F98" w:rsidRDefault="00D60663" w:rsidP="002A2F98">
      <w:r>
        <w:rPr>
          <w:noProof/>
        </w:rPr>
        <w:drawing>
          <wp:inline distT="0" distB="0" distL="0" distR="0" wp14:anchorId="21ED477B" wp14:editId="0219F1E9">
            <wp:extent cx="5730875" cy="6577965"/>
            <wp:effectExtent l="0" t="0" r="3175" b="0"/>
            <wp:docPr id="1271503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0875" cy="6577965"/>
                    </a:xfrm>
                    <a:prstGeom prst="rect">
                      <a:avLst/>
                    </a:prstGeom>
                    <a:noFill/>
                  </pic:spPr>
                </pic:pic>
              </a:graphicData>
            </a:graphic>
          </wp:inline>
        </w:drawing>
      </w:r>
    </w:p>
    <w:p w14:paraId="4895479B" w14:textId="7E3E410B" w:rsidR="00CC6B1A" w:rsidRPr="00CC6B1A" w:rsidRDefault="00CC6B1A" w:rsidP="00CC6B1A">
      <w:pPr>
        <w:pStyle w:val="TableDescription"/>
      </w:pPr>
      <w:r w:rsidRPr="00CC6B1A">
        <w:rPr>
          <w:vertAlign w:val="superscript"/>
        </w:rPr>
        <w:t>1</w:t>
      </w:r>
      <w:r w:rsidRPr="00CC6B1A">
        <w:t xml:space="preserve"> Calculation are based on the actual number of patients with baseline and on study values.</w:t>
      </w:r>
    </w:p>
    <w:p w14:paraId="5136A0DE" w14:textId="7F1A6BA9" w:rsidR="006B6830" w:rsidRPr="00CC6B1A" w:rsidRDefault="00CC6B1A" w:rsidP="00CC6B1A">
      <w:pPr>
        <w:pStyle w:val="TableDescription"/>
      </w:pPr>
      <w:r w:rsidRPr="00CC6B1A">
        <w:rPr>
          <w:vertAlign w:val="superscript"/>
        </w:rPr>
        <w:t>2</w:t>
      </w:r>
      <w:r w:rsidRPr="00CC6B1A">
        <w:t xml:space="preserve"> Uncorrected calcium.</w:t>
      </w:r>
    </w:p>
    <w:p w14:paraId="57233ACB" w14:textId="3B1C6493" w:rsidR="00AA541B" w:rsidRDefault="00554F6F" w:rsidP="00554F6F">
      <w:pPr>
        <w:pStyle w:val="Heading5"/>
      </w:pPr>
      <w:r>
        <w:t>Immune</w:t>
      </w:r>
      <w:r w:rsidR="00DC4DF6">
        <w:t xml:space="preserve"> </w:t>
      </w:r>
      <w:r>
        <w:t>related adverse events</w:t>
      </w:r>
    </w:p>
    <w:p w14:paraId="7E3B96F5" w14:textId="3B217324" w:rsidR="00D74F07" w:rsidRDefault="00D74F07" w:rsidP="00D74F07">
      <w:r w:rsidRPr="00D74F07">
        <w:t xml:space="preserve">The most significant </w:t>
      </w:r>
      <w:r>
        <w:t>adverse events</w:t>
      </w:r>
      <w:r w:rsidRPr="00D74F07">
        <w:t xml:space="preserve"> in patients treated with PD-1/L1 inhibitors are immune</w:t>
      </w:r>
      <w:r w:rsidR="00A44666">
        <w:t xml:space="preserve"> </w:t>
      </w:r>
      <w:r w:rsidRPr="00D74F07">
        <w:t>related adverse events</w:t>
      </w:r>
      <w:r w:rsidRPr="007433AB">
        <w:t>.</w:t>
      </w:r>
      <w:r w:rsidRPr="00D74F07">
        <w:t xml:space="preserve"> The development of immune</w:t>
      </w:r>
      <w:r w:rsidR="00A44666">
        <w:t xml:space="preserve"> </w:t>
      </w:r>
      <w:r w:rsidRPr="00D74F07">
        <w:t xml:space="preserve">related adverse events was expected based on the mechanism of action of the drug. Frequencies of </w:t>
      </w:r>
      <w:r w:rsidR="007433AB" w:rsidRPr="00D74F07">
        <w:t>immune</w:t>
      </w:r>
      <w:r w:rsidR="007433AB">
        <w:t xml:space="preserve"> </w:t>
      </w:r>
      <w:r w:rsidR="007433AB" w:rsidRPr="00D74F07">
        <w:t>related adverse events</w:t>
      </w:r>
      <w:r w:rsidRPr="00D74F07">
        <w:t xml:space="preserve"> are shown in</w:t>
      </w:r>
      <w:r w:rsidR="00180F23">
        <w:t xml:space="preserve"> </w:t>
      </w:r>
      <w:r w:rsidR="00180F23">
        <w:fldChar w:fldCharType="begin"/>
      </w:r>
      <w:r w:rsidR="00180F23">
        <w:instrText xml:space="preserve"> REF _Ref230007839 \h </w:instrText>
      </w:r>
      <w:r w:rsidR="00180F23">
        <w:fldChar w:fldCharType="separate"/>
      </w:r>
      <w:r w:rsidR="00D82028">
        <w:t xml:space="preserve">Table </w:t>
      </w:r>
      <w:r w:rsidR="00D82028">
        <w:rPr>
          <w:noProof/>
        </w:rPr>
        <w:t>10</w:t>
      </w:r>
      <w:r w:rsidR="00180F23">
        <w:fldChar w:fldCharType="end"/>
      </w:r>
      <w:r w:rsidR="001C69F3">
        <w:t xml:space="preserve"> and</w:t>
      </w:r>
      <w:r w:rsidR="00180F23">
        <w:t xml:space="preserve"> </w:t>
      </w:r>
      <w:r w:rsidR="00180F23">
        <w:fldChar w:fldCharType="begin"/>
      </w:r>
      <w:r w:rsidR="00180F23">
        <w:instrText xml:space="preserve"> REF _Ref230007863 \h </w:instrText>
      </w:r>
      <w:r w:rsidR="00180F23">
        <w:fldChar w:fldCharType="separate"/>
      </w:r>
      <w:r w:rsidR="00D82028">
        <w:t xml:space="preserve">Table </w:t>
      </w:r>
      <w:r w:rsidR="00D82028">
        <w:rPr>
          <w:noProof/>
        </w:rPr>
        <w:t>11</w:t>
      </w:r>
      <w:r w:rsidR="00180F23">
        <w:fldChar w:fldCharType="end"/>
      </w:r>
      <w:r w:rsidR="00180F23">
        <w:t xml:space="preserve"> </w:t>
      </w:r>
      <w:r w:rsidRPr="00D74F07">
        <w:t>below.</w:t>
      </w:r>
    </w:p>
    <w:p w14:paraId="62E74970" w14:textId="10CD910F" w:rsidR="00180F23" w:rsidRPr="00D74F07" w:rsidRDefault="00180F23" w:rsidP="008D497C">
      <w:pPr>
        <w:pStyle w:val="TableTitle"/>
      </w:pPr>
      <w:bookmarkStart w:id="57" w:name="_Ref230007839"/>
      <w:r>
        <w:lastRenderedPageBreak/>
        <w:t xml:space="preserve">Table </w:t>
      </w:r>
      <w:fldSimple w:instr=" SEQ Table \* ARABIC ">
        <w:r w:rsidR="00D82028">
          <w:rPr>
            <w:noProof/>
          </w:rPr>
          <w:t>10</w:t>
        </w:r>
      </w:fldSimple>
      <w:bookmarkEnd w:id="57"/>
      <w:r>
        <w:t>: JUPITER</w:t>
      </w:r>
      <w:r w:rsidR="008D497C">
        <w:noBreakHyphen/>
        <w:t>02 applicant adjudicated immune related adverse events</w:t>
      </w:r>
    </w:p>
    <w:p w14:paraId="195E2292" w14:textId="3EBAD4DE" w:rsidR="00081E58" w:rsidRDefault="00D94E44" w:rsidP="00AE250F">
      <w:r w:rsidRPr="00D94E44">
        <w:rPr>
          <w:noProof/>
        </w:rPr>
        <w:drawing>
          <wp:inline distT="0" distB="0" distL="0" distR="0" wp14:anchorId="327DA91F" wp14:editId="7050BA8F">
            <wp:extent cx="4062402" cy="4581525"/>
            <wp:effectExtent l="0" t="0" r="0" b="0"/>
            <wp:docPr id="907247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247944" name=""/>
                    <pic:cNvPicPr/>
                  </pic:nvPicPr>
                  <pic:blipFill rotWithShape="1">
                    <a:blip r:embed="rId34"/>
                    <a:srcRect l="1687" b="679"/>
                    <a:stretch>
                      <a:fillRect/>
                    </a:stretch>
                  </pic:blipFill>
                  <pic:spPr bwMode="auto">
                    <a:xfrm>
                      <a:off x="0" y="0"/>
                      <a:ext cx="4073256" cy="4593766"/>
                    </a:xfrm>
                    <a:prstGeom prst="rect">
                      <a:avLst/>
                    </a:prstGeom>
                    <a:ln>
                      <a:noFill/>
                    </a:ln>
                    <a:extLst>
                      <a:ext uri="{53640926-AAD7-44D8-BBD7-CCE9431645EC}">
                        <a14:shadowObscured xmlns:a14="http://schemas.microsoft.com/office/drawing/2010/main"/>
                      </a:ext>
                    </a:extLst>
                  </pic:spPr>
                </pic:pic>
              </a:graphicData>
            </a:graphic>
          </wp:inline>
        </w:drawing>
      </w:r>
    </w:p>
    <w:p w14:paraId="289D2193" w14:textId="0BE09FD4" w:rsidR="000416F9" w:rsidRDefault="00180F23" w:rsidP="00081E58">
      <w:pPr>
        <w:pStyle w:val="TableTitle"/>
      </w:pPr>
      <w:bookmarkStart w:id="58" w:name="_Ref230007863"/>
      <w:r>
        <w:t xml:space="preserve">Table </w:t>
      </w:r>
      <w:fldSimple w:instr=" SEQ Table \* ARABIC ">
        <w:r w:rsidR="00D82028">
          <w:rPr>
            <w:noProof/>
          </w:rPr>
          <w:t>11</w:t>
        </w:r>
      </w:fldSimple>
      <w:bookmarkEnd w:id="58"/>
      <w:r w:rsidR="008D497C">
        <w:t>:</w:t>
      </w:r>
      <w:r w:rsidR="00081E58">
        <w:t xml:space="preserve"> Immune related adverse events in the </w:t>
      </w:r>
      <w:proofErr w:type="spellStart"/>
      <w:r w:rsidR="00081E58">
        <w:t>toripalimab</w:t>
      </w:r>
      <w:proofErr w:type="spellEnd"/>
      <w:r w:rsidR="00081E58">
        <w:t xml:space="preserve"> arm of JUPITER</w:t>
      </w:r>
      <w:r w:rsidR="00081E58">
        <w:noBreakHyphen/>
        <w:t xml:space="preserve">02 and in the pooled safety dataset of </w:t>
      </w:r>
      <w:proofErr w:type="spellStart"/>
      <w:r w:rsidR="00081E58">
        <w:t>toripalimab</w:t>
      </w:r>
      <w:proofErr w:type="spellEnd"/>
      <w:r w:rsidR="00081E58">
        <w:t xml:space="preserve"> monotherapy</w:t>
      </w:r>
    </w:p>
    <w:p w14:paraId="7CE70BB3" w14:textId="7C1EAD6E" w:rsidR="00D94E44" w:rsidRDefault="000416F9" w:rsidP="00AE250F">
      <w:r w:rsidRPr="000416F9">
        <w:rPr>
          <w:noProof/>
        </w:rPr>
        <w:drawing>
          <wp:inline distT="0" distB="0" distL="0" distR="0" wp14:anchorId="3FF04D4C" wp14:editId="6E11238B">
            <wp:extent cx="5721350" cy="3757295"/>
            <wp:effectExtent l="0" t="0" r="0" b="0"/>
            <wp:docPr id="757332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32611" name=""/>
                    <pic:cNvPicPr/>
                  </pic:nvPicPr>
                  <pic:blipFill rotWithShape="1">
                    <a:blip r:embed="rId35"/>
                    <a:srcRect l="662"/>
                    <a:stretch>
                      <a:fillRect/>
                    </a:stretch>
                  </pic:blipFill>
                  <pic:spPr bwMode="auto">
                    <a:xfrm>
                      <a:off x="0" y="0"/>
                      <a:ext cx="5721350" cy="3757295"/>
                    </a:xfrm>
                    <a:prstGeom prst="rect">
                      <a:avLst/>
                    </a:prstGeom>
                    <a:ln>
                      <a:noFill/>
                    </a:ln>
                    <a:extLst>
                      <a:ext uri="{53640926-AAD7-44D8-BBD7-CCE9431645EC}">
                        <a14:shadowObscured xmlns:a14="http://schemas.microsoft.com/office/drawing/2010/main"/>
                      </a:ext>
                    </a:extLst>
                  </pic:spPr>
                </pic:pic>
              </a:graphicData>
            </a:graphic>
          </wp:inline>
        </w:drawing>
      </w:r>
    </w:p>
    <w:p w14:paraId="306331BF" w14:textId="3CE600E4" w:rsidR="005609F7" w:rsidRDefault="001D69EF" w:rsidP="001D69EF">
      <w:r w:rsidRPr="001D69EF">
        <w:lastRenderedPageBreak/>
        <w:t>Infusion</w:t>
      </w:r>
      <w:r>
        <w:t xml:space="preserve"> </w:t>
      </w:r>
      <w:r w:rsidRPr="001D69EF">
        <w:t xml:space="preserve">related </w:t>
      </w:r>
      <w:r w:rsidR="0007704F">
        <w:t>adverse events</w:t>
      </w:r>
      <w:r w:rsidRPr="001D69EF">
        <w:t xml:space="preserve"> have been reported in 4.1% of patients receiving </w:t>
      </w:r>
      <w:proofErr w:type="spellStart"/>
      <w:r w:rsidRPr="001D69EF">
        <w:t>toripalimab</w:t>
      </w:r>
      <w:proofErr w:type="spellEnd"/>
      <w:r w:rsidRPr="001D69EF">
        <w:t xml:space="preserve"> in</w:t>
      </w:r>
      <w:r>
        <w:t xml:space="preserve"> </w:t>
      </w:r>
      <w:r w:rsidRPr="001D69EF">
        <w:t>combination with cisplatin and gemcitabine, including Grade</w:t>
      </w:r>
      <w:r w:rsidR="0007704F">
        <w:t> </w:t>
      </w:r>
      <w:r w:rsidRPr="001D69EF">
        <w:t>2 (0.7%) reactions.</w:t>
      </w:r>
      <w:r>
        <w:t xml:space="preserve"> </w:t>
      </w:r>
      <w:r w:rsidRPr="001D69EF">
        <w:t>Infusion</w:t>
      </w:r>
      <w:r w:rsidR="0007704F">
        <w:t xml:space="preserve"> </w:t>
      </w:r>
      <w:r w:rsidRPr="001D69EF">
        <w:t xml:space="preserve">related </w:t>
      </w:r>
      <w:r w:rsidR="0007704F">
        <w:t>adverse events</w:t>
      </w:r>
      <w:r w:rsidRPr="001D69EF">
        <w:t xml:space="preserve"> occurred in 2% of 851 patients receiving </w:t>
      </w:r>
      <w:proofErr w:type="spellStart"/>
      <w:r w:rsidRPr="001D69EF">
        <w:t>toripalimab</w:t>
      </w:r>
      <w:proofErr w:type="spellEnd"/>
      <w:r w:rsidRPr="001D69EF">
        <w:t xml:space="preserve"> as a single agent, including Grade</w:t>
      </w:r>
      <w:r w:rsidR="0007704F">
        <w:t> </w:t>
      </w:r>
      <w:r w:rsidRPr="001D69EF">
        <w:t>3 (0.1%) and Grade</w:t>
      </w:r>
      <w:r w:rsidR="0007704F">
        <w:t> </w:t>
      </w:r>
      <w:r w:rsidRPr="001D69EF">
        <w:t xml:space="preserve">2 (0.6%). </w:t>
      </w:r>
      <w:proofErr w:type="spellStart"/>
      <w:r w:rsidRPr="001D69EF">
        <w:t>Toripalimab</w:t>
      </w:r>
      <w:proofErr w:type="spellEnd"/>
      <w:r w:rsidRPr="001D69EF">
        <w:t xml:space="preserve"> was withheld for one Grade</w:t>
      </w:r>
      <w:r w:rsidR="0007704F">
        <w:t> </w:t>
      </w:r>
      <w:r w:rsidRPr="001D69EF">
        <w:t xml:space="preserve">3 infusion related </w:t>
      </w:r>
      <w:r w:rsidR="0007704F">
        <w:t>adverse event</w:t>
      </w:r>
      <w:r w:rsidRPr="001D69EF">
        <w:t>.</w:t>
      </w:r>
    </w:p>
    <w:p w14:paraId="13801045" w14:textId="085ED60B" w:rsidR="0007704F" w:rsidRDefault="00F33065" w:rsidP="00F33065">
      <w:pPr>
        <w:pStyle w:val="Heading5"/>
      </w:pPr>
      <w:r>
        <w:t>Immunogenicity</w:t>
      </w:r>
    </w:p>
    <w:p w14:paraId="5E14A8BA" w14:textId="688479CE" w:rsidR="00713FF5" w:rsidRPr="007611E7" w:rsidRDefault="00713FF5" w:rsidP="007611E7">
      <w:r w:rsidRPr="007611E7">
        <w:t>The incidence of anti-drug antib</w:t>
      </w:r>
      <w:r w:rsidRPr="00151DB9">
        <w:t>odies (ADA) among</w:t>
      </w:r>
      <w:r w:rsidRPr="007611E7">
        <w:t xml:space="preserve"> patients in POLARIS</w:t>
      </w:r>
      <w:r w:rsidR="007611E7">
        <w:noBreakHyphen/>
      </w:r>
      <w:r w:rsidRPr="007611E7">
        <w:t>02</w:t>
      </w:r>
      <w:r w:rsidR="007611E7">
        <w:t>/Cohort 3</w:t>
      </w:r>
      <w:r w:rsidRPr="007611E7">
        <w:t xml:space="preserve"> who received </w:t>
      </w:r>
      <w:proofErr w:type="spellStart"/>
      <w:r w:rsidRPr="007611E7">
        <w:t>toripalimab</w:t>
      </w:r>
      <w:proofErr w:type="spellEnd"/>
      <w:r w:rsidRPr="007611E7">
        <w:t xml:space="preserve"> monotherapy was 7</w:t>
      </w:r>
      <w:r w:rsidR="007611E7">
        <w:t xml:space="preserve"> out of </w:t>
      </w:r>
      <w:r w:rsidRPr="007611E7">
        <w:t>190 (3.7%). In the PTAS population of</w:t>
      </w:r>
      <w:r w:rsidR="00EA2EE5">
        <w:t xml:space="preserve"> </w:t>
      </w:r>
      <w:r w:rsidRPr="007611E7">
        <w:t>POLARIS</w:t>
      </w:r>
      <w:r w:rsidR="00EA2EE5">
        <w:noBreakHyphen/>
      </w:r>
      <w:r w:rsidRPr="007611E7">
        <w:t>02</w:t>
      </w:r>
      <w:r w:rsidR="00EA2EE5">
        <w:t>/Cohort 3</w:t>
      </w:r>
      <w:r w:rsidRPr="007611E7">
        <w:t>, the ORR was 28.6% in those with ADA and 20.6% in those without ADA.</w:t>
      </w:r>
    </w:p>
    <w:p w14:paraId="5999D291" w14:textId="770F1A36" w:rsidR="00713FF5" w:rsidRPr="007611E7" w:rsidRDefault="00713FF5" w:rsidP="007611E7">
      <w:r w:rsidRPr="007611E7">
        <w:t xml:space="preserve">Among the 206 patients who received </w:t>
      </w:r>
      <w:proofErr w:type="spellStart"/>
      <w:r w:rsidRPr="007611E7">
        <w:t>toripalimab</w:t>
      </w:r>
      <w:proofErr w:type="spellEnd"/>
      <w:r w:rsidRPr="007611E7">
        <w:t xml:space="preserve"> in combination with platinum</w:t>
      </w:r>
      <w:r w:rsidR="00EA2EE5">
        <w:t>-</w:t>
      </w:r>
      <w:r w:rsidRPr="007611E7">
        <w:t xml:space="preserve">based therapy, 8 (3.9%) developed ADA. The incidence of </w:t>
      </w:r>
      <w:r w:rsidR="00F34482">
        <w:t>infusion related reaction</w:t>
      </w:r>
      <w:r w:rsidRPr="007611E7">
        <w:t xml:space="preserve"> was 1</w:t>
      </w:r>
      <w:r w:rsidR="00EA2EE5">
        <w:t xml:space="preserve"> out of </w:t>
      </w:r>
      <w:r w:rsidRPr="007611E7">
        <w:t>8 (12.5%) in those with ADA and 10</w:t>
      </w:r>
      <w:r w:rsidR="00EA2EE5">
        <w:t xml:space="preserve"> out of </w:t>
      </w:r>
      <w:r w:rsidRPr="007611E7">
        <w:t xml:space="preserve">198 (5.1%) in those without. When </w:t>
      </w:r>
      <w:proofErr w:type="spellStart"/>
      <w:r w:rsidRPr="007611E7">
        <w:t>toripalimab</w:t>
      </w:r>
      <w:proofErr w:type="spellEnd"/>
      <w:r w:rsidRPr="007611E7">
        <w:t xml:space="preserve"> was given in combination with cisplatin and gemcitabine </w:t>
      </w:r>
      <w:r w:rsidR="00861BA0">
        <w:t>in</w:t>
      </w:r>
      <w:r w:rsidRPr="007611E7">
        <w:t xml:space="preserve"> JUPITER</w:t>
      </w:r>
      <w:r w:rsidR="00861BA0">
        <w:noBreakHyphen/>
      </w:r>
      <w:r w:rsidRPr="007611E7">
        <w:t>02, ADA was detected in 5</w:t>
      </w:r>
      <w:r w:rsidR="00861BA0">
        <w:t xml:space="preserve"> out of </w:t>
      </w:r>
      <w:r w:rsidRPr="007611E7">
        <w:t xml:space="preserve">146 (3.4%) patients. In the </w:t>
      </w:r>
      <w:proofErr w:type="spellStart"/>
      <w:r w:rsidRPr="007611E7">
        <w:t>toripalimab</w:t>
      </w:r>
      <w:proofErr w:type="spellEnd"/>
      <w:r w:rsidRPr="007611E7">
        <w:t xml:space="preserve"> arm of JUPITER</w:t>
      </w:r>
      <w:r w:rsidR="00861BA0">
        <w:noBreakHyphen/>
      </w:r>
      <w:r w:rsidRPr="007611E7">
        <w:t>02, the ORR was 60.0% in those with ADA and 78.0% in those without.</w:t>
      </w:r>
    </w:p>
    <w:p w14:paraId="53BF8EF1" w14:textId="7D2FED33" w:rsidR="00F33065" w:rsidRPr="007611E7" w:rsidRDefault="00713FF5" w:rsidP="007611E7">
      <w:r w:rsidRPr="007611E7">
        <w:t xml:space="preserve">Due to the low incidence of </w:t>
      </w:r>
      <w:proofErr w:type="gramStart"/>
      <w:r w:rsidRPr="007611E7">
        <w:t>ADAs</w:t>
      </w:r>
      <w:proofErr w:type="gramEnd"/>
      <w:r w:rsidRPr="007611E7">
        <w:t xml:space="preserve"> no conclusion can be made on the impact on efficacy.</w:t>
      </w:r>
    </w:p>
    <w:p w14:paraId="59F3751F" w14:textId="793B0A9F" w:rsidR="00713FF5" w:rsidRDefault="00885256" w:rsidP="00885256">
      <w:pPr>
        <w:pStyle w:val="Heading5"/>
      </w:pPr>
      <w:r>
        <w:t>Safety conclusion</w:t>
      </w:r>
      <w:r w:rsidR="007611E7">
        <w:t>s</w:t>
      </w:r>
    </w:p>
    <w:p w14:paraId="5FBF6395" w14:textId="351A8991" w:rsidR="004F7ACF" w:rsidRDefault="004F7ACF" w:rsidP="004F7ACF">
      <w:pPr>
        <w:pStyle w:val="ListBullet"/>
      </w:pPr>
      <w:r>
        <w:t>The evidence for clinical safety generated from JUPITER</w:t>
      </w:r>
      <w:r w:rsidR="0043231B">
        <w:noBreakHyphen/>
      </w:r>
      <w:r>
        <w:t>02, POLARIS</w:t>
      </w:r>
      <w:r w:rsidR="0043231B">
        <w:noBreakHyphen/>
      </w:r>
      <w:r>
        <w:t>02</w:t>
      </w:r>
      <w:r w:rsidR="0043231B">
        <w:t xml:space="preserve">/Cohort 3 </w:t>
      </w:r>
      <w:r>
        <w:t xml:space="preserve">and the pooled safety dataset are considered adequate to assess the safety of </w:t>
      </w:r>
      <w:proofErr w:type="spellStart"/>
      <w:r>
        <w:t>toripalimab</w:t>
      </w:r>
      <w:proofErr w:type="spellEnd"/>
      <w:r>
        <w:t xml:space="preserve"> in the proposed indications.</w:t>
      </w:r>
    </w:p>
    <w:p w14:paraId="059E744C" w14:textId="203BD43E" w:rsidR="004F7ACF" w:rsidRDefault="004F7ACF" w:rsidP="004F7ACF">
      <w:pPr>
        <w:pStyle w:val="ListBullet"/>
      </w:pPr>
      <w:r>
        <w:t>In JUPITER</w:t>
      </w:r>
      <w:r w:rsidR="00B63227">
        <w:noBreakHyphen/>
      </w:r>
      <w:r>
        <w:t xml:space="preserve">02, the most frequent </w:t>
      </w:r>
      <w:r w:rsidR="00B63227">
        <w:t>adverse events</w:t>
      </w:r>
      <w:r>
        <w:t xml:space="preserve"> (≥</w:t>
      </w:r>
      <w:r w:rsidR="00B63227">
        <w:t> </w:t>
      </w:r>
      <w:r>
        <w:t>20%) were nausea, vomiting, decreased appetite, constipation, hypothyroidism, rash, pyrexia, diarrhea, peripheral neuropathy, cough, musculoskeletal pain, upper respiratory infection, insomnia, malaise, and dizziness. In POLARIS</w:t>
      </w:r>
      <w:r w:rsidR="00B63227">
        <w:noBreakHyphen/>
      </w:r>
      <w:r>
        <w:t xml:space="preserve">02/Cohort 3 the most frequent </w:t>
      </w:r>
      <w:r w:rsidR="00B63227">
        <w:t>adverse events</w:t>
      </w:r>
      <w:r>
        <w:t xml:space="preserve"> (≥</w:t>
      </w:r>
      <w:r w:rsidR="00B63227">
        <w:t> </w:t>
      </w:r>
      <w:r>
        <w:t>20%) were hypothyroidism, fatigue, and cough</w:t>
      </w:r>
      <w:r w:rsidR="004573D3">
        <w:t>. I</w:t>
      </w:r>
      <w:r>
        <w:t>n the pooled safety dataset (n</w:t>
      </w:r>
      <w:r w:rsidR="00B63227">
        <w:t> </w:t>
      </w:r>
      <w:r>
        <w:t>=</w:t>
      </w:r>
      <w:r w:rsidR="00B63227">
        <w:t> </w:t>
      </w:r>
      <w:r>
        <w:t xml:space="preserve">851), the most frequent </w:t>
      </w:r>
      <w:r w:rsidR="00B63227">
        <w:t xml:space="preserve">adverse events </w:t>
      </w:r>
      <w:r>
        <w:t>(≥</w:t>
      </w:r>
      <w:r w:rsidR="00B63227">
        <w:t> </w:t>
      </w:r>
      <w:r>
        <w:t>20%) were hypothyroidism, fatigue, and musculoskeletal pain.</w:t>
      </w:r>
    </w:p>
    <w:p w14:paraId="75D4BD58" w14:textId="0F2B97A8" w:rsidR="004F7ACF" w:rsidRDefault="004F7ACF" w:rsidP="004F7ACF">
      <w:pPr>
        <w:pStyle w:val="ListBullet"/>
      </w:pPr>
      <w:r>
        <w:t xml:space="preserve">Discontinuation of </w:t>
      </w:r>
      <w:proofErr w:type="spellStart"/>
      <w:r>
        <w:t>toripalimab</w:t>
      </w:r>
      <w:proofErr w:type="spellEnd"/>
      <w:r>
        <w:t xml:space="preserve"> due to </w:t>
      </w:r>
      <w:r w:rsidR="004573D3">
        <w:t>adverse events</w:t>
      </w:r>
      <w:r>
        <w:t xml:space="preserve"> occurred in 12% of patients in JUPITER</w:t>
      </w:r>
      <w:r w:rsidR="004906FA">
        <w:noBreakHyphen/>
      </w:r>
      <w:r>
        <w:t>02, and in 9% and 12.1% of patients in the POLARIS</w:t>
      </w:r>
      <w:r w:rsidR="004906FA">
        <w:noBreakHyphen/>
      </w:r>
      <w:r>
        <w:t>02/Cohort 3 trial and the safety pooled dataset, respectively. In JUPITER</w:t>
      </w:r>
      <w:r w:rsidR="004906FA">
        <w:noBreakHyphen/>
      </w:r>
      <w:r>
        <w:t xml:space="preserve">02, the most frequent </w:t>
      </w:r>
      <w:r w:rsidR="004906FA">
        <w:t>adverse events</w:t>
      </w:r>
      <w:r>
        <w:t xml:space="preserve"> leading to </w:t>
      </w:r>
      <w:proofErr w:type="spellStart"/>
      <w:r>
        <w:t>toripalimab</w:t>
      </w:r>
      <w:proofErr w:type="spellEnd"/>
      <w:r>
        <w:t xml:space="preserve"> discontinuation (≥</w:t>
      </w:r>
      <w:r w:rsidR="004906FA">
        <w:t> </w:t>
      </w:r>
      <w:r>
        <w:t>1%) were pneumonia, pulmonary tuberculosis, rash, vomiting, and thrombocytopenia. In POLARIS</w:t>
      </w:r>
      <w:r w:rsidR="004906FA">
        <w:noBreakHyphen/>
      </w:r>
      <w:r>
        <w:t>02</w:t>
      </w:r>
      <w:r w:rsidR="004906FA">
        <w:t>/Cohort 3</w:t>
      </w:r>
      <w:r>
        <w:t xml:space="preserve">, the most frequent </w:t>
      </w:r>
      <w:r w:rsidR="004906FA">
        <w:t>adverse events</w:t>
      </w:r>
      <w:r>
        <w:t xml:space="preserve"> leading to </w:t>
      </w:r>
      <w:proofErr w:type="spellStart"/>
      <w:r>
        <w:t>toripalimab</w:t>
      </w:r>
      <w:proofErr w:type="spellEnd"/>
      <w:r>
        <w:t xml:space="preserve"> discontinuation (≥</w:t>
      </w:r>
      <w:r w:rsidR="004906FA">
        <w:t> </w:t>
      </w:r>
      <w:r>
        <w:t>1%) were pneumonia, abnormal hepatic function, and hyperbilirubinemia.</w:t>
      </w:r>
    </w:p>
    <w:p w14:paraId="4AC64786" w14:textId="5224DFFC" w:rsidR="00885256" w:rsidRDefault="004F7ACF" w:rsidP="004906FA">
      <w:pPr>
        <w:pStyle w:val="ListBullet"/>
      </w:pPr>
      <w:r>
        <w:t xml:space="preserve">Adverse events leading to </w:t>
      </w:r>
      <w:proofErr w:type="spellStart"/>
      <w:r>
        <w:t>toripalimab</w:t>
      </w:r>
      <w:proofErr w:type="spellEnd"/>
      <w:r>
        <w:t xml:space="preserve"> dose interruptions occurred in 50%, 20%, and 19% of patients in JUPITER</w:t>
      </w:r>
      <w:r w:rsidR="004906FA">
        <w:noBreakHyphen/>
      </w:r>
      <w:r>
        <w:t>02, POLARIS</w:t>
      </w:r>
      <w:r w:rsidR="00E572BE">
        <w:noBreakHyphen/>
      </w:r>
      <w:r>
        <w:t>02/Cohort 3, and the pooled safety dataset, respectively. In JUPITER</w:t>
      </w:r>
      <w:r w:rsidR="00E572BE">
        <w:noBreakHyphen/>
      </w:r>
      <w:r>
        <w:t xml:space="preserve">02, the most frequent </w:t>
      </w:r>
      <w:r w:rsidR="00E572BE">
        <w:t>adverse events</w:t>
      </w:r>
      <w:r>
        <w:t xml:space="preserve"> leading to dose interruptions (≥</w:t>
      </w:r>
      <w:r w:rsidR="00E572BE">
        <w:t> </w:t>
      </w:r>
      <w:r>
        <w:t>2%) were anaemia, decreased neutrophil count, thrombocytopenia, pneumonia, acute kidney injury, fatigue, upper respiratory tract infection, and hypothyroidism. In POLARIS</w:t>
      </w:r>
      <w:r w:rsidR="00E572BE">
        <w:noBreakHyphen/>
        <w:t>02</w:t>
      </w:r>
      <w:r>
        <w:t xml:space="preserve">/Cohort 3, the most frequent </w:t>
      </w:r>
      <w:r w:rsidR="00E572BE">
        <w:t>adverse events</w:t>
      </w:r>
      <w:r>
        <w:t xml:space="preserve"> leading to dose interruptions (≥</w:t>
      </w:r>
      <w:r w:rsidR="00E572BE">
        <w:t> </w:t>
      </w:r>
      <w:r>
        <w:t>1%) were pneumonia, thrombocytopenia, fatigue, hyperbilirubinemia, anaemia, decreased appetite, abnormal hepatic function abnormal, hypothyroidism, and pneumonitis.</w:t>
      </w:r>
    </w:p>
    <w:p w14:paraId="36520578" w14:textId="77777777" w:rsidR="000F7687" w:rsidRDefault="004F7ACF" w:rsidP="000F7687">
      <w:pPr>
        <w:pStyle w:val="ListBullet"/>
      </w:pPr>
      <w:r w:rsidRPr="004F7ACF">
        <w:t xml:space="preserve">A review of deaths due to </w:t>
      </w:r>
      <w:r w:rsidR="00944984">
        <w:t>adverse events</w:t>
      </w:r>
      <w:r w:rsidRPr="004F7ACF">
        <w:t xml:space="preserve"> in JUPITER</w:t>
      </w:r>
      <w:r w:rsidR="00944984">
        <w:noBreakHyphen/>
      </w:r>
      <w:r w:rsidRPr="004F7ACF">
        <w:t>02, POLARIS</w:t>
      </w:r>
      <w:r w:rsidR="00944984">
        <w:noBreakHyphen/>
      </w:r>
      <w:r w:rsidRPr="004F7ACF">
        <w:t>02</w:t>
      </w:r>
      <w:r w:rsidR="00944984">
        <w:t>/Cohort 3</w:t>
      </w:r>
      <w:r w:rsidRPr="004F7ACF">
        <w:t>, and the pooled safety dataset did not identify an unexpected safety signal relative to other agents in this class.</w:t>
      </w:r>
    </w:p>
    <w:p w14:paraId="117749D2" w14:textId="3161D0D5" w:rsidR="004F7ACF" w:rsidRPr="004F7ACF" w:rsidRDefault="004F7ACF" w:rsidP="000F7687">
      <w:pPr>
        <w:pStyle w:val="ListBullet"/>
      </w:pPr>
      <w:r w:rsidRPr="004F7ACF">
        <w:t>Serious adverse events occurred in 43%, 24.9%, and 23% of patients in JUPITER</w:t>
      </w:r>
      <w:r w:rsidR="000F7687">
        <w:noBreakHyphen/>
      </w:r>
      <w:r w:rsidRPr="004F7ACF">
        <w:t>02, POLARIS</w:t>
      </w:r>
      <w:r w:rsidR="000F7687">
        <w:noBreakHyphen/>
        <w:t>02</w:t>
      </w:r>
      <w:r w:rsidRPr="004F7ACF">
        <w:t>/Cohort 3, and the pooled safety dataset respectively. In JUPITER</w:t>
      </w:r>
      <w:r w:rsidR="000F7687">
        <w:noBreakHyphen/>
      </w:r>
      <w:r w:rsidRPr="004F7ACF">
        <w:t xml:space="preserve">02, the most </w:t>
      </w:r>
      <w:r w:rsidRPr="004F7ACF">
        <w:lastRenderedPageBreak/>
        <w:t xml:space="preserve">frequent </w:t>
      </w:r>
      <w:r w:rsidR="000F7687">
        <w:t>serious adverse events</w:t>
      </w:r>
      <w:r w:rsidRPr="004F7ACF">
        <w:t xml:space="preserve"> (≥</w:t>
      </w:r>
      <w:r w:rsidR="000F7687">
        <w:t> </w:t>
      </w:r>
      <w:r w:rsidRPr="004F7ACF">
        <w:t>2%) were thrombocytopenia, decreased neutrophil count, pneumonia, anaemia, abnormal hepatic function, and rash. In POLARIS</w:t>
      </w:r>
      <w:r w:rsidR="000F7687">
        <w:noBreakHyphen/>
        <w:t>02</w:t>
      </w:r>
      <w:r w:rsidRPr="004F7ACF">
        <w:t xml:space="preserve">/Cohort 3, the most frequent </w:t>
      </w:r>
      <w:r w:rsidR="000F7687">
        <w:t>serious adverse events</w:t>
      </w:r>
      <w:r w:rsidRPr="004F7ACF">
        <w:t xml:space="preserve"> (≥</w:t>
      </w:r>
      <w:r w:rsidR="000F7687">
        <w:t> </w:t>
      </w:r>
      <w:r w:rsidRPr="004F7ACF">
        <w:t>2%) were pneumonia, abnormal hepatic function abnormal, and hyperbilirubinemia.</w:t>
      </w:r>
    </w:p>
    <w:p w14:paraId="05966EE6" w14:textId="381333CF" w:rsidR="00551D62" w:rsidRDefault="004F7ACF" w:rsidP="00551D62">
      <w:pPr>
        <w:pStyle w:val="ListBullet"/>
      </w:pPr>
      <w:r w:rsidRPr="004F7ACF">
        <w:t>Immune</w:t>
      </w:r>
      <w:r w:rsidR="00EF4541">
        <w:t xml:space="preserve"> </w:t>
      </w:r>
      <w:r w:rsidRPr="004F7ACF">
        <w:t>related adverse events occurred in 40% (Grades</w:t>
      </w:r>
      <w:r w:rsidR="00551D62">
        <w:t> </w:t>
      </w:r>
      <w:r w:rsidR="00D72A83">
        <w:t xml:space="preserve">3 to </w:t>
      </w:r>
      <w:r w:rsidRPr="004F7ACF">
        <w:t>4, 6%) and 27.3% of patients (Grades</w:t>
      </w:r>
      <w:r w:rsidR="00551D62">
        <w:t> </w:t>
      </w:r>
      <w:r w:rsidRPr="004F7ACF">
        <w:t>3</w:t>
      </w:r>
      <w:r w:rsidR="00D72A83">
        <w:t xml:space="preserve"> to </w:t>
      </w:r>
      <w:r w:rsidRPr="004F7ACF">
        <w:t>5, 6%) in JUPITER</w:t>
      </w:r>
      <w:r w:rsidR="00D72A83">
        <w:noBreakHyphen/>
      </w:r>
      <w:r w:rsidRPr="004F7ACF">
        <w:t>02 and in the pooled safety dataset, respectively. In JUPITER</w:t>
      </w:r>
      <w:r w:rsidR="00D72A83">
        <w:noBreakHyphen/>
      </w:r>
      <w:r w:rsidRPr="004F7ACF">
        <w:t xml:space="preserve">02, the most frequent </w:t>
      </w:r>
      <w:r w:rsidR="004347CE">
        <w:t>immune related adverse events</w:t>
      </w:r>
      <w:r w:rsidRPr="004F7ACF">
        <w:t xml:space="preserve"> (≥</w:t>
      </w:r>
      <w:r w:rsidR="004347CE">
        <w:t> </w:t>
      </w:r>
      <w:r w:rsidRPr="004F7ACF">
        <w:t>2%) were hypothyroidism, dermatologic reactions, pneumonitis, and thyroiditis. In the pooled safety dataset, the most frequent i</w:t>
      </w:r>
      <w:r w:rsidR="004347CE">
        <w:t>mmune related adverse events</w:t>
      </w:r>
      <w:r w:rsidRPr="004F7ACF">
        <w:t xml:space="preserve"> (≥</w:t>
      </w:r>
      <w:r w:rsidR="004347CE">
        <w:t> </w:t>
      </w:r>
      <w:r w:rsidRPr="004F7ACF">
        <w:t>2%) were hypothyroidism, hyperthyroidism, dermatologic reactions, hepatitis, and pneumonitis. Two patients in the pooled dataset had fatal immune</w:t>
      </w:r>
      <w:r w:rsidR="004347CE">
        <w:t xml:space="preserve"> </w:t>
      </w:r>
      <w:r w:rsidRPr="004F7ACF">
        <w:t xml:space="preserve">related pneumonitis. Overall, the observed incidence of </w:t>
      </w:r>
      <w:r w:rsidR="004347CE">
        <w:t>immune related adverse events</w:t>
      </w:r>
      <w:r w:rsidRPr="004F7ACF">
        <w:t xml:space="preserve"> was </w:t>
      </w:r>
      <w:proofErr w:type="gramStart"/>
      <w:r w:rsidRPr="004F7ACF">
        <w:t>similar to</w:t>
      </w:r>
      <w:proofErr w:type="gramEnd"/>
      <w:r w:rsidRPr="004F7ACF">
        <w:t xml:space="preserve"> that reported for other agents in this class, </w:t>
      </w:r>
      <w:proofErr w:type="gramStart"/>
      <w:r w:rsidRPr="004F7ACF">
        <w:t>with the exception of</w:t>
      </w:r>
      <w:proofErr w:type="gramEnd"/>
      <w:r w:rsidRPr="004F7ACF">
        <w:t xml:space="preserve"> a higher incidence of hypothyroidism, which is most likely related to the high proportion of patients who had received prior radiation as treatment for NPC.</w:t>
      </w:r>
    </w:p>
    <w:p w14:paraId="47AF1AAB" w14:textId="2108FB2F" w:rsidR="004F7ACF" w:rsidRPr="004F7ACF" w:rsidRDefault="004F7ACF" w:rsidP="00551D62">
      <w:pPr>
        <w:pStyle w:val="ListBullet"/>
      </w:pPr>
      <w:r w:rsidRPr="004F7ACF">
        <w:t>Infusion</w:t>
      </w:r>
      <w:r w:rsidR="00551D62">
        <w:t xml:space="preserve"> </w:t>
      </w:r>
      <w:r w:rsidRPr="004F7ACF">
        <w:t xml:space="preserve">related reactions have been reported in 4.1% of patients receiving </w:t>
      </w:r>
      <w:proofErr w:type="spellStart"/>
      <w:r w:rsidRPr="004F7ACF">
        <w:t>toripalimab</w:t>
      </w:r>
      <w:proofErr w:type="spellEnd"/>
      <w:r w:rsidRPr="004F7ACF">
        <w:t xml:space="preserve"> in combination with cisplatin and gemcitabine, including Grade</w:t>
      </w:r>
      <w:r w:rsidR="00551D62">
        <w:t> </w:t>
      </w:r>
      <w:r w:rsidRPr="004F7ACF">
        <w:t>2 (0.7%) reactions</w:t>
      </w:r>
      <w:r w:rsidR="0020050C">
        <w:t>.</w:t>
      </w:r>
    </w:p>
    <w:p w14:paraId="4935A133" w14:textId="77777777" w:rsidR="0020050C" w:rsidRDefault="004F7ACF" w:rsidP="0020050C">
      <w:pPr>
        <w:pStyle w:val="ListBullet"/>
      </w:pPr>
      <w:r w:rsidRPr="004F7ACF">
        <w:t>Infusion</w:t>
      </w:r>
      <w:r w:rsidR="0020050C">
        <w:t xml:space="preserve"> </w:t>
      </w:r>
      <w:r w:rsidRPr="004F7ACF">
        <w:t xml:space="preserve">related reactions occurred in 2% of 851 patients receiving </w:t>
      </w:r>
      <w:proofErr w:type="spellStart"/>
      <w:r w:rsidRPr="004F7ACF">
        <w:t>toripalimab</w:t>
      </w:r>
      <w:proofErr w:type="spellEnd"/>
      <w:r w:rsidRPr="004F7ACF">
        <w:t xml:space="preserve"> as a single agent, including Grade</w:t>
      </w:r>
      <w:r w:rsidR="0020050C">
        <w:t> </w:t>
      </w:r>
      <w:r w:rsidRPr="004F7ACF">
        <w:t>3 (0.1%) and Grade</w:t>
      </w:r>
      <w:r w:rsidR="0020050C">
        <w:t> </w:t>
      </w:r>
      <w:r w:rsidRPr="004F7ACF">
        <w:t xml:space="preserve">2 (0.6%). </w:t>
      </w:r>
      <w:proofErr w:type="spellStart"/>
      <w:r w:rsidRPr="004F7ACF">
        <w:t>Toripalimab</w:t>
      </w:r>
      <w:proofErr w:type="spellEnd"/>
      <w:r w:rsidRPr="004F7ACF">
        <w:t xml:space="preserve"> was withheld for one Grade</w:t>
      </w:r>
      <w:r w:rsidR="0020050C">
        <w:t> </w:t>
      </w:r>
      <w:r w:rsidRPr="004F7ACF">
        <w:t>3 infusion related reaction</w:t>
      </w:r>
      <w:r w:rsidR="0020050C">
        <w:t>.</w:t>
      </w:r>
    </w:p>
    <w:p w14:paraId="21D7D92A" w14:textId="65D8D9A5" w:rsidR="004F7ACF" w:rsidRPr="004F7ACF" w:rsidRDefault="004F7ACF" w:rsidP="0020050C">
      <w:pPr>
        <w:pStyle w:val="ListBullet"/>
      </w:pPr>
      <w:r w:rsidRPr="004F7ACF">
        <w:t>In JUPITER</w:t>
      </w:r>
      <w:r w:rsidR="00BE05F8">
        <w:noBreakHyphen/>
      </w:r>
      <w:r w:rsidRPr="004F7ACF">
        <w:t>02, the most frequent Grade</w:t>
      </w:r>
      <w:r w:rsidR="00BE05F8">
        <w:t> </w:t>
      </w:r>
      <w:r w:rsidRPr="004F7ACF">
        <w:t>3 to 4 laboratory abnormalities (≥</w:t>
      </w:r>
      <w:r w:rsidR="00BE05F8">
        <w:t> </w:t>
      </w:r>
      <w:r w:rsidRPr="004F7ACF">
        <w:t>2%) were decreased neutrophils, decreased lymphocytes, decreased haemoglobin, decreased platelets, decreased potassium, decreased sodium, increased alanine aminotransferase, decreased magnesium, decreased calcium and increased aspartate aminotransferase. In POLARIS</w:t>
      </w:r>
      <w:r w:rsidR="004543F1">
        <w:noBreakHyphen/>
        <w:t>02</w:t>
      </w:r>
      <w:r w:rsidRPr="004F7ACF">
        <w:t>/Cohort 3, the most frequent Grade</w:t>
      </w:r>
      <w:r w:rsidR="004543F1">
        <w:t> </w:t>
      </w:r>
      <w:r w:rsidRPr="004F7ACF">
        <w:t>3 to 4 laboratory abnormalities (≥</w:t>
      </w:r>
      <w:r w:rsidR="004543F1">
        <w:t> </w:t>
      </w:r>
      <w:r w:rsidRPr="004F7ACF">
        <w:t>2%) were decreased lymphocytes, decreased sodium, decreased haemoglobin, increased aspartate aminotransferase and increased alkaline phosphatase. In the pooled monotherapy safety dataset, the most frequent Grade</w:t>
      </w:r>
      <w:r w:rsidR="004543F1">
        <w:t> </w:t>
      </w:r>
      <w:r w:rsidRPr="004F7ACF">
        <w:t>3 to 4 laboratory abnormalities (≥</w:t>
      </w:r>
      <w:r w:rsidR="004543F1">
        <w:t> </w:t>
      </w:r>
      <w:r w:rsidRPr="004F7ACF">
        <w:t>2%) were decreased sodium, decreased lymphocytes, decreased haemoglobin, decreased fibrinogen, increased lipase, increased aspartate aminotransferase, increased glucose and decreased phosphate.</w:t>
      </w:r>
    </w:p>
    <w:p w14:paraId="70B2DC6C" w14:textId="1235058D" w:rsidR="004F7ACF" w:rsidRPr="004F7ACF" w:rsidRDefault="004F7ACF" w:rsidP="00944D1F">
      <w:pPr>
        <w:pStyle w:val="ListBullet"/>
      </w:pPr>
      <w:r w:rsidRPr="004F7ACF">
        <w:t xml:space="preserve">The safety profile of </w:t>
      </w:r>
      <w:proofErr w:type="spellStart"/>
      <w:r w:rsidRPr="004F7ACF">
        <w:t>toripalimab</w:t>
      </w:r>
      <w:proofErr w:type="spellEnd"/>
      <w:r w:rsidRPr="004F7ACF">
        <w:t xml:space="preserve"> was </w:t>
      </w:r>
      <w:proofErr w:type="gramStart"/>
      <w:r w:rsidRPr="004F7ACF">
        <w:t>similar to</w:t>
      </w:r>
      <w:proofErr w:type="gramEnd"/>
      <w:r w:rsidRPr="004F7ACF">
        <w:t xml:space="preserve"> other PD</w:t>
      </w:r>
      <w:r w:rsidR="00E91736">
        <w:noBreakHyphen/>
      </w:r>
      <w:r w:rsidRPr="004F7ACF">
        <w:t>1 blocking antibodies when combined with platinum-based chemotherapy or administered as a monotherapy. The most significant adverse reactions include immune</w:t>
      </w:r>
      <w:r w:rsidR="003D7C93">
        <w:t xml:space="preserve"> </w:t>
      </w:r>
      <w:r w:rsidRPr="004F7ACF">
        <w:t xml:space="preserve">related adverse events. </w:t>
      </w:r>
      <w:proofErr w:type="spellStart"/>
      <w:r w:rsidRPr="004F7ACF">
        <w:t>Toripalimab</w:t>
      </w:r>
      <w:proofErr w:type="spellEnd"/>
      <w:r w:rsidRPr="004F7ACF">
        <w:t>, in combination with cisplatin or gemcitabine or as a monotherapy, appears to have an acceptable safety profile when assessed in the context of a life-threatening disease with unmet medical need.</w:t>
      </w:r>
    </w:p>
    <w:p w14:paraId="18BF15F8" w14:textId="66767542" w:rsidR="004F7ACF" w:rsidRPr="004F7ACF" w:rsidRDefault="004F7ACF" w:rsidP="003D7C93">
      <w:pPr>
        <w:pStyle w:val="ListBullet"/>
      </w:pPr>
      <w:r w:rsidRPr="004F7ACF">
        <w:t>Patients in clinical practice may have a lower performance status than those enrolled in clinical trials and could potentially experience greater toxicity.</w:t>
      </w:r>
    </w:p>
    <w:p w14:paraId="3FE59826" w14:textId="77777777" w:rsidR="000F079E" w:rsidRDefault="004F7ACF" w:rsidP="000F079E">
      <w:pPr>
        <w:pStyle w:val="ListBullet"/>
      </w:pPr>
      <w:r w:rsidRPr="004F7ACF">
        <w:t>A limitation of the data is that the two primary trials supporting this marketing application were conducted exclusively in Asia. JUPITER</w:t>
      </w:r>
      <w:r w:rsidR="000F079E">
        <w:noBreakHyphen/>
      </w:r>
      <w:r w:rsidRPr="004F7ACF">
        <w:t>02 had clinical sites only in China, Taiwan and Singapore, while POLARIS</w:t>
      </w:r>
      <w:r w:rsidR="000F079E">
        <w:noBreakHyphen/>
      </w:r>
      <w:r w:rsidRPr="004F7ACF">
        <w:t>02 was conducted exclusively in China, and all patients enrolled in both studies were Asian patients</w:t>
      </w:r>
      <w:r w:rsidR="000F079E">
        <w:t>.</w:t>
      </w:r>
    </w:p>
    <w:p w14:paraId="11A4558A" w14:textId="7B0FBA50" w:rsidR="004F7ACF" w:rsidRDefault="004F7ACF" w:rsidP="000F079E">
      <w:pPr>
        <w:pStyle w:val="ListBullet"/>
      </w:pPr>
      <w:r w:rsidRPr="004F7ACF">
        <w:t>Therefore, the patient population in the trials is not reflective of the racial and ethnic diversity of patients with NPC in Australia</w:t>
      </w:r>
      <w:r w:rsidR="00F36964">
        <w:t>.</w:t>
      </w:r>
    </w:p>
    <w:p w14:paraId="2F54408F" w14:textId="73258726" w:rsidR="00C22214" w:rsidRDefault="008C49C6" w:rsidP="00C22214">
      <w:pPr>
        <w:pStyle w:val="Heading4"/>
      </w:pPr>
      <w:bookmarkStart w:id="59" w:name="_Toc233974552"/>
      <w:bookmarkStart w:id="60" w:name="_Toc314842514"/>
      <w:r>
        <w:t>R</w:t>
      </w:r>
      <w:r w:rsidR="00C22214" w:rsidRPr="007B6132">
        <w:t>ecommendation</w:t>
      </w:r>
      <w:r>
        <w:t xml:space="preserve"> following the clinical evaluation</w:t>
      </w:r>
      <w:bookmarkEnd w:id="59"/>
    </w:p>
    <w:p w14:paraId="312AEF5E" w14:textId="77777777" w:rsidR="00A92CBF" w:rsidRDefault="00A92CBF" w:rsidP="00A92CBF">
      <w:r>
        <w:t xml:space="preserve">The clinical data supports a positive risk-benefit assessment and is supportive of approval for </w:t>
      </w:r>
      <w:proofErr w:type="spellStart"/>
      <w:r>
        <w:t>toripalimab</w:t>
      </w:r>
      <w:proofErr w:type="spellEnd"/>
      <w:r>
        <w:t xml:space="preserve"> for the following indications:</w:t>
      </w:r>
    </w:p>
    <w:p w14:paraId="572DC755" w14:textId="509736EB" w:rsidR="00A92CBF" w:rsidRDefault="00A92CBF" w:rsidP="007C1526">
      <w:pPr>
        <w:pStyle w:val="ListBullet"/>
      </w:pPr>
      <w:proofErr w:type="spellStart"/>
      <w:r>
        <w:lastRenderedPageBreak/>
        <w:t>Toripalimab</w:t>
      </w:r>
      <w:proofErr w:type="spellEnd"/>
      <w:r>
        <w:t xml:space="preserve"> is indicated, in combination with cisplatin and gemcitabine, for the first-line treatment of adults with metastatic or with recurrent, locally advanced nasopharyngeal carcinoma (NPC),</w:t>
      </w:r>
    </w:p>
    <w:p w14:paraId="48F74AED" w14:textId="5D5B779D" w:rsidR="00A92CBF" w:rsidRPr="00A92CBF" w:rsidRDefault="00A92CBF" w:rsidP="007C1526">
      <w:pPr>
        <w:pStyle w:val="ListBullet"/>
      </w:pPr>
      <w:proofErr w:type="spellStart"/>
      <w:r>
        <w:t>Toripalimab</w:t>
      </w:r>
      <w:proofErr w:type="spellEnd"/>
      <w:r>
        <w:t xml:space="preserve"> is indicated, as a single agent, for the treatment of adults with recurrent unresectable or metastatic NPC with disease progression on or after a platinum-containing chemotherapy</w:t>
      </w:r>
      <w:r w:rsidR="007C1526">
        <w:t>.</w:t>
      </w:r>
    </w:p>
    <w:p w14:paraId="2858B006" w14:textId="77777777" w:rsidR="00C22214" w:rsidRDefault="00C22214" w:rsidP="00C22214">
      <w:pPr>
        <w:pStyle w:val="Heading3"/>
        <w:rPr>
          <w:lang w:eastAsia="en-AU"/>
        </w:rPr>
      </w:pPr>
      <w:bookmarkStart w:id="61" w:name="_Toc103679298"/>
      <w:bookmarkStart w:id="62" w:name="_Toc233974553"/>
      <w:r>
        <w:rPr>
          <w:lang w:eastAsia="en-AU"/>
        </w:rPr>
        <w:t>Risk management plan</w:t>
      </w:r>
      <w:bookmarkEnd w:id="60"/>
      <w:bookmarkEnd w:id="61"/>
      <w:bookmarkEnd w:id="62"/>
    </w:p>
    <w:p w14:paraId="16A2B2F9" w14:textId="6858E9C4" w:rsidR="00FB3232" w:rsidRPr="00301825" w:rsidRDefault="00301825" w:rsidP="00C22214">
      <w:bookmarkStart w:id="63" w:name="_Toc247691531"/>
      <w:bookmarkStart w:id="64" w:name="_Toc314842515"/>
      <w:r w:rsidRPr="00805518">
        <w:t>The sponsor has submitted European Union (EU) Risk Management Plan (RMP) version 1.2 (date 8</w:t>
      </w:r>
      <w:r w:rsidR="00C0154F" w:rsidRPr="00805518">
        <w:t> </w:t>
      </w:r>
      <w:r w:rsidRPr="00805518">
        <w:t>August</w:t>
      </w:r>
      <w:r w:rsidR="00C0154F" w:rsidRPr="00805518">
        <w:t> </w:t>
      </w:r>
      <w:r w:rsidRPr="00805518">
        <w:t xml:space="preserve">2023; </w:t>
      </w:r>
      <w:r w:rsidR="00C0154F" w:rsidRPr="00805518">
        <w:t>data lock point (</w:t>
      </w:r>
      <w:r w:rsidRPr="00805518">
        <w:t>DLP</w:t>
      </w:r>
      <w:r w:rsidR="00C0154F" w:rsidRPr="00805518">
        <w:t>)</w:t>
      </w:r>
      <w:r w:rsidRPr="00805518">
        <w:t xml:space="preserve"> 16</w:t>
      </w:r>
      <w:r w:rsidR="00C0154F" w:rsidRPr="00805518">
        <w:t> </w:t>
      </w:r>
      <w:r w:rsidRPr="00805518">
        <w:t>December</w:t>
      </w:r>
      <w:r w:rsidR="00C0154F" w:rsidRPr="00805518">
        <w:t> </w:t>
      </w:r>
      <w:r w:rsidRPr="00805518">
        <w:t xml:space="preserve">2022) and </w:t>
      </w:r>
      <w:r w:rsidR="00C0154F" w:rsidRPr="00805518">
        <w:t>Australia-Specific Annex (</w:t>
      </w:r>
      <w:r w:rsidRPr="00805518">
        <w:t>ASA</w:t>
      </w:r>
      <w:r w:rsidR="00C0154F" w:rsidRPr="00805518">
        <w:t>)</w:t>
      </w:r>
      <w:r w:rsidRPr="00805518">
        <w:t xml:space="preserve"> version 0.1 (date not provided) in support of this application. </w:t>
      </w:r>
      <w:bookmarkStart w:id="65" w:name="_Hlk171081283"/>
      <w:r w:rsidRPr="00805518">
        <w:t xml:space="preserve">With the </w:t>
      </w:r>
      <w:r w:rsidR="003F1A8F" w:rsidRPr="00805518">
        <w:t xml:space="preserve">sponsors </w:t>
      </w:r>
      <w:r w:rsidRPr="00805518">
        <w:t>responses</w:t>
      </w:r>
      <w:r w:rsidR="003F1A8F" w:rsidRPr="00805518">
        <w:t xml:space="preserve"> to TGA questions</w:t>
      </w:r>
      <w:r w:rsidRPr="00805518">
        <w:t>, the sponsor provided EU</w:t>
      </w:r>
      <w:r w:rsidR="003F1A8F" w:rsidRPr="00805518">
        <w:t>-</w:t>
      </w:r>
      <w:r w:rsidRPr="00805518">
        <w:t>RMP version 1.4.1 (date</w:t>
      </w:r>
      <w:r w:rsidR="003F1A8F" w:rsidRPr="00805518">
        <w:t> </w:t>
      </w:r>
      <w:r w:rsidRPr="00805518">
        <w:t>13 June</w:t>
      </w:r>
      <w:r w:rsidR="003F1A8F" w:rsidRPr="00805518">
        <w:t> </w:t>
      </w:r>
      <w:r w:rsidRPr="00805518">
        <w:t>2024; DLP 16</w:t>
      </w:r>
      <w:r w:rsidR="003F1A8F" w:rsidRPr="00805518">
        <w:t> </w:t>
      </w:r>
      <w:r w:rsidRPr="00805518">
        <w:t>December</w:t>
      </w:r>
      <w:r w:rsidR="003F1A8F" w:rsidRPr="00805518">
        <w:t> </w:t>
      </w:r>
      <w:r w:rsidRPr="00805518">
        <w:t>2022) and an updated ASA version 0.2 (date 13</w:t>
      </w:r>
      <w:r w:rsidR="003F1A8F" w:rsidRPr="00805518">
        <w:t> </w:t>
      </w:r>
      <w:r w:rsidRPr="00805518">
        <w:t>June</w:t>
      </w:r>
      <w:r w:rsidR="003F1A8F" w:rsidRPr="00805518">
        <w:t> </w:t>
      </w:r>
      <w:r w:rsidRPr="00805518">
        <w:t>2024).</w:t>
      </w:r>
      <w:bookmarkEnd w:id="65"/>
    </w:p>
    <w:p w14:paraId="39F3CD1D" w14:textId="065F17A9" w:rsidR="0072003B" w:rsidRPr="00BD5DBD" w:rsidRDefault="00C22214" w:rsidP="00C22214">
      <w:pPr>
        <w:rPr>
          <w:szCs w:val="22"/>
        </w:rPr>
      </w:pPr>
      <w:r w:rsidRPr="00BD5DBD">
        <w:rPr>
          <w:szCs w:val="22"/>
        </w:rPr>
        <w:t>The summary of safety concerns and their associated risk monitoring and mitigation strategies are summarised in</w:t>
      </w:r>
      <w:r w:rsidR="003B149C">
        <w:rPr>
          <w:szCs w:val="22"/>
        </w:rPr>
        <w:t xml:space="preserve"> </w:t>
      </w:r>
      <w:r w:rsidR="003B149C" w:rsidRPr="003B149C">
        <w:rPr>
          <w:szCs w:val="22"/>
        </w:rPr>
        <w:fldChar w:fldCharType="begin"/>
      </w:r>
      <w:r w:rsidR="003B149C" w:rsidRPr="003B149C">
        <w:rPr>
          <w:szCs w:val="22"/>
        </w:rPr>
        <w:instrText xml:space="preserve"> REF _Ref97629131 \h </w:instrText>
      </w:r>
      <w:r w:rsidR="003B149C">
        <w:rPr>
          <w:szCs w:val="22"/>
        </w:rPr>
        <w:instrText xml:space="preserve"> \* MERGEFORMAT </w:instrText>
      </w:r>
      <w:r w:rsidR="003B149C" w:rsidRPr="003B149C">
        <w:rPr>
          <w:szCs w:val="22"/>
        </w:rPr>
      </w:r>
      <w:r w:rsidR="003B149C" w:rsidRPr="003B149C">
        <w:rPr>
          <w:szCs w:val="22"/>
        </w:rPr>
        <w:fldChar w:fldCharType="separate"/>
      </w:r>
      <w:r w:rsidR="00D82028" w:rsidRPr="00D82028">
        <w:rPr>
          <w:szCs w:val="22"/>
        </w:rPr>
        <w:t xml:space="preserve">Table </w:t>
      </w:r>
      <w:r w:rsidR="00D82028" w:rsidRPr="00D82028">
        <w:rPr>
          <w:noProof/>
          <w:szCs w:val="22"/>
        </w:rPr>
        <w:t>12</w:t>
      </w:r>
      <w:r w:rsidR="003B149C" w:rsidRPr="003B149C">
        <w:rPr>
          <w:szCs w:val="22"/>
        </w:rPr>
        <w:fldChar w:fldCharType="end"/>
      </w:r>
      <w:r w:rsidR="008C49C6" w:rsidRPr="003B149C">
        <w:rPr>
          <w:szCs w:val="22"/>
        </w:rPr>
        <w:t>.</w:t>
      </w:r>
      <w:r w:rsidR="0072003B" w:rsidRPr="00BD5DBD">
        <w:rPr>
          <w:szCs w:val="22"/>
        </w:rPr>
        <w:t xml:space="preserve"> The TGA</w:t>
      </w:r>
      <w:r w:rsidR="00C07551" w:rsidRPr="00BD5DBD">
        <w:rPr>
          <w:szCs w:val="22"/>
        </w:rPr>
        <w:t xml:space="preserve"> may</w:t>
      </w:r>
      <w:r w:rsidR="0072003B" w:rsidRPr="00BD5DBD">
        <w:rPr>
          <w:szCs w:val="22"/>
        </w:rPr>
        <w:t xml:space="preserve"> request an updated RMP at any stage of a product's life</w:t>
      </w:r>
      <w:r w:rsidR="009C633D">
        <w:rPr>
          <w:szCs w:val="22"/>
        </w:rPr>
        <w:t xml:space="preserve"> </w:t>
      </w:r>
      <w:r w:rsidR="0072003B" w:rsidRPr="00BD5DBD">
        <w:rPr>
          <w:szCs w:val="22"/>
        </w:rPr>
        <w:t>cycle, during both the pre-approval and post-approval phases.</w:t>
      </w:r>
    </w:p>
    <w:p w14:paraId="2B51299D" w14:textId="470C1CE0" w:rsidR="00863132" w:rsidRPr="00F917E7" w:rsidRDefault="00C22214" w:rsidP="00863132">
      <w:pPr>
        <w:pStyle w:val="TableTitle"/>
      </w:pPr>
      <w:bookmarkStart w:id="66" w:name="_Ref97629131"/>
      <w:r>
        <w:t xml:space="preserve">Table </w:t>
      </w:r>
      <w:fldSimple w:instr=" SEQ Table \* ARABIC ">
        <w:r w:rsidR="00D82028">
          <w:rPr>
            <w:noProof/>
          </w:rPr>
          <w:t>12</w:t>
        </w:r>
      </w:fldSimple>
      <w:bookmarkEnd w:id="66"/>
      <w:r>
        <w:t>: Summary of safety concerns</w:t>
      </w:r>
    </w:p>
    <w:tbl>
      <w:tblPr>
        <w:tblStyle w:val="TableTGAblue2023"/>
        <w:tblW w:w="9469" w:type="dxa"/>
        <w:tblLayout w:type="fixed"/>
        <w:tblLook w:val="04A0" w:firstRow="1" w:lastRow="0" w:firstColumn="1" w:lastColumn="0" w:noHBand="0" w:noVBand="1"/>
      </w:tblPr>
      <w:tblGrid>
        <w:gridCol w:w="1413"/>
        <w:gridCol w:w="3544"/>
        <w:gridCol w:w="992"/>
        <w:gridCol w:w="1276"/>
        <w:gridCol w:w="992"/>
        <w:gridCol w:w="1252"/>
      </w:tblGrid>
      <w:tr w:rsidR="00863132" w:rsidRPr="00BF52F4" w14:paraId="299B387B" w14:textId="77777777" w:rsidTr="000C63D6">
        <w:trPr>
          <w:cnfStyle w:val="100000000000" w:firstRow="1" w:lastRow="0" w:firstColumn="0" w:lastColumn="0" w:oddVBand="0" w:evenVBand="0" w:oddHBand="0"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4957" w:type="dxa"/>
            <w:gridSpan w:val="2"/>
            <w:vMerge w:val="restart"/>
          </w:tcPr>
          <w:p w14:paraId="63B62820" w14:textId="77777777" w:rsidR="00863132" w:rsidRPr="000C63D6" w:rsidRDefault="00863132" w:rsidP="00CA7F43">
            <w:pPr>
              <w:rPr>
                <w:b w:val="0"/>
              </w:rPr>
            </w:pPr>
            <w:r w:rsidRPr="000C63D6">
              <w:t>Summary of safety concerns</w:t>
            </w:r>
          </w:p>
        </w:tc>
        <w:tc>
          <w:tcPr>
            <w:tcW w:w="2268" w:type="dxa"/>
            <w:gridSpan w:val="2"/>
          </w:tcPr>
          <w:p w14:paraId="5E2E4763" w14:textId="77777777" w:rsidR="00863132" w:rsidRPr="000C63D6" w:rsidRDefault="00863132" w:rsidP="00CA7F43">
            <w:pPr>
              <w:cnfStyle w:val="100000000000" w:firstRow="1" w:lastRow="0" w:firstColumn="0" w:lastColumn="0" w:oddVBand="0" w:evenVBand="0" w:oddHBand="0" w:evenHBand="0" w:firstRowFirstColumn="0" w:firstRowLastColumn="0" w:lastRowFirstColumn="0" w:lastRowLastColumn="0"/>
              <w:rPr>
                <w:b w:val="0"/>
              </w:rPr>
            </w:pPr>
            <w:r w:rsidRPr="000C63D6">
              <w:t>Pharmacovigilance</w:t>
            </w:r>
          </w:p>
        </w:tc>
        <w:tc>
          <w:tcPr>
            <w:tcW w:w="2244" w:type="dxa"/>
            <w:gridSpan w:val="2"/>
          </w:tcPr>
          <w:p w14:paraId="30759328" w14:textId="77777777" w:rsidR="00863132" w:rsidRPr="000C63D6" w:rsidRDefault="00863132" w:rsidP="00CA7F43">
            <w:pPr>
              <w:cnfStyle w:val="100000000000" w:firstRow="1" w:lastRow="0" w:firstColumn="0" w:lastColumn="0" w:oddVBand="0" w:evenVBand="0" w:oddHBand="0" w:evenHBand="0" w:firstRowFirstColumn="0" w:firstRowLastColumn="0" w:lastRowFirstColumn="0" w:lastRowLastColumn="0"/>
              <w:rPr>
                <w:b w:val="0"/>
              </w:rPr>
            </w:pPr>
            <w:r w:rsidRPr="000C63D6">
              <w:t>Risk Minimisation</w:t>
            </w:r>
          </w:p>
        </w:tc>
      </w:tr>
      <w:tr w:rsidR="000C63D6" w:rsidRPr="00BF52F4" w14:paraId="44623A2F" w14:textId="77777777" w:rsidTr="00100947">
        <w:trPr>
          <w:trHeight w:val="150"/>
        </w:trPr>
        <w:tc>
          <w:tcPr>
            <w:cnfStyle w:val="001000000000" w:firstRow="0" w:lastRow="0" w:firstColumn="1" w:lastColumn="0" w:oddVBand="0" w:evenVBand="0" w:oddHBand="0" w:evenHBand="0" w:firstRowFirstColumn="0" w:firstRowLastColumn="0" w:lastRowFirstColumn="0" w:lastRowLastColumn="0"/>
            <w:tcW w:w="4957" w:type="dxa"/>
            <w:gridSpan w:val="2"/>
            <w:vMerge/>
          </w:tcPr>
          <w:p w14:paraId="42D27D15" w14:textId="77777777" w:rsidR="00863132" w:rsidRPr="000C63D6" w:rsidRDefault="00863132" w:rsidP="00CA7F43"/>
        </w:tc>
        <w:tc>
          <w:tcPr>
            <w:tcW w:w="992" w:type="dxa"/>
            <w:shd w:val="clear" w:color="auto" w:fill="DEEAF6" w:themeFill="accent5" w:themeFillTint="33"/>
          </w:tcPr>
          <w:p w14:paraId="20156386" w14:textId="77777777" w:rsidR="00863132" w:rsidRPr="00100947" w:rsidRDefault="00863132" w:rsidP="00CA7F43">
            <w:pPr>
              <w:cnfStyle w:val="000000000000" w:firstRow="0" w:lastRow="0" w:firstColumn="0" w:lastColumn="0" w:oddVBand="0" w:evenVBand="0" w:oddHBand="0" w:evenHBand="0" w:firstRowFirstColumn="0" w:firstRowLastColumn="0" w:lastRowFirstColumn="0" w:lastRowLastColumn="0"/>
            </w:pPr>
            <w:r w:rsidRPr="00100947">
              <w:t>Routine</w:t>
            </w:r>
          </w:p>
        </w:tc>
        <w:tc>
          <w:tcPr>
            <w:tcW w:w="1276" w:type="dxa"/>
            <w:shd w:val="clear" w:color="auto" w:fill="DEEAF6" w:themeFill="accent5" w:themeFillTint="33"/>
          </w:tcPr>
          <w:p w14:paraId="6F97DDCC" w14:textId="77777777" w:rsidR="00863132" w:rsidRPr="00100947" w:rsidRDefault="00863132" w:rsidP="00CA7F43">
            <w:pPr>
              <w:cnfStyle w:val="000000000000" w:firstRow="0" w:lastRow="0" w:firstColumn="0" w:lastColumn="0" w:oddVBand="0" w:evenVBand="0" w:oddHBand="0" w:evenHBand="0" w:firstRowFirstColumn="0" w:firstRowLastColumn="0" w:lastRowFirstColumn="0" w:lastRowLastColumn="0"/>
            </w:pPr>
            <w:r w:rsidRPr="00100947">
              <w:t>Additional</w:t>
            </w:r>
          </w:p>
        </w:tc>
        <w:tc>
          <w:tcPr>
            <w:tcW w:w="992" w:type="dxa"/>
            <w:shd w:val="clear" w:color="auto" w:fill="DEEAF6" w:themeFill="accent5" w:themeFillTint="33"/>
          </w:tcPr>
          <w:p w14:paraId="3024DE4F" w14:textId="77777777" w:rsidR="00863132" w:rsidRPr="00100947" w:rsidRDefault="00863132" w:rsidP="00CA7F43">
            <w:pPr>
              <w:cnfStyle w:val="000000000000" w:firstRow="0" w:lastRow="0" w:firstColumn="0" w:lastColumn="0" w:oddVBand="0" w:evenVBand="0" w:oddHBand="0" w:evenHBand="0" w:firstRowFirstColumn="0" w:firstRowLastColumn="0" w:lastRowFirstColumn="0" w:lastRowLastColumn="0"/>
            </w:pPr>
            <w:r w:rsidRPr="00100947">
              <w:t>Routine</w:t>
            </w:r>
          </w:p>
        </w:tc>
        <w:tc>
          <w:tcPr>
            <w:tcW w:w="1252" w:type="dxa"/>
            <w:shd w:val="clear" w:color="auto" w:fill="DEEAF6" w:themeFill="accent5" w:themeFillTint="33"/>
          </w:tcPr>
          <w:p w14:paraId="117158A4" w14:textId="77777777" w:rsidR="00863132" w:rsidRPr="00100947" w:rsidRDefault="00863132" w:rsidP="00CA7F43">
            <w:pPr>
              <w:cnfStyle w:val="000000000000" w:firstRow="0" w:lastRow="0" w:firstColumn="0" w:lastColumn="0" w:oddVBand="0" w:evenVBand="0" w:oddHBand="0" w:evenHBand="0" w:firstRowFirstColumn="0" w:firstRowLastColumn="0" w:lastRowFirstColumn="0" w:lastRowLastColumn="0"/>
            </w:pPr>
            <w:r w:rsidRPr="00100947">
              <w:t>Additional</w:t>
            </w:r>
          </w:p>
        </w:tc>
      </w:tr>
      <w:tr w:rsidR="000C63D6" w:rsidRPr="00BF52F4" w14:paraId="7D79C38D" w14:textId="77777777" w:rsidTr="000C63D6">
        <w:trPr>
          <w:trHeight w:val="137"/>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075EF62B" w14:textId="77777777" w:rsidR="00863132" w:rsidRPr="000C63D6" w:rsidRDefault="00863132" w:rsidP="00CA7F43">
            <w:r w:rsidRPr="000C63D6">
              <w:t>Important identified risks</w:t>
            </w:r>
          </w:p>
        </w:tc>
        <w:tc>
          <w:tcPr>
            <w:tcW w:w="3544" w:type="dxa"/>
          </w:tcPr>
          <w:p w14:paraId="611681F9"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t>Immune related adverse reactions (ARs) (including immune-related pneumonitis, colitis and diarrhoea, hepatitis, myocarditis, nephritis, endocrinopathies, pancreatitis, myositis, skin ARs, and other immune-related reactions)</w:t>
            </w:r>
          </w:p>
        </w:tc>
        <w:tc>
          <w:tcPr>
            <w:tcW w:w="992" w:type="dxa"/>
          </w:tcPr>
          <w:p w14:paraId="378509B2"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rPr>
                <w:rFonts w:ascii="Wingdings" w:eastAsia="Wingdings" w:hAnsi="Wingdings" w:cs="Wingdings"/>
              </w:rPr>
              <w:t>ü</w:t>
            </w:r>
          </w:p>
        </w:tc>
        <w:tc>
          <w:tcPr>
            <w:tcW w:w="1276" w:type="dxa"/>
          </w:tcPr>
          <w:p w14:paraId="05D1BC26"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t>–</w:t>
            </w:r>
          </w:p>
        </w:tc>
        <w:tc>
          <w:tcPr>
            <w:tcW w:w="992" w:type="dxa"/>
          </w:tcPr>
          <w:p w14:paraId="5A2BA00C"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rPr>
                <w:rFonts w:ascii="Wingdings" w:eastAsia="Wingdings" w:hAnsi="Wingdings" w:cs="Wingdings"/>
              </w:rPr>
              <w:t>ü</w:t>
            </w:r>
          </w:p>
        </w:tc>
        <w:tc>
          <w:tcPr>
            <w:tcW w:w="1252" w:type="dxa"/>
          </w:tcPr>
          <w:p w14:paraId="56A7C692"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rPr>
                <w:rFonts w:ascii="Wingdings" w:eastAsia="Wingdings" w:hAnsi="Wingdings" w:cs="Wingdings"/>
              </w:rPr>
              <w:t>ü</w:t>
            </w:r>
            <w:r w:rsidRPr="000C63D6">
              <w:rPr>
                <w:rFonts w:asciiTheme="majorHAnsi" w:hAnsiTheme="majorHAnsi"/>
              </w:rPr>
              <w:t>†</w:t>
            </w:r>
          </w:p>
        </w:tc>
      </w:tr>
      <w:tr w:rsidR="000C63D6" w:rsidRPr="00BF52F4" w14:paraId="22BA15C8" w14:textId="77777777" w:rsidTr="000C63D6">
        <w:trPr>
          <w:trHeight w:val="94"/>
        </w:trPr>
        <w:tc>
          <w:tcPr>
            <w:cnfStyle w:val="001000000000" w:firstRow="0" w:lastRow="0" w:firstColumn="1" w:lastColumn="0" w:oddVBand="0" w:evenVBand="0" w:oddHBand="0" w:evenHBand="0" w:firstRowFirstColumn="0" w:firstRowLastColumn="0" w:lastRowFirstColumn="0" w:lastRowLastColumn="0"/>
            <w:tcW w:w="1413" w:type="dxa"/>
            <w:vMerge/>
          </w:tcPr>
          <w:p w14:paraId="434FE35F" w14:textId="77777777" w:rsidR="00863132" w:rsidRPr="000C63D6" w:rsidRDefault="00863132" w:rsidP="00CA7F43"/>
        </w:tc>
        <w:tc>
          <w:tcPr>
            <w:tcW w:w="3544" w:type="dxa"/>
          </w:tcPr>
          <w:p w14:paraId="6AD283C2"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t>Solid organ transplant rejection</w:t>
            </w:r>
          </w:p>
        </w:tc>
        <w:tc>
          <w:tcPr>
            <w:tcW w:w="992" w:type="dxa"/>
          </w:tcPr>
          <w:p w14:paraId="291597EC"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rPr>
                <w:rFonts w:ascii="Wingdings" w:eastAsia="Wingdings" w:hAnsi="Wingdings" w:cs="Wingdings"/>
              </w:rPr>
              <w:t>ü</w:t>
            </w:r>
          </w:p>
        </w:tc>
        <w:tc>
          <w:tcPr>
            <w:tcW w:w="1276" w:type="dxa"/>
          </w:tcPr>
          <w:p w14:paraId="3C7208AF"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t>–</w:t>
            </w:r>
          </w:p>
        </w:tc>
        <w:tc>
          <w:tcPr>
            <w:tcW w:w="992" w:type="dxa"/>
          </w:tcPr>
          <w:p w14:paraId="7DC3F424"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rPr>
                <w:rFonts w:ascii="Wingdings" w:eastAsia="Wingdings" w:hAnsi="Wingdings" w:cs="Wingdings"/>
              </w:rPr>
              <w:t>ü</w:t>
            </w:r>
          </w:p>
        </w:tc>
        <w:tc>
          <w:tcPr>
            <w:tcW w:w="1252" w:type="dxa"/>
          </w:tcPr>
          <w:p w14:paraId="617A0FB9"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t>–</w:t>
            </w:r>
          </w:p>
        </w:tc>
      </w:tr>
      <w:tr w:rsidR="000C63D6" w:rsidRPr="00BF52F4" w14:paraId="785C245E" w14:textId="77777777" w:rsidTr="000C63D6">
        <w:trPr>
          <w:trHeight w:val="159"/>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57E270DF" w14:textId="77777777" w:rsidR="00863132" w:rsidRPr="000C63D6" w:rsidRDefault="00863132" w:rsidP="00CA7F43">
            <w:r w:rsidRPr="000C63D6">
              <w:t>Important potential risks</w:t>
            </w:r>
          </w:p>
        </w:tc>
        <w:tc>
          <w:tcPr>
            <w:tcW w:w="3544" w:type="dxa"/>
          </w:tcPr>
          <w:p w14:paraId="25110556"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t xml:space="preserve">Graft-versus-host-disease (GVHD) with </w:t>
            </w:r>
            <w:proofErr w:type="spellStart"/>
            <w:r w:rsidRPr="000C63D6">
              <w:t>toripalimab</w:t>
            </w:r>
            <w:proofErr w:type="spellEnd"/>
            <w:r w:rsidRPr="000C63D6">
              <w:t xml:space="preserve"> after allogeneic </w:t>
            </w:r>
          </w:p>
          <w:p w14:paraId="1906846B"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t xml:space="preserve">hematopoietic stem cell transplantation </w:t>
            </w:r>
          </w:p>
          <w:p w14:paraId="2A12BDFC"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t>(HSCT)</w:t>
            </w:r>
          </w:p>
        </w:tc>
        <w:tc>
          <w:tcPr>
            <w:tcW w:w="992" w:type="dxa"/>
          </w:tcPr>
          <w:p w14:paraId="2C0F4078"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rPr>
                <w:rFonts w:ascii="Wingdings" w:eastAsia="Wingdings" w:hAnsi="Wingdings" w:cs="Wingdings"/>
              </w:rPr>
              <w:t>ü</w:t>
            </w:r>
          </w:p>
        </w:tc>
        <w:tc>
          <w:tcPr>
            <w:tcW w:w="1276" w:type="dxa"/>
          </w:tcPr>
          <w:p w14:paraId="6028FFDA"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t>–</w:t>
            </w:r>
          </w:p>
        </w:tc>
        <w:tc>
          <w:tcPr>
            <w:tcW w:w="992" w:type="dxa"/>
          </w:tcPr>
          <w:p w14:paraId="1FEC3A3F"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rPr>
                <w:rFonts w:ascii="Wingdings" w:eastAsia="Wingdings" w:hAnsi="Wingdings" w:cs="Wingdings"/>
              </w:rPr>
              <w:t>ü</w:t>
            </w:r>
          </w:p>
        </w:tc>
        <w:tc>
          <w:tcPr>
            <w:tcW w:w="1252" w:type="dxa"/>
          </w:tcPr>
          <w:p w14:paraId="44833384"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t>–</w:t>
            </w:r>
          </w:p>
        </w:tc>
      </w:tr>
      <w:tr w:rsidR="000C63D6" w:rsidRPr="00BF52F4" w14:paraId="02E3C1C1" w14:textId="77777777" w:rsidTr="000C63D6">
        <w:trPr>
          <w:trHeight w:val="112"/>
        </w:trPr>
        <w:tc>
          <w:tcPr>
            <w:cnfStyle w:val="001000000000" w:firstRow="0" w:lastRow="0" w:firstColumn="1" w:lastColumn="0" w:oddVBand="0" w:evenVBand="0" w:oddHBand="0" w:evenHBand="0" w:firstRowFirstColumn="0" w:firstRowLastColumn="0" w:lastRowFirstColumn="0" w:lastRowLastColumn="0"/>
            <w:tcW w:w="1413" w:type="dxa"/>
            <w:vMerge/>
          </w:tcPr>
          <w:p w14:paraId="01EC2D0D" w14:textId="77777777" w:rsidR="00863132" w:rsidRPr="000C63D6" w:rsidRDefault="00863132" w:rsidP="00CA7F43">
            <w:bookmarkStart w:id="67" w:name="_Hlk171083532"/>
          </w:p>
        </w:tc>
        <w:tc>
          <w:tcPr>
            <w:tcW w:w="3544" w:type="dxa"/>
          </w:tcPr>
          <w:p w14:paraId="5C890BC9"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t>Embryotoxicities</w:t>
            </w:r>
          </w:p>
        </w:tc>
        <w:tc>
          <w:tcPr>
            <w:tcW w:w="992" w:type="dxa"/>
          </w:tcPr>
          <w:p w14:paraId="1096037A"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rPr>
                <w:rFonts w:ascii="Wingdings" w:eastAsia="Wingdings" w:hAnsi="Wingdings" w:cs="Wingdings"/>
              </w:rPr>
              <w:t>ü</w:t>
            </w:r>
          </w:p>
        </w:tc>
        <w:tc>
          <w:tcPr>
            <w:tcW w:w="1276" w:type="dxa"/>
          </w:tcPr>
          <w:p w14:paraId="6610278D"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t>–</w:t>
            </w:r>
          </w:p>
        </w:tc>
        <w:tc>
          <w:tcPr>
            <w:tcW w:w="992" w:type="dxa"/>
          </w:tcPr>
          <w:p w14:paraId="14CA29F6"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rPr>
                <w:rFonts w:ascii="Wingdings" w:eastAsia="Wingdings" w:hAnsi="Wingdings" w:cs="Wingdings"/>
              </w:rPr>
              <w:t>ü</w:t>
            </w:r>
          </w:p>
        </w:tc>
        <w:tc>
          <w:tcPr>
            <w:tcW w:w="1252" w:type="dxa"/>
          </w:tcPr>
          <w:p w14:paraId="2AB87EC3"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t>–</w:t>
            </w:r>
          </w:p>
        </w:tc>
      </w:tr>
      <w:bookmarkEnd w:id="67"/>
      <w:tr w:rsidR="000C63D6" w:rsidRPr="00BF52F4" w14:paraId="55A7195C" w14:textId="77777777" w:rsidTr="000C63D6">
        <w:trPr>
          <w:trHeight w:val="112"/>
        </w:trPr>
        <w:tc>
          <w:tcPr>
            <w:cnfStyle w:val="001000000000" w:firstRow="0" w:lastRow="0" w:firstColumn="1" w:lastColumn="0" w:oddVBand="0" w:evenVBand="0" w:oddHBand="0" w:evenHBand="0" w:firstRowFirstColumn="0" w:firstRowLastColumn="0" w:lastRowFirstColumn="0" w:lastRowLastColumn="0"/>
            <w:tcW w:w="1413" w:type="dxa"/>
          </w:tcPr>
          <w:p w14:paraId="768CC474" w14:textId="77777777" w:rsidR="00863132" w:rsidRPr="000C63D6" w:rsidRDefault="00863132" w:rsidP="00CA7F43">
            <w:r w:rsidRPr="000C63D6">
              <w:t xml:space="preserve">Missing information </w:t>
            </w:r>
          </w:p>
        </w:tc>
        <w:tc>
          <w:tcPr>
            <w:tcW w:w="3544" w:type="dxa"/>
          </w:tcPr>
          <w:p w14:paraId="115990F4"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rPr>
                <w:bCs/>
              </w:rPr>
              <w:t xml:space="preserve">Safety during breast feeding* </w:t>
            </w:r>
          </w:p>
        </w:tc>
        <w:tc>
          <w:tcPr>
            <w:tcW w:w="992" w:type="dxa"/>
          </w:tcPr>
          <w:p w14:paraId="341A9FF5"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rPr>
                <w:rFonts w:ascii="Wingdings" w:eastAsia="Wingdings" w:hAnsi="Wingdings" w:cs="Wingdings"/>
              </w:rPr>
              <w:t>ü</w:t>
            </w:r>
          </w:p>
        </w:tc>
        <w:tc>
          <w:tcPr>
            <w:tcW w:w="1276" w:type="dxa"/>
          </w:tcPr>
          <w:p w14:paraId="7C774022"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t>–</w:t>
            </w:r>
          </w:p>
        </w:tc>
        <w:tc>
          <w:tcPr>
            <w:tcW w:w="992" w:type="dxa"/>
          </w:tcPr>
          <w:p w14:paraId="05E45928"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rPr>
                <w:rFonts w:ascii="Wingdings" w:eastAsia="Wingdings" w:hAnsi="Wingdings" w:cs="Wingdings"/>
              </w:rPr>
              <w:t>ü</w:t>
            </w:r>
          </w:p>
        </w:tc>
        <w:tc>
          <w:tcPr>
            <w:tcW w:w="1252" w:type="dxa"/>
          </w:tcPr>
          <w:p w14:paraId="243D104D" w14:textId="77777777" w:rsidR="00863132" w:rsidRPr="000C63D6" w:rsidRDefault="00863132" w:rsidP="00CA7F43">
            <w:pPr>
              <w:cnfStyle w:val="000000000000" w:firstRow="0" w:lastRow="0" w:firstColumn="0" w:lastColumn="0" w:oddVBand="0" w:evenVBand="0" w:oddHBand="0" w:evenHBand="0" w:firstRowFirstColumn="0" w:firstRowLastColumn="0" w:lastRowFirstColumn="0" w:lastRowLastColumn="0"/>
            </w:pPr>
            <w:r w:rsidRPr="000C63D6">
              <w:t>–</w:t>
            </w:r>
          </w:p>
        </w:tc>
      </w:tr>
    </w:tbl>
    <w:p w14:paraId="0684D1E4" w14:textId="77777777" w:rsidR="00863132" w:rsidRDefault="00863132" w:rsidP="000C63D6">
      <w:pPr>
        <w:pStyle w:val="TableDescription"/>
      </w:pPr>
      <w:r>
        <w:t>*Australia-specific safety concern</w:t>
      </w:r>
      <w:r>
        <w:br/>
      </w:r>
      <w:r w:rsidRPr="00A0444D">
        <w:t xml:space="preserve">† Patient </w:t>
      </w:r>
      <w:r>
        <w:t>A</w:t>
      </w:r>
      <w:r w:rsidRPr="00A0444D">
        <w:t xml:space="preserve">lert </w:t>
      </w:r>
      <w:r>
        <w:t>C</w:t>
      </w:r>
      <w:r w:rsidRPr="00A0444D">
        <w:t>ard</w:t>
      </w:r>
    </w:p>
    <w:p w14:paraId="4733CF55" w14:textId="25A607C4" w:rsidR="008F0769" w:rsidRPr="008F0769" w:rsidRDefault="008F0769" w:rsidP="008F0769">
      <w:r w:rsidRPr="008F0769">
        <w:t xml:space="preserve">The summary of safety concerns is identical to that included in EU-RMP version 1.4.1, except for the Australia-specific missing information of </w:t>
      </w:r>
      <w:r w:rsidR="00764DC9">
        <w:t>s</w:t>
      </w:r>
      <w:r w:rsidRPr="008F0769">
        <w:t>afety during breast feeding. This summary of safety concerns is acceptable from an RMP perspective.</w:t>
      </w:r>
    </w:p>
    <w:p w14:paraId="29A5DD93" w14:textId="57B64E11" w:rsidR="008F0769" w:rsidRPr="008F0769" w:rsidRDefault="008F0769" w:rsidP="008F0769">
      <w:r w:rsidRPr="008F0769">
        <w:lastRenderedPageBreak/>
        <w:t>The pharmacovigilance plan is acceptable from an RMP perspective.</w:t>
      </w:r>
    </w:p>
    <w:p w14:paraId="00D1DD52" w14:textId="24410E84" w:rsidR="008F0769" w:rsidRPr="008F0769" w:rsidRDefault="008F0769" w:rsidP="008F0769">
      <w:r w:rsidRPr="008F0769">
        <w:t>The risk minimisation plan proposed in the EU includes a Patient Alert Card as an additional risk minimisation activity. The previous version of the EU</w:t>
      </w:r>
      <w:r w:rsidR="00C055C7">
        <w:t>-</w:t>
      </w:r>
      <w:r w:rsidRPr="008F0769">
        <w:t>RMP had a Patient Guide and the sponsor has provided a draft Patient Guide. The contents of the Patient Guide are very similar to the contents of the Patient Alert Card. Thus, the sponsor is advised that not implementing the Patient Guide in Australia, in line with the approach in the EU, is acceptable.</w:t>
      </w:r>
    </w:p>
    <w:p w14:paraId="16E5DFAA" w14:textId="39E79A72" w:rsidR="00032A0F" w:rsidRDefault="00032A0F" w:rsidP="003B149C">
      <w:pPr>
        <w:rPr>
          <w:rFonts w:eastAsia="Cambria" w:cs="Times New Roman"/>
          <w:i/>
          <w:color w:val="007099"/>
          <w:szCs w:val="22"/>
        </w:rPr>
      </w:pPr>
      <w:r>
        <w:t>The RMP evaluation recommended conditions of registration relating to the versions of the risk management plan, requirement for periodic safety update reports, and inclusion of the medicine in the Black Triangle Scheme</w:t>
      </w:r>
      <w:r w:rsidR="00262C20">
        <w:t>.</w:t>
      </w:r>
    </w:p>
    <w:p w14:paraId="74A4F87F" w14:textId="77777777" w:rsidR="00C22214" w:rsidRDefault="00C22214" w:rsidP="00C22214">
      <w:pPr>
        <w:pStyle w:val="Heading3"/>
      </w:pPr>
      <w:bookmarkStart w:id="68" w:name="_Toc103679299"/>
      <w:bookmarkStart w:id="69" w:name="_Toc233974554"/>
      <w:r>
        <w:t>Risk-benefit analysis</w:t>
      </w:r>
      <w:bookmarkEnd w:id="63"/>
      <w:bookmarkEnd w:id="64"/>
      <w:bookmarkEnd w:id="68"/>
      <w:bookmarkEnd w:id="69"/>
    </w:p>
    <w:p w14:paraId="77DE2655" w14:textId="77777777" w:rsidR="00C22214" w:rsidRDefault="00C22214" w:rsidP="00C22214">
      <w:pPr>
        <w:pStyle w:val="Heading4"/>
      </w:pPr>
      <w:bookmarkStart w:id="70" w:name="_Toc98931932"/>
      <w:bookmarkStart w:id="71" w:name="_Toc233974555"/>
      <w:r>
        <w:t>Delegate’s considerations</w:t>
      </w:r>
      <w:bookmarkEnd w:id="70"/>
      <w:bookmarkEnd w:id="71"/>
    </w:p>
    <w:p w14:paraId="7E0181BD" w14:textId="0ED7DC64" w:rsidR="005C24D0" w:rsidRDefault="005C24D0" w:rsidP="005C24D0">
      <w:proofErr w:type="spellStart"/>
      <w:r w:rsidRPr="00902FB4">
        <w:t>Toripalimab</w:t>
      </w:r>
      <w:proofErr w:type="spellEnd"/>
      <w:r w:rsidRPr="00902FB4">
        <w:t xml:space="preserve"> is a humani</w:t>
      </w:r>
      <w:r w:rsidR="00902FB4" w:rsidRPr="00902FB4">
        <w:t>s</w:t>
      </w:r>
      <w:r w:rsidRPr="00902FB4">
        <w:t>ed modified IgG4κ monoclonal antibody specific against human programmed death-1 (PD-1), a co-inhibitory receptor expressed on T cells</w:t>
      </w:r>
      <w:r>
        <w:t>.</w:t>
      </w:r>
    </w:p>
    <w:p w14:paraId="1ADB387B" w14:textId="77777777" w:rsidR="005C24D0" w:rsidRDefault="005C24D0" w:rsidP="00902FB4">
      <w:pPr>
        <w:pStyle w:val="Heading5"/>
      </w:pPr>
      <w:r>
        <w:t>Proposed indication</w:t>
      </w:r>
    </w:p>
    <w:p w14:paraId="20717102" w14:textId="6F56E9A7" w:rsidR="00C22214" w:rsidRPr="00902FB4" w:rsidRDefault="005C24D0" w:rsidP="00902FB4">
      <w:r w:rsidRPr="00902FB4">
        <w:t xml:space="preserve">The </w:t>
      </w:r>
      <w:r w:rsidR="00902FB4" w:rsidRPr="00902FB4">
        <w:t>s</w:t>
      </w:r>
      <w:r w:rsidRPr="00902FB4">
        <w:t xml:space="preserve">ponsor proposes to register </w:t>
      </w:r>
      <w:proofErr w:type="spellStart"/>
      <w:r w:rsidRPr="00902FB4">
        <w:t>toripalimab</w:t>
      </w:r>
      <w:proofErr w:type="spellEnd"/>
      <w:r w:rsidRPr="00902FB4">
        <w:t>, a new therapeutic entity, for the following indications:</w:t>
      </w:r>
    </w:p>
    <w:p w14:paraId="2FDCF210" w14:textId="4091CEFB" w:rsidR="005C24D0" w:rsidRPr="005C24D0" w:rsidRDefault="005C24D0" w:rsidP="00D15251">
      <w:pPr>
        <w:ind w:left="720"/>
        <w:rPr>
          <w:i/>
          <w:iCs/>
        </w:rPr>
      </w:pPr>
      <w:r w:rsidRPr="005C24D0">
        <w:rPr>
          <w:i/>
          <w:iCs/>
        </w:rPr>
        <w:t>T</w:t>
      </w:r>
      <w:r w:rsidR="00D15251">
        <w:rPr>
          <w:i/>
          <w:iCs/>
        </w:rPr>
        <w:t>uoyi</w:t>
      </w:r>
      <w:r w:rsidRPr="005C24D0">
        <w:rPr>
          <w:i/>
          <w:iCs/>
        </w:rPr>
        <w:t xml:space="preserve"> is indicated, in combination with cisplatin and gemcitabine, for the first-line treatment of adults with metastatic or with recurrent, locally advanced nasopharyngeal carcinoma (NPC).</w:t>
      </w:r>
    </w:p>
    <w:p w14:paraId="4A3F0DC7" w14:textId="5415680D" w:rsidR="005C24D0" w:rsidRPr="005C24D0" w:rsidRDefault="005C24D0" w:rsidP="00D15251">
      <w:pPr>
        <w:ind w:left="720"/>
        <w:rPr>
          <w:i/>
          <w:iCs/>
        </w:rPr>
      </w:pPr>
      <w:r w:rsidRPr="005C24D0">
        <w:rPr>
          <w:i/>
          <w:iCs/>
        </w:rPr>
        <w:t>T</w:t>
      </w:r>
      <w:r w:rsidR="00F70E28">
        <w:rPr>
          <w:i/>
          <w:iCs/>
        </w:rPr>
        <w:t>uoyi</w:t>
      </w:r>
      <w:r w:rsidRPr="005C24D0">
        <w:rPr>
          <w:i/>
          <w:iCs/>
        </w:rPr>
        <w:t xml:space="preserve"> is indicated, as a single agent, for the treatment of adults with recurrent unresectable or metastatic NPC with disease progression on or after a platinum-containing chemotherapy.</w:t>
      </w:r>
    </w:p>
    <w:p w14:paraId="187DA998" w14:textId="70006D72" w:rsidR="005C24D0" w:rsidRDefault="005C24D0" w:rsidP="00F70E28">
      <w:r w:rsidRPr="00F70E28">
        <w:t>The proposed/recommended dosage is as follows:</w:t>
      </w:r>
    </w:p>
    <w:p w14:paraId="0BA37286" w14:textId="35C5F7DA" w:rsidR="00F70E28" w:rsidRPr="00F70E28" w:rsidRDefault="00F70E28" w:rsidP="001F22FB">
      <w:pPr>
        <w:pStyle w:val="TableTitle"/>
      </w:pPr>
      <w:r>
        <w:t xml:space="preserve">Table </w:t>
      </w:r>
      <w:fldSimple w:instr=" SEQ Table \* ARABIC ">
        <w:r w:rsidR="00D82028">
          <w:rPr>
            <w:noProof/>
          </w:rPr>
          <w:t>13</w:t>
        </w:r>
      </w:fldSimple>
      <w:r>
        <w:t xml:space="preserve">: </w:t>
      </w:r>
      <w:r w:rsidR="001F22FB">
        <w:t>Recommended dosage of Tuoyi</w:t>
      </w:r>
    </w:p>
    <w:p w14:paraId="3D60619C" w14:textId="1CD95097" w:rsidR="005C24D0" w:rsidRDefault="00443FBB" w:rsidP="005C24D0">
      <w:r w:rsidRPr="00443FBB">
        <w:rPr>
          <w:noProof/>
        </w:rPr>
        <w:drawing>
          <wp:inline distT="0" distB="0" distL="0" distR="0" wp14:anchorId="57F5677A" wp14:editId="72793E0B">
            <wp:extent cx="5314950" cy="1164368"/>
            <wp:effectExtent l="0" t="0" r="0" b="0"/>
            <wp:docPr id="949809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09712" name=""/>
                    <pic:cNvPicPr/>
                  </pic:nvPicPr>
                  <pic:blipFill rotWithShape="1">
                    <a:blip r:embed="rId36"/>
                    <a:srcRect l="1158" t="4381" r="-1"/>
                    <a:stretch>
                      <a:fillRect/>
                    </a:stretch>
                  </pic:blipFill>
                  <pic:spPr bwMode="auto">
                    <a:xfrm>
                      <a:off x="0" y="0"/>
                      <a:ext cx="5324165" cy="1166387"/>
                    </a:xfrm>
                    <a:prstGeom prst="rect">
                      <a:avLst/>
                    </a:prstGeom>
                    <a:ln>
                      <a:noFill/>
                    </a:ln>
                    <a:extLst>
                      <a:ext uri="{53640926-AAD7-44D8-BBD7-CCE9431645EC}">
                        <a14:shadowObscured xmlns:a14="http://schemas.microsoft.com/office/drawing/2010/main"/>
                      </a:ext>
                    </a:extLst>
                  </pic:spPr>
                </pic:pic>
              </a:graphicData>
            </a:graphic>
          </wp:inline>
        </w:drawing>
      </w:r>
    </w:p>
    <w:p w14:paraId="2F83646D" w14:textId="6A72C2F7" w:rsidR="002C771A" w:rsidRPr="002C771A" w:rsidRDefault="002C771A" w:rsidP="001F22FB">
      <w:pPr>
        <w:pStyle w:val="Heading5"/>
      </w:pPr>
      <w:r w:rsidRPr="002C771A">
        <w:t>Benefits/</w:t>
      </w:r>
      <w:r w:rsidR="00235900">
        <w:t>u</w:t>
      </w:r>
      <w:r w:rsidRPr="002C771A">
        <w:t>ncertainties of benefit</w:t>
      </w:r>
    </w:p>
    <w:p w14:paraId="5EB07619" w14:textId="14FC0825" w:rsidR="002C771A" w:rsidRPr="002C771A" w:rsidRDefault="002C771A" w:rsidP="00F51EBB">
      <w:r w:rsidRPr="002C771A">
        <w:t xml:space="preserve">The sponsor has provided adequate evidence of effectiveness and benefit to support approval of </w:t>
      </w:r>
      <w:proofErr w:type="spellStart"/>
      <w:r w:rsidRPr="002C771A">
        <w:t>toripalimab</w:t>
      </w:r>
      <w:proofErr w:type="spellEnd"/>
      <w:r w:rsidRPr="002C771A">
        <w:t xml:space="preserve"> for the proposed indications.</w:t>
      </w:r>
    </w:p>
    <w:p w14:paraId="32AF8861" w14:textId="649F6268" w:rsidR="002C771A" w:rsidRPr="002C771A" w:rsidRDefault="002C771A" w:rsidP="00F51EBB">
      <w:pPr>
        <w:pStyle w:val="Heading6"/>
      </w:pPr>
      <w:r w:rsidRPr="002C771A">
        <w:t>JUPITER</w:t>
      </w:r>
      <w:r w:rsidR="00F51EBB">
        <w:noBreakHyphen/>
      </w:r>
      <w:r w:rsidRPr="002C771A">
        <w:t>02 summary</w:t>
      </w:r>
    </w:p>
    <w:p w14:paraId="130FCF47" w14:textId="4DAB8EB7" w:rsidR="002C771A" w:rsidRPr="002C771A" w:rsidRDefault="00F51EBB" w:rsidP="00BA2FBE">
      <w:pPr>
        <w:pStyle w:val="ListBullet"/>
      </w:pPr>
      <w:r>
        <w:t>J</w:t>
      </w:r>
      <w:r w:rsidR="00764DC9">
        <w:t>UPITER</w:t>
      </w:r>
      <w:r>
        <w:noBreakHyphen/>
        <w:t>02 is a P</w:t>
      </w:r>
      <w:r w:rsidR="002C771A" w:rsidRPr="002C771A">
        <w:t xml:space="preserve">hase </w:t>
      </w:r>
      <w:r>
        <w:t>III</w:t>
      </w:r>
      <w:r w:rsidR="002C771A" w:rsidRPr="002C771A">
        <w:t>, double</w:t>
      </w:r>
      <w:r>
        <w:t xml:space="preserve"> </w:t>
      </w:r>
      <w:r w:rsidR="002C771A" w:rsidRPr="002C771A">
        <w:t>blind, placebo</w:t>
      </w:r>
      <w:r w:rsidR="003461BD">
        <w:t>-</w:t>
      </w:r>
      <w:r w:rsidR="002C771A" w:rsidRPr="002C771A">
        <w:t>controlled trial</w:t>
      </w:r>
      <w:r>
        <w:t>.</w:t>
      </w:r>
    </w:p>
    <w:p w14:paraId="608F88B2" w14:textId="4E4C6EA0" w:rsidR="002C771A" w:rsidRPr="002C771A" w:rsidRDefault="003461BD" w:rsidP="00BA2FBE">
      <w:pPr>
        <w:pStyle w:val="ListBullet"/>
      </w:pPr>
      <w:r w:rsidRPr="003461BD">
        <w:t xml:space="preserve">A total of </w:t>
      </w:r>
      <w:r w:rsidR="002C771A" w:rsidRPr="002C771A">
        <w:t>289 patients with recurrent locally advanced or primary metastatic NPC who have not received prior systemic therapy for advanced disease were randomi</w:t>
      </w:r>
      <w:r w:rsidR="00C31160">
        <w:t>s</w:t>
      </w:r>
      <w:r w:rsidR="002C771A" w:rsidRPr="002C771A">
        <w:t xml:space="preserve">ed 1:1 to </w:t>
      </w:r>
      <w:proofErr w:type="spellStart"/>
      <w:r w:rsidR="002C771A" w:rsidRPr="002C771A">
        <w:t>toripalimab</w:t>
      </w:r>
      <w:proofErr w:type="spellEnd"/>
      <w:r w:rsidR="002C771A" w:rsidRPr="002C771A">
        <w:t xml:space="preserve"> 240</w:t>
      </w:r>
      <w:r w:rsidR="00C31160">
        <w:t> </w:t>
      </w:r>
      <w:r w:rsidR="002C771A" w:rsidRPr="002C771A">
        <w:t xml:space="preserve">mg IV </w:t>
      </w:r>
      <w:r w:rsidR="00C31160">
        <w:t xml:space="preserve">once every 3 weeks </w:t>
      </w:r>
      <w:r w:rsidR="002C771A" w:rsidRPr="002C771A">
        <w:t xml:space="preserve">in combination with 6 cycles of </w:t>
      </w:r>
      <w:r w:rsidR="002C771A" w:rsidRPr="002C771A">
        <w:lastRenderedPageBreak/>
        <w:t xml:space="preserve">cisplatin/gemcitabine followed by </w:t>
      </w:r>
      <w:proofErr w:type="spellStart"/>
      <w:r w:rsidR="002C771A" w:rsidRPr="002C771A">
        <w:t>toripalimab</w:t>
      </w:r>
      <w:proofErr w:type="spellEnd"/>
      <w:r w:rsidR="002C771A" w:rsidRPr="002C771A">
        <w:t xml:space="preserve"> 240</w:t>
      </w:r>
      <w:r w:rsidR="00C31160">
        <w:t> </w:t>
      </w:r>
      <w:r w:rsidR="002C771A" w:rsidRPr="002C771A">
        <w:t xml:space="preserve">mg IV </w:t>
      </w:r>
      <w:r w:rsidR="00C31160">
        <w:t xml:space="preserve">once every 3 weeks </w:t>
      </w:r>
      <w:r w:rsidR="002C771A" w:rsidRPr="002C771A">
        <w:t>(n</w:t>
      </w:r>
      <w:r w:rsidR="0001343D">
        <w:t> </w:t>
      </w:r>
      <w:r w:rsidR="002C771A" w:rsidRPr="002C771A">
        <w:t>=</w:t>
      </w:r>
      <w:r w:rsidR="0001343D">
        <w:t> </w:t>
      </w:r>
      <w:r w:rsidR="002C771A" w:rsidRPr="002C771A">
        <w:t xml:space="preserve">146) or to placebo with cisplatin/gemcitabine followed by placebo </w:t>
      </w:r>
      <w:r w:rsidR="0001343D">
        <w:t>once every 3 weeks</w:t>
      </w:r>
      <w:r w:rsidR="002C771A" w:rsidRPr="002C771A">
        <w:t xml:space="preserve"> (n</w:t>
      </w:r>
      <w:r w:rsidR="0001343D">
        <w:t> </w:t>
      </w:r>
      <w:r w:rsidR="002C771A" w:rsidRPr="002C771A">
        <w:t>=</w:t>
      </w:r>
      <w:r w:rsidR="0001343D">
        <w:t> </w:t>
      </w:r>
      <w:r w:rsidR="002C771A" w:rsidRPr="002C771A">
        <w:t>143)</w:t>
      </w:r>
      <w:r w:rsidR="0001343D">
        <w:t>.</w:t>
      </w:r>
    </w:p>
    <w:p w14:paraId="3728F34F" w14:textId="5DDD0389" w:rsidR="00BA2FBE" w:rsidRDefault="002C771A" w:rsidP="00BA2FBE">
      <w:pPr>
        <w:pStyle w:val="ListBullet"/>
      </w:pPr>
      <w:r w:rsidRPr="002C771A">
        <w:t xml:space="preserve">The primary endpoint was PFS by IRC in the </w:t>
      </w:r>
      <w:r w:rsidR="002943C8">
        <w:t>intent-to-treat</w:t>
      </w:r>
      <w:r w:rsidRPr="002C771A">
        <w:t xml:space="preserve"> population</w:t>
      </w:r>
    </w:p>
    <w:p w14:paraId="7D7BED73" w14:textId="7413A7F1" w:rsidR="002C771A" w:rsidRDefault="00BA2FBE" w:rsidP="00BA2FBE">
      <w:pPr>
        <w:pStyle w:val="ListBullet2"/>
      </w:pPr>
      <w:r>
        <w:t>S</w:t>
      </w:r>
      <w:r w:rsidR="002C771A" w:rsidRPr="002C771A">
        <w:t xml:space="preserve">tatistically significant improvement in PFS in the </w:t>
      </w:r>
      <w:proofErr w:type="spellStart"/>
      <w:r w:rsidR="002C771A" w:rsidRPr="002C771A">
        <w:t>toripalimab</w:t>
      </w:r>
      <w:proofErr w:type="spellEnd"/>
      <w:r w:rsidR="002C771A" w:rsidRPr="002C771A">
        <w:t xml:space="preserve"> arm, with a HR of 0.52 (95% CI 0.37, 0.73), corresponding to a median PFS of 21.4 months (95% CI: 11.7, NE) in the </w:t>
      </w:r>
      <w:proofErr w:type="spellStart"/>
      <w:r w:rsidR="002C771A" w:rsidRPr="002C771A">
        <w:t>toripalimab</w:t>
      </w:r>
      <w:proofErr w:type="spellEnd"/>
      <w:r w:rsidR="002C771A" w:rsidRPr="002C771A">
        <w:t xml:space="preserve"> in combination with cisplatin and gemcitabine arm and 8.2 months (95% CI: 7.0, 9.8) in the placebo in combination with cisplatin and gemcitabine arm</w:t>
      </w:r>
      <w:r w:rsidR="00A06638">
        <w:t>.</w:t>
      </w:r>
    </w:p>
    <w:p w14:paraId="4A9D42B0" w14:textId="64B5B7C6" w:rsidR="002C771A" w:rsidRPr="00A06638" w:rsidRDefault="002C771A" w:rsidP="00A06638">
      <w:pPr>
        <w:pStyle w:val="ListBullet"/>
      </w:pPr>
      <w:r w:rsidRPr="00A06638">
        <w:t xml:space="preserve">Secondary end points included ORR and </w:t>
      </w:r>
      <w:proofErr w:type="spellStart"/>
      <w:r w:rsidRPr="00A06638">
        <w:t>D</w:t>
      </w:r>
      <w:r w:rsidR="00A06638">
        <w:t>o</w:t>
      </w:r>
      <w:r w:rsidRPr="00A06638">
        <w:t>R.</w:t>
      </w:r>
      <w:proofErr w:type="spellEnd"/>
      <w:r w:rsidRPr="00A06638">
        <w:t xml:space="preserve"> Response rates were 77.4% and 66.4% in the </w:t>
      </w:r>
      <w:proofErr w:type="spellStart"/>
      <w:r w:rsidRPr="00A06638">
        <w:t>toripalimab</w:t>
      </w:r>
      <w:proofErr w:type="spellEnd"/>
      <w:r w:rsidRPr="00A06638">
        <w:t xml:space="preserve"> and placebo arms respectively, p</w:t>
      </w:r>
      <w:r w:rsidR="00A06638">
        <w:t> </w:t>
      </w:r>
      <w:r w:rsidRPr="00A06638">
        <w:t>=</w:t>
      </w:r>
      <w:r w:rsidR="00A06638">
        <w:t> </w:t>
      </w:r>
      <w:r w:rsidRPr="00A06638">
        <w:t xml:space="preserve">0.03 and were accompanied by a median duration of response of 10.0 months in the </w:t>
      </w:r>
      <w:proofErr w:type="spellStart"/>
      <w:r w:rsidRPr="00A06638">
        <w:t>toripalimab</w:t>
      </w:r>
      <w:proofErr w:type="spellEnd"/>
      <w:r w:rsidRPr="00A06638">
        <w:t xml:space="preserve"> and 5.7 months in the placebo arm</w:t>
      </w:r>
      <w:r w:rsidR="0013370D">
        <w:t>.</w:t>
      </w:r>
    </w:p>
    <w:p w14:paraId="0E144949" w14:textId="106FDB13" w:rsidR="002C771A" w:rsidRDefault="003C5989" w:rsidP="003C5989">
      <w:pPr>
        <w:pStyle w:val="ListBullet"/>
      </w:pPr>
      <w:r w:rsidRPr="003C5989">
        <w:t>S</w:t>
      </w:r>
      <w:r w:rsidR="002C771A" w:rsidRPr="003C5989">
        <w:t>tatistically significant improvement in OS with a HR of 0.63 (95% CI: 0.45, 0.89, p</w:t>
      </w:r>
      <w:r>
        <w:t> = </w:t>
      </w:r>
      <w:r w:rsidR="002C771A" w:rsidRPr="003C5989">
        <w:t xml:space="preserve">0.0083), with median OS not reached (95% CI: 38.7, NE) in the </w:t>
      </w:r>
      <w:proofErr w:type="spellStart"/>
      <w:r w:rsidR="002C771A" w:rsidRPr="003C5989">
        <w:t>toripalimab</w:t>
      </w:r>
      <w:proofErr w:type="spellEnd"/>
      <w:r w:rsidR="002C771A" w:rsidRPr="003C5989">
        <w:t xml:space="preserve"> in combination with cisplatin and gemcitabine treatment arm and 33.7 months (95% CI: 27.0, 44.2) in the placebo with cisplatin and gemcitabine arm</w:t>
      </w:r>
      <w:r w:rsidR="00F27B66">
        <w:t>.</w:t>
      </w:r>
    </w:p>
    <w:p w14:paraId="7354D5BD" w14:textId="3F59758B" w:rsidR="002C771A" w:rsidRPr="002C771A" w:rsidRDefault="002C771A" w:rsidP="00F27B66">
      <w:pPr>
        <w:pStyle w:val="Heading6"/>
      </w:pPr>
      <w:r w:rsidRPr="002C771A">
        <w:t>POLARIS</w:t>
      </w:r>
      <w:r w:rsidR="00F27B66">
        <w:noBreakHyphen/>
      </w:r>
      <w:r w:rsidRPr="002C771A">
        <w:t>02</w:t>
      </w:r>
      <w:r w:rsidR="00F27B66">
        <w:t xml:space="preserve"> </w:t>
      </w:r>
      <w:r w:rsidRPr="002C771A">
        <w:t>summary</w:t>
      </w:r>
    </w:p>
    <w:p w14:paraId="1898A0AF" w14:textId="41B07E5A" w:rsidR="002C771A" w:rsidRPr="002C771A" w:rsidRDefault="00F27B66" w:rsidP="0013370D">
      <w:pPr>
        <w:pStyle w:val="ListBullet"/>
      </w:pPr>
      <w:r>
        <w:t>POLARIS</w:t>
      </w:r>
      <w:r>
        <w:noBreakHyphen/>
        <w:t>02 is a P</w:t>
      </w:r>
      <w:r w:rsidR="002C771A" w:rsidRPr="002C771A">
        <w:t xml:space="preserve">hase </w:t>
      </w:r>
      <w:r>
        <w:t>II</w:t>
      </w:r>
      <w:r w:rsidR="002C771A" w:rsidRPr="002C771A">
        <w:t>, multiple</w:t>
      </w:r>
      <w:r>
        <w:t xml:space="preserve"> </w:t>
      </w:r>
      <w:proofErr w:type="gramStart"/>
      <w:r w:rsidR="002C771A" w:rsidRPr="002C771A">
        <w:t>cohort</w:t>
      </w:r>
      <w:proofErr w:type="gramEnd"/>
      <w:r w:rsidR="002C771A" w:rsidRPr="002C771A">
        <w:t>, activity</w:t>
      </w:r>
      <w:r>
        <w:t xml:space="preserve"> </w:t>
      </w:r>
      <w:r w:rsidR="002C771A" w:rsidRPr="002C771A">
        <w:t>estimating trial comprising 8 cohorts</w:t>
      </w:r>
      <w:r>
        <w:t>.</w:t>
      </w:r>
    </w:p>
    <w:p w14:paraId="32591824" w14:textId="4FF3E45D" w:rsidR="002C771A" w:rsidRPr="002C771A" w:rsidRDefault="002C771A" w:rsidP="0013370D">
      <w:pPr>
        <w:pStyle w:val="ListBullet"/>
      </w:pPr>
      <w:r w:rsidRPr="002C771A">
        <w:t xml:space="preserve">Cohort 3 enrolled 190 adult patients with NPC recurrent or metastatic disease NPC and to have received at least 2 prior systemic regimens for advanced NPC or be intolerant to such therapy. </w:t>
      </w:r>
      <w:r w:rsidR="005D5AC5">
        <w:t xml:space="preserve">A total of </w:t>
      </w:r>
      <w:r w:rsidRPr="002C771A">
        <w:t>172 patients who had received prior platinum</w:t>
      </w:r>
      <w:r w:rsidR="00005D70">
        <w:t>-</w:t>
      </w:r>
      <w:r w:rsidRPr="002C771A">
        <w:t xml:space="preserve">based therapy were treated with </w:t>
      </w:r>
      <w:proofErr w:type="spellStart"/>
      <w:r w:rsidRPr="002C771A">
        <w:t>toripalimab</w:t>
      </w:r>
      <w:proofErr w:type="spellEnd"/>
      <w:r w:rsidRPr="002C771A">
        <w:t xml:space="preserve"> </w:t>
      </w:r>
      <w:r w:rsidRPr="00005D70">
        <w:t>3</w:t>
      </w:r>
      <w:r w:rsidR="00005D70">
        <w:t> </w:t>
      </w:r>
      <w:r w:rsidRPr="00005D70">
        <w:t>mg</w:t>
      </w:r>
      <w:r w:rsidRPr="002C771A">
        <w:t>/kg</w:t>
      </w:r>
      <w:r w:rsidR="00005D70">
        <w:t xml:space="preserve"> once every 2 weeks</w:t>
      </w:r>
      <w:r w:rsidRPr="002C771A">
        <w:t xml:space="preserve"> as a single agent; the IRC</w:t>
      </w:r>
      <w:r w:rsidR="00005D70">
        <w:t xml:space="preserve"> </w:t>
      </w:r>
      <w:r w:rsidRPr="002C771A">
        <w:t>determined response rate was 20.9% (95% CI: 15.1, 27.8) and the IRC</w:t>
      </w:r>
      <w:r w:rsidR="00005D70">
        <w:t xml:space="preserve"> </w:t>
      </w:r>
      <w:r w:rsidRPr="002C771A">
        <w:t>determined median duration of response was 14.9 months (95% CI: 10.3, NE).</w:t>
      </w:r>
    </w:p>
    <w:p w14:paraId="1EFFEA42" w14:textId="7D857D04" w:rsidR="002C771A" w:rsidRPr="002C771A" w:rsidRDefault="002C771A" w:rsidP="005D5AC5">
      <w:pPr>
        <w:pStyle w:val="ListBullet"/>
      </w:pPr>
      <w:r w:rsidRPr="002C771A">
        <w:t xml:space="preserve">Among the 36 patients with an objective response, 83% had </w:t>
      </w:r>
      <w:proofErr w:type="spellStart"/>
      <w:r w:rsidRPr="002C771A">
        <w:t>D</w:t>
      </w:r>
      <w:r w:rsidR="005D5AC5">
        <w:t>o</w:t>
      </w:r>
      <w:r w:rsidRPr="002C771A">
        <w:t>R</w:t>
      </w:r>
      <w:proofErr w:type="spellEnd"/>
      <w:r w:rsidRPr="002C771A">
        <w:t xml:space="preserve"> of ≥</w:t>
      </w:r>
      <w:r w:rsidR="005D5AC5">
        <w:t> </w:t>
      </w:r>
      <w:r w:rsidRPr="002C771A">
        <w:t xml:space="preserve">6 months and 39% had </w:t>
      </w:r>
      <w:proofErr w:type="spellStart"/>
      <w:r w:rsidRPr="002C771A">
        <w:t>D</w:t>
      </w:r>
      <w:r w:rsidR="005D5AC5">
        <w:t>o</w:t>
      </w:r>
      <w:r w:rsidRPr="002C771A">
        <w:t>R</w:t>
      </w:r>
      <w:proofErr w:type="spellEnd"/>
      <w:r w:rsidRPr="002C771A">
        <w:t xml:space="preserve"> of ≥</w:t>
      </w:r>
      <w:r w:rsidR="005D5AC5">
        <w:t> </w:t>
      </w:r>
      <w:r w:rsidRPr="002C771A">
        <w:t>12 months</w:t>
      </w:r>
      <w:r w:rsidR="005D5AC5">
        <w:t>.</w:t>
      </w:r>
    </w:p>
    <w:p w14:paraId="09955772" w14:textId="3A047C58" w:rsidR="002C771A" w:rsidRPr="002C771A" w:rsidRDefault="002C771A" w:rsidP="00235900">
      <w:pPr>
        <w:pStyle w:val="ListBullet"/>
      </w:pPr>
      <w:r w:rsidRPr="002C771A">
        <w:t>Cohort 7 enrolled 12 patients with NPC who had received no prior systemic therapy for recurrent or metastatic disease. Investigator</w:t>
      </w:r>
      <w:r w:rsidR="00CB3285">
        <w:t xml:space="preserve"> </w:t>
      </w:r>
      <w:r w:rsidRPr="002C771A">
        <w:t xml:space="preserve">determined objective response rate per </w:t>
      </w:r>
      <w:r w:rsidR="008A56FE">
        <w:t>RECIST v1.1 was 75.0% (9</w:t>
      </w:r>
      <w:r w:rsidR="00335BD9">
        <w:t>5% CI: 42.8, 94.5). The median duration of response was 7.1 months (</w:t>
      </w:r>
      <w:r w:rsidR="00235900">
        <w:t>95% CI: 4.2, 15.3).</w:t>
      </w:r>
    </w:p>
    <w:p w14:paraId="414872F3" w14:textId="0F29A074" w:rsidR="002C771A" w:rsidRPr="002C771A" w:rsidRDefault="002C771A" w:rsidP="00235900">
      <w:pPr>
        <w:pStyle w:val="Heading6"/>
      </w:pPr>
      <w:r w:rsidRPr="002C771A">
        <w:t>Uncertainties</w:t>
      </w:r>
    </w:p>
    <w:p w14:paraId="136EB982" w14:textId="01D7F657" w:rsidR="002C771A" w:rsidRPr="002C771A" w:rsidRDefault="002C771A" w:rsidP="003D4B2F">
      <w:r w:rsidRPr="002C771A">
        <w:t>A limitation of the data is that the two primary trials supporting this marketing application were conducted exclusively in Asia. JUPITER</w:t>
      </w:r>
      <w:r w:rsidR="003D4B2F">
        <w:noBreakHyphen/>
      </w:r>
      <w:r w:rsidRPr="002C771A">
        <w:t>02 had clinical sites only in China, Taiwan and Singapore, while POLARIS</w:t>
      </w:r>
      <w:r w:rsidR="003D4B2F">
        <w:noBreakHyphen/>
      </w:r>
      <w:r w:rsidRPr="002C771A">
        <w:t xml:space="preserve">02 was conducted exclusively in China, and all patients enrolled in both studies were Asian patients. Therefore, as highlighted </w:t>
      </w:r>
      <w:r w:rsidR="00CD2639">
        <w:t>in</w:t>
      </w:r>
      <w:r w:rsidRPr="002C771A">
        <w:t xml:space="preserve"> the evaluat</w:t>
      </w:r>
      <w:r w:rsidR="00CD2639">
        <w:t>ion</w:t>
      </w:r>
      <w:r w:rsidRPr="002C771A">
        <w:t>, the patient population in the trials is not totally reflective of the racial and ethnic diversity of patients with NPC in the Australia and the US</w:t>
      </w:r>
      <w:r w:rsidR="00CD2639">
        <w:t>.</w:t>
      </w:r>
      <w:r w:rsidRPr="002C771A">
        <w:t xml:space="preserve"> </w:t>
      </w:r>
      <w:r w:rsidR="00CD2639">
        <w:t>I</w:t>
      </w:r>
      <w:r w:rsidRPr="002C771A">
        <w:t>n addition, patients with NPC with keratini</w:t>
      </w:r>
      <w:r w:rsidR="00CD2639">
        <w:t>s</w:t>
      </w:r>
      <w:r w:rsidRPr="002C771A">
        <w:t>ing histology are significantly underrepresented relative to the expected incidence of this histology in a U</w:t>
      </w:r>
      <w:r w:rsidR="003B3331">
        <w:t>S</w:t>
      </w:r>
      <w:r w:rsidRPr="002C771A">
        <w:t xml:space="preserve"> population of patients with NPC.</w:t>
      </w:r>
    </w:p>
    <w:p w14:paraId="6CCF7258" w14:textId="6D62809E" w:rsidR="00FD4D16" w:rsidRPr="00FD4D16" w:rsidRDefault="002C771A" w:rsidP="00FD4D16">
      <w:r w:rsidRPr="002C771A">
        <w:t>However, the following commentary in the Project Orbis evaluation</w:t>
      </w:r>
      <w:r w:rsidR="006B64B4" w:rsidRPr="00FD4D16">
        <w:t xml:space="preserve"> </w:t>
      </w:r>
      <w:r w:rsidRPr="002C771A">
        <w:t>is noted:</w:t>
      </w:r>
    </w:p>
    <w:p w14:paraId="19CF72EA" w14:textId="1C52DA37" w:rsidR="002C771A" w:rsidRPr="002C771A" w:rsidRDefault="002C771A" w:rsidP="00FD4D16">
      <w:pPr>
        <w:ind w:left="720"/>
        <w:rPr>
          <w:i/>
          <w:iCs/>
        </w:rPr>
      </w:pPr>
      <w:r w:rsidRPr="002C771A">
        <w:rPr>
          <w:i/>
          <w:iCs/>
        </w:rPr>
        <w:t>While both JUPITER</w:t>
      </w:r>
      <w:r w:rsidR="00FD4D16">
        <w:rPr>
          <w:i/>
          <w:iCs/>
        </w:rPr>
        <w:noBreakHyphen/>
      </w:r>
      <w:r w:rsidRPr="002C771A">
        <w:rPr>
          <w:i/>
          <w:iCs/>
        </w:rPr>
        <w:t xml:space="preserve">02 and POLARI-02 were conducted exclusively in Asia, a flexible regulatory approach is warranted given the high unmet need and lack of FDA-approved therapies for US patients with NPC. The Applicant will be collecting additional clinical data to further characterize the safety and efficacy of </w:t>
      </w:r>
      <w:proofErr w:type="spellStart"/>
      <w:r w:rsidRPr="002C771A">
        <w:rPr>
          <w:i/>
          <w:iCs/>
        </w:rPr>
        <w:t>toripalimab</w:t>
      </w:r>
      <w:proofErr w:type="spellEnd"/>
      <w:r w:rsidRPr="002C771A">
        <w:rPr>
          <w:i/>
          <w:iCs/>
        </w:rPr>
        <w:t xml:space="preserve"> in combination with cisplatin and gemcitabine for the treatment of NPC in a study population </w:t>
      </w:r>
      <w:proofErr w:type="gramStart"/>
      <w:r w:rsidRPr="002C771A">
        <w:rPr>
          <w:i/>
          <w:iCs/>
        </w:rPr>
        <w:t>whose</w:t>
      </w:r>
      <w:proofErr w:type="gramEnd"/>
      <w:r w:rsidRPr="002C771A">
        <w:rPr>
          <w:i/>
          <w:iCs/>
        </w:rPr>
        <w:t xml:space="preserve"> demographic and disease characteristics are more representative of the population of U.S. patients with NPC.</w:t>
      </w:r>
    </w:p>
    <w:p w14:paraId="7D6A8803" w14:textId="77777777" w:rsidR="00F100FD" w:rsidRDefault="002C771A" w:rsidP="00F100FD">
      <w:r w:rsidRPr="002C771A">
        <w:lastRenderedPageBreak/>
        <w:t xml:space="preserve">This approach would similarly apply in the Australian context. If registration for </w:t>
      </w:r>
      <w:proofErr w:type="spellStart"/>
      <w:r w:rsidRPr="002C771A">
        <w:t>toripalimab</w:t>
      </w:r>
      <w:proofErr w:type="spellEnd"/>
      <w:r w:rsidRPr="002C771A">
        <w:t xml:space="preserve"> is TGA approved, the </w:t>
      </w:r>
      <w:r w:rsidR="00F100FD">
        <w:t>D</w:t>
      </w:r>
      <w:r w:rsidRPr="002C771A">
        <w:t>elegate proposes the following additional condition of registration</w:t>
      </w:r>
      <w:r w:rsidR="00F100FD">
        <w:t xml:space="preserve"> </w:t>
      </w:r>
      <w:r w:rsidRPr="002C771A">
        <w:t xml:space="preserve">to further inform clinical efficacy and safety that would be relevant for the Australian population: </w:t>
      </w:r>
    </w:p>
    <w:p w14:paraId="0F67B103" w14:textId="0C5CCD97" w:rsidR="002C771A" w:rsidRPr="002C771A" w:rsidRDefault="002C771A" w:rsidP="00F100FD">
      <w:pPr>
        <w:pStyle w:val="ListBullet"/>
      </w:pPr>
      <w:r w:rsidRPr="002C771A">
        <w:t>Conduct a clinical trial enrolling a total sample size of 100 patients in the U</w:t>
      </w:r>
      <w:r w:rsidR="0054472C">
        <w:t>S</w:t>
      </w:r>
      <w:r w:rsidRPr="002C771A">
        <w:t xml:space="preserve"> and Canada, that includes a sufficient representation of patients in racial and ethnic minority subgroups and is reflective of the </w:t>
      </w:r>
      <w:r w:rsidR="0054472C">
        <w:t>U</w:t>
      </w:r>
      <w:r w:rsidRPr="002C771A">
        <w:t>S population of patients with nasopharyngeal carcinoma (NPC), to further characteri</w:t>
      </w:r>
      <w:r w:rsidR="0054472C">
        <w:t>s</w:t>
      </w:r>
      <w:r w:rsidRPr="002C771A">
        <w:t xml:space="preserve">e the safety and efficacy of </w:t>
      </w:r>
      <w:proofErr w:type="spellStart"/>
      <w:r w:rsidRPr="002C771A">
        <w:t>toripalimab</w:t>
      </w:r>
      <w:proofErr w:type="spellEnd"/>
      <w:r w:rsidRPr="002C771A">
        <w:t xml:space="preserve"> in combination with cisplatin and gemcitabine in these patients. Include </w:t>
      </w:r>
      <w:proofErr w:type="gramStart"/>
      <w:r w:rsidRPr="002C771A">
        <w:t>a sufficient number of</w:t>
      </w:r>
      <w:proofErr w:type="gramEnd"/>
      <w:r w:rsidRPr="002C771A">
        <w:t xml:space="preserve"> patients with the keratini</w:t>
      </w:r>
      <w:r w:rsidR="0054472C">
        <w:t>s</w:t>
      </w:r>
      <w:r w:rsidRPr="002C771A">
        <w:t>ing subtype reflecting the incidence of keratini</w:t>
      </w:r>
      <w:r w:rsidR="0054472C">
        <w:t>s</w:t>
      </w:r>
      <w:r w:rsidRPr="002C771A">
        <w:t xml:space="preserve">ing NPC in the US population. Conduct sparse sampling for supportive population pharmacokinetic and </w:t>
      </w:r>
      <w:r w:rsidR="0054472C">
        <w:t>e</w:t>
      </w:r>
      <w:r w:rsidRPr="002C771A">
        <w:t>xposure</w:t>
      </w:r>
      <w:r w:rsidR="0054472C">
        <w:t xml:space="preserve"> r</w:t>
      </w:r>
      <w:r w:rsidRPr="002C771A">
        <w:t>esponse (ER) analyses. The ER analyses may be used as supportive evidence for the efficacy and safety in the intended patient population. In the ER analyses report, include an analysis of the presence and clinical impact of the neutrali</w:t>
      </w:r>
      <w:r w:rsidR="0054472C">
        <w:t>s</w:t>
      </w:r>
      <w:r w:rsidRPr="002C771A">
        <w:t xml:space="preserve">ing anti-drug antibodies on pharmacokinetics, efficacy and safety of </w:t>
      </w:r>
      <w:proofErr w:type="spellStart"/>
      <w:r w:rsidRPr="002C771A">
        <w:t>toripalimab</w:t>
      </w:r>
      <w:proofErr w:type="spellEnd"/>
      <w:r w:rsidRPr="002C771A">
        <w:t>.</w:t>
      </w:r>
    </w:p>
    <w:p w14:paraId="15CCE88F" w14:textId="68EF5C5D" w:rsidR="002C771A" w:rsidRPr="002C771A" w:rsidRDefault="0054472C" w:rsidP="0054472C">
      <w:r w:rsidRPr="0054472C">
        <w:t>D</w:t>
      </w:r>
      <w:r w:rsidR="002C771A" w:rsidRPr="002C771A">
        <w:t xml:space="preserve">ue to the low incidence of </w:t>
      </w:r>
      <w:proofErr w:type="gramStart"/>
      <w:r w:rsidR="002C771A" w:rsidRPr="002C771A">
        <w:t>ADAs</w:t>
      </w:r>
      <w:proofErr w:type="gramEnd"/>
      <w:r w:rsidR="002C771A" w:rsidRPr="002C771A">
        <w:t xml:space="preserve"> no conclusion can be made on their impact on efficacy.</w:t>
      </w:r>
    </w:p>
    <w:p w14:paraId="710280A6" w14:textId="0107E226" w:rsidR="002C771A" w:rsidRPr="002C771A" w:rsidRDefault="002C771A" w:rsidP="0054472C">
      <w:pPr>
        <w:pStyle w:val="Heading5"/>
      </w:pPr>
      <w:r w:rsidRPr="002C771A">
        <w:t>Risks/</w:t>
      </w:r>
      <w:r w:rsidR="0031495B">
        <w:t>u</w:t>
      </w:r>
      <w:r w:rsidRPr="002C771A">
        <w:t>ncertainties of risk</w:t>
      </w:r>
    </w:p>
    <w:p w14:paraId="080E642F" w14:textId="50B54170" w:rsidR="002C771A" w:rsidRPr="002C771A" w:rsidRDefault="002C771A" w:rsidP="0031495B">
      <w:r w:rsidRPr="002C771A">
        <w:t xml:space="preserve">The overall safety profile of </w:t>
      </w:r>
      <w:proofErr w:type="spellStart"/>
      <w:r w:rsidRPr="002C771A">
        <w:t>toripalimab</w:t>
      </w:r>
      <w:proofErr w:type="spellEnd"/>
      <w:r w:rsidRPr="002C771A">
        <w:t xml:space="preserve"> was </w:t>
      </w:r>
      <w:proofErr w:type="gramStart"/>
      <w:r w:rsidRPr="002C771A">
        <w:t>similar to</w:t>
      </w:r>
      <w:proofErr w:type="gramEnd"/>
      <w:r w:rsidRPr="002C771A">
        <w:t xml:space="preserve"> that observed with other PD-1 blocking antibodies. Safety issues identified as significant and serious were immune</w:t>
      </w:r>
      <w:r w:rsidR="0031495B">
        <w:t xml:space="preserve"> </w:t>
      </w:r>
      <w:r w:rsidRPr="002C771A">
        <w:t>related adverse events and infusion</w:t>
      </w:r>
      <w:r w:rsidR="0031495B">
        <w:t xml:space="preserve"> </w:t>
      </w:r>
      <w:r w:rsidRPr="002C771A">
        <w:t xml:space="preserve">related reactions, which are adequately addressed by the information in the Warnings and Precautions and Dosage Modifications sections included in the </w:t>
      </w:r>
      <w:r w:rsidR="0031495B">
        <w:t>(Product Informatio</w:t>
      </w:r>
      <w:r w:rsidR="0031495B" w:rsidRPr="00987FDC">
        <w:t>n (</w:t>
      </w:r>
      <w:r w:rsidRPr="002C771A">
        <w:t>PI</w:t>
      </w:r>
      <w:r w:rsidR="0031495B" w:rsidRPr="00987FDC">
        <w:t>))</w:t>
      </w:r>
      <w:r w:rsidRPr="002C771A">
        <w:t xml:space="preserve">. </w:t>
      </w:r>
      <w:proofErr w:type="spellStart"/>
      <w:r w:rsidRPr="002C771A">
        <w:t>Toripalimab</w:t>
      </w:r>
      <w:proofErr w:type="spellEnd"/>
      <w:r w:rsidRPr="002C771A">
        <w:t xml:space="preserve"> appears to have an acceptable safety profile when assessed in the context of a life-threatening disease with unmet medical need.</w:t>
      </w:r>
    </w:p>
    <w:p w14:paraId="0929D0A0" w14:textId="280ABFD2" w:rsidR="0031495B" w:rsidRDefault="002C771A" w:rsidP="0031495B">
      <w:pPr>
        <w:pStyle w:val="Heading6"/>
      </w:pPr>
      <w:r w:rsidRPr="002C771A">
        <w:t>Uncertainties</w:t>
      </w:r>
    </w:p>
    <w:p w14:paraId="2D4E4EB5" w14:textId="77777777" w:rsidR="00F50116" w:rsidRDefault="0031495B" w:rsidP="002C771A">
      <w:r>
        <w:t>D</w:t>
      </w:r>
      <w:r w:rsidR="002C771A" w:rsidRPr="002C771A">
        <w:t xml:space="preserve">ue to the low incidence of </w:t>
      </w:r>
      <w:proofErr w:type="gramStart"/>
      <w:r w:rsidR="002C771A" w:rsidRPr="002C771A">
        <w:t>ADAs</w:t>
      </w:r>
      <w:proofErr w:type="gramEnd"/>
      <w:r w:rsidR="002C771A" w:rsidRPr="002C771A">
        <w:t xml:space="preserve"> no conclusion can be made on the impact on safety</w:t>
      </w:r>
      <w:r w:rsidR="00F50116">
        <w:t>.</w:t>
      </w:r>
    </w:p>
    <w:p w14:paraId="35317B0E" w14:textId="31413300" w:rsidR="00443FBB" w:rsidRDefault="002C771A" w:rsidP="0031495B">
      <w:pPr>
        <w:pStyle w:val="Heading5"/>
      </w:pPr>
      <w:r w:rsidRPr="002C771A">
        <w:t>Benefit/</w:t>
      </w:r>
      <w:r w:rsidR="00FA74B9">
        <w:t>r</w:t>
      </w:r>
      <w:r w:rsidRPr="002C771A">
        <w:t>isk balance</w:t>
      </w:r>
    </w:p>
    <w:p w14:paraId="7363E860" w14:textId="29E91F8A" w:rsidR="00392C06" w:rsidRPr="00392C06" w:rsidRDefault="00392C06" w:rsidP="00FA74B9">
      <w:r w:rsidRPr="00392C06">
        <w:t>The improvement in PFS and OS demonstrated in JUPITER</w:t>
      </w:r>
      <w:r w:rsidR="00FA74B9">
        <w:noBreakHyphen/>
      </w:r>
      <w:r w:rsidRPr="00392C06">
        <w:t xml:space="preserve">02 for patients with metastatic or recurrent, locally advanced NPC in the first line treatment setting </w:t>
      </w:r>
      <w:proofErr w:type="gramStart"/>
      <w:r w:rsidRPr="00392C06">
        <w:t>are considered to be</w:t>
      </w:r>
      <w:proofErr w:type="gramEnd"/>
      <w:r w:rsidRPr="00392C06">
        <w:t xml:space="preserve"> clinically meaningful, and the safety profile acceptable, in the context of this life-threatening disease:</w:t>
      </w:r>
    </w:p>
    <w:p w14:paraId="5AD69D5D" w14:textId="27CD13E4" w:rsidR="00392C06" w:rsidRPr="00392C06" w:rsidRDefault="00EB6D1C" w:rsidP="00EB6D1C">
      <w:pPr>
        <w:pStyle w:val="ListBullet"/>
      </w:pPr>
      <w:r>
        <w:t>S</w:t>
      </w:r>
      <w:r w:rsidR="00392C06" w:rsidRPr="00392C06">
        <w:t>tatistically significant improvement in IRC</w:t>
      </w:r>
      <w:r>
        <w:t xml:space="preserve"> </w:t>
      </w:r>
      <w:r w:rsidR="00392C06" w:rsidRPr="00392C06">
        <w:t xml:space="preserve">assessed PFS favouring the </w:t>
      </w:r>
      <w:proofErr w:type="spellStart"/>
      <w:r w:rsidR="00392C06" w:rsidRPr="00392C06">
        <w:t>toripalimab</w:t>
      </w:r>
      <w:proofErr w:type="spellEnd"/>
      <w:r w:rsidR="00392C06" w:rsidRPr="00392C06">
        <w:t xml:space="preserve"> arm, with a HR of 0.52 (95% CI 0.37, 0.73), corresponding to a median PFS of 21.4 months (95% CI: 11.7, NE) in the </w:t>
      </w:r>
      <w:proofErr w:type="spellStart"/>
      <w:r w:rsidR="00392C06" w:rsidRPr="00392C06">
        <w:t>toripalimab</w:t>
      </w:r>
      <w:proofErr w:type="spellEnd"/>
      <w:r w:rsidR="00392C06" w:rsidRPr="00392C06">
        <w:t xml:space="preserve"> in combination with cisplatin and gemcitabine arm and 8.2</w:t>
      </w:r>
      <w:r>
        <w:t> </w:t>
      </w:r>
      <w:r w:rsidR="00392C06" w:rsidRPr="00392C06">
        <w:t>months (95% CI: 7.0, 9.8) in the placebo in combination with cisplatin and gemcitabine arm</w:t>
      </w:r>
      <w:r>
        <w:t>.</w:t>
      </w:r>
    </w:p>
    <w:p w14:paraId="5844F196" w14:textId="0EBB2F13" w:rsidR="00392C06" w:rsidRPr="00392C06" w:rsidRDefault="00EB6D1C" w:rsidP="00392C06">
      <w:pPr>
        <w:pStyle w:val="ListBullet"/>
      </w:pPr>
      <w:r>
        <w:t>S</w:t>
      </w:r>
      <w:r w:rsidR="00392C06" w:rsidRPr="00392C06">
        <w:t>tatistically significant improvement in OS with a HR of 0.63 (95% CI: 0.45, 0.89, p</w:t>
      </w:r>
      <w:r>
        <w:t> = </w:t>
      </w:r>
      <w:r w:rsidR="00392C06" w:rsidRPr="00392C06">
        <w:t xml:space="preserve">0.0083), with median OS not reached (95% CI: 38.7, NE) in the </w:t>
      </w:r>
      <w:proofErr w:type="spellStart"/>
      <w:r w:rsidR="00392C06" w:rsidRPr="00392C06">
        <w:t>toripalimab</w:t>
      </w:r>
      <w:proofErr w:type="spellEnd"/>
      <w:r w:rsidR="00392C06" w:rsidRPr="00392C06">
        <w:t xml:space="preserve"> in combination with cisplatin and gemcitabine treatment arm and 33.7 months (95% CI: 27.0, 44.2) in the placebo with cisplatin and gemcitabine arm</w:t>
      </w:r>
      <w:r w:rsidR="0070205E">
        <w:t>.</w:t>
      </w:r>
    </w:p>
    <w:p w14:paraId="67F4DE08" w14:textId="587125DF" w:rsidR="00392C06" w:rsidRPr="00392C06" w:rsidRDefault="00392C06" w:rsidP="0070205E">
      <w:r w:rsidRPr="00392C06">
        <w:t>Likewise, POLARIS</w:t>
      </w:r>
      <w:r w:rsidR="0070205E">
        <w:noBreakHyphen/>
      </w:r>
      <w:r w:rsidRPr="00392C06">
        <w:t xml:space="preserve">02 provided evidence in support of treatment with </w:t>
      </w:r>
      <w:proofErr w:type="spellStart"/>
      <w:r w:rsidRPr="00392C06">
        <w:t>toripalimab</w:t>
      </w:r>
      <w:proofErr w:type="spellEnd"/>
      <w:r w:rsidRPr="00392C06">
        <w:t xml:space="preserve"> in patients with unresectable/metastatic NPC with disease progression on or after platinum-containing chemotherapy. The ICR</w:t>
      </w:r>
      <w:r w:rsidR="0070205E">
        <w:t xml:space="preserve"> </w:t>
      </w:r>
      <w:r w:rsidRPr="00392C06">
        <w:t xml:space="preserve">assessed ORR was 21% (95% CI: 15, 28), with a median </w:t>
      </w:r>
      <w:proofErr w:type="spellStart"/>
      <w:r w:rsidRPr="00392C06">
        <w:t>D</w:t>
      </w:r>
      <w:r w:rsidR="0070205E">
        <w:t>o</w:t>
      </w:r>
      <w:r w:rsidRPr="00392C06">
        <w:t>R</w:t>
      </w:r>
      <w:proofErr w:type="spellEnd"/>
      <w:r w:rsidRPr="00392C06">
        <w:t xml:space="preserve"> of 14.9</w:t>
      </w:r>
      <w:r w:rsidR="0070205E">
        <w:t> </w:t>
      </w:r>
      <w:r w:rsidRPr="00392C06">
        <w:t xml:space="preserve">months (95% CI: 10.3, NE). Among the 36 patients with an objective response, 83% had </w:t>
      </w:r>
      <w:proofErr w:type="spellStart"/>
      <w:r w:rsidRPr="00392C06">
        <w:t>D</w:t>
      </w:r>
      <w:r w:rsidR="0070205E">
        <w:t>o</w:t>
      </w:r>
      <w:r w:rsidRPr="00392C06">
        <w:t>R</w:t>
      </w:r>
      <w:proofErr w:type="spellEnd"/>
      <w:r w:rsidRPr="00392C06">
        <w:t xml:space="preserve"> of ≥</w:t>
      </w:r>
      <w:r w:rsidR="0070205E">
        <w:t> </w:t>
      </w:r>
      <w:r w:rsidRPr="00392C06">
        <w:t xml:space="preserve">6 months and 39% had </w:t>
      </w:r>
      <w:proofErr w:type="spellStart"/>
      <w:r w:rsidRPr="00392C06">
        <w:t>D</w:t>
      </w:r>
      <w:r w:rsidR="0070205E">
        <w:t>o</w:t>
      </w:r>
      <w:r w:rsidRPr="00392C06">
        <w:t>R</w:t>
      </w:r>
      <w:proofErr w:type="spellEnd"/>
      <w:r w:rsidRPr="00392C06">
        <w:t xml:space="preserve"> of ≥</w:t>
      </w:r>
      <w:r w:rsidR="0070205E">
        <w:t> </w:t>
      </w:r>
      <w:r w:rsidRPr="00392C06">
        <w:t>12 months. These results are considered clinically meaningful when considering the intended patient population, and the results of the JUPITER</w:t>
      </w:r>
      <w:r w:rsidR="003C6700">
        <w:noBreakHyphen/>
      </w:r>
      <w:r w:rsidRPr="00392C06">
        <w:t xml:space="preserve">02 study provide further confidence in the benefit of </w:t>
      </w:r>
      <w:proofErr w:type="spellStart"/>
      <w:r w:rsidRPr="00392C06">
        <w:t>toripalimab</w:t>
      </w:r>
      <w:proofErr w:type="spellEnd"/>
      <w:r w:rsidRPr="00392C06">
        <w:t xml:space="preserve"> for the treatment of patients with advanced NPC.</w:t>
      </w:r>
    </w:p>
    <w:p w14:paraId="37F6D13E" w14:textId="06EC1288" w:rsidR="00392C06" w:rsidRPr="00392C06" w:rsidRDefault="00392C06" w:rsidP="0070205E">
      <w:r w:rsidRPr="00392C06">
        <w:lastRenderedPageBreak/>
        <w:t xml:space="preserve">Despite some uncertainty in the applicability of the trial data generated in Asia to the Australian population, the </w:t>
      </w:r>
      <w:r w:rsidR="003C6700">
        <w:t>D</w:t>
      </w:r>
      <w:r w:rsidRPr="00392C06">
        <w:t xml:space="preserve">elegate’s opinion is that overall, approval of </w:t>
      </w:r>
      <w:proofErr w:type="spellStart"/>
      <w:r w:rsidRPr="00392C06">
        <w:t>toripalimab</w:t>
      </w:r>
      <w:proofErr w:type="spellEnd"/>
      <w:r w:rsidRPr="00392C06">
        <w:t xml:space="preserve"> for the proposed indications are warranted in view of the high unmet need and lack of TGA approved therapies for the relevant patient population in Australia. The comparator arm of cisplatin plus gemcitabine used in the JUPITER</w:t>
      </w:r>
      <w:r w:rsidR="003C6700">
        <w:noBreakHyphen/>
      </w:r>
      <w:r w:rsidRPr="00392C06">
        <w:t>02 study is considered standard of care for the first-line treatment of patients with NPC in Australia and is therefore applicable to Australian medical practice. The incidence of NPC is much higher in Southeast Asia (relative to countries such as United States and Australia, where NPC is a relatively rare disease), making enrolment to clinical trials more feasible in that region of the world. The clinical evaluation report confirms that clinical site inspections were conducted by the FDA to validate the data supporting this application.</w:t>
      </w:r>
    </w:p>
    <w:p w14:paraId="12C6066D" w14:textId="14738DA8" w:rsidR="00392C06" w:rsidRPr="00392C06" w:rsidRDefault="00392C06" w:rsidP="00682176">
      <w:r w:rsidRPr="00392C06">
        <w:t>A condition of registration</w:t>
      </w:r>
      <w:r w:rsidR="00682176">
        <w:t xml:space="preserve"> </w:t>
      </w:r>
      <w:r w:rsidRPr="00392C06">
        <w:t xml:space="preserve">for the submission of additional clinical data of </w:t>
      </w:r>
      <w:proofErr w:type="spellStart"/>
      <w:r w:rsidRPr="00392C06">
        <w:t>toripalimab</w:t>
      </w:r>
      <w:proofErr w:type="spellEnd"/>
      <w:r w:rsidRPr="00392C06">
        <w:t xml:space="preserve"> in combination with cisplatin</w:t>
      </w:r>
      <w:r w:rsidR="00682176">
        <w:t xml:space="preserve"> and </w:t>
      </w:r>
      <w:r w:rsidRPr="00392C06">
        <w:t>gemcitabine for the treatment of NPC in the US/Canadian population would further inform clinical efficacy and safety as relevant for the Australian population.</w:t>
      </w:r>
    </w:p>
    <w:p w14:paraId="51F14156" w14:textId="0389B726" w:rsidR="00392C06" w:rsidRPr="00392C06" w:rsidRDefault="00392C06" w:rsidP="00682176">
      <w:r w:rsidRPr="00392C06">
        <w:t xml:space="preserve">In addition, it is notable that the combination of </w:t>
      </w:r>
      <w:proofErr w:type="spellStart"/>
      <w:r w:rsidRPr="00392C06">
        <w:t>toripalimab</w:t>
      </w:r>
      <w:proofErr w:type="spellEnd"/>
      <w:r w:rsidRPr="00392C06">
        <w:t xml:space="preserve"> </w:t>
      </w:r>
      <w:r w:rsidR="00687889">
        <w:t>and</w:t>
      </w:r>
      <w:r w:rsidRPr="00392C06">
        <w:t xml:space="preserve"> cisplatin/gemcitabine in the 1L setting, and </w:t>
      </w:r>
      <w:proofErr w:type="spellStart"/>
      <w:r w:rsidRPr="00392C06">
        <w:t>toripalimab</w:t>
      </w:r>
      <w:proofErr w:type="spellEnd"/>
      <w:r w:rsidRPr="00392C06">
        <w:t xml:space="preserve"> monotherapy (if disease progression on or after platinum-containing therapy) in the 2L/subsequent setting, are now recommended standards of care for patients with unresectable/metastatic NPC in international treatment guidelines (</w:t>
      </w:r>
      <w:r w:rsidR="00A118AF">
        <w:t>that is,</w:t>
      </w:r>
      <w:r w:rsidRPr="00392C06">
        <w:t xml:space="preserve"> </w:t>
      </w:r>
      <w:r w:rsidR="00E17194">
        <w:t>National Comprehensive Cancer Net</w:t>
      </w:r>
      <w:r w:rsidR="00002FB1">
        <w:t xml:space="preserve">work </w:t>
      </w:r>
      <w:r w:rsidRPr="00392C06">
        <w:t>v4.2024 Head and Neck Cancers May</w:t>
      </w:r>
      <w:r w:rsidR="00002FB1">
        <w:t> </w:t>
      </w:r>
      <w:r w:rsidRPr="00392C06">
        <w:t>1</w:t>
      </w:r>
      <w:r w:rsidR="00002FB1">
        <w:t> </w:t>
      </w:r>
      <w:r w:rsidRPr="00392C06">
        <w:t>2024).</w:t>
      </w:r>
    </w:p>
    <w:p w14:paraId="5C635C5D" w14:textId="2F6473DC" w:rsidR="00392C06" w:rsidRPr="00682176" w:rsidRDefault="00392C06" w:rsidP="00682176">
      <w:r w:rsidRPr="00682176">
        <w:t xml:space="preserve">Presently, the risk-benefit assessment of </w:t>
      </w:r>
      <w:proofErr w:type="spellStart"/>
      <w:r w:rsidRPr="00682176">
        <w:t>toripalimab</w:t>
      </w:r>
      <w:proofErr w:type="spellEnd"/>
      <w:r w:rsidRPr="00682176">
        <w:t xml:space="preserve"> </w:t>
      </w:r>
      <w:proofErr w:type="gramStart"/>
      <w:r w:rsidRPr="00682176">
        <w:t>is considered to be</w:t>
      </w:r>
      <w:proofErr w:type="gramEnd"/>
      <w:r w:rsidRPr="00682176">
        <w:t xml:space="preserve"> favourable for the proposed population.</w:t>
      </w:r>
    </w:p>
    <w:p w14:paraId="3916F296" w14:textId="77777777" w:rsidR="00C22214" w:rsidRDefault="00C22214" w:rsidP="00C22214">
      <w:pPr>
        <w:pStyle w:val="Heading4"/>
      </w:pPr>
      <w:bookmarkStart w:id="72" w:name="_Toc98931933"/>
      <w:bookmarkStart w:id="73" w:name="_Toc233974556"/>
      <w:r w:rsidRPr="00D23139">
        <w:t>Proposed action</w:t>
      </w:r>
      <w:bookmarkEnd w:id="72"/>
      <w:bookmarkEnd w:id="73"/>
    </w:p>
    <w:p w14:paraId="4E837EA3" w14:textId="0CF53931" w:rsidR="00392C06" w:rsidRPr="00EE3E54" w:rsidRDefault="00392C06" w:rsidP="00EE3E54">
      <w:r w:rsidRPr="00EE3E54">
        <w:t xml:space="preserve">The </w:t>
      </w:r>
      <w:r w:rsidR="00EE3E54" w:rsidRPr="00EE3E54">
        <w:t xml:space="preserve">risk-benefit </w:t>
      </w:r>
      <w:r w:rsidRPr="00EE3E54">
        <w:t xml:space="preserve">assessment for </w:t>
      </w:r>
      <w:proofErr w:type="spellStart"/>
      <w:r w:rsidRPr="00EE3E54">
        <w:t>toripalimab</w:t>
      </w:r>
      <w:proofErr w:type="spellEnd"/>
      <w:r w:rsidRPr="00EE3E54">
        <w:t xml:space="preserve"> </w:t>
      </w:r>
      <w:proofErr w:type="gramStart"/>
      <w:r w:rsidRPr="00EE3E54">
        <w:t>is considered to be</w:t>
      </w:r>
      <w:proofErr w:type="gramEnd"/>
      <w:r w:rsidRPr="00EE3E54">
        <w:t xml:space="preserve"> favourable; the </w:t>
      </w:r>
      <w:r w:rsidR="00EE3E54">
        <w:t>D</w:t>
      </w:r>
      <w:r w:rsidRPr="00EE3E54">
        <w:t xml:space="preserve">elegate supports registration of </w:t>
      </w:r>
      <w:proofErr w:type="spellStart"/>
      <w:r w:rsidRPr="00EE3E54">
        <w:t>toripalimab</w:t>
      </w:r>
      <w:proofErr w:type="spellEnd"/>
      <w:r w:rsidRPr="00EE3E54">
        <w:t xml:space="preserve"> for the following indications</w:t>
      </w:r>
      <w:r w:rsidR="00EE3E54">
        <w:t>:</w:t>
      </w:r>
    </w:p>
    <w:p w14:paraId="0A6CF31D" w14:textId="6AE13205" w:rsidR="00902FB4" w:rsidRPr="00902FB4" w:rsidRDefault="00902FB4" w:rsidP="00EE3E54">
      <w:pPr>
        <w:ind w:left="720"/>
        <w:rPr>
          <w:i/>
          <w:iCs/>
        </w:rPr>
      </w:pPr>
      <w:proofErr w:type="spellStart"/>
      <w:r w:rsidRPr="00902FB4">
        <w:rPr>
          <w:i/>
          <w:iCs/>
        </w:rPr>
        <w:t>Toripalimab</w:t>
      </w:r>
      <w:proofErr w:type="spellEnd"/>
      <w:r w:rsidRPr="00902FB4">
        <w:rPr>
          <w:i/>
          <w:iCs/>
        </w:rPr>
        <w:t xml:space="preserve"> is indicated, in combination with cisplatin and gemcitabine, for the first-line treatment of adults with metastatic or with recurrent, locally advanced nasopharyngeal carcinoma (NPC),</w:t>
      </w:r>
    </w:p>
    <w:p w14:paraId="10B75F87" w14:textId="5C48D676" w:rsidR="00902FB4" w:rsidRPr="00902FB4" w:rsidRDefault="00902FB4" w:rsidP="00EE3E54">
      <w:pPr>
        <w:ind w:left="720"/>
        <w:rPr>
          <w:i/>
          <w:iCs/>
        </w:rPr>
      </w:pPr>
      <w:proofErr w:type="spellStart"/>
      <w:r w:rsidRPr="00902FB4">
        <w:rPr>
          <w:i/>
          <w:iCs/>
        </w:rPr>
        <w:t>Toripalimab</w:t>
      </w:r>
      <w:proofErr w:type="spellEnd"/>
      <w:r w:rsidRPr="00902FB4">
        <w:rPr>
          <w:i/>
          <w:iCs/>
        </w:rPr>
        <w:t xml:space="preserve"> is indicated, as a single agent, for the treatment of adults with recurrent unresectable or metastatic nasopharyngeal carcinoma (NPC) with disease progression on or after a platinum-containing chemotherapy.</w:t>
      </w:r>
    </w:p>
    <w:p w14:paraId="307F236C" w14:textId="7FD19BD3" w:rsidR="00C22214" w:rsidRPr="002E238E" w:rsidRDefault="0046285C" w:rsidP="00C22214">
      <w:pPr>
        <w:pStyle w:val="Heading2"/>
      </w:pPr>
      <w:bookmarkStart w:id="74" w:name="_Toc247691532"/>
      <w:bookmarkStart w:id="75" w:name="_Toc314842516"/>
      <w:bookmarkStart w:id="76" w:name="_Toc103679300"/>
      <w:bookmarkStart w:id="77" w:name="_Toc233974557"/>
      <w:r>
        <w:t>Assessment</w:t>
      </w:r>
      <w:r w:rsidR="00190853">
        <w:t xml:space="preserve"> </w:t>
      </w:r>
      <w:r>
        <w:t>o</w:t>
      </w:r>
      <w:r w:rsidR="00C22214">
        <w:t>utcome</w:t>
      </w:r>
      <w:bookmarkEnd w:id="74"/>
      <w:bookmarkEnd w:id="75"/>
      <w:bookmarkEnd w:id="76"/>
      <w:bookmarkEnd w:id="77"/>
    </w:p>
    <w:p w14:paraId="4EF22939" w14:textId="40A00DC8" w:rsidR="00C22214" w:rsidRPr="0017005C" w:rsidRDefault="00C22214" w:rsidP="0006104E">
      <w:r w:rsidRPr="0017005C">
        <w:t xml:space="preserve">Based on a review of quality, safety, and efficacy, the TGA </w:t>
      </w:r>
      <w:r w:rsidR="00B46DFB">
        <w:t>decided to</w:t>
      </w:r>
      <w:r w:rsidRPr="0017005C">
        <w:t xml:space="preserve"> regist</w:t>
      </w:r>
      <w:r w:rsidR="00B46DFB">
        <w:t>er</w:t>
      </w:r>
      <w:r w:rsidRPr="0017005C">
        <w:t xml:space="preserve"> </w:t>
      </w:r>
      <w:r w:rsidR="00575C8E" w:rsidRPr="00575C8E">
        <w:t>Tuoyi (</w:t>
      </w:r>
      <w:proofErr w:type="spellStart"/>
      <w:r w:rsidR="00575C8E" w:rsidRPr="00575C8E">
        <w:t>toripalimab</w:t>
      </w:r>
      <w:proofErr w:type="spellEnd"/>
      <w:r w:rsidR="00575C8E" w:rsidRPr="00575C8E">
        <w:t>) 240 mg/6 mL, concentrated injection, vial</w:t>
      </w:r>
      <w:r w:rsidRPr="0017005C">
        <w:t>, indicated for:</w:t>
      </w:r>
    </w:p>
    <w:p w14:paraId="0052BE73" w14:textId="645FBF42" w:rsidR="00F732E9" w:rsidRPr="00F732E9" w:rsidRDefault="00F732E9" w:rsidP="00F732E9">
      <w:pPr>
        <w:ind w:left="720"/>
        <w:rPr>
          <w:i/>
          <w:iCs/>
        </w:rPr>
      </w:pPr>
      <w:r w:rsidRPr="00F732E9">
        <w:rPr>
          <w:i/>
          <w:iCs/>
        </w:rPr>
        <w:t>Tuoyi is indicated, in combination with cisplatin and gemcitabine, for the first-line treatment of adults with metastatic or recurrent, locally advanced nasopharyngeal carcinoma (NPC).</w:t>
      </w:r>
    </w:p>
    <w:p w14:paraId="3B245AB5" w14:textId="0F6ACA7C" w:rsidR="00C22214" w:rsidRPr="00F732E9" w:rsidRDefault="00F732E9" w:rsidP="00F732E9">
      <w:pPr>
        <w:ind w:left="720"/>
        <w:rPr>
          <w:i/>
          <w:iCs/>
        </w:rPr>
      </w:pPr>
      <w:r w:rsidRPr="00F732E9">
        <w:rPr>
          <w:i/>
          <w:iCs/>
        </w:rPr>
        <w:t>Tuoyi is indicated, as a single agent, for the treatment of adults with recurrent unresectable or metastatic nasopharyngeal carcinoma (NPC) with disease progression on or after a platinum-containing chemotherapy.</w:t>
      </w:r>
    </w:p>
    <w:p w14:paraId="0D732DA4" w14:textId="74882685" w:rsidR="00854D98" w:rsidRPr="00D23139" w:rsidRDefault="00854D98" w:rsidP="00906C74">
      <w:pPr>
        <w:pStyle w:val="Heading2"/>
      </w:pPr>
      <w:bookmarkStart w:id="78" w:name="_Toc233974558"/>
      <w:bookmarkStart w:id="79" w:name="_Toc103679301"/>
      <w:r w:rsidRPr="00D23139">
        <w:lastRenderedPageBreak/>
        <w:t>Specific conditions of registration</w:t>
      </w:r>
      <w:bookmarkEnd w:id="78"/>
      <w:r w:rsidRPr="00D23139">
        <w:t xml:space="preserve"> </w:t>
      </w:r>
      <w:bookmarkEnd w:id="79"/>
    </w:p>
    <w:p w14:paraId="303EDC25" w14:textId="3B961DD0" w:rsidR="004D0583" w:rsidRDefault="004D0583" w:rsidP="000478BA">
      <w:pPr>
        <w:pStyle w:val="ListBullet"/>
      </w:pPr>
      <w:r>
        <w:t>Tuoyi (</w:t>
      </w:r>
      <w:proofErr w:type="spellStart"/>
      <w:r>
        <w:t>toripalimab</w:t>
      </w:r>
      <w:proofErr w:type="spellEnd"/>
      <w:r>
        <w:t>) is to be included in the Black Triangle Scheme. The PI and CMI for Tuoyi must include the black triangle symbol and mandatory accompanying text for five years, which starts from the date of first supply of the product.</w:t>
      </w:r>
    </w:p>
    <w:p w14:paraId="1701207F" w14:textId="4CC62FB6" w:rsidR="004D0583" w:rsidRDefault="004D0583" w:rsidP="008403FD">
      <w:pPr>
        <w:pStyle w:val="ListBullet"/>
      </w:pPr>
      <w:r>
        <w:t>The Tuoyi EU-Risk Management Plan (RMP) (version 1.4.1, dated 13</w:t>
      </w:r>
      <w:r w:rsidR="008403FD">
        <w:t> </w:t>
      </w:r>
      <w:r>
        <w:t>June</w:t>
      </w:r>
      <w:r w:rsidR="008403FD">
        <w:t> </w:t>
      </w:r>
      <w:r>
        <w:t>2024; DLP 16</w:t>
      </w:r>
      <w:r w:rsidR="008403FD">
        <w:t> </w:t>
      </w:r>
      <w:r>
        <w:t>December</w:t>
      </w:r>
      <w:r w:rsidR="008403FD">
        <w:t> </w:t>
      </w:r>
      <w:r>
        <w:t>2022), with Australia Specific Annex (version 0.2, dated 13</w:t>
      </w:r>
      <w:r w:rsidR="008403FD">
        <w:t> </w:t>
      </w:r>
      <w:r>
        <w:t>June</w:t>
      </w:r>
      <w:r w:rsidR="008403FD">
        <w:t> </w:t>
      </w:r>
      <w:r>
        <w:t>2024), included with submission PM-2023-04783-1-4, and any subsequent revisions, as agreed with the TGA will be implemented in Australia.</w:t>
      </w:r>
    </w:p>
    <w:p w14:paraId="55C7BA2F" w14:textId="0A49033C" w:rsidR="004D0583" w:rsidRDefault="004D0583" w:rsidP="008403FD">
      <w:pPr>
        <w:pStyle w:val="ListBullet"/>
      </w:pPr>
      <w:r>
        <w:t>An obligatory component of risk management plans is routine pharmacovigilance. Routine pharmacovigilance includes the submission of periodic safety update reports (PSURs).</w:t>
      </w:r>
    </w:p>
    <w:p w14:paraId="1924AD35" w14:textId="2E338592" w:rsidR="004D0583" w:rsidRDefault="004D0583" w:rsidP="008403FD">
      <w:pPr>
        <w:pStyle w:val="ListBullet"/>
        <w:numPr>
          <w:ilvl w:val="0"/>
          <w:numId w:val="0"/>
        </w:numPr>
        <w:ind w:left="360"/>
      </w:pPr>
      <w:r>
        <w:t>Unless agreed separately between the supplier who is the recipient of the approval and the TGA, the first report must be submitted to TGA no later than 15 calendar months after the date of th</w:t>
      </w:r>
      <w:r w:rsidR="00693BA4">
        <w:t>e</w:t>
      </w:r>
      <w:r>
        <w:t xml:space="preserve"> approval letter. The subsequent reports must be submitted no less frequently than annually from the date of the first submitted report until the period covered by such reports is not less than three years from the date of th</w:t>
      </w:r>
      <w:r w:rsidR="00693BA4">
        <w:t>e</w:t>
      </w:r>
      <w:r>
        <w:t xml:space="preserve"> approval letter. The annual submission may be made up of two PSURs each covering six months. If the sponsor wishes, the six-monthly reports may be submitted separately as they become available.</w:t>
      </w:r>
    </w:p>
    <w:p w14:paraId="0719FE85" w14:textId="7426DB4A" w:rsidR="004D0583" w:rsidRDefault="004D0583" w:rsidP="00693BA4">
      <w:pPr>
        <w:pStyle w:val="ListBullet"/>
        <w:numPr>
          <w:ilvl w:val="0"/>
          <w:numId w:val="0"/>
        </w:numPr>
        <w:ind w:left="360"/>
      </w:pPr>
      <w:r>
        <w:t>If the product is approved in the EU during the three years period, reports can be provided in line with the published list of EU reference dates no less frequently than annually from the date of the first submitted report until the period covered by such reports is not less than three years from the date of th</w:t>
      </w:r>
      <w:r w:rsidR="00693BA4">
        <w:t>e</w:t>
      </w:r>
      <w:r>
        <w:t xml:space="preserve"> approval letter. The reports are to at least meet the requirements for PSURs as described in the European Medicines Agency’s Guideline on good pharmacovigilance practices (GVP) Module VII-periodic safety update report (Rev 1), Part VII.B Structures and processes. Note that submission of a PSUR does not constitute an application to vary the registration. Each report must be submitted within ninety calendar days of the data lock point for that report.</w:t>
      </w:r>
    </w:p>
    <w:p w14:paraId="15E7758A" w14:textId="21753EAA" w:rsidR="004D0583" w:rsidRDefault="004D0583" w:rsidP="00373016">
      <w:pPr>
        <w:pStyle w:val="ListBullet"/>
      </w:pPr>
      <w:r>
        <w:t>Conduct, and submit the final dataset and report for, a clinical trial enrolling a total sample size of 100 patients in the United States (US) and Canada, that includes a sufficient representation of patients in racial and ethnic minority subgroups and is reflective of the US population of patients with nasopharyngeal carcinoma (NPC), to further characteri</w:t>
      </w:r>
      <w:r w:rsidR="009C19BD">
        <w:t>s</w:t>
      </w:r>
      <w:r>
        <w:t xml:space="preserve">e the safety and efficacy of </w:t>
      </w:r>
      <w:proofErr w:type="spellStart"/>
      <w:r>
        <w:t>toripalimab</w:t>
      </w:r>
      <w:proofErr w:type="spellEnd"/>
      <w:r>
        <w:t xml:space="preserve"> in combination with cisplatin and gemcitabine in these patients. Include </w:t>
      </w:r>
      <w:proofErr w:type="gramStart"/>
      <w:r>
        <w:t>a sufficient number of</w:t>
      </w:r>
      <w:proofErr w:type="gramEnd"/>
      <w:r>
        <w:t xml:space="preserve"> patients with the keratini</w:t>
      </w:r>
      <w:r w:rsidR="009C19BD">
        <w:t>s</w:t>
      </w:r>
      <w:r>
        <w:t>ing subtype reflecting the incidence of keratini</w:t>
      </w:r>
      <w:r w:rsidR="009C19BD">
        <w:t>s</w:t>
      </w:r>
      <w:r>
        <w:t xml:space="preserve">ing NPC in the US population. Conduct sparse sampling for supportive population pharmacokinetic and </w:t>
      </w:r>
      <w:r w:rsidR="009C19BD">
        <w:t>e</w:t>
      </w:r>
      <w:r>
        <w:t>xposure</w:t>
      </w:r>
      <w:r w:rsidR="009C19BD">
        <w:t xml:space="preserve"> r</w:t>
      </w:r>
      <w:r>
        <w:t>esponse (ER) analyses. The ER analyses may be used as supportive evidence for the</w:t>
      </w:r>
      <w:r w:rsidR="00D7091A">
        <w:t xml:space="preserve"> </w:t>
      </w:r>
      <w:r>
        <w:t>efficacy and safety in the intended patient population. In the ER analyses report,</w:t>
      </w:r>
      <w:r w:rsidR="00D7091A">
        <w:t xml:space="preserve"> </w:t>
      </w:r>
      <w:r>
        <w:t>include an analysis of the presence and clinical impact of the neutrali</w:t>
      </w:r>
      <w:r w:rsidR="004C35B7">
        <w:t>s</w:t>
      </w:r>
      <w:r>
        <w:t>ing anti-drug</w:t>
      </w:r>
      <w:r w:rsidR="00D7091A">
        <w:t xml:space="preserve"> </w:t>
      </w:r>
      <w:r>
        <w:t xml:space="preserve">antibodies on pharmacokinetics, efficacy and safety of </w:t>
      </w:r>
      <w:proofErr w:type="spellStart"/>
      <w:r>
        <w:t>toripalimab</w:t>
      </w:r>
      <w:proofErr w:type="spellEnd"/>
      <w:r w:rsidR="00D7091A">
        <w:t>.</w:t>
      </w:r>
    </w:p>
    <w:p w14:paraId="29279D6D" w14:textId="6F58DA7D" w:rsidR="004D0583" w:rsidRDefault="004D0583" w:rsidP="004C35B7">
      <w:pPr>
        <w:pStyle w:val="ListBullet"/>
      </w:pPr>
      <w:r>
        <w:t>Conduct, and submit the final report for, an assessment to determine the presence of</w:t>
      </w:r>
      <w:r w:rsidR="00D7091A">
        <w:t xml:space="preserve"> </w:t>
      </w:r>
      <w:r>
        <w:t>neutrali</w:t>
      </w:r>
      <w:r w:rsidR="004C35B7">
        <w:t>s</w:t>
      </w:r>
      <w:r>
        <w:t xml:space="preserve">ing anti-drug antibodies against </w:t>
      </w:r>
      <w:proofErr w:type="spellStart"/>
      <w:r>
        <w:t>toripalimab</w:t>
      </w:r>
      <w:proofErr w:type="spellEnd"/>
      <w:r>
        <w:t xml:space="preserve"> in all patient samples that tested</w:t>
      </w:r>
      <w:r w:rsidR="00D7091A">
        <w:t xml:space="preserve"> </w:t>
      </w:r>
      <w:r>
        <w:t>positive for binding anti-drug antibodies in all completed studies with unexpired</w:t>
      </w:r>
      <w:r w:rsidR="00D7091A">
        <w:t xml:space="preserve"> </w:t>
      </w:r>
      <w:r>
        <w:t>immunogenicity samples, as well as all ongoing and planned studies by using a</w:t>
      </w:r>
      <w:r w:rsidR="00D7091A">
        <w:t xml:space="preserve"> </w:t>
      </w:r>
      <w:r>
        <w:t>validated neutrali</w:t>
      </w:r>
      <w:r w:rsidR="004C35B7">
        <w:t>s</w:t>
      </w:r>
      <w:r>
        <w:t>ing anti-drug antibody assay. Evaluate the potential clinical impact of</w:t>
      </w:r>
      <w:r w:rsidR="00D7091A">
        <w:t xml:space="preserve"> </w:t>
      </w:r>
      <w:r>
        <w:t>the neutrali</w:t>
      </w:r>
      <w:r w:rsidR="004C35B7">
        <w:t>s</w:t>
      </w:r>
      <w:r>
        <w:t>ing anti-drug antibodies on pharmacokinetics, efficacy and safety of</w:t>
      </w:r>
      <w:r w:rsidR="00D7091A">
        <w:t xml:space="preserve"> </w:t>
      </w:r>
      <w:proofErr w:type="spellStart"/>
      <w:r>
        <w:t>toripalimab</w:t>
      </w:r>
      <w:proofErr w:type="spellEnd"/>
      <w:r>
        <w:t xml:space="preserve"> in a final report.</w:t>
      </w:r>
    </w:p>
    <w:p w14:paraId="6FCF21E1" w14:textId="3ED57D8F" w:rsidR="004D0583" w:rsidRDefault="004D0583" w:rsidP="004C35B7">
      <w:pPr>
        <w:pStyle w:val="ListBullet"/>
      </w:pPr>
      <w:r>
        <w:t>Laboratory testing &amp; compliance with Certified Product Details (CPD)</w:t>
      </w:r>
    </w:p>
    <w:p w14:paraId="4CE968B3" w14:textId="01D7D822" w:rsidR="004D0583" w:rsidRDefault="004D0583" w:rsidP="008B6223">
      <w:pPr>
        <w:pStyle w:val="ListBullet"/>
        <w:numPr>
          <w:ilvl w:val="0"/>
          <w:numId w:val="0"/>
        </w:numPr>
        <w:ind w:left="360"/>
      </w:pPr>
      <w:proofErr w:type="spellStart"/>
      <w:r>
        <w:t>i</w:t>
      </w:r>
      <w:proofErr w:type="spellEnd"/>
      <w:r>
        <w:t>. All batches of T</w:t>
      </w:r>
      <w:r w:rsidR="008B6223">
        <w:t>uoy</w:t>
      </w:r>
      <w:r w:rsidR="004D64CC">
        <w:t>i</w:t>
      </w:r>
      <w:r>
        <w:t xml:space="preserve"> supplied in Australia must comply with the product details and</w:t>
      </w:r>
      <w:r w:rsidR="000478BA">
        <w:t xml:space="preserve"> </w:t>
      </w:r>
      <w:r>
        <w:t>specifications approved during evaluation and detailed in the Certified Product Details</w:t>
      </w:r>
      <w:r w:rsidR="000478BA">
        <w:t xml:space="preserve"> </w:t>
      </w:r>
      <w:r>
        <w:t>(CPD).</w:t>
      </w:r>
    </w:p>
    <w:p w14:paraId="1D546558" w14:textId="3CC1BA49" w:rsidR="004D0583" w:rsidRDefault="004D0583" w:rsidP="008B6223">
      <w:pPr>
        <w:pStyle w:val="ListBullet"/>
        <w:numPr>
          <w:ilvl w:val="0"/>
          <w:numId w:val="0"/>
        </w:numPr>
        <w:ind w:left="360"/>
      </w:pPr>
      <w:r>
        <w:lastRenderedPageBreak/>
        <w:t>ii.</w:t>
      </w:r>
      <w:r w:rsidR="000478BA">
        <w:t xml:space="preserve"> </w:t>
      </w:r>
      <w:r>
        <w:t xml:space="preserve">When requested by the TGA, the </w:t>
      </w:r>
      <w:r w:rsidR="008B6223">
        <w:t>sp</w:t>
      </w:r>
      <w:r>
        <w:t>onsor should be prepared to provide product</w:t>
      </w:r>
      <w:r w:rsidR="000478BA">
        <w:t xml:space="preserve"> </w:t>
      </w:r>
      <w:r>
        <w:t>samples, specified reference materials and documentary evidence to enable the TGA to</w:t>
      </w:r>
      <w:r w:rsidR="000478BA">
        <w:t xml:space="preserve"> </w:t>
      </w:r>
      <w:r>
        <w:t xml:space="preserve">conduct laboratory testing on the Product. </w:t>
      </w:r>
      <w:r w:rsidR="00E267B4" w:rsidRPr="00E267B4">
        <w:t>Please note that outcomes of laboratory testing may be published on the TGA website</w:t>
      </w:r>
      <w:r w:rsidR="00E267B4">
        <w:t>.</w:t>
      </w:r>
    </w:p>
    <w:p w14:paraId="49C0ACA5" w14:textId="08B0964D" w:rsidR="004D0583" w:rsidRDefault="004D0583" w:rsidP="00FF6631">
      <w:pPr>
        <w:pStyle w:val="ListBullet"/>
      </w:pPr>
      <w:r>
        <w:t>Certified Product Details</w:t>
      </w:r>
    </w:p>
    <w:p w14:paraId="06C7F2A2" w14:textId="4A63815C" w:rsidR="00C66E2C" w:rsidRPr="00C66E2C" w:rsidRDefault="004D0583" w:rsidP="00C66E2C">
      <w:pPr>
        <w:pStyle w:val="ListBullet"/>
      </w:pPr>
      <w:r>
        <w:t>The Certified Product Details (CPD), as described in Guidance 7: Certified Product</w:t>
      </w:r>
      <w:r w:rsidR="000478BA">
        <w:t xml:space="preserve"> </w:t>
      </w:r>
      <w:r>
        <w:t>Details of the Australian Regulatory Guidelines for Prescription Medicines (ARGPM),</w:t>
      </w:r>
      <w:r w:rsidR="000478BA">
        <w:t xml:space="preserve"> </w:t>
      </w:r>
      <w:r>
        <w:t>in PDF format, for the above products should be provided upon registration of these</w:t>
      </w:r>
      <w:r w:rsidR="000478BA">
        <w:t xml:space="preserve"> </w:t>
      </w:r>
      <w:r>
        <w:t>therapeutic goods. In addition, an updated CPD should be provided when changes to</w:t>
      </w:r>
      <w:r w:rsidR="000478BA">
        <w:t xml:space="preserve"> </w:t>
      </w:r>
      <w:r>
        <w:t>finished product specifications and test methods are approved in a Category 3</w:t>
      </w:r>
      <w:r w:rsidR="000478BA">
        <w:t xml:space="preserve"> </w:t>
      </w:r>
      <w:r>
        <w:t>application or notified through a self-assessable change.</w:t>
      </w:r>
      <w:r w:rsidR="000478BA">
        <w:t xml:space="preserve"> </w:t>
      </w:r>
      <w:r>
        <w:t>A template for preparation of CPD for biological prescription medicines can be</w:t>
      </w:r>
      <w:r w:rsidR="000478BA">
        <w:t xml:space="preserve"> </w:t>
      </w:r>
      <w:r>
        <w:t>obtained from the TGA website</w:t>
      </w:r>
      <w:r w:rsidR="000478BA">
        <w:t xml:space="preserve"> </w:t>
      </w:r>
      <w:r w:rsidR="00C66E2C" w:rsidRPr="00C66E2C">
        <w:t>[for the form]</w:t>
      </w:r>
      <w:r w:rsidR="00C66E2C">
        <w:t xml:space="preserve"> </w:t>
      </w:r>
      <w:hyperlink r:id="rId37" w:history="1">
        <w:r w:rsidR="00C66E2C" w:rsidRPr="00B42AB6">
          <w:rPr>
            <w:rStyle w:val="Hyperlink"/>
          </w:rPr>
          <w:t>https://www.tga.gov.au/resources/resources/forms/certified-product-details-cpd-biological-prescription-medicines</w:t>
        </w:r>
      </w:hyperlink>
      <w:r w:rsidR="00C66E2C" w:rsidRPr="00C66E2C">
        <w:t xml:space="preserve"> [for the CPD guidance]</w:t>
      </w:r>
      <w:r w:rsidR="00C66E2C">
        <w:t xml:space="preserve"> </w:t>
      </w:r>
      <w:hyperlink r:id="rId38" w:history="1">
        <w:r w:rsidR="00C66E2C" w:rsidRPr="00C66E2C">
          <w:rPr>
            <w:rStyle w:val="Hyperlink"/>
          </w:rPr>
          <w:t>https://www.tga.gov.au/resources/guidance/submitting-certified-product-details-cpd-biological-prescription-medicines</w:t>
        </w:r>
      </w:hyperlink>
    </w:p>
    <w:p w14:paraId="0F9C1952" w14:textId="46BD475E" w:rsidR="00BA657C" w:rsidRPr="00BA657C" w:rsidRDefault="00BA657C" w:rsidP="004D4AD5">
      <w:pPr>
        <w:pStyle w:val="Heading3"/>
      </w:pPr>
      <w:bookmarkStart w:id="80" w:name="_Toc233974559"/>
      <w:bookmarkStart w:id="81" w:name="_Toc196738290"/>
      <w:r w:rsidRPr="00BA657C">
        <w:t>Product Information and Consumer Medicine Information</w:t>
      </w:r>
      <w:bookmarkEnd w:id="80"/>
      <w:r w:rsidRPr="00BA657C">
        <w:t xml:space="preserve"> </w:t>
      </w:r>
      <w:bookmarkEnd w:id="81"/>
    </w:p>
    <w:p w14:paraId="40740B65" w14:textId="08195C12" w:rsidR="00C22214" w:rsidRPr="008B4DA3" w:rsidRDefault="004D0933" w:rsidP="007E1580">
      <w:bookmarkStart w:id="82" w:name="_Hlk200021736"/>
      <w:r w:rsidRPr="004D0933">
        <w:t xml:space="preserve">For the most recent Product Information (PI) and Consumer Medicine Information (CMI), please refer to the TGA </w:t>
      </w:r>
      <w:hyperlink r:id="rId39" w:history="1">
        <w:r w:rsidRPr="004D0933">
          <w:rPr>
            <w:rStyle w:val="Hyperlink"/>
          </w:rPr>
          <w:t>PI/CMI search facility.</w:t>
        </w:r>
      </w:hyperlink>
      <w:bookmarkEnd w:id="82"/>
    </w:p>
    <w:p w14:paraId="53357BF3" w14:textId="276457B5" w:rsidR="00C22214" w:rsidRDefault="00C22214" w:rsidP="00C22214">
      <w:pPr>
        <w:rPr>
          <w:lang w:eastAsia="ja-JP"/>
        </w:rPr>
        <w:sectPr w:rsidR="00C22214" w:rsidSect="007452E8">
          <w:headerReference w:type="default" r:id="rId40"/>
          <w:footerReference w:type="default" r:id="rId41"/>
          <w:pgSz w:w="11906" w:h="16838" w:code="9"/>
          <w:pgMar w:top="1134" w:right="1418" w:bottom="1361" w:left="1418" w:header="573" w:footer="567" w:gutter="0"/>
          <w:cols w:space="708"/>
          <w:docGrid w:linePitch="360"/>
        </w:sectPr>
      </w:pPr>
    </w:p>
    <w:tbl>
      <w:tblPr>
        <w:tblW w:w="9145" w:type="dxa"/>
        <w:jc w:val="center"/>
        <w:tblLayout w:type="fixed"/>
        <w:tblCellMar>
          <w:left w:w="0" w:type="dxa"/>
          <w:right w:w="0" w:type="dxa"/>
        </w:tblCellMar>
        <w:tblLook w:val="04A0" w:firstRow="1" w:lastRow="0" w:firstColumn="1" w:lastColumn="0" w:noHBand="0" w:noVBand="1"/>
      </w:tblPr>
      <w:tblGrid>
        <w:gridCol w:w="9145"/>
      </w:tblGrid>
      <w:tr w:rsidR="00F02AEC" w:rsidRPr="00215D48" w14:paraId="3C0C07BF" w14:textId="77777777" w:rsidTr="007452E8">
        <w:trPr>
          <w:trHeight w:hRule="exact" w:val="565"/>
          <w:jc w:val="center"/>
        </w:trPr>
        <w:tc>
          <w:tcPr>
            <w:tcW w:w="9145" w:type="dxa"/>
          </w:tcPr>
          <w:bookmarkEnd w:id="3"/>
          <w:bookmarkEnd w:id="4"/>
          <w:p w14:paraId="7E090B86" w14:textId="77777777" w:rsidR="00F02AEC" w:rsidRPr="00215D48" w:rsidRDefault="00F02AEC" w:rsidP="007452E8">
            <w:pPr>
              <w:pStyle w:val="TGASignoff"/>
            </w:pPr>
            <w:r w:rsidRPr="00215D48">
              <w:lastRenderedPageBreak/>
              <w:t>Therapeutic Goods Administration</w:t>
            </w:r>
          </w:p>
        </w:tc>
      </w:tr>
      <w:tr w:rsidR="00F02AEC" w:rsidRPr="00215D48" w14:paraId="70F47EA1" w14:textId="77777777" w:rsidTr="007452E8">
        <w:trPr>
          <w:trHeight w:val="963"/>
          <w:jc w:val="center"/>
        </w:trPr>
        <w:tc>
          <w:tcPr>
            <w:tcW w:w="9145" w:type="dxa"/>
            <w:tcMar>
              <w:top w:w="28" w:type="dxa"/>
            </w:tcMar>
          </w:tcPr>
          <w:p w14:paraId="3491EBCD" w14:textId="77777777" w:rsidR="00F02AEC" w:rsidRPr="00215D48" w:rsidRDefault="00F02AEC" w:rsidP="007452E8">
            <w:pPr>
              <w:pStyle w:val="Address"/>
              <w:jc w:val="center"/>
            </w:pPr>
            <w:r w:rsidRPr="00215D48">
              <w:t>PO Box 100 Woden ACT 2606 Australia</w:t>
            </w:r>
          </w:p>
          <w:p w14:paraId="5D0FE0E7" w14:textId="592B7D66" w:rsidR="00F02AEC" w:rsidRDefault="00F02AEC">
            <w:pPr>
              <w:pStyle w:val="Address"/>
              <w:jc w:val="center"/>
              <w:rPr>
                <w:sz w:val="22"/>
                <w:szCs w:val="22"/>
              </w:rPr>
            </w:pPr>
            <w:r w:rsidRPr="00215D48">
              <w:t xml:space="preserve">Email: </w:t>
            </w:r>
            <w:hyperlink r:id="rId42" w:history="1">
              <w:r w:rsidRPr="00215D48">
                <w:rPr>
                  <w:rStyle w:val="Hyperlink"/>
                </w:rPr>
                <w:t>info@tga.gov.au</w:t>
              </w:r>
            </w:hyperlink>
            <w:r w:rsidR="00F50116">
              <w:t xml:space="preserve"> </w:t>
            </w:r>
            <w:r w:rsidRPr="00215D48">
              <w:t xml:space="preserve">Phone: 1800 020 653 Fax: </w:t>
            </w:r>
            <w:r w:rsidRPr="00BA0DFC">
              <w:t>02 6203 1605</w:t>
            </w:r>
          </w:p>
          <w:p w14:paraId="4533D80F" w14:textId="059C2271" w:rsidR="00F02AEC" w:rsidRPr="00215D48" w:rsidRDefault="00F02AEC">
            <w:pPr>
              <w:pStyle w:val="Address"/>
              <w:jc w:val="center"/>
              <w:rPr>
                <w:rStyle w:val="Hyperlink"/>
                <w:b/>
                <w:color w:val="auto"/>
                <w:sz w:val="22"/>
              </w:rPr>
            </w:pPr>
            <w:hyperlink r:id="rId43" w:history="1">
              <w:r w:rsidRPr="00C4721A">
                <w:rPr>
                  <w:rStyle w:val="Hyperlink"/>
                  <w:b/>
                </w:rPr>
                <w:t>https://www.tga.gov.au</w:t>
              </w:r>
            </w:hyperlink>
          </w:p>
        </w:tc>
      </w:tr>
      <w:tr w:rsidR="00F02AEC" w:rsidRPr="00215D48" w14:paraId="2AD74347" w14:textId="77777777" w:rsidTr="007452E8">
        <w:trPr>
          <w:trHeight w:val="251"/>
          <w:jc w:val="center"/>
        </w:trPr>
        <w:tc>
          <w:tcPr>
            <w:tcW w:w="9145" w:type="dxa"/>
            <w:tcMar>
              <w:top w:w="28" w:type="dxa"/>
            </w:tcMar>
          </w:tcPr>
          <w:p w14:paraId="6EAAD5C1" w14:textId="77777777" w:rsidR="00F02AEC" w:rsidRPr="00215D48" w:rsidRDefault="00F02AEC" w:rsidP="007452E8">
            <w:pPr>
              <w:pStyle w:val="Address"/>
              <w:jc w:val="center"/>
            </w:pPr>
            <w:r w:rsidRPr="00215D48">
              <w:t>Reference/Publication #</w:t>
            </w:r>
          </w:p>
        </w:tc>
      </w:tr>
    </w:tbl>
    <w:p w14:paraId="788B80FD" w14:textId="77777777" w:rsidR="007452E8" w:rsidRDefault="007452E8"/>
    <w:sectPr w:rsidR="007452E8" w:rsidSect="007452E8">
      <w:headerReference w:type="first" r:id="rId44"/>
      <w:footerReference w:type="first" r:id="rId45"/>
      <w:pgSz w:w="11906" w:h="16838" w:code="9"/>
      <w:pgMar w:top="13571" w:right="1701" w:bottom="567" w:left="1701" w:header="1134" w:footer="7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C4C92" w14:textId="77777777" w:rsidR="00EB7BC4" w:rsidRDefault="00EB7BC4" w:rsidP="00F02AEC">
      <w:pPr>
        <w:spacing w:after="0" w:line="240" w:lineRule="auto"/>
      </w:pPr>
      <w:r>
        <w:separator/>
      </w:r>
    </w:p>
  </w:endnote>
  <w:endnote w:type="continuationSeparator" w:id="0">
    <w:p w14:paraId="646AAD8B" w14:textId="77777777" w:rsidR="00EB7BC4" w:rsidRDefault="00EB7BC4" w:rsidP="00F02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7CF7" w14:textId="7A536625" w:rsidR="00AA6080" w:rsidRDefault="00AA6080">
    <w:pPr>
      <w:pStyle w:val="Footer"/>
    </w:pPr>
    <w:r>
      <w:rPr>
        <w:noProof/>
      </w:rPr>
      <mc:AlternateContent>
        <mc:Choice Requires="wps">
          <w:drawing>
            <wp:anchor distT="0" distB="0" distL="0" distR="0" simplePos="0" relativeHeight="251658247" behindDoc="0" locked="0" layoutInCell="1" allowOverlap="1" wp14:anchorId="6C82A4BB" wp14:editId="3401825C">
              <wp:simplePos x="635" y="635"/>
              <wp:positionH relativeFrom="page">
                <wp:align>center</wp:align>
              </wp:positionH>
              <wp:positionV relativeFrom="page">
                <wp:align>bottom</wp:align>
              </wp:positionV>
              <wp:extent cx="622300" cy="391160"/>
              <wp:effectExtent l="0" t="0" r="6350" b="0"/>
              <wp:wrapNone/>
              <wp:docPr id="16074558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229CBAB" w14:textId="08773DFC"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82A4BB" id="_x0000_t202" coordsize="21600,21600" o:spt="202" path="m,l,21600r21600,l21600,xe">
              <v:stroke joinstyle="miter"/>
              <v:path gradientshapeok="t" o:connecttype="rect"/>
            </v:shapetype>
            <v:shape id="Text Box 7" o:spid="_x0000_s1028" type="#_x0000_t202" alt="OFFICIAL" style="position:absolute;margin-left:0;margin-top:0;width:49pt;height:30.8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3229CBAB" w14:textId="08773DFC"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7452E8" w:rsidRPr="00257138" w14:paraId="162D69C2" w14:textId="77777777" w:rsidTr="007452E8">
      <w:trPr>
        <w:trHeight w:val="423"/>
      </w:trPr>
      <w:tc>
        <w:tcPr>
          <w:tcW w:w="4360" w:type="dxa"/>
          <w:tcBorders>
            <w:top w:val="single" w:sz="4" w:space="0" w:color="auto"/>
          </w:tcBorders>
        </w:tcPr>
        <w:p w14:paraId="32E1B782" w14:textId="5783EBFF" w:rsidR="007452E8" w:rsidRDefault="00AA6080" w:rsidP="007452E8">
          <w:pPr>
            <w:pStyle w:val="Footer"/>
          </w:pPr>
          <w:r>
            <w:rPr>
              <w:noProof/>
            </w:rPr>
            <mc:AlternateContent>
              <mc:Choice Requires="wps">
                <w:drawing>
                  <wp:anchor distT="0" distB="0" distL="0" distR="0" simplePos="0" relativeHeight="251658248" behindDoc="0" locked="0" layoutInCell="1" allowOverlap="1" wp14:anchorId="7B016761" wp14:editId="723C47A0">
                    <wp:simplePos x="635" y="635"/>
                    <wp:positionH relativeFrom="page">
                      <wp:align>center</wp:align>
                    </wp:positionH>
                    <wp:positionV relativeFrom="page">
                      <wp:align>bottom</wp:align>
                    </wp:positionV>
                    <wp:extent cx="622300" cy="391160"/>
                    <wp:effectExtent l="0" t="0" r="6350" b="0"/>
                    <wp:wrapNone/>
                    <wp:docPr id="1275345392"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1ADA2E7" w14:textId="4D4F3F1A"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016761" id="_x0000_t202" coordsize="21600,21600" o:spt="202" path="m,l,21600r21600,l21600,xe">
                    <v:stroke joinstyle="miter"/>
                    <v:path gradientshapeok="t" o:connecttype="rect"/>
                  </v:shapetype>
                  <v:shape id="Text Box 8" o:spid="_x0000_s1029" type="#_x0000_t202" alt="OFFICIAL" style="position:absolute;margin-left:0;margin-top:0;width:49pt;height:30.8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11ADA2E7" w14:textId="4D4F3F1A"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p w14:paraId="1849C07C" w14:textId="77777777" w:rsidR="007452E8" w:rsidRPr="00257138" w:rsidRDefault="007452E8" w:rsidP="007452E8">
          <w:pPr>
            <w:pStyle w:val="Footer"/>
          </w:pPr>
          <w:r w:rsidRPr="00257138">
            <w:t>Document title</w:t>
          </w:r>
        </w:p>
      </w:tc>
      <w:tc>
        <w:tcPr>
          <w:tcW w:w="4360" w:type="dxa"/>
          <w:tcBorders>
            <w:top w:val="single" w:sz="4" w:space="0" w:color="auto"/>
          </w:tcBorders>
        </w:tcPr>
        <w:sdt>
          <w:sdtPr>
            <w:id w:val="1087729233"/>
            <w:docPartObj>
              <w:docPartGallery w:val="Page Numbers (Top of Page)"/>
              <w:docPartUnique/>
            </w:docPartObj>
          </w:sdtPr>
          <w:sdtEndPr/>
          <w:sdtContent>
            <w:p w14:paraId="606A08BF" w14:textId="77777777" w:rsidR="007452E8" w:rsidRDefault="007452E8" w:rsidP="007452E8">
              <w:pPr>
                <w:pStyle w:val="Footer"/>
                <w:jc w:val="right"/>
              </w:pPr>
            </w:p>
            <w:p w14:paraId="5EDE6DF6" w14:textId="77777777" w:rsidR="007452E8" w:rsidRPr="00257138" w:rsidRDefault="007452E8" w:rsidP="007452E8">
              <w:pPr>
                <w:pStyle w:val="Footer"/>
                <w:jc w:val="right"/>
              </w:pPr>
              <w:r w:rsidRPr="00257138">
                <w:t xml:space="preserve">Page </w:t>
              </w:r>
              <w:r>
                <w:fldChar w:fldCharType="begin"/>
              </w:r>
              <w:r>
                <w:instrText xml:space="preserve"> PAGE </w:instrText>
              </w:r>
              <w:r>
                <w:fldChar w:fldCharType="separate"/>
              </w:r>
              <w:r>
                <w:rPr>
                  <w:noProof/>
                </w:rPr>
                <w:t>2</w:t>
              </w:r>
              <w:r>
                <w:rPr>
                  <w:noProof/>
                </w:rPr>
                <w:fldChar w:fldCharType="end"/>
              </w:r>
              <w:r w:rsidRPr="00257138">
                <w:t xml:space="preserve"> of </w:t>
              </w:r>
              <w:r>
                <w:fldChar w:fldCharType="begin"/>
              </w:r>
              <w:r>
                <w:instrText>NUMPAGES</w:instrText>
              </w:r>
              <w:r>
                <w:fldChar w:fldCharType="separate"/>
              </w:r>
              <w:r>
                <w:rPr>
                  <w:noProof/>
                </w:rPr>
                <w:t>2</w:t>
              </w:r>
              <w:r>
                <w:fldChar w:fldCharType="end"/>
              </w:r>
            </w:p>
          </w:sdtContent>
        </w:sdt>
      </w:tc>
    </w:tr>
    <w:tr w:rsidR="007452E8" w:rsidRPr="00257138" w14:paraId="280F09C8" w14:textId="77777777" w:rsidTr="007452E8">
      <w:trPr>
        <w:trHeight w:val="263"/>
      </w:trPr>
      <w:tc>
        <w:tcPr>
          <w:tcW w:w="4360" w:type="dxa"/>
        </w:tcPr>
        <w:p w14:paraId="673F06D3" w14:textId="77777777" w:rsidR="007452E8" w:rsidRPr="00257138" w:rsidRDefault="007452E8" w:rsidP="007452E8">
          <w:pPr>
            <w:pStyle w:val="Footer"/>
          </w:pPr>
          <w:r w:rsidRPr="00257138">
            <w:t xml:space="preserve">V1.0 </w:t>
          </w:r>
          <w:r>
            <w:t>Month</w:t>
          </w:r>
          <w:r w:rsidRPr="00257138">
            <w:t xml:space="preserve"> 201</w:t>
          </w:r>
          <w:r>
            <w:t>2</w:t>
          </w:r>
        </w:p>
      </w:tc>
      <w:tc>
        <w:tcPr>
          <w:tcW w:w="4360" w:type="dxa"/>
        </w:tcPr>
        <w:p w14:paraId="77F5B433" w14:textId="77777777" w:rsidR="007452E8" w:rsidRPr="00257138" w:rsidRDefault="007452E8" w:rsidP="007452E8">
          <w:pPr>
            <w:pStyle w:val="Footer"/>
            <w:jc w:val="right"/>
          </w:pPr>
        </w:p>
      </w:tc>
    </w:tr>
  </w:tbl>
  <w:p w14:paraId="63F6FDDE" w14:textId="77777777" w:rsidR="007452E8" w:rsidRPr="00826007" w:rsidRDefault="007452E8" w:rsidP="007452E8">
    <w:pPr>
      <w:pStyle w:val="Footer"/>
      <w:tabs>
        <w:tab w:val="left" w:pos="7620"/>
        <w:tab w:val="right" w:pos="850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AA29C" w14:textId="2D931C92" w:rsidR="007452E8" w:rsidRDefault="00AA6080" w:rsidP="007452E8">
    <w:pPr>
      <w:pStyle w:val="Footer"/>
      <w:ind w:left="-1701"/>
    </w:pPr>
    <w:r>
      <w:rPr>
        <w:noProof/>
      </w:rPr>
      <mc:AlternateContent>
        <mc:Choice Requires="wps">
          <w:drawing>
            <wp:anchor distT="0" distB="0" distL="0" distR="0" simplePos="0" relativeHeight="251658246" behindDoc="0" locked="0" layoutInCell="1" allowOverlap="1" wp14:anchorId="7FBBD7AA" wp14:editId="0931A908">
              <wp:simplePos x="635" y="635"/>
              <wp:positionH relativeFrom="page">
                <wp:align>center</wp:align>
              </wp:positionH>
              <wp:positionV relativeFrom="page">
                <wp:align>bottom</wp:align>
              </wp:positionV>
              <wp:extent cx="622300" cy="391160"/>
              <wp:effectExtent l="0" t="0" r="6350" b="0"/>
              <wp:wrapNone/>
              <wp:docPr id="211656148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13A14CE" w14:textId="6C3CFA46"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BBD7AA" id="_x0000_t202" coordsize="21600,21600" o:spt="202" path="m,l,21600r21600,l21600,xe">
              <v:stroke joinstyle="miter"/>
              <v:path gradientshapeok="t" o:connecttype="rect"/>
            </v:shapetype>
            <v:shape id="Text Box 6" o:spid="_x0000_s1031" type="#_x0000_t202" alt="OFFICIAL" style="position:absolute;left:0;text-align:left;margin-left:0;margin-top:0;width:49pt;height:30.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413A14CE" w14:textId="6C3CFA46"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r w:rsidR="007452E8" w:rsidRPr="002B29B2">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7338"/>
      <w:gridCol w:w="1734"/>
    </w:tblGrid>
    <w:tr w:rsidR="007452E8" w:rsidRPr="004A3084" w14:paraId="6266BC33" w14:textId="77777777" w:rsidTr="007452E8">
      <w:trPr>
        <w:trHeight w:val="423"/>
      </w:trPr>
      <w:tc>
        <w:tcPr>
          <w:tcW w:w="7338" w:type="dxa"/>
          <w:tcBorders>
            <w:top w:val="single" w:sz="4" w:space="0" w:color="auto"/>
          </w:tcBorders>
        </w:tcPr>
        <w:p w14:paraId="3C421323" w14:textId="23BCB0BD" w:rsidR="007452E8" w:rsidRPr="004A3084" w:rsidRDefault="00AA6080" w:rsidP="007452E8">
          <w:pPr>
            <w:pStyle w:val="Footer"/>
          </w:pPr>
          <w:r>
            <w:rPr>
              <w:noProof/>
            </w:rPr>
            <mc:AlternateContent>
              <mc:Choice Requires="wps">
                <w:drawing>
                  <wp:anchor distT="0" distB="0" distL="0" distR="0" simplePos="0" relativeHeight="251658249" behindDoc="0" locked="0" layoutInCell="1" allowOverlap="1" wp14:anchorId="30F87EA8" wp14:editId="3A3FE99A">
                    <wp:simplePos x="0" y="0"/>
                    <wp:positionH relativeFrom="page">
                      <wp:posOffset>2567940</wp:posOffset>
                    </wp:positionH>
                    <wp:positionV relativeFrom="page">
                      <wp:posOffset>238125</wp:posOffset>
                    </wp:positionV>
                    <wp:extent cx="622300" cy="391160"/>
                    <wp:effectExtent l="0" t="0" r="6350" b="0"/>
                    <wp:wrapNone/>
                    <wp:docPr id="1633609046"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7ADE80E" w14:textId="45AC51EE"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F87EA8" id="_x0000_t202" coordsize="21600,21600" o:spt="202" path="m,l,21600r21600,l21600,xe">
                    <v:stroke joinstyle="miter"/>
                    <v:path gradientshapeok="t" o:connecttype="rect"/>
                  </v:shapetype>
                  <v:shape id="Text Box 9" o:spid="_x0000_s1033" type="#_x0000_t202" alt="OFFICIAL" style="position:absolute;margin-left:202.2pt;margin-top:18.75pt;width:49pt;height:30.8pt;z-index:251658249;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" filled="f" stroked="f">
                    <v:textbox style="mso-fit-shape-to-text:t" inset="0,0,0,15pt">
                      <w:txbxContent>
                        <w:p w14:paraId="57ADE80E" w14:textId="45AC51EE"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r w:rsidR="007452E8" w:rsidRPr="00487162">
            <w:t>AusPA</w:t>
          </w:r>
          <w:r w:rsidR="007452E8">
            <w:t xml:space="preserve">R - </w:t>
          </w:r>
          <w:r w:rsidR="004803D6">
            <w:t>Tuoyi</w:t>
          </w:r>
          <w:r w:rsidR="0090644D" w:rsidRPr="0090644D">
            <w:t xml:space="preserve"> - </w:t>
          </w:r>
          <w:proofErr w:type="spellStart"/>
          <w:r w:rsidR="0090644D" w:rsidRPr="0090644D">
            <w:t>toripalimab</w:t>
          </w:r>
          <w:proofErr w:type="spellEnd"/>
          <w:r w:rsidR="0090644D" w:rsidRPr="0090644D">
            <w:t xml:space="preserve"> - </w:t>
          </w:r>
          <w:r w:rsidR="000D30EA" w:rsidRPr="000D30EA">
            <w:t xml:space="preserve">AA-Med Pty Ltd </w:t>
          </w:r>
          <w:r w:rsidR="0090644D" w:rsidRPr="0090644D">
            <w:t>- PM-2023-04783-1-4</w:t>
          </w:r>
          <w:r w:rsidR="007452E8">
            <w:br/>
          </w:r>
          <w:r w:rsidR="00182AE8" w:rsidRPr="00182AE8">
            <w:t xml:space="preserve">Final </w:t>
          </w:r>
          <w:r w:rsidR="00D82028">
            <w:t>3</w:t>
          </w:r>
          <w:r w:rsidR="00182AE8" w:rsidRPr="00182AE8">
            <w:t xml:space="preserve"> July</w:t>
          </w:r>
          <w:r w:rsidR="00F50116" w:rsidRPr="00182AE8">
            <w:t xml:space="preserve"> 2026</w:t>
          </w:r>
        </w:p>
      </w:tc>
      <w:tc>
        <w:tcPr>
          <w:tcW w:w="1734" w:type="dxa"/>
          <w:tcBorders>
            <w:top w:val="single" w:sz="4" w:space="0" w:color="auto"/>
          </w:tcBorders>
        </w:tcPr>
        <w:sdt>
          <w:sdtPr>
            <w:id w:val="11571659"/>
            <w:docPartObj>
              <w:docPartGallery w:val="Page Numbers (Top of Page)"/>
              <w:docPartUnique/>
            </w:docPartObj>
          </w:sdtPr>
          <w:sdtEndPr/>
          <w:sdtContent>
            <w:p w14:paraId="4DE4ED0C" w14:textId="29F65FFD" w:rsidR="007452E8" w:rsidRPr="004A3084" w:rsidRDefault="007452E8" w:rsidP="007452E8">
              <w:pPr>
                <w:pStyle w:val="Footer"/>
                <w:jc w:val="right"/>
              </w:pPr>
              <w:r w:rsidRPr="004A3084">
                <w:t xml:space="preserve">Page </w:t>
              </w:r>
              <w:r>
                <w:fldChar w:fldCharType="begin"/>
              </w:r>
              <w:r>
                <w:instrText xml:space="preserve"> PAGE </w:instrText>
              </w:r>
              <w:r>
                <w:fldChar w:fldCharType="separate"/>
              </w:r>
              <w:r w:rsidR="006D6B44">
                <w:rPr>
                  <w:noProof/>
                </w:rPr>
                <w:t>13</w:t>
              </w:r>
              <w:r>
                <w:rPr>
                  <w:noProof/>
                </w:rPr>
                <w:fldChar w:fldCharType="end"/>
              </w:r>
              <w:r w:rsidRPr="004A3084">
                <w:t xml:space="preserve"> of </w:t>
              </w:r>
              <w:r>
                <w:fldChar w:fldCharType="begin"/>
              </w:r>
              <w:r>
                <w:instrText>NUMPAGES</w:instrText>
              </w:r>
              <w:r>
                <w:fldChar w:fldCharType="separate"/>
              </w:r>
              <w:r w:rsidR="006D6B44">
                <w:rPr>
                  <w:noProof/>
                </w:rPr>
                <w:t>17</w:t>
              </w:r>
              <w:r>
                <w:fldChar w:fldCharType="end"/>
              </w:r>
            </w:p>
          </w:sdtContent>
        </w:sdt>
      </w:tc>
    </w:tr>
  </w:tbl>
  <w:p w14:paraId="1A4EDE60" w14:textId="77777777" w:rsidR="007452E8" w:rsidRPr="00826007" w:rsidRDefault="007452E8" w:rsidP="007452E8">
    <w:pPr>
      <w:pStyle w:val="Footer"/>
      <w:tabs>
        <w:tab w:val="left" w:pos="7620"/>
        <w:tab w:val="right" w:pos="8504"/>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F70A" w14:textId="77E05F7B" w:rsidR="007452E8" w:rsidRPr="008E3C43" w:rsidRDefault="00AA6080" w:rsidP="007452E8">
    <w:pPr>
      <w:pStyle w:val="Footer"/>
    </w:pPr>
    <w:r>
      <w:rPr>
        <w:noProof/>
      </w:rPr>
      <mc:AlternateContent>
        <mc:Choice Requires="wps">
          <w:drawing>
            <wp:anchor distT="0" distB="0" distL="0" distR="0" simplePos="0" relativeHeight="251658250" behindDoc="0" locked="0" layoutInCell="1" allowOverlap="1" wp14:anchorId="75BBE838" wp14:editId="4624DE86">
              <wp:simplePos x="635" y="635"/>
              <wp:positionH relativeFrom="page">
                <wp:align>center</wp:align>
              </wp:positionH>
              <wp:positionV relativeFrom="page">
                <wp:align>bottom</wp:align>
              </wp:positionV>
              <wp:extent cx="622300" cy="391160"/>
              <wp:effectExtent l="0" t="0" r="6350" b="0"/>
              <wp:wrapNone/>
              <wp:docPr id="67730484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D069688" w14:textId="70C9A1B7"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BBE838" id="_x0000_t202" coordsize="21600,21600" o:spt="202" path="m,l,21600r21600,l21600,xe">
              <v:stroke joinstyle="miter"/>
              <v:path gradientshapeok="t" o:connecttype="rect"/>
            </v:shapetype>
            <v:shape id="Text Box 10" o:spid="_x0000_s1035" type="#_x0000_t202" alt="OFFICIAL" style="position:absolute;margin-left:0;margin-top:0;width:49pt;height:30.8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MQjDg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fjtOv4X6SEshnPj2Tq5aar0WPjwLJIJpWhJt&#10;eKJDG+grDmeLswbw59/8MZ9wpyhnPQmm4pYUzZn5bomPqK3RwNHYJqO4zT9HeOy+uweSYUEvwslk&#10;kheDGU2N0L2SnJexEYWEldSu4tvRvA8n5dJzkGq5TEkkIyfC2m6cjKUjXBHLl+FVoDsDHoipRxjV&#10;JMp3uJ9y403vlvtA6CdSIrQnIM+IkwQTV+fnEjX+9j9lXR/14h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AkMMQjDgIAABwE&#10;AAAOAAAAAAAAAAAAAAAAAC4CAABkcnMvZTJvRG9jLnhtbFBLAQItABQABgAIAAAAIQCCUZTX2gAA&#10;AAMBAAAPAAAAAAAAAAAAAAAAAGgEAABkcnMvZG93bnJldi54bWxQSwUGAAAAAAQABADzAAAAbwUA&#10;AAAA&#10;" filled="f" stroked="f">
              <v:textbox style="mso-fit-shape-to-text:t" inset="0,0,0,15pt">
                <w:txbxContent>
                  <w:p w14:paraId="2D069688" w14:textId="70C9A1B7"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B253C" w14:textId="77777777" w:rsidR="00EB7BC4" w:rsidRDefault="00EB7BC4" w:rsidP="00F02AEC">
      <w:pPr>
        <w:spacing w:after="0" w:line="240" w:lineRule="auto"/>
      </w:pPr>
      <w:r>
        <w:separator/>
      </w:r>
    </w:p>
  </w:footnote>
  <w:footnote w:type="continuationSeparator" w:id="0">
    <w:p w14:paraId="5332DE17" w14:textId="77777777" w:rsidR="00EB7BC4" w:rsidRDefault="00EB7BC4" w:rsidP="00F02AEC">
      <w:pPr>
        <w:spacing w:after="0" w:line="240" w:lineRule="auto"/>
      </w:pPr>
      <w:r>
        <w:continuationSeparator/>
      </w:r>
    </w:p>
  </w:footnote>
  <w:footnote w:id="1">
    <w:p w14:paraId="607E41EB" w14:textId="709A018A" w:rsidR="003268D4" w:rsidRDefault="003268D4">
      <w:pPr>
        <w:pStyle w:val="FootnoteText"/>
      </w:pPr>
      <w:r>
        <w:rPr>
          <w:rStyle w:val="FootnoteReference"/>
        </w:rPr>
        <w:footnoteRef/>
      </w:r>
      <w:r w:rsidR="00440D92">
        <w:t xml:space="preserve"> </w:t>
      </w:r>
      <w:r w:rsidR="00D4017B">
        <w:t xml:space="preserve">On </w:t>
      </w:r>
      <w:r w:rsidR="00CC6DA3">
        <w:t xml:space="preserve">4 April 2025 the TGA approved </w:t>
      </w:r>
      <w:r w:rsidR="005A59A4">
        <w:t>a</w:t>
      </w:r>
      <w:r w:rsidR="00A66B9D">
        <w:t xml:space="preserve"> change of tradename from Tuoyi to Z</w:t>
      </w:r>
      <w:r w:rsidR="00464C05">
        <w:t>ytorvi.</w:t>
      </w:r>
    </w:p>
  </w:footnote>
  <w:footnote w:id="2">
    <w:p w14:paraId="3386B26E" w14:textId="3A0517F4" w:rsidR="00563957" w:rsidRDefault="00563957" w:rsidP="00544D2C">
      <w:pPr>
        <w:pStyle w:val="FootnoteText"/>
      </w:pPr>
      <w:r>
        <w:rPr>
          <w:rStyle w:val="FootnoteReference"/>
        </w:rPr>
        <w:footnoteRef/>
      </w:r>
      <w:r>
        <w:t xml:space="preserve"> On 30</w:t>
      </w:r>
      <w:r w:rsidR="00594D7F">
        <w:t xml:space="preserve"> January 2025 the sponsor</w:t>
      </w:r>
      <w:r w:rsidR="00A66508">
        <w:t xml:space="preserve">ship of </w:t>
      </w:r>
      <w:r w:rsidR="00C01249">
        <w:t>T</w:t>
      </w:r>
      <w:r w:rsidR="004C60C1">
        <w:t>uoyi (Zytorvi)</w:t>
      </w:r>
      <w:r w:rsidR="002B40C4">
        <w:t xml:space="preserve"> was transferred from </w:t>
      </w:r>
      <w:r w:rsidR="00A66508" w:rsidRPr="00563957">
        <w:rPr>
          <w:szCs w:val="22"/>
        </w:rPr>
        <w:t>AA-Med Pty Ltd</w:t>
      </w:r>
      <w:r w:rsidR="00544D2C">
        <w:rPr>
          <w:szCs w:val="22"/>
        </w:rPr>
        <w:t xml:space="preserve"> to </w:t>
      </w:r>
      <w:r w:rsidR="00544D2C" w:rsidRPr="00544D2C">
        <w:rPr>
          <w:szCs w:val="22"/>
        </w:rPr>
        <w:t>Dr Reddy's Laboratories Australia Pty Ltd</w:t>
      </w:r>
      <w:r w:rsidR="00544D2C">
        <w:rPr>
          <w:szCs w:val="22"/>
        </w:rPr>
        <w:t>.</w:t>
      </w:r>
    </w:p>
  </w:footnote>
  <w:footnote w:id="3">
    <w:p w14:paraId="68402A9B" w14:textId="42E6F8E0" w:rsidR="007452E8" w:rsidRPr="00A93DC6" w:rsidRDefault="007452E8">
      <w:pPr>
        <w:pStyle w:val="FootnoteText"/>
        <w:rPr>
          <w:lang w:val="en-GB"/>
        </w:rPr>
      </w:pPr>
      <w:r>
        <w:rPr>
          <w:rStyle w:val="FootnoteReference"/>
        </w:rPr>
        <w:footnoteRef/>
      </w:r>
      <w:r>
        <w:t xml:space="preserve"> </w:t>
      </w:r>
      <w:r w:rsidR="00FB236E">
        <w:t>This is the original indication proposed by the sponsor</w:t>
      </w:r>
      <w:r w:rsidR="00FB236E">
        <w:rPr>
          <w:lang w:val="en-GB"/>
        </w:rPr>
        <w:t xml:space="preserve"> when the TGA commenced the evaluation of this submission. It </w:t>
      </w:r>
      <w:r w:rsidRPr="007452E8">
        <w:rPr>
          <w:lang w:val="en-GB"/>
        </w:rPr>
        <w:t xml:space="preserve">may </w:t>
      </w:r>
      <w:r w:rsidR="00FB236E">
        <w:rPr>
          <w:lang w:val="en-GB"/>
        </w:rPr>
        <w:t>differ</w:t>
      </w:r>
      <w:r w:rsidRPr="007452E8">
        <w:rPr>
          <w:lang w:val="en-GB"/>
        </w:rPr>
        <w:t xml:space="preserve"> to the final indication approved by th</w:t>
      </w:r>
      <w:r w:rsidR="00FB236E">
        <w:rPr>
          <w:lang w:val="en-GB"/>
        </w:rPr>
        <w:t xml:space="preserve">e TGA and registered </w:t>
      </w:r>
      <w:r w:rsidR="005C4B46">
        <w:rPr>
          <w:lang w:val="en-GB"/>
        </w:rPr>
        <w:t xml:space="preserve">in </w:t>
      </w:r>
      <w:r w:rsidR="00FB236E">
        <w:rPr>
          <w:lang w:val="en-GB"/>
        </w:rPr>
        <w:t>the Australian Register of Therapeutic Goods.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FBF43" w14:textId="4621B79E" w:rsidR="00AA6080" w:rsidRDefault="00AA6080">
    <w:pPr>
      <w:pStyle w:val="Header"/>
    </w:pPr>
    <w:r>
      <w:rPr>
        <w:noProof/>
      </w:rPr>
      <mc:AlternateContent>
        <mc:Choice Requires="wps">
          <w:drawing>
            <wp:anchor distT="0" distB="0" distL="0" distR="0" simplePos="0" relativeHeight="251658242" behindDoc="0" locked="0" layoutInCell="1" allowOverlap="1" wp14:anchorId="168E078F" wp14:editId="3777CC4B">
              <wp:simplePos x="635" y="635"/>
              <wp:positionH relativeFrom="page">
                <wp:align>center</wp:align>
              </wp:positionH>
              <wp:positionV relativeFrom="page">
                <wp:align>top</wp:align>
              </wp:positionV>
              <wp:extent cx="622300" cy="391160"/>
              <wp:effectExtent l="0" t="0" r="6350" b="8890"/>
              <wp:wrapNone/>
              <wp:docPr id="162645292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7242D30" w14:textId="21E668B3"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8E078F"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57242D30" w14:textId="21E668B3"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3517" w14:textId="37A3B326" w:rsidR="007452E8" w:rsidRPr="00CB0550" w:rsidRDefault="00AA6080" w:rsidP="00CB0550">
    <w:pPr>
      <w:pStyle w:val="Header"/>
      <w:jc w:val="left"/>
    </w:pPr>
    <w:r>
      <w:rPr>
        <w:noProof/>
      </w:rPr>
      <mc:AlternateContent>
        <mc:Choice Requires="wps">
          <w:drawing>
            <wp:anchor distT="0" distB="0" distL="0" distR="0" simplePos="0" relativeHeight="251658243" behindDoc="0" locked="0" layoutInCell="1" allowOverlap="1" wp14:anchorId="1E1C9365" wp14:editId="2AEDCC7B">
              <wp:simplePos x="635" y="635"/>
              <wp:positionH relativeFrom="page">
                <wp:align>center</wp:align>
              </wp:positionH>
              <wp:positionV relativeFrom="page">
                <wp:align>top</wp:align>
              </wp:positionV>
              <wp:extent cx="622300" cy="391160"/>
              <wp:effectExtent l="0" t="0" r="6350" b="8890"/>
              <wp:wrapNone/>
              <wp:docPr id="86998396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A4722D9" w14:textId="1610D419"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1C9365"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7A4722D9" w14:textId="1610D419"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1" w:rightFromText="181" w:vertAnchor="page" w:horzAnchor="page" w:tblpX="1" w:tblpY="8999"/>
      <w:tblOverlap w:val="never"/>
      <w:tblW w:w="11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64"/>
    </w:tblGrid>
    <w:tr w:rsidR="007452E8" w:rsidRPr="002B29B2" w14:paraId="3E15C3BC" w14:textId="77777777" w:rsidTr="007452E8">
      <w:trPr>
        <w:trHeight w:hRule="exact" w:val="8845"/>
      </w:trPr>
      <w:tc>
        <w:tcPr>
          <w:tcW w:w="11964" w:type="dxa"/>
          <w:vAlign w:val="center"/>
        </w:tcPr>
        <w:p w14:paraId="6FDE4BFB" w14:textId="1A1F69EB" w:rsidR="007452E8" w:rsidRPr="002B29B2" w:rsidRDefault="00AA6080" w:rsidP="007452E8">
          <w:pPr>
            <w:ind w:left="-57"/>
            <w:rPr>
              <w:noProof/>
            </w:rPr>
          </w:pPr>
          <w:r>
            <w:rPr>
              <w:noProof/>
            </w:rPr>
            <mc:AlternateContent>
              <mc:Choice Requires="wps">
                <w:drawing>
                  <wp:anchor distT="0" distB="0" distL="0" distR="0" simplePos="0" relativeHeight="251658241" behindDoc="0" locked="0" layoutInCell="1" allowOverlap="1" wp14:anchorId="422F140B" wp14:editId="490F3E2F">
                    <wp:simplePos x="635" y="635"/>
                    <wp:positionH relativeFrom="page">
                      <wp:align>center</wp:align>
                    </wp:positionH>
                    <wp:positionV relativeFrom="page">
                      <wp:align>top</wp:align>
                    </wp:positionV>
                    <wp:extent cx="622300" cy="391160"/>
                    <wp:effectExtent l="0" t="0" r="6350" b="8890"/>
                    <wp:wrapNone/>
                    <wp:docPr id="12206007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A069E31" w14:textId="4AEFAA85"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2F140B"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5A069E31" w14:textId="4AEFAA85"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sdt>
            <w:sdtPr>
              <w:rPr>
                <w:noProof/>
              </w:rPr>
              <w:id w:val="1926993388"/>
              <w:showingPlcHdr/>
              <w:picture/>
            </w:sdtPr>
            <w:sdtEndPr/>
            <w:sdtContent>
              <w:r w:rsidR="007452E8" w:rsidRPr="00F71E1E">
                <w:rPr>
                  <w:noProof/>
                  <w:lang w:val="en-GB" w:eastAsia="en-GB"/>
                </w:rPr>
                <w:drawing>
                  <wp:inline distT="0" distB="0" distL="0" distR="0" wp14:anchorId="5C7F8AC9" wp14:editId="23FC1BBE">
                    <wp:extent cx="7631430" cy="5523865"/>
                    <wp:effectExtent l="0" t="0" r="762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
                            <pic:cNvPicPr>
                              <a:picLocks noChangeAspect="1" noChangeArrowheads="1"/>
                            </pic:cNvPicPr>
                          </pic:nvPicPr>
                          <pic:blipFill>
                            <a:blip r:embed="rId1" cstate="print"/>
                            <a:srcRect/>
                            <a:stretch>
                              <a:fillRect/>
                            </a:stretch>
                          </pic:blipFill>
                          <pic:spPr bwMode="auto">
                            <a:xfrm>
                              <a:off x="0" y="0"/>
                              <a:ext cx="7631430" cy="5523865"/>
                            </a:xfrm>
                            <a:prstGeom prst="rect">
                              <a:avLst/>
                            </a:prstGeom>
                            <a:noFill/>
                            <a:ln w="9525">
                              <a:noFill/>
                              <a:miter lim="800000"/>
                              <a:headEnd/>
                              <a:tailEnd/>
                            </a:ln>
                          </pic:spPr>
                        </pic:pic>
                      </a:graphicData>
                    </a:graphic>
                  </wp:inline>
                </w:drawing>
              </w:r>
            </w:sdtContent>
          </w:sdt>
        </w:p>
      </w:tc>
    </w:tr>
  </w:tbl>
  <w:p w14:paraId="6402DE55" w14:textId="38802056" w:rsidR="007452E8" w:rsidRDefault="0006693A" w:rsidP="007452E8">
    <w:pPr>
      <w:rPr>
        <w:noProof/>
      </w:rPr>
    </w:pPr>
    <w:r>
      <w:rPr>
        <w:noProof/>
      </w:rPr>
      <w:drawing>
        <wp:inline distT="0" distB="0" distL="0" distR="0" wp14:anchorId="26654E9F" wp14:editId="78E105AB">
          <wp:extent cx="3344545" cy="694055"/>
          <wp:effectExtent l="0" t="0" r="8255" b="0"/>
          <wp:docPr id="1596027861"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27861" name="Picture 2"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44545" cy="694055"/>
                  </a:xfrm>
                  <a:prstGeom prst="rect">
                    <a:avLst/>
                  </a:prstGeom>
                  <a:noFill/>
                  <a:ln>
                    <a:noFill/>
                  </a:ln>
                </pic:spPr>
              </pic:pic>
            </a:graphicData>
          </a:graphic>
        </wp:inline>
      </w:drawing>
    </w:r>
    <w:r w:rsidR="007452E8" w:rsidRPr="002B29B2">
      <w:rPr>
        <w:noProof/>
        <w:lang w:val="en-GB" w:eastAsia="en-GB"/>
      </w:rPr>
      <w:drawing>
        <wp:anchor distT="0" distB="0" distL="114300" distR="114300" simplePos="0" relativeHeight="251658240" behindDoc="0" locked="0" layoutInCell="0" allowOverlap="1" wp14:anchorId="14BBEAC1" wp14:editId="5D9F0498">
          <wp:simplePos x="0" y="0"/>
          <wp:positionH relativeFrom="page">
            <wp:align>left</wp:align>
          </wp:positionH>
          <wp:positionV relativeFrom="page">
            <wp:posOffset>3239495</wp:posOffset>
          </wp:positionV>
          <wp:extent cx="7663815" cy="4323091"/>
          <wp:effectExtent l="0" t="0" r="0"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663815" cy="432309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1632D" w14:textId="120C3F87" w:rsidR="007452E8" w:rsidRDefault="00AA6080" w:rsidP="007452E8">
    <w:pPr>
      <w:pStyle w:val="Header"/>
    </w:pPr>
    <w:r>
      <w:rPr>
        <w:noProof/>
      </w:rPr>
      <mc:AlternateContent>
        <mc:Choice Requires="wps">
          <w:drawing>
            <wp:anchor distT="0" distB="0" distL="0" distR="0" simplePos="0" relativeHeight="251658244" behindDoc="0" locked="0" layoutInCell="1" allowOverlap="1" wp14:anchorId="7AEDDC9B" wp14:editId="36FD8DAD">
              <wp:simplePos x="904875" y="361950"/>
              <wp:positionH relativeFrom="page">
                <wp:align>center</wp:align>
              </wp:positionH>
              <wp:positionV relativeFrom="page">
                <wp:align>top</wp:align>
              </wp:positionV>
              <wp:extent cx="622300" cy="391160"/>
              <wp:effectExtent l="0" t="0" r="6350" b="8890"/>
              <wp:wrapNone/>
              <wp:docPr id="196345560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D4558F2" w14:textId="487235AC"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EDDC9B"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30.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wRDA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" filled="f" stroked="f">
              <v:textbox style="mso-fit-shape-to-text:t" inset="0,15pt,0,0">
                <w:txbxContent>
                  <w:p w14:paraId="5D4558F2" w14:textId="487235AC"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r w:rsidR="007452E8" w:rsidRPr="000F5176">
      <w:t>Therapeutic Goods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477B" w14:textId="47193F49" w:rsidR="007452E8" w:rsidRPr="00FE501F" w:rsidRDefault="00AA6080" w:rsidP="007452E8">
    <w:pPr>
      <w:pStyle w:val="Headernoline"/>
    </w:pPr>
    <w:r>
      <w:rPr>
        <w:noProof/>
      </w:rPr>
      <mc:AlternateContent>
        <mc:Choice Requires="wps">
          <w:drawing>
            <wp:anchor distT="0" distB="0" distL="0" distR="0" simplePos="0" relativeHeight="251658245" behindDoc="0" locked="0" layoutInCell="1" allowOverlap="1" wp14:anchorId="2E9DBE25" wp14:editId="6C92E7E4">
              <wp:simplePos x="635" y="635"/>
              <wp:positionH relativeFrom="page">
                <wp:align>center</wp:align>
              </wp:positionH>
              <wp:positionV relativeFrom="page">
                <wp:align>top</wp:align>
              </wp:positionV>
              <wp:extent cx="622300" cy="391160"/>
              <wp:effectExtent l="0" t="0" r="6350" b="8890"/>
              <wp:wrapNone/>
              <wp:docPr id="9160222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44BABE5" w14:textId="660E2D68"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9DBE25" id="_x0000_t202" coordsize="21600,21600" o:spt="202" path="m,l,21600r21600,l21600,xe">
              <v:stroke joinstyle="miter"/>
              <v:path gradientshapeok="t" o:connecttype="rect"/>
            </v:shapetype>
            <v:shape id="Text Box 5" o:spid="_x0000_s1034" type="#_x0000_t202" alt="OFFICIAL" style="position:absolute;left:0;text-align:left;margin-left:0;margin-top:0;width:49pt;height:30.8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DXSCeqDQIAABwEAAAO&#10;AAAAAAAAAAAAAAAAAC4CAABkcnMvZTJvRG9jLnhtbFBLAQItABQABgAIAAAAIQBhokho2AAAAAMB&#10;AAAPAAAAAAAAAAAAAAAAAGcEAABkcnMvZG93bnJldi54bWxQSwUGAAAAAAQABADzAAAAbAUAAAAA&#10;" filled="f" stroked="f">
              <v:textbox style="mso-fit-shape-to-text:t" inset="0,15pt,0,0">
                <w:txbxContent>
                  <w:p w14:paraId="044BABE5" w14:textId="660E2D68"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735D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398C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D807E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685CA6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72D44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9F1CE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D3D95B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E9108CD"/>
    <w:multiLevelType w:val="hybridMultilevel"/>
    <w:tmpl w:val="F07C7BCA"/>
    <w:lvl w:ilvl="0" w:tplc="7E7496A6">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053F11"/>
    <w:multiLevelType w:val="multilevel"/>
    <w:tmpl w:val="9B4A173E"/>
    <w:styleLink w:val="NumberBullet"/>
    <w:lvl w:ilvl="0">
      <w:start w:val="1"/>
      <w:numFmt w:val="decimal"/>
      <w:pStyle w:val="Numberbullet0"/>
      <w:lvlText w:val="%1."/>
      <w:lvlJc w:val="left"/>
      <w:pPr>
        <w:ind w:left="360" w:hanging="360"/>
      </w:pPr>
      <w:rPr>
        <w:rFonts w:ascii="Arial" w:hAnsi="Arial" w:hint="default"/>
      </w:rPr>
    </w:lvl>
    <w:lvl w:ilvl="1">
      <w:start w:val="1"/>
      <w:numFmt w:val="lowerLetter"/>
      <w:pStyle w:val="Numberbullet2"/>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9" w15:restartNumberingAfterBreak="0">
    <w:nsid w:val="11954162"/>
    <w:multiLevelType w:val="hybridMultilevel"/>
    <w:tmpl w:val="21E0E150"/>
    <w:lvl w:ilvl="0" w:tplc="66A8C192">
      <w:start w:val="1"/>
      <w:numFmt w:val="bullet"/>
      <w:lvlText w:val=""/>
      <w:lvlJc w:val="left"/>
      <w:pPr>
        <w:ind w:left="720" w:hanging="360"/>
      </w:pPr>
      <w:rPr>
        <w:rFonts w:ascii="Symbol" w:hAnsi="Symbol"/>
      </w:rPr>
    </w:lvl>
    <w:lvl w:ilvl="1" w:tplc="816C6ABA">
      <w:start w:val="1"/>
      <w:numFmt w:val="bullet"/>
      <w:lvlText w:val=""/>
      <w:lvlJc w:val="left"/>
      <w:pPr>
        <w:ind w:left="720" w:hanging="360"/>
      </w:pPr>
      <w:rPr>
        <w:rFonts w:ascii="Symbol" w:hAnsi="Symbol"/>
      </w:rPr>
    </w:lvl>
    <w:lvl w:ilvl="2" w:tplc="FA228082">
      <w:start w:val="1"/>
      <w:numFmt w:val="bullet"/>
      <w:lvlText w:val=""/>
      <w:lvlJc w:val="left"/>
      <w:pPr>
        <w:ind w:left="720" w:hanging="360"/>
      </w:pPr>
      <w:rPr>
        <w:rFonts w:ascii="Symbol" w:hAnsi="Symbol"/>
      </w:rPr>
    </w:lvl>
    <w:lvl w:ilvl="3" w:tplc="5FFA528C">
      <w:start w:val="1"/>
      <w:numFmt w:val="bullet"/>
      <w:lvlText w:val=""/>
      <w:lvlJc w:val="left"/>
      <w:pPr>
        <w:ind w:left="720" w:hanging="360"/>
      </w:pPr>
      <w:rPr>
        <w:rFonts w:ascii="Symbol" w:hAnsi="Symbol"/>
      </w:rPr>
    </w:lvl>
    <w:lvl w:ilvl="4" w:tplc="1ADE0C1E">
      <w:start w:val="1"/>
      <w:numFmt w:val="bullet"/>
      <w:lvlText w:val=""/>
      <w:lvlJc w:val="left"/>
      <w:pPr>
        <w:ind w:left="720" w:hanging="360"/>
      </w:pPr>
      <w:rPr>
        <w:rFonts w:ascii="Symbol" w:hAnsi="Symbol"/>
      </w:rPr>
    </w:lvl>
    <w:lvl w:ilvl="5" w:tplc="1FC2A16A">
      <w:start w:val="1"/>
      <w:numFmt w:val="bullet"/>
      <w:lvlText w:val=""/>
      <w:lvlJc w:val="left"/>
      <w:pPr>
        <w:ind w:left="720" w:hanging="360"/>
      </w:pPr>
      <w:rPr>
        <w:rFonts w:ascii="Symbol" w:hAnsi="Symbol"/>
      </w:rPr>
    </w:lvl>
    <w:lvl w:ilvl="6" w:tplc="CC9273EE">
      <w:start w:val="1"/>
      <w:numFmt w:val="bullet"/>
      <w:lvlText w:val=""/>
      <w:lvlJc w:val="left"/>
      <w:pPr>
        <w:ind w:left="720" w:hanging="360"/>
      </w:pPr>
      <w:rPr>
        <w:rFonts w:ascii="Symbol" w:hAnsi="Symbol"/>
      </w:rPr>
    </w:lvl>
    <w:lvl w:ilvl="7" w:tplc="D0167D44">
      <w:start w:val="1"/>
      <w:numFmt w:val="bullet"/>
      <w:lvlText w:val=""/>
      <w:lvlJc w:val="left"/>
      <w:pPr>
        <w:ind w:left="720" w:hanging="360"/>
      </w:pPr>
      <w:rPr>
        <w:rFonts w:ascii="Symbol" w:hAnsi="Symbol"/>
      </w:rPr>
    </w:lvl>
    <w:lvl w:ilvl="8" w:tplc="19C639C8">
      <w:start w:val="1"/>
      <w:numFmt w:val="bullet"/>
      <w:lvlText w:val=""/>
      <w:lvlJc w:val="left"/>
      <w:pPr>
        <w:ind w:left="720" w:hanging="360"/>
      </w:pPr>
      <w:rPr>
        <w:rFonts w:ascii="Symbol" w:hAnsi="Symbol"/>
      </w:rPr>
    </w:lvl>
  </w:abstractNum>
  <w:abstractNum w:abstractNumId="10" w15:restartNumberingAfterBreak="0">
    <w:nsid w:val="12EF17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63F187C"/>
    <w:multiLevelType w:val="hybridMultilevel"/>
    <w:tmpl w:val="20409048"/>
    <w:lvl w:ilvl="0" w:tplc="669A989C">
      <w:start w:val="4"/>
      <w:numFmt w:val="bullet"/>
      <w:pStyle w:val="ListBullet3"/>
      <w:lvlText w:val="▪"/>
      <w:lvlJc w:val="left"/>
      <w:pPr>
        <w:ind w:left="1571" w:hanging="360"/>
      </w:pPr>
      <w:rPr>
        <w:rFonts w:ascii="Arial" w:eastAsia="Cambria"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2" w15:restartNumberingAfterBreak="0">
    <w:nsid w:val="168F13E9"/>
    <w:multiLevelType w:val="multilevel"/>
    <w:tmpl w:val="520883D8"/>
    <w:styleLink w:val="ListBullets"/>
    <w:lvl w:ilvl="0">
      <w:start w:val="4"/>
      <w:numFmt w:val="bullet"/>
      <w:pStyle w:val="ListBullet"/>
      <w:lvlText w:val="•"/>
      <w:lvlJc w:val="left"/>
      <w:pPr>
        <w:ind w:left="360" w:hanging="360"/>
      </w:pPr>
      <w:rPr>
        <w:rFonts w:ascii="Cambria" w:eastAsia="Cambria" w:hAnsi="Cambria" w:hint="default"/>
      </w:rPr>
    </w:lvl>
    <w:lvl w:ilvl="1">
      <w:start w:val="1"/>
      <w:numFmt w:val="bullet"/>
      <w:pStyle w:val="ListBullet2"/>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17A53F58"/>
    <w:multiLevelType w:val="hybridMultilevel"/>
    <w:tmpl w:val="9006CE9C"/>
    <w:lvl w:ilvl="0" w:tplc="CCE608D2">
      <w:start w:val="1"/>
      <w:numFmt w:val="bullet"/>
      <w:lvlText w:val=""/>
      <w:lvlJc w:val="left"/>
      <w:pPr>
        <w:ind w:left="720" w:hanging="360"/>
      </w:pPr>
      <w:rPr>
        <w:rFonts w:ascii="Symbol" w:hAnsi="Symbol"/>
      </w:rPr>
    </w:lvl>
    <w:lvl w:ilvl="1" w:tplc="DD000D32">
      <w:start w:val="1"/>
      <w:numFmt w:val="bullet"/>
      <w:lvlText w:val=""/>
      <w:lvlJc w:val="left"/>
      <w:pPr>
        <w:ind w:left="720" w:hanging="360"/>
      </w:pPr>
      <w:rPr>
        <w:rFonts w:ascii="Symbol" w:hAnsi="Symbol"/>
      </w:rPr>
    </w:lvl>
    <w:lvl w:ilvl="2" w:tplc="B9A68454">
      <w:start w:val="1"/>
      <w:numFmt w:val="bullet"/>
      <w:lvlText w:val=""/>
      <w:lvlJc w:val="left"/>
      <w:pPr>
        <w:ind w:left="720" w:hanging="360"/>
      </w:pPr>
      <w:rPr>
        <w:rFonts w:ascii="Symbol" w:hAnsi="Symbol"/>
      </w:rPr>
    </w:lvl>
    <w:lvl w:ilvl="3" w:tplc="0F56BB88">
      <w:start w:val="1"/>
      <w:numFmt w:val="bullet"/>
      <w:lvlText w:val=""/>
      <w:lvlJc w:val="left"/>
      <w:pPr>
        <w:ind w:left="720" w:hanging="360"/>
      </w:pPr>
      <w:rPr>
        <w:rFonts w:ascii="Symbol" w:hAnsi="Symbol"/>
      </w:rPr>
    </w:lvl>
    <w:lvl w:ilvl="4" w:tplc="CD46838A">
      <w:start w:val="1"/>
      <w:numFmt w:val="bullet"/>
      <w:lvlText w:val=""/>
      <w:lvlJc w:val="left"/>
      <w:pPr>
        <w:ind w:left="720" w:hanging="360"/>
      </w:pPr>
      <w:rPr>
        <w:rFonts w:ascii="Symbol" w:hAnsi="Symbol"/>
      </w:rPr>
    </w:lvl>
    <w:lvl w:ilvl="5" w:tplc="BBAA1BCC">
      <w:start w:val="1"/>
      <w:numFmt w:val="bullet"/>
      <w:lvlText w:val=""/>
      <w:lvlJc w:val="left"/>
      <w:pPr>
        <w:ind w:left="720" w:hanging="360"/>
      </w:pPr>
      <w:rPr>
        <w:rFonts w:ascii="Symbol" w:hAnsi="Symbol"/>
      </w:rPr>
    </w:lvl>
    <w:lvl w:ilvl="6" w:tplc="BF04908C">
      <w:start w:val="1"/>
      <w:numFmt w:val="bullet"/>
      <w:lvlText w:val=""/>
      <w:lvlJc w:val="left"/>
      <w:pPr>
        <w:ind w:left="720" w:hanging="360"/>
      </w:pPr>
      <w:rPr>
        <w:rFonts w:ascii="Symbol" w:hAnsi="Symbol"/>
      </w:rPr>
    </w:lvl>
    <w:lvl w:ilvl="7" w:tplc="E4DC650E">
      <w:start w:val="1"/>
      <w:numFmt w:val="bullet"/>
      <w:lvlText w:val=""/>
      <w:lvlJc w:val="left"/>
      <w:pPr>
        <w:ind w:left="720" w:hanging="360"/>
      </w:pPr>
      <w:rPr>
        <w:rFonts w:ascii="Symbol" w:hAnsi="Symbol"/>
      </w:rPr>
    </w:lvl>
    <w:lvl w:ilvl="8" w:tplc="2CE8444E">
      <w:start w:val="1"/>
      <w:numFmt w:val="bullet"/>
      <w:lvlText w:val=""/>
      <w:lvlJc w:val="left"/>
      <w:pPr>
        <w:ind w:left="720" w:hanging="360"/>
      </w:pPr>
      <w:rPr>
        <w:rFonts w:ascii="Symbol" w:hAnsi="Symbol"/>
      </w:rPr>
    </w:lvl>
  </w:abstractNum>
  <w:abstractNum w:abstractNumId="14" w15:restartNumberingAfterBreak="0">
    <w:nsid w:val="1C1B61DD"/>
    <w:multiLevelType w:val="multilevel"/>
    <w:tmpl w:val="2D0E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FB1C56"/>
    <w:multiLevelType w:val="multilevel"/>
    <w:tmpl w:val="339EBC96"/>
    <w:lvl w:ilvl="0">
      <w:start w:val="1"/>
      <w:numFmt w:val="bullet"/>
      <w:pStyle w:val="ListBullet-dotick"/>
      <w:lvlText w:val=""/>
      <w:lvlJc w:val="left"/>
      <w:pPr>
        <w:ind w:left="360" w:hanging="360"/>
      </w:pPr>
      <w:rPr>
        <w:rFonts w:ascii="Wingdings" w:hAnsi="Wingdings" w:hint="default"/>
        <w:b/>
        <w:i w:val="0"/>
        <w:color w:val="00B050"/>
        <w:sz w:val="24"/>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6" w15:restartNumberingAfterBreak="0">
    <w:nsid w:val="30EED1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2FE26B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6836578"/>
    <w:multiLevelType w:val="hybridMultilevel"/>
    <w:tmpl w:val="F350D9EC"/>
    <w:lvl w:ilvl="0" w:tplc="B8AAF4A2">
      <w:start w:val="1"/>
      <w:numFmt w:val="bullet"/>
      <w:lvlText w:val=""/>
      <w:lvlJc w:val="left"/>
      <w:pPr>
        <w:ind w:left="720" w:hanging="360"/>
      </w:pPr>
      <w:rPr>
        <w:rFonts w:ascii="Symbol" w:hAnsi="Symbol"/>
      </w:rPr>
    </w:lvl>
    <w:lvl w:ilvl="1" w:tplc="B63ED5FC">
      <w:start w:val="1"/>
      <w:numFmt w:val="bullet"/>
      <w:lvlText w:val=""/>
      <w:lvlJc w:val="left"/>
      <w:pPr>
        <w:ind w:left="720" w:hanging="360"/>
      </w:pPr>
      <w:rPr>
        <w:rFonts w:ascii="Symbol" w:hAnsi="Symbol"/>
      </w:rPr>
    </w:lvl>
    <w:lvl w:ilvl="2" w:tplc="C9C41D84">
      <w:start w:val="1"/>
      <w:numFmt w:val="bullet"/>
      <w:lvlText w:val=""/>
      <w:lvlJc w:val="left"/>
      <w:pPr>
        <w:ind w:left="720" w:hanging="360"/>
      </w:pPr>
      <w:rPr>
        <w:rFonts w:ascii="Symbol" w:hAnsi="Symbol"/>
      </w:rPr>
    </w:lvl>
    <w:lvl w:ilvl="3" w:tplc="A9FCBD70">
      <w:start w:val="1"/>
      <w:numFmt w:val="bullet"/>
      <w:lvlText w:val=""/>
      <w:lvlJc w:val="left"/>
      <w:pPr>
        <w:ind w:left="720" w:hanging="360"/>
      </w:pPr>
      <w:rPr>
        <w:rFonts w:ascii="Symbol" w:hAnsi="Symbol"/>
      </w:rPr>
    </w:lvl>
    <w:lvl w:ilvl="4" w:tplc="28B4DAE8">
      <w:start w:val="1"/>
      <w:numFmt w:val="bullet"/>
      <w:lvlText w:val=""/>
      <w:lvlJc w:val="left"/>
      <w:pPr>
        <w:ind w:left="720" w:hanging="360"/>
      </w:pPr>
      <w:rPr>
        <w:rFonts w:ascii="Symbol" w:hAnsi="Symbol"/>
      </w:rPr>
    </w:lvl>
    <w:lvl w:ilvl="5" w:tplc="7C5A0216">
      <w:start w:val="1"/>
      <w:numFmt w:val="bullet"/>
      <w:lvlText w:val=""/>
      <w:lvlJc w:val="left"/>
      <w:pPr>
        <w:ind w:left="720" w:hanging="360"/>
      </w:pPr>
      <w:rPr>
        <w:rFonts w:ascii="Symbol" w:hAnsi="Symbol"/>
      </w:rPr>
    </w:lvl>
    <w:lvl w:ilvl="6" w:tplc="5D96E20E">
      <w:start w:val="1"/>
      <w:numFmt w:val="bullet"/>
      <w:lvlText w:val=""/>
      <w:lvlJc w:val="left"/>
      <w:pPr>
        <w:ind w:left="720" w:hanging="360"/>
      </w:pPr>
      <w:rPr>
        <w:rFonts w:ascii="Symbol" w:hAnsi="Symbol"/>
      </w:rPr>
    </w:lvl>
    <w:lvl w:ilvl="7" w:tplc="B96E25EA">
      <w:start w:val="1"/>
      <w:numFmt w:val="bullet"/>
      <w:lvlText w:val=""/>
      <w:lvlJc w:val="left"/>
      <w:pPr>
        <w:ind w:left="720" w:hanging="360"/>
      </w:pPr>
      <w:rPr>
        <w:rFonts w:ascii="Symbol" w:hAnsi="Symbol"/>
      </w:rPr>
    </w:lvl>
    <w:lvl w:ilvl="8" w:tplc="ECF04C6A">
      <w:start w:val="1"/>
      <w:numFmt w:val="bullet"/>
      <w:lvlText w:val=""/>
      <w:lvlJc w:val="left"/>
      <w:pPr>
        <w:ind w:left="720" w:hanging="360"/>
      </w:pPr>
      <w:rPr>
        <w:rFonts w:ascii="Symbol" w:hAnsi="Symbol"/>
      </w:rPr>
    </w:lvl>
  </w:abstractNum>
  <w:abstractNum w:abstractNumId="19" w15:restartNumberingAfterBreak="0">
    <w:nsid w:val="48546F6D"/>
    <w:multiLevelType w:val="hybridMultilevel"/>
    <w:tmpl w:val="12825A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BDD299B"/>
    <w:multiLevelType w:val="hybridMultilevel"/>
    <w:tmpl w:val="D5BC1F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C24401D"/>
    <w:multiLevelType w:val="multilevel"/>
    <w:tmpl w:val="D3AE5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847E85"/>
    <w:multiLevelType w:val="hybridMultilevel"/>
    <w:tmpl w:val="DAA486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7912C9"/>
    <w:multiLevelType w:val="multilevel"/>
    <w:tmpl w:val="D6F4F1DE"/>
    <w:lvl w:ilvl="0">
      <w:start w:val="1"/>
      <w:numFmt w:val="bullet"/>
      <w:pStyle w:val="ListBullet-donotcross"/>
      <w:lvlText w:val=""/>
      <w:lvlJc w:val="left"/>
      <w:pPr>
        <w:ind w:left="785" w:hanging="360"/>
      </w:pPr>
      <w:rPr>
        <w:rFonts w:ascii="Wingdings" w:hAnsi="Wingdings" w:hint="default"/>
        <w:b/>
        <w:i w:val="0"/>
        <w:color w:val="800000"/>
        <w:sz w:val="26"/>
        <w:szCs w:val="22"/>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24" w15:restartNumberingAfterBreak="0">
    <w:nsid w:val="4F8D23DB"/>
    <w:multiLevelType w:val="hybridMultilevel"/>
    <w:tmpl w:val="9A4A81D0"/>
    <w:lvl w:ilvl="0" w:tplc="898EA3AA">
      <w:start w:val="1"/>
      <w:numFmt w:val="bullet"/>
      <w:lvlText w:val=""/>
      <w:lvlJc w:val="left"/>
      <w:pPr>
        <w:ind w:left="720" w:hanging="360"/>
      </w:pPr>
      <w:rPr>
        <w:rFonts w:ascii="Symbol" w:hAnsi="Symbol"/>
      </w:rPr>
    </w:lvl>
    <w:lvl w:ilvl="1" w:tplc="403E12E2">
      <w:start w:val="1"/>
      <w:numFmt w:val="bullet"/>
      <w:lvlText w:val=""/>
      <w:lvlJc w:val="left"/>
      <w:pPr>
        <w:ind w:left="720" w:hanging="360"/>
      </w:pPr>
      <w:rPr>
        <w:rFonts w:ascii="Symbol" w:hAnsi="Symbol"/>
      </w:rPr>
    </w:lvl>
    <w:lvl w:ilvl="2" w:tplc="C678A248">
      <w:start w:val="1"/>
      <w:numFmt w:val="bullet"/>
      <w:lvlText w:val=""/>
      <w:lvlJc w:val="left"/>
      <w:pPr>
        <w:ind w:left="720" w:hanging="360"/>
      </w:pPr>
      <w:rPr>
        <w:rFonts w:ascii="Symbol" w:hAnsi="Symbol"/>
      </w:rPr>
    </w:lvl>
    <w:lvl w:ilvl="3" w:tplc="4EE4EEBA">
      <w:start w:val="1"/>
      <w:numFmt w:val="bullet"/>
      <w:lvlText w:val=""/>
      <w:lvlJc w:val="left"/>
      <w:pPr>
        <w:ind w:left="720" w:hanging="360"/>
      </w:pPr>
      <w:rPr>
        <w:rFonts w:ascii="Symbol" w:hAnsi="Symbol"/>
      </w:rPr>
    </w:lvl>
    <w:lvl w:ilvl="4" w:tplc="F31E8080">
      <w:start w:val="1"/>
      <w:numFmt w:val="bullet"/>
      <w:lvlText w:val=""/>
      <w:lvlJc w:val="left"/>
      <w:pPr>
        <w:ind w:left="720" w:hanging="360"/>
      </w:pPr>
      <w:rPr>
        <w:rFonts w:ascii="Symbol" w:hAnsi="Symbol"/>
      </w:rPr>
    </w:lvl>
    <w:lvl w:ilvl="5" w:tplc="261AFD6A">
      <w:start w:val="1"/>
      <w:numFmt w:val="bullet"/>
      <w:lvlText w:val=""/>
      <w:lvlJc w:val="left"/>
      <w:pPr>
        <w:ind w:left="720" w:hanging="360"/>
      </w:pPr>
      <w:rPr>
        <w:rFonts w:ascii="Symbol" w:hAnsi="Symbol"/>
      </w:rPr>
    </w:lvl>
    <w:lvl w:ilvl="6" w:tplc="94FC1AF8">
      <w:start w:val="1"/>
      <w:numFmt w:val="bullet"/>
      <w:lvlText w:val=""/>
      <w:lvlJc w:val="left"/>
      <w:pPr>
        <w:ind w:left="720" w:hanging="360"/>
      </w:pPr>
      <w:rPr>
        <w:rFonts w:ascii="Symbol" w:hAnsi="Symbol"/>
      </w:rPr>
    </w:lvl>
    <w:lvl w:ilvl="7" w:tplc="FF503C7C">
      <w:start w:val="1"/>
      <w:numFmt w:val="bullet"/>
      <w:lvlText w:val=""/>
      <w:lvlJc w:val="left"/>
      <w:pPr>
        <w:ind w:left="720" w:hanging="360"/>
      </w:pPr>
      <w:rPr>
        <w:rFonts w:ascii="Symbol" w:hAnsi="Symbol"/>
      </w:rPr>
    </w:lvl>
    <w:lvl w:ilvl="8" w:tplc="E8B4BDE6">
      <w:start w:val="1"/>
      <w:numFmt w:val="bullet"/>
      <w:lvlText w:val=""/>
      <w:lvlJc w:val="left"/>
      <w:pPr>
        <w:ind w:left="720" w:hanging="360"/>
      </w:pPr>
      <w:rPr>
        <w:rFonts w:ascii="Symbol" w:hAnsi="Symbol"/>
      </w:rPr>
    </w:lvl>
  </w:abstractNum>
  <w:abstractNum w:abstractNumId="25" w15:restartNumberingAfterBreak="0">
    <w:nsid w:val="50336B0D"/>
    <w:multiLevelType w:val="hybridMultilevel"/>
    <w:tmpl w:val="5D54CD1A"/>
    <w:lvl w:ilvl="0" w:tplc="4EDE096A">
      <w:start w:val="1"/>
      <w:numFmt w:val="lowerRoman"/>
      <w:pStyle w:val="Numberbullet3"/>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9D22096"/>
    <w:multiLevelType w:val="hybridMultilevel"/>
    <w:tmpl w:val="9DF2F518"/>
    <w:lvl w:ilvl="0" w:tplc="480AF4BC">
      <w:start w:val="1"/>
      <w:numFmt w:val="bullet"/>
      <w:lvlText w:val=""/>
      <w:lvlJc w:val="left"/>
      <w:pPr>
        <w:ind w:left="720" w:hanging="360"/>
      </w:pPr>
      <w:rPr>
        <w:rFonts w:ascii="Symbol" w:hAnsi="Symbol"/>
      </w:rPr>
    </w:lvl>
    <w:lvl w:ilvl="1" w:tplc="519064D0">
      <w:start w:val="1"/>
      <w:numFmt w:val="bullet"/>
      <w:lvlText w:val=""/>
      <w:lvlJc w:val="left"/>
      <w:pPr>
        <w:ind w:left="720" w:hanging="360"/>
      </w:pPr>
      <w:rPr>
        <w:rFonts w:ascii="Symbol" w:hAnsi="Symbol"/>
      </w:rPr>
    </w:lvl>
    <w:lvl w:ilvl="2" w:tplc="D5968F16">
      <w:start w:val="1"/>
      <w:numFmt w:val="bullet"/>
      <w:lvlText w:val=""/>
      <w:lvlJc w:val="left"/>
      <w:pPr>
        <w:ind w:left="720" w:hanging="360"/>
      </w:pPr>
      <w:rPr>
        <w:rFonts w:ascii="Symbol" w:hAnsi="Symbol"/>
      </w:rPr>
    </w:lvl>
    <w:lvl w:ilvl="3" w:tplc="E800FA06">
      <w:start w:val="1"/>
      <w:numFmt w:val="bullet"/>
      <w:lvlText w:val=""/>
      <w:lvlJc w:val="left"/>
      <w:pPr>
        <w:ind w:left="720" w:hanging="360"/>
      </w:pPr>
      <w:rPr>
        <w:rFonts w:ascii="Symbol" w:hAnsi="Symbol"/>
      </w:rPr>
    </w:lvl>
    <w:lvl w:ilvl="4" w:tplc="6BCA7B38">
      <w:start w:val="1"/>
      <w:numFmt w:val="bullet"/>
      <w:lvlText w:val=""/>
      <w:lvlJc w:val="left"/>
      <w:pPr>
        <w:ind w:left="720" w:hanging="360"/>
      </w:pPr>
      <w:rPr>
        <w:rFonts w:ascii="Symbol" w:hAnsi="Symbol"/>
      </w:rPr>
    </w:lvl>
    <w:lvl w:ilvl="5" w:tplc="AA40038E">
      <w:start w:val="1"/>
      <w:numFmt w:val="bullet"/>
      <w:lvlText w:val=""/>
      <w:lvlJc w:val="left"/>
      <w:pPr>
        <w:ind w:left="720" w:hanging="360"/>
      </w:pPr>
      <w:rPr>
        <w:rFonts w:ascii="Symbol" w:hAnsi="Symbol"/>
      </w:rPr>
    </w:lvl>
    <w:lvl w:ilvl="6" w:tplc="D34480EE">
      <w:start w:val="1"/>
      <w:numFmt w:val="bullet"/>
      <w:lvlText w:val=""/>
      <w:lvlJc w:val="left"/>
      <w:pPr>
        <w:ind w:left="720" w:hanging="360"/>
      </w:pPr>
      <w:rPr>
        <w:rFonts w:ascii="Symbol" w:hAnsi="Symbol"/>
      </w:rPr>
    </w:lvl>
    <w:lvl w:ilvl="7" w:tplc="BABE86B6">
      <w:start w:val="1"/>
      <w:numFmt w:val="bullet"/>
      <w:lvlText w:val=""/>
      <w:lvlJc w:val="left"/>
      <w:pPr>
        <w:ind w:left="720" w:hanging="360"/>
      </w:pPr>
      <w:rPr>
        <w:rFonts w:ascii="Symbol" w:hAnsi="Symbol"/>
      </w:rPr>
    </w:lvl>
    <w:lvl w:ilvl="8" w:tplc="5AD2833C">
      <w:start w:val="1"/>
      <w:numFmt w:val="bullet"/>
      <w:lvlText w:val=""/>
      <w:lvlJc w:val="left"/>
      <w:pPr>
        <w:ind w:left="720" w:hanging="360"/>
      </w:pPr>
      <w:rPr>
        <w:rFonts w:ascii="Symbol" w:hAnsi="Symbol"/>
      </w:rPr>
    </w:lvl>
  </w:abstractNum>
  <w:abstractNum w:abstractNumId="27" w15:restartNumberingAfterBreak="0">
    <w:nsid w:val="5D1322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1873777"/>
    <w:multiLevelType w:val="hybridMultilevel"/>
    <w:tmpl w:val="5D226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31F8F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3A68D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A6379A9"/>
    <w:multiLevelType w:val="hybridMultilevel"/>
    <w:tmpl w:val="4FE8D072"/>
    <w:lvl w:ilvl="0" w:tplc="40AA1BA0">
      <w:start w:val="1"/>
      <w:numFmt w:val="bullet"/>
      <w:lvlText w:val=""/>
      <w:lvlJc w:val="left"/>
      <w:pPr>
        <w:ind w:left="720" w:hanging="360"/>
      </w:pPr>
      <w:rPr>
        <w:rFonts w:ascii="Symbol" w:hAnsi="Symbol"/>
      </w:rPr>
    </w:lvl>
    <w:lvl w:ilvl="1" w:tplc="15A0EAC8">
      <w:start w:val="1"/>
      <w:numFmt w:val="bullet"/>
      <w:lvlText w:val=""/>
      <w:lvlJc w:val="left"/>
      <w:pPr>
        <w:ind w:left="720" w:hanging="360"/>
      </w:pPr>
      <w:rPr>
        <w:rFonts w:ascii="Symbol" w:hAnsi="Symbol"/>
      </w:rPr>
    </w:lvl>
    <w:lvl w:ilvl="2" w:tplc="A2A06F8A">
      <w:start w:val="1"/>
      <w:numFmt w:val="bullet"/>
      <w:lvlText w:val=""/>
      <w:lvlJc w:val="left"/>
      <w:pPr>
        <w:ind w:left="720" w:hanging="360"/>
      </w:pPr>
      <w:rPr>
        <w:rFonts w:ascii="Symbol" w:hAnsi="Symbol"/>
      </w:rPr>
    </w:lvl>
    <w:lvl w:ilvl="3" w:tplc="638C4750">
      <w:start w:val="1"/>
      <w:numFmt w:val="bullet"/>
      <w:lvlText w:val=""/>
      <w:lvlJc w:val="left"/>
      <w:pPr>
        <w:ind w:left="720" w:hanging="360"/>
      </w:pPr>
      <w:rPr>
        <w:rFonts w:ascii="Symbol" w:hAnsi="Symbol"/>
      </w:rPr>
    </w:lvl>
    <w:lvl w:ilvl="4" w:tplc="593CA732">
      <w:start w:val="1"/>
      <w:numFmt w:val="bullet"/>
      <w:lvlText w:val=""/>
      <w:lvlJc w:val="left"/>
      <w:pPr>
        <w:ind w:left="720" w:hanging="360"/>
      </w:pPr>
      <w:rPr>
        <w:rFonts w:ascii="Symbol" w:hAnsi="Symbol"/>
      </w:rPr>
    </w:lvl>
    <w:lvl w:ilvl="5" w:tplc="A2B0A4B0">
      <w:start w:val="1"/>
      <w:numFmt w:val="bullet"/>
      <w:lvlText w:val=""/>
      <w:lvlJc w:val="left"/>
      <w:pPr>
        <w:ind w:left="720" w:hanging="360"/>
      </w:pPr>
      <w:rPr>
        <w:rFonts w:ascii="Symbol" w:hAnsi="Symbol"/>
      </w:rPr>
    </w:lvl>
    <w:lvl w:ilvl="6" w:tplc="60CE26AE">
      <w:start w:val="1"/>
      <w:numFmt w:val="bullet"/>
      <w:lvlText w:val=""/>
      <w:lvlJc w:val="left"/>
      <w:pPr>
        <w:ind w:left="720" w:hanging="360"/>
      </w:pPr>
      <w:rPr>
        <w:rFonts w:ascii="Symbol" w:hAnsi="Symbol"/>
      </w:rPr>
    </w:lvl>
    <w:lvl w:ilvl="7" w:tplc="488A39BE">
      <w:start w:val="1"/>
      <w:numFmt w:val="bullet"/>
      <w:lvlText w:val=""/>
      <w:lvlJc w:val="left"/>
      <w:pPr>
        <w:ind w:left="720" w:hanging="360"/>
      </w:pPr>
      <w:rPr>
        <w:rFonts w:ascii="Symbol" w:hAnsi="Symbol"/>
      </w:rPr>
    </w:lvl>
    <w:lvl w:ilvl="8" w:tplc="C188F4DC">
      <w:start w:val="1"/>
      <w:numFmt w:val="bullet"/>
      <w:lvlText w:val=""/>
      <w:lvlJc w:val="left"/>
      <w:pPr>
        <w:ind w:left="720" w:hanging="360"/>
      </w:pPr>
      <w:rPr>
        <w:rFonts w:ascii="Symbol" w:hAnsi="Symbol"/>
      </w:rPr>
    </w:lvl>
  </w:abstractNum>
  <w:abstractNum w:abstractNumId="32" w15:restartNumberingAfterBreak="0">
    <w:nsid w:val="7BD27239"/>
    <w:multiLevelType w:val="multilevel"/>
    <w:tmpl w:val="9D6A7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2997172">
    <w:abstractNumId w:val="12"/>
  </w:num>
  <w:num w:numId="2" w16cid:durableId="1856573705">
    <w:abstractNumId w:val="8"/>
  </w:num>
  <w:num w:numId="3" w16cid:durableId="357703499">
    <w:abstractNumId w:val="11"/>
  </w:num>
  <w:num w:numId="4" w16cid:durableId="1869176708">
    <w:abstractNumId w:val="25"/>
  </w:num>
  <w:num w:numId="5" w16cid:durableId="1652950129">
    <w:abstractNumId w:val="15"/>
  </w:num>
  <w:num w:numId="6" w16cid:durableId="1053193207">
    <w:abstractNumId w:val="23"/>
  </w:num>
  <w:num w:numId="7" w16cid:durableId="201135927">
    <w:abstractNumId w:val="8"/>
    <w:lvlOverride w:ilvl="0">
      <w:startOverride w:val="1"/>
      <w:lvl w:ilvl="0">
        <w:start w:val="1"/>
        <w:numFmt w:val="decimal"/>
        <w:pStyle w:val="Numberbullet0"/>
        <w:lvlText w:val="%1."/>
        <w:lvlJc w:val="left"/>
        <w:pPr>
          <w:ind w:left="425" w:hanging="425"/>
        </w:pPr>
        <w:rPr>
          <w:rFonts w:ascii="Cambria" w:hAnsi="Cambria" w:hint="default"/>
        </w:rPr>
      </w:lvl>
    </w:lvlOverride>
    <w:lvlOverride w:ilvl="1">
      <w:startOverride w:val="1"/>
      <w:lvl w:ilvl="1">
        <w:start w:val="1"/>
        <w:numFmt w:val="lowerLetter"/>
        <w:pStyle w:val="Numberbullet2"/>
        <w:lvlText w:val="%2."/>
        <w:lvlJc w:val="left"/>
        <w:pPr>
          <w:ind w:left="851" w:hanging="426"/>
        </w:pPr>
        <w:rPr>
          <w:rFonts w:hint="default"/>
        </w:rPr>
      </w:lvl>
    </w:lvlOverride>
    <w:lvlOverride w:ilvl="2">
      <w:startOverride w:val="1"/>
      <w:lvl w:ilvl="2">
        <w:start w:val="1"/>
        <w:numFmt w:val="lowerRoman"/>
        <w:lvlText w:val="%3."/>
        <w:lvlJc w:val="left"/>
        <w:pPr>
          <w:ind w:left="1276" w:hanging="425"/>
        </w:pPr>
        <w:rPr>
          <w:rFonts w:hint="default"/>
        </w:rPr>
      </w:lvl>
    </w:lvlOverride>
    <w:lvlOverride w:ilvl="3">
      <w:startOverride w:val="1"/>
      <w:lvl w:ilvl="3">
        <w:start w:val="1"/>
        <w:numFmt w:val="none"/>
        <w:lvlText w:val=""/>
        <w:lvlJc w:val="left"/>
        <w:pPr>
          <w:ind w:left="1276" w:hanging="425"/>
        </w:pPr>
        <w:rPr>
          <w:rFonts w:hint="default"/>
        </w:rPr>
      </w:lvl>
    </w:lvlOverride>
    <w:lvlOverride w:ilvl="4">
      <w:startOverride w:val="1"/>
      <w:lvl w:ilvl="4">
        <w:start w:val="1"/>
        <w:numFmt w:val="none"/>
        <w:lvlText w:val=""/>
        <w:lvlJc w:val="left"/>
        <w:pPr>
          <w:ind w:left="1276" w:hanging="425"/>
        </w:pPr>
        <w:rPr>
          <w:rFonts w:hint="default"/>
        </w:rPr>
      </w:lvl>
    </w:lvlOverride>
    <w:lvlOverride w:ilvl="5">
      <w:startOverride w:val="1"/>
      <w:lvl w:ilvl="5">
        <w:start w:val="1"/>
        <w:numFmt w:val="none"/>
        <w:lvlText w:val=""/>
        <w:lvlJc w:val="left"/>
        <w:pPr>
          <w:ind w:left="1276" w:hanging="425"/>
        </w:pPr>
        <w:rPr>
          <w:rFonts w:hint="default"/>
        </w:rPr>
      </w:lvl>
    </w:lvlOverride>
    <w:lvlOverride w:ilvl="6">
      <w:startOverride w:val="1"/>
      <w:lvl w:ilvl="6">
        <w:start w:val="1"/>
        <w:numFmt w:val="none"/>
        <w:lvlText w:val="%7"/>
        <w:lvlJc w:val="left"/>
        <w:pPr>
          <w:ind w:left="1276" w:hanging="425"/>
        </w:pPr>
        <w:rPr>
          <w:rFonts w:hint="default"/>
        </w:rPr>
      </w:lvl>
    </w:lvlOverride>
    <w:lvlOverride w:ilvl="7">
      <w:startOverride w:val="1"/>
      <w:lvl w:ilvl="7">
        <w:start w:val="1"/>
        <w:numFmt w:val="none"/>
        <w:lvlText w:val=""/>
        <w:lvlJc w:val="left"/>
        <w:pPr>
          <w:ind w:left="1276" w:hanging="425"/>
        </w:pPr>
        <w:rPr>
          <w:rFonts w:hint="default"/>
        </w:rPr>
      </w:lvl>
    </w:lvlOverride>
    <w:lvlOverride w:ilvl="8">
      <w:startOverride w:val="1"/>
      <w:lvl w:ilvl="8">
        <w:start w:val="1"/>
        <w:numFmt w:val="none"/>
        <w:lvlText w:val=""/>
        <w:lvlJc w:val="left"/>
        <w:pPr>
          <w:ind w:left="1276" w:hanging="425"/>
        </w:pPr>
        <w:rPr>
          <w:rFonts w:hint="default"/>
        </w:rPr>
      </w:lvl>
    </w:lvlOverride>
  </w:num>
  <w:num w:numId="8" w16cid:durableId="1604608059">
    <w:abstractNumId w:val="24"/>
  </w:num>
  <w:num w:numId="9" w16cid:durableId="173421270">
    <w:abstractNumId w:val="9"/>
  </w:num>
  <w:num w:numId="10" w16cid:durableId="2108043357">
    <w:abstractNumId w:val="13"/>
  </w:num>
  <w:num w:numId="11" w16cid:durableId="1725904230">
    <w:abstractNumId w:val="18"/>
  </w:num>
  <w:num w:numId="12" w16cid:durableId="141579354">
    <w:abstractNumId w:val="26"/>
  </w:num>
  <w:num w:numId="13" w16cid:durableId="283735081">
    <w:abstractNumId w:val="31"/>
  </w:num>
  <w:num w:numId="14" w16cid:durableId="2017073401">
    <w:abstractNumId w:val="27"/>
  </w:num>
  <w:num w:numId="15" w16cid:durableId="278223543">
    <w:abstractNumId w:val="16"/>
  </w:num>
  <w:num w:numId="16" w16cid:durableId="226839432">
    <w:abstractNumId w:val="2"/>
  </w:num>
  <w:num w:numId="17" w16cid:durableId="1610354153">
    <w:abstractNumId w:val="1"/>
  </w:num>
  <w:num w:numId="18" w16cid:durableId="450711744">
    <w:abstractNumId w:val="32"/>
  </w:num>
  <w:num w:numId="19" w16cid:durableId="505219260">
    <w:abstractNumId w:val="5"/>
  </w:num>
  <w:num w:numId="20" w16cid:durableId="877819103">
    <w:abstractNumId w:val="21"/>
  </w:num>
  <w:num w:numId="21" w16cid:durableId="1672754915">
    <w:abstractNumId w:val="14"/>
  </w:num>
  <w:num w:numId="22" w16cid:durableId="890263750">
    <w:abstractNumId w:val="22"/>
  </w:num>
  <w:num w:numId="23" w16cid:durableId="913244661">
    <w:abstractNumId w:val="19"/>
  </w:num>
  <w:num w:numId="24" w16cid:durableId="308555970">
    <w:abstractNumId w:val="20"/>
  </w:num>
  <w:num w:numId="25" w16cid:durableId="353918530">
    <w:abstractNumId w:val="28"/>
  </w:num>
  <w:num w:numId="26" w16cid:durableId="2091346867">
    <w:abstractNumId w:val="4"/>
  </w:num>
  <w:num w:numId="27" w16cid:durableId="2093238001">
    <w:abstractNumId w:val="0"/>
  </w:num>
  <w:num w:numId="28" w16cid:durableId="178393912">
    <w:abstractNumId w:val="7"/>
  </w:num>
  <w:num w:numId="29" w16cid:durableId="668023603">
    <w:abstractNumId w:val="17"/>
  </w:num>
  <w:num w:numId="30" w16cid:durableId="1327974074">
    <w:abstractNumId w:val="29"/>
  </w:num>
  <w:num w:numId="31" w16cid:durableId="350491096">
    <w:abstractNumId w:val="6"/>
  </w:num>
  <w:num w:numId="32" w16cid:durableId="1117799833">
    <w:abstractNumId w:val="10"/>
  </w:num>
  <w:num w:numId="33" w16cid:durableId="656419541">
    <w:abstractNumId w:val="30"/>
  </w:num>
  <w:num w:numId="34" w16cid:durableId="314652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EC2"/>
    <w:rsid w:val="00000E6E"/>
    <w:rsid w:val="00002FB1"/>
    <w:rsid w:val="00003DE2"/>
    <w:rsid w:val="00004431"/>
    <w:rsid w:val="00005062"/>
    <w:rsid w:val="00005191"/>
    <w:rsid w:val="00005D70"/>
    <w:rsid w:val="00005DFC"/>
    <w:rsid w:val="0001064C"/>
    <w:rsid w:val="0001343D"/>
    <w:rsid w:val="0001384A"/>
    <w:rsid w:val="000156C4"/>
    <w:rsid w:val="00015869"/>
    <w:rsid w:val="00016FA7"/>
    <w:rsid w:val="00021C13"/>
    <w:rsid w:val="000246BE"/>
    <w:rsid w:val="000248E0"/>
    <w:rsid w:val="000276BA"/>
    <w:rsid w:val="00027E44"/>
    <w:rsid w:val="00032A0F"/>
    <w:rsid w:val="00040AFA"/>
    <w:rsid w:val="00040D8D"/>
    <w:rsid w:val="000416F9"/>
    <w:rsid w:val="000458BF"/>
    <w:rsid w:val="00046423"/>
    <w:rsid w:val="00046AFC"/>
    <w:rsid w:val="00046B1E"/>
    <w:rsid w:val="000477F5"/>
    <w:rsid w:val="000478BA"/>
    <w:rsid w:val="0005067C"/>
    <w:rsid w:val="000544FE"/>
    <w:rsid w:val="0005544E"/>
    <w:rsid w:val="0005580E"/>
    <w:rsid w:val="00055C74"/>
    <w:rsid w:val="00056F45"/>
    <w:rsid w:val="0006104E"/>
    <w:rsid w:val="000640BD"/>
    <w:rsid w:val="00064992"/>
    <w:rsid w:val="00065824"/>
    <w:rsid w:val="00065839"/>
    <w:rsid w:val="00065FDF"/>
    <w:rsid w:val="000668C6"/>
    <w:rsid w:val="0006693A"/>
    <w:rsid w:val="00070241"/>
    <w:rsid w:val="000710B8"/>
    <w:rsid w:val="000740B9"/>
    <w:rsid w:val="0007704F"/>
    <w:rsid w:val="00077844"/>
    <w:rsid w:val="00081E58"/>
    <w:rsid w:val="00083763"/>
    <w:rsid w:val="00090510"/>
    <w:rsid w:val="000917AE"/>
    <w:rsid w:val="00094026"/>
    <w:rsid w:val="00094943"/>
    <w:rsid w:val="00094B81"/>
    <w:rsid w:val="00095C6A"/>
    <w:rsid w:val="000975AA"/>
    <w:rsid w:val="000A10C0"/>
    <w:rsid w:val="000A7209"/>
    <w:rsid w:val="000B29E7"/>
    <w:rsid w:val="000B6B15"/>
    <w:rsid w:val="000C25A7"/>
    <w:rsid w:val="000C369C"/>
    <w:rsid w:val="000C63D6"/>
    <w:rsid w:val="000D30EA"/>
    <w:rsid w:val="000D78EC"/>
    <w:rsid w:val="000D7934"/>
    <w:rsid w:val="000E03EA"/>
    <w:rsid w:val="000E186D"/>
    <w:rsid w:val="000E2434"/>
    <w:rsid w:val="000E2597"/>
    <w:rsid w:val="000E3D07"/>
    <w:rsid w:val="000E3FF7"/>
    <w:rsid w:val="000E458E"/>
    <w:rsid w:val="000E504E"/>
    <w:rsid w:val="000E5421"/>
    <w:rsid w:val="000E6746"/>
    <w:rsid w:val="000E768E"/>
    <w:rsid w:val="000F079E"/>
    <w:rsid w:val="000F1893"/>
    <w:rsid w:val="000F331A"/>
    <w:rsid w:val="000F4881"/>
    <w:rsid w:val="000F4D21"/>
    <w:rsid w:val="000F649A"/>
    <w:rsid w:val="000F7687"/>
    <w:rsid w:val="000F7B51"/>
    <w:rsid w:val="00100947"/>
    <w:rsid w:val="00101BEE"/>
    <w:rsid w:val="00101CE6"/>
    <w:rsid w:val="00101FB1"/>
    <w:rsid w:val="00104DB0"/>
    <w:rsid w:val="0010558A"/>
    <w:rsid w:val="00106A30"/>
    <w:rsid w:val="00106CA4"/>
    <w:rsid w:val="001101FF"/>
    <w:rsid w:val="00111034"/>
    <w:rsid w:val="00111989"/>
    <w:rsid w:val="00113D94"/>
    <w:rsid w:val="00113F9F"/>
    <w:rsid w:val="00114025"/>
    <w:rsid w:val="00123B95"/>
    <w:rsid w:val="001244E7"/>
    <w:rsid w:val="0012473C"/>
    <w:rsid w:val="00124DA9"/>
    <w:rsid w:val="00126C8B"/>
    <w:rsid w:val="00127371"/>
    <w:rsid w:val="00127A74"/>
    <w:rsid w:val="001310C1"/>
    <w:rsid w:val="0013132F"/>
    <w:rsid w:val="00131B1B"/>
    <w:rsid w:val="0013306D"/>
    <w:rsid w:val="0013370D"/>
    <w:rsid w:val="0013528C"/>
    <w:rsid w:val="00142052"/>
    <w:rsid w:val="0014264C"/>
    <w:rsid w:val="001442A2"/>
    <w:rsid w:val="001468CA"/>
    <w:rsid w:val="001500A8"/>
    <w:rsid w:val="00151DB9"/>
    <w:rsid w:val="00153433"/>
    <w:rsid w:val="00154C9A"/>
    <w:rsid w:val="001551B6"/>
    <w:rsid w:val="00155D85"/>
    <w:rsid w:val="00155E79"/>
    <w:rsid w:val="00163417"/>
    <w:rsid w:val="00165D28"/>
    <w:rsid w:val="0017005C"/>
    <w:rsid w:val="0017057A"/>
    <w:rsid w:val="00170A63"/>
    <w:rsid w:val="00171783"/>
    <w:rsid w:val="0017279D"/>
    <w:rsid w:val="00172A01"/>
    <w:rsid w:val="001741DF"/>
    <w:rsid w:val="00175570"/>
    <w:rsid w:val="00175CD8"/>
    <w:rsid w:val="00180F23"/>
    <w:rsid w:val="00181321"/>
    <w:rsid w:val="00182AE8"/>
    <w:rsid w:val="00182BD8"/>
    <w:rsid w:val="00183C66"/>
    <w:rsid w:val="00190853"/>
    <w:rsid w:val="001A4307"/>
    <w:rsid w:val="001A76F9"/>
    <w:rsid w:val="001B06FF"/>
    <w:rsid w:val="001B0C7E"/>
    <w:rsid w:val="001B1703"/>
    <w:rsid w:val="001B443B"/>
    <w:rsid w:val="001B6653"/>
    <w:rsid w:val="001C1C2E"/>
    <w:rsid w:val="001C31A1"/>
    <w:rsid w:val="001C3FA2"/>
    <w:rsid w:val="001C5C46"/>
    <w:rsid w:val="001C5EE2"/>
    <w:rsid w:val="001C69F3"/>
    <w:rsid w:val="001D0077"/>
    <w:rsid w:val="001D2E83"/>
    <w:rsid w:val="001D5D68"/>
    <w:rsid w:val="001D69EF"/>
    <w:rsid w:val="001E1050"/>
    <w:rsid w:val="001E407B"/>
    <w:rsid w:val="001E7FC6"/>
    <w:rsid w:val="001F190E"/>
    <w:rsid w:val="001F22FB"/>
    <w:rsid w:val="001F2502"/>
    <w:rsid w:val="001F5110"/>
    <w:rsid w:val="001F70A5"/>
    <w:rsid w:val="0020050C"/>
    <w:rsid w:val="0020235D"/>
    <w:rsid w:val="0020369B"/>
    <w:rsid w:val="0020646C"/>
    <w:rsid w:val="0020786B"/>
    <w:rsid w:val="00207B4D"/>
    <w:rsid w:val="00210AD4"/>
    <w:rsid w:val="00210F9B"/>
    <w:rsid w:val="002117B1"/>
    <w:rsid w:val="00217CCE"/>
    <w:rsid w:val="00217DF4"/>
    <w:rsid w:val="002203B1"/>
    <w:rsid w:val="00222800"/>
    <w:rsid w:val="0022298A"/>
    <w:rsid w:val="00226F39"/>
    <w:rsid w:val="002309AF"/>
    <w:rsid w:val="002334AD"/>
    <w:rsid w:val="00235900"/>
    <w:rsid w:val="00240A3C"/>
    <w:rsid w:val="00240D49"/>
    <w:rsid w:val="00241328"/>
    <w:rsid w:val="00241A5C"/>
    <w:rsid w:val="00241B60"/>
    <w:rsid w:val="002448B2"/>
    <w:rsid w:val="002514F8"/>
    <w:rsid w:val="002527F9"/>
    <w:rsid w:val="0025785B"/>
    <w:rsid w:val="00257969"/>
    <w:rsid w:val="00262C20"/>
    <w:rsid w:val="00265CD1"/>
    <w:rsid w:val="0026641B"/>
    <w:rsid w:val="00280048"/>
    <w:rsid w:val="00282A2E"/>
    <w:rsid w:val="0028489E"/>
    <w:rsid w:val="002848DE"/>
    <w:rsid w:val="0028623D"/>
    <w:rsid w:val="0028794E"/>
    <w:rsid w:val="00287D53"/>
    <w:rsid w:val="002918A6"/>
    <w:rsid w:val="002943C8"/>
    <w:rsid w:val="0029733B"/>
    <w:rsid w:val="002976B8"/>
    <w:rsid w:val="002A206C"/>
    <w:rsid w:val="002A2F98"/>
    <w:rsid w:val="002A5841"/>
    <w:rsid w:val="002A6752"/>
    <w:rsid w:val="002B1EDF"/>
    <w:rsid w:val="002B1F70"/>
    <w:rsid w:val="002B2061"/>
    <w:rsid w:val="002B33C3"/>
    <w:rsid w:val="002B40C4"/>
    <w:rsid w:val="002B53A7"/>
    <w:rsid w:val="002C021D"/>
    <w:rsid w:val="002C1232"/>
    <w:rsid w:val="002C1E44"/>
    <w:rsid w:val="002C5811"/>
    <w:rsid w:val="002C5C92"/>
    <w:rsid w:val="002C5E29"/>
    <w:rsid w:val="002C61AC"/>
    <w:rsid w:val="002C771A"/>
    <w:rsid w:val="002D0478"/>
    <w:rsid w:val="002D1050"/>
    <w:rsid w:val="002D6510"/>
    <w:rsid w:val="002D7127"/>
    <w:rsid w:val="002E07F8"/>
    <w:rsid w:val="002E1C9C"/>
    <w:rsid w:val="002E6DC0"/>
    <w:rsid w:val="002F007D"/>
    <w:rsid w:val="002F34F9"/>
    <w:rsid w:val="002F3FF9"/>
    <w:rsid w:val="002F599E"/>
    <w:rsid w:val="003008D8"/>
    <w:rsid w:val="0030172A"/>
    <w:rsid w:val="00301825"/>
    <w:rsid w:val="00301D9A"/>
    <w:rsid w:val="00303959"/>
    <w:rsid w:val="00304196"/>
    <w:rsid w:val="00305B19"/>
    <w:rsid w:val="00306E72"/>
    <w:rsid w:val="0031011F"/>
    <w:rsid w:val="00312AC3"/>
    <w:rsid w:val="00314430"/>
    <w:rsid w:val="0031495B"/>
    <w:rsid w:val="003163BC"/>
    <w:rsid w:val="00316ECD"/>
    <w:rsid w:val="003212D9"/>
    <w:rsid w:val="00322072"/>
    <w:rsid w:val="0032351A"/>
    <w:rsid w:val="00323578"/>
    <w:rsid w:val="00324B33"/>
    <w:rsid w:val="003268D4"/>
    <w:rsid w:val="00327488"/>
    <w:rsid w:val="00332AB8"/>
    <w:rsid w:val="0033407C"/>
    <w:rsid w:val="00334E0F"/>
    <w:rsid w:val="00335BD9"/>
    <w:rsid w:val="00335F90"/>
    <w:rsid w:val="00336FE1"/>
    <w:rsid w:val="003371BB"/>
    <w:rsid w:val="00337BD8"/>
    <w:rsid w:val="00342D56"/>
    <w:rsid w:val="00344EDC"/>
    <w:rsid w:val="003456E7"/>
    <w:rsid w:val="003461BD"/>
    <w:rsid w:val="00346EC2"/>
    <w:rsid w:val="003477F9"/>
    <w:rsid w:val="00350CE3"/>
    <w:rsid w:val="00351469"/>
    <w:rsid w:val="00352DF3"/>
    <w:rsid w:val="0035444D"/>
    <w:rsid w:val="00356D62"/>
    <w:rsid w:val="0036298F"/>
    <w:rsid w:val="00363EE3"/>
    <w:rsid w:val="0037014C"/>
    <w:rsid w:val="00373016"/>
    <w:rsid w:val="003735F3"/>
    <w:rsid w:val="00374729"/>
    <w:rsid w:val="0037751F"/>
    <w:rsid w:val="00380FC2"/>
    <w:rsid w:val="00387298"/>
    <w:rsid w:val="00387984"/>
    <w:rsid w:val="003923DE"/>
    <w:rsid w:val="00392C06"/>
    <w:rsid w:val="00393835"/>
    <w:rsid w:val="00395140"/>
    <w:rsid w:val="003A2422"/>
    <w:rsid w:val="003A27DF"/>
    <w:rsid w:val="003B0AF3"/>
    <w:rsid w:val="003B149C"/>
    <w:rsid w:val="003B2154"/>
    <w:rsid w:val="003B3331"/>
    <w:rsid w:val="003B7094"/>
    <w:rsid w:val="003C0CA0"/>
    <w:rsid w:val="003C0FDB"/>
    <w:rsid w:val="003C1192"/>
    <w:rsid w:val="003C2E38"/>
    <w:rsid w:val="003C4513"/>
    <w:rsid w:val="003C4B0C"/>
    <w:rsid w:val="003C55E2"/>
    <w:rsid w:val="003C5989"/>
    <w:rsid w:val="003C63D5"/>
    <w:rsid w:val="003C6700"/>
    <w:rsid w:val="003C713F"/>
    <w:rsid w:val="003C7AA8"/>
    <w:rsid w:val="003D4B2F"/>
    <w:rsid w:val="003D4FFA"/>
    <w:rsid w:val="003D71A1"/>
    <w:rsid w:val="003D7C93"/>
    <w:rsid w:val="003E0AEF"/>
    <w:rsid w:val="003E1741"/>
    <w:rsid w:val="003E33B0"/>
    <w:rsid w:val="003E7AEF"/>
    <w:rsid w:val="003F1161"/>
    <w:rsid w:val="003F1A8F"/>
    <w:rsid w:val="0040116A"/>
    <w:rsid w:val="004021D6"/>
    <w:rsid w:val="004108A1"/>
    <w:rsid w:val="00410DBF"/>
    <w:rsid w:val="004115F8"/>
    <w:rsid w:val="00413263"/>
    <w:rsid w:val="00415315"/>
    <w:rsid w:val="0041688A"/>
    <w:rsid w:val="0041688F"/>
    <w:rsid w:val="0042228E"/>
    <w:rsid w:val="0042376F"/>
    <w:rsid w:val="004246B8"/>
    <w:rsid w:val="004248F1"/>
    <w:rsid w:val="0042686B"/>
    <w:rsid w:val="0043231B"/>
    <w:rsid w:val="00433318"/>
    <w:rsid w:val="004347CE"/>
    <w:rsid w:val="00436CBF"/>
    <w:rsid w:val="00440D92"/>
    <w:rsid w:val="004411D9"/>
    <w:rsid w:val="00442A56"/>
    <w:rsid w:val="00443FBB"/>
    <w:rsid w:val="004441A1"/>
    <w:rsid w:val="004444B0"/>
    <w:rsid w:val="0045060B"/>
    <w:rsid w:val="00450DEB"/>
    <w:rsid w:val="00453A41"/>
    <w:rsid w:val="004543F1"/>
    <w:rsid w:val="00457038"/>
    <w:rsid w:val="004573D3"/>
    <w:rsid w:val="004626FF"/>
    <w:rsid w:val="0046285C"/>
    <w:rsid w:val="00464C05"/>
    <w:rsid w:val="00466424"/>
    <w:rsid w:val="00470A52"/>
    <w:rsid w:val="004716BE"/>
    <w:rsid w:val="004716EA"/>
    <w:rsid w:val="00471BD5"/>
    <w:rsid w:val="00474BDD"/>
    <w:rsid w:val="004754DC"/>
    <w:rsid w:val="00477C4E"/>
    <w:rsid w:val="00477F07"/>
    <w:rsid w:val="004803D6"/>
    <w:rsid w:val="00481503"/>
    <w:rsid w:val="00481D12"/>
    <w:rsid w:val="004854A6"/>
    <w:rsid w:val="004906FA"/>
    <w:rsid w:val="00491A55"/>
    <w:rsid w:val="00494C3E"/>
    <w:rsid w:val="00495824"/>
    <w:rsid w:val="00497DF1"/>
    <w:rsid w:val="004A318E"/>
    <w:rsid w:val="004A45D4"/>
    <w:rsid w:val="004A529D"/>
    <w:rsid w:val="004A57E8"/>
    <w:rsid w:val="004A6E9A"/>
    <w:rsid w:val="004B0650"/>
    <w:rsid w:val="004B0AF8"/>
    <w:rsid w:val="004B112C"/>
    <w:rsid w:val="004B3081"/>
    <w:rsid w:val="004B4A09"/>
    <w:rsid w:val="004B4B6C"/>
    <w:rsid w:val="004C0EF6"/>
    <w:rsid w:val="004C35B7"/>
    <w:rsid w:val="004C41CE"/>
    <w:rsid w:val="004C60C1"/>
    <w:rsid w:val="004C631B"/>
    <w:rsid w:val="004D0583"/>
    <w:rsid w:val="004D0933"/>
    <w:rsid w:val="004D13E9"/>
    <w:rsid w:val="004D2F00"/>
    <w:rsid w:val="004D31D8"/>
    <w:rsid w:val="004D35D1"/>
    <w:rsid w:val="004D4AD5"/>
    <w:rsid w:val="004D5388"/>
    <w:rsid w:val="004D64CC"/>
    <w:rsid w:val="004E695D"/>
    <w:rsid w:val="004E6D7D"/>
    <w:rsid w:val="004E7F16"/>
    <w:rsid w:val="004F18EC"/>
    <w:rsid w:val="004F6FDE"/>
    <w:rsid w:val="004F7ACF"/>
    <w:rsid w:val="00500D68"/>
    <w:rsid w:val="00505A22"/>
    <w:rsid w:val="005078FE"/>
    <w:rsid w:val="005146A8"/>
    <w:rsid w:val="00515909"/>
    <w:rsid w:val="00522C5F"/>
    <w:rsid w:val="00523EF8"/>
    <w:rsid w:val="0052445F"/>
    <w:rsid w:val="0053377D"/>
    <w:rsid w:val="00535DFE"/>
    <w:rsid w:val="005373B5"/>
    <w:rsid w:val="00537AB7"/>
    <w:rsid w:val="00540028"/>
    <w:rsid w:val="005415FC"/>
    <w:rsid w:val="0054330E"/>
    <w:rsid w:val="0054472C"/>
    <w:rsid w:val="00544D2C"/>
    <w:rsid w:val="00545EA8"/>
    <w:rsid w:val="0054669B"/>
    <w:rsid w:val="00551D62"/>
    <w:rsid w:val="005539BE"/>
    <w:rsid w:val="00554F6F"/>
    <w:rsid w:val="00557684"/>
    <w:rsid w:val="005609F7"/>
    <w:rsid w:val="00560EC1"/>
    <w:rsid w:val="005610D1"/>
    <w:rsid w:val="00562F42"/>
    <w:rsid w:val="00563957"/>
    <w:rsid w:val="00564B04"/>
    <w:rsid w:val="00565739"/>
    <w:rsid w:val="00566037"/>
    <w:rsid w:val="0056766D"/>
    <w:rsid w:val="00575215"/>
    <w:rsid w:val="00575C8E"/>
    <w:rsid w:val="00576DA6"/>
    <w:rsid w:val="005775D0"/>
    <w:rsid w:val="005801C1"/>
    <w:rsid w:val="00581138"/>
    <w:rsid w:val="0058575E"/>
    <w:rsid w:val="0058783C"/>
    <w:rsid w:val="00587B33"/>
    <w:rsid w:val="00590310"/>
    <w:rsid w:val="00590A2E"/>
    <w:rsid w:val="005911AE"/>
    <w:rsid w:val="005926E2"/>
    <w:rsid w:val="0059313A"/>
    <w:rsid w:val="00594D7F"/>
    <w:rsid w:val="00596F8B"/>
    <w:rsid w:val="005A0F5A"/>
    <w:rsid w:val="005A28B8"/>
    <w:rsid w:val="005A2A04"/>
    <w:rsid w:val="005A3EB0"/>
    <w:rsid w:val="005A4E9F"/>
    <w:rsid w:val="005A54EA"/>
    <w:rsid w:val="005A59A4"/>
    <w:rsid w:val="005B023F"/>
    <w:rsid w:val="005B02A2"/>
    <w:rsid w:val="005B0728"/>
    <w:rsid w:val="005B1417"/>
    <w:rsid w:val="005B1888"/>
    <w:rsid w:val="005B69CF"/>
    <w:rsid w:val="005C24D0"/>
    <w:rsid w:val="005C3F07"/>
    <w:rsid w:val="005C4B46"/>
    <w:rsid w:val="005C5DC5"/>
    <w:rsid w:val="005D00EF"/>
    <w:rsid w:val="005D0E1E"/>
    <w:rsid w:val="005D14B3"/>
    <w:rsid w:val="005D2089"/>
    <w:rsid w:val="005D5AC5"/>
    <w:rsid w:val="005D7514"/>
    <w:rsid w:val="005E05E9"/>
    <w:rsid w:val="005E0FC6"/>
    <w:rsid w:val="005E1A7B"/>
    <w:rsid w:val="005E231F"/>
    <w:rsid w:val="005E2DED"/>
    <w:rsid w:val="005E3142"/>
    <w:rsid w:val="005E3DBC"/>
    <w:rsid w:val="005E4544"/>
    <w:rsid w:val="005F0D70"/>
    <w:rsid w:val="005F2426"/>
    <w:rsid w:val="005F5EFF"/>
    <w:rsid w:val="005F75F2"/>
    <w:rsid w:val="00602D6E"/>
    <w:rsid w:val="00602ED7"/>
    <w:rsid w:val="0060324D"/>
    <w:rsid w:val="00605C05"/>
    <w:rsid w:val="00610775"/>
    <w:rsid w:val="00611351"/>
    <w:rsid w:val="0061217D"/>
    <w:rsid w:val="006129AE"/>
    <w:rsid w:val="00615238"/>
    <w:rsid w:val="006212CF"/>
    <w:rsid w:val="006219A2"/>
    <w:rsid w:val="0062254C"/>
    <w:rsid w:val="006277A1"/>
    <w:rsid w:val="006305DD"/>
    <w:rsid w:val="00631127"/>
    <w:rsid w:val="0063369F"/>
    <w:rsid w:val="00633BD7"/>
    <w:rsid w:val="00634580"/>
    <w:rsid w:val="00634884"/>
    <w:rsid w:val="006351D9"/>
    <w:rsid w:val="00637130"/>
    <w:rsid w:val="00637F0E"/>
    <w:rsid w:val="006423F2"/>
    <w:rsid w:val="006428C5"/>
    <w:rsid w:val="00645014"/>
    <w:rsid w:val="00646554"/>
    <w:rsid w:val="00650234"/>
    <w:rsid w:val="006508D8"/>
    <w:rsid w:val="00651BB3"/>
    <w:rsid w:val="00657B30"/>
    <w:rsid w:val="0066044B"/>
    <w:rsid w:val="0066115D"/>
    <w:rsid w:val="006630AA"/>
    <w:rsid w:val="00663544"/>
    <w:rsid w:val="00666539"/>
    <w:rsid w:val="00666911"/>
    <w:rsid w:val="0067194A"/>
    <w:rsid w:val="00673B3C"/>
    <w:rsid w:val="00675F81"/>
    <w:rsid w:val="0068143E"/>
    <w:rsid w:val="00682176"/>
    <w:rsid w:val="006828EA"/>
    <w:rsid w:val="00682F3F"/>
    <w:rsid w:val="0068507D"/>
    <w:rsid w:val="00687889"/>
    <w:rsid w:val="00691AF2"/>
    <w:rsid w:val="00692B80"/>
    <w:rsid w:val="00692CCD"/>
    <w:rsid w:val="00692D51"/>
    <w:rsid w:val="00693BA4"/>
    <w:rsid w:val="0069414B"/>
    <w:rsid w:val="00694DD7"/>
    <w:rsid w:val="0069636B"/>
    <w:rsid w:val="00696660"/>
    <w:rsid w:val="006A1762"/>
    <w:rsid w:val="006A19CE"/>
    <w:rsid w:val="006A1C7D"/>
    <w:rsid w:val="006A1F0B"/>
    <w:rsid w:val="006A277A"/>
    <w:rsid w:val="006A46C2"/>
    <w:rsid w:val="006A5973"/>
    <w:rsid w:val="006A65C8"/>
    <w:rsid w:val="006B04F3"/>
    <w:rsid w:val="006B1EF2"/>
    <w:rsid w:val="006B5E64"/>
    <w:rsid w:val="006B64B4"/>
    <w:rsid w:val="006B6830"/>
    <w:rsid w:val="006B7126"/>
    <w:rsid w:val="006C137C"/>
    <w:rsid w:val="006C4604"/>
    <w:rsid w:val="006C56E5"/>
    <w:rsid w:val="006C6B86"/>
    <w:rsid w:val="006D2B85"/>
    <w:rsid w:val="006D4553"/>
    <w:rsid w:val="006D4A35"/>
    <w:rsid w:val="006D6B44"/>
    <w:rsid w:val="006D6BD4"/>
    <w:rsid w:val="006E038B"/>
    <w:rsid w:val="006E0F71"/>
    <w:rsid w:val="006E12B6"/>
    <w:rsid w:val="006E27FE"/>
    <w:rsid w:val="006F0722"/>
    <w:rsid w:val="006F1F38"/>
    <w:rsid w:val="006F7FF5"/>
    <w:rsid w:val="00701110"/>
    <w:rsid w:val="0070205E"/>
    <w:rsid w:val="00702E91"/>
    <w:rsid w:val="0070330F"/>
    <w:rsid w:val="00703624"/>
    <w:rsid w:val="007046ED"/>
    <w:rsid w:val="00704BCB"/>
    <w:rsid w:val="0070541F"/>
    <w:rsid w:val="007072A1"/>
    <w:rsid w:val="0070782C"/>
    <w:rsid w:val="0071060C"/>
    <w:rsid w:val="00710BC5"/>
    <w:rsid w:val="007121CA"/>
    <w:rsid w:val="00713FF5"/>
    <w:rsid w:val="00714E77"/>
    <w:rsid w:val="00717D6E"/>
    <w:rsid w:val="0072003B"/>
    <w:rsid w:val="00720617"/>
    <w:rsid w:val="00721059"/>
    <w:rsid w:val="007211E6"/>
    <w:rsid w:val="007220C4"/>
    <w:rsid w:val="0072225A"/>
    <w:rsid w:val="00724557"/>
    <w:rsid w:val="007305ED"/>
    <w:rsid w:val="007311B9"/>
    <w:rsid w:val="00732361"/>
    <w:rsid w:val="007357B9"/>
    <w:rsid w:val="00735FC0"/>
    <w:rsid w:val="00741AB9"/>
    <w:rsid w:val="007429B8"/>
    <w:rsid w:val="00742D03"/>
    <w:rsid w:val="007433AB"/>
    <w:rsid w:val="00743A0D"/>
    <w:rsid w:val="00744216"/>
    <w:rsid w:val="007452E8"/>
    <w:rsid w:val="00746427"/>
    <w:rsid w:val="00746990"/>
    <w:rsid w:val="00747093"/>
    <w:rsid w:val="00750D70"/>
    <w:rsid w:val="0075139C"/>
    <w:rsid w:val="00752128"/>
    <w:rsid w:val="007564E7"/>
    <w:rsid w:val="007575D0"/>
    <w:rsid w:val="007611E7"/>
    <w:rsid w:val="00762231"/>
    <w:rsid w:val="007641FF"/>
    <w:rsid w:val="00764DC9"/>
    <w:rsid w:val="007662E0"/>
    <w:rsid w:val="00773788"/>
    <w:rsid w:val="00773A2F"/>
    <w:rsid w:val="00776581"/>
    <w:rsid w:val="00776E9C"/>
    <w:rsid w:val="007816D8"/>
    <w:rsid w:val="00784150"/>
    <w:rsid w:val="007864DA"/>
    <w:rsid w:val="007923DC"/>
    <w:rsid w:val="0079287A"/>
    <w:rsid w:val="00792B43"/>
    <w:rsid w:val="00793272"/>
    <w:rsid w:val="0079499A"/>
    <w:rsid w:val="00794B64"/>
    <w:rsid w:val="007967C3"/>
    <w:rsid w:val="00797A40"/>
    <w:rsid w:val="007A04C6"/>
    <w:rsid w:val="007A0A33"/>
    <w:rsid w:val="007A4162"/>
    <w:rsid w:val="007A53AC"/>
    <w:rsid w:val="007A553F"/>
    <w:rsid w:val="007B04DE"/>
    <w:rsid w:val="007B0AE6"/>
    <w:rsid w:val="007B215F"/>
    <w:rsid w:val="007B35DC"/>
    <w:rsid w:val="007B6513"/>
    <w:rsid w:val="007B78BF"/>
    <w:rsid w:val="007C0811"/>
    <w:rsid w:val="007C0F0B"/>
    <w:rsid w:val="007C1526"/>
    <w:rsid w:val="007C2B01"/>
    <w:rsid w:val="007C57BC"/>
    <w:rsid w:val="007C6C79"/>
    <w:rsid w:val="007D04CA"/>
    <w:rsid w:val="007D0A2B"/>
    <w:rsid w:val="007D12A1"/>
    <w:rsid w:val="007D40E5"/>
    <w:rsid w:val="007D4138"/>
    <w:rsid w:val="007D48C1"/>
    <w:rsid w:val="007D767C"/>
    <w:rsid w:val="007E1580"/>
    <w:rsid w:val="007E2569"/>
    <w:rsid w:val="007E3438"/>
    <w:rsid w:val="007E4178"/>
    <w:rsid w:val="007E6443"/>
    <w:rsid w:val="007F0A77"/>
    <w:rsid w:val="007F1DB1"/>
    <w:rsid w:val="007F1E37"/>
    <w:rsid w:val="007F50D3"/>
    <w:rsid w:val="007F6B1F"/>
    <w:rsid w:val="00800F08"/>
    <w:rsid w:val="008013F0"/>
    <w:rsid w:val="00801800"/>
    <w:rsid w:val="0080309B"/>
    <w:rsid w:val="00803189"/>
    <w:rsid w:val="00803926"/>
    <w:rsid w:val="00804897"/>
    <w:rsid w:val="00805518"/>
    <w:rsid w:val="008170BA"/>
    <w:rsid w:val="00817D86"/>
    <w:rsid w:val="008215CC"/>
    <w:rsid w:val="00823EFE"/>
    <w:rsid w:val="00824F40"/>
    <w:rsid w:val="008265AE"/>
    <w:rsid w:val="008329DB"/>
    <w:rsid w:val="0083495F"/>
    <w:rsid w:val="008361C5"/>
    <w:rsid w:val="0083628F"/>
    <w:rsid w:val="00836929"/>
    <w:rsid w:val="00837AB9"/>
    <w:rsid w:val="008403FD"/>
    <w:rsid w:val="008405DC"/>
    <w:rsid w:val="00844D00"/>
    <w:rsid w:val="00845165"/>
    <w:rsid w:val="00850637"/>
    <w:rsid w:val="008531DC"/>
    <w:rsid w:val="00854D98"/>
    <w:rsid w:val="00854E48"/>
    <w:rsid w:val="0085751E"/>
    <w:rsid w:val="00857DAA"/>
    <w:rsid w:val="00860B29"/>
    <w:rsid w:val="00861B36"/>
    <w:rsid w:val="00861BA0"/>
    <w:rsid w:val="008622E8"/>
    <w:rsid w:val="00863132"/>
    <w:rsid w:val="008645EE"/>
    <w:rsid w:val="00870144"/>
    <w:rsid w:val="008703C8"/>
    <w:rsid w:val="0087072C"/>
    <w:rsid w:val="00871312"/>
    <w:rsid w:val="008736F9"/>
    <w:rsid w:val="00873D7A"/>
    <w:rsid w:val="0087472A"/>
    <w:rsid w:val="00875788"/>
    <w:rsid w:val="00877CB3"/>
    <w:rsid w:val="008804CF"/>
    <w:rsid w:val="00882D58"/>
    <w:rsid w:val="00882F19"/>
    <w:rsid w:val="00883D35"/>
    <w:rsid w:val="00884569"/>
    <w:rsid w:val="00885256"/>
    <w:rsid w:val="00887A51"/>
    <w:rsid w:val="0089038A"/>
    <w:rsid w:val="00890474"/>
    <w:rsid w:val="00890A8B"/>
    <w:rsid w:val="00890D9B"/>
    <w:rsid w:val="00890E59"/>
    <w:rsid w:val="00891C6C"/>
    <w:rsid w:val="00893CCD"/>
    <w:rsid w:val="00894405"/>
    <w:rsid w:val="0089579A"/>
    <w:rsid w:val="008964B3"/>
    <w:rsid w:val="00896B19"/>
    <w:rsid w:val="008A2522"/>
    <w:rsid w:val="008A56FE"/>
    <w:rsid w:val="008A68DC"/>
    <w:rsid w:val="008A72C6"/>
    <w:rsid w:val="008A75A2"/>
    <w:rsid w:val="008A76EA"/>
    <w:rsid w:val="008B1CB5"/>
    <w:rsid w:val="008B4026"/>
    <w:rsid w:val="008B5FA6"/>
    <w:rsid w:val="008B6223"/>
    <w:rsid w:val="008B7144"/>
    <w:rsid w:val="008C07DC"/>
    <w:rsid w:val="008C1E0D"/>
    <w:rsid w:val="008C2D69"/>
    <w:rsid w:val="008C4579"/>
    <w:rsid w:val="008C49C6"/>
    <w:rsid w:val="008C754C"/>
    <w:rsid w:val="008D01B5"/>
    <w:rsid w:val="008D0302"/>
    <w:rsid w:val="008D24F5"/>
    <w:rsid w:val="008D497C"/>
    <w:rsid w:val="008D56C9"/>
    <w:rsid w:val="008D56CA"/>
    <w:rsid w:val="008D6A54"/>
    <w:rsid w:val="008D7CBA"/>
    <w:rsid w:val="008E2585"/>
    <w:rsid w:val="008E2D7A"/>
    <w:rsid w:val="008E4C52"/>
    <w:rsid w:val="008F0769"/>
    <w:rsid w:val="008F0D25"/>
    <w:rsid w:val="008F3215"/>
    <w:rsid w:val="008F3232"/>
    <w:rsid w:val="008F4A62"/>
    <w:rsid w:val="008F6CC1"/>
    <w:rsid w:val="008F7256"/>
    <w:rsid w:val="00901001"/>
    <w:rsid w:val="00901A36"/>
    <w:rsid w:val="00902FB4"/>
    <w:rsid w:val="0090424C"/>
    <w:rsid w:val="00905E5A"/>
    <w:rsid w:val="0090605E"/>
    <w:rsid w:val="0090644D"/>
    <w:rsid w:val="00906C74"/>
    <w:rsid w:val="009108CE"/>
    <w:rsid w:val="00910D85"/>
    <w:rsid w:val="00915563"/>
    <w:rsid w:val="00915A9F"/>
    <w:rsid w:val="00920924"/>
    <w:rsid w:val="009215C9"/>
    <w:rsid w:val="00925F62"/>
    <w:rsid w:val="00930D58"/>
    <w:rsid w:val="00934F1C"/>
    <w:rsid w:val="00935AAA"/>
    <w:rsid w:val="00944984"/>
    <w:rsid w:val="00944D1F"/>
    <w:rsid w:val="0095031E"/>
    <w:rsid w:val="0095145E"/>
    <w:rsid w:val="00954297"/>
    <w:rsid w:val="009568CC"/>
    <w:rsid w:val="00957C21"/>
    <w:rsid w:val="00960A56"/>
    <w:rsid w:val="00961863"/>
    <w:rsid w:val="0096662E"/>
    <w:rsid w:val="00966CD1"/>
    <w:rsid w:val="00966EF1"/>
    <w:rsid w:val="00967223"/>
    <w:rsid w:val="00970FDF"/>
    <w:rsid w:val="009749E7"/>
    <w:rsid w:val="009751F7"/>
    <w:rsid w:val="00980A2E"/>
    <w:rsid w:val="0098168B"/>
    <w:rsid w:val="0098350E"/>
    <w:rsid w:val="00986AF4"/>
    <w:rsid w:val="009873AB"/>
    <w:rsid w:val="00987FDC"/>
    <w:rsid w:val="00990C12"/>
    <w:rsid w:val="0099404F"/>
    <w:rsid w:val="00996FA5"/>
    <w:rsid w:val="009B0D39"/>
    <w:rsid w:val="009B0D5D"/>
    <w:rsid w:val="009B2147"/>
    <w:rsid w:val="009B5662"/>
    <w:rsid w:val="009C19BD"/>
    <w:rsid w:val="009C2211"/>
    <w:rsid w:val="009C384B"/>
    <w:rsid w:val="009C40E8"/>
    <w:rsid w:val="009C45C5"/>
    <w:rsid w:val="009C4D75"/>
    <w:rsid w:val="009C5D09"/>
    <w:rsid w:val="009C633D"/>
    <w:rsid w:val="009C6CA0"/>
    <w:rsid w:val="009D11AD"/>
    <w:rsid w:val="009D5501"/>
    <w:rsid w:val="009E10D7"/>
    <w:rsid w:val="009E45C2"/>
    <w:rsid w:val="009E6858"/>
    <w:rsid w:val="009E6E64"/>
    <w:rsid w:val="009E6F8C"/>
    <w:rsid w:val="009F4041"/>
    <w:rsid w:val="009F405F"/>
    <w:rsid w:val="00A00C57"/>
    <w:rsid w:val="00A01C56"/>
    <w:rsid w:val="00A049C1"/>
    <w:rsid w:val="00A06638"/>
    <w:rsid w:val="00A100BB"/>
    <w:rsid w:val="00A118AF"/>
    <w:rsid w:val="00A173B8"/>
    <w:rsid w:val="00A224C6"/>
    <w:rsid w:val="00A26D9E"/>
    <w:rsid w:val="00A27FE2"/>
    <w:rsid w:val="00A32C50"/>
    <w:rsid w:val="00A353C7"/>
    <w:rsid w:val="00A358E7"/>
    <w:rsid w:val="00A370D8"/>
    <w:rsid w:val="00A40C3C"/>
    <w:rsid w:val="00A4380B"/>
    <w:rsid w:val="00A44666"/>
    <w:rsid w:val="00A46062"/>
    <w:rsid w:val="00A51162"/>
    <w:rsid w:val="00A51A2D"/>
    <w:rsid w:val="00A51CE0"/>
    <w:rsid w:val="00A54391"/>
    <w:rsid w:val="00A5596B"/>
    <w:rsid w:val="00A63C07"/>
    <w:rsid w:val="00A63CDF"/>
    <w:rsid w:val="00A63D9B"/>
    <w:rsid w:val="00A65D3E"/>
    <w:rsid w:val="00A66508"/>
    <w:rsid w:val="00A66B9D"/>
    <w:rsid w:val="00A67270"/>
    <w:rsid w:val="00A704DC"/>
    <w:rsid w:val="00A72FCE"/>
    <w:rsid w:val="00A739BA"/>
    <w:rsid w:val="00A75483"/>
    <w:rsid w:val="00A77C96"/>
    <w:rsid w:val="00A87674"/>
    <w:rsid w:val="00A92CBF"/>
    <w:rsid w:val="00A93DC6"/>
    <w:rsid w:val="00A9411A"/>
    <w:rsid w:val="00A9550D"/>
    <w:rsid w:val="00A96887"/>
    <w:rsid w:val="00AA0F1F"/>
    <w:rsid w:val="00AA4A4B"/>
    <w:rsid w:val="00AA541B"/>
    <w:rsid w:val="00AA5F51"/>
    <w:rsid w:val="00AA6080"/>
    <w:rsid w:val="00AA6682"/>
    <w:rsid w:val="00AA7186"/>
    <w:rsid w:val="00AB0613"/>
    <w:rsid w:val="00AB466D"/>
    <w:rsid w:val="00AB5E71"/>
    <w:rsid w:val="00AB7C5C"/>
    <w:rsid w:val="00AB7CBF"/>
    <w:rsid w:val="00AC4DB7"/>
    <w:rsid w:val="00AD0111"/>
    <w:rsid w:val="00AD0A31"/>
    <w:rsid w:val="00AD0B68"/>
    <w:rsid w:val="00AD204C"/>
    <w:rsid w:val="00AD40C3"/>
    <w:rsid w:val="00AD4C72"/>
    <w:rsid w:val="00AD5451"/>
    <w:rsid w:val="00AE12F4"/>
    <w:rsid w:val="00AE1947"/>
    <w:rsid w:val="00AE250F"/>
    <w:rsid w:val="00AF0482"/>
    <w:rsid w:val="00AF1830"/>
    <w:rsid w:val="00AF1C8B"/>
    <w:rsid w:val="00AF299B"/>
    <w:rsid w:val="00AF2C88"/>
    <w:rsid w:val="00AF7E43"/>
    <w:rsid w:val="00B00A0C"/>
    <w:rsid w:val="00B01F1B"/>
    <w:rsid w:val="00B02AE0"/>
    <w:rsid w:val="00B03F25"/>
    <w:rsid w:val="00B04230"/>
    <w:rsid w:val="00B05326"/>
    <w:rsid w:val="00B05735"/>
    <w:rsid w:val="00B14545"/>
    <w:rsid w:val="00B14E60"/>
    <w:rsid w:val="00B17BA2"/>
    <w:rsid w:val="00B2559F"/>
    <w:rsid w:val="00B26DC3"/>
    <w:rsid w:val="00B306B6"/>
    <w:rsid w:val="00B30B9D"/>
    <w:rsid w:val="00B4574D"/>
    <w:rsid w:val="00B46159"/>
    <w:rsid w:val="00B468E1"/>
    <w:rsid w:val="00B46BC0"/>
    <w:rsid w:val="00B46DFB"/>
    <w:rsid w:val="00B50856"/>
    <w:rsid w:val="00B5141B"/>
    <w:rsid w:val="00B519A0"/>
    <w:rsid w:val="00B51E4E"/>
    <w:rsid w:val="00B54BA4"/>
    <w:rsid w:val="00B55681"/>
    <w:rsid w:val="00B57A2C"/>
    <w:rsid w:val="00B57AAD"/>
    <w:rsid w:val="00B60F3C"/>
    <w:rsid w:val="00B63227"/>
    <w:rsid w:val="00B634B8"/>
    <w:rsid w:val="00B6374E"/>
    <w:rsid w:val="00B6411C"/>
    <w:rsid w:val="00B649C9"/>
    <w:rsid w:val="00B65D3C"/>
    <w:rsid w:val="00B660B1"/>
    <w:rsid w:val="00B72B16"/>
    <w:rsid w:val="00B76041"/>
    <w:rsid w:val="00B80408"/>
    <w:rsid w:val="00B81397"/>
    <w:rsid w:val="00B8472B"/>
    <w:rsid w:val="00B85080"/>
    <w:rsid w:val="00B9190F"/>
    <w:rsid w:val="00B925DB"/>
    <w:rsid w:val="00B967FF"/>
    <w:rsid w:val="00B97145"/>
    <w:rsid w:val="00B974B9"/>
    <w:rsid w:val="00BA1A9A"/>
    <w:rsid w:val="00BA2FBE"/>
    <w:rsid w:val="00BA3F6D"/>
    <w:rsid w:val="00BA404E"/>
    <w:rsid w:val="00BA4BE6"/>
    <w:rsid w:val="00BA4FC0"/>
    <w:rsid w:val="00BA54E8"/>
    <w:rsid w:val="00BA61E0"/>
    <w:rsid w:val="00BA657C"/>
    <w:rsid w:val="00BA7F7D"/>
    <w:rsid w:val="00BB1582"/>
    <w:rsid w:val="00BB1C14"/>
    <w:rsid w:val="00BB4EC0"/>
    <w:rsid w:val="00BB61CC"/>
    <w:rsid w:val="00BB6847"/>
    <w:rsid w:val="00BB6A49"/>
    <w:rsid w:val="00BB7DA9"/>
    <w:rsid w:val="00BB7F8F"/>
    <w:rsid w:val="00BC3AC3"/>
    <w:rsid w:val="00BC55E0"/>
    <w:rsid w:val="00BC716A"/>
    <w:rsid w:val="00BC7DF6"/>
    <w:rsid w:val="00BD07DF"/>
    <w:rsid w:val="00BD26F4"/>
    <w:rsid w:val="00BD5DBD"/>
    <w:rsid w:val="00BD5DF6"/>
    <w:rsid w:val="00BD6F83"/>
    <w:rsid w:val="00BE0041"/>
    <w:rsid w:val="00BE05F8"/>
    <w:rsid w:val="00BE2C54"/>
    <w:rsid w:val="00BE5BD6"/>
    <w:rsid w:val="00BE640F"/>
    <w:rsid w:val="00BE6D2A"/>
    <w:rsid w:val="00BE793C"/>
    <w:rsid w:val="00BF07D9"/>
    <w:rsid w:val="00BF1681"/>
    <w:rsid w:val="00BF27F9"/>
    <w:rsid w:val="00BF4638"/>
    <w:rsid w:val="00BF5130"/>
    <w:rsid w:val="00BF6830"/>
    <w:rsid w:val="00C00844"/>
    <w:rsid w:val="00C01249"/>
    <w:rsid w:val="00C0154F"/>
    <w:rsid w:val="00C043F8"/>
    <w:rsid w:val="00C048A7"/>
    <w:rsid w:val="00C055C7"/>
    <w:rsid w:val="00C059D0"/>
    <w:rsid w:val="00C07551"/>
    <w:rsid w:val="00C1109F"/>
    <w:rsid w:val="00C12D65"/>
    <w:rsid w:val="00C133AB"/>
    <w:rsid w:val="00C17B5C"/>
    <w:rsid w:val="00C20B56"/>
    <w:rsid w:val="00C20C63"/>
    <w:rsid w:val="00C22214"/>
    <w:rsid w:val="00C26F72"/>
    <w:rsid w:val="00C309A7"/>
    <w:rsid w:val="00C31160"/>
    <w:rsid w:val="00C335AB"/>
    <w:rsid w:val="00C36B4C"/>
    <w:rsid w:val="00C407AB"/>
    <w:rsid w:val="00C40AFC"/>
    <w:rsid w:val="00C47599"/>
    <w:rsid w:val="00C518E7"/>
    <w:rsid w:val="00C52B7B"/>
    <w:rsid w:val="00C545FE"/>
    <w:rsid w:val="00C547CD"/>
    <w:rsid w:val="00C570FF"/>
    <w:rsid w:val="00C57CEA"/>
    <w:rsid w:val="00C60FEC"/>
    <w:rsid w:val="00C616AF"/>
    <w:rsid w:val="00C62B1C"/>
    <w:rsid w:val="00C63BFF"/>
    <w:rsid w:val="00C6574E"/>
    <w:rsid w:val="00C663D1"/>
    <w:rsid w:val="00C6661F"/>
    <w:rsid w:val="00C66A68"/>
    <w:rsid w:val="00C66E2C"/>
    <w:rsid w:val="00C707FD"/>
    <w:rsid w:val="00C72EE2"/>
    <w:rsid w:val="00C74B2B"/>
    <w:rsid w:val="00C7555A"/>
    <w:rsid w:val="00C76DEB"/>
    <w:rsid w:val="00C76F48"/>
    <w:rsid w:val="00C811D8"/>
    <w:rsid w:val="00C816C6"/>
    <w:rsid w:val="00C863A7"/>
    <w:rsid w:val="00C90D0A"/>
    <w:rsid w:val="00C91121"/>
    <w:rsid w:val="00C912F4"/>
    <w:rsid w:val="00C9156F"/>
    <w:rsid w:val="00C91ED0"/>
    <w:rsid w:val="00C92CC7"/>
    <w:rsid w:val="00C9581A"/>
    <w:rsid w:val="00C97D29"/>
    <w:rsid w:val="00CA51AD"/>
    <w:rsid w:val="00CA7076"/>
    <w:rsid w:val="00CA7F43"/>
    <w:rsid w:val="00CB0550"/>
    <w:rsid w:val="00CB3285"/>
    <w:rsid w:val="00CB605C"/>
    <w:rsid w:val="00CB6813"/>
    <w:rsid w:val="00CC6B1A"/>
    <w:rsid w:val="00CC6DA3"/>
    <w:rsid w:val="00CD1C6F"/>
    <w:rsid w:val="00CD2556"/>
    <w:rsid w:val="00CD2639"/>
    <w:rsid w:val="00CD3868"/>
    <w:rsid w:val="00CD3958"/>
    <w:rsid w:val="00CD46AC"/>
    <w:rsid w:val="00CD5E80"/>
    <w:rsid w:val="00CE1304"/>
    <w:rsid w:val="00CE2505"/>
    <w:rsid w:val="00CE35BD"/>
    <w:rsid w:val="00CF2B48"/>
    <w:rsid w:val="00CF4E9E"/>
    <w:rsid w:val="00CF59B1"/>
    <w:rsid w:val="00CF6A55"/>
    <w:rsid w:val="00CF6DC6"/>
    <w:rsid w:val="00CF6DCF"/>
    <w:rsid w:val="00D015B4"/>
    <w:rsid w:val="00D01DDB"/>
    <w:rsid w:val="00D04797"/>
    <w:rsid w:val="00D04AA9"/>
    <w:rsid w:val="00D05C3B"/>
    <w:rsid w:val="00D06467"/>
    <w:rsid w:val="00D078BE"/>
    <w:rsid w:val="00D078D5"/>
    <w:rsid w:val="00D13F8A"/>
    <w:rsid w:val="00D15251"/>
    <w:rsid w:val="00D16F60"/>
    <w:rsid w:val="00D16FC9"/>
    <w:rsid w:val="00D20D08"/>
    <w:rsid w:val="00D2112E"/>
    <w:rsid w:val="00D22981"/>
    <w:rsid w:val="00D23906"/>
    <w:rsid w:val="00D2549C"/>
    <w:rsid w:val="00D3013C"/>
    <w:rsid w:val="00D3349B"/>
    <w:rsid w:val="00D340D2"/>
    <w:rsid w:val="00D3755B"/>
    <w:rsid w:val="00D37FE6"/>
    <w:rsid w:val="00D4017B"/>
    <w:rsid w:val="00D41530"/>
    <w:rsid w:val="00D424A8"/>
    <w:rsid w:val="00D42A26"/>
    <w:rsid w:val="00D50610"/>
    <w:rsid w:val="00D555E4"/>
    <w:rsid w:val="00D55AF9"/>
    <w:rsid w:val="00D57565"/>
    <w:rsid w:val="00D6036F"/>
    <w:rsid w:val="00D60663"/>
    <w:rsid w:val="00D62877"/>
    <w:rsid w:val="00D63760"/>
    <w:rsid w:val="00D6703F"/>
    <w:rsid w:val="00D7091A"/>
    <w:rsid w:val="00D72A83"/>
    <w:rsid w:val="00D734EB"/>
    <w:rsid w:val="00D73560"/>
    <w:rsid w:val="00D74F07"/>
    <w:rsid w:val="00D80D8A"/>
    <w:rsid w:val="00D818C0"/>
    <w:rsid w:val="00D82028"/>
    <w:rsid w:val="00D82713"/>
    <w:rsid w:val="00D86F00"/>
    <w:rsid w:val="00D908D5"/>
    <w:rsid w:val="00D90DEB"/>
    <w:rsid w:val="00D918D5"/>
    <w:rsid w:val="00D93463"/>
    <w:rsid w:val="00D94C8E"/>
    <w:rsid w:val="00D94E44"/>
    <w:rsid w:val="00D95BF3"/>
    <w:rsid w:val="00D97EC8"/>
    <w:rsid w:val="00D97FAD"/>
    <w:rsid w:val="00DA0AE6"/>
    <w:rsid w:val="00DA3825"/>
    <w:rsid w:val="00DA38A4"/>
    <w:rsid w:val="00DA44FF"/>
    <w:rsid w:val="00DB02ED"/>
    <w:rsid w:val="00DB1372"/>
    <w:rsid w:val="00DB13C0"/>
    <w:rsid w:val="00DB192C"/>
    <w:rsid w:val="00DB1CF3"/>
    <w:rsid w:val="00DB2DE6"/>
    <w:rsid w:val="00DB32BF"/>
    <w:rsid w:val="00DB5425"/>
    <w:rsid w:val="00DB72A6"/>
    <w:rsid w:val="00DB74E2"/>
    <w:rsid w:val="00DC33AF"/>
    <w:rsid w:val="00DC3F49"/>
    <w:rsid w:val="00DC4DF6"/>
    <w:rsid w:val="00DC5F76"/>
    <w:rsid w:val="00DC6611"/>
    <w:rsid w:val="00DD278C"/>
    <w:rsid w:val="00DD5A3B"/>
    <w:rsid w:val="00DD5AFB"/>
    <w:rsid w:val="00DE1344"/>
    <w:rsid w:val="00DE2774"/>
    <w:rsid w:val="00DF1CFD"/>
    <w:rsid w:val="00DF2368"/>
    <w:rsid w:val="00DF30BF"/>
    <w:rsid w:val="00DF46AD"/>
    <w:rsid w:val="00DF5BFE"/>
    <w:rsid w:val="00E01BBC"/>
    <w:rsid w:val="00E0523F"/>
    <w:rsid w:val="00E15ACA"/>
    <w:rsid w:val="00E15CCC"/>
    <w:rsid w:val="00E17194"/>
    <w:rsid w:val="00E23E50"/>
    <w:rsid w:val="00E26213"/>
    <w:rsid w:val="00E267B4"/>
    <w:rsid w:val="00E274DF"/>
    <w:rsid w:val="00E277A5"/>
    <w:rsid w:val="00E34D66"/>
    <w:rsid w:val="00E362C4"/>
    <w:rsid w:val="00E4570A"/>
    <w:rsid w:val="00E46CC2"/>
    <w:rsid w:val="00E47E0C"/>
    <w:rsid w:val="00E502B3"/>
    <w:rsid w:val="00E51423"/>
    <w:rsid w:val="00E51813"/>
    <w:rsid w:val="00E52C0B"/>
    <w:rsid w:val="00E53D3F"/>
    <w:rsid w:val="00E5579B"/>
    <w:rsid w:val="00E572BE"/>
    <w:rsid w:val="00E57FF4"/>
    <w:rsid w:val="00E62000"/>
    <w:rsid w:val="00E662E9"/>
    <w:rsid w:val="00E679D1"/>
    <w:rsid w:val="00E67C1C"/>
    <w:rsid w:val="00E711AA"/>
    <w:rsid w:val="00E766C9"/>
    <w:rsid w:val="00E8017F"/>
    <w:rsid w:val="00E83A0B"/>
    <w:rsid w:val="00E85131"/>
    <w:rsid w:val="00E91736"/>
    <w:rsid w:val="00E91F11"/>
    <w:rsid w:val="00E9296C"/>
    <w:rsid w:val="00E952C4"/>
    <w:rsid w:val="00E9706D"/>
    <w:rsid w:val="00E97743"/>
    <w:rsid w:val="00EA02DC"/>
    <w:rsid w:val="00EA1576"/>
    <w:rsid w:val="00EA1E81"/>
    <w:rsid w:val="00EA2EE5"/>
    <w:rsid w:val="00EA3AF4"/>
    <w:rsid w:val="00EA477D"/>
    <w:rsid w:val="00EA5466"/>
    <w:rsid w:val="00EB4B6C"/>
    <w:rsid w:val="00EB62C3"/>
    <w:rsid w:val="00EB6D1C"/>
    <w:rsid w:val="00EB7BC4"/>
    <w:rsid w:val="00EC31BB"/>
    <w:rsid w:val="00EC3469"/>
    <w:rsid w:val="00EC6C35"/>
    <w:rsid w:val="00EC7A92"/>
    <w:rsid w:val="00ED2E20"/>
    <w:rsid w:val="00EE1113"/>
    <w:rsid w:val="00EE2CBC"/>
    <w:rsid w:val="00EE3E54"/>
    <w:rsid w:val="00EE4B01"/>
    <w:rsid w:val="00EF3F0B"/>
    <w:rsid w:val="00EF4541"/>
    <w:rsid w:val="00EF4BF4"/>
    <w:rsid w:val="00EF5511"/>
    <w:rsid w:val="00EF5583"/>
    <w:rsid w:val="00EF5B65"/>
    <w:rsid w:val="00F0257F"/>
    <w:rsid w:val="00F0289D"/>
    <w:rsid w:val="00F02AEC"/>
    <w:rsid w:val="00F032B2"/>
    <w:rsid w:val="00F03500"/>
    <w:rsid w:val="00F07572"/>
    <w:rsid w:val="00F100FD"/>
    <w:rsid w:val="00F153A9"/>
    <w:rsid w:val="00F157FC"/>
    <w:rsid w:val="00F17ADB"/>
    <w:rsid w:val="00F22825"/>
    <w:rsid w:val="00F27B66"/>
    <w:rsid w:val="00F30AF3"/>
    <w:rsid w:val="00F32A58"/>
    <w:rsid w:val="00F33065"/>
    <w:rsid w:val="00F34482"/>
    <w:rsid w:val="00F36964"/>
    <w:rsid w:val="00F36ABE"/>
    <w:rsid w:val="00F402BD"/>
    <w:rsid w:val="00F43182"/>
    <w:rsid w:val="00F43CD1"/>
    <w:rsid w:val="00F43D3C"/>
    <w:rsid w:val="00F45AE0"/>
    <w:rsid w:val="00F50116"/>
    <w:rsid w:val="00F518BC"/>
    <w:rsid w:val="00F51EBB"/>
    <w:rsid w:val="00F54F98"/>
    <w:rsid w:val="00F60CF2"/>
    <w:rsid w:val="00F61392"/>
    <w:rsid w:val="00F657B4"/>
    <w:rsid w:val="00F66353"/>
    <w:rsid w:val="00F67B6F"/>
    <w:rsid w:val="00F67BE1"/>
    <w:rsid w:val="00F70E28"/>
    <w:rsid w:val="00F72725"/>
    <w:rsid w:val="00F732E9"/>
    <w:rsid w:val="00F7649F"/>
    <w:rsid w:val="00F76D03"/>
    <w:rsid w:val="00F76DD5"/>
    <w:rsid w:val="00F772C7"/>
    <w:rsid w:val="00F8083B"/>
    <w:rsid w:val="00F81F79"/>
    <w:rsid w:val="00F82C2D"/>
    <w:rsid w:val="00F82D1B"/>
    <w:rsid w:val="00F8429D"/>
    <w:rsid w:val="00F842D7"/>
    <w:rsid w:val="00F84A27"/>
    <w:rsid w:val="00F8568E"/>
    <w:rsid w:val="00F865A7"/>
    <w:rsid w:val="00F915F1"/>
    <w:rsid w:val="00F96250"/>
    <w:rsid w:val="00FA0754"/>
    <w:rsid w:val="00FA1BC9"/>
    <w:rsid w:val="00FA49C3"/>
    <w:rsid w:val="00FA74B9"/>
    <w:rsid w:val="00FB220F"/>
    <w:rsid w:val="00FB236E"/>
    <w:rsid w:val="00FB3232"/>
    <w:rsid w:val="00FB3F7B"/>
    <w:rsid w:val="00FB4C2A"/>
    <w:rsid w:val="00FB7C0B"/>
    <w:rsid w:val="00FC14A1"/>
    <w:rsid w:val="00FC2107"/>
    <w:rsid w:val="00FC3242"/>
    <w:rsid w:val="00FC4512"/>
    <w:rsid w:val="00FC48FE"/>
    <w:rsid w:val="00FC6F56"/>
    <w:rsid w:val="00FD29B5"/>
    <w:rsid w:val="00FD4D16"/>
    <w:rsid w:val="00FE087C"/>
    <w:rsid w:val="00FE5216"/>
    <w:rsid w:val="00FE6BAA"/>
    <w:rsid w:val="00FE79A0"/>
    <w:rsid w:val="00FF0939"/>
    <w:rsid w:val="00FF1189"/>
    <w:rsid w:val="00FF424D"/>
    <w:rsid w:val="00FF5843"/>
    <w:rsid w:val="00FF6631"/>
    <w:rsid w:val="30DEF65A"/>
    <w:rsid w:val="5571D9ED"/>
    <w:rsid w:val="76AD328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4C024"/>
  <w15:chartTrackingRefBased/>
  <w15:docId w15:val="{DB9E8EF6-6B44-41A7-B48D-B1EAD8FD0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49C"/>
    <w:rPr>
      <w:rFonts w:ascii="Cambria" w:hAnsi="Cambria"/>
      <w:sz w:val="22"/>
    </w:rPr>
  </w:style>
  <w:style w:type="paragraph" w:styleId="Heading2">
    <w:name w:val="heading 2"/>
    <w:basedOn w:val="Normal"/>
    <w:next w:val="Normal"/>
    <w:link w:val="Heading2Char"/>
    <w:qFormat/>
    <w:rsid w:val="00F02AEC"/>
    <w:pPr>
      <w:keepNext/>
      <w:keepLines/>
      <w:spacing w:before="480" w:line="240" w:lineRule="atLeast"/>
      <w:outlineLvl w:val="1"/>
    </w:pPr>
    <w:rPr>
      <w:rFonts w:ascii="Arial" w:eastAsia="Times New Roman" w:hAnsi="Arial" w:cs="Times New Roman"/>
      <w:b/>
      <w:bCs/>
      <w:color w:val="001871"/>
      <w:sz w:val="38"/>
      <w:szCs w:val="38"/>
    </w:rPr>
  </w:style>
  <w:style w:type="paragraph" w:styleId="Heading3">
    <w:name w:val="heading 3"/>
    <w:basedOn w:val="Normal"/>
    <w:next w:val="Normal"/>
    <w:link w:val="Heading3Char"/>
    <w:qFormat/>
    <w:rsid w:val="00F02AEC"/>
    <w:pPr>
      <w:keepNext/>
      <w:keepLines/>
      <w:spacing w:before="480" w:line="240" w:lineRule="atLeast"/>
      <w:outlineLvl w:val="2"/>
    </w:pPr>
    <w:rPr>
      <w:rFonts w:ascii="Arial" w:eastAsia="Times New Roman" w:hAnsi="Arial" w:cs="Times New Roman"/>
      <w:b/>
      <w:bCs/>
      <w:color w:val="001871"/>
      <w:sz w:val="32"/>
      <w:szCs w:val="32"/>
    </w:rPr>
  </w:style>
  <w:style w:type="paragraph" w:styleId="Heading4">
    <w:name w:val="heading 4"/>
    <w:basedOn w:val="Normal"/>
    <w:next w:val="Normal"/>
    <w:link w:val="Heading4Char"/>
    <w:qFormat/>
    <w:rsid w:val="00F02AEC"/>
    <w:pPr>
      <w:keepNext/>
      <w:keepLines/>
      <w:spacing w:before="360" w:line="240" w:lineRule="atLeast"/>
      <w:outlineLvl w:val="3"/>
    </w:pPr>
    <w:rPr>
      <w:rFonts w:ascii="Arial" w:eastAsia="Cambria" w:hAnsi="Arial" w:cs="Times New Roman"/>
      <w:b/>
      <w:bCs/>
      <w:color w:val="001871"/>
      <w:sz w:val="28"/>
      <w:szCs w:val="26"/>
    </w:rPr>
  </w:style>
  <w:style w:type="paragraph" w:styleId="Heading5">
    <w:name w:val="heading 5"/>
    <w:basedOn w:val="Normal"/>
    <w:next w:val="Normal"/>
    <w:link w:val="Heading5Char"/>
    <w:uiPriority w:val="9"/>
    <w:rsid w:val="00F02AEC"/>
    <w:pPr>
      <w:keepNext/>
      <w:keepLines/>
      <w:spacing w:before="240" w:line="240" w:lineRule="atLeast"/>
      <w:outlineLvl w:val="4"/>
    </w:pPr>
    <w:rPr>
      <w:rFonts w:ascii="Arial" w:eastAsia="Times New Roman" w:hAnsi="Arial" w:cs="Times New Roman"/>
      <w:b/>
      <w:bCs/>
      <w:i/>
      <w:color w:val="001871"/>
      <w:sz w:val="26"/>
      <w:szCs w:val="26"/>
    </w:rPr>
  </w:style>
  <w:style w:type="paragraph" w:styleId="Heading6">
    <w:name w:val="heading 6"/>
    <w:basedOn w:val="Normal"/>
    <w:next w:val="Normal"/>
    <w:link w:val="Heading6Char"/>
    <w:uiPriority w:val="9"/>
    <w:rsid w:val="00F02AEC"/>
    <w:pPr>
      <w:keepNext/>
      <w:keepLines/>
      <w:spacing w:before="240" w:line="240" w:lineRule="atLeast"/>
      <w:outlineLvl w:val="5"/>
    </w:pPr>
    <w:rPr>
      <w:rFonts w:ascii="Arial" w:eastAsia="Times New Roman" w:hAnsi="Arial" w:cs="Times New Roman"/>
      <w:b/>
      <w:bCs/>
      <w:i/>
      <w:color w:val="001871"/>
      <w:sz w:val="24"/>
      <w:szCs w:val="21"/>
    </w:rPr>
  </w:style>
  <w:style w:type="paragraph" w:styleId="Heading7">
    <w:name w:val="heading 7"/>
    <w:basedOn w:val="Normal"/>
    <w:next w:val="Normal"/>
    <w:link w:val="Heading7Char"/>
    <w:uiPriority w:val="9"/>
    <w:unhideWhenUsed/>
    <w:qFormat/>
    <w:rsid w:val="004B112C"/>
    <w:pPr>
      <w:keepNext/>
      <w:keepLines/>
      <w:spacing w:before="40" w:after="80" w:line="240"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9C4D7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TGAblue2023">
    <w:name w:val="Table TGA blue 2023"/>
    <w:basedOn w:val="TableNormal"/>
    <w:uiPriority w:val="99"/>
    <w:qFormat/>
    <w:rsid w:val="008329DB"/>
    <w:pPr>
      <w:spacing w:before="80" w:after="40" w:line="264" w:lineRule="auto"/>
      <w:ind w:left="113"/>
    </w:pPr>
    <w:rPr>
      <w:rFonts w:ascii="Arial" w:eastAsia="Cambria" w:hAnsi="Arial" w:cs="Times New Roman"/>
      <w:color w:val="000000"/>
      <w:sz w:val="18"/>
      <w:szCs w:val="21"/>
      <w:lang w:eastAsia="en-AU"/>
    </w:rPr>
    <w:tblPr>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Pr>
    <w:trPr>
      <w:cantSplit/>
    </w:trPr>
    <w:tcPr>
      <w:shd w:val="clear" w:color="auto" w:fill="FFFFFF" w:themeFill="background1"/>
    </w:tcPr>
    <w:tblStylePr w:type="firstRow">
      <w:pPr>
        <w:keepNext/>
        <w:wordWrap/>
      </w:pPr>
      <w:rPr>
        <w:rFonts w:ascii="Arial" w:hAnsi="Arial"/>
        <w:b/>
        <w:color w:val="263287"/>
        <w:sz w:val="22"/>
      </w:rPr>
      <w:tblPr/>
      <w:trPr>
        <w:tblHeader/>
      </w:trPr>
      <w:tcPr>
        <w:shd w:val="clear" w:color="auto" w:fill="DEEAF6" w:themeFill="accent5" w:themeFillTint="33"/>
      </w:tcPr>
    </w:tblStylePr>
    <w:tblStylePr w:type="firstCol">
      <w:pPr>
        <w:keepNext w:val="0"/>
        <w:wordWrap/>
      </w:pPr>
    </w:tblStylePr>
  </w:style>
  <w:style w:type="character" w:customStyle="1" w:styleId="Heading2Char">
    <w:name w:val="Heading 2 Char"/>
    <w:basedOn w:val="DefaultParagraphFont"/>
    <w:link w:val="Heading2"/>
    <w:rsid w:val="00F02AEC"/>
    <w:rPr>
      <w:rFonts w:ascii="Arial" w:eastAsia="Times New Roman" w:hAnsi="Arial" w:cs="Times New Roman"/>
      <w:b/>
      <w:bCs/>
      <w:color w:val="001871"/>
      <w:sz w:val="38"/>
      <w:szCs w:val="38"/>
    </w:rPr>
  </w:style>
  <w:style w:type="character" w:customStyle="1" w:styleId="Heading3Char">
    <w:name w:val="Heading 3 Char"/>
    <w:basedOn w:val="DefaultParagraphFont"/>
    <w:link w:val="Heading3"/>
    <w:rsid w:val="00F02AEC"/>
    <w:rPr>
      <w:rFonts w:ascii="Arial" w:eastAsia="Times New Roman" w:hAnsi="Arial" w:cs="Times New Roman"/>
      <w:b/>
      <w:bCs/>
      <w:color w:val="001871"/>
      <w:sz w:val="32"/>
      <w:szCs w:val="32"/>
    </w:rPr>
  </w:style>
  <w:style w:type="character" w:customStyle="1" w:styleId="Heading4Char">
    <w:name w:val="Heading 4 Char"/>
    <w:basedOn w:val="DefaultParagraphFont"/>
    <w:link w:val="Heading4"/>
    <w:rsid w:val="00F02AEC"/>
    <w:rPr>
      <w:rFonts w:ascii="Arial" w:eastAsia="Cambria" w:hAnsi="Arial" w:cs="Times New Roman"/>
      <w:b/>
      <w:bCs/>
      <w:color w:val="001871"/>
      <w:sz w:val="28"/>
      <w:szCs w:val="26"/>
    </w:rPr>
  </w:style>
  <w:style w:type="character" w:customStyle="1" w:styleId="Heading5Char">
    <w:name w:val="Heading 5 Char"/>
    <w:basedOn w:val="DefaultParagraphFont"/>
    <w:link w:val="Heading5"/>
    <w:uiPriority w:val="9"/>
    <w:rsid w:val="00F02AEC"/>
    <w:rPr>
      <w:rFonts w:ascii="Arial" w:eastAsia="Times New Roman" w:hAnsi="Arial" w:cs="Times New Roman"/>
      <w:b/>
      <w:bCs/>
      <w:i/>
      <w:color w:val="001871"/>
      <w:sz w:val="26"/>
      <w:szCs w:val="26"/>
    </w:rPr>
  </w:style>
  <w:style w:type="character" w:customStyle="1" w:styleId="Heading6Char">
    <w:name w:val="Heading 6 Char"/>
    <w:basedOn w:val="DefaultParagraphFont"/>
    <w:link w:val="Heading6"/>
    <w:uiPriority w:val="9"/>
    <w:rsid w:val="00F02AEC"/>
    <w:rPr>
      <w:rFonts w:ascii="Arial" w:eastAsia="Times New Roman" w:hAnsi="Arial" w:cs="Times New Roman"/>
      <w:b/>
      <w:bCs/>
      <w:i/>
      <w:color w:val="001871"/>
      <w:sz w:val="24"/>
      <w:szCs w:val="21"/>
    </w:rPr>
  </w:style>
  <w:style w:type="paragraph" w:styleId="Date">
    <w:name w:val="Date"/>
    <w:basedOn w:val="Normal"/>
    <w:next w:val="Normal"/>
    <w:link w:val="DateChar"/>
    <w:uiPriority w:val="99"/>
    <w:rsid w:val="00F02AEC"/>
    <w:pPr>
      <w:spacing w:before="120" w:after="0" w:line="240" w:lineRule="atLeast"/>
    </w:pPr>
    <w:rPr>
      <w:rFonts w:ascii="Arial" w:eastAsia="Cambria" w:hAnsi="Arial" w:cs="Times New Roman"/>
      <w:color w:val="333F4A"/>
      <w:sz w:val="28"/>
    </w:rPr>
  </w:style>
  <w:style w:type="character" w:customStyle="1" w:styleId="DateChar">
    <w:name w:val="Date Char"/>
    <w:basedOn w:val="DefaultParagraphFont"/>
    <w:link w:val="Date"/>
    <w:uiPriority w:val="99"/>
    <w:rsid w:val="00F02AEC"/>
    <w:rPr>
      <w:rFonts w:ascii="Arial" w:eastAsia="Cambria" w:hAnsi="Arial" w:cs="Times New Roman"/>
      <w:color w:val="333F4A"/>
      <w:sz w:val="28"/>
      <w:szCs w:val="20"/>
    </w:rPr>
  </w:style>
  <w:style w:type="paragraph" w:styleId="Footer">
    <w:name w:val="footer"/>
    <w:basedOn w:val="Normal"/>
    <w:link w:val="FooterChar"/>
    <w:uiPriority w:val="99"/>
    <w:rsid w:val="0056766D"/>
    <w:pPr>
      <w:tabs>
        <w:tab w:val="center" w:pos="4513"/>
        <w:tab w:val="right" w:pos="9026"/>
      </w:tabs>
      <w:spacing w:after="0" w:line="240" w:lineRule="auto"/>
    </w:pPr>
    <w:rPr>
      <w:rFonts w:eastAsia="Cambria" w:cs="Times New Roman"/>
      <w:color w:val="333F4A"/>
      <w:sz w:val="17"/>
    </w:rPr>
  </w:style>
  <w:style w:type="character" w:customStyle="1" w:styleId="FooterChar">
    <w:name w:val="Footer Char"/>
    <w:basedOn w:val="DefaultParagraphFont"/>
    <w:link w:val="Footer"/>
    <w:uiPriority w:val="99"/>
    <w:rsid w:val="0056766D"/>
    <w:rPr>
      <w:rFonts w:ascii="Cambria" w:eastAsia="Cambria" w:hAnsi="Cambria" w:cs="Times New Roman"/>
      <w:color w:val="333F4A"/>
      <w:sz w:val="17"/>
    </w:rPr>
  </w:style>
  <w:style w:type="paragraph" w:styleId="Header">
    <w:name w:val="header"/>
    <w:basedOn w:val="Normal"/>
    <w:link w:val="HeaderChar"/>
    <w:uiPriority w:val="99"/>
    <w:rsid w:val="00F02AEC"/>
    <w:pPr>
      <w:pBdr>
        <w:bottom w:val="single" w:sz="4" w:space="3" w:color="auto"/>
      </w:pBdr>
      <w:tabs>
        <w:tab w:val="center" w:pos="4513"/>
        <w:tab w:val="right" w:pos="9026"/>
      </w:tabs>
      <w:spacing w:after="0" w:line="240" w:lineRule="auto"/>
      <w:jc w:val="right"/>
    </w:pPr>
    <w:rPr>
      <w:rFonts w:ascii="Arial" w:eastAsia="Cambria" w:hAnsi="Arial" w:cs="Times New Roman"/>
      <w:color w:val="333F4A"/>
      <w:sz w:val="17"/>
    </w:rPr>
  </w:style>
  <w:style w:type="character" w:customStyle="1" w:styleId="HeaderChar">
    <w:name w:val="Header Char"/>
    <w:basedOn w:val="DefaultParagraphFont"/>
    <w:link w:val="Header"/>
    <w:uiPriority w:val="99"/>
    <w:rsid w:val="00F02AEC"/>
    <w:rPr>
      <w:rFonts w:ascii="Arial" w:eastAsia="Cambria" w:hAnsi="Arial" w:cs="Times New Roman"/>
      <w:color w:val="333F4A"/>
      <w:sz w:val="17"/>
      <w:szCs w:val="20"/>
    </w:rPr>
  </w:style>
  <w:style w:type="character" w:styleId="Hyperlink">
    <w:name w:val="Hyperlink"/>
    <w:basedOn w:val="DefaultParagraphFont"/>
    <w:uiPriority w:val="99"/>
    <w:unhideWhenUsed/>
    <w:rsid w:val="0056766D"/>
    <w:rPr>
      <w:rFonts w:ascii="Cambria" w:hAnsi="Cambria"/>
      <w:color w:val="0000FF"/>
      <w:u w:val="single"/>
    </w:rPr>
  </w:style>
  <w:style w:type="paragraph" w:customStyle="1" w:styleId="LegalCopy">
    <w:name w:val="Legal Copy"/>
    <w:basedOn w:val="Footer"/>
    <w:rsid w:val="0056766D"/>
  </w:style>
  <w:style w:type="paragraph" w:customStyle="1" w:styleId="LegalSubheading">
    <w:name w:val="Legal Subheading"/>
    <w:basedOn w:val="Footer"/>
    <w:rsid w:val="0056766D"/>
    <w:pPr>
      <w:outlineLvl w:val="1"/>
    </w:pPr>
    <w:rPr>
      <w:b/>
    </w:rPr>
  </w:style>
  <w:style w:type="paragraph" w:styleId="ListBullet">
    <w:name w:val="List Bullet"/>
    <w:basedOn w:val="Normal"/>
    <w:uiPriority w:val="2"/>
    <w:qFormat/>
    <w:rsid w:val="00FC6F56"/>
    <w:pPr>
      <w:numPr>
        <w:numId w:val="1"/>
      </w:numPr>
      <w:spacing w:before="120" w:after="180" w:line="240" w:lineRule="atLeast"/>
    </w:pPr>
    <w:rPr>
      <w:rFonts w:eastAsia="Cambria" w:cs="Times New Roman"/>
      <w:color w:val="000000" w:themeColor="text1"/>
    </w:rPr>
  </w:style>
  <w:style w:type="paragraph" w:styleId="ListBullet2">
    <w:name w:val="List Bullet 2"/>
    <w:basedOn w:val="Normal"/>
    <w:uiPriority w:val="2"/>
    <w:qFormat/>
    <w:rsid w:val="00FC6F56"/>
    <w:pPr>
      <w:numPr>
        <w:ilvl w:val="1"/>
        <w:numId w:val="1"/>
      </w:numPr>
      <w:spacing w:before="120" w:after="180" w:line="240" w:lineRule="atLeast"/>
    </w:pPr>
    <w:rPr>
      <w:rFonts w:eastAsia="Cambria" w:cs="Times New Roman"/>
      <w:color w:val="000000" w:themeColor="text1"/>
    </w:rPr>
  </w:style>
  <w:style w:type="paragraph" w:styleId="ListBullet3">
    <w:name w:val="List Bullet 3"/>
    <w:basedOn w:val="Normal"/>
    <w:uiPriority w:val="2"/>
    <w:qFormat/>
    <w:rsid w:val="00FC6F56"/>
    <w:pPr>
      <w:numPr>
        <w:numId w:val="3"/>
      </w:numPr>
      <w:spacing w:before="120" w:after="180" w:line="240" w:lineRule="atLeast"/>
      <w:ind w:left="1276" w:hanging="425"/>
    </w:pPr>
    <w:rPr>
      <w:rFonts w:eastAsia="Cambria" w:cs="Times New Roman"/>
    </w:rPr>
  </w:style>
  <w:style w:type="numbering" w:customStyle="1" w:styleId="ListBullets">
    <w:name w:val="ListBullets"/>
    <w:uiPriority w:val="99"/>
    <w:locked/>
    <w:rsid w:val="00F02AEC"/>
    <w:pPr>
      <w:numPr>
        <w:numId w:val="1"/>
      </w:numPr>
    </w:pPr>
  </w:style>
  <w:style w:type="paragraph" w:customStyle="1" w:styleId="Numberbullet0">
    <w:name w:val="Number bullet"/>
    <w:basedOn w:val="ListBullet"/>
    <w:uiPriority w:val="2"/>
    <w:qFormat/>
    <w:rsid w:val="00FC6F56"/>
    <w:pPr>
      <w:numPr>
        <w:numId w:val="2"/>
      </w:numPr>
    </w:pPr>
  </w:style>
  <w:style w:type="paragraph" w:customStyle="1" w:styleId="Numberbullet2">
    <w:name w:val="Number bullet 2"/>
    <w:basedOn w:val="ListBullet2"/>
    <w:uiPriority w:val="2"/>
    <w:qFormat/>
    <w:rsid w:val="00F02AEC"/>
    <w:pPr>
      <w:numPr>
        <w:numId w:val="2"/>
      </w:numPr>
      <w:ind w:left="850" w:hanging="425"/>
    </w:pPr>
  </w:style>
  <w:style w:type="paragraph" w:customStyle="1" w:styleId="Numberbullet3">
    <w:name w:val="Number bullet 3"/>
    <w:basedOn w:val="Normal"/>
    <w:uiPriority w:val="2"/>
    <w:qFormat/>
    <w:rsid w:val="00F02AEC"/>
    <w:pPr>
      <w:numPr>
        <w:numId w:val="4"/>
      </w:numPr>
      <w:spacing w:before="120" w:after="180" w:line="240" w:lineRule="atLeast"/>
      <w:ind w:left="1361" w:hanging="397"/>
    </w:pPr>
    <w:rPr>
      <w:rFonts w:ascii="Arial" w:eastAsia="Cambria" w:hAnsi="Arial" w:cs="Times New Roman"/>
      <w:color w:val="333F48"/>
    </w:rPr>
  </w:style>
  <w:style w:type="numbering" w:customStyle="1" w:styleId="NumberBullet">
    <w:name w:val="NumberBullet"/>
    <w:uiPriority w:val="99"/>
    <w:locked/>
    <w:rsid w:val="00F02AEC"/>
    <w:pPr>
      <w:numPr>
        <w:numId w:val="2"/>
      </w:numPr>
    </w:pPr>
  </w:style>
  <w:style w:type="paragraph" w:styleId="Subtitle">
    <w:name w:val="Subtitle"/>
    <w:basedOn w:val="Normal"/>
    <w:link w:val="SubtitleChar"/>
    <w:uiPriority w:val="11"/>
    <w:rsid w:val="00F02AEC"/>
    <w:pPr>
      <w:numPr>
        <w:ilvl w:val="1"/>
      </w:numPr>
      <w:spacing w:after="0" w:line="240" w:lineRule="atLeast"/>
      <w:ind w:left="170"/>
    </w:pPr>
    <w:rPr>
      <w:rFonts w:ascii="Arial" w:eastAsia="Times New Roman" w:hAnsi="Arial" w:cs="Times New Roman"/>
      <w:bCs/>
      <w:iCs/>
      <w:color w:val="006BA6"/>
      <w:sz w:val="40"/>
      <w:szCs w:val="24"/>
    </w:rPr>
  </w:style>
  <w:style w:type="character" w:customStyle="1" w:styleId="SubtitleChar">
    <w:name w:val="Subtitle Char"/>
    <w:basedOn w:val="DefaultParagraphFont"/>
    <w:link w:val="Subtitle"/>
    <w:uiPriority w:val="11"/>
    <w:rsid w:val="00F02AEC"/>
    <w:rPr>
      <w:rFonts w:ascii="Arial" w:eastAsia="Times New Roman" w:hAnsi="Arial" w:cs="Times New Roman"/>
      <w:bCs/>
      <w:iCs/>
      <w:color w:val="006BA6"/>
      <w:sz w:val="40"/>
      <w:szCs w:val="24"/>
    </w:rPr>
  </w:style>
  <w:style w:type="table" w:styleId="TableGrid">
    <w:name w:val="Table Grid"/>
    <w:basedOn w:val="TableNormal"/>
    <w:uiPriority w:val="59"/>
    <w:rsid w:val="00F02AEC"/>
    <w:pPr>
      <w:spacing w:after="0" w:line="240" w:lineRule="auto"/>
    </w:pPr>
    <w:rPr>
      <w:rFonts w:ascii="Cambria" w:eastAsia="Cambria" w:hAnsi="Cambria" w:cs="Times New Roman"/>
      <w:sz w:val="21"/>
      <w:szCs w:val="21"/>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GASignoff">
    <w:name w:val="TGA Signoff"/>
    <w:basedOn w:val="Normal"/>
    <w:rsid w:val="00F02AEC"/>
    <w:pPr>
      <w:spacing w:before="120" w:after="360" w:line="240" w:lineRule="atLeast"/>
      <w:jc w:val="center"/>
    </w:pPr>
    <w:rPr>
      <w:rFonts w:ascii="Arial" w:eastAsia="Cambria" w:hAnsi="Arial" w:cs="Times New Roman"/>
      <w:b/>
      <w:color w:val="333F48"/>
      <w:sz w:val="28"/>
    </w:rPr>
  </w:style>
  <w:style w:type="paragraph" w:styleId="Title">
    <w:name w:val="Title"/>
    <w:link w:val="TitleChar"/>
    <w:uiPriority w:val="10"/>
    <w:rsid w:val="00F02AEC"/>
    <w:pPr>
      <w:spacing w:line="240" w:lineRule="auto"/>
      <w:contextualSpacing/>
      <w:outlineLvl w:val="0"/>
    </w:pPr>
    <w:rPr>
      <w:rFonts w:ascii="Arial" w:eastAsia="Times New Roman" w:hAnsi="Arial" w:cs="Times New Roman"/>
      <w:color w:val="001871"/>
      <w:spacing w:val="5"/>
      <w:kern w:val="28"/>
      <w:sz w:val="52"/>
      <w:szCs w:val="52"/>
    </w:rPr>
  </w:style>
  <w:style w:type="character" w:customStyle="1" w:styleId="TitleChar">
    <w:name w:val="Title Char"/>
    <w:basedOn w:val="DefaultParagraphFont"/>
    <w:link w:val="Title"/>
    <w:uiPriority w:val="10"/>
    <w:rsid w:val="00F02AEC"/>
    <w:rPr>
      <w:rFonts w:ascii="Arial" w:eastAsia="Times New Roman" w:hAnsi="Arial" w:cs="Times New Roman"/>
      <w:color w:val="001871"/>
      <w:spacing w:val="5"/>
      <w:kern w:val="28"/>
      <w:sz w:val="52"/>
      <w:szCs w:val="52"/>
    </w:rPr>
  </w:style>
  <w:style w:type="paragraph" w:styleId="TOC1">
    <w:name w:val="toc 1"/>
    <w:basedOn w:val="Normal"/>
    <w:next w:val="Normal"/>
    <w:uiPriority w:val="39"/>
    <w:unhideWhenUsed/>
    <w:rsid w:val="00F02AEC"/>
    <w:pPr>
      <w:keepNext/>
      <w:keepLines/>
      <w:tabs>
        <w:tab w:val="right" w:leader="underscore" w:pos="8505"/>
      </w:tabs>
      <w:spacing w:before="120" w:after="200" w:line="240" w:lineRule="atLeast"/>
    </w:pPr>
    <w:rPr>
      <w:rFonts w:ascii="Arial" w:eastAsia="Cambria" w:hAnsi="Arial" w:cs="Times New Roman"/>
      <w:b/>
      <w:color w:val="333F48"/>
      <w:sz w:val="32"/>
    </w:rPr>
  </w:style>
  <w:style w:type="paragraph" w:styleId="TOC2">
    <w:name w:val="toc 2"/>
    <w:basedOn w:val="Normal"/>
    <w:next w:val="Normal"/>
    <w:uiPriority w:val="39"/>
    <w:unhideWhenUsed/>
    <w:rsid w:val="00F02AEC"/>
    <w:pPr>
      <w:keepNext/>
      <w:keepLines/>
      <w:tabs>
        <w:tab w:val="right" w:leader="underscore" w:pos="8505"/>
      </w:tabs>
      <w:spacing w:before="120" w:after="100" w:line="240" w:lineRule="atLeast"/>
      <w:ind w:left="425"/>
    </w:pPr>
    <w:rPr>
      <w:rFonts w:ascii="Arial" w:eastAsia="Cambria" w:hAnsi="Arial" w:cs="Times New Roman"/>
      <w:b/>
      <w:color w:val="333F48"/>
      <w:sz w:val="25"/>
    </w:rPr>
  </w:style>
  <w:style w:type="paragraph" w:styleId="TOC3">
    <w:name w:val="toc 3"/>
    <w:basedOn w:val="Normal"/>
    <w:next w:val="Normal"/>
    <w:uiPriority w:val="39"/>
    <w:unhideWhenUsed/>
    <w:rsid w:val="00F02AEC"/>
    <w:pPr>
      <w:keepNext/>
      <w:keepLines/>
      <w:tabs>
        <w:tab w:val="right" w:leader="hyphen" w:pos="8505"/>
      </w:tabs>
      <w:spacing w:before="120" w:after="100" w:line="240" w:lineRule="atLeast"/>
      <w:ind w:left="851"/>
    </w:pPr>
    <w:rPr>
      <w:rFonts w:ascii="Arial" w:eastAsia="Cambria" w:hAnsi="Arial" w:cs="Times New Roman"/>
      <w:b/>
      <w:color w:val="333F48"/>
    </w:rPr>
  </w:style>
  <w:style w:type="paragraph" w:styleId="FootnoteText">
    <w:name w:val="footnote text"/>
    <w:basedOn w:val="Normal"/>
    <w:link w:val="FootnoteTextChar"/>
    <w:qFormat/>
    <w:rsid w:val="00FE087C"/>
    <w:pPr>
      <w:keepLines/>
      <w:spacing w:after="0" w:line="240" w:lineRule="atLeast"/>
    </w:pPr>
    <w:rPr>
      <w:rFonts w:eastAsia="Cambria" w:cs="Times New Roman"/>
      <w:color w:val="333F48"/>
      <w:sz w:val="17"/>
    </w:rPr>
  </w:style>
  <w:style w:type="character" w:customStyle="1" w:styleId="FootnoteTextChar">
    <w:name w:val="Footnote Text Char"/>
    <w:basedOn w:val="DefaultParagraphFont"/>
    <w:link w:val="FootnoteText"/>
    <w:rsid w:val="00FE087C"/>
    <w:rPr>
      <w:rFonts w:ascii="Cambria" w:eastAsia="Cambria" w:hAnsi="Cambria" w:cs="Times New Roman"/>
      <w:color w:val="333F48"/>
      <w:sz w:val="17"/>
    </w:rPr>
  </w:style>
  <w:style w:type="character" w:styleId="FootnoteReference">
    <w:name w:val="footnote reference"/>
    <w:basedOn w:val="DefaultParagraphFont"/>
    <w:uiPriority w:val="99"/>
    <w:unhideWhenUsed/>
    <w:rsid w:val="00F02AEC"/>
    <w:rPr>
      <w:vertAlign w:val="superscript"/>
    </w:rPr>
  </w:style>
  <w:style w:type="paragraph" w:customStyle="1" w:styleId="NonTOCheading2">
    <w:name w:val="Non TOC heading 2"/>
    <w:basedOn w:val="Normal"/>
    <w:next w:val="Normal"/>
    <w:rsid w:val="00F02AEC"/>
    <w:pPr>
      <w:keepNext/>
      <w:keepLines/>
      <w:pageBreakBefore/>
      <w:spacing w:after="180" w:line="240" w:lineRule="atLeast"/>
      <w:outlineLvl w:val="1"/>
    </w:pPr>
    <w:rPr>
      <w:rFonts w:ascii="Arial" w:eastAsia="Cambria" w:hAnsi="Arial" w:cs="Times New Roman"/>
      <w:b/>
      <w:color w:val="001871"/>
      <w:sz w:val="38"/>
    </w:rPr>
  </w:style>
  <w:style w:type="paragraph" w:customStyle="1" w:styleId="Headernoline">
    <w:name w:val="Header no line"/>
    <w:basedOn w:val="Header"/>
    <w:rsid w:val="00F02AEC"/>
    <w:pPr>
      <w:pBdr>
        <w:bottom w:val="none" w:sz="0" w:space="0" w:color="auto"/>
      </w:pBdr>
      <w:spacing w:line="240" w:lineRule="atLeast"/>
    </w:pPr>
  </w:style>
  <w:style w:type="paragraph" w:customStyle="1" w:styleId="Address">
    <w:name w:val="Address"/>
    <w:basedOn w:val="Normal"/>
    <w:rsid w:val="00F02AEC"/>
    <w:pPr>
      <w:spacing w:after="0" w:line="240" w:lineRule="auto"/>
    </w:pPr>
    <w:rPr>
      <w:rFonts w:ascii="Arial" w:eastAsia="Cambria" w:hAnsi="Arial" w:cs="Times New Roman"/>
      <w:color w:val="333F48"/>
      <w:sz w:val="21"/>
    </w:rPr>
  </w:style>
  <w:style w:type="paragraph" w:customStyle="1" w:styleId="ListBullet-dotick">
    <w:name w:val="List Bullet - do (tick)"/>
    <w:basedOn w:val="ListBullet"/>
    <w:autoRedefine/>
    <w:uiPriority w:val="1"/>
    <w:rsid w:val="00F02AEC"/>
    <w:pPr>
      <w:numPr>
        <w:numId w:val="5"/>
      </w:numPr>
      <w:tabs>
        <w:tab w:val="left" w:pos="425"/>
      </w:tabs>
    </w:pPr>
  </w:style>
  <w:style w:type="paragraph" w:customStyle="1" w:styleId="ListBullet-donotcross">
    <w:name w:val="List Bullet - do not (cross)"/>
    <w:basedOn w:val="ListBullet"/>
    <w:autoRedefine/>
    <w:uiPriority w:val="1"/>
    <w:rsid w:val="00F02AEC"/>
    <w:pPr>
      <w:numPr>
        <w:numId w:val="6"/>
      </w:numPr>
      <w:ind w:left="357" w:hanging="357"/>
    </w:pPr>
    <w:rPr>
      <w:rFonts w:eastAsiaTheme="minorHAnsi" w:cstheme="minorBidi"/>
      <w:szCs w:val="22"/>
    </w:rPr>
  </w:style>
  <w:style w:type="table" w:customStyle="1" w:styleId="TGABlack2023">
    <w:name w:val="TGA Black 2023"/>
    <w:basedOn w:val="TableTGAblue2023"/>
    <w:uiPriority w:val="99"/>
    <w:rsid w:val="00FA49C3"/>
    <w:pPr>
      <w:spacing w:line="240" w:lineRule="auto"/>
    </w:pPr>
    <w:tblPr>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Pr>
    <w:tblStylePr w:type="firstRow">
      <w:pPr>
        <w:keepNext/>
        <w:wordWrap/>
      </w:pPr>
      <w:rPr>
        <w:rFonts w:ascii="Arial" w:hAnsi="Arial"/>
        <w:b/>
        <w:color w:val="FFFFFF" w:themeColor="background1"/>
        <w:sz w:val="22"/>
      </w:rPr>
      <w:tblPr/>
      <w:trPr>
        <w:tblHeader/>
      </w:trPr>
      <w:tcPr>
        <w:shd w:val="clear" w:color="auto" w:fill="171717" w:themeFill="background2" w:themeFillShade="1A"/>
      </w:tcPr>
    </w:tblStylePr>
    <w:tblStylePr w:type="firstCol">
      <w:pPr>
        <w:keepNext w:val="0"/>
        <w:wordWrap/>
      </w:pPr>
    </w:tblStylePr>
  </w:style>
  <w:style w:type="paragraph" w:customStyle="1" w:styleId="NonTOCHeading20">
    <w:name w:val="Non TOC Heading 2"/>
    <w:basedOn w:val="Normal"/>
    <w:rsid w:val="00346EC2"/>
    <w:pPr>
      <w:spacing w:before="240" w:line="240" w:lineRule="atLeast"/>
      <w:outlineLvl w:val="1"/>
    </w:pPr>
    <w:rPr>
      <w:rFonts w:ascii="Arial" w:eastAsia="Cambria" w:hAnsi="Arial" w:cs="Times New Roman"/>
      <w:b/>
      <w:sz w:val="32"/>
      <w:szCs w:val="22"/>
    </w:rPr>
  </w:style>
  <w:style w:type="table" w:customStyle="1" w:styleId="TableTGAblue">
    <w:name w:val="Table TGA blue"/>
    <w:basedOn w:val="TableNormal"/>
    <w:uiPriority w:val="99"/>
    <w:qFormat/>
    <w:rsid w:val="00324B33"/>
    <w:pPr>
      <w:spacing w:after="0" w:line="240" w:lineRule="auto"/>
      <w:ind w:left="170" w:right="170"/>
    </w:pPr>
    <w:rPr>
      <w:rFonts w:ascii="Cambria" w:hAnsi="Cambria" w:cs="Times New Roman"/>
      <w:color w:val="000000" w:themeColor="text1"/>
      <w:sz w:val="22"/>
      <w:szCs w:val="21"/>
      <w:lang w:eastAsia="en-AU"/>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keepNext/>
        <w:wordWrap/>
      </w:pPr>
      <w:rPr>
        <w:rFonts w:ascii="Cambria" w:hAnsi="Cambria"/>
        <w:b/>
        <w:color w:val="FFFFFF" w:themeColor="background1"/>
        <w:sz w:val="22"/>
      </w:rPr>
      <w:tblPr/>
      <w:trPr>
        <w:tblHeader/>
      </w:tr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6DA7"/>
      </w:tcPr>
    </w:tblStylePr>
  </w:style>
  <w:style w:type="paragraph" w:customStyle="1" w:styleId="Instructions">
    <w:name w:val="Instructions"/>
    <w:basedOn w:val="Normal"/>
    <w:next w:val="Normal"/>
    <w:uiPriority w:val="1"/>
    <w:qFormat/>
    <w:rsid w:val="00324B33"/>
    <w:pPr>
      <w:spacing w:before="120" w:line="240" w:lineRule="atLeast"/>
    </w:pPr>
    <w:rPr>
      <w:rFonts w:eastAsia="Cambria" w:cs="Times New Roman"/>
      <w:i/>
      <w:color w:val="007099"/>
      <w:szCs w:val="22"/>
    </w:rPr>
  </w:style>
  <w:style w:type="paragraph" w:customStyle="1" w:styleId="TableTitle">
    <w:name w:val="Table Title"/>
    <w:basedOn w:val="Normal"/>
    <w:rsid w:val="00324B33"/>
    <w:pPr>
      <w:keepNext/>
      <w:spacing w:before="120" w:line="240" w:lineRule="atLeast"/>
    </w:pPr>
    <w:rPr>
      <w:rFonts w:eastAsia="Cambria" w:cs="Times New Roman"/>
      <w:b/>
      <w:szCs w:val="22"/>
    </w:rPr>
  </w:style>
  <w:style w:type="paragraph" w:customStyle="1" w:styleId="TableDescription">
    <w:name w:val="Table Description"/>
    <w:basedOn w:val="Normal"/>
    <w:qFormat/>
    <w:rsid w:val="00854D98"/>
    <w:pPr>
      <w:spacing w:before="120" w:line="240" w:lineRule="auto"/>
    </w:pPr>
    <w:rPr>
      <w:rFonts w:eastAsia="Cambria" w:cs="Times New Roman"/>
      <w:sz w:val="18"/>
      <w:szCs w:val="19"/>
    </w:rPr>
  </w:style>
  <w:style w:type="character" w:styleId="CommentReference">
    <w:name w:val="annotation reference"/>
    <w:basedOn w:val="DefaultParagraphFont"/>
    <w:uiPriority w:val="99"/>
    <w:semiHidden/>
    <w:unhideWhenUsed/>
    <w:rsid w:val="00E47E0C"/>
    <w:rPr>
      <w:sz w:val="16"/>
      <w:szCs w:val="16"/>
    </w:rPr>
  </w:style>
  <w:style w:type="paragraph" w:styleId="CommentText">
    <w:name w:val="annotation text"/>
    <w:basedOn w:val="Normal"/>
    <w:link w:val="CommentTextChar"/>
    <w:uiPriority w:val="99"/>
    <w:unhideWhenUsed/>
    <w:rsid w:val="00E47E0C"/>
    <w:pPr>
      <w:spacing w:line="240" w:lineRule="auto"/>
    </w:pPr>
  </w:style>
  <w:style w:type="character" w:customStyle="1" w:styleId="CommentTextChar">
    <w:name w:val="Comment Text Char"/>
    <w:basedOn w:val="DefaultParagraphFont"/>
    <w:link w:val="CommentText"/>
    <w:uiPriority w:val="99"/>
    <w:rsid w:val="00E47E0C"/>
    <w:rPr>
      <w:rFonts w:ascii="Cambria" w:hAnsi="Cambria"/>
    </w:rPr>
  </w:style>
  <w:style w:type="paragraph" w:styleId="CommentSubject">
    <w:name w:val="annotation subject"/>
    <w:basedOn w:val="CommentText"/>
    <w:next w:val="CommentText"/>
    <w:link w:val="CommentSubjectChar"/>
    <w:uiPriority w:val="99"/>
    <w:semiHidden/>
    <w:unhideWhenUsed/>
    <w:rsid w:val="00E47E0C"/>
    <w:rPr>
      <w:b/>
      <w:bCs/>
    </w:rPr>
  </w:style>
  <w:style w:type="character" w:customStyle="1" w:styleId="CommentSubjectChar">
    <w:name w:val="Comment Subject Char"/>
    <w:basedOn w:val="CommentTextChar"/>
    <w:link w:val="CommentSubject"/>
    <w:uiPriority w:val="99"/>
    <w:semiHidden/>
    <w:rsid w:val="00E47E0C"/>
    <w:rPr>
      <w:rFonts w:ascii="Cambria" w:hAnsi="Cambria"/>
      <w:b/>
      <w:bCs/>
    </w:rPr>
  </w:style>
  <w:style w:type="paragraph" w:styleId="BalloonText">
    <w:name w:val="Balloon Text"/>
    <w:basedOn w:val="Normal"/>
    <w:link w:val="BalloonTextChar"/>
    <w:uiPriority w:val="99"/>
    <w:semiHidden/>
    <w:unhideWhenUsed/>
    <w:rsid w:val="00D637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760"/>
    <w:rPr>
      <w:rFonts w:ascii="Segoe UI" w:hAnsi="Segoe UI" w:cs="Segoe UI"/>
      <w:sz w:val="18"/>
      <w:szCs w:val="18"/>
    </w:rPr>
  </w:style>
  <w:style w:type="character" w:styleId="FollowedHyperlink">
    <w:name w:val="FollowedHyperlink"/>
    <w:basedOn w:val="DefaultParagraphFont"/>
    <w:uiPriority w:val="99"/>
    <w:semiHidden/>
    <w:unhideWhenUsed/>
    <w:rsid w:val="001C1C2E"/>
    <w:rPr>
      <w:color w:val="954F72" w:themeColor="followedHyperlink"/>
      <w:u w:val="single"/>
    </w:rPr>
  </w:style>
  <w:style w:type="paragraph" w:styleId="Revision">
    <w:name w:val="Revision"/>
    <w:hidden/>
    <w:uiPriority w:val="99"/>
    <w:semiHidden/>
    <w:rsid w:val="008964B3"/>
    <w:pPr>
      <w:spacing w:after="0" w:line="240" w:lineRule="auto"/>
    </w:pPr>
    <w:rPr>
      <w:rFonts w:ascii="Cambria" w:hAnsi="Cambria"/>
    </w:rPr>
  </w:style>
  <w:style w:type="character" w:styleId="UnresolvedMention">
    <w:name w:val="Unresolved Mention"/>
    <w:basedOn w:val="DefaultParagraphFont"/>
    <w:uiPriority w:val="99"/>
    <w:semiHidden/>
    <w:unhideWhenUsed/>
    <w:rsid w:val="00966EF1"/>
    <w:rPr>
      <w:color w:val="605E5C"/>
      <w:shd w:val="clear" w:color="auto" w:fill="E1DFDD"/>
    </w:rPr>
  </w:style>
  <w:style w:type="paragraph" w:customStyle="1" w:styleId="TableText">
    <w:name w:val="Table Text"/>
    <w:basedOn w:val="FootnoteText"/>
    <w:qFormat/>
    <w:rsid w:val="005B69CF"/>
    <w:rPr>
      <w:color w:val="000000" w:themeColor="text1"/>
      <w:sz w:val="22"/>
      <w:lang w:val="en-GB"/>
    </w:rPr>
  </w:style>
  <w:style w:type="paragraph" w:customStyle="1" w:styleId="FigureTitle">
    <w:name w:val="Figure Title"/>
    <w:basedOn w:val="Normal"/>
    <w:qFormat/>
    <w:rsid w:val="00AB0613"/>
    <w:pPr>
      <w:keepNext/>
    </w:pPr>
    <w:rPr>
      <w:b/>
    </w:rPr>
  </w:style>
  <w:style w:type="paragraph" w:styleId="Caption">
    <w:name w:val="caption"/>
    <w:basedOn w:val="Normal"/>
    <w:next w:val="Normal"/>
    <w:uiPriority w:val="35"/>
    <w:unhideWhenUsed/>
    <w:qFormat/>
    <w:rsid w:val="0098350E"/>
    <w:pPr>
      <w:spacing w:after="200" w:line="240" w:lineRule="auto"/>
    </w:pPr>
    <w:rPr>
      <w:i/>
      <w:iCs/>
      <w:color w:val="44546A" w:themeColor="text2"/>
      <w:sz w:val="18"/>
      <w:szCs w:val="18"/>
    </w:rPr>
  </w:style>
  <w:style w:type="paragraph" w:customStyle="1" w:styleId="FigureDescription">
    <w:name w:val="Figure Description"/>
    <w:basedOn w:val="FigureTitle"/>
    <w:qFormat/>
    <w:rsid w:val="0010558A"/>
    <w:pPr>
      <w:spacing w:before="120"/>
    </w:pPr>
    <w:rPr>
      <w:b w:val="0"/>
      <w:sz w:val="19"/>
    </w:rPr>
  </w:style>
  <w:style w:type="paragraph" w:styleId="ListParagraph">
    <w:name w:val="List Paragraph"/>
    <w:basedOn w:val="Normal"/>
    <w:link w:val="ListParagraphChar"/>
    <w:uiPriority w:val="34"/>
    <w:qFormat/>
    <w:rsid w:val="006B7126"/>
    <w:pPr>
      <w:spacing w:after="160"/>
      <w:ind w:left="720"/>
      <w:contextualSpacing/>
    </w:pPr>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B7126"/>
    <w:rPr>
      <w:rFonts w:ascii="Times New Roman" w:hAnsi="Times New Roman" w:cs="Times New Roman"/>
      <w:sz w:val="24"/>
      <w:szCs w:val="24"/>
    </w:rPr>
  </w:style>
  <w:style w:type="paragraph" w:customStyle="1" w:styleId="Indication">
    <w:name w:val="Indication"/>
    <w:basedOn w:val="Normal"/>
    <w:next w:val="Normal"/>
    <w:qFormat/>
    <w:rsid w:val="00BA3F6D"/>
    <w:pPr>
      <w:spacing w:before="120" w:line="240" w:lineRule="atLeast"/>
      <w:ind w:left="720"/>
      <w:contextualSpacing/>
    </w:pPr>
    <w:rPr>
      <w:i/>
      <w:color w:val="000000" w:themeColor="text1"/>
    </w:rPr>
  </w:style>
  <w:style w:type="paragraph" w:customStyle="1" w:styleId="DelegatesQuestions">
    <w:name w:val="Delegate's Questions"/>
    <w:basedOn w:val="Numberbullet0"/>
    <w:qFormat/>
    <w:rsid w:val="007575D0"/>
    <w:rPr>
      <w:b/>
      <w:bCs/>
      <w:i/>
      <w:iCs/>
    </w:rPr>
  </w:style>
  <w:style w:type="paragraph" w:styleId="EndnoteText">
    <w:name w:val="endnote text"/>
    <w:basedOn w:val="Normal"/>
    <w:link w:val="EndnoteTextChar"/>
    <w:uiPriority w:val="99"/>
    <w:semiHidden/>
    <w:unhideWhenUsed/>
    <w:rsid w:val="003268D4"/>
    <w:pPr>
      <w:spacing w:after="0" w:line="240" w:lineRule="auto"/>
    </w:pPr>
    <w:rPr>
      <w:sz w:val="20"/>
    </w:rPr>
  </w:style>
  <w:style w:type="character" w:customStyle="1" w:styleId="EndnoteTextChar">
    <w:name w:val="Endnote Text Char"/>
    <w:basedOn w:val="DefaultParagraphFont"/>
    <w:link w:val="EndnoteText"/>
    <w:uiPriority w:val="99"/>
    <w:semiHidden/>
    <w:rsid w:val="003268D4"/>
    <w:rPr>
      <w:rFonts w:ascii="Cambria" w:hAnsi="Cambria"/>
    </w:rPr>
  </w:style>
  <w:style w:type="character" w:styleId="EndnoteReference">
    <w:name w:val="endnote reference"/>
    <w:basedOn w:val="DefaultParagraphFont"/>
    <w:uiPriority w:val="99"/>
    <w:semiHidden/>
    <w:unhideWhenUsed/>
    <w:rsid w:val="003268D4"/>
    <w:rPr>
      <w:vertAlign w:val="superscript"/>
    </w:rPr>
  </w:style>
  <w:style w:type="paragraph" w:customStyle="1" w:styleId="Default">
    <w:name w:val="Default"/>
    <w:rsid w:val="000710B8"/>
    <w:pPr>
      <w:autoSpaceDE w:val="0"/>
      <w:autoSpaceDN w:val="0"/>
      <w:adjustRightInd w:val="0"/>
      <w:spacing w:after="0" w:line="240" w:lineRule="auto"/>
    </w:pPr>
    <w:rPr>
      <w:rFonts w:ascii="Cambria" w:hAnsi="Cambria" w:cs="Cambria"/>
      <w:color w:val="000000"/>
      <w:sz w:val="24"/>
      <w:szCs w:val="24"/>
    </w:rPr>
  </w:style>
  <w:style w:type="character" w:customStyle="1" w:styleId="Heading7Char">
    <w:name w:val="Heading 7 Char"/>
    <w:basedOn w:val="DefaultParagraphFont"/>
    <w:link w:val="Heading7"/>
    <w:uiPriority w:val="9"/>
    <w:rsid w:val="004B112C"/>
    <w:rPr>
      <w:rFonts w:asciiTheme="majorHAnsi" w:eastAsiaTheme="majorEastAsia" w:hAnsiTheme="majorHAnsi" w:cstheme="majorBidi"/>
      <w:i/>
      <w:iCs/>
      <w:color w:val="1F3763" w:themeColor="accent1" w:themeShade="7F"/>
      <w:sz w:val="22"/>
    </w:rPr>
  </w:style>
  <w:style w:type="character" w:customStyle="1" w:styleId="Heading8Char">
    <w:name w:val="Heading 8 Char"/>
    <w:basedOn w:val="DefaultParagraphFont"/>
    <w:link w:val="Heading8"/>
    <w:uiPriority w:val="9"/>
    <w:rsid w:val="009C4D75"/>
    <w:rPr>
      <w:rFonts w:asciiTheme="majorHAnsi" w:eastAsiaTheme="majorEastAsia" w:hAnsiTheme="majorHAnsi" w:cstheme="majorBidi"/>
      <w:color w:val="272727" w:themeColor="text1" w:themeTint="D8"/>
      <w:sz w:val="21"/>
      <w:szCs w:val="21"/>
    </w:rPr>
  </w:style>
  <w:style w:type="character" w:styleId="PageNumber">
    <w:name w:val="page number"/>
    <w:basedOn w:val="DefaultParagraphFont"/>
    <w:uiPriority w:val="99"/>
    <w:semiHidden/>
    <w:unhideWhenUsed/>
    <w:rsid w:val="004906FA"/>
  </w:style>
  <w:style w:type="paragraph" w:customStyle="1" w:styleId="Bulletlist">
    <w:name w:val="Bullet list"/>
    <w:basedOn w:val="Normal"/>
    <w:link w:val="BulletlistChar"/>
    <w:qFormat/>
    <w:rsid w:val="00301825"/>
    <w:pPr>
      <w:numPr>
        <w:numId w:val="28"/>
      </w:numPr>
      <w:spacing w:after="180" w:line="252" w:lineRule="auto"/>
      <w:ind w:left="426" w:hanging="284"/>
    </w:pPr>
    <w:rPr>
      <w:rFonts w:eastAsia="Times New Roman" w:cs="Times New Roman"/>
      <w:snapToGrid w:val="0"/>
      <w:kern w:val="2"/>
      <w:sz w:val="23"/>
      <w:szCs w:val="22"/>
    </w:rPr>
  </w:style>
  <w:style w:type="character" w:customStyle="1" w:styleId="BulletlistChar">
    <w:name w:val="Bullet list Char"/>
    <w:basedOn w:val="DefaultParagraphFont"/>
    <w:link w:val="Bulletlist"/>
    <w:rsid w:val="00301825"/>
    <w:rPr>
      <w:rFonts w:ascii="Cambria" w:eastAsia="Times New Roman" w:hAnsi="Cambria" w:cs="Times New Roman"/>
      <w:snapToGrid w:val="0"/>
      <w:kern w:val="2"/>
      <w:sz w:val="23"/>
      <w:szCs w:val="22"/>
    </w:rPr>
  </w:style>
  <w:style w:type="paragraph" w:customStyle="1" w:styleId="Standard">
    <w:name w:val="Standard"/>
    <w:basedOn w:val="Normal"/>
    <w:link w:val="StandardChar"/>
    <w:qFormat/>
    <w:rsid w:val="00863132"/>
    <w:pPr>
      <w:spacing w:after="220" w:line="252" w:lineRule="auto"/>
    </w:pPr>
    <w:rPr>
      <w:rFonts w:eastAsia="Times New Roman" w:cs="Times New Roman"/>
      <w:snapToGrid w:val="0"/>
      <w:kern w:val="16"/>
      <w:sz w:val="23"/>
      <w:szCs w:val="24"/>
    </w:rPr>
  </w:style>
  <w:style w:type="character" w:customStyle="1" w:styleId="StandardChar">
    <w:name w:val="Standard Char"/>
    <w:basedOn w:val="DefaultParagraphFont"/>
    <w:link w:val="Standard"/>
    <w:rsid w:val="00863132"/>
    <w:rPr>
      <w:rFonts w:ascii="Cambria" w:eastAsia="Times New Roman" w:hAnsi="Cambria" w:cs="Times New Roman"/>
      <w:snapToGrid w:val="0"/>
      <w:kern w:val="16"/>
      <w:sz w:val="23"/>
      <w:szCs w:val="24"/>
    </w:rPr>
  </w:style>
  <w:style w:type="paragraph" w:customStyle="1" w:styleId="Tabletext0">
    <w:name w:val="Table text"/>
    <w:basedOn w:val="Standard"/>
    <w:link w:val="TabletextChar"/>
    <w:qFormat/>
    <w:rsid w:val="00863132"/>
    <w:pPr>
      <w:spacing w:before="20" w:after="20"/>
    </w:pPr>
  </w:style>
  <w:style w:type="character" w:customStyle="1" w:styleId="TabletextChar">
    <w:name w:val="Table text Char"/>
    <w:basedOn w:val="StandardChar"/>
    <w:link w:val="Tabletext0"/>
    <w:rsid w:val="00863132"/>
    <w:rPr>
      <w:rFonts w:ascii="Cambria" w:eastAsia="Times New Roman" w:hAnsi="Cambria" w:cs="Times New Roman"/>
      <w:snapToGrid w:val="0"/>
      <w:kern w:val="16"/>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003631">
      <w:bodyDiv w:val="1"/>
      <w:marLeft w:val="0"/>
      <w:marRight w:val="0"/>
      <w:marTop w:val="0"/>
      <w:marBottom w:val="0"/>
      <w:divBdr>
        <w:top w:val="none" w:sz="0" w:space="0" w:color="auto"/>
        <w:left w:val="none" w:sz="0" w:space="0" w:color="auto"/>
        <w:bottom w:val="none" w:sz="0" w:space="0" w:color="auto"/>
        <w:right w:val="none" w:sz="0" w:space="0" w:color="auto"/>
      </w:divBdr>
    </w:div>
    <w:div w:id="624115028">
      <w:bodyDiv w:val="1"/>
      <w:marLeft w:val="0"/>
      <w:marRight w:val="0"/>
      <w:marTop w:val="0"/>
      <w:marBottom w:val="0"/>
      <w:divBdr>
        <w:top w:val="none" w:sz="0" w:space="0" w:color="auto"/>
        <w:left w:val="none" w:sz="0" w:space="0" w:color="auto"/>
        <w:bottom w:val="none" w:sz="0" w:space="0" w:color="auto"/>
        <w:right w:val="none" w:sz="0" w:space="0" w:color="auto"/>
      </w:divBdr>
    </w:div>
    <w:div w:id="695735718">
      <w:bodyDiv w:val="1"/>
      <w:marLeft w:val="0"/>
      <w:marRight w:val="0"/>
      <w:marTop w:val="0"/>
      <w:marBottom w:val="0"/>
      <w:divBdr>
        <w:top w:val="none" w:sz="0" w:space="0" w:color="auto"/>
        <w:left w:val="none" w:sz="0" w:space="0" w:color="auto"/>
        <w:bottom w:val="none" w:sz="0" w:space="0" w:color="auto"/>
        <w:right w:val="none" w:sz="0" w:space="0" w:color="auto"/>
      </w:divBdr>
    </w:div>
    <w:div w:id="129370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tga.gov.au/australian-public-assessment-report-auspar-guidance" TargetMode="External"/><Relationship Id="rId26" Type="http://schemas.openxmlformats.org/officeDocument/2006/relationships/image" Target="media/image5.png"/><Relationship Id="rId39" Type="http://schemas.openxmlformats.org/officeDocument/2006/relationships/hyperlink" Target="https://www.ebs.tga.gov.au/" TargetMode="External"/><Relationship Id="rId21" Type="http://schemas.openxmlformats.org/officeDocument/2006/relationships/hyperlink" Target="https://www.tga.gov.au/products/medicines/find-information-about-medicine/prescribing-medicines-pregnancy-database" TargetMode="External"/><Relationship Id="rId34" Type="http://schemas.openxmlformats.org/officeDocument/2006/relationships/image" Target="media/image13.png"/><Relationship Id="rId42" Type="http://schemas.openxmlformats.org/officeDocument/2006/relationships/hyperlink" Target="mailto:info@tga.gov.au"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tga.gov.au/how-we-regulate/supply-therapeutic-good-0/supply-prescription-medicine/application-process/prescription-medicines-registration-process" TargetMode="External"/><Relationship Id="rId32" Type="http://schemas.openxmlformats.org/officeDocument/2006/relationships/image" Target="media/image11.png"/><Relationship Id="rId37" Type="http://schemas.openxmlformats.org/officeDocument/2006/relationships/hyperlink" Target="https://www.tga.gov.au/resources/resources/forms/certified-product-details-cpd-biological-prescription-medicines" TargetMode="External"/><Relationship Id="rId40" Type="http://schemas.openxmlformats.org/officeDocument/2006/relationships/header" Target="header4.xml"/><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tga.gov.au/project-orbis" TargetMode="External"/><Relationship Id="rId28" Type="http://schemas.openxmlformats.org/officeDocument/2006/relationships/image" Target="media/image7.png"/><Relationship Id="rId36"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hyperlink" Target="mailto:tga.copyright@tga.gov.au" TargetMode="External"/><Relationship Id="rId31" Type="http://schemas.openxmlformats.org/officeDocument/2006/relationships/image" Target="media/image10.png"/><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tga.gov.au/obstetric-drug-information-services"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hyperlink" Target="https://www.tga.gov.a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tga.gov.au/"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hyperlink" Target="https://www.tga.gov.au/resources/guidance/submitting-certified-product-details-cpd-biological-prescription-medicines" TargetMode="External"/><Relationship Id="rId46" Type="http://schemas.openxmlformats.org/officeDocument/2006/relationships/fontTable" Target="fontTable.xml"/><Relationship Id="rId20" Type="http://schemas.openxmlformats.org/officeDocument/2006/relationships/hyperlink" Target="https://www.tga.gov.au/black-triangle-scheme" TargetMode="External"/><Relationship Id="rId41" Type="http://schemas.openxmlformats.org/officeDocument/2006/relationships/footer" Target="footer4.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AEEAB94B6E7BF4D82CC7AB5837C7E12" ma:contentTypeVersion="18" ma:contentTypeDescription="Create a new document." ma:contentTypeScope="" ma:versionID="7c0f7842f043eac1785a208a41fe102a">
  <xsd:schema xmlns:xsd="http://www.w3.org/2001/XMLSchema" xmlns:xs="http://www.w3.org/2001/XMLSchema" xmlns:p="http://schemas.microsoft.com/office/2006/metadata/properties" xmlns:ns2="218427f7-0fac-499f-a9bd-c5aaaef62773" xmlns:ns3="a8645b62-c0be-40bd-a6a9-e69793bf1150" targetNamespace="http://schemas.microsoft.com/office/2006/metadata/properties" ma:root="true" ma:fieldsID="3a8f3d556d9d705056eb63fce675bb21" ns2:_="" ns3:_="">
    <xsd:import namespace="218427f7-0fac-499f-a9bd-c5aaaef62773"/>
    <xsd:import namespace="a8645b62-c0be-40bd-a6a9-e69793bf11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427f7-0fac-499f-a9bd-c5aaaef62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13d6e60-30ef-4734-8f61-aafe6c6dec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mments" ma:index="25"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645b62-c0be-40bd-a6a9-e69793bf11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500d12-5890-4896-9c88-c48492663dc9}" ma:internalName="TaxCatchAll" ma:showField="CatchAllData" ma:web="a8645b62-c0be-40bd-a6a9-e69793bf11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8427f7-0fac-499f-a9bd-c5aaaef62773">
      <Terms xmlns="http://schemas.microsoft.com/office/infopath/2007/PartnerControls"/>
    </lcf76f155ced4ddcb4097134ff3c332f>
    <Comments xmlns="218427f7-0fac-499f-a9bd-c5aaaef62773" xsi:nil="true"/>
    <TaxCatchAll xmlns="a8645b62-c0be-40bd-a6a9-e69793bf1150" xsi:nil="true"/>
  </documentManagement>
</p:properties>
</file>

<file path=customXml/itemProps1.xml><?xml version="1.0" encoding="utf-8"?>
<ds:datastoreItem xmlns:ds="http://schemas.openxmlformats.org/officeDocument/2006/customXml" ds:itemID="{6F239904-B1F9-4C57-8775-FA0FFEE215F2}">
  <ds:schemaRefs>
    <ds:schemaRef ds:uri="http://schemas.microsoft.com/sharepoint/v3/contenttype/forms"/>
  </ds:schemaRefs>
</ds:datastoreItem>
</file>

<file path=customXml/itemProps2.xml><?xml version="1.0" encoding="utf-8"?>
<ds:datastoreItem xmlns:ds="http://schemas.openxmlformats.org/officeDocument/2006/customXml" ds:itemID="{5911AE68-6449-47E6-9F10-0220946BAFE5}">
  <ds:schemaRefs>
    <ds:schemaRef ds:uri="http://schemas.openxmlformats.org/officeDocument/2006/bibliography"/>
  </ds:schemaRefs>
</ds:datastoreItem>
</file>

<file path=customXml/itemProps3.xml><?xml version="1.0" encoding="utf-8"?>
<ds:datastoreItem xmlns:ds="http://schemas.openxmlformats.org/officeDocument/2006/customXml" ds:itemID="{DDC749C0-DA63-4D11-8B27-01FD40195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427f7-0fac-499f-a9bd-c5aaaef62773"/>
    <ds:schemaRef ds:uri="a8645b62-c0be-40bd-a6a9-e69793bf1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F4F244-B7E8-4765-8405-8A9EE029B38A}">
  <ds:schemaRefs>
    <ds:schemaRef ds:uri="http://schemas.microsoft.com/office/2006/metadata/properties"/>
    <ds:schemaRef ds:uri="http://schemas.microsoft.com/office/infopath/2007/PartnerControls"/>
    <ds:schemaRef ds:uri="218427f7-0fac-499f-a9bd-c5aaaef62773"/>
    <ds:schemaRef ds:uri="a8645b62-c0be-40bd-a6a9-e69793bf1150"/>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39</Pages>
  <Words>11875</Words>
  <Characters>67693</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Australian public assessment report for</vt:lpstr>
    </vt:vector>
  </TitlesOfParts>
  <Company>Department of Health, Disability and Ageing</Company>
  <LinksUpToDate>false</LinksUpToDate>
  <CharactersWithSpaces>79410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public assessment report for Tuoyi (Zytorvi)</dc:title>
  <dc:subject>Prescription medicines</dc:subject>
  <dc:creator>Therapeutic Goods Administration</dc:creator>
  <cp:keywords/>
  <dc:description/>
  <cp:lastModifiedBy>LACK, Janet</cp:lastModifiedBy>
  <cp:revision>3</cp:revision>
  <dcterms:created xsi:type="dcterms:W3CDTF">2026-07-05T22:55:00Z</dcterms:created>
  <dcterms:modified xsi:type="dcterms:W3CDTF">2026-07-05T23:06:00Z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48c0e39b,60f1b3bd,33dae6e1,7507f474,575bd30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7e282a4a,994c871,4c0439f0,615ee556,285eda09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2026-02-24T05:09:39Z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e6c271ff-d1d0-47ed-8240-a1a1720452d2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0x0101004AEEAB94B6E7BF4D82CC7AB5837C7E12</vt:lpwstr>
  </property>
  <property fmtid="{D5CDD505-2E9C-101B-9397-08002B2CF9AE}" pid="17" name="docLang">
    <vt:lpwstr>en</vt:lpwstr>
  </property>
  <property fmtid="{D5CDD505-2E9C-101B-9397-08002B2CF9AE}" pid="18" name="MediaServiceImageTags">
    <vt:lpwstr/>
  </property>
</Properties>
</file>