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5414A81A" w:rsidR="00F02AEC" w:rsidRPr="00215D48" w:rsidRDefault="00346EC2" w:rsidP="007452E8">
            <w:pPr>
              <w:pStyle w:val="Title"/>
            </w:pPr>
            <w:r w:rsidRPr="00346EC2">
              <w:t>Australian Public Assessment Report for</w:t>
            </w:r>
            <w:r w:rsidR="00142052">
              <w:t xml:space="preserve"> </w:t>
            </w:r>
            <w:r w:rsidR="00717D6E">
              <w:t>Tuoyi (</w:t>
            </w:r>
            <w:r w:rsidR="00EC7A92">
              <w:t>Zytorvi</w:t>
            </w:r>
            <w:r w:rsidR="00717D6E">
              <w:t>)</w:t>
            </w:r>
          </w:p>
        </w:tc>
      </w:tr>
      <w:tr w:rsidR="00F02AEC" w:rsidRPr="00215D48" w14:paraId="318A40A3" w14:textId="77777777" w:rsidTr="00346EC2">
        <w:trPr>
          <w:trHeight w:val="995"/>
        </w:trPr>
        <w:tc>
          <w:tcPr>
            <w:tcW w:w="8720" w:type="dxa"/>
          </w:tcPr>
          <w:p w14:paraId="1AA7C701" w14:textId="26888A4D" w:rsidR="00F02AEC" w:rsidRPr="00215D48" w:rsidRDefault="00346EC2" w:rsidP="007452E8">
            <w:pPr>
              <w:pStyle w:val="Subtitle"/>
              <w:ind w:left="0"/>
            </w:pPr>
            <w:r w:rsidRPr="00346EC2">
              <w:t>Active ingredient:</w:t>
            </w:r>
            <w:r w:rsidR="00323578" w:rsidRPr="00142052">
              <w:t xml:space="preserve"> </w:t>
            </w:r>
            <w:proofErr w:type="spellStart"/>
            <w:r w:rsidR="00323578">
              <w:t>T</w:t>
            </w:r>
            <w:r w:rsidR="00323578" w:rsidRPr="00142052">
              <w:t>oripalimab</w:t>
            </w:r>
            <w:proofErr w:type="spellEnd"/>
          </w:p>
        </w:tc>
      </w:tr>
      <w:tr w:rsidR="00346EC2" w:rsidRPr="00215D48" w14:paraId="362CCAE4" w14:textId="77777777" w:rsidTr="007452E8">
        <w:trPr>
          <w:trHeight w:val="1916"/>
        </w:trPr>
        <w:tc>
          <w:tcPr>
            <w:tcW w:w="8720" w:type="dxa"/>
          </w:tcPr>
          <w:p w14:paraId="709C45C0" w14:textId="36C03AED" w:rsidR="00346EC2" w:rsidRPr="00215D48" w:rsidRDefault="00346EC2" w:rsidP="007452E8">
            <w:pPr>
              <w:pStyle w:val="Subtitle"/>
              <w:ind w:left="0"/>
            </w:pPr>
            <w:r w:rsidRPr="00346EC2">
              <w:t>Sponsor:</w:t>
            </w:r>
            <w:r w:rsidR="00EC3469" w:rsidRPr="000D30EA">
              <w:t xml:space="preserve"> AA-Med Pty Ltd</w:t>
            </w:r>
            <w:r w:rsidR="00F76DD5">
              <w:t xml:space="preserve"> (</w:t>
            </w:r>
            <w:r w:rsidR="00F76DD5" w:rsidRPr="00544D2C">
              <w:rPr>
                <w:szCs w:val="22"/>
              </w:rPr>
              <w:t>Dr Reddy's Laboratories Australia Pty Ltd</w:t>
            </w:r>
            <w:r w:rsidR="00F76DD5">
              <w:rPr>
                <w:szCs w:val="22"/>
              </w:rPr>
              <w:t>)</w:t>
            </w:r>
          </w:p>
        </w:tc>
      </w:tr>
      <w:tr w:rsidR="00F02AEC" w:rsidRPr="00215D48" w14:paraId="37F2AA1F" w14:textId="77777777" w:rsidTr="007452E8">
        <w:tc>
          <w:tcPr>
            <w:tcW w:w="8720" w:type="dxa"/>
          </w:tcPr>
          <w:p w14:paraId="1FDE8DCD" w14:textId="3D2F7B00" w:rsidR="00F02AEC" w:rsidRPr="00215D48" w:rsidRDefault="00920924" w:rsidP="007452E8">
            <w:pPr>
              <w:pStyle w:val="Date"/>
            </w:pPr>
            <w:r>
              <w:t>Ju</w:t>
            </w:r>
            <w:r w:rsidR="00182AE8">
              <w:t>ly</w:t>
            </w:r>
            <w:r w:rsidR="00D555E4">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3ECFB144"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15C669A2"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62758E37" w:rsidR="00175CD8" w:rsidRPr="00346EC2" w:rsidRDefault="00F02AEC" w:rsidP="00346EC2">
      <w:pPr>
        <w:pStyle w:val="LegalCopy"/>
        <w:rPr>
          <w:rFonts w:cs="Arial"/>
        </w:rPr>
      </w:pPr>
      <w:r w:rsidRPr="00215D48">
        <w:rPr>
          <w:rFonts w:cs="Arial"/>
        </w:rPr>
        <w:t>© Commonwealth of Australia 20</w:t>
      </w:r>
      <w:r>
        <w:rPr>
          <w:rFonts w:cs="Arial"/>
        </w:rPr>
        <w:t>2</w:t>
      </w:r>
      <w:r w:rsidR="00AA6080">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5702BDD2" w14:textId="398EDD3A" w:rsidR="00D82028"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3974532" w:history="1">
            <w:r w:rsidR="00D82028" w:rsidRPr="00DD760C">
              <w:rPr>
                <w:rStyle w:val="Hyperlink"/>
                <w:noProof/>
              </w:rPr>
              <w:t>List of abbreviations</w:t>
            </w:r>
            <w:r w:rsidR="00D82028">
              <w:rPr>
                <w:noProof/>
                <w:webHidden/>
              </w:rPr>
              <w:tab/>
            </w:r>
            <w:r w:rsidR="00D82028">
              <w:rPr>
                <w:noProof/>
                <w:webHidden/>
              </w:rPr>
              <w:fldChar w:fldCharType="begin"/>
            </w:r>
            <w:r w:rsidR="00D82028">
              <w:rPr>
                <w:noProof/>
                <w:webHidden/>
              </w:rPr>
              <w:instrText xml:space="preserve"> PAGEREF _Toc233974532 \h </w:instrText>
            </w:r>
            <w:r w:rsidR="00D82028">
              <w:rPr>
                <w:noProof/>
                <w:webHidden/>
              </w:rPr>
            </w:r>
            <w:r w:rsidR="00D82028">
              <w:rPr>
                <w:noProof/>
                <w:webHidden/>
              </w:rPr>
              <w:fldChar w:fldCharType="separate"/>
            </w:r>
            <w:r w:rsidR="00D82028">
              <w:rPr>
                <w:noProof/>
                <w:webHidden/>
              </w:rPr>
              <w:t>4</w:t>
            </w:r>
            <w:r w:rsidR="00D82028">
              <w:rPr>
                <w:noProof/>
                <w:webHidden/>
              </w:rPr>
              <w:fldChar w:fldCharType="end"/>
            </w:r>
          </w:hyperlink>
        </w:p>
        <w:p w14:paraId="1F38F2F7" w14:textId="2EB16766" w:rsidR="00D82028" w:rsidRDefault="00D82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974533" w:history="1">
            <w:r w:rsidRPr="00DD760C">
              <w:rPr>
                <w:rStyle w:val="Hyperlink"/>
                <w:noProof/>
              </w:rPr>
              <w:t>Product submission</w:t>
            </w:r>
            <w:r>
              <w:rPr>
                <w:noProof/>
                <w:webHidden/>
              </w:rPr>
              <w:tab/>
            </w:r>
            <w:r>
              <w:rPr>
                <w:noProof/>
                <w:webHidden/>
              </w:rPr>
              <w:fldChar w:fldCharType="begin"/>
            </w:r>
            <w:r>
              <w:rPr>
                <w:noProof/>
                <w:webHidden/>
              </w:rPr>
              <w:instrText xml:space="preserve"> PAGEREF _Toc233974533 \h </w:instrText>
            </w:r>
            <w:r>
              <w:rPr>
                <w:noProof/>
                <w:webHidden/>
              </w:rPr>
            </w:r>
            <w:r>
              <w:rPr>
                <w:noProof/>
                <w:webHidden/>
              </w:rPr>
              <w:fldChar w:fldCharType="separate"/>
            </w:r>
            <w:r>
              <w:rPr>
                <w:noProof/>
                <w:webHidden/>
              </w:rPr>
              <w:t>6</w:t>
            </w:r>
            <w:r>
              <w:rPr>
                <w:noProof/>
                <w:webHidden/>
              </w:rPr>
              <w:fldChar w:fldCharType="end"/>
            </w:r>
          </w:hyperlink>
        </w:p>
        <w:p w14:paraId="66CDA0C1" w14:textId="1C8BFE95" w:rsidR="00D82028" w:rsidRDefault="00D82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974534" w:history="1">
            <w:r w:rsidRPr="00DD760C">
              <w:rPr>
                <w:rStyle w:val="Hyperlink"/>
                <w:noProof/>
                <w:lang w:eastAsia="en-AU"/>
              </w:rPr>
              <w:t>Submission details</w:t>
            </w:r>
            <w:r>
              <w:rPr>
                <w:noProof/>
                <w:webHidden/>
              </w:rPr>
              <w:tab/>
            </w:r>
            <w:r>
              <w:rPr>
                <w:noProof/>
                <w:webHidden/>
              </w:rPr>
              <w:fldChar w:fldCharType="begin"/>
            </w:r>
            <w:r>
              <w:rPr>
                <w:noProof/>
                <w:webHidden/>
              </w:rPr>
              <w:instrText xml:space="preserve"> PAGEREF _Toc233974534 \h </w:instrText>
            </w:r>
            <w:r>
              <w:rPr>
                <w:noProof/>
                <w:webHidden/>
              </w:rPr>
            </w:r>
            <w:r>
              <w:rPr>
                <w:noProof/>
                <w:webHidden/>
              </w:rPr>
              <w:fldChar w:fldCharType="separate"/>
            </w:r>
            <w:r>
              <w:rPr>
                <w:noProof/>
                <w:webHidden/>
              </w:rPr>
              <w:t>6</w:t>
            </w:r>
            <w:r>
              <w:rPr>
                <w:noProof/>
                <w:webHidden/>
              </w:rPr>
              <w:fldChar w:fldCharType="end"/>
            </w:r>
          </w:hyperlink>
        </w:p>
        <w:p w14:paraId="799D00B3" w14:textId="71BF54D0" w:rsidR="00D82028" w:rsidRDefault="00D82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974535" w:history="1">
            <w:r w:rsidRPr="00DD760C">
              <w:rPr>
                <w:rStyle w:val="Hyperlink"/>
                <w:noProof/>
              </w:rPr>
              <w:t>Product background</w:t>
            </w:r>
            <w:r>
              <w:rPr>
                <w:noProof/>
                <w:webHidden/>
              </w:rPr>
              <w:tab/>
            </w:r>
            <w:r>
              <w:rPr>
                <w:noProof/>
                <w:webHidden/>
              </w:rPr>
              <w:fldChar w:fldCharType="begin"/>
            </w:r>
            <w:r>
              <w:rPr>
                <w:noProof/>
                <w:webHidden/>
              </w:rPr>
              <w:instrText xml:space="preserve"> PAGEREF _Toc233974535 \h </w:instrText>
            </w:r>
            <w:r>
              <w:rPr>
                <w:noProof/>
                <w:webHidden/>
              </w:rPr>
            </w:r>
            <w:r>
              <w:rPr>
                <w:noProof/>
                <w:webHidden/>
              </w:rPr>
              <w:fldChar w:fldCharType="separate"/>
            </w:r>
            <w:r>
              <w:rPr>
                <w:noProof/>
                <w:webHidden/>
              </w:rPr>
              <w:t>7</w:t>
            </w:r>
            <w:r>
              <w:rPr>
                <w:noProof/>
                <w:webHidden/>
              </w:rPr>
              <w:fldChar w:fldCharType="end"/>
            </w:r>
          </w:hyperlink>
        </w:p>
        <w:p w14:paraId="1730C525" w14:textId="424E0120"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36" w:history="1">
            <w:r w:rsidRPr="00DD760C">
              <w:rPr>
                <w:rStyle w:val="Hyperlink"/>
                <w:noProof/>
              </w:rPr>
              <w:t>Disease or condition</w:t>
            </w:r>
            <w:r>
              <w:rPr>
                <w:noProof/>
                <w:webHidden/>
              </w:rPr>
              <w:tab/>
            </w:r>
            <w:r>
              <w:rPr>
                <w:noProof/>
                <w:webHidden/>
              </w:rPr>
              <w:fldChar w:fldCharType="begin"/>
            </w:r>
            <w:r>
              <w:rPr>
                <w:noProof/>
                <w:webHidden/>
              </w:rPr>
              <w:instrText xml:space="preserve"> PAGEREF _Toc233974536 \h </w:instrText>
            </w:r>
            <w:r>
              <w:rPr>
                <w:noProof/>
                <w:webHidden/>
              </w:rPr>
            </w:r>
            <w:r>
              <w:rPr>
                <w:noProof/>
                <w:webHidden/>
              </w:rPr>
              <w:fldChar w:fldCharType="separate"/>
            </w:r>
            <w:r>
              <w:rPr>
                <w:noProof/>
                <w:webHidden/>
              </w:rPr>
              <w:t>7</w:t>
            </w:r>
            <w:r>
              <w:rPr>
                <w:noProof/>
                <w:webHidden/>
              </w:rPr>
              <w:fldChar w:fldCharType="end"/>
            </w:r>
          </w:hyperlink>
        </w:p>
        <w:p w14:paraId="4507E87E" w14:textId="71412096"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37" w:history="1">
            <w:r w:rsidRPr="00DD760C">
              <w:rPr>
                <w:rStyle w:val="Hyperlink"/>
                <w:noProof/>
              </w:rPr>
              <w:t>Current treatment options</w:t>
            </w:r>
            <w:r>
              <w:rPr>
                <w:noProof/>
                <w:webHidden/>
              </w:rPr>
              <w:tab/>
            </w:r>
            <w:r>
              <w:rPr>
                <w:noProof/>
                <w:webHidden/>
              </w:rPr>
              <w:fldChar w:fldCharType="begin"/>
            </w:r>
            <w:r>
              <w:rPr>
                <w:noProof/>
                <w:webHidden/>
              </w:rPr>
              <w:instrText xml:space="preserve"> PAGEREF _Toc233974537 \h </w:instrText>
            </w:r>
            <w:r>
              <w:rPr>
                <w:noProof/>
                <w:webHidden/>
              </w:rPr>
            </w:r>
            <w:r>
              <w:rPr>
                <w:noProof/>
                <w:webHidden/>
              </w:rPr>
              <w:fldChar w:fldCharType="separate"/>
            </w:r>
            <w:r>
              <w:rPr>
                <w:noProof/>
                <w:webHidden/>
              </w:rPr>
              <w:t>8</w:t>
            </w:r>
            <w:r>
              <w:rPr>
                <w:noProof/>
                <w:webHidden/>
              </w:rPr>
              <w:fldChar w:fldCharType="end"/>
            </w:r>
          </w:hyperlink>
        </w:p>
        <w:p w14:paraId="5B6F119F" w14:textId="17EC7E40"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38" w:history="1">
            <w:r w:rsidRPr="00DD760C">
              <w:rPr>
                <w:rStyle w:val="Hyperlink"/>
                <w:noProof/>
              </w:rPr>
              <w:t>Clinical rationale</w:t>
            </w:r>
            <w:r>
              <w:rPr>
                <w:noProof/>
                <w:webHidden/>
              </w:rPr>
              <w:tab/>
            </w:r>
            <w:r>
              <w:rPr>
                <w:noProof/>
                <w:webHidden/>
              </w:rPr>
              <w:fldChar w:fldCharType="begin"/>
            </w:r>
            <w:r>
              <w:rPr>
                <w:noProof/>
                <w:webHidden/>
              </w:rPr>
              <w:instrText xml:space="preserve"> PAGEREF _Toc233974538 \h </w:instrText>
            </w:r>
            <w:r>
              <w:rPr>
                <w:noProof/>
                <w:webHidden/>
              </w:rPr>
            </w:r>
            <w:r>
              <w:rPr>
                <w:noProof/>
                <w:webHidden/>
              </w:rPr>
              <w:fldChar w:fldCharType="separate"/>
            </w:r>
            <w:r>
              <w:rPr>
                <w:noProof/>
                <w:webHidden/>
              </w:rPr>
              <w:t>8</w:t>
            </w:r>
            <w:r>
              <w:rPr>
                <w:noProof/>
                <w:webHidden/>
              </w:rPr>
              <w:fldChar w:fldCharType="end"/>
            </w:r>
          </w:hyperlink>
        </w:p>
        <w:p w14:paraId="4F03F786" w14:textId="25A79919" w:rsidR="00D82028" w:rsidRDefault="00D82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974539" w:history="1">
            <w:r w:rsidRPr="00DD760C">
              <w:rPr>
                <w:rStyle w:val="Hyperlink"/>
                <w:noProof/>
              </w:rPr>
              <w:t>Regulatory status</w:t>
            </w:r>
            <w:r>
              <w:rPr>
                <w:noProof/>
                <w:webHidden/>
              </w:rPr>
              <w:tab/>
            </w:r>
            <w:r>
              <w:rPr>
                <w:noProof/>
                <w:webHidden/>
              </w:rPr>
              <w:fldChar w:fldCharType="begin"/>
            </w:r>
            <w:r>
              <w:rPr>
                <w:noProof/>
                <w:webHidden/>
              </w:rPr>
              <w:instrText xml:space="preserve"> PAGEREF _Toc233974539 \h </w:instrText>
            </w:r>
            <w:r>
              <w:rPr>
                <w:noProof/>
                <w:webHidden/>
              </w:rPr>
            </w:r>
            <w:r>
              <w:rPr>
                <w:noProof/>
                <w:webHidden/>
              </w:rPr>
              <w:fldChar w:fldCharType="separate"/>
            </w:r>
            <w:r>
              <w:rPr>
                <w:noProof/>
                <w:webHidden/>
              </w:rPr>
              <w:t>8</w:t>
            </w:r>
            <w:r>
              <w:rPr>
                <w:noProof/>
                <w:webHidden/>
              </w:rPr>
              <w:fldChar w:fldCharType="end"/>
            </w:r>
          </w:hyperlink>
        </w:p>
        <w:p w14:paraId="663BA5B2" w14:textId="55D89C02"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40" w:history="1">
            <w:r w:rsidRPr="00DD760C">
              <w:rPr>
                <w:rStyle w:val="Hyperlink"/>
                <w:noProof/>
              </w:rPr>
              <w:t>Australian regulatory status</w:t>
            </w:r>
            <w:r>
              <w:rPr>
                <w:noProof/>
                <w:webHidden/>
              </w:rPr>
              <w:tab/>
            </w:r>
            <w:r>
              <w:rPr>
                <w:noProof/>
                <w:webHidden/>
              </w:rPr>
              <w:fldChar w:fldCharType="begin"/>
            </w:r>
            <w:r>
              <w:rPr>
                <w:noProof/>
                <w:webHidden/>
              </w:rPr>
              <w:instrText xml:space="preserve"> PAGEREF _Toc233974540 \h </w:instrText>
            </w:r>
            <w:r>
              <w:rPr>
                <w:noProof/>
                <w:webHidden/>
              </w:rPr>
            </w:r>
            <w:r>
              <w:rPr>
                <w:noProof/>
                <w:webHidden/>
              </w:rPr>
              <w:fldChar w:fldCharType="separate"/>
            </w:r>
            <w:r>
              <w:rPr>
                <w:noProof/>
                <w:webHidden/>
              </w:rPr>
              <w:t>8</w:t>
            </w:r>
            <w:r>
              <w:rPr>
                <w:noProof/>
                <w:webHidden/>
              </w:rPr>
              <w:fldChar w:fldCharType="end"/>
            </w:r>
          </w:hyperlink>
        </w:p>
        <w:p w14:paraId="19508B96" w14:textId="17EE804F"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41" w:history="1">
            <w:r w:rsidRPr="00DD760C">
              <w:rPr>
                <w:rStyle w:val="Hyperlink"/>
                <w:noProof/>
              </w:rPr>
              <w:t>International regulatory status</w:t>
            </w:r>
            <w:r>
              <w:rPr>
                <w:noProof/>
                <w:webHidden/>
              </w:rPr>
              <w:tab/>
            </w:r>
            <w:r>
              <w:rPr>
                <w:noProof/>
                <w:webHidden/>
              </w:rPr>
              <w:fldChar w:fldCharType="begin"/>
            </w:r>
            <w:r>
              <w:rPr>
                <w:noProof/>
                <w:webHidden/>
              </w:rPr>
              <w:instrText xml:space="preserve"> PAGEREF _Toc233974541 \h </w:instrText>
            </w:r>
            <w:r>
              <w:rPr>
                <w:noProof/>
                <w:webHidden/>
              </w:rPr>
            </w:r>
            <w:r>
              <w:rPr>
                <w:noProof/>
                <w:webHidden/>
              </w:rPr>
              <w:fldChar w:fldCharType="separate"/>
            </w:r>
            <w:r>
              <w:rPr>
                <w:noProof/>
                <w:webHidden/>
              </w:rPr>
              <w:t>8</w:t>
            </w:r>
            <w:r>
              <w:rPr>
                <w:noProof/>
                <w:webHidden/>
              </w:rPr>
              <w:fldChar w:fldCharType="end"/>
            </w:r>
          </w:hyperlink>
        </w:p>
        <w:p w14:paraId="4207BEE0" w14:textId="77BD60B0" w:rsidR="00D82028" w:rsidRDefault="00D82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974542" w:history="1">
            <w:r w:rsidRPr="00DD760C">
              <w:rPr>
                <w:rStyle w:val="Hyperlink"/>
                <w:noProof/>
              </w:rPr>
              <w:t>Registration timeline</w:t>
            </w:r>
            <w:r>
              <w:rPr>
                <w:noProof/>
                <w:webHidden/>
              </w:rPr>
              <w:tab/>
            </w:r>
            <w:r>
              <w:rPr>
                <w:noProof/>
                <w:webHidden/>
              </w:rPr>
              <w:fldChar w:fldCharType="begin"/>
            </w:r>
            <w:r>
              <w:rPr>
                <w:noProof/>
                <w:webHidden/>
              </w:rPr>
              <w:instrText xml:space="preserve"> PAGEREF _Toc233974542 \h </w:instrText>
            </w:r>
            <w:r>
              <w:rPr>
                <w:noProof/>
                <w:webHidden/>
              </w:rPr>
            </w:r>
            <w:r>
              <w:rPr>
                <w:noProof/>
                <w:webHidden/>
              </w:rPr>
              <w:fldChar w:fldCharType="separate"/>
            </w:r>
            <w:r>
              <w:rPr>
                <w:noProof/>
                <w:webHidden/>
              </w:rPr>
              <w:t>12</w:t>
            </w:r>
            <w:r>
              <w:rPr>
                <w:noProof/>
                <w:webHidden/>
              </w:rPr>
              <w:fldChar w:fldCharType="end"/>
            </w:r>
          </w:hyperlink>
        </w:p>
        <w:p w14:paraId="3E3278DB" w14:textId="41DA91BA" w:rsidR="00D82028" w:rsidRDefault="00D82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974543" w:history="1">
            <w:r w:rsidRPr="00DD760C">
              <w:rPr>
                <w:rStyle w:val="Hyperlink"/>
                <w:noProof/>
              </w:rPr>
              <w:t>Assessment overview</w:t>
            </w:r>
            <w:r>
              <w:rPr>
                <w:noProof/>
                <w:webHidden/>
              </w:rPr>
              <w:tab/>
            </w:r>
            <w:r>
              <w:rPr>
                <w:noProof/>
                <w:webHidden/>
              </w:rPr>
              <w:fldChar w:fldCharType="begin"/>
            </w:r>
            <w:r>
              <w:rPr>
                <w:noProof/>
                <w:webHidden/>
              </w:rPr>
              <w:instrText xml:space="preserve"> PAGEREF _Toc233974543 \h </w:instrText>
            </w:r>
            <w:r>
              <w:rPr>
                <w:noProof/>
                <w:webHidden/>
              </w:rPr>
            </w:r>
            <w:r>
              <w:rPr>
                <w:noProof/>
                <w:webHidden/>
              </w:rPr>
              <w:fldChar w:fldCharType="separate"/>
            </w:r>
            <w:r>
              <w:rPr>
                <w:noProof/>
                <w:webHidden/>
              </w:rPr>
              <w:t>13</w:t>
            </w:r>
            <w:r>
              <w:rPr>
                <w:noProof/>
                <w:webHidden/>
              </w:rPr>
              <w:fldChar w:fldCharType="end"/>
            </w:r>
          </w:hyperlink>
        </w:p>
        <w:p w14:paraId="31534F76" w14:textId="423ADC05" w:rsidR="00D82028" w:rsidRDefault="00D82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974544" w:history="1">
            <w:r w:rsidRPr="00DD760C">
              <w:rPr>
                <w:rStyle w:val="Hyperlink"/>
                <w:noProof/>
              </w:rPr>
              <w:t>Quality evaluation summary</w:t>
            </w:r>
            <w:r>
              <w:rPr>
                <w:noProof/>
                <w:webHidden/>
              </w:rPr>
              <w:tab/>
            </w:r>
            <w:r>
              <w:rPr>
                <w:noProof/>
                <w:webHidden/>
              </w:rPr>
              <w:fldChar w:fldCharType="begin"/>
            </w:r>
            <w:r>
              <w:rPr>
                <w:noProof/>
                <w:webHidden/>
              </w:rPr>
              <w:instrText xml:space="preserve"> PAGEREF _Toc233974544 \h </w:instrText>
            </w:r>
            <w:r>
              <w:rPr>
                <w:noProof/>
                <w:webHidden/>
              </w:rPr>
            </w:r>
            <w:r>
              <w:rPr>
                <w:noProof/>
                <w:webHidden/>
              </w:rPr>
              <w:fldChar w:fldCharType="separate"/>
            </w:r>
            <w:r>
              <w:rPr>
                <w:noProof/>
                <w:webHidden/>
              </w:rPr>
              <w:t>13</w:t>
            </w:r>
            <w:r>
              <w:rPr>
                <w:noProof/>
                <w:webHidden/>
              </w:rPr>
              <w:fldChar w:fldCharType="end"/>
            </w:r>
          </w:hyperlink>
        </w:p>
        <w:p w14:paraId="641C3CE7" w14:textId="0AEE2109" w:rsidR="00D82028" w:rsidRDefault="00D82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974545" w:history="1">
            <w:r w:rsidRPr="00DD760C">
              <w:rPr>
                <w:rStyle w:val="Hyperlink"/>
                <w:noProof/>
              </w:rPr>
              <w:t>Nonclinical evaluation summary</w:t>
            </w:r>
            <w:r>
              <w:rPr>
                <w:noProof/>
                <w:webHidden/>
              </w:rPr>
              <w:tab/>
            </w:r>
            <w:r>
              <w:rPr>
                <w:noProof/>
                <w:webHidden/>
              </w:rPr>
              <w:fldChar w:fldCharType="begin"/>
            </w:r>
            <w:r>
              <w:rPr>
                <w:noProof/>
                <w:webHidden/>
              </w:rPr>
              <w:instrText xml:space="preserve"> PAGEREF _Toc233974545 \h </w:instrText>
            </w:r>
            <w:r>
              <w:rPr>
                <w:noProof/>
                <w:webHidden/>
              </w:rPr>
            </w:r>
            <w:r>
              <w:rPr>
                <w:noProof/>
                <w:webHidden/>
              </w:rPr>
              <w:fldChar w:fldCharType="separate"/>
            </w:r>
            <w:r>
              <w:rPr>
                <w:noProof/>
                <w:webHidden/>
              </w:rPr>
              <w:t>13</w:t>
            </w:r>
            <w:r>
              <w:rPr>
                <w:noProof/>
                <w:webHidden/>
              </w:rPr>
              <w:fldChar w:fldCharType="end"/>
            </w:r>
          </w:hyperlink>
        </w:p>
        <w:p w14:paraId="2A595E5C" w14:textId="09941CB7"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46" w:history="1">
            <w:r w:rsidRPr="00DD760C">
              <w:rPr>
                <w:rStyle w:val="Hyperlink"/>
                <w:noProof/>
              </w:rPr>
              <w:t>Nonclinical evaluation conclusions</w:t>
            </w:r>
            <w:r>
              <w:rPr>
                <w:noProof/>
                <w:webHidden/>
              </w:rPr>
              <w:tab/>
            </w:r>
            <w:r>
              <w:rPr>
                <w:noProof/>
                <w:webHidden/>
              </w:rPr>
              <w:fldChar w:fldCharType="begin"/>
            </w:r>
            <w:r>
              <w:rPr>
                <w:noProof/>
                <w:webHidden/>
              </w:rPr>
              <w:instrText xml:space="preserve"> PAGEREF _Toc233974546 \h </w:instrText>
            </w:r>
            <w:r>
              <w:rPr>
                <w:noProof/>
                <w:webHidden/>
              </w:rPr>
            </w:r>
            <w:r>
              <w:rPr>
                <w:noProof/>
                <w:webHidden/>
              </w:rPr>
              <w:fldChar w:fldCharType="separate"/>
            </w:r>
            <w:r>
              <w:rPr>
                <w:noProof/>
                <w:webHidden/>
              </w:rPr>
              <w:t>15</w:t>
            </w:r>
            <w:r>
              <w:rPr>
                <w:noProof/>
                <w:webHidden/>
              </w:rPr>
              <w:fldChar w:fldCharType="end"/>
            </w:r>
          </w:hyperlink>
        </w:p>
        <w:p w14:paraId="4185AD3D" w14:textId="2EF8CBD1" w:rsidR="00D82028" w:rsidRDefault="00D82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974547" w:history="1">
            <w:r w:rsidRPr="00DD760C">
              <w:rPr>
                <w:rStyle w:val="Hyperlink"/>
                <w:noProof/>
              </w:rPr>
              <w:t>Clinical evaluation summary</w:t>
            </w:r>
            <w:r>
              <w:rPr>
                <w:noProof/>
                <w:webHidden/>
              </w:rPr>
              <w:tab/>
            </w:r>
            <w:r>
              <w:rPr>
                <w:noProof/>
                <w:webHidden/>
              </w:rPr>
              <w:fldChar w:fldCharType="begin"/>
            </w:r>
            <w:r>
              <w:rPr>
                <w:noProof/>
                <w:webHidden/>
              </w:rPr>
              <w:instrText xml:space="preserve"> PAGEREF _Toc233974547 \h </w:instrText>
            </w:r>
            <w:r>
              <w:rPr>
                <w:noProof/>
                <w:webHidden/>
              </w:rPr>
            </w:r>
            <w:r>
              <w:rPr>
                <w:noProof/>
                <w:webHidden/>
              </w:rPr>
              <w:fldChar w:fldCharType="separate"/>
            </w:r>
            <w:r>
              <w:rPr>
                <w:noProof/>
                <w:webHidden/>
              </w:rPr>
              <w:t>15</w:t>
            </w:r>
            <w:r>
              <w:rPr>
                <w:noProof/>
                <w:webHidden/>
              </w:rPr>
              <w:fldChar w:fldCharType="end"/>
            </w:r>
          </w:hyperlink>
        </w:p>
        <w:p w14:paraId="4053D161" w14:textId="098118E7"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48" w:history="1">
            <w:r w:rsidRPr="00DD760C">
              <w:rPr>
                <w:rStyle w:val="Hyperlink"/>
                <w:noProof/>
              </w:rPr>
              <w:t>Summary of clinical studies</w:t>
            </w:r>
            <w:r>
              <w:rPr>
                <w:noProof/>
                <w:webHidden/>
              </w:rPr>
              <w:tab/>
            </w:r>
            <w:r>
              <w:rPr>
                <w:noProof/>
                <w:webHidden/>
              </w:rPr>
              <w:fldChar w:fldCharType="begin"/>
            </w:r>
            <w:r>
              <w:rPr>
                <w:noProof/>
                <w:webHidden/>
              </w:rPr>
              <w:instrText xml:space="preserve"> PAGEREF _Toc233974548 \h </w:instrText>
            </w:r>
            <w:r>
              <w:rPr>
                <w:noProof/>
                <w:webHidden/>
              </w:rPr>
            </w:r>
            <w:r>
              <w:rPr>
                <w:noProof/>
                <w:webHidden/>
              </w:rPr>
              <w:fldChar w:fldCharType="separate"/>
            </w:r>
            <w:r>
              <w:rPr>
                <w:noProof/>
                <w:webHidden/>
              </w:rPr>
              <w:t>15</w:t>
            </w:r>
            <w:r>
              <w:rPr>
                <w:noProof/>
                <w:webHidden/>
              </w:rPr>
              <w:fldChar w:fldCharType="end"/>
            </w:r>
          </w:hyperlink>
        </w:p>
        <w:p w14:paraId="6A94565E" w14:textId="2BEDD5D1"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49" w:history="1">
            <w:r w:rsidRPr="00DD760C">
              <w:rPr>
                <w:rStyle w:val="Hyperlink"/>
                <w:noProof/>
              </w:rPr>
              <w:t>Clinical pharmacology</w:t>
            </w:r>
            <w:r>
              <w:rPr>
                <w:noProof/>
                <w:webHidden/>
              </w:rPr>
              <w:tab/>
            </w:r>
            <w:r>
              <w:rPr>
                <w:noProof/>
                <w:webHidden/>
              </w:rPr>
              <w:fldChar w:fldCharType="begin"/>
            </w:r>
            <w:r>
              <w:rPr>
                <w:noProof/>
                <w:webHidden/>
              </w:rPr>
              <w:instrText xml:space="preserve"> PAGEREF _Toc233974549 \h </w:instrText>
            </w:r>
            <w:r>
              <w:rPr>
                <w:noProof/>
                <w:webHidden/>
              </w:rPr>
            </w:r>
            <w:r>
              <w:rPr>
                <w:noProof/>
                <w:webHidden/>
              </w:rPr>
              <w:fldChar w:fldCharType="separate"/>
            </w:r>
            <w:r>
              <w:rPr>
                <w:noProof/>
                <w:webHidden/>
              </w:rPr>
              <w:t>15</w:t>
            </w:r>
            <w:r>
              <w:rPr>
                <w:noProof/>
                <w:webHidden/>
              </w:rPr>
              <w:fldChar w:fldCharType="end"/>
            </w:r>
          </w:hyperlink>
        </w:p>
        <w:p w14:paraId="57C25613" w14:textId="056765F8"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50" w:history="1">
            <w:r w:rsidRPr="00DD760C">
              <w:rPr>
                <w:rStyle w:val="Hyperlink"/>
                <w:noProof/>
              </w:rPr>
              <w:t>Efficacy</w:t>
            </w:r>
            <w:r>
              <w:rPr>
                <w:noProof/>
                <w:webHidden/>
              </w:rPr>
              <w:tab/>
            </w:r>
            <w:r>
              <w:rPr>
                <w:noProof/>
                <w:webHidden/>
              </w:rPr>
              <w:fldChar w:fldCharType="begin"/>
            </w:r>
            <w:r>
              <w:rPr>
                <w:noProof/>
                <w:webHidden/>
              </w:rPr>
              <w:instrText xml:space="preserve"> PAGEREF _Toc233974550 \h </w:instrText>
            </w:r>
            <w:r>
              <w:rPr>
                <w:noProof/>
                <w:webHidden/>
              </w:rPr>
            </w:r>
            <w:r>
              <w:rPr>
                <w:noProof/>
                <w:webHidden/>
              </w:rPr>
              <w:fldChar w:fldCharType="separate"/>
            </w:r>
            <w:r>
              <w:rPr>
                <w:noProof/>
                <w:webHidden/>
              </w:rPr>
              <w:t>17</w:t>
            </w:r>
            <w:r>
              <w:rPr>
                <w:noProof/>
                <w:webHidden/>
              </w:rPr>
              <w:fldChar w:fldCharType="end"/>
            </w:r>
          </w:hyperlink>
        </w:p>
        <w:p w14:paraId="556CEF64" w14:textId="50D05417"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51" w:history="1">
            <w:r w:rsidRPr="00DD760C">
              <w:rPr>
                <w:rStyle w:val="Hyperlink"/>
                <w:noProof/>
              </w:rPr>
              <w:t>Safety</w:t>
            </w:r>
            <w:r>
              <w:rPr>
                <w:noProof/>
                <w:webHidden/>
              </w:rPr>
              <w:tab/>
            </w:r>
            <w:r>
              <w:rPr>
                <w:noProof/>
                <w:webHidden/>
              </w:rPr>
              <w:fldChar w:fldCharType="begin"/>
            </w:r>
            <w:r>
              <w:rPr>
                <w:noProof/>
                <w:webHidden/>
              </w:rPr>
              <w:instrText xml:space="preserve"> PAGEREF _Toc233974551 \h </w:instrText>
            </w:r>
            <w:r>
              <w:rPr>
                <w:noProof/>
                <w:webHidden/>
              </w:rPr>
            </w:r>
            <w:r>
              <w:rPr>
                <w:noProof/>
                <w:webHidden/>
              </w:rPr>
              <w:fldChar w:fldCharType="separate"/>
            </w:r>
            <w:r>
              <w:rPr>
                <w:noProof/>
                <w:webHidden/>
              </w:rPr>
              <w:t>24</w:t>
            </w:r>
            <w:r>
              <w:rPr>
                <w:noProof/>
                <w:webHidden/>
              </w:rPr>
              <w:fldChar w:fldCharType="end"/>
            </w:r>
          </w:hyperlink>
        </w:p>
        <w:p w14:paraId="4F28BD06" w14:textId="4B67829C"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52" w:history="1">
            <w:r w:rsidRPr="00DD760C">
              <w:rPr>
                <w:rStyle w:val="Hyperlink"/>
                <w:noProof/>
              </w:rPr>
              <w:t>Recommendation following the clinical evaluation</w:t>
            </w:r>
            <w:r>
              <w:rPr>
                <w:noProof/>
                <w:webHidden/>
              </w:rPr>
              <w:tab/>
            </w:r>
            <w:r>
              <w:rPr>
                <w:noProof/>
                <w:webHidden/>
              </w:rPr>
              <w:fldChar w:fldCharType="begin"/>
            </w:r>
            <w:r>
              <w:rPr>
                <w:noProof/>
                <w:webHidden/>
              </w:rPr>
              <w:instrText xml:space="preserve"> PAGEREF _Toc233974552 \h </w:instrText>
            </w:r>
            <w:r>
              <w:rPr>
                <w:noProof/>
                <w:webHidden/>
              </w:rPr>
            </w:r>
            <w:r>
              <w:rPr>
                <w:noProof/>
                <w:webHidden/>
              </w:rPr>
              <w:fldChar w:fldCharType="separate"/>
            </w:r>
            <w:r>
              <w:rPr>
                <w:noProof/>
                <w:webHidden/>
              </w:rPr>
              <w:t>31</w:t>
            </w:r>
            <w:r>
              <w:rPr>
                <w:noProof/>
                <w:webHidden/>
              </w:rPr>
              <w:fldChar w:fldCharType="end"/>
            </w:r>
          </w:hyperlink>
        </w:p>
        <w:p w14:paraId="68E86605" w14:textId="737B2A66" w:rsidR="00D82028" w:rsidRDefault="00D82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974553" w:history="1">
            <w:r w:rsidRPr="00DD760C">
              <w:rPr>
                <w:rStyle w:val="Hyperlink"/>
                <w:noProof/>
                <w:lang w:eastAsia="en-AU"/>
              </w:rPr>
              <w:t>Risk management plan</w:t>
            </w:r>
            <w:r>
              <w:rPr>
                <w:noProof/>
                <w:webHidden/>
              </w:rPr>
              <w:tab/>
            </w:r>
            <w:r>
              <w:rPr>
                <w:noProof/>
                <w:webHidden/>
              </w:rPr>
              <w:fldChar w:fldCharType="begin"/>
            </w:r>
            <w:r>
              <w:rPr>
                <w:noProof/>
                <w:webHidden/>
              </w:rPr>
              <w:instrText xml:space="preserve"> PAGEREF _Toc233974553 \h </w:instrText>
            </w:r>
            <w:r>
              <w:rPr>
                <w:noProof/>
                <w:webHidden/>
              </w:rPr>
            </w:r>
            <w:r>
              <w:rPr>
                <w:noProof/>
                <w:webHidden/>
              </w:rPr>
              <w:fldChar w:fldCharType="separate"/>
            </w:r>
            <w:r>
              <w:rPr>
                <w:noProof/>
                <w:webHidden/>
              </w:rPr>
              <w:t>32</w:t>
            </w:r>
            <w:r>
              <w:rPr>
                <w:noProof/>
                <w:webHidden/>
              </w:rPr>
              <w:fldChar w:fldCharType="end"/>
            </w:r>
          </w:hyperlink>
        </w:p>
        <w:p w14:paraId="369EBBAA" w14:textId="16427C3A" w:rsidR="00D82028" w:rsidRDefault="00D82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974554" w:history="1">
            <w:r w:rsidRPr="00DD760C">
              <w:rPr>
                <w:rStyle w:val="Hyperlink"/>
                <w:noProof/>
              </w:rPr>
              <w:t>Risk-benefit analysis</w:t>
            </w:r>
            <w:r>
              <w:rPr>
                <w:noProof/>
                <w:webHidden/>
              </w:rPr>
              <w:tab/>
            </w:r>
            <w:r>
              <w:rPr>
                <w:noProof/>
                <w:webHidden/>
              </w:rPr>
              <w:fldChar w:fldCharType="begin"/>
            </w:r>
            <w:r>
              <w:rPr>
                <w:noProof/>
                <w:webHidden/>
              </w:rPr>
              <w:instrText xml:space="preserve"> PAGEREF _Toc233974554 \h </w:instrText>
            </w:r>
            <w:r>
              <w:rPr>
                <w:noProof/>
                <w:webHidden/>
              </w:rPr>
            </w:r>
            <w:r>
              <w:rPr>
                <w:noProof/>
                <w:webHidden/>
              </w:rPr>
              <w:fldChar w:fldCharType="separate"/>
            </w:r>
            <w:r>
              <w:rPr>
                <w:noProof/>
                <w:webHidden/>
              </w:rPr>
              <w:t>33</w:t>
            </w:r>
            <w:r>
              <w:rPr>
                <w:noProof/>
                <w:webHidden/>
              </w:rPr>
              <w:fldChar w:fldCharType="end"/>
            </w:r>
          </w:hyperlink>
        </w:p>
        <w:p w14:paraId="0292272D" w14:textId="34CBC205"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55" w:history="1">
            <w:r w:rsidRPr="00DD760C">
              <w:rPr>
                <w:rStyle w:val="Hyperlink"/>
                <w:noProof/>
              </w:rPr>
              <w:t>Delegate’s considerations</w:t>
            </w:r>
            <w:r>
              <w:rPr>
                <w:noProof/>
                <w:webHidden/>
              </w:rPr>
              <w:tab/>
            </w:r>
            <w:r>
              <w:rPr>
                <w:noProof/>
                <w:webHidden/>
              </w:rPr>
              <w:fldChar w:fldCharType="begin"/>
            </w:r>
            <w:r>
              <w:rPr>
                <w:noProof/>
                <w:webHidden/>
              </w:rPr>
              <w:instrText xml:space="preserve"> PAGEREF _Toc233974555 \h </w:instrText>
            </w:r>
            <w:r>
              <w:rPr>
                <w:noProof/>
                <w:webHidden/>
              </w:rPr>
            </w:r>
            <w:r>
              <w:rPr>
                <w:noProof/>
                <w:webHidden/>
              </w:rPr>
              <w:fldChar w:fldCharType="separate"/>
            </w:r>
            <w:r>
              <w:rPr>
                <w:noProof/>
                <w:webHidden/>
              </w:rPr>
              <w:t>33</w:t>
            </w:r>
            <w:r>
              <w:rPr>
                <w:noProof/>
                <w:webHidden/>
              </w:rPr>
              <w:fldChar w:fldCharType="end"/>
            </w:r>
          </w:hyperlink>
        </w:p>
        <w:p w14:paraId="3BF5A896" w14:textId="13D107E8" w:rsidR="00D82028" w:rsidRDefault="00D82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974556" w:history="1">
            <w:r w:rsidRPr="00DD760C">
              <w:rPr>
                <w:rStyle w:val="Hyperlink"/>
                <w:noProof/>
              </w:rPr>
              <w:t>Proposed action</w:t>
            </w:r>
            <w:r>
              <w:rPr>
                <w:noProof/>
                <w:webHidden/>
              </w:rPr>
              <w:tab/>
            </w:r>
            <w:r>
              <w:rPr>
                <w:noProof/>
                <w:webHidden/>
              </w:rPr>
              <w:fldChar w:fldCharType="begin"/>
            </w:r>
            <w:r>
              <w:rPr>
                <w:noProof/>
                <w:webHidden/>
              </w:rPr>
              <w:instrText xml:space="preserve"> PAGEREF _Toc233974556 \h </w:instrText>
            </w:r>
            <w:r>
              <w:rPr>
                <w:noProof/>
                <w:webHidden/>
              </w:rPr>
            </w:r>
            <w:r>
              <w:rPr>
                <w:noProof/>
                <w:webHidden/>
              </w:rPr>
              <w:fldChar w:fldCharType="separate"/>
            </w:r>
            <w:r>
              <w:rPr>
                <w:noProof/>
                <w:webHidden/>
              </w:rPr>
              <w:t>36</w:t>
            </w:r>
            <w:r>
              <w:rPr>
                <w:noProof/>
                <w:webHidden/>
              </w:rPr>
              <w:fldChar w:fldCharType="end"/>
            </w:r>
          </w:hyperlink>
        </w:p>
        <w:p w14:paraId="5A516805" w14:textId="204A8A70" w:rsidR="00D82028" w:rsidRDefault="00D82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974557" w:history="1">
            <w:r w:rsidRPr="00DD760C">
              <w:rPr>
                <w:rStyle w:val="Hyperlink"/>
                <w:noProof/>
              </w:rPr>
              <w:t>Assessment outcome</w:t>
            </w:r>
            <w:r>
              <w:rPr>
                <w:noProof/>
                <w:webHidden/>
              </w:rPr>
              <w:tab/>
            </w:r>
            <w:r>
              <w:rPr>
                <w:noProof/>
                <w:webHidden/>
              </w:rPr>
              <w:fldChar w:fldCharType="begin"/>
            </w:r>
            <w:r>
              <w:rPr>
                <w:noProof/>
                <w:webHidden/>
              </w:rPr>
              <w:instrText xml:space="preserve"> PAGEREF _Toc233974557 \h </w:instrText>
            </w:r>
            <w:r>
              <w:rPr>
                <w:noProof/>
                <w:webHidden/>
              </w:rPr>
            </w:r>
            <w:r>
              <w:rPr>
                <w:noProof/>
                <w:webHidden/>
              </w:rPr>
              <w:fldChar w:fldCharType="separate"/>
            </w:r>
            <w:r>
              <w:rPr>
                <w:noProof/>
                <w:webHidden/>
              </w:rPr>
              <w:t>36</w:t>
            </w:r>
            <w:r>
              <w:rPr>
                <w:noProof/>
                <w:webHidden/>
              </w:rPr>
              <w:fldChar w:fldCharType="end"/>
            </w:r>
          </w:hyperlink>
        </w:p>
        <w:p w14:paraId="00107D62" w14:textId="2EB61621" w:rsidR="00D82028" w:rsidRDefault="00D82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974558" w:history="1">
            <w:r w:rsidRPr="00DD760C">
              <w:rPr>
                <w:rStyle w:val="Hyperlink"/>
                <w:noProof/>
              </w:rPr>
              <w:t>Specific conditions of registration</w:t>
            </w:r>
            <w:r>
              <w:rPr>
                <w:noProof/>
                <w:webHidden/>
              </w:rPr>
              <w:tab/>
            </w:r>
            <w:r>
              <w:rPr>
                <w:noProof/>
                <w:webHidden/>
              </w:rPr>
              <w:fldChar w:fldCharType="begin"/>
            </w:r>
            <w:r>
              <w:rPr>
                <w:noProof/>
                <w:webHidden/>
              </w:rPr>
              <w:instrText xml:space="preserve"> PAGEREF _Toc233974558 \h </w:instrText>
            </w:r>
            <w:r>
              <w:rPr>
                <w:noProof/>
                <w:webHidden/>
              </w:rPr>
            </w:r>
            <w:r>
              <w:rPr>
                <w:noProof/>
                <w:webHidden/>
              </w:rPr>
              <w:fldChar w:fldCharType="separate"/>
            </w:r>
            <w:r>
              <w:rPr>
                <w:noProof/>
                <w:webHidden/>
              </w:rPr>
              <w:t>36</w:t>
            </w:r>
            <w:r>
              <w:rPr>
                <w:noProof/>
                <w:webHidden/>
              </w:rPr>
              <w:fldChar w:fldCharType="end"/>
            </w:r>
          </w:hyperlink>
        </w:p>
        <w:p w14:paraId="13A6CBDB" w14:textId="1643267F" w:rsidR="00D82028" w:rsidRDefault="00D82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974559" w:history="1">
            <w:r w:rsidRPr="00DD760C">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_Toc233974559 \h </w:instrText>
            </w:r>
            <w:r>
              <w:rPr>
                <w:noProof/>
                <w:webHidden/>
              </w:rPr>
            </w:r>
            <w:r>
              <w:rPr>
                <w:noProof/>
                <w:webHidden/>
              </w:rPr>
              <w:fldChar w:fldCharType="separate"/>
            </w:r>
            <w:r>
              <w:rPr>
                <w:noProof/>
                <w:webHidden/>
              </w:rPr>
              <w:t>38</w:t>
            </w:r>
            <w:r>
              <w:rPr>
                <w:noProof/>
                <w:webHidden/>
              </w:rPr>
              <w:fldChar w:fldCharType="end"/>
            </w:r>
          </w:hyperlink>
        </w:p>
        <w:p w14:paraId="77659F2D" w14:textId="00E74D55"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522A6629" w:rsidR="00324B33" w:rsidRPr="00F76DD5" w:rsidRDefault="00324B33" w:rsidP="00F76DD5">
      <w:pPr>
        <w:pStyle w:val="Heading2"/>
      </w:pPr>
      <w:bookmarkStart w:id="0" w:name="_Toc98931917"/>
      <w:bookmarkStart w:id="1" w:name="_Toc103679287"/>
      <w:bookmarkStart w:id="2" w:name="_Toc233974532"/>
      <w:bookmarkStart w:id="3" w:name="_Toc323739589"/>
      <w:bookmarkStart w:id="4" w:name="_Toc356305216"/>
      <w:r>
        <w:lastRenderedPageBreak/>
        <w:t>List of abbreviations</w:t>
      </w:r>
      <w:bookmarkEnd w:id="0"/>
      <w:bookmarkEnd w:id="1"/>
      <w:bookmarkEnd w:id="2"/>
    </w:p>
    <w:tbl>
      <w:tblPr>
        <w:tblStyle w:val="TableTGAblue2023"/>
        <w:tblW w:w="9430" w:type="dxa"/>
        <w:tblLook w:val="04A0" w:firstRow="1" w:lastRow="0" w:firstColumn="1" w:lastColumn="0" w:noHBand="0" w:noVBand="1"/>
      </w:tblPr>
      <w:tblGrid>
        <w:gridCol w:w="2263"/>
        <w:gridCol w:w="7167"/>
      </w:tblGrid>
      <w:tr w:rsidR="00C36B4C" w:rsidRPr="003D71A1" w14:paraId="33335F34" w14:textId="777777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shd w:val="clear" w:color="auto" w:fill="EAEDF1" w:themeFill="text2" w:themeFillTint="1A"/>
          </w:tcPr>
          <w:p w14:paraId="2D30FCD2" w14:textId="77777777" w:rsidR="00C36B4C" w:rsidRPr="007C71D5" w:rsidRDefault="00C36B4C">
            <w:bookmarkStart w:id="5" w:name="_Hlk133418605"/>
            <w:r w:rsidRPr="007C71D5">
              <w:t>Abbreviation</w:t>
            </w:r>
          </w:p>
        </w:tc>
        <w:tc>
          <w:tcPr>
            <w:tcW w:w="7167" w:type="dxa"/>
            <w:shd w:val="clear" w:color="auto" w:fill="EAEDF1" w:themeFill="text2" w:themeFillTint="1A"/>
          </w:tcPr>
          <w:p w14:paraId="4B5FBF1B" w14:textId="77777777" w:rsidR="00C36B4C" w:rsidRPr="007C71D5" w:rsidRDefault="00C36B4C">
            <w:pPr>
              <w:cnfStyle w:val="100000000000" w:firstRow="1" w:lastRow="0" w:firstColumn="0" w:lastColumn="0" w:oddVBand="0" w:evenVBand="0" w:oddHBand="0" w:evenHBand="0" w:firstRowFirstColumn="0" w:firstRowLastColumn="0" w:lastRowFirstColumn="0" w:lastRowLastColumn="0"/>
            </w:pPr>
            <w:r w:rsidRPr="007C71D5">
              <w:t>Meaning</w:t>
            </w:r>
          </w:p>
        </w:tc>
      </w:tr>
      <w:tr w:rsidR="00C36B4C" w:rsidRPr="0095296B" w14:paraId="707BA3DF"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4D8130C" w14:textId="77777777" w:rsidR="00C36B4C" w:rsidRPr="0095296B" w:rsidRDefault="00C36B4C">
            <w:pPr>
              <w:rPr>
                <w:rFonts w:cstheme="minorHAnsi"/>
                <w:szCs w:val="40"/>
              </w:rPr>
            </w:pPr>
            <w:r w:rsidRPr="0095296B">
              <w:rPr>
                <w:rFonts w:cstheme="minorHAnsi"/>
              </w:rPr>
              <w:t>ADA</w:t>
            </w:r>
          </w:p>
        </w:tc>
        <w:tc>
          <w:tcPr>
            <w:tcW w:w="7167" w:type="dxa"/>
          </w:tcPr>
          <w:p w14:paraId="005FA64E"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rFonts w:cstheme="minorHAnsi"/>
                <w:szCs w:val="40"/>
              </w:rPr>
            </w:pPr>
            <w:r w:rsidRPr="0095296B">
              <w:rPr>
                <w:rFonts w:cstheme="minorHAnsi"/>
              </w:rPr>
              <w:t>Anti-drug antibodies</w:t>
            </w:r>
          </w:p>
        </w:tc>
      </w:tr>
      <w:tr w:rsidR="00C36B4C" w:rsidRPr="0095296B" w14:paraId="16A7D61F"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24AA24A" w14:textId="77777777" w:rsidR="00C36B4C" w:rsidRPr="0095296B" w:rsidRDefault="00C36B4C">
            <w:pPr>
              <w:rPr>
                <w:rFonts w:cstheme="minorHAnsi"/>
                <w:szCs w:val="32"/>
              </w:rPr>
            </w:pPr>
            <w:r w:rsidRPr="0095296B">
              <w:rPr>
                <w:rFonts w:cstheme="minorHAnsi"/>
                <w:szCs w:val="32"/>
              </w:rPr>
              <w:t>ARTG</w:t>
            </w:r>
          </w:p>
        </w:tc>
        <w:tc>
          <w:tcPr>
            <w:tcW w:w="7167" w:type="dxa"/>
          </w:tcPr>
          <w:p w14:paraId="1440D7EA"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rFonts w:cstheme="minorHAnsi"/>
                <w:szCs w:val="32"/>
              </w:rPr>
            </w:pPr>
            <w:r w:rsidRPr="0095296B">
              <w:rPr>
                <w:rFonts w:cstheme="minorHAnsi"/>
                <w:szCs w:val="32"/>
              </w:rPr>
              <w:t>Australian Register of Therapeutic Goods</w:t>
            </w:r>
          </w:p>
        </w:tc>
      </w:tr>
      <w:tr w:rsidR="00C36B4C" w:rsidRPr="0095296B" w14:paraId="54FE4FAD"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FCE19E3" w14:textId="77777777" w:rsidR="00C36B4C" w:rsidRPr="0095296B" w:rsidRDefault="00C36B4C">
            <w:pPr>
              <w:rPr>
                <w:szCs w:val="32"/>
              </w:rPr>
            </w:pPr>
            <w:r w:rsidRPr="0095296B">
              <w:rPr>
                <w:szCs w:val="32"/>
              </w:rPr>
              <w:t>ASA</w:t>
            </w:r>
          </w:p>
        </w:tc>
        <w:tc>
          <w:tcPr>
            <w:tcW w:w="7167" w:type="dxa"/>
          </w:tcPr>
          <w:p w14:paraId="60C3DCE6"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szCs w:val="32"/>
              </w:rPr>
            </w:pPr>
            <w:r w:rsidRPr="0095296B">
              <w:rPr>
                <w:szCs w:val="32"/>
              </w:rPr>
              <w:t>Australia-specific annex</w:t>
            </w:r>
          </w:p>
        </w:tc>
      </w:tr>
      <w:tr w:rsidR="00C36B4C" w:rsidRPr="0095296B" w14:paraId="1A16C80D"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B437DCF" w14:textId="77777777" w:rsidR="00C36B4C" w:rsidRPr="0095296B" w:rsidRDefault="00C36B4C">
            <w:pPr>
              <w:rPr>
                <w:szCs w:val="40"/>
              </w:rPr>
            </w:pPr>
            <w:r w:rsidRPr="0095296B">
              <w:rPr>
                <w:szCs w:val="40"/>
              </w:rPr>
              <w:t>AST</w:t>
            </w:r>
          </w:p>
        </w:tc>
        <w:tc>
          <w:tcPr>
            <w:tcW w:w="7167" w:type="dxa"/>
          </w:tcPr>
          <w:p w14:paraId="273E3F80"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szCs w:val="40"/>
              </w:rPr>
            </w:pPr>
            <w:r w:rsidRPr="0095296B">
              <w:rPr>
                <w:szCs w:val="40"/>
              </w:rPr>
              <w:t>Aspartate aminotransferase</w:t>
            </w:r>
          </w:p>
        </w:tc>
      </w:tr>
      <w:tr w:rsidR="00C36B4C" w:rsidRPr="0095296B" w14:paraId="3BC93CF2"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7055730" w14:textId="77777777" w:rsidR="00C36B4C" w:rsidRPr="0095296B" w:rsidRDefault="00C36B4C">
            <w:pPr>
              <w:rPr>
                <w:rFonts w:cstheme="minorHAnsi"/>
                <w:szCs w:val="48"/>
              </w:rPr>
            </w:pPr>
            <w:r w:rsidRPr="0095296B">
              <w:rPr>
                <w:rFonts w:cstheme="minorHAnsi"/>
                <w:szCs w:val="48"/>
              </w:rPr>
              <w:t>CI</w:t>
            </w:r>
          </w:p>
        </w:tc>
        <w:tc>
          <w:tcPr>
            <w:tcW w:w="7167" w:type="dxa"/>
          </w:tcPr>
          <w:p w14:paraId="22EEBCAF"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szCs w:val="48"/>
              </w:rPr>
            </w:pPr>
            <w:r w:rsidRPr="0095296B">
              <w:rPr>
                <w:szCs w:val="48"/>
              </w:rPr>
              <w:t>Confidence interval</w:t>
            </w:r>
          </w:p>
        </w:tc>
      </w:tr>
      <w:tr w:rsidR="00C36B4C" w:rsidRPr="0095296B" w14:paraId="02E4CB67"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233F2AC" w14:textId="77777777" w:rsidR="00C36B4C" w:rsidRPr="0095296B" w:rsidRDefault="00C36B4C">
            <w:r w:rsidRPr="0095296B">
              <w:t>CLcr</w:t>
            </w:r>
          </w:p>
        </w:tc>
        <w:tc>
          <w:tcPr>
            <w:tcW w:w="7167" w:type="dxa"/>
          </w:tcPr>
          <w:p w14:paraId="0DF17366"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rFonts w:cstheme="minorHAnsi"/>
              </w:rPr>
            </w:pPr>
            <w:r w:rsidRPr="0095296B">
              <w:rPr>
                <w:rFonts w:cstheme="minorHAnsi"/>
              </w:rPr>
              <w:t>Creatinine clearance</w:t>
            </w:r>
          </w:p>
        </w:tc>
      </w:tr>
      <w:tr w:rsidR="00C36B4C" w:rsidRPr="0095296B" w14:paraId="00CC498E"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E5BDC80" w14:textId="77777777" w:rsidR="00C36B4C" w:rsidRPr="0095296B" w:rsidRDefault="00C36B4C">
            <w:pPr>
              <w:rPr>
                <w:rFonts w:cstheme="minorHAnsi"/>
                <w:color w:val="auto"/>
              </w:rPr>
            </w:pPr>
            <w:r w:rsidRPr="0095296B">
              <w:rPr>
                <w:rFonts w:cstheme="minorHAnsi"/>
                <w:color w:val="auto"/>
              </w:rPr>
              <w:t>CMI</w:t>
            </w:r>
          </w:p>
        </w:tc>
        <w:tc>
          <w:tcPr>
            <w:tcW w:w="7167" w:type="dxa"/>
          </w:tcPr>
          <w:p w14:paraId="4526E92D"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95296B">
              <w:rPr>
                <w:rFonts w:cstheme="minorHAnsi"/>
                <w:color w:val="auto"/>
              </w:rPr>
              <w:t>Consumer Medicines Information</w:t>
            </w:r>
          </w:p>
        </w:tc>
      </w:tr>
      <w:tr w:rsidR="00C36B4C" w:rsidRPr="0095296B" w14:paraId="38B7AA75"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82E76C5" w14:textId="77777777" w:rsidR="00C36B4C" w:rsidRPr="0095296B" w:rsidRDefault="00C36B4C">
            <w:pPr>
              <w:rPr>
                <w:rFonts w:cstheme="minorHAnsi"/>
                <w:szCs w:val="32"/>
              </w:rPr>
            </w:pPr>
            <w:r w:rsidRPr="0095296B">
              <w:rPr>
                <w:rFonts w:cstheme="minorHAnsi"/>
                <w:szCs w:val="32"/>
              </w:rPr>
              <w:t>DLP</w:t>
            </w:r>
          </w:p>
        </w:tc>
        <w:tc>
          <w:tcPr>
            <w:tcW w:w="7167" w:type="dxa"/>
          </w:tcPr>
          <w:p w14:paraId="698F4785"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rFonts w:cstheme="minorHAnsi"/>
                <w:szCs w:val="32"/>
              </w:rPr>
            </w:pPr>
            <w:r w:rsidRPr="0095296B">
              <w:rPr>
                <w:rFonts w:cstheme="minorHAnsi"/>
                <w:szCs w:val="32"/>
              </w:rPr>
              <w:t>Data lock point</w:t>
            </w:r>
          </w:p>
        </w:tc>
      </w:tr>
      <w:tr w:rsidR="00C36B4C" w:rsidRPr="0095296B" w14:paraId="0867CA72"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9132EFB" w14:textId="77777777" w:rsidR="00C36B4C" w:rsidRPr="0095296B" w:rsidRDefault="00C36B4C">
            <w:pPr>
              <w:tabs>
                <w:tab w:val="left" w:pos="1200"/>
              </w:tabs>
              <w:rPr>
                <w:rFonts w:cstheme="minorHAnsi"/>
                <w:szCs w:val="280"/>
              </w:rPr>
            </w:pPr>
            <w:r w:rsidRPr="0095296B">
              <w:rPr>
                <w:rFonts w:cstheme="minorHAnsi"/>
                <w:szCs w:val="280"/>
              </w:rPr>
              <w:t>DOR/</w:t>
            </w:r>
            <w:proofErr w:type="spellStart"/>
            <w:r w:rsidRPr="0095296B">
              <w:rPr>
                <w:rFonts w:cstheme="minorHAnsi"/>
                <w:szCs w:val="280"/>
              </w:rPr>
              <w:t>DoR</w:t>
            </w:r>
            <w:proofErr w:type="spellEnd"/>
          </w:p>
        </w:tc>
        <w:tc>
          <w:tcPr>
            <w:tcW w:w="7167" w:type="dxa"/>
          </w:tcPr>
          <w:p w14:paraId="6FFE4346"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szCs w:val="280"/>
                <w:lang w:val="en-GB"/>
              </w:rPr>
            </w:pPr>
            <w:r w:rsidRPr="0095296B">
              <w:rPr>
                <w:szCs w:val="280"/>
                <w:lang w:val="en-GB"/>
              </w:rPr>
              <w:t>Duration of response</w:t>
            </w:r>
          </w:p>
        </w:tc>
      </w:tr>
      <w:tr w:rsidR="00C36B4C" w:rsidRPr="0095296B" w14:paraId="2594C115"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0CE2E31" w14:textId="77777777" w:rsidR="00C36B4C" w:rsidRPr="0095296B" w:rsidRDefault="00C36B4C">
            <w:pPr>
              <w:tabs>
                <w:tab w:val="left" w:pos="1200"/>
              </w:tabs>
              <w:rPr>
                <w:rFonts w:cstheme="minorHAnsi"/>
                <w:szCs w:val="240"/>
              </w:rPr>
            </w:pPr>
            <w:r w:rsidRPr="0095296B">
              <w:rPr>
                <w:rFonts w:cstheme="minorHAnsi"/>
                <w:szCs w:val="240"/>
              </w:rPr>
              <w:t>ECOG</w:t>
            </w:r>
          </w:p>
        </w:tc>
        <w:tc>
          <w:tcPr>
            <w:tcW w:w="7167" w:type="dxa"/>
          </w:tcPr>
          <w:p w14:paraId="50CEB8CF"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szCs w:val="240"/>
              </w:rPr>
            </w:pPr>
            <w:r w:rsidRPr="0095296B">
              <w:rPr>
                <w:szCs w:val="240"/>
                <w:lang w:val="en-GB"/>
              </w:rPr>
              <w:t>Eastern Cooperative Oncology Group</w:t>
            </w:r>
          </w:p>
        </w:tc>
      </w:tr>
      <w:tr w:rsidR="00C36B4C" w:rsidRPr="0095296B" w14:paraId="504499F7"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6BFFAF9" w14:textId="77777777" w:rsidR="00C36B4C" w:rsidRPr="0095296B" w:rsidRDefault="00C36B4C">
            <w:pPr>
              <w:rPr>
                <w:rFonts w:cstheme="minorHAnsi"/>
                <w:szCs w:val="200"/>
              </w:rPr>
            </w:pPr>
            <w:r w:rsidRPr="0095296B">
              <w:rPr>
                <w:rFonts w:cstheme="minorHAnsi"/>
                <w:szCs w:val="200"/>
              </w:rPr>
              <w:t>ER</w:t>
            </w:r>
          </w:p>
        </w:tc>
        <w:tc>
          <w:tcPr>
            <w:tcW w:w="7167" w:type="dxa"/>
          </w:tcPr>
          <w:p w14:paraId="1E0C1314" w14:textId="77777777" w:rsidR="00C36B4C" w:rsidRPr="0095296B" w:rsidRDefault="00C36B4C">
            <w:pPr>
              <w:tabs>
                <w:tab w:val="left" w:pos="2445"/>
              </w:tabs>
              <w:cnfStyle w:val="000000000000" w:firstRow="0" w:lastRow="0" w:firstColumn="0" w:lastColumn="0" w:oddVBand="0" w:evenVBand="0" w:oddHBand="0" w:evenHBand="0" w:firstRowFirstColumn="0" w:firstRowLastColumn="0" w:lastRowFirstColumn="0" w:lastRowLastColumn="0"/>
              <w:rPr>
                <w:szCs w:val="200"/>
              </w:rPr>
            </w:pPr>
            <w:r w:rsidRPr="0095296B">
              <w:rPr>
                <w:szCs w:val="200"/>
              </w:rPr>
              <w:t>Exposure response</w:t>
            </w:r>
          </w:p>
        </w:tc>
      </w:tr>
      <w:tr w:rsidR="00C36B4C" w:rsidRPr="0095296B" w14:paraId="291F9CEC"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2D37F4E" w14:textId="77777777" w:rsidR="00C36B4C" w:rsidRPr="0095296B" w:rsidRDefault="00C36B4C">
            <w:pPr>
              <w:rPr>
                <w:rFonts w:cstheme="minorHAnsi"/>
                <w:szCs w:val="160"/>
              </w:rPr>
            </w:pPr>
            <w:r w:rsidRPr="0095296B">
              <w:rPr>
                <w:rFonts w:cstheme="minorHAnsi"/>
                <w:szCs w:val="160"/>
              </w:rPr>
              <w:t>EU</w:t>
            </w:r>
          </w:p>
        </w:tc>
        <w:tc>
          <w:tcPr>
            <w:tcW w:w="7167" w:type="dxa"/>
          </w:tcPr>
          <w:p w14:paraId="36C7C6BA" w14:textId="77777777" w:rsidR="00C36B4C" w:rsidRPr="0095296B" w:rsidRDefault="00C36B4C">
            <w:pPr>
              <w:tabs>
                <w:tab w:val="left" w:pos="2445"/>
              </w:tabs>
              <w:cnfStyle w:val="000000000000" w:firstRow="0" w:lastRow="0" w:firstColumn="0" w:lastColumn="0" w:oddVBand="0" w:evenVBand="0" w:oddHBand="0" w:evenHBand="0" w:firstRowFirstColumn="0" w:firstRowLastColumn="0" w:lastRowFirstColumn="0" w:lastRowLastColumn="0"/>
              <w:rPr>
                <w:szCs w:val="160"/>
              </w:rPr>
            </w:pPr>
            <w:r w:rsidRPr="0095296B">
              <w:rPr>
                <w:szCs w:val="160"/>
              </w:rPr>
              <w:t>European Union</w:t>
            </w:r>
          </w:p>
        </w:tc>
      </w:tr>
      <w:tr w:rsidR="00C36B4C" w:rsidRPr="0095296B" w14:paraId="7864AC43"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CD3CAEC" w14:textId="77777777" w:rsidR="00C36B4C" w:rsidRPr="0095296B" w:rsidRDefault="00C36B4C">
            <w:pPr>
              <w:rPr>
                <w:rFonts w:cstheme="minorHAnsi"/>
                <w:szCs w:val="96"/>
              </w:rPr>
            </w:pPr>
            <w:r w:rsidRPr="0095296B">
              <w:rPr>
                <w:rFonts w:cstheme="minorHAnsi"/>
                <w:szCs w:val="96"/>
              </w:rPr>
              <w:t>FDA</w:t>
            </w:r>
          </w:p>
        </w:tc>
        <w:tc>
          <w:tcPr>
            <w:tcW w:w="7167" w:type="dxa"/>
          </w:tcPr>
          <w:p w14:paraId="241C9AA0"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szCs w:val="96"/>
              </w:rPr>
            </w:pPr>
            <w:r w:rsidRPr="0095296B">
              <w:rPr>
                <w:szCs w:val="96"/>
              </w:rPr>
              <w:t>United States Food and Drug Administration</w:t>
            </w:r>
          </w:p>
        </w:tc>
      </w:tr>
      <w:tr w:rsidR="00C36B4C" w:rsidRPr="0095296B" w14:paraId="3E267BBF"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93172C3" w14:textId="77777777" w:rsidR="00C36B4C" w:rsidRPr="0095296B" w:rsidRDefault="00C36B4C">
            <w:pPr>
              <w:rPr>
                <w:rFonts w:cstheme="minorHAnsi"/>
              </w:rPr>
            </w:pPr>
            <w:r w:rsidRPr="0095296B">
              <w:rPr>
                <w:rFonts w:cstheme="minorHAnsi"/>
              </w:rPr>
              <w:t>HR</w:t>
            </w:r>
          </w:p>
        </w:tc>
        <w:tc>
          <w:tcPr>
            <w:tcW w:w="7167" w:type="dxa"/>
          </w:tcPr>
          <w:p w14:paraId="090C7663"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pPr>
            <w:r w:rsidRPr="0095296B">
              <w:t>Hazard ratio</w:t>
            </w:r>
          </w:p>
        </w:tc>
      </w:tr>
      <w:tr w:rsidR="00C36B4C" w:rsidRPr="0095296B" w14:paraId="19A96FC2"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56628AC" w14:textId="77777777" w:rsidR="00C36B4C" w:rsidRPr="0095296B" w:rsidRDefault="00C36B4C">
            <w:pPr>
              <w:rPr>
                <w:iCs/>
              </w:rPr>
            </w:pPr>
            <w:r w:rsidRPr="0095296B">
              <w:rPr>
                <w:iCs/>
              </w:rPr>
              <w:t>IRC</w:t>
            </w:r>
          </w:p>
        </w:tc>
        <w:tc>
          <w:tcPr>
            <w:tcW w:w="7167" w:type="dxa"/>
          </w:tcPr>
          <w:p w14:paraId="1B3349F8"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iCs/>
              </w:rPr>
            </w:pPr>
            <w:r w:rsidRPr="0095296B">
              <w:rPr>
                <w:iCs/>
              </w:rPr>
              <w:t>Independent Review Committee</w:t>
            </w:r>
          </w:p>
        </w:tc>
      </w:tr>
      <w:tr w:rsidR="00C36B4C" w:rsidRPr="0095296B" w14:paraId="064B5C24"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43135F4" w14:textId="77777777" w:rsidR="00C36B4C" w:rsidRPr="0095296B" w:rsidRDefault="00C36B4C">
            <w:pPr>
              <w:rPr>
                <w:iCs/>
                <w:szCs w:val="160"/>
              </w:rPr>
            </w:pPr>
            <w:r w:rsidRPr="0095296B">
              <w:rPr>
                <w:iCs/>
                <w:szCs w:val="160"/>
              </w:rPr>
              <w:t>IV</w:t>
            </w:r>
          </w:p>
        </w:tc>
        <w:tc>
          <w:tcPr>
            <w:tcW w:w="7167" w:type="dxa"/>
          </w:tcPr>
          <w:p w14:paraId="3EEF8844"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iCs/>
                <w:szCs w:val="160"/>
              </w:rPr>
            </w:pPr>
            <w:r w:rsidRPr="0095296B">
              <w:rPr>
                <w:iCs/>
                <w:szCs w:val="160"/>
              </w:rPr>
              <w:t>Intravenous</w:t>
            </w:r>
          </w:p>
        </w:tc>
      </w:tr>
      <w:tr w:rsidR="00C36B4C" w:rsidRPr="0095296B" w14:paraId="799263AF"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41A96D7" w14:textId="77777777" w:rsidR="00C36B4C" w:rsidRPr="0095296B" w:rsidRDefault="00C36B4C">
            <w:pPr>
              <w:rPr>
                <w:rFonts w:cstheme="minorHAnsi"/>
              </w:rPr>
            </w:pPr>
            <w:r w:rsidRPr="0095296B">
              <w:rPr>
                <w:rFonts w:cstheme="minorHAnsi"/>
              </w:rPr>
              <w:t>NE</w:t>
            </w:r>
          </w:p>
        </w:tc>
        <w:tc>
          <w:tcPr>
            <w:tcW w:w="7167" w:type="dxa"/>
          </w:tcPr>
          <w:p w14:paraId="5B196DB3"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pPr>
            <w:r w:rsidRPr="0095296B">
              <w:t>Not estimable</w:t>
            </w:r>
          </w:p>
        </w:tc>
      </w:tr>
      <w:tr w:rsidR="00C36B4C" w:rsidRPr="0095296B" w14:paraId="1B3CB9A4"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00733DA" w14:textId="77777777" w:rsidR="00C36B4C" w:rsidRPr="0095296B" w:rsidRDefault="00C36B4C">
            <w:pPr>
              <w:rPr>
                <w:rFonts w:cstheme="minorHAnsi"/>
              </w:rPr>
            </w:pPr>
            <w:r w:rsidRPr="0095296B">
              <w:rPr>
                <w:rFonts w:cstheme="minorHAnsi"/>
              </w:rPr>
              <w:t>NPC</w:t>
            </w:r>
          </w:p>
        </w:tc>
        <w:tc>
          <w:tcPr>
            <w:tcW w:w="7167" w:type="dxa"/>
          </w:tcPr>
          <w:p w14:paraId="2F5CEEAA"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pPr>
            <w:r w:rsidRPr="0095296B">
              <w:rPr>
                <w:szCs w:val="22"/>
              </w:rPr>
              <w:t>Nasopharyngeal carcinoma</w:t>
            </w:r>
          </w:p>
        </w:tc>
      </w:tr>
      <w:tr w:rsidR="00C36B4C" w:rsidRPr="0095296B" w14:paraId="58884080"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3AA8D71" w14:textId="77777777" w:rsidR="00C36B4C" w:rsidRPr="0095296B" w:rsidRDefault="00C36B4C">
            <w:pPr>
              <w:rPr>
                <w:rFonts w:cstheme="minorHAnsi"/>
                <w:szCs w:val="40"/>
              </w:rPr>
            </w:pPr>
            <w:r w:rsidRPr="0095296B">
              <w:rPr>
                <w:rFonts w:cstheme="minorHAnsi"/>
                <w:szCs w:val="40"/>
              </w:rPr>
              <w:t>ORR</w:t>
            </w:r>
          </w:p>
        </w:tc>
        <w:tc>
          <w:tcPr>
            <w:tcW w:w="7167" w:type="dxa"/>
          </w:tcPr>
          <w:p w14:paraId="4100D8C1"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rFonts w:cstheme="minorHAnsi"/>
                <w:szCs w:val="40"/>
              </w:rPr>
            </w:pPr>
            <w:r w:rsidRPr="0095296B">
              <w:rPr>
                <w:rFonts w:cstheme="minorHAnsi"/>
                <w:szCs w:val="40"/>
              </w:rPr>
              <w:t>Objective response rate</w:t>
            </w:r>
          </w:p>
        </w:tc>
      </w:tr>
      <w:tr w:rsidR="00C36B4C" w:rsidRPr="0095296B" w14:paraId="717BB855"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E1F46E9" w14:textId="77777777" w:rsidR="00C36B4C" w:rsidRPr="0095296B" w:rsidRDefault="00C36B4C">
            <w:pPr>
              <w:rPr>
                <w:rFonts w:cstheme="minorHAnsi"/>
                <w:szCs w:val="32"/>
              </w:rPr>
            </w:pPr>
            <w:r w:rsidRPr="0095296B">
              <w:rPr>
                <w:rFonts w:cstheme="minorHAnsi"/>
                <w:szCs w:val="32"/>
              </w:rPr>
              <w:t>OS</w:t>
            </w:r>
          </w:p>
        </w:tc>
        <w:tc>
          <w:tcPr>
            <w:tcW w:w="7167" w:type="dxa"/>
          </w:tcPr>
          <w:p w14:paraId="10F065BD"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rFonts w:cstheme="minorHAnsi"/>
                <w:szCs w:val="32"/>
              </w:rPr>
            </w:pPr>
            <w:r w:rsidRPr="0095296B">
              <w:rPr>
                <w:rFonts w:cstheme="minorHAnsi"/>
                <w:szCs w:val="32"/>
              </w:rPr>
              <w:t>Overall survival</w:t>
            </w:r>
          </w:p>
        </w:tc>
      </w:tr>
      <w:tr w:rsidR="00C36B4C" w:rsidRPr="0095296B" w14:paraId="7F4EEA44"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25B8952" w14:textId="77777777" w:rsidR="00C36B4C" w:rsidRPr="0095296B" w:rsidRDefault="00C36B4C">
            <w:pPr>
              <w:rPr>
                <w:rFonts w:cstheme="minorHAnsi"/>
              </w:rPr>
            </w:pPr>
            <w:r w:rsidRPr="0095296B">
              <w:rPr>
                <w:rFonts w:cstheme="minorHAnsi"/>
              </w:rPr>
              <w:t>PD-1</w:t>
            </w:r>
          </w:p>
        </w:tc>
        <w:tc>
          <w:tcPr>
            <w:tcW w:w="7167" w:type="dxa"/>
          </w:tcPr>
          <w:p w14:paraId="7CAFCCC0"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pPr>
            <w:r w:rsidRPr="0095296B">
              <w:t>Programmed death receptor 1</w:t>
            </w:r>
          </w:p>
        </w:tc>
      </w:tr>
      <w:tr w:rsidR="00C36B4C" w:rsidRPr="0095296B" w14:paraId="6A00BF86"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17E311C" w14:textId="77777777" w:rsidR="00C36B4C" w:rsidRPr="0095296B" w:rsidRDefault="00C36B4C">
            <w:pPr>
              <w:rPr>
                <w:rFonts w:cstheme="minorHAnsi"/>
              </w:rPr>
            </w:pPr>
            <w:r w:rsidRPr="0095296B">
              <w:rPr>
                <w:rFonts w:cstheme="minorHAnsi"/>
              </w:rPr>
              <w:t>PD-L1</w:t>
            </w:r>
          </w:p>
        </w:tc>
        <w:tc>
          <w:tcPr>
            <w:tcW w:w="7167" w:type="dxa"/>
          </w:tcPr>
          <w:p w14:paraId="312EC322"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pPr>
            <w:r w:rsidRPr="0095296B">
              <w:t>Programmed death ligand 1</w:t>
            </w:r>
          </w:p>
        </w:tc>
      </w:tr>
      <w:tr w:rsidR="00C36B4C" w:rsidRPr="0095296B" w14:paraId="7B4E0766"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9C05F28" w14:textId="77777777" w:rsidR="00C36B4C" w:rsidRPr="0095296B" w:rsidRDefault="00C36B4C">
            <w:pPr>
              <w:rPr>
                <w:rFonts w:cstheme="minorHAnsi"/>
              </w:rPr>
            </w:pPr>
            <w:r w:rsidRPr="0095296B">
              <w:rPr>
                <w:rFonts w:cstheme="minorHAnsi"/>
              </w:rPr>
              <w:t>PD-L2</w:t>
            </w:r>
          </w:p>
        </w:tc>
        <w:tc>
          <w:tcPr>
            <w:tcW w:w="7167" w:type="dxa"/>
          </w:tcPr>
          <w:p w14:paraId="240F5574"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pPr>
            <w:r w:rsidRPr="0095296B">
              <w:t>Programmed death ligand 2</w:t>
            </w:r>
          </w:p>
        </w:tc>
      </w:tr>
      <w:tr w:rsidR="00C36B4C" w:rsidRPr="0095296B" w14:paraId="366469EC"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B7EC019" w14:textId="77777777" w:rsidR="00C36B4C" w:rsidRPr="0095296B" w:rsidRDefault="00C36B4C">
            <w:pPr>
              <w:rPr>
                <w:rFonts w:cstheme="minorHAnsi"/>
                <w:szCs w:val="32"/>
              </w:rPr>
            </w:pPr>
            <w:r w:rsidRPr="0095296B">
              <w:rPr>
                <w:rFonts w:cstheme="minorHAnsi"/>
                <w:szCs w:val="32"/>
              </w:rPr>
              <w:t>PFS</w:t>
            </w:r>
          </w:p>
        </w:tc>
        <w:tc>
          <w:tcPr>
            <w:tcW w:w="7167" w:type="dxa"/>
          </w:tcPr>
          <w:p w14:paraId="489C7C96"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szCs w:val="32"/>
              </w:rPr>
            </w:pPr>
            <w:r w:rsidRPr="0095296B">
              <w:rPr>
                <w:szCs w:val="32"/>
              </w:rPr>
              <w:t>Progression-free survival</w:t>
            </w:r>
          </w:p>
        </w:tc>
      </w:tr>
      <w:tr w:rsidR="00C36B4C" w:rsidRPr="0095296B" w14:paraId="599C9F37"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5405DFF" w14:textId="77777777" w:rsidR="00C36B4C" w:rsidRPr="0095296B" w:rsidRDefault="00C36B4C">
            <w:pPr>
              <w:rPr>
                <w:rFonts w:cstheme="minorHAnsi"/>
                <w:color w:val="auto"/>
              </w:rPr>
            </w:pPr>
            <w:r w:rsidRPr="0095296B">
              <w:rPr>
                <w:rFonts w:cstheme="minorHAnsi"/>
                <w:color w:val="auto"/>
              </w:rPr>
              <w:t>PI</w:t>
            </w:r>
          </w:p>
        </w:tc>
        <w:tc>
          <w:tcPr>
            <w:tcW w:w="7167" w:type="dxa"/>
          </w:tcPr>
          <w:p w14:paraId="5162E29E"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95296B">
              <w:rPr>
                <w:rFonts w:cstheme="minorHAnsi"/>
                <w:color w:val="auto"/>
              </w:rPr>
              <w:t>Product Information</w:t>
            </w:r>
          </w:p>
        </w:tc>
      </w:tr>
      <w:tr w:rsidR="00C36B4C" w:rsidRPr="0095296B" w14:paraId="5C6E9451"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894D652" w14:textId="77777777" w:rsidR="00C36B4C" w:rsidRPr="0095296B" w:rsidRDefault="00C36B4C">
            <w:pPr>
              <w:rPr>
                <w:rFonts w:cstheme="minorHAnsi"/>
                <w:szCs w:val="24"/>
              </w:rPr>
            </w:pPr>
            <w:r w:rsidRPr="0095296B">
              <w:rPr>
                <w:rFonts w:cstheme="minorHAnsi"/>
                <w:szCs w:val="24"/>
              </w:rPr>
              <w:t>PK</w:t>
            </w:r>
          </w:p>
        </w:tc>
        <w:tc>
          <w:tcPr>
            <w:tcW w:w="7167" w:type="dxa"/>
          </w:tcPr>
          <w:p w14:paraId="30EF03B9"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rFonts w:cstheme="minorHAnsi"/>
                <w:szCs w:val="24"/>
              </w:rPr>
            </w:pPr>
            <w:r w:rsidRPr="0095296B">
              <w:rPr>
                <w:rFonts w:cstheme="minorHAnsi"/>
                <w:szCs w:val="24"/>
              </w:rPr>
              <w:t>Pharmacokinetic(s)</w:t>
            </w:r>
          </w:p>
        </w:tc>
      </w:tr>
      <w:tr w:rsidR="00C36B4C" w:rsidRPr="0095296B" w14:paraId="14A11309"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93CC58A" w14:textId="77777777" w:rsidR="00C36B4C" w:rsidRPr="0095296B" w:rsidRDefault="00C36B4C">
            <w:pPr>
              <w:rPr>
                <w:rFonts w:cstheme="minorHAnsi"/>
                <w:szCs w:val="48"/>
              </w:rPr>
            </w:pPr>
            <w:proofErr w:type="spellStart"/>
            <w:r w:rsidRPr="0095296B">
              <w:rPr>
                <w:rFonts w:cstheme="minorHAnsi"/>
                <w:szCs w:val="48"/>
              </w:rPr>
              <w:t>PopPK</w:t>
            </w:r>
            <w:proofErr w:type="spellEnd"/>
          </w:p>
        </w:tc>
        <w:tc>
          <w:tcPr>
            <w:tcW w:w="7167" w:type="dxa"/>
          </w:tcPr>
          <w:p w14:paraId="4B72F801"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rFonts w:cstheme="minorHAnsi"/>
                <w:szCs w:val="48"/>
              </w:rPr>
            </w:pPr>
            <w:r w:rsidRPr="0095296B">
              <w:rPr>
                <w:rFonts w:cstheme="minorHAnsi"/>
                <w:szCs w:val="48"/>
              </w:rPr>
              <w:t>Population pharmacokinetic(s)</w:t>
            </w:r>
          </w:p>
        </w:tc>
      </w:tr>
      <w:tr w:rsidR="00C36B4C" w:rsidRPr="0095296B" w14:paraId="1785B6A1"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263FD7D" w14:textId="77777777" w:rsidR="00C36B4C" w:rsidRPr="0095296B" w:rsidRDefault="00C36B4C">
            <w:pPr>
              <w:rPr>
                <w:rFonts w:cstheme="minorHAnsi"/>
                <w:szCs w:val="32"/>
              </w:rPr>
            </w:pPr>
            <w:r w:rsidRPr="0095296B">
              <w:rPr>
                <w:rFonts w:cstheme="minorHAnsi"/>
                <w:szCs w:val="32"/>
              </w:rPr>
              <w:t>PTAS</w:t>
            </w:r>
          </w:p>
        </w:tc>
        <w:tc>
          <w:tcPr>
            <w:tcW w:w="7167" w:type="dxa"/>
          </w:tcPr>
          <w:p w14:paraId="5100673F" w14:textId="77777777" w:rsidR="00C36B4C" w:rsidRPr="0095296B" w:rsidRDefault="00C36B4C">
            <w:pPr>
              <w:tabs>
                <w:tab w:val="center" w:pos="3532"/>
              </w:tabs>
              <w:cnfStyle w:val="000000000000" w:firstRow="0" w:lastRow="0" w:firstColumn="0" w:lastColumn="0" w:oddVBand="0" w:evenVBand="0" w:oddHBand="0" w:evenHBand="0" w:firstRowFirstColumn="0" w:firstRowLastColumn="0" w:lastRowFirstColumn="0" w:lastRowLastColumn="0"/>
              <w:rPr>
                <w:szCs w:val="32"/>
              </w:rPr>
            </w:pPr>
            <w:r w:rsidRPr="0095296B">
              <w:rPr>
                <w:szCs w:val="32"/>
              </w:rPr>
              <w:t>Platinum treated analysis set</w:t>
            </w:r>
          </w:p>
        </w:tc>
      </w:tr>
      <w:tr w:rsidR="00C36B4C" w:rsidRPr="0095296B" w14:paraId="2815D71A"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FBC07B1" w14:textId="77777777" w:rsidR="00C36B4C" w:rsidRPr="0095296B" w:rsidRDefault="00C36B4C">
            <w:pPr>
              <w:rPr>
                <w:rFonts w:cstheme="minorHAnsi"/>
              </w:rPr>
            </w:pPr>
            <w:r w:rsidRPr="0095296B">
              <w:rPr>
                <w:rFonts w:cstheme="minorHAnsi"/>
              </w:rPr>
              <w:t>RECIST</w:t>
            </w:r>
          </w:p>
        </w:tc>
        <w:tc>
          <w:tcPr>
            <w:tcW w:w="7167" w:type="dxa"/>
          </w:tcPr>
          <w:p w14:paraId="6B7FFCE5" w14:textId="77777777" w:rsidR="00C36B4C" w:rsidRPr="0095296B" w:rsidRDefault="00C36B4C">
            <w:pPr>
              <w:tabs>
                <w:tab w:val="center" w:pos="3532"/>
              </w:tabs>
              <w:cnfStyle w:val="000000000000" w:firstRow="0" w:lastRow="0" w:firstColumn="0" w:lastColumn="0" w:oddVBand="0" w:evenVBand="0" w:oddHBand="0" w:evenHBand="0" w:firstRowFirstColumn="0" w:firstRowLastColumn="0" w:lastRowFirstColumn="0" w:lastRowLastColumn="0"/>
            </w:pPr>
            <w:r w:rsidRPr="0095296B">
              <w:t>Response Evaluation Criteria in Solid Tumours</w:t>
            </w:r>
          </w:p>
        </w:tc>
      </w:tr>
      <w:tr w:rsidR="00C36B4C" w:rsidRPr="0095296B" w14:paraId="430C8F6E"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8E9C84D" w14:textId="77777777" w:rsidR="00C36B4C" w:rsidRPr="0095296B" w:rsidRDefault="00C36B4C">
            <w:pPr>
              <w:rPr>
                <w:rFonts w:cstheme="minorHAnsi"/>
                <w:color w:val="auto"/>
              </w:rPr>
            </w:pPr>
            <w:r w:rsidRPr="0095296B">
              <w:rPr>
                <w:rFonts w:cstheme="minorHAnsi"/>
                <w:color w:val="auto"/>
              </w:rPr>
              <w:t>RMP</w:t>
            </w:r>
          </w:p>
        </w:tc>
        <w:tc>
          <w:tcPr>
            <w:tcW w:w="7167" w:type="dxa"/>
          </w:tcPr>
          <w:p w14:paraId="6BB6133A" w14:textId="77777777" w:rsidR="00C36B4C" w:rsidRPr="0095296B" w:rsidRDefault="00C36B4C">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color w:val="auto"/>
              </w:rPr>
            </w:pPr>
            <w:r w:rsidRPr="0095296B">
              <w:rPr>
                <w:rFonts w:cstheme="minorHAnsi"/>
                <w:color w:val="auto"/>
              </w:rPr>
              <w:t>Risk management plan</w:t>
            </w:r>
          </w:p>
        </w:tc>
      </w:tr>
      <w:tr w:rsidR="00C36B4C" w:rsidRPr="0095296B" w14:paraId="2F2E56EF"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3E75670" w14:textId="77777777" w:rsidR="00C36B4C" w:rsidRPr="0095296B" w:rsidRDefault="00C36B4C">
            <w:pPr>
              <w:rPr>
                <w:rFonts w:cstheme="minorHAnsi"/>
                <w:color w:val="auto"/>
              </w:rPr>
            </w:pPr>
            <w:r w:rsidRPr="0095296B">
              <w:rPr>
                <w:rFonts w:cstheme="minorHAnsi"/>
                <w:color w:val="auto"/>
              </w:rPr>
              <w:t>TGA</w:t>
            </w:r>
          </w:p>
        </w:tc>
        <w:tc>
          <w:tcPr>
            <w:tcW w:w="7167" w:type="dxa"/>
          </w:tcPr>
          <w:p w14:paraId="6CEBDA9B"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95296B">
              <w:rPr>
                <w:rFonts w:cstheme="minorHAnsi"/>
                <w:color w:val="auto"/>
              </w:rPr>
              <w:t>Therapeutic Goods Administration</w:t>
            </w:r>
          </w:p>
        </w:tc>
      </w:tr>
      <w:tr w:rsidR="00C36B4C" w:rsidRPr="0095296B" w14:paraId="5340E1A7"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FC9D496" w14:textId="77777777" w:rsidR="00C36B4C" w:rsidRPr="0095296B" w:rsidRDefault="00C36B4C">
            <w:pPr>
              <w:rPr>
                <w:rFonts w:cstheme="minorHAnsi"/>
                <w:szCs w:val="48"/>
              </w:rPr>
            </w:pPr>
            <w:r w:rsidRPr="0095296B">
              <w:rPr>
                <w:rFonts w:cstheme="minorHAnsi"/>
                <w:szCs w:val="48"/>
              </w:rPr>
              <w:t>ULN</w:t>
            </w:r>
          </w:p>
        </w:tc>
        <w:tc>
          <w:tcPr>
            <w:tcW w:w="7167" w:type="dxa"/>
          </w:tcPr>
          <w:p w14:paraId="1CED3617"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szCs w:val="48"/>
              </w:rPr>
            </w:pPr>
            <w:r w:rsidRPr="0095296B">
              <w:rPr>
                <w:szCs w:val="48"/>
              </w:rPr>
              <w:t>Upper limit of normal</w:t>
            </w:r>
          </w:p>
        </w:tc>
      </w:tr>
      <w:tr w:rsidR="00C36B4C" w:rsidRPr="00503217" w14:paraId="14A3278A"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B1DA093" w14:textId="77777777" w:rsidR="00C36B4C" w:rsidRPr="0095296B" w:rsidRDefault="00C36B4C">
            <w:pPr>
              <w:rPr>
                <w:rFonts w:cstheme="minorHAnsi"/>
                <w:szCs w:val="40"/>
              </w:rPr>
            </w:pPr>
            <w:r w:rsidRPr="0095296B">
              <w:rPr>
                <w:rFonts w:cstheme="minorHAnsi"/>
              </w:rPr>
              <w:lastRenderedPageBreak/>
              <w:t>US</w:t>
            </w:r>
          </w:p>
        </w:tc>
        <w:tc>
          <w:tcPr>
            <w:tcW w:w="7167" w:type="dxa"/>
          </w:tcPr>
          <w:p w14:paraId="3AA63099" w14:textId="77777777" w:rsidR="00C36B4C" w:rsidRPr="0095296B" w:rsidRDefault="00C36B4C">
            <w:pPr>
              <w:cnfStyle w:val="000000000000" w:firstRow="0" w:lastRow="0" w:firstColumn="0" w:lastColumn="0" w:oddVBand="0" w:evenVBand="0" w:oddHBand="0" w:evenHBand="0" w:firstRowFirstColumn="0" w:firstRowLastColumn="0" w:lastRowFirstColumn="0" w:lastRowLastColumn="0"/>
              <w:rPr>
                <w:szCs w:val="40"/>
              </w:rPr>
            </w:pPr>
            <w:r w:rsidRPr="0095296B">
              <w:t>United States (of America)</w:t>
            </w:r>
          </w:p>
        </w:tc>
      </w:tr>
      <w:bookmarkEnd w:id="5"/>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233974533"/>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233974534"/>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3E9C6740" w:rsidR="00324B33" w:rsidRPr="00BD5DBD" w:rsidRDefault="00324B33" w:rsidP="007452E8">
            <w:pPr>
              <w:rPr>
                <w:i/>
                <w:szCs w:val="22"/>
              </w:rPr>
            </w:pPr>
            <w:r w:rsidRPr="00BD5DBD">
              <w:rPr>
                <w:i/>
                <w:szCs w:val="22"/>
              </w:rPr>
              <w:t>Type of submission:</w:t>
            </w:r>
          </w:p>
        </w:tc>
        <w:tc>
          <w:tcPr>
            <w:tcW w:w="3423" w:type="pct"/>
          </w:tcPr>
          <w:p w14:paraId="4F07C303" w14:textId="13ED5A91" w:rsidR="00324B33" w:rsidRPr="00BD5DBD" w:rsidRDefault="00324B33" w:rsidP="007452E8">
            <w:pPr>
              <w:rPr>
                <w:szCs w:val="22"/>
              </w:rPr>
            </w:pPr>
            <w:r w:rsidRPr="00BD5DBD">
              <w:rPr>
                <w:szCs w:val="22"/>
              </w:rPr>
              <w:t xml:space="preserve">New </w:t>
            </w:r>
            <w:r w:rsidR="007E3438">
              <w:rPr>
                <w:szCs w:val="22"/>
              </w:rPr>
              <w:t>biological</w:t>
            </w:r>
            <w:r w:rsidRPr="00BD5DBD">
              <w:rPr>
                <w:szCs w:val="22"/>
              </w:rPr>
              <w:t xml:space="preserve"> entity</w:t>
            </w:r>
          </w:p>
        </w:tc>
      </w:tr>
      <w:tr w:rsidR="00324B33" w:rsidRPr="00BD5DBD" w14:paraId="13482B61" w14:textId="77777777" w:rsidTr="00F865A7">
        <w:tc>
          <w:tcPr>
            <w:tcW w:w="1577" w:type="pct"/>
          </w:tcPr>
          <w:p w14:paraId="2C427FCF" w14:textId="22309B0B" w:rsidR="00324B33" w:rsidRPr="00BD5DBD" w:rsidRDefault="00324B33" w:rsidP="007452E8">
            <w:pPr>
              <w:rPr>
                <w:i/>
                <w:szCs w:val="22"/>
              </w:rPr>
            </w:pPr>
            <w:r w:rsidRPr="00BD5DBD">
              <w:rPr>
                <w:i/>
                <w:szCs w:val="22"/>
              </w:rPr>
              <w:t>Product name:</w:t>
            </w:r>
          </w:p>
        </w:tc>
        <w:tc>
          <w:tcPr>
            <w:tcW w:w="3423" w:type="pct"/>
          </w:tcPr>
          <w:p w14:paraId="0E2DEF76" w14:textId="317512FA" w:rsidR="00324B33" w:rsidRPr="00BD5DBD" w:rsidRDefault="009B0D5D" w:rsidP="007452E8">
            <w:pPr>
              <w:rPr>
                <w:szCs w:val="22"/>
              </w:rPr>
            </w:pPr>
            <w:bookmarkStart w:id="12" w:name="_Ref227245216"/>
            <w:r>
              <w:rPr>
                <w:szCs w:val="22"/>
              </w:rPr>
              <w:t>Tuoyi</w:t>
            </w:r>
            <w:r w:rsidR="003268D4">
              <w:rPr>
                <w:rStyle w:val="FootnoteReference"/>
              </w:rPr>
              <w:footnoteReference w:id="1"/>
            </w:r>
            <w:bookmarkEnd w:id="12"/>
          </w:p>
        </w:tc>
      </w:tr>
      <w:tr w:rsidR="00324B33" w:rsidRPr="00BD5DBD" w14:paraId="01255B5B" w14:textId="77777777" w:rsidTr="00F865A7">
        <w:tc>
          <w:tcPr>
            <w:tcW w:w="1577" w:type="pct"/>
          </w:tcPr>
          <w:p w14:paraId="52B4F3D7" w14:textId="759EBB97" w:rsidR="00324B33" w:rsidRPr="00BD5DBD" w:rsidRDefault="00324B33" w:rsidP="007452E8">
            <w:pPr>
              <w:rPr>
                <w:i/>
                <w:szCs w:val="22"/>
              </w:rPr>
            </w:pPr>
            <w:r w:rsidRPr="00BD5DBD">
              <w:rPr>
                <w:i/>
                <w:szCs w:val="22"/>
              </w:rPr>
              <w:t>Active ingredient:</w:t>
            </w:r>
          </w:p>
        </w:tc>
        <w:tc>
          <w:tcPr>
            <w:tcW w:w="3423" w:type="pct"/>
          </w:tcPr>
          <w:p w14:paraId="02FB6383" w14:textId="192412B3" w:rsidR="00324B33" w:rsidRPr="00BD5DBD" w:rsidRDefault="000668C6" w:rsidP="007452E8">
            <w:pPr>
              <w:rPr>
                <w:szCs w:val="22"/>
              </w:rPr>
            </w:pPr>
            <w:proofErr w:type="spellStart"/>
            <w:r w:rsidRPr="000668C6">
              <w:rPr>
                <w:szCs w:val="22"/>
              </w:rPr>
              <w:t>Toripalimab</w:t>
            </w:r>
            <w:proofErr w:type="spellEnd"/>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CEAF2BC"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26A3C32A" w:rsidR="00AE1947" w:rsidRPr="00BD5DBD" w:rsidRDefault="00F61392">
            <w:pPr>
              <w:rPr>
                <w:szCs w:val="22"/>
              </w:rPr>
            </w:pPr>
            <w:r>
              <w:rPr>
                <w:szCs w:val="22"/>
              </w:rPr>
              <w:t>16 January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47D3FDE3" w:rsidR="00324B33" w:rsidRPr="00BD5DBD" w:rsidRDefault="00EE1113" w:rsidP="007452E8">
            <w:pPr>
              <w:rPr>
                <w:szCs w:val="22"/>
              </w:rPr>
            </w:pPr>
            <w:r>
              <w:rPr>
                <w:szCs w:val="22"/>
              </w:rPr>
              <w:t>21 January 2025</w:t>
            </w:r>
          </w:p>
        </w:tc>
      </w:tr>
      <w:tr w:rsidR="00324B33" w:rsidRPr="00BD5DBD" w14:paraId="547E08D7" w14:textId="77777777" w:rsidTr="00F865A7">
        <w:tc>
          <w:tcPr>
            <w:tcW w:w="1577" w:type="pct"/>
          </w:tcPr>
          <w:p w14:paraId="5030EF30" w14:textId="5621A3E4" w:rsidR="00324B33" w:rsidRPr="00BD5DBD" w:rsidRDefault="00324B33" w:rsidP="007452E8">
            <w:pPr>
              <w:rPr>
                <w:i/>
                <w:szCs w:val="22"/>
              </w:rPr>
            </w:pPr>
            <w:r w:rsidRPr="00BD5DBD">
              <w:rPr>
                <w:i/>
                <w:szCs w:val="22"/>
              </w:rPr>
              <w:t>ARTG number:</w:t>
            </w:r>
          </w:p>
        </w:tc>
        <w:tc>
          <w:tcPr>
            <w:tcW w:w="3423" w:type="pct"/>
          </w:tcPr>
          <w:p w14:paraId="0054E912" w14:textId="109D5DFA" w:rsidR="00324B33" w:rsidRPr="00BD5DBD" w:rsidRDefault="00F61392" w:rsidP="007452E8">
            <w:pPr>
              <w:rPr>
                <w:szCs w:val="22"/>
              </w:rPr>
            </w:pPr>
            <w:r w:rsidRPr="00F61392">
              <w:rPr>
                <w:szCs w:val="22"/>
              </w:rPr>
              <w:t>426950</w:t>
            </w:r>
          </w:p>
        </w:tc>
      </w:tr>
      <w:tr w:rsidR="00324B33" w:rsidRPr="00BD5DBD" w14:paraId="7618393F" w14:textId="77777777" w:rsidTr="00F865A7">
        <w:tc>
          <w:tcPr>
            <w:tcW w:w="1577" w:type="pct"/>
          </w:tcPr>
          <w:p w14:paraId="6C24CEB6" w14:textId="165619A1" w:rsidR="00E47E0C" w:rsidRPr="00BD5DBD" w:rsidRDefault="00324B33" w:rsidP="007452E8">
            <w:pPr>
              <w:rPr>
                <w:rStyle w:val="Hyperlink"/>
                <w:i/>
                <w:szCs w:val="22"/>
              </w:rPr>
            </w:pPr>
            <w:r w:rsidRPr="00BD5DBD">
              <w:rPr>
                <w:rFonts w:ascii="Wingdings 3" w:hAnsi="Wingdings 3"/>
                <w:szCs w:val="22"/>
                <w:lang w:eastAsia="en-AU"/>
              </w:rPr>
              <w:t></w:t>
            </w:r>
            <w:hyperlink r:id="rId20"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36FC3A3C"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1971A8A" w14:textId="622C480D" w:rsidR="00563957" w:rsidRPr="00563957" w:rsidRDefault="004108A1" w:rsidP="00563957">
            <w:pPr>
              <w:rPr>
                <w:szCs w:val="22"/>
              </w:rPr>
            </w:pPr>
            <w:bookmarkStart w:id="13" w:name="_Ref227245185"/>
            <w:r w:rsidRPr="004108A1">
              <w:rPr>
                <w:szCs w:val="22"/>
              </w:rPr>
              <w:t>AA-Med Pty Ltd</w:t>
            </w:r>
            <w:bookmarkStart w:id="14" w:name="_Ref227843930"/>
            <w:r w:rsidR="00563957">
              <w:rPr>
                <w:rStyle w:val="FootnoteReference"/>
                <w:szCs w:val="22"/>
              </w:rPr>
              <w:footnoteReference w:id="2"/>
            </w:r>
            <w:bookmarkEnd w:id="13"/>
            <w:bookmarkEnd w:id="14"/>
          </w:p>
          <w:p w14:paraId="1F0AF027" w14:textId="01ABBEDF" w:rsidR="004803D6" w:rsidRDefault="004803D6" w:rsidP="00563957">
            <w:pPr>
              <w:rPr>
                <w:szCs w:val="22"/>
              </w:rPr>
            </w:pPr>
            <w:r w:rsidRPr="004803D6">
              <w:rPr>
                <w:szCs w:val="22"/>
              </w:rPr>
              <w:t>Suite 4, Level 10, 1 Chandos Street</w:t>
            </w:r>
          </w:p>
          <w:p w14:paraId="68DD94B0" w14:textId="44C39A80" w:rsidR="00324B33" w:rsidRPr="00BD5DBD" w:rsidRDefault="004803D6" w:rsidP="00563957">
            <w:pPr>
              <w:rPr>
                <w:szCs w:val="22"/>
              </w:rPr>
            </w:pPr>
            <w:r w:rsidRPr="004803D6">
              <w:rPr>
                <w:szCs w:val="22"/>
              </w:rPr>
              <w:t>St Leonards NSW 2065</w:t>
            </w:r>
          </w:p>
        </w:tc>
      </w:tr>
      <w:tr w:rsidR="00324B33" w:rsidRPr="00BD5DBD" w14:paraId="5322B989" w14:textId="77777777" w:rsidTr="00F865A7">
        <w:tc>
          <w:tcPr>
            <w:tcW w:w="1577" w:type="pct"/>
          </w:tcPr>
          <w:p w14:paraId="24F217E3" w14:textId="2CA8CDFE" w:rsidR="00324B33" w:rsidRPr="00BD5DBD" w:rsidRDefault="00324B33" w:rsidP="007452E8">
            <w:pPr>
              <w:rPr>
                <w:i/>
                <w:szCs w:val="22"/>
              </w:rPr>
            </w:pPr>
            <w:r w:rsidRPr="00BD5DBD">
              <w:rPr>
                <w:i/>
                <w:szCs w:val="22"/>
              </w:rPr>
              <w:t>Dose form:</w:t>
            </w:r>
          </w:p>
        </w:tc>
        <w:tc>
          <w:tcPr>
            <w:tcW w:w="3423" w:type="pct"/>
          </w:tcPr>
          <w:p w14:paraId="768B254C" w14:textId="70ADF559" w:rsidR="00324B33" w:rsidRPr="00BD5DBD" w:rsidRDefault="002E1C9C" w:rsidP="007452E8">
            <w:pPr>
              <w:rPr>
                <w:szCs w:val="22"/>
              </w:rPr>
            </w:pPr>
            <w:r>
              <w:rPr>
                <w:szCs w:val="22"/>
              </w:rPr>
              <w:t>Concentrated injection</w:t>
            </w:r>
          </w:p>
        </w:tc>
      </w:tr>
      <w:tr w:rsidR="00324B33" w:rsidRPr="00BD5DBD" w14:paraId="115243E6" w14:textId="77777777" w:rsidTr="00F865A7">
        <w:tc>
          <w:tcPr>
            <w:tcW w:w="1577" w:type="pct"/>
          </w:tcPr>
          <w:p w14:paraId="7634B062" w14:textId="6EE0E900" w:rsidR="00324B33" w:rsidRPr="00BD5DBD" w:rsidRDefault="00324B33" w:rsidP="007452E8">
            <w:pPr>
              <w:rPr>
                <w:i/>
                <w:szCs w:val="22"/>
              </w:rPr>
            </w:pPr>
            <w:r w:rsidRPr="00BD5DBD">
              <w:rPr>
                <w:i/>
                <w:szCs w:val="22"/>
              </w:rPr>
              <w:t>Strength:</w:t>
            </w:r>
          </w:p>
        </w:tc>
        <w:tc>
          <w:tcPr>
            <w:tcW w:w="3423" w:type="pct"/>
          </w:tcPr>
          <w:p w14:paraId="5E5F83DB" w14:textId="4C29E475" w:rsidR="00324B33" w:rsidRPr="00BD5DBD" w:rsidRDefault="009F4041" w:rsidP="007452E8">
            <w:pPr>
              <w:rPr>
                <w:szCs w:val="22"/>
              </w:rPr>
            </w:pPr>
            <w:r>
              <w:rPr>
                <w:szCs w:val="22"/>
              </w:rPr>
              <w:t>240 mg/6 mL</w:t>
            </w:r>
          </w:p>
        </w:tc>
      </w:tr>
      <w:tr w:rsidR="00324B33" w:rsidRPr="00BD5DBD" w14:paraId="34B07BA6" w14:textId="77777777" w:rsidTr="00F865A7">
        <w:tc>
          <w:tcPr>
            <w:tcW w:w="1577" w:type="pct"/>
          </w:tcPr>
          <w:p w14:paraId="1C039224" w14:textId="14E2EC73" w:rsidR="00324B33" w:rsidRPr="00BD5DBD" w:rsidRDefault="00324B33" w:rsidP="007452E8">
            <w:pPr>
              <w:rPr>
                <w:i/>
                <w:szCs w:val="22"/>
              </w:rPr>
            </w:pPr>
            <w:r w:rsidRPr="00BD5DBD">
              <w:rPr>
                <w:i/>
                <w:szCs w:val="22"/>
              </w:rPr>
              <w:t>Container:</w:t>
            </w:r>
          </w:p>
        </w:tc>
        <w:tc>
          <w:tcPr>
            <w:tcW w:w="3423" w:type="pct"/>
          </w:tcPr>
          <w:p w14:paraId="500A42C6" w14:textId="49EEBE7C" w:rsidR="00324B33" w:rsidRPr="00BD5DBD" w:rsidRDefault="009F4041" w:rsidP="007452E8">
            <w:pPr>
              <w:rPr>
                <w:szCs w:val="22"/>
              </w:rPr>
            </w:pPr>
            <w:r>
              <w:rPr>
                <w:szCs w:val="22"/>
              </w:rPr>
              <w:t>Vial</w:t>
            </w:r>
          </w:p>
        </w:tc>
      </w:tr>
      <w:tr w:rsidR="00324B33" w:rsidRPr="00BD5DBD" w14:paraId="176B6773" w14:textId="77777777" w:rsidTr="00F865A7">
        <w:tc>
          <w:tcPr>
            <w:tcW w:w="1577" w:type="pct"/>
          </w:tcPr>
          <w:p w14:paraId="71846159" w14:textId="4F2CF414" w:rsidR="00324B33" w:rsidRPr="00BD5DBD" w:rsidRDefault="00324B33" w:rsidP="007452E8">
            <w:pPr>
              <w:rPr>
                <w:i/>
                <w:szCs w:val="22"/>
              </w:rPr>
            </w:pPr>
            <w:r w:rsidRPr="00BD5DBD">
              <w:rPr>
                <w:i/>
                <w:szCs w:val="22"/>
              </w:rPr>
              <w:t>Pack size:</w:t>
            </w:r>
          </w:p>
        </w:tc>
        <w:tc>
          <w:tcPr>
            <w:tcW w:w="3423" w:type="pct"/>
          </w:tcPr>
          <w:p w14:paraId="7E978F8F" w14:textId="043B653E" w:rsidR="00324B33" w:rsidRPr="00BD5DBD" w:rsidRDefault="003E1741" w:rsidP="007452E8">
            <w:pPr>
              <w:rPr>
                <w:szCs w:val="22"/>
              </w:rPr>
            </w:pPr>
            <w:r>
              <w:rPr>
                <w:szCs w:val="22"/>
              </w:rPr>
              <w:t>One</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47777C00" w14:textId="5C953788" w:rsidR="00D818C0" w:rsidRPr="00D818C0" w:rsidRDefault="004803D6" w:rsidP="00D818C0">
            <w:pPr>
              <w:rPr>
                <w:szCs w:val="22"/>
              </w:rPr>
            </w:pPr>
            <w:r>
              <w:rPr>
                <w:szCs w:val="22"/>
              </w:rPr>
              <w:t>Tuoyi</w:t>
            </w:r>
            <w:r w:rsidR="00D818C0" w:rsidRPr="00D818C0">
              <w:rPr>
                <w:szCs w:val="22"/>
              </w:rPr>
              <w:t xml:space="preserve"> is indicated, in combination with cisplatin and gemcitabine, for the first-line</w:t>
            </w:r>
            <w:r w:rsidR="00D818C0">
              <w:rPr>
                <w:szCs w:val="22"/>
              </w:rPr>
              <w:t xml:space="preserve"> </w:t>
            </w:r>
            <w:r w:rsidR="00D818C0" w:rsidRPr="00D818C0">
              <w:rPr>
                <w:szCs w:val="22"/>
              </w:rPr>
              <w:t>treatment of adults with metastatic or recurrent, locally advanced nasopharyngeal</w:t>
            </w:r>
            <w:r w:rsidR="00D818C0">
              <w:rPr>
                <w:szCs w:val="22"/>
              </w:rPr>
              <w:t xml:space="preserve"> </w:t>
            </w:r>
            <w:r w:rsidR="00D818C0" w:rsidRPr="00D818C0">
              <w:rPr>
                <w:szCs w:val="22"/>
              </w:rPr>
              <w:t>carcinoma (NPC).</w:t>
            </w:r>
          </w:p>
          <w:p w14:paraId="6E143E2E" w14:textId="45EE4B79" w:rsidR="00324B33" w:rsidRPr="00BD5DBD" w:rsidRDefault="004803D6" w:rsidP="00D818C0">
            <w:pPr>
              <w:rPr>
                <w:szCs w:val="22"/>
              </w:rPr>
            </w:pPr>
            <w:r>
              <w:rPr>
                <w:szCs w:val="22"/>
              </w:rPr>
              <w:t>Tuoyi</w:t>
            </w:r>
            <w:r w:rsidR="00D818C0" w:rsidRPr="00D818C0">
              <w:rPr>
                <w:szCs w:val="22"/>
              </w:rPr>
              <w:t xml:space="preserve"> is indicated, as a single agent, for the treatment of adults with recurrent</w:t>
            </w:r>
            <w:r w:rsidR="00D818C0">
              <w:rPr>
                <w:szCs w:val="22"/>
              </w:rPr>
              <w:t xml:space="preserve"> </w:t>
            </w:r>
            <w:r w:rsidR="00D818C0" w:rsidRPr="00D818C0">
              <w:rPr>
                <w:szCs w:val="22"/>
              </w:rPr>
              <w:t>unresectable or metastatic nasopharyngeal carcinoma (NPC) with disease progression</w:t>
            </w:r>
            <w:r w:rsidR="00D818C0">
              <w:rPr>
                <w:szCs w:val="22"/>
              </w:rPr>
              <w:t xml:space="preserve"> </w:t>
            </w:r>
            <w:r w:rsidR="00D818C0" w:rsidRPr="00D818C0">
              <w:rPr>
                <w:szCs w:val="22"/>
              </w:rPr>
              <w:t>on or after a platinum-containing chemotherapy.</w:t>
            </w:r>
          </w:p>
        </w:tc>
      </w:tr>
      <w:tr w:rsidR="00324B33" w:rsidRPr="00BD5DBD" w14:paraId="5AFDEED3" w14:textId="77777777" w:rsidTr="00F865A7">
        <w:tc>
          <w:tcPr>
            <w:tcW w:w="1577" w:type="pct"/>
          </w:tcPr>
          <w:p w14:paraId="03884BD1" w14:textId="11B3B696" w:rsidR="00324B33" w:rsidRPr="00BD5DBD" w:rsidRDefault="00324B33" w:rsidP="007452E8">
            <w:pPr>
              <w:rPr>
                <w:i/>
                <w:szCs w:val="22"/>
              </w:rPr>
            </w:pPr>
            <w:r w:rsidRPr="00BD5DBD">
              <w:rPr>
                <w:i/>
                <w:szCs w:val="22"/>
              </w:rPr>
              <w:t>Route of administration:</w:t>
            </w:r>
          </w:p>
        </w:tc>
        <w:tc>
          <w:tcPr>
            <w:tcW w:w="3423" w:type="pct"/>
          </w:tcPr>
          <w:p w14:paraId="1ED1357E" w14:textId="006D085A" w:rsidR="00324B33" w:rsidRPr="00BD5DBD" w:rsidRDefault="002E1C9C" w:rsidP="007452E8">
            <w:pPr>
              <w:rPr>
                <w:szCs w:val="22"/>
              </w:rPr>
            </w:pPr>
            <w:r>
              <w:rPr>
                <w:szCs w:val="22"/>
              </w:rPr>
              <w:t>Intravenous infusion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19744005" w14:textId="6DADA0A4" w:rsidR="00B57A2C" w:rsidRDefault="00BC55E0" w:rsidP="007452E8">
            <w:pPr>
              <w:rPr>
                <w:szCs w:val="22"/>
              </w:rPr>
            </w:pPr>
            <w:r>
              <w:rPr>
                <w:szCs w:val="22"/>
              </w:rPr>
              <w:t xml:space="preserve">For first </w:t>
            </w:r>
            <w:r w:rsidR="00B57A2C">
              <w:rPr>
                <w:szCs w:val="22"/>
              </w:rPr>
              <w:t xml:space="preserve">line treatment of </w:t>
            </w:r>
            <w:r w:rsidR="000E3D07" w:rsidRPr="00D818C0">
              <w:rPr>
                <w:szCs w:val="22"/>
              </w:rPr>
              <w:t>nasopharyngeal</w:t>
            </w:r>
            <w:r w:rsidR="000E3D07">
              <w:rPr>
                <w:szCs w:val="22"/>
              </w:rPr>
              <w:t xml:space="preserve"> </w:t>
            </w:r>
            <w:r w:rsidR="000E3D07" w:rsidRPr="00D818C0">
              <w:rPr>
                <w:szCs w:val="22"/>
              </w:rPr>
              <w:t>carcinoma</w:t>
            </w:r>
            <w:r w:rsidR="000E3D07">
              <w:rPr>
                <w:szCs w:val="22"/>
              </w:rPr>
              <w:t xml:space="preserve"> </w:t>
            </w:r>
            <w:r w:rsidR="00BE2C54">
              <w:rPr>
                <w:szCs w:val="22"/>
              </w:rPr>
              <w:t>(</w:t>
            </w:r>
            <w:r w:rsidR="00B57A2C">
              <w:rPr>
                <w:szCs w:val="22"/>
              </w:rPr>
              <w:t>NPC</w:t>
            </w:r>
            <w:r w:rsidR="00BE2C54">
              <w:rPr>
                <w:szCs w:val="22"/>
              </w:rPr>
              <w:t>)</w:t>
            </w:r>
            <w:r w:rsidR="00B57A2C">
              <w:rPr>
                <w:szCs w:val="22"/>
              </w:rPr>
              <w:t xml:space="preserve"> the recommended dosage of </w:t>
            </w:r>
            <w:r w:rsidR="004803D6">
              <w:rPr>
                <w:szCs w:val="22"/>
              </w:rPr>
              <w:t>Tuoyi</w:t>
            </w:r>
            <w:r w:rsidR="00B57A2C">
              <w:rPr>
                <w:szCs w:val="22"/>
              </w:rPr>
              <w:t xml:space="preserve"> is 240 mg every three</w:t>
            </w:r>
            <w:r w:rsidR="0041688A">
              <w:rPr>
                <w:szCs w:val="22"/>
              </w:rPr>
              <w:t> </w:t>
            </w:r>
            <w:r w:rsidR="00B57A2C">
              <w:rPr>
                <w:szCs w:val="22"/>
              </w:rPr>
              <w:t xml:space="preserve">weeks until disease </w:t>
            </w:r>
            <w:r w:rsidR="00BE2C54">
              <w:rPr>
                <w:szCs w:val="22"/>
              </w:rPr>
              <w:t>progression</w:t>
            </w:r>
            <w:r w:rsidR="00B57A2C">
              <w:rPr>
                <w:szCs w:val="22"/>
              </w:rPr>
              <w:t>, unacceptable toxicity</w:t>
            </w:r>
            <w:r w:rsidR="0017279D">
              <w:rPr>
                <w:szCs w:val="22"/>
              </w:rPr>
              <w:t>,</w:t>
            </w:r>
            <w:r w:rsidR="00B57A2C">
              <w:rPr>
                <w:szCs w:val="22"/>
              </w:rPr>
              <w:t xml:space="preserve"> or up to 24</w:t>
            </w:r>
            <w:r w:rsidR="0041688A">
              <w:rPr>
                <w:szCs w:val="22"/>
              </w:rPr>
              <w:t> </w:t>
            </w:r>
            <w:r w:rsidR="00B57A2C">
              <w:rPr>
                <w:szCs w:val="22"/>
              </w:rPr>
              <w:t>months.</w:t>
            </w:r>
          </w:p>
          <w:p w14:paraId="4BD4ECF7" w14:textId="10127795" w:rsidR="00666911" w:rsidRDefault="00B57A2C" w:rsidP="007452E8">
            <w:pPr>
              <w:rPr>
                <w:szCs w:val="22"/>
              </w:rPr>
            </w:pPr>
            <w:r>
              <w:rPr>
                <w:szCs w:val="22"/>
              </w:rPr>
              <w:t xml:space="preserve">For treatment of </w:t>
            </w:r>
            <w:r w:rsidR="00C66A68">
              <w:rPr>
                <w:szCs w:val="22"/>
              </w:rPr>
              <w:t xml:space="preserve">recurrent </w:t>
            </w:r>
            <w:r w:rsidR="00BE2C54" w:rsidRPr="00D818C0">
              <w:rPr>
                <w:szCs w:val="22"/>
              </w:rPr>
              <w:t>nasopharyngeal</w:t>
            </w:r>
            <w:r w:rsidR="00BE2C54">
              <w:rPr>
                <w:szCs w:val="22"/>
              </w:rPr>
              <w:t xml:space="preserve"> </w:t>
            </w:r>
            <w:r w:rsidR="00BE2C54" w:rsidRPr="00D818C0">
              <w:rPr>
                <w:szCs w:val="22"/>
              </w:rPr>
              <w:t>carcinoma</w:t>
            </w:r>
            <w:r w:rsidR="00BE2C54">
              <w:rPr>
                <w:szCs w:val="22"/>
              </w:rPr>
              <w:t xml:space="preserve"> (</w:t>
            </w:r>
            <w:r w:rsidR="0017279D">
              <w:rPr>
                <w:szCs w:val="22"/>
              </w:rPr>
              <w:t>NPC</w:t>
            </w:r>
            <w:r w:rsidR="00BE2C54">
              <w:rPr>
                <w:szCs w:val="22"/>
              </w:rPr>
              <w:t>)</w:t>
            </w:r>
            <w:r w:rsidR="0017279D">
              <w:rPr>
                <w:szCs w:val="22"/>
              </w:rPr>
              <w:t>,</w:t>
            </w:r>
            <w:r w:rsidR="00C66A68">
              <w:rPr>
                <w:szCs w:val="22"/>
              </w:rPr>
              <w:t xml:space="preserve"> the recommended </w:t>
            </w:r>
            <w:r w:rsidR="00BE2C54">
              <w:rPr>
                <w:szCs w:val="22"/>
              </w:rPr>
              <w:t>dosage</w:t>
            </w:r>
            <w:r w:rsidR="00C66A68">
              <w:rPr>
                <w:szCs w:val="22"/>
              </w:rPr>
              <w:t xml:space="preserve"> of </w:t>
            </w:r>
            <w:r w:rsidR="004803D6">
              <w:rPr>
                <w:szCs w:val="22"/>
              </w:rPr>
              <w:t>Tuoyi</w:t>
            </w:r>
            <w:r w:rsidR="00C66A68">
              <w:rPr>
                <w:szCs w:val="22"/>
              </w:rPr>
              <w:t xml:space="preserve"> is 3 </w:t>
            </w:r>
            <w:r w:rsidR="0017279D">
              <w:rPr>
                <w:szCs w:val="22"/>
              </w:rPr>
              <w:t>mg/kg every two</w:t>
            </w:r>
            <w:r w:rsidR="0041688A">
              <w:rPr>
                <w:szCs w:val="22"/>
              </w:rPr>
              <w:t> </w:t>
            </w:r>
            <w:r w:rsidR="0017279D">
              <w:rPr>
                <w:szCs w:val="22"/>
              </w:rPr>
              <w:t>weeks until disease progression, unacceptable toxicity, or up to 24</w:t>
            </w:r>
            <w:r w:rsidR="0041688A">
              <w:rPr>
                <w:szCs w:val="22"/>
              </w:rPr>
              <w:t> </w:t>
            </w:r>
            <w:r w:rsidR="0017279D">
              <w:rPr>
                <w:szCs w:val="22"/>
              </w:rPr>
              <w:t>months.</w:t>
            </w:r>
          </w:p>
          <w:p w14:paraId="3D0B2D5C" w14:textId="6E29920D" w:rsidR="00324B33" w:rsidRPr="00BD5DBD" w:rsidRDefault="00324B33" w:rsidP="007452E8">
            <w:pPr>
              <w:rPr>
                <w:szCs w:val="22"/>
              </w:rPr>
            </w:pPr>
            <w:r w:rsidRPr="00BD5DBD">
              <w:rPr>
                <w:szCs w:val="22"/>
              </w:rPr>
              <w:lastRenderedPageBreak/>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6D1B8B23" w14:textId="77777777" w:rsidR="00631127" w:rsidRDefault="00631127" w:rsidP="007967C3">
            <w:r>
              <w:t>D</w:t>
            </w:r>
          </w:p>
          <w:p w14:paraId="5D6E9706" w14:textId="0FBCA327" w:rsidR="00000E6E" w:rsidRPr="008A75A2" w:rsidRDefault="008A75A2" w:rsidP="00306E72">
            <w:r w:rsidRPr="008A75A2">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76497789" w14:textId="0A1BA0A4"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1"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5" w:name="_Toc247691503"/>
      <w:bookmarkStart w:id="16" w:name="_Toc314842484"/>
      <w:bookmarkStart w:id="17" w:name="_Toc103679290"/>
      <w:bookmarkStart w:id="18" w:name="_Toc233974535"/>
      <w:r>
        <w:t>Product background</w:t>
      </w:r>
      <w:bookmarkEnd w:id="15"/>
      <w:bookmarkEnd w:id="16"/>
      <w:bookmarkEnd w:id="17"/>
      <w:bookmarkEnd w:id="18"/>
    </w:p>
    <w:p w14:paraId="59BF31D1" w14:textId="7D976E06" w:rsidR="001500A8" w:rsidRDefault="00324B33" w:rsidP="00065839">
      <w:r w:rsidRPr="00065839">
        <w:t>This AusPAR describes the submission</w:t>
      </w:r>
      <w:r w:rsidR="000D30EA">
        <w:t xml:space="preserve"> by</w:t>
      </w:r>
      <w:r w:rsidR="000D30EA" w:rsidRPr="000D30EA">
        <w:t xml:space="preserve"> AA-Med Pty Ltd</w:t>
      </w:r>
      <w:r w:rsidR="000D30EA">
        <w:t xml:space="preserve"> (the sponsor)</w:t>
      </w:r>
      <w:r w:rsidR="000D30EA">
        <w:fldChar w:fldCharType="begin"/>
      </w:r>
      <w:r w:rsidR="000D30EA">
        <w:instrText xml:space="preserve"> NOTEREF _Ref227843930 \f \h </w:instrText>
      </w:r>
      <w:r w:rsidR="000D30EA">
        <w:fldChar w:fldCharType="separate"/>
      </w:r>
      <w:r w:rsidR="00D82028" w:rsidRPr="00D82028">
        <w:rPr>
          <w:rStyle w:val="FootnoteReference"/>
        </w:rPr>
        <w:t>2</w:t>
      </w:r>
      <w:r w:rsidR="000D30EA">
        <w:fldChar w:fldCharType="end"/>
      </w:r>
      <w:r w:rsidRPr="00065839">
        <w:t xml:space="preserve"> to register</w:t>
      </w:r>
      <w:r w:rsidR="008A2522">
        <w:t xml:space="preserve"> </w:t>
      </w:r>
      <w:r w:rsidR="000D30EA">
        <w:t>Tuoyi</w:t>
      </w:r>
      <w:r w:rsidR="008A2522">
        <w:fldChar w:fldCharType="begin"/>
      </w:r>
      <w:r w:rsidR="008A2522">
        <w:instrText xml:space="preserve"> NOTEREF _Ref227245216 \f \h </w:instrText>
      </w:r>
      <w:r w:rsidR="008A2522">
        <w:fldChar w:fldCharType="separate"/>
      </w:r>
      <w:r w:rsidR="00D82028" w:rsidRPr="00D82028">
        <w:rPr>
          <w:rStyle w:val="FootnoteReference"/>
        </w:rPr>
        <w:t>1</w:t>
      </w:r>
      <w:r w:rsidR="008A2522">
        <w:fldChar w:fldCharType="end"/>
      </w:r>
      <w:r w:rsidRPr="00065839">
        <w:t xml:space="preserve"> (</w:t>
      </w:r>
      <w:proofErr w:type="spellStart"/>
      <w:r w:rsidR="008A2522">
        <w:t>toripalimab</w:t>
      </w:r>
      <w:proofErr w:type="spellEnd"/>
      <w:r w:rsidRPr="00065839">
        <w:t xml:space="preserve">) </w:t>
      </w:r>
      <w:r w:rsidR="000246BE">
        <w:t>240 mg/6 mL</w:t>
      </w:r>
      <w:r w:rsidRPr="00065839">
        <w:t>,</w:t>
      </w:r>
      <w:r w:rsidR="000246BE">
        <w:t xml:space="preserve"> concentrated injection, vial </w:t>
      </w:r>
      <w:r w:rsidRPr="00065839">
        <w:t>for the following proposed indication:</w:t>
      </w:r>
      <w:r w:rsidR="00D63760" w:rsidRPr="00065839">
        <w:rPr>
          <w:vertAlign w:val="superscript"/>
        </w:rPr>
        <w:footnoteReference w:id="3"/>
      </w:r>
    </w:p>
    <w:p w14:paraId="5955D8FB" w14:textId="2882B224" w:rsidR="00E502B3" w:rsidRPr="000D30EA" w:rsidRDefault="00E502B3" w:rsidP="000D30EA">
      <w:pPr>
        <w:ind w:left="720"/>
        <w:rPr>
          <w:i/>
          <w:iCs/>
        </w:rPr>
      </w:pPr>
      <w:r w:rsidRPr="000D30EA">
        <w:rPr>
          <w:i/>
          <w:iCs/>
        </w:rPr>
        <w:t>T</w:t>
      </w:r>
      <w:r w:rsidR="000D30EA">
        <w:rPr>
          <w:i/>
          <w:iCs/>
        </w:rPr>
        <w:t xml:space="preserve">uoyi </w:t>
      </w:r>
      <w:r w:rsidRPr="000D30EA">
        <w:rPr>
          <w:i/>
          <w:iCs/>
        </w:rPr>
        <w:t>is indicated, in combination with cisplatin and gemcitabine, for the first-line treatment of adults with metastatic or with recurrent, locally advanced nasopharyngeal carcinoma (NPC).</w:t>
      </w:r>
    </w:p>
    <w:p w14:paraId="757649CE" w14:textId="54A6EF87" w:rsidR="00322072" w:rsidRPr="000D30EA" w:rsidRDefault="00E502B3" w:rsidP="000D30EA">
      <w:pPr>
        <w:ind w:left="720"/>
        <w:rPr>
          <w:i/>
          <w:iCs/>
        </w:rPr>
      </w:pPr>
      <w:r w:rsidRPr="000D30EA">
        <w:rPr>
          <w:i/>
          <w:iCs/>
        </w:rPr>
        <w:t>T</w:t>
      </w:r>
      <w:r w:rsidR="000D30EA">
        <w:rPr>
          <w:i/>
          <w:iCs/>
        </w:rPr>
        <w:t>uoyi</w:t>
      </w:r>
      <w:r w:rsidRPr="000D30EA">
        <w:rPr>
          <w:i/>
          <w:iCs/>
        </w:rPr>
        <w:t xml:space="preserve"> is indicated, as a single agent, for the treatment of adults with recurrent unresectable or metastatic NPC with disease progression on or after a platinum-containing chemotherapy.</w:t>
      </w:r>
    </w:p>
    <w:p w14:paraId="7886F1C9" w14:textId="3756D878" w:rsidR="00CB6813" w:rsidRPr="001C5C46" w:rsidRDefault="00005DFC" w:rsidP="001C5C46">
      <w:pPr>
        <w:pStyle w:val="Heading4"/>
      </w:pPr>
      <w:bookmarkStart w:id="19" w:name="_Toc233974536"/>
      <w:bookmarkStart w:id="20" w:name="_Toc314842485"/>
      <w:bookmarkStart w:id="21" w:name="_Toc247691504"/>
      <w:r>
        <w:t>D</w:t>
      </w:r>
      <w:r w:rsidR="00CB6813" w:rsidRPr="00C12D65">
        <w:t>isease</w:t>
      </w:r>
      <w:r w:rsidR="006428C5">
        <w:t xml:space="preserve"> or condition</w:t>
      </w:r>
      <w:bookmarkEnd w:id="19"/>
    </w:p>
    <w:p w14:paraId="56745ADC" w14:textId="3470CD3A" w:rsidR="001C5C46" w:rsidRPr="001C5C46" w:rsidRDefault="001C5C46" w:rsidP="00FE6BAA">
      <w:r w:rsidRPr="001C5C46">
        <w:t>There were 133,354 new cases of nasopharyngeal carcinoma (</w:t>
      </w:r>
      <w:r w:rsidRPr="00CD1C6F">
        <w:t>NPC</w:t>
      </w:r>
      <w:r w:rsidRPr="001C5C46">
        <w:t xml:space="preserve">) diagnosed globally in 2020, and approximately 80,000 people died from NPC in 2020. More than 75% of the global cases of NPC develop in South and East Asia. Nasopharyngeal carcinoma is rare in the United </w:t>
      </w:r>
      <w:r w:rsidRPr="00D50610">
        <w:t>States (US)</w:t>
      </w:r>
      <w:r w:rsidRPr="001C5C46">
        <w:t xml:space="preserve"> and Europe (</w:t>
      </w:r>
      <w:r w:rsidR="00E711AA">
        <w:t>EU</w:t>
      </w:r>
      <w:r w:rsidR="00961863">
        <w:t>)</w:t>
      </w:r>
      <w:r w:rsidR="00E711AA">
        <w:t xml:space="preserve"> </w:t>
      </w:r>
      <w:r w:rsidR="00961863">
        <w:t>(</w:t>
      </w:r>
      <w:r w:rsidRPr="001C5C46">
        <w:t>assumed to be similar in Australia) with less than one case for every 100,000 people each year but occurs frequently in Southeast Asia.</w:t>
      </w:r>
    </w:p>
    <w:p w14:paraId="48CE990A" w14:textId="2B4E59A4" w:rsidR="001C5C46" w:rsidRPr="001C5C46" w:rsidRDefault="001C5C46" w:rsidP="00FE6BAA">
      <w:r w:rsidRPr="001C5C46">
        <w:t>The World Health Organization classifies NPC in three major subtypes: non-keratini</w:t>
      </w:r>
      <w:r w:rsidR="00C518E7">
        <w:t>s</w:t>
      </w:r>
      <w:r w:rsidRPr="001C5C46">
        <w:t>ing undifferentiated, non-keratini</w:t>
      </w:r>
      <w:r w:rsidR="00C518E7">
        <w:t>s</w:t>
      </w:r>
      <w:r w:rsidRPr="001C5C46">
        <w:t>ing differentiated, and keratini</w:t>
      </w:r>
      <w:r w:rsidR="00C518E7">
        <w:t>s</w:t>
      </w:r>
      <w:r w:rsidRPr="001C5C46">
        <w:t>ing squamous cell carcinoma. While the non-keratini</w:t>
      </w:r>
      <w:r w:rsidR="00C518E7">
        <w:t>s</w:t>
      </w:r>
      <w:r w:rsidRPr="001C5C46">
        <w:t>ing undifferentiated subtype of NPC is the predominant subtype in both Southern China (95%) and the US (63%), the keratini</w:t>
      </w:r>
      <w:r w:rsidR="00C518E7">
        <w:t>s</w:t>
      </w:r>
      <w:r w:rsidRPr="001C5C46">
        <w:t>ing subtype of NPC is uncommon in Southern China (2%) relative to the US (25%).</w:t>
      </w:r>
    </w:p>
    <w:p w14:paraId="1F2D803F" w14:textId="40CF6613" w:rsidR="001C5C46" w:rsidRPr="001C5C46" w:rsidRDefault="001C5C46" w:rsidP="00FE6BAA">
      <w:r w:rsidRPr="001C5C46">
        <w:t>The prognosis is poor for patients with locally recurrent, unresectable, or metastatic NPC, characteri</w:t>
      </w:r>
      <w:r w:rsidR="0069414B">
        <w:t>s</w:t>
      </w:r>
      <w:r w:rsidRPr="001C5C46">
        <w:t>ed by a median overall su</w:t>
      </w:r>
      <w:r w:rsidRPr="007864DA">
        <w:t>rvival (OS) of</w:t>
      </w:r>
      <w:r w:rsidRPr="001C5C46">
        <w:t xml:space="preserve"> 21 to 29 months.</w:t>
      </w:r>
    </w:p>
    <w:p w14:paraId="255E083A" w14:textId="77777777" w:rsidR="00CB6813" w:rsidRDefault="00CB6813" w:rsidP="00CB6813">
      <w:pPr>
        <w:pStyle w:val="Heading4"/>
      </w:pPr>
      <w:bookmarkStart w:id="22" w:name="_Toc233974537"/>
      <w:r>
        <w:lastRenderedPageBreak/>
        <w:t>Current treatment options</w:t>
      </w:r>
      <w:bookmarkEnd w:id="22"/>
    </w:p>
    <w:p w14:paraId="13BA6217" w14:textId="0388FF3E" w:rsidR="00C40AFC" w:rsidRPr="00C40AFC" w:rsidRDefault="00C40AFC" w:rsidP="00FE6BAA">
      <w:r w:rsidRPr="00C40AFC">
        <w:t>There are no therapies specifically approved by the TGA for the treatment of NPC as either first or later line treatment. Standard of care first-line treatment consists of cisplatin plus gemcitabine, which has demonstrated a median progression</w:t>
      </w:r>
      <w:r w:rsidR="00F67BE1">
        <w:t xml:space="preserve"> </w:t>
      </w:r>
      <w:r w:rsidRPr="00C40AFC">
        <w:t xml:space="preserve">free </w:t>
      </w:r>
      <w:r w:rsidRPr="009E10D7">
        <w:t>survival (PFS)</w:t>
      </w:r>
      <w:r w:rsidRPr="00C40AFC">
        <w:t xml:space="preserve"> of 7.0 months and a median OS of 29.1 months. There is no well-established standard of care for the treatment of NPC with progression on or after platinum-based chemotherapy; usual treatment is primarily with single agent regimens with clinical data based only on small, single arm trials.</w:t>
      </w:r>
    </w:p>
    <w:p w14:paraId="617EE1E0" w14:textId="3D5934BD" w:rsidR="00C309A7" w:rsidRPr="00F36ABE" w:rsidRDefault="00C40AFC" w:rsidP="00F36ABE">
      <w:r w:rsidRPr="00F36ABE">
        <w:t xml:space="preserve">Given the limited treatment options and poor prognosis, the treatment of recurrent, </w:t>
      </w:r>
      <w:r w:rsidR="00F36ABE" w:rsidRPr="00F36ABE">
        <w:t>unresectable and metastatic NPC represents an unmet medical need.</w:t>
      </w:r>
    </w:p>
    <w:p w14:paraId="37C47E09" w14:textId="14D3762D" w:rsidR="00CB6813" w:rsidRDefault="00CB6813" w:rsidP="00CB6813">
      <w:pPr>
        <w:pStyle w:val="Heading4"/>
      </w:pPr>
      <w:bookmarkStart w:id="23" w:name="_Toc233974538"/>
      <w:r>
        <w:t>C</w:t>
      </w:r>
      <w:r w:rsidRPr="00DE1344">
        <w:t>linical rational</w:t>
      </w:r>
      <w:r w:rsidR="0025785B">
        <w:t>e</w:t>
      </w:r>
      <w:bookmarkEnd w:id="23"/>
    </w:p>
    <w:p w14:paraId="3051D74C" w14:textId="591A6151" w:rsidR="00DD278C" w:rsidRPr="00DD278C" w:rsidRDefault="00A96887" w:rsidP="00DD278C">
      <w:proofErr w:type="spellStart"/>
      <w:r w:rsidRPr="00A96887">
        <w:t>Toripalimab</w:t>
      </w:r>
      <w:proofErr w:type="spellEnd"/>
      <w:r w:rsidRPr="00A96887">
        <w:t xml:space="preserve"> is a humanised</w:t>
      </w:r>
      <w:r w:rsidR="00696660">
        <w:t xml:space="preserve"> immunoglobulin </w:t>
      </w:r>
      <w:r w:rsidRPr="00A96887">
        <w:t xml:space="preserve">G4 monoclonal antibody that binds to the </w:t>
      </w:r>
      <w:r w:rsidR="000E3FF7">
        <w:t xml:space="preserve">programmed </w:t>
      </w:r>
      <w:r w:rsidR="000E3FF7" w:rsidRPr="00704BCB">
        <w:t>death receptor 1 (</w:t>
      </w:r>
      <w:r w:rsidRPr="00704BCB">
        <w:t>PD-1</w:t>
      </w:r>
      <w:r w:rsidR="000E3FF7" w:rsidRPr="00704BCB">
        <w:t>)</w:t>
      </w:r>
      <w:r w:rsidRPr="00704BCB">
        <w:t xml:space="preserve"> receptor and blocks its interaction with</w:t>
      </w:r>
      <w:r w:rsidR="007923DC" w:rsidRPr="00704BCB">
        <w:t xml:space="preserve"> programmed death ligand 1</w:t>
      </w:r>
      <w:r w:rsidRPr="00704BCB">
        <w:t xml:space="preserve"> </w:t>
      </w:r>
      <w:r w:rsidR="007923DC" w:rsidRPr="00704BCB">
        <w:t>(</w:t>
      </w:r>
      <w:r w:rsidRPr="00704BCB">
        <w:t>PD-L1</w:t>
      </w:r>
      <w:r w:rsidR="007923DC" w:rsidRPr="00704BCB">
        <w:t>)</w:t>
      </w:r>
      <w:r w:rsidRPr="00704BCB">
        <w:t xml:space="preserve"> and </w:t>
      </w:r>
      <w:r w:rsidR="007923DC" w:rsidRPr="00704BCB">
        <w:t>programmed death ligand 2 (</w:t>
      </w:r>
      <w:r w:rsidRPr="00704BCB">
        <w:t>PD-L2</w:t>
      </w:r>
      <w:r w:rsidR="007923DC" w:rsidRPr="00704BCB">
        <w:t>)</w:t>
      </w:r>
      <w:r w:rsidRPr="00704BCB">
        <w:t>, releasing</w:t>
      </w:r>
      <w:r w:rsidRPr="00A96887">
        <w:t xml:space="preserve"> PD-1 pathway mediated inhibition of the immune response, including the anti-tumour immune response. </w:t>
      </w:r>
      <w:r w:rsidR="002F3FF9" w:rsidRPr="00A96887">
        <w:t>Binding of the PD-1 ligands, PD-L1 and PD-L2, to the PD-1 receptor found on T</w:t>
      </w:r>
      <w:r w:rsidR="00170A63">
        <w:t> </w:t>
      </w:r>
      <w:r w:rsidR="002F3FF9" w:rsidRPr="00A96887">
        <w:t>cells, inhibits T</w:t>
      </w:r>
      <w:r w:rsidR="00170A63">
        <w:t> </w:t>
      </w:r>
      <w:r w:rsidR="002F3FF9" w:rsidRPr="00A96887">
        <w:t>cell proliferation and cytokine production. Upregulation of PD-1 ligands occurs in some tumours and signalling through this pathway can contribute to inhibition of active T</w:t>
      </w:r>
      <w:r w:rsidR="00BB4EC0">
        <w:t> </w:t>
      </w:r>
      <w:r w:rsidR="002F3FF9" w:rsidRPr="00A96887">
        <w:t xml:space="preserve">cell immune surveillance of tumours. </w:t>
      </w:r>
      <w:r w:rsidR="002F3FF9">
        <w:t>I</w:t>
      </w:r>
      <w:r w:rsidRPr="00A96887">
        <w:t>n syngeneic mouse tumour models, blocking PD-1 activity resulted in decreased tumour growth.</w:t>
      </w:r>
    </w:p>
    <w:p w14:paraId="0D615854" w14:textId="77777777" w:rsidR="00324B33" w:rsidRPr="003F31A2" w:rsidRDefault="00324B33" w:rsidP="00324B33">
      <w:pPr>
        <w:pStyle w:val="Heading3"/>
      </w:pPr>
      <w:bookmarkStart w:id="24" w:name="_Toc103679291"/>
      <w:bookmarkStart w:id="25" w:name="_Toc233974539"/>
      <w:r>
        <w:t>Regulatory status</w:t>
      </w:r>
      <w:bookmarkEnd w:id="20"/>
      <w:bookmarkEnd w:id="21"/>
      <w:bookmarkEnd w:id="24"/>
      <w:bookmarkEnd w:id="25"/>
    </w:p>
    <w:p w14:paraId="72C889D6" w14:textId="7E200950" w:rsidR="0017005C" w:rsidRPr="00BD5DBD" w:rsidRDefault="0017005C" w:rsidP="00741AB9">
      <w:pPr>
        <w:pStyle w:val="Heading4"/>
      </w:pPr>
      <w:bookmarkStart w:id="26" w:name="_Toc233974540"/>
      <w:r w:rsidRPr="00BD5DBD">
        <w:t>Australian regulatory</w:t>
      </w:r>
      <w:r>
        <w:t xml:space="preserve"> sta</w:t>
      </w:r>
      <w:r w:rsidR="0025785B">
        <w:t>t</w:t>
      </w:r>
      <w:r>
        <w:t>us</w:t>
      </w:r>
      <w:bookmarkEnd w:id="26"/>
    </w:p>
    <w:p w14:paraId="6A8633FA" w14:textId="278CBB83" w:rsidR="00324B33"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 for Australian regulatory purposes.</w:t>
      </w:r>
    </w:p>
    <w:p w14:paraId="546C1031" w14:textId="4EF98FA1" w:rsidR="0017005C" w:rsidRDefault="00131B1B" w:rsidP="0017005C">
      <w:pPr>
        <w:pStyle w:val="Heading4"/>
      </w:pPr>
      <w:bookmarkStart w:id="27" w:name="_Toc233974541"/>
      <w:r>
        <w:t xml:space="preserve">International </w:t>
      </w:r>
      <w:r w:rsidR="0017005C" w:rsidRPr="00BD5DBD">
        <w:t>regulatory</w:t>
      </w:r>
      <w:r w:rsidR="0017005C">
        <w:t xml:space="preserve"> status</w:t>
      </w:r>
      <w:bookmarkEnd w:id="27"/>
    </w:p>
    <w:p w14:paraId="48CDFF4E" w14:textId="768D4E32" w:rsidR="00C133AB" w:rsidRDefault="00C133AB" w:rsidP="00C133AB">
      <w:pPr>
        <w:rPr>
          <w:szCs w:val="22"/>
        </w:rPr>
      </w:pPr>
      <w:r w:rsidRPr="00BD5DBD">
        <w:rPr>
          <w:szCs w:val="22"/>
        </w:rPr>
        <w:t xml:space="preserve">This evaluation was facilitated through </w:t>
      </w:r>
      <w:hyperlink r:id="rId23" w:history="1">
        <w:r w:rsidRPr="00BD5DBD">
          <w:rPr>
            <w:rStyle w:val="Hyperlink"/>
            <w:szCs w:val="22"/>
          </w:rPr>
          <w:t>Pro</w:t>
        </w:r>
        <w:r w:rsidRPr="00BD5DBD">
          <w:rPr>
            <w:rStyle w:val="Hyperlink"/>
            <w:szCs w:val="22"/>
          </w:rPr>
          <w:t>ject Orbis</w:t>
        </w:r>
      </w:hyperlink>
      <w:r w:rsidRPr="00BD5DBD">
        <w:rPr>
          <w:szCs w:val="22"/>
        </w:rPr>
        <w:t xml:space="preserve">, an initiative of the United States Food and Drug Administration (FDA) Oncology </w:t>
      </w:r>
      <w:proofErr w:type="spellStart"/>
      <w:r w:rsidRPr="00BD5DBD">
        <w:rPr>
          <w:szCs w:val="22"/>
        </w:rPr>
        <w:t>Center</w:t>
      </w:r>
      <w:proofErr w:type="spellEnd"/>
      <w:r w:rsidRPr="00BD5DBD">
        <w:rPr>
          <w:szCs w:val="22"/>
        </w:rPr>
        <w:t xml:space="preserve"> of Excellence. Under this project, the </w:t>
      </w:r>
      <w:r w:rsidRPr="00774789">
        <w:t xml:space="preserve">FDA, Health Canada, National Health Surveillance Agency (Brazil), Ministry of Health (Israel), Health Sciences Authority (Singapore), </w:t>
      </w:r>
      <w:proofErr w:type="spellStart"/>
      <w:r w:rsidRPr="00774789">
        <w:t>Swissmedic</w:t>
      </w:r>
      <w:proofErr w:type="spellEnd"/>
      <w:r w:rsidRPr="00774789">
        <w:t xml:space="preserve"> (Switzerland), Medicines and Healthcare products Regulatory Agency (United Kingdom)</w:t>
      </w:r>
      <w:r w:rsidR="00B5141B">
        <w:t xml:space="preserve"> </w:t>
      </w:r>
      <w:r w:rsidRPr="00BD5DBD">
        <w:rPr>
          <w:szCs w:val="22"/>
        </w:rPr>
        <w:t>and the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7FDF4A0B" w14:textId="0A4B52DF"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p>
    <w:p w14:paraId="19B9E0AC" w14:textId="3B5A68DD" w:rsidR="00324B33" w:rsidRDefault="00324B33" w:rsidP="00324B33">
      <w:pPr>
        <w:pStyle w:val="TableTitle"/>
      </w:pPr>
      <w:bookmarkStart w:id="28" w:name="_Ref99705479"/>
      <w:r>
        <w:lastRenderedPageBreak/>
        <w:t xml:space="preserve">Table </w:t>
      </w:r>
      <w:fldSimple w:instr=" SEQ Table \* ARABIC ">
        <w:r w:rsidR="00D82028">
          <w:rPr>
            <w:noProof/>
          </w:rPr>
          <w:t>1</w:t>
        </w:r>
      </w:fldSimple>
      <w:bookmarkEnd w:id="28"/>
      <w:r>
        <w:t>: International regulatory status</w:t>
      </w:r>
    </w:p>
    <w:tbl>
      <w:tblPr>
        <w:tblStyle w:val="TableTGAblue2023"/>
        <w:tblW w:w="5000" w:type="pct"/>
        <w:tblLook w:val="04A0" w:firstRow="1" w:lastRow="0" w:firstColumn="1" w:lastColumn="0" w:noHBand="0" w:noVBand="1"/>
      </w:tblPr>
      <w:tblGrid>
        <w:gridCol w:w="1660"/>
        <w:gridCol w:w="2144"/>
        <w:gridCol w:w="2180"/>
        <w:gridCol w:w="3076"/>
      </w:tblGrid>
      <w:tr w:rsidR="00BF07D9" w:rsidRPr="00D01DDB" w14:paraId="405E5D78" w14:textId="16839333" w:rsidTr="007F1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tcPr>
          <w:p w14:paraId="185B099B" w14:textId="7A4C0E6C" w:rsidR="00324B33" w:rsidRPr="00D01DDB" w:rsidRDefault="00324B33" w:rsidP="00324B33">
            <w:pPr>
              <w:rPr>
                <w:szCs w:val="22"/>
              </w:rPr>
            </w:pPr>
            <w:r w:rsidRPr="00D01DDB">
              <w:rPr>
                <w:szCs w:val="22"/>
              </w:rPr>
              <w:t>Region</w:t>
            </w:r>
          </w:p>
        </w:tc>
        <w:tc>
          <w:tcPr>
            <w:tcW w:w="1183"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18" w:type="pct"/>
          </w:tcPr>
          <w:p w14:paraId="58F81584" w14:textId="1D537B3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40"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BF07D9" w:rsidRPr="00D01DDB" w14:paraId="38D24E86" w14:textId="77777777" w:rsidTr="007F1DB1">
        <w:tc>
          <w:tcPr>
            <w:cnfStyle w:val="001000000000" w:firstRow="0" w:lastRow="0" w:firstColumn="1" w:lastColumn="0" w:oddVBand="0" w:evenVBand="0" w:oddHBand="0" w:evenHBand="0" w:firstRowFirstColumn="0" w:firstRowLastColumn="0" w:lastRowFirstColumn="0" w:lastRowLastColumn="0"/>
            <w:tcW w:w="959" w:type="pct"/>
          </w:tcPr>
          <w:p w14:paraId="4C540DE5" w14:textId="77A91AC4" w:rsidR="00324B33" w:rsidRPr="00F54F98" w:rsidRDefault="00E9296C" w:rsidP="00324B33">
            <w:pPr>
              <w:rPr>
                <w:rFonts w:cstheme="minorHAnsi"/>
                <w:szCs w:val="22"/>
              </w:rPr>
            </w:pPr>
            <w:r w:rsidRPr="00F54F98">
              <w:rPr>
                <w:rFonts w:cstheme="minorHAnsi"/>
                <w:szCs w:val="22"/>
              </w:rPr>
              <w:t>European Union</w:t>
            </w:r>
          </w:p>
        </w:tc>
        <w:tc>
          <w:tcPr>
            <w:tcW w:w="1183" w:type="pct"/>
          </w:tcPr>
          <w:p w14:paraId="4FA5DDA9" w14:textId="2864B711" w:rsidR="00324B33" w:rsidRPr="00F54F98" w:rsidRDefault="00920924" w:rsidP="00324B3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14 </w:t>
            </w:r>
            <w:r w:rsidR="00056F45" w:rsidRPr="00F54F98">
              <w:rPr>
                <w:rFonts w:cstheme="minorHAnsi"/>
                <w:szCs w:val="22"/>
              </w:rPr>
              <w:t>November 202</w:t>
            </w:r>
            <w:r w:rsidR="00A049C1" w:rsidRPr="00F54F98">
              <w:rPr>
                <w:rFonts w:cstheme="minorHAnsi"/>
                <w:szCs w:val="22"/>
              </w:rPr>
              <w:t>2</w:t>
            </w:r>
          </w:p>
        </w:tc>
        <w:tc>
          <w:tcPr>
            <w:tcW w:w="1118" w:type="pct"/>
          </w:tcPr>
          <w:p w14:paraId="29358393" w14:textId="625A397D" w:rsidR="00324B33" w:rsidRPr="00F54F98" w:rsidRDefault="00056F45" w:rsidP="00324B3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 xml:space="preserve">Approved on </w:t>
            </w:r>
            <w:r w:rsidR="00920924" w:rsidRPr="00F54F98">
              <w:rPr>
                <w:rFonts w:cstheme="minorHAnsi"/>
                <w:szCs w:val="22"/>
              </w:rPr>
              <w:t>25 </w:t>
            </w:r>
            <w:r w:rsidRPr="00F54F98">
              <w:rPr>
                <w:rFonts w:cstheme="minorHAnsi"/>
                <w:szCs w:val="22"/>
              </w:rPr>
              <w:t>July 2024</w:t>
            </w:r>
          </w:p>
        </w:tc>
        <w:tc>
          <w:tcPr>
            <w:tcW w:w="1740" w:type="pct"/>
          </w:tcPr>
          <w:p w14:paraId="7A86AA50" w14:textId="42F63038" w:rsidR="0014264C" w:rsidRPr="00F54F98" w:rsidRDefault="0014264C" w:rsidP="0014264C">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Loqtorzi, in combination with cisplatin and gemcitabine, is indicated for the first-line treatment of adult patients with metastatic or recurrent, locally advanced nasopharyngeal carcinoma.</w:t>
            </w:r>
          </w:p>
          <w:p w14:paraId="05055674" w14:textId="14113EB9" w:rsidR="00324B33" w:rsidRPr="00F54F98" w:rsidRDefault="0014264C" w:rsidP="0014264C">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Loqtorzi, in combination with platinum-based chemotherapy, is indicated for the first-line treatment of adult patients with recurrent or metastatic oesophageal squamous cell carcinoma.</w:t>
            </w:r>
          </w:p>
        </w:tc>
      </w:tr>
      <w:tr w:rsidR="00BF07D9" w:rsidRPr="00D01DDB" w14:paraId="18B6E2AA" w14:textId="7783D66F" w:rsidTr="007F1DB1">
        <w:tc>
          <w:tcPr>
            <w:cnfStyle w:val="001000000000" w:firstRow="0" w:lastRow="0" w:firstColumn="1" w:lastColumn="0" w:oddVBand="0" w:evenVBand="0" w:oddHBand="0" w:evenHBand="0" w:firstRowFirstColumn="0" w:firstRowLastColumn="0" w:lastRowFirstColumn="0" w:lastRowLastColumn="0"/>
            <w:tcW w:w="959" w:type="pct"/>
          </w:tcPr>
          <w:p w14:paraId="7F348960" w14:textId="0ED2FDA7" w:rsidR="00324B33" w:rsidRPr="00F54F98" w:rsidRDefault="00E9296C" w:rsidP="00324B33">
            <w:pPr>
              <w:rPr>
                <w:rFonts w:cstheme="minorHAnsi"/>
                <w:szCs w:val="22"/>
              </w:rPr>
            </w:pPr>
            <w:r w:rsidRPr="00F54F98">
              <w:rPr>
                <w:rFonts w:cstheme="minorHAnsi"/>
                <w:szCs w:val="22"/>
              </w:rPr>
              <w:t>United States of America</w:t>
            </w:r>
          </w:p>
        </w:tc>
        <w:tc>
          <w:tcPr>
            <w:tcW w:w="1183" w:type="pct"/>
          </w:tcPr>
          <w:p w14:paraId="1D871E57" w14:textId="26A41BD9" w:rsidR="00324B33" w:rsidRPr="00F54F98" w:rsidRDefault="00920924" w:rsidP="00324B3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23 </w:t>
            </w:r>
            <w:r w:rsidR="00EF4BF4" w:rsidRPr="00F54F98">
              <w:rPr>
                <w:rFonts w:cstheme="minorHAnsi"/>
                <w:szCs w:val="22"/>
              </w:rPr>
              <w:t>June 2022</w:t>
            </w:r>
          </w:p>
        </w:tc>
        <w:tc>
          <w:tcPr>
            <w:tcW w:w="1118" w:type="pct"/>
          </w:tcPr>
          <w:p w14:paraId="63A3A9D3" w14:textId="10E3421D" w:rsidR="00324B33" w:rsidRPr="00F54F98" w:rsidRDefault="00EF4BF4" w:rsidP="00324B3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 xml:space="preserve">Approved on </w:t>
            </w:r>
            <w:r w:rsidR="00920924" w:rsidRPr="00F54F98">
              <w:rPr>
                <w:rFonts w:cstheme="minorHAnsi"/>
                <w:szCs w:val="22"/>
              </w:rPr>
              <w:t>27 </w:t>
            </w:r>
            <w:r w:rsidRPr="00F54F98">
              <w:rPr>
                <w:rFonts w:cstheme="minorHAnsi"/>
                <w:szCs w:val="22"/>
              </w:rPr>
              <w:t>October</w:t>
            </w:r>
            <w:r w:rsidR="00920924" w:rsidRPr="00F54F98">
              <w:rPr>
                <w:rFonts w:cstheme="minorHAnsi"/>
                <w:szCs w:val="22"/>
              </w:rPr>
              <w:t> </w:t>
            </w:r>
            <w:r w:rsidRPr="00F54F98">
              <w:rPr>
                <w:rFonts w:cstheme="minorHAnsi"/>
                <w:szCs w:val="22"/>
              </w:rPr>
              <w:t>2023</w:t>
            </w:r>
          </w:p>
        </w:tc>
        <w:tc>
          <w:tcPr>
            <w:tcW w:w="1740" w:type="pct"/>
          </w:tcPr>
          <w:p w14:paraId="5D862524" w14:textId="47C12AB3" w:rsidR="00EF4BF4" w:rsidRPr="00F54F98" w:rsidRDefault="00EF4BF4" w:rsidP="00EF4BF4">
            <w:pPr>
              <w:ind w:left="0"/>
              <w:cnfStyle w:val="000000000000" w:firstRow="0" w:lastRow="0" w:firstColumn="0" w:lastColumn="0" w:oddVBand="0" w:evenVBand="0" w:oddHBand="0" w:evenHBand="0" w:firstRowFirstColumn="0" w:firstRowLastColumn="0" w:lastRowFirstColumn="0" w:lastRowLastColumn="0"/>
              <w:rPr>
                <w:rFonts w:cstheme="minorHAnsi"/>
                <w:i/>
                <w:iCs/>
                <w:szCs w:val="22"/>
              </w:rPr>
            </w:pPr>
            <w:proofErr w:type="spellStart"/>
            <w:r w:rsidRPr="00F54F98">
              <w:rPr>
                <w:rFonts w:cstheme="minorHAnsi"/>
                <w:i/>
                <w:iCs/>
                <w:szCs w:val="22"/>
              </w:rPr>
              <w:t>Loqtorzi</w:t>
            </w:r>
            <w:proofErr w:type="spellEnd"/>
            <w:r w:rsidRPr="00F54F98">
              <w:rPr>
                <w:rFonts w:cstheme="minorHAnsi"/>
                <w:i/>
                <w:iCs/>
                <w:szCs w:val="22"/>
              </w:rPr>
              <w:t xml:space="preserve"> is indicated:</w:t>
            </w:r>
          </w:p>
          <w:p w14:paraId="7E4BC545" w14:textId="77777777" w:rsidR="00EF4BF4" w:rsidRPr="00F54F98" w:rsidRDefault="00EF4BF4" w:rsidP="00EF4BF4">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 in combination with cisplatin and gemcitabine, for first-line treatment of adults with metastatic or recurrent, locally advanced nasopharyngeal carcinoma (NPC).</w:t>
            </w:r>
          </w:p>
          <w:p w14:paraId="17C650B8" w14:textId="3BDBD730" w:rsidR="00324B33" w:rsidRPr="00F54F98" w:rsidRDefault="00EF4BF4" w:rsidP="00EF4BF4">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i/>
                <w:iCs/>
                <w:szCs w:val="22"/>
              </w:rPr>
              <w:t>• as a single agent for the treatment of adults with recurrent unresectable or metastatic NPC with disease progression on or after a platinum-containing chemotherapy.</w:t>
            </w:r>
          </w:p>
        </w:tc>
      </w:tr>
      <w:tr w:rsidR="007B78BF" w:rsidRPr="00D01DDB" w14:paraId="0BE0735E" w14:textId="77777777" w:rsidTr="007F1DB1">
        <w:tc>
          <w:tcPr>
            <w:cnfStyle w:val="001000000000" w:firstRow="0" w:lastRow="0" w:firstColumn="1" w:lastColumn="0" w:oddVBand="0" w:evenVBand="0" w:oddHBand="0" w:evenHBand="0" w:firstRowFirstColumn="0" w:firstRowLastColumn="0" w:lastRowFirstColumn="0" w:lastRowLastColumn="0"/>
            <w:tcW w:w="959" w:type="pct"/>
          </w:tcPr>
          <w:p w14:paraId="098E8CC6" w14:textId="6B0D9581" w:rsidR="007B78BF" w:rsidRPr="00F54F98" w:rsidRDefault="007B78BF" w:rsidP="007B78BF">
            <w:pPr>
              <w:rPr>
                <w:rFonts w:cstheme="minorHAnsi"/>
                <w:szCs w:val="22"/>
              </w:rPr>
            </w:pPr>
            <w:r w:rsidRPr="00F54F98">
              <w:rPr>
                <w:rFonts w:cstheme="minorHAnsi"/>
                <w:szCs w:val="22"/>
              </w:rPr>
              <w:t>United Kingdom</w:t>
            </w:r>
          </w:p>
        </w:tc>
        <w:tc>
          <w:tcPr>
            <w:tcW w:w="1183" w:type="pct"/>
          </w:tcPr>
          <w:p w14:paraId="3CBB3AE2" w14:textId="27AF1078" w:rsidR="007B78BF" w:rsidRPr="00F54F98" w:rsidRDefault="00920924"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21 </w:t>
            </w:r>
            <w:r w:rsidR="007B78BF" w:rsidRPr="00F54F98">
              <w:rPr>
                <w:rFonts w:cstheme="minorHAnsi"/>
                <w:szCs w:val="22"/>
              </w:rPr>
              <w:t>November 2022</w:t>
            </w:r>
          </w:p>
        </w:tc>
        <w:tc>
          <w:tcPr>
            <w:tcW w:w="1118" w:type="pct"/>
          </w:tcPr>
          <w:p w14:paraId="75CEB75B" w14:textId="7F807051" w:rsidR="007B78BF" w:rsidRPr="00F54F98" w:rsidRDefault="008F3232"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 xml:space="preserve">Approved on </w:t>
            </w:r>
            <w:r w:rsidR="00920924" w:rsidRPr="00F54F98">
              <w:rPr>
                <w:rFonts w:cstheme="minorHAnsi"/>
                <w:szCs w:val="22"/>
              </w:rPr>
              <w:t>16 </w:t>
            </w:r>
            <w:r w:rsidR="007B78BF" w:rsidRPr="00F54F98">
              <w:rPr>
                <w:rFonts w:cstheme="minorHAnsi"/>
                <w:szCs w:val="22"/>
              </w:rPr>
              <w:t>November</w:t>
            </w:r>
            <w:r w:rsidR="00920924" w:rsidRPr="00F54F98">
              <w:rPr>
                <w:rFonts w:cstheme="minorHAnsi"/>
                <w:szCs w:val="22"/>
              </w:rPr>
              <w:t xml:space="preserve"> </w:t>
            </w:r>
            <w:r w:rsidR="007B78BF" w:rsidRPr="00F54F98">
              <w:rPr>
                <w:rFonts w:cstheme="minorHAnsi"/>
                <w:szCs w:val="22"/>
              </w:rPr>
              <w:t>2024</w:t>
            </w:r>
          </w:p>
        </w:tc>
        <w:tc>
          <w:tcPr>
            <w:tcW w:w="1740" w:type="pct"/>
          </w:tcPr>
          <w:p w14:paraId="0ADC9CB7" w14:textId="77777777" w:rsidR="007B78BF" w:rsidRPr="00F54F98" w:rsidRDefault="007B78BF" w:rsidP="007B78BF">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Loqtorzi, in combination with cisplatin and gemcitabine, is indicated for the first-line treatment of adult patients with metastatic or recurrent, locally advanced nasopharyngeal carcinoma.</w:t>
            </w:r>
          </w:p>
          <w:p w14:paraId="165D144C" w14:textId="4E98DA8F" w:rsidR="007B78BF" w:rsidRPr="00F54F98" w:rsidRDefault="007B78BF" w:rsidP="007B78BF">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Loqtorzi, in combination with platinum-based chemotherapy, is indicated for the first-line treatment of adult patients with recurrent or metastatic oesophageal squamous cell carcinom</w:t>
            </w:r>
            <w:r w:rsidR="00920924" w:rsidRPr="00F54F98">
              <w:rPr>
                <w:rFonts w:cstheme="minorHAnsi"/>
                <w:i/>
                <w:iCs/>
                <w:szCs w:val="22"/>
              </w:rPr>
              <w:t>a.</w:t>
            </w:r>
          </w:p>
        </w:tc>
      </w:tr>
      <w:tr w:rsidR="007B78BF" w:rsidRPr="00D01DDB" w14:paraId="3F551E0F" w14:textId="77777777" w:rsidTr="007F1DB1">
        <w:tc>
          <w:tcPr>
            <w:cnfStyle w:val="001000000000" w:firstRow="0" w:lastRow="0" w:firstColumn="1" w:lastColumn="0" w:oddVBand="0" w:evenVBand="0" w:oddHBand="0" w:evenHBand="0" w:firstRowFirstColumn="0" w:firstRowLastColumn="0" w:lastRowFirstColumn="0" w:lastRowLastColumn="0"/>
            <w:tcW w:w="959" w:type="pct"/>
          </w:tcPr>
          <w:p w14:paraId="3CB682C3" w14:textId="65C4A7CA" w:rsidR="007B78BF" w:rsidRPr="00F54F98" w:rsidRDefault="007B78BF" w:rsidP="007B78BF">
            <w:pPr>
              <w:rPr>
                <w:rFonts w:cstheme="minorHAnsi"/>
                <w:szCs w:val="22"/>
              </w:rPr>
            </w:pPr>
            <w:r w:rsidRPr="00F54F98">
              <w:rPr>
                <w:rFonts w:cstheme="minorHAnsi"/>
                <w:szCs w:val="22"/>
              </w:rPr>
              <w:lastRenderedPageBreak/>
              <w:t>Singapore</w:t>
            </w:r>
          </w:p>
        </w:tc>
        <w:tc>
          <w:tcPr>
            <w:tcW w:w="1183" w:type="pct"/>
          </w:tcPr>
          <w:p w14:paraId="40C353B9" w14:textId="1030F7A3" w:rsidR="007B78BF" w:rsidRPr="00F54F98" w:rsidRDefault="00920924"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8 </w:t>
            </w:r>
            <w:r w:rsidR="007B78BF" w:rsidRPr="00F54F98">
              <w:rPr>
                <w:rFonts w:cstheme="minorHAnsi"/>
                <w:szCs w:val="22"/>
              </w:rPr>
              <w:t>November 2023</w:t>
            </w:r>
          </w:p>
        </w:tc>
        <w:tc>
          <w:tcPr>
            <w:tcW w:w="1118" w:type="pct"/>
          </w:tcPr>
          <w:p w14:paraId="206FB4BA" w14:textId="30E43A37" w:rsidR="007B78BF" w:rsidRPr="00F54F98" w:rsidRDefault="007B78BF"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Under consideration</w:t>
            </w:r>
          </w:p>
        </w:tc>
        <w:tc>
          <w:tcPr>
            <w:tcW w:w="1740" w:type="pct"/>
          </w:tcPr>
          <w:p w14:paraId="78751936" w14:textId="19676B97" w:rsidR="007B78BF" w:rsidRPr="00F54F98" w:rsidRDefault="007B78BF" w:rsidP="007B78BF">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Under consideration</w:t>
            </w:r>
          </w:p>
        </w:tc>
      </w:tr>
      <w:tr w:rsidR="00BD6F83" w:rsidRPr="00D01DDB" w14:paraId="1D865D24" w14:textId="77777777" w:rsidTr="007F1DB1">
        <w:tc>
          <w:tcPr>
            <w:cnfStyle w:val="001000000000" w:firstRow="0" w:lastRow="0" w:firstColumn="1" w:lastColumn="0" w:oddVBand="0" w:evenVBand="0" w:oddHBand="0" w:evenHBand="0" w:firstRowFirstColumn="0" w:firstRowLastColumn="0" w:lastRowFirstColumn="0" w:lastRowLastColumn="0"/>
            <w:tcW w:w="959" w:type="pct"/>
          </w:tcPr>
          <w:p w14:paraId="1E0220D4" w14:textId="5F6B3166" w:rsidR="00C76F48" w:rsidRPr="00F54F98" w:rsidRDefault="00C76F48" w:rsidP="007B78BF">
            <w:pPr>
              <w:rPr>
                <w:rFonts w:cstheme="minorHAnsi"/>
                <w:szCs w:val="22"/>
              </w:rPr>
            </w:pPr>
            <w:r w:rsidRPr="00F54F98">
              <w:rPr>
                <w:rFonts w:cstheme="minorHAnsi"/>
                <w:szCs w:val="22"/>
              </w:rPr>
              <w:t xml:space="preserve">Canada </w:t>
            </w:r>
          </w:p>
        </w:tc>
        <w:tc>
          <w:tcPr>
            <w:tcW w:w="1183" w:type="pct"/>
          </w:tcPr>
          <w:p w14:paraId="52B21532" w14:textId="2E9906C4" w:rsidR="00C76F48" w:rsidRPr="00F54F98" w:rsidRDefault="00920924"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1 </w:t>
            </w:r>
            <w:r w:rsidR="00C76F48" w:rsidRPr="00F54F98">
              <w:rPr>
                <w:rFonts w:cstheme="minorHAnsi"/>
                <w:szCs w:val="22"/>
              </w:rPr>
              <w:t>November</w:t>
            </w:r>
            <w:r w:rsidRPr="00F54F98">
              <w:rPr>
                <w:rFonts w:cstheme="minorHAnsi"/>
                <w:szCs w:val="22"/>
              </w:rPr>
              <w:t> </w:t>
            </w:r>
            <w:r w:rsidR="00C76F48" w:rsidRPr="00F54F98">
              <w:rPr>
                <w:rFonts w:cstheme="minorHAnsi"/>
                <w:szCs w:val="22"/>
              </w:rPr>
              <w:t>2024</w:t>
            </w:r>
          </w:p>
        </w:tc>
        <w:tc>
          <w:tcPr>
            <w:tcW w:w="1118" w:type="pct"/>
          </w:tcPr>
          <w:p w14:paraId="14E3F123" w14:textId="6CC8F7AD" w:rsidR="00C76F48" w:rsidRPr="00F54F98" w:rsidDel="007B78BF" w:rsidRDefault="00920924"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Under consideration</w:t>
            </w:r>
          </w:p>
        </w:tc>
        <w:tc>
          <w:tcPr>
            <w:tcW w:w="1740" w:type="pct"/>
          </w:tcPr>
          <w:p w14:paraId="07A69A9E" w14:textId="7FD00F3A" w:rsidR="00C76F48" w:rsidRPr="00F54F98" w:rsidRDefault="00920924" w:rsidP="007B78BF">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Under consideration</w:t>
            </w:r>
          </w:p>
        </w:tc>
      </w:tr>
      <w:tr w:rsidR="00BD6F83" w:rsidRPr="00D01DDB" w14:paraId="400234A9" w14:textId="77777777" w:rsidTr="007F1DB1">
        <w:tc>
          <w:tcPr>
            <w:cnfStyle w:val="001000000000" w:firstRow="0" w:lastRow="0" w:firstColumn="1" w:lastColumn="0" w:oddVBand="0" w:evenVBand="0" w:oddHBand="0" w:evenHBand="0" w:firstRowFirstColumn="0" w:firstRowLastColumn="0" w:lastRowFirstColumn="0" w:lastRowLastColumn="0"/>
            <w:tcW w:w="959" w:type="pct"/>
          </w:tcPr>
          <w:p w14:paraId="38AD2968" w14:textId="2B5FE564" w:rsidR="00C76F48" w:rsidRPr="00F54F98" w:rsidRDefault="005415FC" w:rsidP="007B78BF">
            <w:pPr>
              <w:rPr>
                <w:rFonts w:cstheme="minorHAnsi"/>
                <w:szCs w:val="22"/>
              </w:rPr>
            </w:pPr>
            <w:r w:rsidRPr="00F54F98">
              <w:rPr>
                <w:rFonts w:cstheme="minorHAnsi"/>
                <w:szCs w:val="22"/>
              </w:rPr>
              <w:t xml:space="preserve">India </w:t>
            </w:r>
          </w:p>
        </w:tc>
        <w:tc>
          <w:tcPr>
            <w:tcW w:w="1183" w:type="pct"/>
          </w:tcPr>
          <w:p w14:paraId="661A5E36" w14:textId="2727805C" w:rsidR="00C76F48" w:rsidRPr="00F54F98" w:rsidRDefault="008D24F5"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December</w:t>
            </w:r>
            <w:r w:rsidR="00920924" w:rsidRPr="00F54F98">
              <w:rPr>
                <w:rFonts w:cstheme="minorHAnsi"/>
                <w:szCs w:val="22"/>
              </w:rPr>
              <w:t> </w:t>
            </w:r>
            <w:r w:rsidRPr="00F54F98">
              <w:rPr>
                <w:rFonts w:cstheme="minorHAnsi"/>
                <w:szCs w:val="22"/>
              </w:rPr>
              <w:t>2023</w:t>
            </w:r>
          </w:p>
        </w:tc>
        <w:tc>
          <w:tcPr>
            <w:tcW w:w="1118" w:type="pct"/>
          </w:tcPr>
          <w:p w14:paraId="1C9D18E2" w14:textId="5030A87F" w:rsidR="00C76F48" w:rsidRPr="00F54F98" w:rsidDel="007B78BF" w:rsidRDefault="008F3232"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 xml:space="preserve">Approved </w:t>
            </w:r>
            <w:r w:rsidR="00D82028">
              <w:rPr>
                <w:rFonts w:cstheme="minorHAnsi"/>
                <w:szCs w:val="22"/>
              </w:rPr>
              <w:t>i</w:t>
            </w:r>
            <w:r w:rsidRPr="00F54F98">
              <w:rPr>
                <w:rFonts w:cstheme="minorHAnsi"/>
                <w:szCs w:val="22"/>
              </w:rPr>
              <w:t xml:space="preserve">n </w:t>
            </w:r>
            <w:r w:rsidR="007F1DB1" w:rsidRPr="00F54F98">
              <w:rPr>
                <w:rFonts w:cstheme="minorHAnsi"/>
                <w:szCs w:val="22"/>
              </w:rPr>
              <w:t>Sep</w:t>
            </w:r>
            <w:r w:rsidR="008D24F5" w:rsidRPr="00F54F98">
              <w:rPr>
                <w:rFonts w:cstheme="minorHAnsi"/>
                <w:szCs w:val="22"/>
              </w:rPr>
              <w:t>tember</w:t>
            </w:r>
            <w:r w:rsidR="00920924" w:rsidRPr="00F54F98">
              <w:rPr>
                <w:rFonts w:cstheme="minorHAnsi"/>
                <w:szCs w:val="22"/>
              </w:rPr>
              <w:t> </w:t>
            </w:r>
            <w:r w:rsidR="005415FC" w:rsidRPr="00F54F98">
              <w:rPr>
                <w:rFonts w:cstheme="minorHAnsi"/>
                <w:szCs w:val="22"/>
              </w:rPr>
              <w:t>2024</w:t>
            </w:r>
          </w:p>
        </w:tc>
        <w:tc>
          <w:tcPr>
            <w:tcW w:w="1740" w:type="pct"/>
          </w:tcPr>
          <w:p w14:paraId="00EFA1C6" w14:textId="08F94F52" w:rsidR="00920924" w:rsidRPr="00F54F98" w:rsidRDefault="00C76F48" w:rsidP="007B78BF">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Zytorvi is indicated, in combination with cisplatin and gemcitabine, for first line treatment of adults with metastatic or with recurrent, locally advanced nasopharyngeal carcinoma (NPC).</w:t>
            </w:r>
          </w:p>
          <w:p w14:paraId="51D052B8" w14:textId="33EEDE48" w:rsidR="00C76F48" w:rsidRPr="00F54F98" w:rsidRDefault="00C76F48" w:rsidP="007B78BF">
            <w:pPr>
              <w:cnfStyle w:val="000000000000" w:firstRow="0" w:lastRow="0" w:firstColumn="0" w:lastColumn="0" w:oddVBand="0" w:evenVBand="0" w:oddHBand="0" w:evenHBand="0" w:firstRowFirstColumn="0" w:firstRowLastColumn="0" w:lastRowFirstColumn="0" w:lastRowLastColumn="0"/>
              <w:rPr>
                <w:rFonts w:cstheme="minorHAnsi"/>
                <w:i/>
                <w:iCs/>
                <w:szCs w:val="22"/>
              </w:rPr>
            </w:pPr>
            <w:proofErr w:type="spellStart"/>
            <w:r w:rsidRPr="00F54F98">
              <w:rPr>
                <w:rFonts w:cstheme="minorHAnsi"/>
                <w:i/>
                <w:iCs/>
                <w:szCs w:val="22"/>
              </w:rPr>
              <w:t>Toripalimab</w:t>
            </w:r>
            <w:proofErr w:type="spellEnd"/>
            <w:r w:rsidRPr="00F54F98">
              <w:rPr>
                <w:rFonts w:cstheme="minorHAnsi"/>
                <w:i/>
                <w:iCs/>
                <w:szCs w:val="22"/>
              </w:rPr>
              <w:t xml:space="preserve"> is indicated, as a single agent, for the treatment of adults with recurrent unresectable or metastatic NPC with disease progression on or after a platinum-containing chemotherapy.</w:t>
            </w:r>
          </w:p>
        </w:tc>
      </w:tr>
      <w:tr w:rsidR="00BD6F83" w:rsidRPr="00D01DDB" w14:paraId="0BCA3FF6" w14:textId="77777777" w:rsidTr="007F1DB1">
        <w:tc>
          <w:tcPr>
            <w:cnfStyle w:val="001000000000" w:firstRow="0" w:lastRow="0" w:firstColumn="1" w:lastColumn="0" w:oddVBand="0" w:evenVBand="0" w:oddHBand="0" w:evenHBand="0" w:firstRowFirstColumn="0" w:firstRowLastColumn="0" w:lastRowFirstColumn="0" w:lastRowLastColumn="0"/>
            <w:tcW w:w="959" w:type="pct"/>
          </w:tcPr>
          <w:p w14:paraId="75561D2D" w14:textId="0EFBA422" w:rsidR="00C76F48" w:rsidRPr="00F54F98" w:rsidRDefault="00240A3C" w:rsidP="007B78BF">
            <w:pPr>
              <w:rPr>
                <w:rFonts w:cstheme="minorHAnsi"/>
                <w:szCs w:val="22"/>
              </w:rPr>
            </w:pPr>
            <w:r w:rsidRPr="00F54F98">
              <w:rPr>
                <w:rFonts w:cstheme="minorHAnsi"/>
                <w:szCs w:val="22"/>
              </w:rPr>
              <w:t xml:space="preserve">Hong Kong SAR </w:t>
            </w:r>
          </w:p>
        </w:tc>
        <w:tc>
          <w:tcPr>
            <w:tcW w:w="1183" w:type="pct"/>
          </w:tcPr>
          <w:p w14:paraId="03AA42AF" w14:textId="574A1225" w:rsidR="00C76F48" w:rsidRPr="00F54F98" w:rsidRDefault="00920924"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24 </w:t>
            </w:r>
            <w:r w:rsidR="00DF2368" w:rsidRPr="00F54F98">
              <w:rPr>
                <w:rFonts w:cstheme="minorHAnsi"/>
                <w:szCs w:val="22"/>
              </w:rPr>
              <w:t>April 2024</w:t>
            </w:r>
          </w:p>
        </w:tc>
        <w:tc>
          <w:tcPr>
            <w:tcW w:w="1118" w:type="pct"/>
          </w:tcPr>
          <w:p w14:paraId="35CCE674" w14:textId="19308B77" w:rsidR="00C76F48" w:rsidRPr="00F54F98" w:rsidDel="007B78BF" w:rsidRDefault="008F3232"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 xml:space="preserve">Approved in </w:t>
            </w:r>
            <w:r w:rsidR="00240A3C" w:rsidRPr="00F54F98">
              <w:rPr>
                <w:rFonts w:cstheme="minorHAnsi"/>
                <w:szCs w:val="22"/>
              </w:rPr>
              <w:t>October 2024</w:t>
            </w:r>
          </w:p>
        </w:tc>
        <w:tc>
          <w:tcPr>
            <w:tcW w:w="1740" w:type="pct"/>
          </w:tcPr>
          <w:p w14:paraId="6DD5BA28" w14:textId="77777777" w:rsidR="00240A3C" w:rsidRPr="00F54F98" w:rsidRDefault="00240A3C" w:rsidP="007B78BF">
            <w:pPr>
              <w:cnfStyle w:val="000000000000" w:firstRow="0" w:lastRow="0" w:firstColumn="0" w:lastColumn="0" w:oddVBand="0" w:evenVBand="0" w:oddHBand="0" w:evenHBand="0" w:firstRowFirstColumn="0" w:firstRowLastColumn="0" w:lastRowFirstColumn="0" w:lastRowLastColumn="0"/>
              <w:rPr>
                <w:rFonts w:cstheme="minorHAnsi"/>
                <w:i/>
                <w:iCs/>
                <w:szCs w:val="22"/>
              </w:rPr>
            </w:pPr>
            <w:proofErr w:type="spellStart"/>
            <w:r w:rsidRPr="00F54F98">
              <w:rPr>
                <w:rFonts w:cstheme="minorHAnsi"/>
                <w:i/>
                <w:iCs/>
                <w:szCs w:val="22"/>
              </w:rPr>
              <w:t>Toripalimab</w:t>
            </w:r>
            <w:proofErr w:type="spellEnd"/>
            <w:r w:rsidRPr="00F54F98">
              <w:rPr>
                <w:rFonts w:cstheme="minorHAnsi"/>
                <w:i/>
                <w:iCs/>
                <w:szCs w:val="22"/>
              </w:rPr>
              <w:t xml:space="preserve"> in combination with cisplatin and gemcitabine for the first-line treatment of adult patients with metastatic or recurrent, locally advanced nasopharyngeal carcinoma (NPC),</w:t>
            </w:r>
          </w:p>
          <w:p w14:paraId="10B1B06F" w14:textId="5BCE7ECF" w:rsidR="00C76F48" w:rsidRPr="00F54F98" w:rsidRDefault="00240A3C" w:rsidP="007B78BF">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As a single agent for the treatment of adult patients with recurrent unresectable or metastatic NPC with disease progression on or after a platinum-containing chemotherapy.</w:t>
            </w:r>
          </w:p>
        </w:tc>
      </w:tr>
      <w:tr w:rsidR="00BD6F83" w:rsidRPr="00D01DDB" w14:paraId="6249A1AE" w14:textId="77777777" w:rsidTr="007F1DB1">
        <w:tc>
          <w:tcPr>
            <w:cnfStyle w:val="001000000000" w:firstRow="0" w:lastRow="0" w:firstColumn="1" w:lastColumn="0" w:oddVBand="0" w:evenVBand="0" w:oddHBand="0" w:evenHBand="0" w:firstRowFirstColumn="0" w:firstRowLastColumn="0" w:lastRowFirstColumn="0" w:lastRowLastColumn="0"/>
            <w:tcW w:w="959" w:type="pct"/>
          </w:tcPr>
          <w:p w14:paraId="637289C0" w14:textId="566914D7" w:rsidR="00C76F48" w:rsidRPr="00F54F98" w:rsidRDefault="00240A3C" w:rsidP="007B78BF">
            <w:pPr>
              <w:rPr>
                <w:rFonts w:cstheme="minorHAnsi"/>
                <w:szCs w:val="22"/>
              </w:rPr>
            </w:pPr>
            <w:r w:rsidRPr="00F54F98">
              <w:rPr>
                <w:rFonts w:cstheme="minorHAnsi"/>
                <w:szCs w:val="22"/>
              </w:rPr>
              <w:t>Jordan</w:t>
            </w:r>
          </w:p>
        </w:tc>
        <w:tc>
          <w:tcPr>
            <w:tcW w:w="1183" w:type="pct"/>
          </w:tcPr>
          <w:p w14:paraId="3C1B730D" w14:textId="05A59A88" w:rsidR="00C76F48" w:rsidRPr="00F54F98" w:rsidRDefault="00735FC0"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25 </w:t>
            </w:r>
            <w:r w:rsidR="00DF2368" w:rsidRPr="00F54F98">
              <w:rPr>
                <w:rFonts w:cstheme="minorHAnsi"/>
                <w:szCs w:val="22"/>
              </w:rPr>
              <w:t>October</w:t>
            </w:r>
            <w:r w:rsidRPr="00F54F98">
              <w:rPr>
                <w:rFonts w:cstheme="minorHAnsi"/>
                <w:szCs w:val="22"/>
              </w:rPr>
              <w:t xml:space="preserve"> </w:t>
            </w:r>
            <w:r w:rsidR="00DF2368" w:rsidRPr="00F54F98">
              <w:rPr>
                <w:rFonts w:cstheme="minorHAnsi"/>
                <w:szCs w:val="22"/>
              </w:rPr>
              <w:t>2024</w:t>
            </w:r>
          </w:p>
        </w:tc>
        <w:tc>
          <w:tcPr>
            <w:tcW w:w="1118" w:type="pct"/>
          </w:tcPr>
          <w:p w14:paraId="04198D92" w14:textId="187545B5" w:rsidR="00C76F48" w:rsidRPr="00F54F98" w:rsidDel="007B78BF" w:rsidRDefault="00735FC0" w:rsidP="007B78B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Under consideration</w:t>
            </w:r>
          </w:p>
        </w:tc>
        <w:tc>
          <w:tcPr>
            <w:tcW w:w="1740" w:type="pct"/>
          </w:tcPr>
          <w:p w14:paraId="6358D754" w14:textId="4E729E8B" w:rsidR="00C76F48" w:rsidRPr="00F54F98" w:rsidRDefault="00735FC0" w:rsidP="007B78BF">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Under consideration</w:t>
            </w:r>
          </w:p>
        </w:tc>
      </w:tr>
      <w:tr w:rsidR="008F3232" w:rsidRPr="00D01DDB" w14:paraId="4985ED5C" w14:textId="77777777" w:rsidTr="008F3232">
        <w:trPr>
          <w:trHeight w:val="2249"/>
        </w:trPr>
        <w:tc>
          <w:tcPr>
            <w:cnfStyle w:val="001000000000" w:firstRow="0" w:lastRow="0" w:firstColumn="1" w:lastColumn="0" w:oddVBand="0" w:evenVBand="0" w:oddHBand="0" w:evenHBand="0" w:firstRowFirstColumn="0" w:firstRowLastColumn="0" w:lastRowFirstColumn="0" w:lastRowLastColumn="0"/>
            <w:tcW w:w="959" w:type="pct"/>
            <w:vMerge w:val="restart"/>
          </w:tcPr>
          <w:p w14:paraId="2549D631" w14:textId="2B758481" w:rsidR="008F3232" w:rsidRPr="00F54F98" w:rsidRDefault="008F3232" w:rsidP="007F1DB1">
            <w:pPr>
              <w:rPr>
                <w:rFonts w:cstheme="minorHAnsi"/>
                <w:szCs w:val="22"/>
              </w:rPr>
            </w:pPr>
            <w:r w:rsidRPr="00F54F98">
              <w:rPr>
                <w:rFonts w:cstheme="minorHAnsi"/>
                <w:szCs w:val="22"/>
              </w:rPr>
              <w:t>China</w:t>
            </w:r>
          </w:p>
        </w:tc>
        <w:tc>
          <w:tcPr>
            <w:tcW w:w="1183" w:type="pct"/>
          </w:tcPr>
          <w:p w14:paraId="1CAAD365" w14:textId="04692A6F" w:rsidR="008F3232" w:rsidRPr="00F54F98" w:rsidRDefault="008F3232" w:rsidP="008F3232">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eastAsiaTheme="minorEastAsia" w:cstheme="minorHAnsi"/>
                <w:szCs w:val="22"/>
                <w:lang w:eastAsia="zh-CN"/>
              </w:rPr>
              <w:t>March</w:t>
            </w:r>
            <w:r w:rsidR="00F54F98">
              <w:rPr>
                <w:rFonts w:cstheme="minorHAnsi"/>
                <w:szCs w:val="22"/>
              </w:rPr>
              <w:t> </w:t>
            </w:r>
            <w:r w:rsidRPr="00F54F98">
              <w:rPr>
                <w:rFonts w:cstheme="minorHAnsi"/>
                <w:szCs w:val="22"/>
              </w:rPr>
              <w:t>2018</w:t>
            </w:r>
          </w:p>
        </w:tc>
        <w:tc>
          <w:tcPr>
            <w:tcW w:w="1118" w:type="pct"/>
          </w:tcPr>
          <w:p w14:paraId="607C8901" w14:textId="74F25F52" w:rsidR="008F3232" w:rsidRPr="00F54F98" w:rsidRDefault="00F54F98" w:rsidP="008F3232">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eastAsiaTheme="minorEastAsia" w:cstheme="minorHAnsi"/>
                <w:szCs w:val="22"/>
                <w:lang w:eastAsia="zh-CN"/>
              </w:rPr>
              <w:t>Approved on 17 </w:t>
            </w:r>
            <w:r w:rsidR="008F3232" w:rsidRPr="00F54F98">
              <w:rPr>
                <w:rFonts w:eastAsiaTheme="minorEastAsia" w:cstheme="minorHAnsi"/>
                <w:szCs w:val="22"/>
                <w:lang w:eastAsia="zh-CN"/>
              </w:rPr>
              <w:t>December</w:t>
            </w:r>
            <w:r>
              <w:rPr>
                <w:rFonts w:eastAsiaTheme="minorEastAsia" w:cstheme="minorHAnsi"/>
                <w:szCs w:val="22"/>
                <w:lang w:eastAsia="zh-CN"/>
              </w:rPr>
              <w:t> </w:t>
            </w:r>
            <w:r w:rsidR="008F3232" w:rsidRPr="00F54F98">
              <w:rPr>
                <w:rFonts w:cstheme="minorHAnsi"/>
                <w:szCs w:val="22"/>
              </w:rPr>
              <w:t>2018</w:t>
            </w:r>
          </w:p>
        </w:tc>
        <w:tc>
          <w:tcPr>
            <w:tcW w:w="1740" w:type="pct"/>
          </w:tcPr>
          <w:p w14:paraId="24A0D7DD" w14:textId="11FD07D9" w:rsidR="008F3232" w:rsidRPr="00F54F98" w:rsidRDefault="008F3232" w:rsidP="008F3232">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T</w:t>
            </w:r>
            <w:r w:rsidR="00F54F98">
              <w:rPr>
                <w:rFonts w:cstheme="minorHAnsi"/>
                <w:i/>
                <w:iCs/>
                <w:szCs w:val="22"/>
              </w:rPr>
              <w:t>uoyi</w:t>
            </w:r>
            <w:r w:rsidRPr="00F54F98">
              <w:rPr>
                <w:rFonts w:cstheme="minorHAnsi"/>
                <w:i/>
                <w:iCs/>
                <w:szCs w:val="22"/>
              </w:rPr>
              <w:t>: Treatment of patients with locally advanced or metastatic melanoma who have progressed on or after systemic therapy.</w:t>
            </w:r>
          </w:p>
        </w:tc>
      </w:tr>
      <w:tr w:rsidR="008F3232" w:rsidRPr="00D01DDB" w14:paraId="3AE5FE2A" w14:textId="77777777" w:rsidTr="00F54F98">
        <w:trPr>
          <w:trHeight w:val="1851"/>
        </w:trPr>
        <w:tc>
          <w:tcPr>
            <w:cnfStyle w:val="001000000000" w:firstRow="0" w:lastRow="0" w:firstColumn="1" w:lastColumn="0" w:oddVBand="0" w:evenVBand="0" w:oddHBand="0" w:evenHBand="0" w:firstRowFirstColumn="0" w:firstRowLastColumn="0" w:lastRowFirstColumn="0" w:lastRowLastColumn="0"/>
            <w:tcW w:w="959" w:type="pct"/>
            <w:vMerge/>
          </w:tcPr>
          <w:p w14:paraId="0DF66B82" w14:textId="77777777" w:rsidR="008F3232" w:rsidRPr="00F54F98" w:rsidRDefault="008F3232" w:rsidP="007F1DB1">
            <w:pPr>
              <w:rPr>
                <w:rFonts w:cstheme="minorHAnsi"/>
                <w:szCs w:val="22"/>
              </w:rPr>
            </w:pPr>
          </w:p>
        </w:tc>
        <w:tc>
          <w:tcPr>
            <w:tcW w:w="1183" w:type="pct"/>
          </w:tcPr>
          <w:p w14:paraId="41870CF4" w14:textId="5F57EC55" w:rsidR="008F3232" w:rsidRPr="00F54F98" w:rsidRDefault="008F3232" w:rsidP="008F3232">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2"/>
                <w:lang w:eastAsia="zh-CN"/>
              </w:rPr>
            </w:pPr>
            <w:r w:rsidRPr="00F54F98">
              <w:rPr>
                <w:rFonts w:cstheme="minorHAnsi"/>
                <w:szCs w:val="22"/>
              </w:rPr>
              <w:t>May</w:t>
            </w:r>
            <w:r w:rsidR="00F54F98">
              <w:rPr>
                <w:rFonts w:cstheme="minorHAnsi"/>
                <w:szCs w:val="22"/>
              </w:rPr>
              <w:t> </w:t>
            </w:r>
            <w:r w:rsidRPr="00F54F98">
              <w:rPr>
                <w:rFonts w:cstheme="minorHAnsi"/>
                <w:szCs w:val="22"/>
              </w:rPr>
              <w:t>2020</w:t>
            </w:r>
          </w:p>
        </w:tc>
        <w:tc>
          <w:tcPr>
            <w:tcW w:w="1118" w:type="pct"/>
          </w:tcPr>
          <w:p w14:paraId="7508C55A" w14:textId="24B1AB6F" w:rsidR="008F3232" w:rsidRPr="00F54F98" w:rsidRDefault="00F54F98" w:rsidP="008F3232">
            <w:pPr>
              <w:cnfStyle w:val="000000000000" w:firstRow="0" w:lastRow="0" w:firstColumn="0" w:lastColumn="0" w:oddVBand="0" w:evenVBand="0" w:oddHBand="0" w:evenHBand="0" w:firstRowFirstColumn="0" w:firstRowLastColumn="0" w:lastRowFirstColumn="0" w:lastRowLastColumn="0"/>
              <w:rPr>
                <w:rFonts w:eastAsiaTheme="minorEastAsia" w:cstheme="minorHAnsi"/>
                <w:b/>
                <w:bCs/>
                <w:szCs w:val="22"/>
                <w:lang w:eastAsia="zh-CN"/>
              </w:rPr>
            </w:pPr>
            <w:r>
              <w:rPr>
                <w:rFonts w:cstheme="minorHAnsi"/>
                <w:szCs w:val="22"/>
              </w:rPr>
              <w:t>Approved on 7 </w:t>
            </w:r>
            <w:r w:rsidR="008F3232" w:rsidRPr="00F54F98">
              <w:rPr>
                <w:rFonts w:cstheme="minorHAnsi"/>
                <w:szCs w:val="22"/>
              </w:rPr>
              <w:t>April</w:t>
            </w:r>
            <w:r>
              <w:rPr>
                <w:rFonts w:cstheme="minorHAnsi"/>
                <w:szCs w:val="22"/>
              </w:rPr>
              <w:t> </w:t>
            </w:r>
            <w:r w:rsidR="008F3232" w:rsidRPr="00F54F98">
              <w:rPr>
                <w:rFonts w:cstheme="minorHAnsi"/>
                <w:szCs w:val="22"/>
              </w:rPr>
              <w:t>2021</w:t>
            </w:r>
          </w:p>
        </w:tc>
        <w:tc>
          <w:tcPr>
            <w:tcW w:w="1740" w:type="pct"/>
          </w:tcPr>
          <w:p w14:paraId="6C88104B" w14:textId="4D226AD4" w:rsidR="008F3232" w:rsidRPr="00F54F98" w:rsidRDefault="008F3232" w:rsidP="008F3232">
            <w:pPr>
              <w:cnfStyle w:val="000000000000" w:firstRow="0" w:lastRow="0" w:firstColumn="0" w:lastColumn="0" w:oddVBand="0" w:evenVBand="0" w:oddHBand="0" w:evenHBand="0" w:firstRowFirstColumn="0" w:firstRowLastColumn="0" w:lastRowFirstColumn="0" w:lastRowLastColumn="0"/>
              <w:rPr>
                <w:rFonts w:cstheme="minorHAnsi"/>
                <w:b/>
                <w:bCs/>
                <w:i/>
                <w:iCs/>
                <w:szCs w:val="22"/>
              </w:rPr>
            </w:pPr>
            <w:r w:rsidRPr="00F54F98">
              <w:rPr>
                <w:rFonts w:cstheme="minorHAnsi"/>
                <w:i/>
                <w:iCs/>
                <w:szCs w:val="22"/>
              </w:rPr>
              <w:t>T</w:t>
            </w:r>
            <w:r w:rsidR="00F54F98">
              <w:rPr>
                <w:rFonts w:cstheme="minorHAnsi"/>
                <w:i/>
                <w:iCs/>
                <w:szCs w:val="22"/>
              </w:rPr>
              <w:t>uoyi</w:t>
            </w:r>
            <w:r w:rsidRPr="00F54F98">
              <w:rPr>
                <w:rFonts w:cstheme="minorHAnsi"/>
                <w:i/>
                <w:iCs/>
                <w:szCs w:val="22"/>
              </w:rPr>
              <w:t>:</w:t>
            </w:r>
            <w:r w:rsidR="00F54F98">
              <w:rPr>
                <w:rFonts w:cstheme="minorHAnsi"/>
                <w:i/>
                <w:iCs/>
                <w:szCs w:val="22"/>
              </w:rPr>
              <w:t xml:space="preserve"> </w:t>
            </w:r>
            <w:r w:rsidRPr="00F54F98">
              <w:rPr>
                <w:rFonts w:cstheme="minorHAnsi"/>
                <w:i/>
                <w:iCs/>
                <w:szCs w:val="22"/>
              </w:rPr>
              <w:t>Treatment of patients with recurrent or metastatic nasopharyngeal carcinoma (NPC) who have progressed on or after second-line systemic therapy</w:t>
            </w:r>
          </w:p>
        </w:tc>
      </w:tr>
      <w:tr w:rsidR="008F3232" w:rsidRPr="00D01DDB" w14:paraId="028462EE" w14:textId="77777777" w:rsidTr="008F3232">
        <w:trPr>
          <w:trHeight w:val="2246"/>
        </w:trPr>
        <w:tc>
          <w:tcPr>
            <w:cnfStyle w:val="001000000000" w:firstRow="0" w:lastRow="0" w:firstColumn="1" w:lastColumn="0" w:oddVBand="0" w:evenVBand="0" w:oddHBand="0" w:evenHBand="0" w:firstRowFirstColumn="0" w:firstRowLastColumn="0" w:lastRowFirstColumn="0" w:lastRowLastColumn="0"/>
            <w:tcW w:w="959" w:type="pct"/>
            <w:vMerge/>
          </w:tcPr>
          <w:p w14:paraId="245460E9" w14:textId="77777777" w:rsidR="008F3232" w:rsidRPr="00F54F98" w:rsidRDefault="008F3232" w:rsidP="007F1DB1">
            <w:pPr>
              <w:rPr>
                <w:rFonts w:cstheme="minorHAnsi"/>
                <w:szCs w:val="22"/>
              </w:rPr>
            </w:pPr>
          </w:p>
        </w:tc>
        <w:tc>
          <w:tcPr>
            <w:tcW w:w="1183" w:type="pct"/>
          </w:tcPr>
          <w:p w14:paraId="54168157" w14:textId="58CAB769" w:rsidR="008F3232" w:rsidRPr="00F54F98" w:rsidRDefault="008F3232" w:rsidP="00FE6BAA">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2"/>
                <w:lang w:eastAsia="zh-CN"/>
              </w:rPr>
            </w:pPr>
            <w:r w:rsidRPr="00F54F98">
              <w:rPr>
                <w:rFonts w:cstheme="minorHAnsi"/>
                <w:szCs w:val="22"/>
              </w:rPr>
              <w:t>April</w:t>
            </w:r>
            <w:r w:rsidR="00F54F98">
              <w:rPr>
                <w:rFonts w:cstheme="minorHAnsi"/>
                <w:szCs w:val="22"/>
              </w:rPr>
              <w:t> </w:t>
            </w:r>
            <w:r w:rsidRPr="00F54F98">
              <w:rPr>
                <w:rFonts w:cstheme="minorHAnsi"/>
                <w:szCs w:val="22"/>
              </w:rPr>
              <w:t>2020</w:t>
            </w:r>
          </w:p>
        </w:tc>
        <w:tc>
          <w:tcPr>
            <w:tcW w:w="1118" w:type="pct"/>
          </w:tcPr>
          <w:p w14:paraId="7E6CD75E" w14:textId="0096E11A" w:rsidR="008F3232" w:rsidRPr="00F54F98" w:rsidRDefault="00F54F98" w:rsidP="00FE6BAA">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2"/>
                <w:lang w:eastAsia="zh-CN"/>
              </w:rPr>
            </w:pPr>
            <w:r>
              <w:rPr>
                <w:rFonts w:cstheme="minorHAnsi"/>
                <w:szCs w:val="22"/>
              </w:rPr>
              <w:t>Approved on 10 </w:t>
            </w:r>
            <w:r w:rsidR="008F3232" w:rsidRPr="00F54F98">
              <w:rPr>
                <w:rFonts w:cstheme="minorHAnsi"/>
                <w:szCs w:val="22"/>
              </w:rPr>
              <w:t>February</w:t>
            </w:r>
            <w:r>
              <w:rPr>
                <w:rFonts w:cstheme="minorHAnsi"/>
                <w:szCs w:val="22"/>
              </w:rPr>
              <w:t> </w:t>
            </w:r>
            <w:r w:rsidR="008F3232" w:rsidRPr="00F54F98">
              <w:rPr>
                <w:rFonts w:cstheme="minorHAnsi"/>
                <w:szCs w:val="22"/>
              </w:rPr>
              <w:t>2021</w:t>
            </w:r>
          </w:p>
        </w:tc>
        <w:tc>
          <w:tcPr>
            <w:tcW w:w="1740" w:type="pct"/>
          </w:tcPr>
          <w:p w14:paraId="308F3F83" w14:textId="5120EE0B" w:rsidR="008F3232" w:rsidRPr="00F54F98" w:rsidRDefault="008F3232" w:rsidP="007F1DB1">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T</w:t>
            </w:r>
            <w:r w:rsidR="00F54F98">
              <w:rPr>
                <w:rFonts w:cstheme="minorHAnsi"/>
                <w:i/>
                <w:iCs/>
                <w:szCs w:val="22"/>
              </w:rPr>
              <w:t>uoyi</w:t>
            </w:r>
            <w:r w:rsidRPr="00F54F98">
              <w:rPr>
                <w:rFonts w:cstheme="minorHAnsi"/>
                <w:i/>
                <w:iCs/>
                <w:szCs w:val="22"/>
              </w:rPr>
              <w:t>: Treatment of patients with locally advanced or metastatic urothelial carcinoma who have progressed on or after platinum-containing chemotherapy or progressed within 12 months of neoadjuvant or adjuvant platinum-containing chemotherapy.</w:t>
            </w:r>
          </w:p>
        </w:tc>
      </w:tr>
      <w:tr w:rsidR="008F3232" w:rsidRPr="00D01DDB" w14:paraId="3A6FB388" w14:textId="77777777" w:rsidTr="00F54F98">
        <w:trPr>
          <w:trHeight w:val="1555"/>
        </w:trPr>
        <w:tc>
          <w:tcPr>
            <w:cnfStyle w:val="001000000000" w:firstRow="0" w:lastRow="0" w:firstColumn="1" w:lastColumn="0" w:oddVBand="0" w:evenVBand="0" w:oddHBand="0" w:evenHBand="0" w:firstRowFirstColumn="0" w:firstRowLastColumn="0" w:lastRowFirstColumn="0" w:lastRowLastColumn="0"/>
            <w:tcW w:w="959" w:type="pct"/>
            <w:vMerge/>
          </w:tcPr>
          <w:p w14:paraId="2BD3EBE0" w14:textId="77777777" w:rsidR="008F3232" w:rsidRPr="00F54F98" w:rsidRDefault="008F3232" w:rsidP="007F1DB1">
            <w:pPr>
              <w:rPr>
                <w:rFonts w:cstheme="minorHAnsi"/>
                <w:szCs w:val="22"/>
              </w:rPr>
            </w:pPr>
          </w:p>
        </w:tc>
        <w:tc>
          <w:tcPr>
            <w:tcW w:w="1183" w:type="pct"/>
          </w:tcPr>
          <w:p w14:paraId="7C0CB8AE" w14:textId="1FDC12D2" w:rsidR="008F3232" w:rsidRPr="00F54F98" w:rsidRDefault="008F3232" w:rsidP="00FE6BAA">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2"/>
                <w:lang w:eastAsia="zh-CN"/>
              </w:rPr>
            </w:pPr>
            <w:r w:rsidRPr="00F54F98">
              <w:rPr>
                <w:rFonts w:cstheme="minorHAnsi"/>
                <w:szCs w:val="22"/>
              </w:rPr>
              <w:t>February</w:t>
            </w:r>
            <w:r w:rsidR="00F54F98">
              <w:rPr>
                <w:rFonts w:cstheme="minorHAnsi"/>
                <w:szCs w:val="22"/>
              </w:rPr>
              <w:t> </w:t>
            </w:r>
            <w:r w:rsidRPr="00F54F98">
              <w:rPr>
                <w:rFonts w:cstheme="minorHAnsi"/>
                <w:szCs w:val="22"/>
              </w:rPr>
              <w:t>2021</w:t>
            </w:r>
          </w:p>
        </w:tc>
        <w:tc>
          <w:tcPr>
            <w:tcW w:w="1118" w:type="pct"/>
          </w:tcPr>
          <w:p w14:paraId="0F15E6EC" w14:textId="4C5BB76A" w:rsidR="008F3232" w:rsidRPr="00F54F98" w:rsidRDefault="00F54F98"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Approved on 25 N</w:t>
            </w:r>
            <w:r w:rsidR="008F3232" w:rsidRPr="00F54F98">
              <w:rPr>
                <w:rFonts w:cstheme="minorHAnsi"/>
                <w:szCs w:val="22"/>
              </w:rPr>
              <w:t>ovember</w:t>
            </w:r>
            <w:r>
              <w:rPr>
                <w:rFonts w:cstheme="minorHAnsi"/>
                <w:szCs w:val="22"/>
              </w:rPr>
              <w:t> </w:t>
            </w:r>
            <w:r w:rsidR="008F3232" w:rsidRPr="00F54F98">
              <w:rPr>
                <w:rFonts w:cstheme="minorHAnsi"/>
                <w:szCs w:val="22"/>
              </w:rPr>
              <w:t>2021</w:t>
            </w:r>
          </w:p>
        </w:tc>
        <w:tc>
          <w:tcPr>
            <w:tcW w:w="1740" w:type="pct"/>
          </w:tcPr>
          <w:p w14:paraId="56489B03" w14:textId="0E4C4724" w:rsidR="008F3232" w:rsidRPr="00F54F98" w:rsidRDefault="008F3232" w:rsidP="00F54F98">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T</w:t>
            </w:r>
            <w:r w:rsidR="00F54F98">
              <w:rPr>
                <w:rFonts w:cstheme="minorHAnsi"/>
                <w:i/>
                <w:iCs/>
                <w:szCs w:val="22"/>
              </w:rPr>
              <w:t>uoyi</w:t>
            </w:r>
            <w:r w:rsidRPr="00F54F98">
              <w:rPr>
                <w:rFonts w:cstheme="minorHAnsi"/>
                <w:i/>
                <w:iCs/>
                <w:szCs w:val="22"/>
              </w:rPr>
              <w:t xml:space="preserve"> in combination with cisplatin and gemcitabine as the first-line treatment for patients with locally recurrent or metastatic NPC.</w:t>
            </w:r>
          </w:p>
        </w:tc>
      </w:tr>
      <w:tr w:rsidR="008F3232" w:rsidRPr="00D01DDB" w14:paraId="6CCA6BDE" w14:textId="77777777" w:rsidTr="008F3232">
        <w:trPr>
          <w:trHeight w:val="2246"/>
        </w:trPr>
        <w:tc>
          <w:tcPr>
            <w:cnfStyle w:val="001000000000" w:firstRow="0" w:lastRow="0" w:firstColumn="1" w:lastColumn="0" w:oddVBand="0" w:evenVBand="0" w:oddHBand="0" w:evenHBand="0" w:firstRowFirstColumn="0" w:firstRowLastColumn="0" w:lastRowFirstColumn="0" w:lastRowLastColumn="0"/>
            <w:tcW w:w="959" w:type="pct"/>
            <w:vMerge/>
          </w:tcPr>
          <w:p w14:paraId="6A474265" w14:textId="77777777" w:rsidR="008F3232" w:rsidRPr="00F54F98" w:rsidRDefault="008F3232" w:rsidP="007F1DB1">
            <w:pPr>
              <w:rPr>
                <w:rFonts w:cstheme="minorHAnsi"/>
                <w:szCs w:val="22"/>
              </w:rPr>
            </w:pPr>
          </w:p>
        </w:tc>
        <w:tc>
          <w:tcPr>
            <w:tcW w:w="1183" w:type="pct"/>
          </w:tcPr>
          <w:p w14:paraId="4ACAFC4D" w14:textId="1EB1A38D" w:rsidR="008F3232" w:rsidRPr="00F54F98" w:rsidRDefault="008F3232" w:rsidP="00FE6BAA">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2"/>
                <w:lang w:eastAsia="zh-CN"/>
              </w:rPr>
            </w:pPr>
            <w:r w:rsidRPr="00F54F98">
              <w:rPr>
                <w:rFonts w:cstheme="minorHAnsi"/>
                <w:szCs w:val="22"/>
              </w:rPr>
              <w:t>July</w:t>
            </w:r>
            <w:r w:rsidR="00F54F98">
              <w:rPr>
                <w:rFonts w:cstheme="minorHAnsi"/>
                <w:szCs w:val="22"/>
              </w:rPr>
              <w:t> </w:t>
            </w:r>
            <w:r w:rsidRPr="00F54F98">
              <w:rPr>
                <w:rFonts w:cstheme="minorHAnsi"/>
                <w:szCs w:val="22"/>
              </w:rPr>
              <w:t>2021</w:t>
            </w:r>
          </w:p>
        </w:tc>
        <w:tc>
          <w:tcPr>
            <w:tcW w:w="1118" w:type="pct"/>
          </w:tcPr>
          <w:p w14:paraId="683DE71E" w14:textId="37464AD5" w:rsidR="008F3232" w:rsidRPr="00F54F98" w:rsidRDefault="00F54F98" w:rsidP="00FE6BAA">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2"/>
                <w:lang w:eastAsia="zh-CN"/>
              </w:rPr>
            </w:pPr>
            <w:r>
              <w:rPr>
                <w:rFonts w:cstheme="minorHAnsi"/>
                <w:szCs w:val="22"/>
              </w:rPr>
              <w:t>Approved on 10 </w:t>
            </w:r>
            <w:r w:rsidR="008F3232" w:rsidRPr="00F54F98">
              <w:rPr>
                <w:rFonts w:cstheme="minorHAnsi"/>
                <w:szCs w:val="22"/>
              </w:rPr>
              <w:t>May</w:t>
            </w:r>
            <w:r>
              <w:rPr>
                <w:rFonts w:cstheme="minorHAnsi"/>
                <w:szCs w:val="22"/>
              </w:rPr>
              <w:t> </w:t>
            </w:r>
            <w:r w:rsidR="008F3232" w:rsidRPr="00F54F98">
              <w:rPr>
                <w:rFonts w:cstheme="minorHAnsi"/>
                <w:szCs w:val="22"/>
              </w:rPr>
              <w:t>2022</w:t>
            </w:r>
          </w:p>
        </w:tc>
        <w:tc>
          <w:tcPr>
            <w:tcW w:w="1740" w:type="pct"/>
          </w:tcPr>
          <w:p w14:paraId="29D85F3D" w14:textId="23CA2DCD" w:rsidR="008F3232" w:rsidRPr="00F54F98" w:rsidRDefault="008F3232" w:rsidP="007F1DB1">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 xml:space="preserve">In combination with paclitaxel and cisplatin in first-line treatment of patients with unresectable locally advanced/recurrent or distant metastatic </w:t>
            </w:r>
            <w:proofErr w:type="spellStart"/>
            <w:r w:rsidRPr="00F54F98">
              <w:rPr>
                <w:rFonts w:cstheme="minorHAnsi"/>
                <w:i/>
                <w:iCs/>
                <w:szCs w:val="22"/>
              </w:rPr>
              <w:t>esophageal</w:t>
            </w:r>
            <w:proofErr w:type="spellEnd"/>
            <w:r w:rsidRPr="00F54F98">
              <w:rPr>
                <w:rFonts w:cstheme="minorHAnsi"/>
                <w:i/>
                <w:iCs/>
                <w:szCs w:val="22"/>
              </w:rPr>
              <w:t xml:space="preserve"> squamous cell carcinoma (ESCC).</w:t>
            </w:r>
          </w:p>
        </w:tc>
      </w:tr>
      <w:tr w:rsidR="008F3232" w:rsidRPr="00D01DDB" w14:paraId="38EBAE64" w14:textId="77777777" w:rsidTr="008F3232">
        <w:trPr>
          <w:trHeight w:val="2246"/>
        </w:trPr>
        <w:tc>
          <w:tcPr>
            <w:cnfStyle w:val="001000000000" w:firstRow="0" w:lastRow="0" w:firstColumn="1" w:lastColumn="0" w:oddVBand="0" w:evenVBand="0" w:oddHBand="0" w:evenHBand="0" w:firstRowFirstColumn="0" w:firstRowLastColumn="0" w:lastRowFirstColumn="0" w:lastRowLastColumn="0"/>
            <w:tcW w:w="959" w:type="pct"/>
            <w:vMerge/>
          </w:tcPr>
          <w:p w14:paraId="2C991325" w14:textId="77777777" w:rsidR="008F3232" w:rsidRPr="00F54F98" w:rsidRDefault="008F3232" w:rsidP="007F1DB1">
            <w:pPr>
              <w:rPr>
                <w:rFonts w:cstheme="minorHAnsi"/>
                <w:szCs w:val="22"/>
              </w:rPr>
            </w:pPr>
          </w:p>
        </w:tc>
        <w:tc>
          <w:tcPr>
            <w:tcW w:w="1183" w:type="pct"/>
          </w:tcPr>
          <w:p w14:paraId="078030B6" w14:textId="710D4F00" w:rsidR="008F3232" w:rsidRPr="00F54F98" w:rsidRDefault="008F3232"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December</w:t>
            </w:r>
            <w:r w:rsidR="00F54F98">
              <w:rPr>
                <w:rFonts w:cstheme="minorHAnsi"/>
                <w:szCs w:val="22"/>
              </w:rPr>
              <w:t> </w:t>
            </w:r>
            <w:r w:rsidRPr="00F54F98">
              <w:rPr>
                <w:rFonts w:cstheme="minorHAnsi"/>
                <w:szCs w:val="22"/>
              </w:rPr>
              <w:t>2021</w:t>
            </w:r>
          </w:p>
        </w:tc>
        <w:tc>
          <w:tcPr>
            <w:tcW w:w="1118" w:type="pct"/>
          </w:tcPr>
          <w:p w14:paraId="5BD9676B" w14:textId="0A4CCBB0" w:rsidR="008F3232" w:rsidRPr="00F54F98" w:rsidRDefault="00F54F98"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Approved on 14 </w:t>
            </w:r>
            <w:r w:rsidR="008F3232" w:rsidRPr="00F54F98">
              <w:rPr>
                <w:rFonts w:cstheme="minorHAnsi"/>
                <w:szCs w:val="22"/>
              </w:rPr>
              <w:t>Septembe</w:t>
            </w:r>
            <w:r>
              <w:rPr>
                <w:rFonts w:cstheme="minorHAnsi"/>
                <w:szCs w:val="22"/>
              </w:rPr>
              <w:t>r </w:t>
            </w:r>
            <w:r w:rsidR="008F3232" w:rsidRPr="00F54F98">
              <w:rPr>
                <w:rFonts w:cstheme="minorHAnsi"/>
                <w:szCs w:val="22"/>
              </w:rPr>
              <w:t>2022</w:t>
            </w:r>
          </w:p>
        </w:tc>
        <w:tc>
          <w:tcPr>
            <w:tcW w:w="1740" w:type="pct"/>
          </w:tcPr>
          <w:p w14:paraId="3E6161A4" w14:textId="7A72C834" w:rsidR="008F3232" w:rsidRPr="00F54F98" w:rsidRDefault="008F3232" w:rsidP="008F3232">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 xml:space="preserve">In combination with pemetrexed and platinum as the first-line treatment in EGFR mutation negative and ALK mutation-negative, unresectable, locally advanced, or metastatic </w:t>
            </w:r>
            <w:proofErr w:type="spellStart"/>
            <w:r w:rsidRPr="00F54F98">
              <w:rPr>
                <w:rFonts w:cstheme="minorHAnsi"/>
                <w:i/>
                <w:iCs/>
                <w:szCs w:val="22"/>
              </w:rPr>
              <w:t>nonsquamous</w:t>
            </w:r>
            <w:proofErr w:type="spellEnd"/>
            <w:r w:rsidRPr="00F54F98">
              <w:rPr>
                <w:rFonts w:cstheme="minorHAnsi"/>
                <w:i/>
                <w:iCs/>
                <w:szCs w:val="22"/>
              </w:rPr>
              <w:t xml:space="preserve"> non-small cell lung cancer (NSCLC)</w:t>
            </w:r>
          </w:p>
        </w:tc>
      </w:tr>
      <w:tr w:rsidR="008F3232" w:rsidRPr="00D01DDB" w14:paraId="1D95281B" w14:textId="77777777" w:rsidTr="008F3232">
        <w:trPr>
          <w:trHeight w:val="2246"/>
        </w:trPr>
        <w:tc>
          <w:tcPr>
            <w:cnfStyle w:val="001000000000" w:firstRow="0" w:lastRow="0" w:firstColumn="1" w:lastColumn="0" w:oddVBand="0" w:evenVBand="0" w:oddHBand="0" w:evenHBand="0" w:firstRowFirstColumn="0" w:firstRowLastColumn="0" w:lastRowFirstColumn="0" w:lastRowLastColumn="0"/>
            <w:tcW w:w="959" w:type="pct"/>
            <w:vMerge/>
          </w:tcPr>
          <w:p w14:paraId="448DF5B0" w14:textId="77777777" w:rsidR="008F3232" w:rsidRPr="00F54F98" w:rsidRDefault="008F3232" w:rsidP="007F1DB1">
            <w:pPr>
              <w:rPr>
                <w:rFonts w:cstheme="minorHAnsi"/>
                <w:szCs w:val="22"/>
              </w:rPr>
            </w:pPr>
          </w:p>
        </w:tc>
        <w:tc>
          <w:tcPr>
            <w:tcW w:w="1183" w:type="pct"/>
          </w:tcPr>
          <w:p w14:paraId="15174618" w14:textId="04DDBCEA" w:rsidR="008F3232" w:rsidRPr="00F54F98" w:rsidRDefault="008F3232"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April</w:t>
            </w:r>
            <w:r w:rsidR="00F54F98">
              <w:rPr>
                <w:rFonts w:cstheme="minorHAnsi"/>
                <w:szCs w:val="22"/>
              </w:rPr>
              <w:t> </w:t>
            </w:r>
            <w:r w:rsidRPr="00F54F98">
              <w:rPr>
                <w:rFonts w:cstheme="minorHAnsi"/>
                <w:szCs w:val="22"/>
              </w:rPr>
              <w:t>2023</w:t>
            </w:r>
          </w:p>
        </w:tc>
        <w:tc>
          <w:tcPr>
            <w:tcW w:w="1118" w:type="pct"/>
          </w:tcPr>
          <w:p w14:paraId="38E8C270" w14:textId="72884973" w:rsidR="008F3232" w:rsidRPr="00F54F98" w:rsidRDefault="00F54F98"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Approved on 26 D</w:t>
            </w:r>
            <w:r w:rsidR="008F3232" w:rsidRPr="00F54F98">
              <w:rPr>
                <w:rFonts w:cstheme="minorHAnsi"/>
                <w:szCs w:val="22"/>
              </w:rPr>
              <w:t>ecember</w:t>
            </w:r>
            <w:r>
              <w:rPr>
                <w:rFonts w:cstheme="minorHAnsi"/>
                <w:szCs w:val="22"/>
              </w:rPr>
              <w:t> </w:t>
            </w:r>
            <w:r w:rsidR="008F3232" w:rsidRPr="00F54F98">
              <w:rPr>
                <w:rFonts w:cstheme="minorHAnsi"/>
                <w:szCs w:val="22"/>
              </w:rPr>
              <w:t>2023</w:t>
            </w:r>
          </w:p>
        </w:tc>
        <w:tc>
          <w:tcPr>
            <w:tcW w:w="1740" w:type="pct"/>
          </w:tcPr>
          <w:p w14:paraId="5478139C" w14:textId="6FAA3B25" w:rsidR="008F3232" w:rsidRPr="00F54F98" w:rsidRDefault="008F3232" w:rsidP="00F54F98">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 xml:space="preserve">Treatment in combination with chemotherapy as perioperative treatment and subsequently with monotherapy as adjuvant therapy for the treatment of adult patients with </w:t>
            </w:r>
            <w:proofErr w:type="spellStart"/>
            <w:r w:rsidRPr="00F54F98">
              <w:rPr>
                <w:rFonts w:cstheme="minorHAnsi"/>
                <w:i/>
                <w:iCs/>
                <w:szCs w:val="22"/>
              </w:rPr>
              <w:t>resectable</w:t>
            </w:r>
            <w:proofErr w:type="spellEnd"/>
            <w:r w:rsidRPr="00F54F98">
              <w:rPr>
                <w:rFonts w:cstheme="minorHAnsi"/>
                <w:i/>
                <w:iCs/>
                <w:szCs w:val="22"/>
              </w:rPr>
              <w:t xml:space="preserve"> stage IIIA-IIIB NSCLC.</w:t>
            </w:r>
          </w:p>
        </w:tc>
      </w:tr>
      <w:tr w:rsidR="008F3232" w:rsidRPr="00D01DDB" w14:paraId="207F98F1" w14:textId="77777777" w:rsidTr="00F54F98">
        <w:trPr>
          <w:trHeight w:val="1856"/>
        </w:trPr>
        <w:tc>
          <w:tcPr>
            <w:cnfStyle w:val="001000000000" w:firstRow="0" w:lastRow="0" w:firstColumn="1" w:lastColumn="0" w:oddVBand="0" w:evenVBand="0" w:oddHBand="0" w:evenHBand="0" w:firstRowFirstColumn="0" w:firstRowLastColumn="0" w:lastRowFirstColumn="0" w:lastRowLastColumn="0"/>
            <w:tcW w:w="959" w:type="pct"/>
            <w:vMerge/>
          </w:tcPr>
          <w:p w14:paraId="7E3064E1" w14:textId="77777777" w:rsidR="008F3232" w:rsidRPr="00F54F98" w:rsidRDefault="008F3232" w:rsidP="007F1DB1">
            <w:pPr>
              <w:rPr>
                <w:rFonts w:cstheme="minorHAnsi"/>
                <w:szCs w:val="22"/>
              </w:rPr>
            </w:pPr>
          </w:p>
        </w:tc>
        <w:tc>
          <w:tcPr>
            <w:tcW w:w="1183" w:type="pct"/>
          </w:tcPr>
          <w:p w14:paraId="219AFA1C" w14:textId="49B4ED12" w:rsidR="008F3232" w:rsidRPr="00F54F98" w:rsidRDefault="008F3232"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July</w:t>
            </w:r>
            <w:r w:rsidR="00F54F98">
              <w:rPr>
                <w:rFonts w:cstheme="minorHAnsi"/>
                <w:szCs w:val="22"/>
              </w:rPr>
              <w:t> </w:t>
            </w:r>
            <w:r w:rsidRPr="00F54F98">
              <w:rPr>
                <w:rFonts w:cstheme="minorHAnsi"/>
                <w:szCs w:val="22"/>
              </w:rPr>
              <w:t>2023</w:t>
            </w:r>
          </w:p>
        </w:tc>
        <w:tc>
          <w:tcPr>
            <w:tcW w:w="1118" w:type="pct"/>
          </w:tcPr>
          <w:p w14:paraId="5179CD14" w14:textId="12324FCD" w:rsidR="008F3232" w:rsidRPr="00F54F98" w:rsidRDefault="00F54F98"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Approved on 2 </w:t>
            </w:r>
            <w:r w:rsidR="008F3232" w:rsidRPr="00F54F98">
              <w:rPr>
                <w:rFonts w:cstheme="minorHAnsi"/>
                <w:szCs w:val="22"/>
              </w:rPr>
              <w:t>April</w:t>
            </w:r>
            <w:r>
              <w:rPr>
                <w:rFonts w:cstheme="minorHAnsi"/>
                <w:szCs w:val="22"/>
              </w:rPr>
              <w:t> </w:t>
            </w:r>
            <w:r w:rsidR="008F3232" w:rsidRPr="00F54F98">
              <w:rPr>
                <w:rFonts w:cstheme="minorHAnsi"/>
                <w:szCs w:val="22"/>
              </w:rPr>
              <w:t>2024</w:t>
            </w:r>
          </w:p>
        </w:tc>
        <w:tc>
          <w:tcPr>
            <w:tcW w:w="1740" w:type="pct"/>
          </w:tcPr>
          <w:p w14:paraId="48BD47FD" w14:textId="48E979AA" w:rsidR="008F3232" w:rsidRPr="00F54F98" w:rsidRDefault="008F3232" w:rsidP="00F54F98">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 xml:space="preserve">Treatment in combination with </w:t>
            </w:r>
            <w:proofErr w:type="spellStart"/>
            <w:r w:rsidRPr="00F54F98">
              <w:rPr>
                <w:rFonts w:cstheme="minorHAnsi"/>
                <w:i/>
                <w:iCs/>
                <w:szCs w:val="22"/>
              </w:rPr>
              <w:t>axitinib</w:t>
            </w:r>
            <w:proofErr w:type="spellEnd"/>
            <w:r w:rsidRPr="00F54F98">
              <w:rPr>
                <w:rFonts w:cstheme="minorHAnsi"/>
                <w:i/>
                <w:iCs/>
                <w:szCs w:val="22"/>
              </w:rPr>
              <w:t xml:space="preserve"> for the first-line treatment of patients with medium to high risk unresectable or metastatic renal cell carcinoma (RCC)</w:t>
            </w:r>
            <w:r w:rsidR="00F54F98" w:rsidRPr="00F54F98">
              <w:rPr>
                <w:rFonts w:cstheme="minorHAnsi"/>
                <w:i/>
                <w:iCs/>
                <w:szCs w:val="22"/>
              </w:rPr>
              <w:t>.</w:t>
            </w:r>
          </w:p>
        </w:tc>
      </w:tr>
      <w:tr w:rsidR="008F3232" w:rsidRPr="00D01DDB" w14:paraId="5D1BA807" w14:textId="77777777" w:rsidTr="00F54F98">
        <w:trPr>
          <w:trHeight w:val="1591"/>
        </w:trPr>
        <w:tc>
          <w:tcPr>
            <w:cnfStyle w:val="001000000000" w:firstRow="0" w:lastRow="0" w:firstColumn="1" w:lastColumn="0" w:oddVBand="0" w:evenVBand="0" w:oddHBand="0" w:evenHBand="0" w:firstRowFirstColumn="0" w:firstRowLastColumn="0" w:lastRowFirstColumn="0" w:lastRowLastColumn="0"/>
            <w:tcW w:w="959" w:type="pct"/>
            <w:vMerge/>
          </w:tcPr>
          <w:p w14:paraId="5A1B1BD5" w14:textId="77777777" w:rsidR="008F3232" w:rsidRPr="00F54F98" w:rsidRDefault="008F3232" w:rsidP="007F1DB1">
            <w:pPr>
              <w:rPr>
                <w:rFonts w:cstheme="minorHAnsi"/>
                <w:szCs w:val="22"/>
              </w:rPr>
            </w:pPr>
          </w:p>
        </w:tc>
        <w:tc>
          <w:tcPr>
            <w:tcW w:w="1183" w:type="pct"/>
          </w:tcPr>
          <w:p w14:paraId="5D07A2C1" w14:textId="1A15F546" w:rsidR="008F3232" w:rsidRPr="00F54F98" w:rsidRDefault="008F3232"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July</w:t>
            </w:r>
            <w:r w:rsidR="00F54F98">
              <w:rPr>
                <w:rFonts w:cstheme="minorHAnsi"/>
                <w:szCs w:val="22"/>
              </w:rPr>
              <w:t> </w:t>
            </w:r>
            <w:r w:rsidRPr="00F54F98">
              <w:rPr>
                <w:rFonts w:cstheme="minorHAnsi"/>
                <w:szCs w:val="22"/>
              </w:rPr>
              <w:t>2023</w:t>
            </w:r>
          </w:p>
        </w:tc>
        <w:tc>
          <w:tcPr>
            <w:tcW w:w="1118" w:type="pct"/>
          </w:tcPr>
          <w:p w14:paraId="08FBA0EE" w14:textId="04117A0D" w:rsidR="008F3232" w:rsidRPr="00F54F98" w:rsidRDefault="00F54F98"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Approved on 4 </w:t>
            </w:r>
            <w:r w:rsidR="008F3232" w:rsidRPr="00F54F98">
              <w:rPr>
                <w:rFonts w:cstheme="minorHAnsi"/>
                <w:szCs w:val="22"/>
              </w:rPr>
              <w:t>June</w:t>
            </w:r>
            <w:r>
              <w:rPr>
                <w:rFonts w:cstheme="minorHAnsi"/>
                <w:szCs w:val="22"/>
              </w:rPr>
              <w:t> </w:t>
            </w:r>
            <w:r w:rsidR="008F3232" w:rsidRPr="00F54F98">
              <w:rPr>
                <w:rFonts w:cstheme="minorHAnsi"/>
                <w:szCs w:val="22"/>
              </w:rPr>
              <w:t>2024</w:t>
            </w:r>
          </w:p>
        </w:tc>
        <w:tc>
          <w:tcPr>
            <w:tcW w:w="1740" w:type="pct"/>
          </w:tcPr>
          <w:p w14:paraId="385983A2" w14:textId="7D7FBC69" w:rsidR="008F3232" w:rsidRPr="00F54F98" w:rsidRDefault="008F3232" w:rsidP="00F54F98">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Treatment in combination with etoposide plus platinum for the first-line treatment of extensive-stage small cell lung cancer (ES-SCLC).</w:t>
            </w:r>
          </w:p>
        </w:tc>
      </w:tr>
      <w:tr w:rsidR="008F3232" w:rsidRPr="00D01DDB" w14:paraId="1ABC606D" w14:textId="77777777" w:rsidTr="00F54F98">
        <w:trPr>
          <w:trHeight w:val="1826"/>
        </w:trPr>
        <w:tc>
          <w:tcPr>
            <w:cnfStyle w:val="001000000000" w:firstRow="0" w:lastRow="0" w:firstColumn="1" w:lastColumn="0" w:oddVBand="0" w:evenVBand="0" w:oddHBand="0" w:evenHBand="0" w:firstRowFirstColumn="0" w:firstRowLastColumn="0" w:lastRowFirstColumn="0" w:lastRowLastColumn="0"/>
            <w:tcW w:w="959" w:type="pct"/>
            <w:vMerge/>
          </w:tcPr>
          <w:p w14:paraId="090A0E01" w14:textId="77777777" w:rsidR="008F3232" w:rsidRPr="00F54F98" w:rsidRDefault="008F3232" w:rsidP="007F1DB1">
            <w:pPr>
              <w:rPr>
                <w:rFonts w:cstheme="minorHAnsi"/>
                <w:szCs w:val="22"/>
              </w:rPr>
            </w:pPr>
          </w:p>
        </w:tc>
        <w:tc>
          <w:tcPr>
            <w:tcW w:w="1183" w:type="pct"/>
          </w:tcPr>
          <w:p w14:paraId="61C800B2" w14:textId="35F6611C" w:rsidR="008F3232" w:rsidRPr="00F54F98" w:rsidRDefault="008F3232"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May</w:t>
            </w:r>
            <w:r w:rsidR="00F54F98">
              <w:rPr>
                <w:rFonts w:cstheme="minorHAnsi"/>
                <w:szCs w:val="22"/>
              </w:rPr>
              <w:t> </w:t>
            </w:r>
            <w:r w:rsidRPr="00F54F98">
              <w:rPr>
                <w:rFonts w:cstheme="minorHAnsi"/>
                <w:szCs w:val="22"/>
              </w:rPr>
              <w:t>2023</w:t>
            </w:r>
          </w:p>
        </w:tc>
        <w:tc>
          <w:tcPr>
            <w:tcW w:w="1118" w:type="pct"/>
          </w:tcPr>
          <w:p w14:paraId="50CF9FAE" w14:textId="783D27E8" w:rsidR="008F3232" w:rsidRPr="00F54F98" w:rsidRDefault="00F54F98"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Approved on 18 </w:t>
            </w:r>
            <w:r w:rsidR="008F3232" w:rsidRPr="00F54F98">
              <w:rPr>
                <w:rFonts w:cstheme="minorHAnsi"/>
                <w:szCs w:val="22"/>
              </w:rPr>
              <w:t>June</w:t>
            </w:r>
            <w:r>
              <w:rPr>
                <w:rFonts w:cstheme="minorHAnsi"/>
                <w:szCs w:val="22"/>
              </w:rPr>
              <w:t> </w:t>
            </w:r>
            <w:r w:rsidR="008F3232" w:rsidRPr="00F54F98">
              <w:rPr>
                <w:rFonts w:cstheme="minorHAnsi"/>
                <w:szCs w:val="22"/>
              </w:rPr>
              <w:t>2024</w:t>
            </w:r>
          </w:p>
        </w:tc>
        <w:tc>
          <w:tcPr>
            <w:tcW w:w="1740" w:type="pct"/>
          </w:tcPr>
          <w:p w14:paraId="482DA915" w14:textId="576F46F6" w:rsidR="008F3232" w:rsidRPr="00F54F98" w:rsidRDefault="008F3232" w:rsidP="007F1DB1">
            <w:pPr>
              <w:cnfStyle w:val="000000000000" w:firstRow="0" w:lastRow="0" w:firstColumn="0" w:lastColumn="0" w:oddVBand="0" w:evenVBand="0" w:oddHBand="0" w:evenHBand="0" w:firstRowFirstColumn="0" w:firstRowLastColumn="0" w:lastRowFirstColumn="0" w:lastRowLastColumn="0"/>
              <w:rPr>
                <w:rFonts w:cstheme="minorHAnsi"/>
                <w:i/>
                <w:iCs/>
                <w:szCs w:val="22"/>
              </w:rPr>
            </w:pPr>
            <w:r w:rsidRPr="00F54F98">
              <w:rPr>
                <w:rFonts w:cstheme="minorHAnsi"/>
                <w:i/>
                <w:iCs/>
                <w:szCs w:val="22"/>
              </w:rPr>
              <w:t>Treatment in combination with paclitaxel for injection (albumin-bound) for the first-line treatment of recurrent or metastatic triple-negative breast cancer (TNBC)</w:t>
            </w:r>
          </w:p>
        </w:tc>
      </w:tr>
      <w:tr w:rsidR="008F3232" w:rsidRPr="00D01DDB" w14:paraId="7390BAE4" w14:textId="77777777" w:rsidTr="00F54F98">
        <w:trPr>
          <w:trHeight w:val="799"/>
        </w:trPr>
        <w:tc>
          <w:tcPr>
            <w:cnfStyle w:val="001000000000" w:firstRow="0" w:lastRow="0" w:firstColumn="1" w:lastColumn="0" w:oddVBand="0" w:evenVBand="0" w:oddHBand="0" w:evenHBand="0" w:firstRowFirstColumn="0" w:firstRowLastColumn="0" w:lastRowFirstColumn="0" w:lastRowLastColumn="0"/>
            <w:tcW w:w="959" w:type="pct"/>
            <w:vMerge/>
          </w:tcPr>
          <w:p w14:paraId="47CBE840" w14:textId="77777777" w:rsidR="008F3232" w:rsidRPr="00F54F98" w:rsidRDefault="008F3232" w:rsidP="007F1DB1">
            <w:pPr>
              <w:rPr>
                <w:rFonts w:cstheme="minorHAnsi"/>
                <w:szCs w:val="22"/>
              </w:rPr>
            </w:pPr>
          </w:p>
        </w:tc>
        <w:tc>
          <w:tcPr>
            <w:tcW w:w="1183" w:type="pct"/>
          </w:tcPr>
          <w:p w14:paraId="7499B0FE" w14:textId="2B6E2C28" w:rsidR="008F3232" w:rsidRPr="00F54F98" w:rsidRDefault="008F3232"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July</w:t>
            </w:r>
            <w:r w:rsidR="00F54F98">
              <w:rPr>
                <w:rFonts w:cstheme="minorHAnsi"/>
                <w:szCs w:val="22"/>
              </w:rPr>
              <w:t> </w:t>
            </w:r>
            <w:r w:rsidRPr="00F54F98">
              <w:rPr>
                <w:rFonts w:cstheme="minorHAnsi"/>
                <w:szCs w:val="22"/>
              </w:rPr>
              <w:t>2024</w:t>
            </w:r>
          </w:p>
        </w:tc>
        <w:tc>
          <w:tcPr>
            <w:tcW w:w="1118" w:type="pct"/>
          </w:tcPr>
          <w:p w14:paraId="472806FF" w14:textId="5E0351B5" w:rsidR="008F3232" w:rsidRPr="00F54F98" w:rsidRDefault="00F54F98" w:rsidP="00F54F98">
            <w:pPr>
              <w:cnfStyle w:val="000000000000" w:firstRow="0" w:lastRow="0" w:firstColumn="0" w:lastColumn="0" w:oddVBand="0" w:evenVBand="0" w:oddHBand="0" w:evenHBand="0" w:firstRowFirstColumn="0" w:firstRowLastColumn="0" w:lastRowFirstColumn="0" w:lastRowLastColumn="0"/>
              <w:rPr>
                <w:rFonts w:cstheme="minorHAnsi"/>
                <w:szCs w:val="22"/>
              </w:rPr>
            </w:pPr>
            <w:r w:rsidRPr="00F54F98">
              <w:rPr>
                <w:rFonts w:cstheme="minorHAnsi"/>
                <w:szCs w:val="22"/>
              </w:rPr>
              <w:t>Under consideration</w:t>
            </w:r>
          </w:p>
        </w:tc>
        <w:tc>
          <w:tcPr>
            <w:tcW w:w="1740" w:type="pct"/>
          </w:tcPr>
          <w:p w14:paraId="65A12EE4" w14:textId="7830180F" w:rsidR="008F3232" w:rsidRPr="00F54F98" w:rsidRDefault="00F54F98" w:rsidP="00F54F98">
            <w:pPr>
              <w:cnfStyle w:val="000000000000" w:firstRow="0" w:lastRow="0" w:firstColumn="0" w:lastColumn="0" w:oddVBand="0" w:evenVBand="0" w:oddHBand="0" w:evenHBand="0" w:firstRowFirstColumn="0" w:firstRowLastColumn="0" w:lastRowFirstColumn="0" w:lastRowLastColumn="0"/>
              <w:rPr>
                <w:rFonts w:cstheme="minorHAnsi"/>
                <w:i/>
                <w:iCs/>
                <w:szCs w:val="22"/>
                <w:lang w:val="en-US"/>
              </w:rPr>
            </w:pPr>
            <w:r>
              <w:rPr>
                <w:rFonts w:cstheme="minorHAnsi"/>
                <w:i/>
                <w:iCs/>
                <w:szCs w:val="22"/>
                <w:lang w:val="en-US"/>
              </w:rPr>
              <w:t>Under consideration</w:t>
            </w:r>
          </w:p>
        </w:tc>
      </w:tr>
      <w:tr w:rsidR="008F3232" w:rsidRPr="00D01DDB" w14:paraId="4B27723C" w14:textId="77777777" w:rsidTr="00F54F98">
        <w:trPr>
          <w:trHeight w:val="681"/>
        </w:trPr>
        <w:tc>
          <w:tcPr>
            <w:cnfStyle w:val="001000000000" w:firstRow="0" w:lastRow="0" w:firstColumn="1" w:lastColumn="0" w:oddVBand="0" w:evenVBand="0" w:oddHBand="0" w:evenHBand="0" w:firstRowFirstColumn="0" w:firstRowLastColumn="0" w:lastRowFirstColumn="0" w:lastRowLastColumn="0"/>
            <w:tcW w:w="959" w:type="pct"/>
            <w:vMerge/>
          </w:tcPr>
          <w:p w14:paraId="125EA368" w14:textId="77777777" w:rsidR="008F3232" w:rsidRPr="00F54F98" w:rsidRDefault="008F3232" w:rsidP="007F1DB1">
            <w:pPr>
              <w:rPr>
                <w:rFonts w:cstheme="minorHAnsi"/>
                <w:szCs w:val="22"/>
              </w:rPr>
            </w:pPr>
          </w:p>
        </w:tc>
        <w:tc>
          <w:tcPr>
            <w:tcW w:w="1183" w:type="pct"/>
          </w:tcPr>
          <w:p w14:paraId="53AF99E2" w14:textId="73EB2F07" w:rsidR="008F3232" w:rsidRPr="00F54F98" w:rsidRDefault="008F3232" w:rsidP="00FE6BAA">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2"/>
                <w:lang w:eastAsia="zh-CN"/>
              </w:rPr>
            </w:pPr>
            <w:r w:rsidRPr="00F54F98">
              <w:rPr>
                <w:rFonts w:cstheme="minorHAnsi"/>
                <w:szCs w:val="22"/>
              </w:rPr>
              <w:t>August</w:t>
            </w:r>
            <w:r w:rsidR="00F54F98">
              <w:rPr>
                <w:rFonts w:cstheme="minorHAnsi"/>
                <w:szCs w:val="22"/>
              </w:rPr>
              <w:t> </w:t>
            </w:r>
            <w:r w:rsidRPr="00F54F98">
              <w:rPr>
                <w:rFonts w:cstheme="minorHAnsi"/>
                <w:szCs w:val="22"/>
              </w:rPr>
              <w:t>2024</w:t>
            </w:r>
          </w:p>
        </w:tc>
        <w:tc>
          <w:tcPr>
            <w:tcW w:w="1118" w:type="pct"/>
          </w:tcPr>
          <w:p w14:paraId="12AF496C" w14:textId="13A87382" w:rsidR="008F3232" w:rsidRPr="00F54F98" w:rsidRDefault="00F54F98" w:rsidP="00F54F98">
            <w:pPr>
              <w:cnfStyle w:val="000000000000" w:firstRow="0" w:lastRow="0" w:firstColumn="0" w:lastColumn="0" w:oddVBand="0" w:evenVBand="0" w:oddHBand="0" w:evenHBand="0" w:firstRowFirstColumn="0" w:firstRowLastColumn="0" w:lastRowFirstColumn="0" w:lastRowLastColumn="0"/>
              <w:rPr>
                <w:rFonts w:eastAsiaTheme="minorEastAsia" w:cstheme="minorHAnsi"/>
                <w:szCs w:val="22"/>
                <w:lang w:eastAsia="zh-CN"/>
              </w:rPr>
            </w:pPr>
            <w:r w:rsidRPr="00F54F98">
              <w:rPr>
                <w:rFonts w:eastAsiaTheme="minorEastAsia" w:cstheme="minorHAnsi"/>
                <w:szCs w:val="22"/>
                <w:lang w:eastAsia="zh-CN"/>
              </w:rPr>
              <w:t>Under consideration</w:t>
            </w:r>
          </w:p>
        </w:tc>
        <w:tc>
          <w:tcPr>
            <w:tcW w:w="1740" w:type="pct"/>
          </w:tcPr>
          <w:p w14:paraId="69A0714C" w14:textId="0A05BE94" w:rsidR="008F3232" w:rsidRPr="00F54F98" w:rsidRDefault="00F54F98" w:rsidP="00F54F98">
            <w:pPr>
              <w:cnfStyle w:val="000000000000" w:firstRow="0" w:lastRow="0" w:firstColumn="0" w:lastColumn="0" w:oddVBand="0" w:evenVBand="0" w:oddHBand="0" w:evenHBand="0" w:firstRowFirstColumn="0" w:firstRowLastColumn="0" w:lastRowFirstColumn="0" w:lastRowLastColumn="0"/>
              <w:rPr>
                <w:rFonts w:cstheme="minorHAnsi"/>
                <w:i/>
                <w:iCs/>
                <w:szCs w:val="22"/>
              </w:rPr>
            </w:pPr>
            <w:r>
              <w:rPr>
                <w:rFonts w:cstheme="minorHAnsi"/>
                <w:i/>
                <w:iCs/>
                <w:szCs w:val="22"/>
              </w:rPr>
              <w:t>Under consideration</w:t>
            </w:r>
          </w:p>
        </w:tc>
      </w:tr>
    </w:tbl>
    <w:p w14:paraId="6D92589C" w14:textId="09786CEF" w:rsidR="00324B33" w:rsidRDefault="00324B33" w:rsidP="00324B33">
      <w:pPr>
        <w:pStyle w:val="Heading2"/>
      </w:pPr>
      <w:bookmarkStart w:id="29" w:name="_Toc504480011"/>
      <w:bookmarkStart w:id="30" w:name="_Toc103679293"/>
      <w:bookmarkStart w:id="31" w:name="_Toc233974542"/>
      <w:r>
        <w:t>Registration timeline</w:t>
      </w:r>
      <w:bookmarkEnd w:id="29"/>
      <w:bookmarkEnd w:id="30"/>
      <w:bookmarkEnd w:id="31"/>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3FBFAD22" w:rsidR="00477C4E" w:rsidRPr="00BD5DBD" w:rsidRDefault="00477C4E" w:rsidP="00324B33">
      <w:pPr>
        <w:rPr>
          <w:szCs w:val="22"/>
        </w:rPr>
      </w:pPr>
      <w:r w:rsidRPr="00BD5DBD">
        <w:rPr>
          <w:szCs w:val="22"/>
        </w:rPr>
        <w:t xml:space="preserve">This submission was evaluated under the </w:t>
      </w:r>
      <w:hyperlink r:id="rId24" w:history="1">
        <w:r w:rsidRPr="00BD5DBD">
          <w:rPr>
            <w:rStyle w:val="Hyperlink"/>
            <w:szCs w:val="22"/>
          </w:rPr>
          <w:t>standard prescription medicines registration process</w:t>
        </w:r>
      </w:hyperlink>
      <w:r w:rsidRPr="00BD5DBD">
        <w:rPr>
          <w:szCs w:val="22"/>
        </w:rPr>
        <w:t>.</w:t>
      </w:r>
    </w:p>
    <w:p w14:paraId="5173978A" w14:textId="3124FDF0" w:rsidR="003C1192" w:rsidRDefault="00324B33" w:rsidP="00CE2505">
      <w:pPr>
        <w:pStyle w:val="TableTitle"/>
      </w:pPr>
      <w:r w:rsidRPr="002C1232">
        <w:t xml:space="preserve">Table </w:t>
      </w:r>
      <w:fldSimple w:instr=" SEQ Table \* ARABIC ">
        <w:r w:rsidR="00D82028">
          <w:rPr>
            <w:noProof/>
          </w:rPr>
          <w:t>2</w:t>
        </w:r>
      </w:fldSimple>
      <w:r w:rsidRPr="002C1232">
        <w:t xml:space="preserve">: Timeline for Submission </w:t>
      </w:r>
      <w:r w:rsidR="004021D6" w:rsidRPr="004021D6">
        <w:t>PM-2023-04783-1-4</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FE6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FE6BAA">
        <w:tc>
          <w:tcPr>
            <w:cnfStyle w:val="001000000000" w:firstRow="0" w:lastRow="0" w:firstColumn="1" w:lastColumn="0" w:oddVBand="0" w:evenVBand="0" w:oddHBand="0" w:evenHBand="0" w:firstRowFirstColumn="0" w:firstRowLastColumn="0" w:lastRowFirstColumn="0" w:lastRowLastColumn="0"/>
            <w:tcW w:w="6232" w:type="dxa"/>
          </w:tcPr>
          <w:p w14:paraId="1106CC1E" w14:textId="56269E33" w:rsidR="00324B33" w:rsidRPr="00E679D1" w:rsidRDefault="00324B33" w:rsidP="00E679D1">
            <w:r w:rsidRPr="00E679D1">
              <w:t>Designation (Orphan)</w:t>
            </w:r>
          </w:p>
        </w:tc>
        <w:tc>
          <w:tcPr>
            <w:tcW w:w="2410" w:type="dxa"/>
          </w:tcPr>
          <w:p w14:paraId="4CD143CF" w14:textId="4B1249CC" w:rsidR="00324B33" w:rsidRPr="00D01DDB" w:rsidRDefault="00C616A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 September 20</w:t>
            </w:r>
            <w:r w:rsidR="00824F40">
              <w:rPr>
                <w:szCs w:val="22"/>
              </w:rPr>
              <w:t>23</w:t>
            </w:r>
          </w:p>
        </w:tc>
      </w:tr>
      <w:tr w:rsidR="00324B33" w:rsidRPr="00D01DDB" w14:paraId="23610C53" w14:textId="77777777" w:rsidTr="00FE6BAA">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5A8278F5" w:rsidR="00324B33" w:rsidRPr="00D01DDB" w:rsidRDefault="0054330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2023</w:t>
            </w:r>
          </w:p>
        </w:tc>
      </w:tr>
      <w:tr w:rsidR="00803926" w:rsidRPr="00D01DDB" w14:paraId="16D13F79" w14:textId="77777777" w:rsidTr="00FE6BAA">
        <w:tc>
          <w:tcPr>
            <w:cnfStyle w:val="001000000000" w:firstRow="0" w:lastRow="0" w:firstColumn="1" w:lastColumn="0" w:oddVBand="0" w:evenVBand="0" w:oddHBand="0" w:evenHBand="0" w:firstRowFirstColumn="0" w:firstRowLastColumn="0" w:lastRowFirstColumn="0" w:lastRowLastColumn="0"/>
            <w:tcW w:w="6232" w:type="dxa"/>
          </w:tcPr>
          <w:p w14:paraId="6858B45A" w14:textId="4702A0B9" w:rsidR="00803926" w:rsidRPr="00E679D1" w:rsidDel="00C62B1C" w:rsidRDefault="00803926" w:rsidP="00E679D1">
            <w:r>
              <w:t>Evaluation completed</w:t>
            </w:r>
          </w:p>
        </w:tc>
        <w:tc>
          <w:tcPr>
            <w:tcW w:w="2410" w:type="dxa"/>
          </w:tcPr>
          <w:p w14:paraId="2E0BD403" w14:textId="6735A9CE" w:rsidR="00803926" w:rsidRPr="00D01DDB" w:rsidRDefault="008D01B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w:t>
            </w:r>
            <w:r w:rsidR="00FB7C0B">
              <w:rPr>
                <w:szCs w:val="22"/>
              </w:rPr>
              <w:t> July 2024</w:t>
            </w:r>
          </w:p>
        </w:tc>
      </w:tr>
      <w:tr w:rsidR="00324B33" w:rsidRPr="00D01DDB" w14:paraId="6E5D32FE" w14:textId="77777777" w:rsidTr="00FE6BAA">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3EA0CCC3" w:rsidR="00324B33" w:rsidRPr="00D01DDB" w:rsidRDefault="00040AF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January 2025</w:t>
            </w:r>
          </w:p>
        </w:tc>
      </w:tr>
      <w:tr w:rsidR="00324B33" w:rsidRPr="00D01DDB" w14:paraId="6DDCDDA4" w14:textId="77777777" w:rsidTr="00FE6BAA">
        <w:tc>
          <w:tcPr>
            <w:cnfStyle w:val="001000000000" w:firstRow="0" w:lastRow="0" w:firstColumn="1" w:lastColumn="0" w:oddVBand="0" w:evenVBand="0" w:oddHBand="0" w:evenHBand="0" w:firstRowFirstColumn="0" w:firstRowLastColumn="0" w:lastRowFirstColumn="0" w:lastRowLastColumn="0"/>
            <w:tcW w:w="6232" w:type="dxa"/>
          </w:tcPr>
          <w:p w14:paraId="192FD19D" w14:textId="2F3267A5" w:rsidR="00324B33" w:rsidRPr="00E679D1" w:rsidRDefault="00040AFA" w:rsidP="007311B9">
            <w:pPr>
              <w:ind w:left="0"/>
            </w:pPr>
            <w:r>
              <w:lastRenderedPageBreak/>
              <w:t xml:space="preserve">  </w:t>
            </w:r>
            <w:r w:rsidR="00C00844">
              <w:t>R</w:t>
            </w:r>
            <w:r w:rsidR="0013132F" w:rsidRPr="00E679D1">
              <w:t xml:space="preserve">egistration </w:t>
            </w:r>
            <w:r w:rsidR="005C4B46" w:rsidRPr="00E679D1">
              <w:t xml:space="preserve">in </w:t>
            </w:r>
            <w:r w:rsidR="0013132F" w:rsidRPr="00E679D1">
              <w:t>the ARTG completed</w:t>
            </w:r>
          </w:p>
        </w:tc>
        <w:tc>
          <w:tcPr>
            <w:tcW w:w="2410" w:type="dxa"/>
          </w:tcPr>
          <w:p w14:paraId="5A8923FD" w14:textId="172C529A" w:rsidR="00324B33" w:rsidRPr="00D01DDB" w:rsidRDefault="00040AF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January 2025</w:t>
            </w:r>
          </w:p>
        </w:tc>
      </w:tr>
      <w:tr w:rsidR="00324B33" w:rsidRPr="00D01DDB" w14:paraId="56D922E2" w14:textId="77777777" w:rsidTr="00FE6BAA">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214D3B83" w:rsidR="00324B33" w:rsidRPr="00D01DDB" w:rsidRDefault="008D030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201</w:t>
            </w:r>
          </w:p>
        </w:tc>
      </w:tr>
    </w:tbl>
    <w:p w14:paraId="47E88CFC" w14:textId="4C82F2F3" w:rsidR="00433318" w:rsidRDefault="00433318" w:rsidP="00854D9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32" w:name="_Toc233974543"/>
      <w:bookmarkStart w:id="33" w:name="_Toc196046504"/>
      <w:bookmarkStart w:id="34" w:name="_Toc247691527"/>
      <w:bookmarkStart w:id="35" w:name="_Toc314842510"/>
      <w:bookmarkStart w:id="36" w:name="_Toc103679294"/>
      <w:r>
        <w:t xml:space="preserve">Assessment </w:t>
      </w:r>
      <w:r w:rsidR="00C22214" w:rsidRPr="00006FAB">
        <w:t>overview</w:t>
      </w:r>
      <w:bookmarkEnd w:id="32"/>
      <w:r w:rsidR="00C22214" w:rsidRPr="00006FAB">
        <w:t xml:space="preserve"> </w:t>
      </w:r>
      <w:bookmarkEnd w:id="33"/>
      <w:bookmarkEnd w:id="34"/>
      <w:bookmarkEnd w:id="35"/>
      <w:bookmarkEnd w:id="36"/>
    </w:p>
    <w:p w14:paraId="51B31CAB" w14:textId="6DDC6366" w:rsidR="00C22214" w:rsidRPr="008D0302" w:rsidRDefault="00C22214" w:rsidP="008D0302">
      <w:pPr>
        <w:rPr>
          <w:szCs w:val="22"/>
        </w:rPr>
      </w:pPr>
      <w:bookmarkStart w:id="37" w:name="_Toc247691528"/>
      <w:bookmarkStart w:id="38" w:name="_Toc314842511"/>
      <w:r w:rsidRPr="00BD5DBD">
        <w:rPr>
          <w:szCs w:val="22"/>
        </w:rPr>
        <w:t>A summary of the TGA’s assessment for this submission is provided below.</w:t>
      </w:r>
    </w:p>
    <w:p w14:paraId="5F5FAA14" w14:textId="77777777" w:rsidR="00C22214" w:rsidRPr="00BD5DBD" w:rsidRDefault="00C22214" w:rsidP="00C22214">
      <w:pPr>
        <w:rPr>
          <w:szCs w:val="22"/>
        </w:rPr>
      </w:pPr>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5D3D5FE0" w:rsidR="00C22214" w:rsidRDefault="00095C6A" w:rsidP="00C22214">
      <w:pPr>
        <w:pStyle w:val="Heading3"/>
      </w:pPr>
      <w:bookmarkStart w:id="39" w:name="_Toc103679295"/>
      <w:bookmarkStart w:id="40" w:name="_Toc233974544"/>
      <w:r>
        <w:t>Q</w:t>
      </w:r>
      <w:r w:rsidR="00C22214">
        <w:t>uality</w:t>
      </w:r>
      <w:bookmarkEnd w:id="37"/>
      <w:bookmarkEnd w:id="38"/>
      <w:bookmarkEnd w:id="39"/>
      <w:r w:rsidR="007E6443">
        <w:t xml:space="preserve"> evaluation</w:t>
      </w:r>
      <w:r>
        <w:t xml:space="preserve"> summary</w:t>
      </w:r>
      <w:bookmarkEnd w:id="40"/>
    </w:p>
    <w:p w14:paraId="0B0211F2" w14:textId="755CA8A8" w:rsidR="00DB74E2" w:rsidRDefault="00DB74E2" w:rsidP="00DB74E2">
      <w:proofErr w:type="spellStart"/>
      <w:r>
        <w:t>Toripalimab</w:t>
      </w:r>
      <w:proofErr w:type="spellEnd"/>
      <w:r>
        <w:t xml:space="preserve"> is a glycosylated recombinant humanised </w:t>
      </w:r>
      <w:r w:rsidR="00875788">
        <w:t xml:space="preserve">immunoglobulin </w:t>
      </w:r>
      <w:r w:rsidR="00B6411C">
        <w:t>G</w:t>
      </w:r>
      <w:r>
        <w:t xml:space="preserve"> kappa monoclonal antibody that specifically binds and neutralises human PD-1, a cell surface inhibitory receptor involved in down-regulating the immune response and promoting immunotolerance by suppressing T cell mediated activity. It has a molecular weight of approximately 147 </w:t>
      </w:r>
      <w:proofErr w:type="spellStart"/>
      <w:r>
        <w:t>kDa</w:t>
      </w:r>
      <w:proofErr w:type="spellEnd"/>
      <w:r>
        <w:t>, and it is composed of two heavy chains and two light chains, with an N-linked glycosylation site on the heavy chain.</w:t>
      </w:r>
    </w:p>
    <w:p w14:paraId="77E2809B" w14:textId="3E028D61" w:rsidR="00566037" w:rsidRPr="00566037" w:rsidRDefault="00DB74E2" w:rsidP="00DB74E2">
      <w:r>
        <w:t xml:space="preserve">The active ingredient was produced using recombinant DNA technology. Information about the manufacturing, storage and control facilities for the active substance has been provided. </w:t>
      </w:r>
      <w:r w:rsidR="006F0722">
        <w:t>Good Manufacturing Practice (</w:t>
      </w:r>
      <w:r w:rsidRPr="00C20C63">
        <w:t>GMP</w:t>
      </w:r>
      <w:r w:rsidR="006F0722">
        <w:t>)</w:t>
      </w:r>
      <w:r>
        <w:t xml:space="preserve"> compliance for the manufacturers has been demonstrated.</w:t>
      </w:r>
    </w:p>
    <w:p w14:paraId="6D854101" w14:textId="2261ABB2" w:rsidR="00222800" w:rsidRPr="00872307" w:rsidRDefault="00222800" w:rsidP="00222800">
      <w:r w:rsidRPr="00872307">
        <w:t>The overall quality of the active substance was demonstrated via adequate control of the starting material, control of critical steps and intermediates, process validation, extensive characterisation, control of impurities and contaminants, generation of robust reference materials and batch analyses that covered multiple manufacturing campaigns.</w:t>
      </w:r>
    </w:p>
    <w:p w14:paraId="322A9AAE" w14:textId="146F9493" w:rsidR="00566037" w:rsidRDefault="005146A8" w:rsidP="005146A8">
      <w:proofErr w:type="spellStart"/>
      <w:r>
        <w:t>Toripalimab</w:t>
      </w:r>
      <w:proofErr w:type="spellEnd"/>
      <w:r>
        <w:t xml:space="preserve"> finished product, T</w:t>
      </w:r>
      <w:r w:rsidR="005A28B8">
        <w:t>uoyi</w:t>
      </w:r>
      <w:r>
        <w:t>, is a concentrate for intravenous infusion presented at the concentration of 240</w:t>
      </w:r>
      <w:r w:rsidR="005A28B8">
        <w:t> </w:t>
      </w:r>
      <w:r>
        <w:t>mg/6</w:t>
      </w:r>
      <w:r w:rsidR="005A28B8">
        <w:t> </w:t>
      </w:r>
      <w:proofErr w:type="spellStart"/>
      <w:r>
        <w:t>mL.</w:t>
      </w:r>
      <w:proofErr w:type="spellEnd"/>
      <w:r>
        <w:t xml:space="preserve"> The product is available in a vial with a </w:t>
      </w:r>
      <w:r w:rsidR="005A28B8">
        <w:t>r</w:t>
      </w:r>
      <w:r>
        <w:t>ubber stopper and an aluminium seal fitted with a removable plastic cap.</w:t>
      </w:r>
      <w:r w:rsidR="00AA5F51">
        <w:t xml:space="preserve"> </w:t>
      </w:r>
      <w:r>
        <w:t>The container closure is considered suitable for its intended use as demonstrated by compatibility and stability studies.</w:t>
      </w:r>
    </w:p>
    <w:p w14:paraId="0C29B668" w14:textId="09D12B5D" w:rsidR="00D04AA9" w:rsidRPr="001F48AA" w:rsidRDefault="005E3DBC" w:rsidP="00D04AA9">
      <w:r>
        <w:t>T</w:t>
      </w:r>
      <w:r w:rsidR="00D04AA9">
        <w:t>he recommended storage condition is 36 months (3 years)</w:t>
      </w:r>
      <w:r w:rsidR="00D04AA9" w:rsidRPr="001F48AA">
        <w:t xml:space="preserve"> when stored at 5</w:t>
      </w:r>
      <w:r>
        <w:rPr>
          <w:lang w:val="en-GB"/>
        </w:rPr>
        <w:t> </w:t>
      </w:r>
      <w:r w:rsidR="00D04AA9" w:rsidRPr="0013140F">
        <w:rPr>
          <w:rFonts w:hint="eastAsia"/>
          <w:lang w:val="en-GB"/>
        </w:rPr>
        <w:t>±</w:t>
      </w:r>
      <w:r>
        <w:rPr>
          <w:lang w:val="en-GB"/>
        </w:rPr>
        <w:t> </w:t>
      </w:r>
      <w:r w:rsidR="00D04AA9" w:rsidRPr="0013140F">
        <w:rPr>
          <w:rFonts w:hint="eastAsia"/>
          <w:lang w:val="en-GB"/>
        </w:rPr>
        <w:t>3</w:t>
      </w:r>
      <w:r>
        <w:rPr>
          <w:lang w:val="en-GB"/>
        </w:rPr>
        <w:t> </w:t>
      </w:r>
      <w:r w:rsidR="00D04AA9" w:rsidRPr="0013140F">
        <w:rPr>
          <w:lang w:val="en-GB"/>
        </w:rPr>
        <w:t>℃</w:t>
      </w:r>
      <w:r w:rsidR="00D04AA9">
        <w:rPr>
          <w:lang w:val="en-GB"/>
        </w:rPr>
        <w:t xml:space="preserve"> (2</w:t>
      </w:r>
      <w:r>
        <w:rPr>
          <w:lang w:val="en-GB"/>
        </w:rPr>
        <w:t> to </w:t>
      </w:r>
      <w:r w:rsidR="00D04AA9">
        <w:rPr>
          <w:lang w:val="en-GB"/>
        </w:rPr>
        <w:t>8</w:t>
      </w:r>
      <w:r>
        <w:rPr>
          <w:lang w:val="en-GB"/>
        </w:rPr>
        <w:t> </w:t>
      </w:r>
      <w:r w:rsidR="00D04AA9">
        <w:rPr>
          <w:lang w:val="en-GB"/>
        </w:rPr>
        <w:t>℃)</w:t>
      </w:r>
      <w:r w:rsidR="00D04AA9" w:rsidRPr="0013140F">
        <w:rPr>
          <w:rFonts w:hint="eastAsia"/>
          <w:lang w:val="en-GB"/>
        </w:rPr>
        <w:t>.</w:t>
      </w:r>
    </w:p>
    <w:p w14:paraId="37476C21" w14:textId="63002923" w:rsidR="00D04AA9" w:rsidRDefault="00D04AA9" w:rsidP="00D04AA9">
      <w:r w:rsidRPr="001F48AA">
        <w:t xml:space="preserve">The </w:t>
      </w:r>
      <w:r>
        <w:t>recommended</w:t>
      </w:r>
      <w:r w:rsidRPr="001F48AA">
        <w:t xml:space="preserve"> shelf life and storage conditions for diluted product are</w:t>
      </w:r>
      <w:r>
        <w:t xml:space="preserve"> up to 8</w:t>
      </w:r>
      <w:r w:rsidR="005E3DBC">
        <w:t xml:space="preserve"> hours </w:t>
      </w:r>
      <w:r>
        <w:t>at room temperature; u</w:t>
      </w:r>
      <w:r>
        <w:rPr>
          <w:rFonts w:hint="eastAsia"/>
        </w:rPr>
        <w:t>p to 24</w:t>
      </w:r>
      <w:r w:rsidR="005E3DBC">
        <w:t xml:space="preserve"> hours </w:t>
      </w:r>
      <w:r>
        <w:rPr>
          <w:rFonts w:hint="eastAsia"/>
        </w:rPr>
        <w:t>at 2</w:t>
      </w:r>
      <w:r w:rsidR="005E3DBC">
        <w:t xml:space="preserve"> to </w:t>
      </w:r>
      <w:r>
        <w:rPr>
          <w:rFonts w:hint="eastAsia"/>
        </w:rPr>
        <w:t>8</w:t>
      </w:r>
      <w:r w:rsidR="005E3DBC">
        <w:t> </w:t>
      </w:r>
      <w:r>
        <w:t>℃</w:t>
      </w:r>
      <w:r>
        <w:rPr>
          <w:rFonts w:hint="eastAsia"/>
        </w:rPr>
        <w:t>;</w:t>
      </w:r>
      <w:r>
        <w:t xml:space="preserve"> infusion time of 30</w:t>
      </w:r>
      <w:r w:rsidR="005E3DBC">
        <w:t xml:space="preserve"> to </w:t>
      </w:r>
      <w:r>
        <w:t>60 min</w:t>
      </w:r>
      <w:r w:rsidR="002F007D">
        <w:t>utes</w:t>
      </w:r>
      <w:r>
        <w:t xml:space="preserve"> including a hold time of no more than 8</w:t>
      </w:r>
      <w:r w:rsidR="002F007D">
        <w:t> hours</w:t>
      </w:r>
      <w:r>
        <w:t xml:space="preserve"> at room temperature.</w:t>
      </w:r>
    </w:p>
    <w:p w14:paraId="2CF653A5" w14:textId="6C687384" w:rsidR="002A6752" w:rsidRDefault="001310C1" w:rsidP="005146A8">
      <w:r w:rsidRPr="001310C1">
        <w:t>There are no objections from a quality</w:t>
      </w:r>
      <w:r w:rsidR="00AA0F1F">
        <w:t xml:space="preserve"> </w:t>
      </w:r>
      <w:r w:rsidRPr="001310C1">
        <w:t>perspective to the approval of T</w:t>
      </w:r>
      <w:r w:rsidR="005E3142">
        <w:t>uoyi.</w:t>
      </w:r>
    </w:p>
    <w:p w14:paraId="2BE90AAE" w14:textId="35796FD3" w:rsidR="00C22214" w:rsidRDefault="00C22214" w:rsidP="00C22214">
      <w:pPr>
        <w:pStyle w:val="Heading3"/>
      </w:pPr>
      <w:bookmarkStart w:id="41" w:name="_Toc314842512"/>
      <w:bookmarkStart w:id="42" w:name="_Toc103679296"/>
      <w:bookmarkStart w:id="43" w:name="_Toc233974545"/>
      <w:r>
        <w:t>Nonclinical</w:t>
      </w:r>
      <w:bookmarkEnd w:id="41"/>
      <w:bookmarkEnd w:id="42"/>
      <w:r w:rsidR="007E6443">
        <w:t xml:space="preserve"> evaluation</w:t>
      </w:r>
      <w:r w:rsidR="00095C6A">
        <w:t xml:space="preserve"> summary</w:t>
      </w:r>
      <w:bookmarkEnd w:id="43"/>
    </w:p>
    <w:p w14:paraId="2D42BFDD" w14:textId="6F0CAEA2" w:rsidR="00DF46AD" w:rsidRPr="00DF46AD" w:rsidRDefault="00DF46AD" w:rsidP="00DF46AD">
      <w:r w:rsidRPr="00DF46AD">
        <w:t>T</w:t>
      </w:r>
      <w:r>
        <w:t>uoyi</w:t>
      </w:r>
      <w:r w:rsidRPr="00DF46AD">
        <w:t xml:space="preserve"> is proposed to be used in combination with cisplatin and gemcitabine, for the first-line treatment of adults with metastatic or with recurrent, locally advanced NPC and as a single agent for the treatment of adults with recurrent unresectable or metastatic NPC with disease progression on or after a platinum-containing chemotherapy. The proposed dosing regimen for the first-line NPC is 240</w:t>
      </w:r>
      <w:r w:rsidR="009C6CA0">
        <w:t> </w:t>
      </w:r>
      <w:r w:rsidRPr="00DF46AD">
        <w:t>mg of T</w:t>
      </w:r>
      <w:r w:rsidR="009C6CA0">
        <w:t>uoyi</w:t>
      </w:r>
      <w:r w:rsidRPr="00DF46AD">
        <w:t xml:space="preserve"> every three weeks and for recurrent NPC is 3</w:t>
      </w:r>
      <w:r w:rsidR="009C6CA0">
        <w:t> </w:t>
      </w:r>
      <w:r w:rsidRPr="00DF46AD">
        <w:t xml:space="preserve">mg/kg every </w:t>
      </w:r>
      <w:r w:rsidRPr="00DF46AD">
        <w:lastRenderedPageBreak/>
        <w:t>two weeks. T</w:t>
      </w:r>
      <w:r w:rsidR="009C6CA0">
        <w:t>uoyi</w:t>
      </w:r>
      <w:r w:rsidRPr="00DF46AD">
        <w:t xml:space="preserve"> is to be administered via </w:t>
      </w:r>
      <w:r w:rsidRPr="00B05735">
        <w:t>intravenous (IV)</w:t>
      </w:r>
      <w:r w:rsidRPr="00DF46AD">
        <w:t xml:space="preserve"> infusion over 60</w:t>
      </w:r>
      <w:r w:rsidR="009C6CA0">
        <w:t> </w:t>
      </w:r>
      <w:r w:rsidRPr="00DF46AD">
        <w:t>min</w:t>
      </w:r>
      <w:r w:rsidR="009C6CA0">
        <w:t>utes</w:t>
      </w:r>
      <w:r w:rsidRPr="00DF46AD">
        <w:t xml:space="preserve"> for the first dose, and over 30</w:t>
      </w:r>
      <w:r w:rsidR="009C6CA0">
        <w:t> </w:t>
      </w:r>
      <w:r w:rsidRPr="00DF46AD">
        <w:t>min</w:t>
      </w:r>
      <w:r w:rsidR="009C6CA0">
        <w:t>utes</w:t>
      </w:r>
      <w:r w:rsidRPr="00DF46AD">
        <w:t xml:space="preserve"> for subsequent doses. Treatment is for a maximum of 24</w:t>
      </w:r>
      <w:r w:rsidR="009C6CA0">
        <w:t> </w:t>
      </w:r>
      <w:r w:rsidRPr="00DF46AD">
        <w:t>months, or until disease progression or unacceptable toxicity.</w:t>
      </w:r>
    </w:p>
    <w:p w14:paraId="59DABA0F" w14:textId="1F310FEC" w:rsidR="0022298A" w:rsidRPr="0022298A" w:rsidRDefault="0022298A" w:rsidP="0022298A">
      <w:r w:rsidRPr="0022298A">
        <w:t xml:space="preserve">The submitted </w:t>
      </w:r>
      <w:r w:rsidR="00EA02DC">
        <w:t>nonclinical</w:t>
      </w:r>
      <w:r w:rsidRPr="0022298A">
        <w:t xml:space="preserve"> dossier was in accordance with the relevant guidelines. The overall quality of the nonclinical dossier was high. All pivotal safet</w:t>
      </w:r>
      <w:r w:rsidR="00D97EC8">
        <w:t xml:space="preserve">y </w:t>
      </w:r>
      <w:r w:rsidRPr="0022298A">
        <w:t xml:space="preserve">related studies were </w:t>
      </w:r>
      <w:r w:rsidR="00D97EC8">
        <w:t>Good Laboratory Practice (</w:t>
      </w:r>
      <w:r w:rsidRPr="002C61AC">
        <w:t>GLP</w:t>
      </w:r>
      <w:r w:rsidR="00D97EC8">
        <w:t>)</w:t>
      </w:r>
      <w:r w:rsidRPr="0022298A">
        <w:t xml:space="preserve"> compliant. Studies with the combination of </w:t>
      </w:r>
      <w:proofErr w:type="spellStart"/>
      <w:r w:rsidRPr="0022298A">
        <w:t>toripalimab</w:t>
      </w:r>
      <w:proofErr w:type="spellEnd"/>
      <w:r w:rsidRPr="0022298A">
        <w:t>, cisplatin and gemcitabine have not been submitted.</w:t>
      </w:r>
    </w:p>
    <w:p w14:paraId="3720B794" w14:textId="09747BAB" w:rsidR="0022298A" w:rsidRPr="0022298A" w:rsidRDefault="0022298A" w:rsidP="0022298A">
      <w:r w:rsidRPr="0022298A">
        <w:rPr>
          <w:i/>
          <w:iCs/>
        </w:rPr>
        <w:t>In vitro</w:t>
      </w:r>
      <w:r w:rsidRPr="0022298A">
        <w:t xml:space="preserve">, </w:t>
      </w:r>
      <w:proofErr w:type="spellStart"/>
      <w:r w:rsidRPr="0022298A">
        <w:t>toripalimab</w:t>
      </w:r>
      <w:proofErr w:type="spellEnd"/>
      <w:r w:rsidRPr="0022298A">
        <w:t xml:space="preserve"> exhibited nanomolar affinity for the PD-1, which is a cell surface receptor, and inhibited PD-1/PD-L1 and PD1/PD-L2 interactions, promoting T</w:t>
      </w:r>
      <w:r w:rsidR="00CA7076">
        <w:t> c</w:t>
      </w:r>
      <w:r w:rsidRPr="0022298A">
        <w:t xml:space="preserve">ell activity and proliferation. Although the drug’s affinity for the cynomolgus monkey PD-1 was </w:t>
      </w:r>
      <w:r w:rsidR="00D2549C">
        <w:t xml:space="preserve">approximately </w:t>
      </w:r>
      <w:r w:rsidRPr="0022298A">
        <w:t>6</w:t>
      </w:r>
      <w:r w:rsidR="00D2549C">
        <w:t> </w:t>
      </w:r>
      <w:r w:rsidRPr="0022298A">
        <w:t xml:space="preserve">times lower via </w:t>
      </w:r>
      <w:r w:rsidR="00BB61CC">
        <w:t>e</w:t>
      </w:r>
      <w:r w:rsidR="00BB61CC" w:rsidRPr="00BB61CC">
        <w:t>nzyme-</w:t>
      </w:r>
      <w:r w:rsidR="00BB61CC">
        <w:t>l</w:t>
      </w:r>
      <w:r w:rsidR="00BB61CC" w:rsidRPr="00BB61CC">
        <w:t xml:space="preserve">inked </w:t>
      </w:r>
      <w:r w:rsidR="00BB61CC">
        <w:t>i</w:t>
      </w:r>
      <w:r w:rsidR="00BB61CC" w:rsidRPr="00BB61CC">
        <w:t xml:space="preserve">mmunosorbent </w:t>
      </w:r>
      <w:r w:rsidR="00BB61CC">
        <w:t>a</w:t>
      </w:r>
      <w:r w:rsidR="00BB61CC" w:rsidRPr="00BB61CC">
        <w:t>ssay</w:t>
      </w:r>
      <w:r w:rsidR="00BB61CC">
        <w:t xml:space="preserve"> </w:t>
      </w:r>
      <w:r w:rsidRPr="0022298A">
        <w:t>c</w:t>
      </w:r>
      <w:r w:rsidR="004B0650">
        <w:t>ompared to</w:t>
      </w:r>
      <w:r w:rsidRPr="0022298A">
        <w:t xml:space="preserve"> the human orthologue, the </w:t>
      </w:r>
      <w:r w:rsidR="00175570" w:rsidRPr="00175570">
        <w:t>half</w:t>
      </w:r>
      <w:r w:rsidR="00175570">
        <w:t xml:space="preserve"> </w:t>
      </w:r>
      <w:r w:rsidR="00175570" w:rsidRPr="00175570">
        <w:t>maximal effective concentratio</w:t>
      </w:r>
      <w:r w:rsidR="00175570">
        <w:t>n</w:t>
      </w:r>
      <w:r w:rsidRPr="0022298A">
        <w:t xml:space="preserve"> of primary T</w:t>
      </w:r>
      <w:r w:rsidR="00CD5E80">
        <w:t> </w:t>
      </w:r>
      <w:r w:rsidRPr="0022298A">
        <w:t xml:space="preserve">cell binding via flow cytometric analysis, remained comparable between both species. There was no reactivity observed with murine or rat PD-1, which supports the use of cynomolgus monkeys in the toxicology program. </w:t>
      </w:r>
      <w:r w:rsidRPr="0022298A">
        <w:rPr>
          <w:i/>
          <w:iCs/>
        </w:rPr>
        <w:t>In vivo</w:t>
      </w:r>
      <w:r w:rsidRPr="0022298A">
        <w:t xml:space="preserve"> efficacy studie</w:t>
      </w:r>
      <w:r w:rsidR="007C6C79">
        <w:t>s</w:t>
      </w:r>
      <w:r w:rsidRPr="0022298A">
        <w:t xml:space="preserve"> were conducted in mice, which is not considered a pharmacologically relevant species.</w:t>
      </w:r>
    </w:p>
    <w:p w14:paraId="7D2F7258" w14:textId="24857310" w:rsidR="0022298A" w:rsidRPr="0022298A" w:rsidRDefault="0022298A" w:rsidP="0022298A">
      <w:r w:rsidRPr="0022298A">
        <w:t>Induction of antibody dependent cellular cytotoxicity or complement dependent cytotoxicity is not expected. No clinically relevant tissue cross-reactivity was observed.</w:t>
      </w:r>
    </w:p>
    <w:p w14:paraId="2042820C" w14:textId="73755275" w:rsidR="0022298A" w:rsidRPr="0022298A" w:rsidRDefault="0022298A" w:rsidP="0022298A">
      <w:r w:rsidRPr="0022298A">
        <w:t xml:space="preserve">Examination of the safety pharmacology of </w:t>
      </w:r>
      <w:proofErr w:type="spellStart"/>
      <w:r w:rsidRPr="0022298A">
        <w:t>toripalimab</w:t>
      </w:r>
      <w:proofErr w:type="spellEnd"/>
      <w:r w:rsidRPr="0022298A">
        <w:t xml:space="preserve"> was incorporated into the repeat</w:t>
      </w:r>
      <w:r w:rsidR="007C6C79">
        <w:t xml:space="preserve"> </w:t>
      </w:r>
      <w:r w:rsidRPr="0022298A">
        <w:t xml:space="preserve">dose toxicity study in cynomolgus monkeys. No effects were observed on </w:t>
      </w:r>
      <w:r w:rsidR="00127371">
        <w:t>central nervous system</w:t>
      </w:r>
      <w:r w:rsidRPr="0022298A">
        <w:t xml:space="preserve">, </w:t>
      </w:r>
      <w:r w:rsidR="00127371">
        <w:t>electrocardiogram</w:t>
      </w:r>
      <w:r w:rsidRPr="0022298A">
        <w:t xml:space="preserve"> or respiratory function at high </w:t>
      </w:r>
      <w:proofErr w:type="spellStart"/>
      <w:r w:rsidRPr="0022298A">
        <w:t>toripalimab</w:t>
      </w:r>
      <w:proofErr w:type="spellEnd"/>
      <w:r w:rsidRPr="0022298A">
        <w:t xml:space="preserve"> doses. No adverse effects on the function of central nervous system, cardiovascular or respiratory systems are predicted during clinical use.</w:t>
      </w:r>
    </w:p>
    <w:p w14:paraId="3283C560" w14:textId="64801347" w:rsidR="0022298A" w:rsidRPr="0022298A" w:rsidRDefault="0022298A" w:rsidP="0022298A">
      <w:r w:rsidRPr="0022298A">
        <w:t xml:space="preserve">The pharmacokinetics of </w:t>
      </w:r>
      <w:proofErr w:type="spellStart"/>
      <w:r w:rsidRPr="0022298A">
        <w:t>toripalimab</w:t>
      </w:r>
      <w:proofErr w:type="spellEnd"/>
      <w:r w:rsidRPr="0022298A">
        <w:t xml:space="preserve"> in cynomolgus monkeys and humans was generally consistent with the protein nature of the drug</w:t>
      </w:r>
      <w:r w:rsidR="00797A40">
        <w:t xml:space="preserve">, </w:t>
      </w:r>
      <w:r w:rsidRPr="0022298A">
        <w:t xml:space="preserve">long half-life and limited extravascular distribution. The pharmacokinetic profile of </w:t>
      </w:r>
      <w:proofErr w:type="spellStart"/>
      <w:r w:rsidRPr="0022298A">
        <w:t>toripalimab</w:t>
      </w:r>
      <w:proofErr w:type="spellEnd"/>
      <w:r w:rsidRPr="0022298A">
        <w:t xml:space="preserve"> was considered acceptably similar in cynomolgus monkeys and humans.</w:t>
      </w:r>
    </w:p>
    <w:p w14:paraId="0437C480" w14:textId="7690AC46" w:rsidR="0022298A" w:rsidRPr="0022298A" w:rsidRDefault="0022298A" w:rsidP="0022298A">
      <w:proofErr w:type="spellStart"/>
      <w:r w:rsidRPr="0022298A">
        <w:t>Toripalimab</w:t>
      </w:r>
      <w:proofErr w:type="spellEnd"/>
      <w:r w:rsidRPr="0022298A">
        <w:t xml:space="preserve"> had a low order of acute toxicity in monkeys up to the highest dose tested (203</w:t>
      </w:r>
      <w:r w:rsidR="00797A40">
        <w:t> </w:t>
      </w:r>
      <w:r w:rsidRPr="0022298A">
        <w:t>mg/kg).</w:t>
      </w:r>
    </w:p>
    <w:p w14:paraId="6A7A270F" w14:textId="45705F07" w:rsidR="0022298A" w:rsidRDefault="0022298A" w:rsidP="0022298A">
      <w:r w:rsidRPr="0022298A">
        <w:t>Repeat</w:t>
      </w:r>
      <w:r w:rsidR="00797A40">
        <w:t xml:space="preserve"> </w:t>
      </w:r>
      <w:r w:rsidRPr="0022298A">
        <w:t>dose toxicity studies by the clinical route were conducted in monkeys (up to 26</w:t>
      </w:r>
      <w:r w:rsidR="00797A40">
        <w:t> </w:t>
      </w:r>
      <w:r w:rsidRPr="0022298A">
        <w:t>weeks) Maximum exposures (</w:t>
      </w:r>
      <w:r w:rsidR="00797A40">
        <w:t>area under the concentration time curve)</w:t>
      </w:r>
      <w:r w:rsidRPr="0022298A">
        <w:t xml:space="preserve"> were high. There were no evident toxicities up to 100</w:t>
      </w:r>
      <w:r w:rsidR="00797A40">
        <w:t> </w:t>
      </w:r>
      <w:r w:rsidRPr="0022298A">
        <w:t>mg/kg (the maximum dose tested;</w:t>
      </w:r>
      <w:r w:rsidR="00773788" w:rsidRPr="00773788">
        <w:t xml:space="preserve"> </w:t>
      </w:r>
      <w:r w:rsidR="00773788">
        <w:t>e</w:t>
      </w:r>
      <w:r w:rsidR="00773788" w:rsidRPr="00773788">
        <w:t>xposure ratio based on area under the concentration-time curve</w:t>
      </w:r>
      <w:r w:rsidR="00FC4512">
        <w:t> </w:t>
      </w:r>
      <w:r w:rsidRPr="0022298A">
        <w:t>= 56 to 65). Despite consistent receptor saturation, no apparent impact on the frequency of major lymphocyte population or immune function parameters were observed in monkeys.</w:t>
      </w:r>
    </w:p>
    <w:p w14:paraId="1DC86E36" w14:textId="13D242DC" w:rsidR="0022298A" w:rsidRPr="0022298A" w:rsidRDefault="0022298A" w:rsidP="0022298A">
      <w:r w:rsidRPr="0022298A">
        <w:t>No genotoxicity studies were conducted. Given the protein nature of the drug, this is acceptable. No carcinogenicity studies were conducted. This is acceptable given the indication for the treatment of advance cancer.</w:t>
      </w:r>
    </w:p>
    <w:p w14:paraId="2D38D759" w14:textId="47BDD259" w:rsidR="0022298A" w:rsidRPr="0022298A" w:rsidRDefault="0022298A" w:rsidP="0022298A">
      <w:r w:rsidRPr="0022298A">
        <w:t xml:space="preserve">No fertility or embryofetal development studies were conducted. Instead, the sponsor provided a discussion on the potential for </w:t>
      </w:r>
      <w:proofErr w:type="spellStart"/>
      <w:r w:rsidRPr="0022298A">
        <w:t>toripalimab</w:t>
      </w:r>
      <w:proofErr w:type="spellEnd"/>
      <w:r w:rsidRPr="0022298A">
        <w:t xml:space="preserve"> to cause reproductive and developmental toxicity. Based on published literature, </w:t>
      </w:r>
      <w:proofErr w:type="spellStart"/>
      <w:r w:rsidRPr="0022298A">
        <w:t>toripalimab</w:t>
      </w:r>
      <w:proofErr w:type="spellEnd"/>
      <w:r w:rsidRPr="0022298A">
        <w:t xml:space="preserve"> is expected to cause embryofetal lethality in pregnant patients.</w:t>
      </w:r>
    </w:p>
    <w:p w14:paraId="78AA40FA" w14:textId="08733B7D" w:rsidR="0022298A" w:rsidRDefault="0022298A" w:rsidP="0022298A">
      <w:r w:rsidRPr="0022298A">
        <w:t>Based on findings in repeat</w:t>
      </w:r>
      <w:r w:rsidR="00C043F8">
        <w:t xml:space="preserve"> </w:t>
      </w:r>
      <w:r w:rsidRPr="0022298A">
        <w:t>dose toxicity studies, injection site reactions are not expected during clinical use.</w:t>
      </w:r>
    </w:p>
    <w:p w14:paraId="18325D40" w14:textId="6EB9EE2C" w:rsidR="000A7209" w:rsidRPr="0022298A" w:rsidRDefault="000A7209" w:rsidP="000A7209">
      <w:pPr>
        <w:pStyle w:val="Heading4"/>
      </w:pPr>
      <w:bookmarkStart w:id="44" w:name="_Toc233974546"/>
      <w:r>
        <w:lastRenderedPageBreak/>
        <w:t>Nonclinical evaluation conclusions</w:t>
      </w:r>
      <w:bookmarkEnd w:id="44"/>
    </w:p>
    <w:p w14:paraId="3EAEAE1E" w14:textId="77777777" w:rsidR="003C713F" w:rsidRDefault="003C713F" w:rsidP="000A7209">
      <w:pPr>
        <w:pStyle w:val="ListBullet"/>
      </w:pPr>
      <w:r>
        <w:t>Th</w:t>
      </w:r>
      <w:r w:rsidR="00FC3242" w:rsidRPr="00FC3242">
        <w:t>e pharmacology studies lend limited support for the proposed indication.</w:t>
      </w:r>
    </w:p>
    <w:p w14:paraId="5DFEEF9D" w14:textId="77777777" w:rsidR="000A7209" w:rsidRDefault="00FC3242" w:rsidP="000A7209">
      <w:pPr>
        <w:pStyle w:val="ListBullet"/>
      </w:pPr>
      <w:r w:rsidRPr="00FC3242">
        <w:t>Secondary and safety pharmacology studies did not identify any clinically relevant hazards.</w:t>
      </w:r>
    </w:p>
    <w:p w14:paraId="268C4FDC" w14:textId="77777777" w:rsidR="000A7209" w:rsidRDefault="00FC3242" w:rsidP="000A7209">
      <w:pPr>
        <w:pStyle w:val="ListBullet"/>
      </w:pPr>
      <w:r w:rsidRPr="00FC3242">
        <w:t>No target organs were identified in repeat dose toxicity studies in monkeys.</w:t>
      </w:r>
    </w:p>
    <w:p w14:paraId="2AAD71C9" w14:textId="77777777" w:rsidR="00F50116" w:rsidRDefault="00FC3242" w:rsidP="000A7209">
      <w:pPr>
        <w:pStyle w:val="ListBullet"/>
      </w:pPr>
      <w:proofErr w:type="spellStart"/>
      <w:r w:rsidRPr="00FC3242">
        <w:t>Toripalimab</w:t>
      </w:r>
      <w:proofErr w:type="spellEnd"/>
      <w:r w:rsidRPr="00FC3242">
        <w:t xml:space="preserve"> is predicted to induce reproductive toxicity if used during pregnancy. Pregnancy Category D, as proposed by the </w:t>
      </w:r>
      <w:r w:rsidR="000A7209">
        <w:t>s</w:t>
      </w:r>
      <w:r w:rsidRPr="00FC3242">
        <w:t>ponsor, is recommended</w:t>
      </w:r>
      <w:r w:rsidR="00F50116">
        <w:t>.</w:t>
      </w:r>
    </w:p>
    <w:p w14:paraId="438F993E" w14:textId="6862A053" w:rsidR="00FC3242" w:rsidRPr="00FC3242" w:rsidRDefault="00FC3242" w:rsidP="000A7209">
      <w:pPr>
        <w:pStyle w:val="ListBullet"/>
      </w:pPr>
      <w:r w:rsidRPr="00FC3242">
        <w:t xml:space="preserve">There are no nonclinical objections to registration of </w:t>
      </w:r>
      <w:proofErr w:type="spellStart"/>
      <w:r w:rsidRPr="00FC3242">
        <w:t>toripalimab</w:t>
      </w:r>
      <w:proofErr w:type="spellEnd"/>
      <w:r w:rsidRPr="00FC3242">
        <w:t xml:space="preserve"> for the proposed indication</w:t>
      </w:r>
      <w:r w:rsidRPr="000A7209">
        <w:rPr>
          <w:b/>
          <w:bCs/>
        </w:rPr>
        <w:t>.</w:t>
      </w:r>
    </w:p>
    <w:p w14:paraId="35B580A5" w14:textId="40B226DC" w:rsidR="00C22214" w:rsidRDefault="00C22214" w:rsidP="008804CF">
      <w:pPr>
        <w:pStyle w:val="Heading3"/>
      </w:pPr>
      <w:bookmarkStart w:id="45" w:name="_Toc247691530"/>
      <w:bookmarkStart w:id="46" w:name="_Toc314842513"/>
      <w:bookmarkStart w:id="47" w:name="_Toc103679297"/>
      <w:bookmarkStart w:id="48" w:name="_Toc233974547"/>
      <w:r>
        <w:t>Clinical</w:t>
      </w:r>
      <w:bookmarkEnd w:id="45"/>
      <w:bookmarkEnd w:id="46"/>
      <w:bookmarkEnd w:id="47"/>
      <w:r w:rsidR="00095C6A">
        <w:t xml:space="preserve"> evaluation summary</w:t>
      </w:r>
      <w:bookmarkEnd w:id="48"/>
    </w:p>
    <w:p w14:paraId="32B0DEDA" w14:textId="77777777" w:rsidR="00C22214" w:rsidRPr="00433318" w:rsidRDefault="00C22214" w:rsidP="00433318">
      <w:pPr>
        <w:pStyle w:val="Heading4"/>
      </w:pPr>
      <w:bookmarkStart w:id="49" w:name="_Toc98931928"/>
      <w:bookmarkStart w:id="50" w:name="_Toc233974548"/>
      <w:r>
        <w:t>Summary of clinical studies</w:t>
      </w:r>
      <w:bookmarkEnd w:id="49"/>
      <w:bookmarkEnd w:id="50"/>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3DF49722" w14:textId="64A51D53" w:rsidR="00C22214" w:rsidRPr="00BD5DBD" w:rsidRDefault="009215C9" w:rsidP="00C22214">
      <w:pPr>
        <w:pStyle w:val="ListBullet"/>
        <w:rPr>
          <w:szCs w:val="22"/>
        </w:rPr>
      </w:pPr>
      <w:r>
        <w:rPr>
          <w:szCs w:val="22"/>
        </w:rPr>
        <w:t>9</w:t>
      </w:r>
      <w:r w:rsidR="00C22214" w:rsidRPr="00BD5DBD">
        <w:rPr>
          <w:szCs w:val="22"/>
        </w:rPr>
        <w:t xml:space="preserve"> Phase I studies</w:t>
      </w:r>
    </w:p>
    <w:p w14:paraId="6B56CB17" w14:textId="572E4C68" w:rsidR="00C22214" w:rsidRDefault="009215C9" w:rsidP="00C22214">
      <w:pPr>
        <w:pStyle w:val="ListBullet"/>
        <w:rPr>
          <w:szCs w:val="22"/>
        </w:rPr>
      </w:pPr>
      <w:r>
        <w:rPr>
          <w:szCs w:val="22"/>
        </w:rPr>
        <w:t>4</w:t>
      </w:r>
      <w:r w:rsidR="00C22214" w:rsidRPr="00BD5DBD">
        <w:rPr>
          <w:szCs w:val="22"/>
        </w:rPr>
        <w:t xml:space="preserve"> Phase II studies</w:t>
      </w:r>
    </w:p>
    <w:p w14:paraId="0F80EF64" w14:textId="2E2F4654" w:rsidR="00123B95" w:rsidRDefault="00123B95" w:rsidP="00C22214">
      <w:pPr>
        <w:pStyle w:val="ListBullet"/>
        <w:rPr>
          <w:szCs w:val="22"/>
        </w:rPr>
      </w:pPr>
      <w:r>
        <w:rPr>
          <w:szCs w:val="22"/>
        </w:rPr>
        <w:t>One Phase III study</w:t>
      </w:r>
    </w:p>
    <w:p w14:paraId="7851EEE0" w14:textId="1667DFA4" w:rsidR="002309AF" w:rsidRPr="00B8472B" w:rsidRDefault="002309AF" w:rsidP="00B8472B">
      <w:r w:rsidRPr="00B8472B">
        <w:t xml:space="preserve">The primary evidence to support the clinical efficacy and safety of </w:t>
      </w:r>
      <w:proofErr w:type="spellStart"/>
      <w:r w:rsidRPr="00B8472B">
        <w:t>toripalimab</w:t>
      </w:r>
      <w:proofErr w:type="spellEnd"/>
      <w:r w:rsidRPr="00B8472B">
        <w:t xml:space="preserve"> as first-line treatment in patients with recurrent/metastatic NPC is from JUPITER-02.</w:t>
      </w:r>
    </w:p>
    <w:p w14:paraId="7A460AB9" w14:textId="427C1512" w:rsidR="002309AF" w:rsidRPr="00B8472B" w:rsidRDefault="002309AF" w:rsidP="00B8472B">
      <w:r w:rsidRPr="00B8472B">
        <w:t>JUPITER-02 was a multinational, double</w:t>
      </w:r>
      <w:r w:rsidR="00B519A0">
        <w:t xml:space="preserve"> </w:t>
      </w:r>
      <w:r w:rsidRPr="00B8472B">
        <w:t>blind, randomised placebo</w:t>
      </w:r>
      <w:r w:rsidR="00D078D5">
        <w:t>-</w:t>
      </w:r>
      <w:r w:rsidRPr="00B8472B">
        <w:t xml:space="preserve">controlled trial in which 289 patients with NPC who had received no prior therapy for recurrent/metastatic disease were randomised to </w:t>
      </w:r>
      <w:proofErr w:type="spellStart"/>
      <w:r w:rsidRPr="00B8472B">
        <w:t>toripalimab</w:t>
      </w:r>
      <w:proofErr w:type="spellEnd"/>
      <w:r w:rsidRPr="00B8472B">
        <w:t xml:space="preserve"> plus cisplatin/gemcitabine or placebo plus cisplatin/gemcitabine. The </w:t>
      </w:r>
      <w:r w:rsidRPr="007B35DC">
        <w:t xml:space="preserve">primary endpoint is </w:t>
      </w:r>
      <w:r w:rsidR="00F67BE1" w:rsidRPr="007B35DC">
        <w:t>Independent R</w:t>
      </w:r>
      <w:r w:rsidR="005B0728" w:rsidRPr="007B35DC">
        <w:t xml:space="preserve">eview </w:t>
      </w:r>
      <w:r w:rsidR="00540028" w:rsidRPr="007B35DC">
        <w:t>Co</w:t>
      </w:r>
      <w:r w:rsidR="00F67BE1" w:rsidRPr="007B35DC">
        <w:t>mmittee (</w:t>
      </w:r>
      <w:r w:rsidRPr="007B35DC">
        <w:t>IRC</w:t>
      </w:r>
      <w:r w:rsidR="00F67BE1" w:rsidRPr="007B35DC">
        <w:t>)</w:t>
      </w:r>
      <w:r w:rsidR="002C021D" w:rsidRPr="007B35DC">
        <w:t xml:space="preserve"> </w:t>
      </w:r>
      <w:r w:rsidRPr="007B35DC">
        <w:t xml:space="preserve">determined </w:t>
      </w:r>
      <w:r w:rsidR="00A72FCE" w:rsidRPr="007B35DC">
        <w:t>progression free survival (</w:t>
      </w:r>
      <w:r w:rsidRPr="007B35DC">
        <w:t>PFS</w:t>
      </w:r>
      <w:r w:rsidR="00A72FCE" w:rsidRPr="007B35DC">
        <w:t>)</w:t>
      </w:r>
      <w:r w:rsidRPr="007B35DC">
        <w:t xml:space="preserve">. Key secondary endpoints are </w:t>
      </w:r>
      <w:r w:rsidR="00A72FCE" w:rsidRPr="007B35DC">
        <w:t>objective response rate (</w:t>
      </w:r>
      <w:r w:rsidRPr="007B35DC">
        <w:t>ORR</w:t>
      </w:r>
      <w:r w:rsidR="00A72FCE" w:rsidRPr="007B35DC">
        <w:t>)</w:t>
      </w:r>
      <w:r w:rsidRPr="007B35DC">
        <w:t xml:space="preserve"> and </w:t>
      </w:r>
      <w:r w:rsidR="00D078D5" w:rsidRPr="007B35DC">
        <w:t>overall survival (</w:t>
      </w:r>
      <w:r w:rsidRPr="007B35DC">
        <w:t>OS</w:t>
      </w:r>
      <w:r w:rsidR="00D078D5" w:rsidRPr="007B35DC">
        <w:t>)</w:t>
      </w:r>
      <w:r w:rsidRPr="007B35DC">
        <w:t>.</w:t>
      </w:r>
    </w:p>
    <w:p w14:paraId="2F3208FD" w14:textId="7918388F" w:rsidR="008C1E0D" w:rsidRPr="00B8472B" w:rsidRDefault="008C1E0D" w:rsidP="00B8472B">
      <w:r w:rsidRPr="00B8472B">
        <w:t xml:space="preserve">This is supported by data from 12 patients in Cohort 7 of POLARIS-02. These patients had not received systemic therapy for recurrent/metastatic NPC and were treated with </w:t>
      </w:r>
      <w:proofErr w:type="spellStart"/>
      <w:r w:rsidRPr="00B8472B">
        <w:t>toripalimab</w:t>
      </w:r>
      <w:proofErr w:type="spellEnd"/>
      <w:r w:rsidRPr="00B8472B">
        <w:t xml:space="preserve"> plus cisplatin/gemcitabine.</w:t>
      </w:r>
    </w:p>
    <w:p w14:paraId="2D8F9D97" w14:textId="547F1FE4" w:rsidR="008C1E0D" w:rsidRPr="00B8472B" w:rsidRDefault="008C1E0D" w:rsidP="00B8472B">
      <w:r w:rsidRPr="00B8472B">
        <w:t xml:space="preserve">The primary evidence to support the clinical efficacy of </w:t>
      </w:r>
      <w:proofErr w:type="spellStart"/>
      <w:r w:rsidRPr="00B8472B">
        <w:t>toripalimab</w:t>
      </w:r>
      <w:proofErr w:type="spellEnd"/>
      <w:r w:rsidRPr="00B8472B">
        <w:t xml:space="preserve"> in patients with recurrent or metastatic NPC following platinum-based therapy is from 172 patients in Cohort 3 of POLARIS</w:t>
      </w:r>
      <w:r w:rsidR="00B46159">
        <w:noBreakHyphen/>
      </w:r>
      <w:r w:rsidRPr="00B8472B">
        <w:t xml:space="preserve">02 who received </w:t>
      </w:r>
      <w:proofErr w:type="spellStart"/>
      <w:r w:rsidRPr="00B8472B">
        <w:t>toripalimab</w:t>
      </w:r>
      <w:proofErr w:type="spellEnd"/>
      <w:r w:rsidRPr="00B8472B">
        <w:t xml:space="preserve"> monotherapy. The key efficacy endpoints were IRC</w:t>
      </w:r>
      <w:r w:rsidR="000E768E">
        <w:t xml:space="preserve"> </w:t>
      </w:r>
      <w:r w:rsidRPr="00B8472B">
        <w:t xml:space="preserve">determined ORR and </w:t>
      </w:r>
      <w:r w:rsidR="00DC5F76">
        <w:t>duration of response (</w:t>
      </w:r>
      <w:proofErr w:type="spellStart"/>
      <w:r w:rsidRPr="00F50116">
        <w:t>DoR</w:t>
      </w:r>
      <w:proofErr w:type="spellEnd"/>
      <w:r w:rsidR="00DC5F76" w:rsidRPr="00F50116">
        <w:t>)</w:t>
      </w:r>
      <w:r w:rsidRPr="00F50116">
        <w:t>.</w:t>
      </w:r>
    </w:p>
    <w:p w14:paraId="799D6EDC" w14:textId="7EA8D363" w:rsidR="008C1E0D" w:rsidRPr="00B8472B" w:rsidRDefault="008C1E0D" w:rsidP="00B8472B">
      <w:r w:rsidRPr="00B8472B">
        <w:t xml:space="preserve">The primary evidence to support the safety of </w:t>
      </w:r>
      <w:proofErr w:type="spellStart"/>
      <w:r w:rsidRPr="00B8472B">
        <w:t>toripalimab</w:t>
      </w:r>
      <w:proofErr w:type="spellEnd"/>
      <w:r w:rsidRPr="00B8472B">
        <w:t xml:space="preserve"> is derived from:</w:t>
      </w:r>
    </w:p>
    <w:p w14:paraId="27B2F94A" w14:textId="42764184" w:rsidR="008C1E0D" w:rsidRPr="00B8472B" w:rsidRDefault="008C1E0D" w:rsidP="00DC5F76">
      <w:pPr>
        <w:pStyle w:val="ListBullet"/>
      </w:pPr>
      <w:r w:rsidRPr="00B8472B">
        <w:t xml:space="preserve">851 patients with various tumour types who received </w:t>
      </w:r>
      <w:proofErr w:type="spellStart"/>
      <w:r w:rsidRPr="00B8472B">
        <w:t>toripalimab</w:t>
      </w:r>
      <w:proofErr w:type="spellEnd"/>
      <w:r w:rsidRPr="00B8472B">
        <w:t xml:space="preserve"> 3</w:t>
      </w:r>
      <w:r w:rsidR="00DC5F76">
        <w:t> </w:t>
      </w:r>
      <w:r w:rsidRPr="00B8472B">
        <w:t xml:space="preserve">mg/kg IV </w:t>
      </w:r>
      <w:r w:rsidR="00776581">
        <w:t xml:space="preserve">every 2 weeks as </w:t>
      </w:r>
      <w:r w:rsidRPr="00B8472B">
        <w:t>a single agent, including 190 patients with NPC in POLARIS-02</w:t>
      </w:r>
      <w:r w:rsidR="00986AF4">
        <w:t>/Cohort 3</w:t>
      </w:r>
      <w:r w:rsidR="002514F8">
        <w:t>.</w:t>
      </w:r>
    </w:p>
    <w:p w14:paraId="18126008" w14:textId="7B244F97" w:rsidR="008C1E0D" w:rsidRDefault="008C1E0D" w:rsidP="00DC5F76">
      <w:pPr>
        <w:pStyle w:val="ListBullet"/>
      </w:pPr>
      <w:r w:rsidRPr="00B8472B">
        <w:t xml:space="preserve">146 patients who received </w:t>
      </w:r>
      <w:proofErr w:type="spellStart"/>
      <w:r w:rsidRPr="00B8472B">
        <w:t>toripalimab</w:t>
      </w:r>
      <w:proofErr w:type="spellEnd"/>
      <w:r w:rsidRPr="00B8472B">
        <w:t xml:space="preserve"> 240</w:t>
      </w:r>
      <w:r w:rsidR="00776581">
        <w:t> </w:t>
      </w:r>
      <w:r w:rsidRPr="00B8472B">
        <w:t xml:space="preserve">mg/kg IV </w:t>
      </w:r>
      <w:r w:rsidR="00957C21">
        <w:t>every 3 weeks</w:t>
      </w:r>
      <w:r w:rsidRPr="00B8472B">
        <w:t xml:space="preserve"> in combination with cisplatin and gemcitabine in JUPITER-02</w:t>
      </w:r>
      <w:r w:rsidR="00776581">
        <w:t>.</w:t>
      </w:r>
    </w:p>
    <w:p w14:paraId="6E2315A5" w14:textId="11B3C03E" w:rsidR="000710B8" w:rsidRDefault="000710B8" w:rsidP="000F1893">
      <w:pPr>
        <w:pStyle w:val="Heading4"/>
      </w:pPr>
      <w:bookmarkStart w:id="51" w:name="_Toc233974549"/>
      <w:r>
        <w:t xml:space="preserve">Clinical </w:t>
      </w:r>
      <w:r w:rsidR="00A54391">
        <w:t>p</w:t>
      </w:r>
      <w:r>
        <w:t>harmacology</w:t>
      </w:r>
      <w:bookmarkEnd w:id="51"/>
      <w:r>
        <w:t xml:space="preserve"> </w:t>
      </w:r>
    </w:p>
    <w:p w14:paraId="32131270" w14:textId="2D30DA22" w:rsidR="00A65D3E" w:rsidRDefault="00A65D3E" w:rsidP="003E0AEF">
      <w:r w:rsidRPr="003E0AEF">
        <w:t xml:space="preserve">The primary assessment of </w:t>
      </w:r>
      <w:proofErr w:type="spellStart"/>
      <w:r w:rsidRPr="003E0AEF">
        <w:t>toripalimab</w:t>
      </w:r>
      <w:proofErr w:type="spellEnd"/>
      <w:r w:rsidRPr="003E0AEF">
        <w:t xml:space="preserve"> pharmacokinetics relies on population PK modelling. This base model was based on a dataset that included </w:t>
      </w:r>
      <w:r w:rsidR="00D42A26">
        <w:t>pharmac</w:t>
      </w:r>
      <w:r w:rsidR="00D42A26" w:rsidRPr="004A529D">
        <w:t>okinetic (</w:t>
      </w:r>
      <w:r w:rsidRPr="004A529D">
        <w:t>PK</w:t>
      </w:r>
      <w:r w:rsidR="00D42A26" w:rsidRPr="004A529D">
        <w:t>)</w:t>
      </w:r>
      <w:r w:rsidRPr="004A529D">
        <w:t xml:space="preserve"> data</w:t>
      </w:r>
      <w:r w:rsidRPr="003E0AEF">
        <w:t xml:space="preserve"> from 862 patients enrolled across 12 clinical studies administered </w:t>
      </w:r>
      <w:proofErr w:type="spellStart"/>
      <w:r w:rsidRPr="003E0AEF">
        <w:t>toripalimab</w:t>
      </w:r>
      <w:proofErr w:type="spellEnd"/>
      <w:r w:rsidRPr="003E0AEF">
        <w:t xml:space="preserve"> as monotherapy, including </w:t>
      </w:r>
      <w:r w:rsidRPr="003E0AEF">
        <w:lastRenderedPageBreak/>
        <w:t>data from patients enrolled in the pivotal study, Cohort 3/POLARIS</w:t>
      </w:r>
      <w:r w:rsidR="00D42A26">
        <w:noBreakHyphen/>
      </w:r>
      <w:r w:rsidRPr="003E0AEF">
        <w:t>02 and data from a Phase I study (</w:t>
      </w:r>
      <w:r w:rsidR="00CF2B48">
        <w:t xml:space="preserve">Study </w:t>
      </w:r>
      <w:r w:rsidRPr="003E0AEF">
        <w:t>TAB001-01) conducted in the US.</w:t>
      </w:r>
    </w:p>
    <w:p w14:paraId="392D4D39" w14:textId="5927862C" w:rsidR="00BA404E" w:rsidRPr="00BA404E" w:rsidRDefault="00FE5216" w:rsidP="00BA404E">
      <w:pPr>
        <w:pStyle w:val="Heading5"/>
      </w:pPr>
      <w:r>
        <w:t>Pharmacokinetic</w:t>
      </w:r>
      <w:r w:rsidR="00BA404E">
        <w:t>s</w:t>
      </w:r>
    </w:p>
    <w:p w14:paraId="2C512B11" w14:textId="6884129F" w:rsidR="00A65D3E" w:rsidRPr="00743A0D" w:rsidRDefault="00A65D3E" w:rsidP="00743A0D">
      <w:pPr>
        <w:pStyle w:val="ListBullet"/>
        <w:rPr>
          <w:szCs w:val="22"/>
        </w:rPr>
      </w:pPr>
      <w:r w:rsidRPr="00A65D3E">
        <w:rPr>
          <w:szCs w:val="22"/>
        </w:rPr>
        <w:t xml:space="preserve">Distribution: </w:t>
      </w:r>
      <w:proofErr w:type="spellStart"/>
      <w:r w:rsidR="00743A0D">
        <w:rPr>
          <w:szCs w:val="22"/>
        </w:rPr>
        <w:t>t</w:t>
      </w:r>
      <w:r w:rsidRPr="00A65D3E">
        <w:rPr>
          <w:szCs w:val="22"/>
        </w:rPr>
        <w:t>oripalimab</w:t>
      </w:r>
      <w:proofErr w:type="spellEnd"/>
      <w:r w:rsidRPr="00A65D3E">
        <w:rPr>
          <w:szCs w:val="22"/>
        </w:rPr>
        <w:t xml:space="preserve"> is primarily distributed in the plasma with a geometric mean volume of distribution at steady state of approximately 3.7</w:t>
      </w:r>
      <w:r w:rsidR="00590A2E">
        <w:rPr>
          <w:szCs w:val="22"/>
        </w:rPr>
        <w:t> </w:t>
      </w:r>
      <w:r w:rsidRPr="00A65D3E">
        <w:rPr>
          <w:szCs w:val="22"/>
        </w:rPr>
        <w:t>L (</w:t>
      </w:r>
      <w:r w:rsidR="00743A0D">
        <w:rPr>
          <w:szCs w:val="22"/>
        </w:rPr>
        <w:t xml:space="preserve">coefficient of variation </w:t>
      </w:r>
      <w:r w:rsidRPr="00A65D3E">
        <w:rPr>
          <w:szCs w:val="22"/>
        </w:rPr>
        <w:t>=</w:t>
      </w:r>
      <w:r w:rsidR="00743A0D">
        <w:rPr>
          <w:szCs w:val="22"/>
        </w:rPr>
        <w:t> </w:t>
      </w:r>
      <w:r w:rsidRPr="00A65D3E">
        <w:rPr>
          <w:szCs w:val="22"/>
        </w:rPr>
        <w:t>27%).</w:t>
      </w:r>
    </w:p>
    <w:p w14:paraId="7C639F89" w14:textId="04BD907B" w:rsidR="00A65D3E" w:rsidRPr="007C0811" w:rsidRDefault="00A65D3E" w:rsidP="007C0811">
      <w:pPr>
        <w:pStyle w:val="ListBullet"/>
      </w:pPr>
      <w:r w:rsidRPr="00743A0D">
        <w:t xml:space="preserve">Metabolism: </w:t>
      </w:r>
      <w:proofErr w:type="spellStart"/>
      <w:r w:rsidR="00743A0D">
        <w:t>t</w:t>
      </w:r>
      <w:r w:rsidRPr="00743A0D">
        <w:t>oripalimab</w:t>
      </w:r>
      <w:proofErr w:type="spellEnd"/>
      <w:r w:rsidRPr="00743A0D">
        <w:t xml:space="preserve"> is expected to be metabolised into small peptides by catabolic pathways. The mean clearance was 14.9</w:t>
      </w:r>
      <w:r w:rsidR="00D015B4">
        <w:t> </w:t>
      </w:r>
      <w:r w:rsidRPr="00743A0D">
        <w:t>mL/h</w:t>
      </w:r>
      <w:r w:rsidR="00D015B4">
        <w:t xml:space="preserve">our </w:t>
      </w:r>
      <w:r w:rsidRPr="00743A0D">
        <w:t>(31%) after the first dose and 9.5</w:t>
      </w:r>
      <w:r w:rsidR="00D015B4">
        <w:t> </w:t>
      </w:r>
      <w:r w:rsidRPr="00743A0D">
        <w:t>mL/h</w:t>
      </w:r>
      <w:r w:rsidR="00D015B4">
        <w:t>our</w:t>
      </w:r>
      <w:r w:rsidRPr="00743A0D">
        <w:t xml:space="preserve"> (36%) at steady state. The mean terminal half-life (± standard deviation) was 10</w:t>
      </w:r>
      <w:r w:rsidR="0067194A">
        <w:t> </w:t>
      </w:r>
      <w:r w:rsidRPr="00743A0D">
        <w:t>±</w:t>
      </w:r>
      <w:r w:rsidR="0067194A">
        <w:t> </w:t>
      </w:r>
      <w:r w:rsidRPr="00743A0D">
        <w:t>1.5 days after the first dose and 18</w:t>
      </w:r>
      <w:r w:rsidR="0067194A">
        <w:t> </w:t>
      </w:r>
      <w:r w:rsidRPr="00743A0D">
        <w:t>±</w:t>
      </w:r>
      <w:r w:rsidR="0067194A">
        <w:t> </w:t>
      </w:r>
      <w:r w:rsidRPr="00743A0D">
        <w:t>9.4 days at steady state.</w:t>
      </w:r>
      <w:r w:rsidR="00610775">
        <w:t xml:space="preserve"> </w:t>
      </w:r>
      <w:r w:rsidR="00610775" w:rsidRPr="00610775">
        <w:t xml:space="preserve">Based upon its expected metabolism, </w:t>
      </w:r>
      <w:proofErr w:type="spellStart"/>
      <w:r w:rsidR="00610775" w:rsidRPr="00610775">
        <w:t>toripalimab</w:t>
      </w:r>
      <w:proofErr w:type="spellEnd"/>
      <w:r w:rsidR="00610775" w:rsidRPr="00610775">
        <w:t xml:space="preserve"> is not expected to have drug-drug interactions</w:t>
      </w:r>
      <w:r w:rsidR="00154C9A">
        <w:t>.</w:t>
      </w:r>
    </w:p>
    <w:p w14:paraId="14EC3924" w14:textId="4C327F3D" w:rsidR="00A65D3E" w:rsidRPr="00A65D3E" w:rsidRDefault="00A65D3E" w:rsidP="00A65D3E">
      <w:pPr>
        <w:pStyle w:val="ListBullet"/>
        <w:rPr>
          <w:szCs w:val="22"/>
        </w:rPr>
      </w:pPr>
      <w:r w:rsidRPr="00A65D3E">
        <w:rPr>
          <w:szCs w:val="22"/>
        </w:rPr>
        <w:t>P</w:t>
      </w:r>
      <w:r w:rsidR="00154C9A">
        <w:rPr>
          <w:szCs w:val="22"/>
        </w:rPr>
        <w:t xml:space="preserve">harmacokinetics </w:t>
      </w:r>
      <w:r w:rsidRPr="00A65D3E">
        <w:rPr>
          <w:szCs w:val="22"/>
        </w:rPr>
        <w:t>in special populations:</w:t>
      </w:r>
    </w:p>
    <w:p w14:paraId="2DEC1419" w14:textId="6FA31780" w:rsidR="00A65D3E" w:rsidRPr="007C0811" w:rsidRDefault="00A65D3E" w:rsidP="007C0811">
      <w:pPr>
        <w:pStyle w:val="ListBullet2"/>
      </w:pPr>
      <w:r w:rsidRPr="00A65D3E">
        <w:t xml:space="preserve">No clinically significant differences in the </w:t>
      </w:r>
      <w:r w:rsidR="00714E77">
        <w:t>PK</w:t>
      </w:r>
      <w:r w:rsidRPr="00A65D3E">
        <w:t xml:space="preserve"> were observed based on age (21 to 85</w:t>
      </w:r>
      <w:r w:rsidR="00714E77">
        <w:t> </w:t>
      </w:r>
      <w:r w:rsidRPr="00A65D3E">
        <w:t>years), body weight (32 to 164</w:t>
      </w:r>
      <w:r w:rsidR="00380FC2">
        <w:t> </w:t>
      </w:r>
      <w:r w:rsidRPr="00A65D3E">
        <w:t xml:space="preserve">kg), sex, race (White and Asian), concomitant chemotherapy, mild renal impairment (creatinine clearance </w:t>
      </w:r>
      <w:r w:rsidR="00380FC2" w:rsidRPr="00845165">
        <w:t>(</w:t>
      </w:r>
      <w:r w:rsidRPr="00845165">
        <w:t>CLcr</w:t>
      </w:r>
      <w:r w:rsidR="00380FC2" w:rsidRPr="00845165">
        <w:t>)</w:t>
      </w:r>
      <w:r w:rsidRPr="00A65D3E">
        <w:t xml:space="preserve"> 60 to 89</w:t>
      </w:r>
      <w:r w:rsidR="00380FC2">
        <w:t> </w:t>
      </w:r>
      <w:r w:rsidRPr="00A65D3E">
        <w:t>mL/min</w:t>
      </w:r>
      <w:r w:rsidR="00380FC2">
        <w:t>ute</w:t>
      </w:r>
      <w:r w:rsidRPr="00A65D3E">
        <w:t xml:space="preserve">), mild hepatic impairment (total </w:t>
      </w:r>
      <w:r w:rsidRPr="00287D53">
        <w:t>bilirubin &gt;</w:t>
      </w:r>
      <w:r w:rsidR="00380FC2" w:rsidRPr="00287D53">
        <w:t> </w:t>
      </w:r>
      <w:r w:rsidRPr="00287D53">
        <w:t xml:space="preserve">1 to 1.5 times </w:t>
      </w:r>
      <w:r w:rsidR="00380FC2" w:rsidRPr="00287D53">
        <w:t>upper limit of normal (</w:t>
      </w:r>
      <w:r w:rsidRPr="00287D53">
        <w:t>ULN</w:t>
      </w:r>
      <w:r w:rsidR="00380FC2" w:rsidRPr="00287D53">
        <w:t>)</w:t>
      </w:r>
      <w:r w:rsidRPr="00287D53">
        <w:t xml:space="preserve"> with any </w:t>
      </w:r>
      <w:r w:rsidR="00064992" w:rsidRPr="00287D53">
        <w:t>aspartate aminotransferase (</w:t>
      </w:r>
      <w:r w:rsidRPr="00287D53">
        <w:t>AST</w:t>
      </w:r>
      <w:r w:rsidR="00064992" w:rsidRPr="00287D53">
        <w:t>)</w:t>
      </w:r>
      <w:r w:rsidRPr="00287D53">
        <w:t xml:space="preserve"> or total bilirubin ≤</w:t>
      </w:r>
      <w:r w:rsidR="00064992" w:rsidRPr="00287D53">
        <w:t> </w:t>
      </w:r>
      <w:r w:rsidRPr="00287D53">
        <w:t>ULN with AST</w:t>
      </w:r>
      <w:r w:rsidR="00064992" w:rsidRPr="00287D53">
        <w:t> </w:t>
      </w:r>
      <w:r w:rsidRPr="00287D53">
        <w:t>&gt;</w:t>
      </w:r>
      <w:r w:rsidR="00064992" w:rsidRPr="00287D53">
        <w:t> </w:t>
      </w:r>
      <w:r w:rsidRPr="00287D53">
        <w:t>ULN), tumour burden and primary cancer</w:t>
      </w:r>
      <w:r w:rsidR="003C0CA0" w:rsidRPr="00287D53">
        <w:t>.</w:t>
      </w:r>
    </w:p>
    <w:p w14:paraId="54CBC970" w14:textId="76CBC157" w:rsidR="00A65D3E" w:rsidRPr="00A65D3E" w:rsidRDefault="00A65D3E" w:rsidP="007C0811">
      <w:pPr>
        <w:pStyle w:val="ListBullet2"/>
      </w:pPr>
      <w:r w:rsidRPr="00A65D3E">
        <w:t>The effect of moderate (total bilirubin &gt;</w:t>
      </w:r>
      <w:r w:rsidR="003C0CA0">
        <w:t> </w:t>
      </w:r>
      <w:r w:rsidRPr="00A65D3E">
        <w:t>1.5 to 3 times ULN and any AST) or severe (total bilirubin &gt;</w:t>
      </w:r>
      <w:r w:rsidR="003C0CA0">
        <w:t> </w:t>
      </w:r>
      <w:r w:rsidRPr="00A65D3E">
        <w:t>3 times ULN and any AST) hepatic impairment or of moderate (CLcr</w:t>
      </w:r>
      <w:r w:rsidR="003C0CA0">
        <w:t> </w:t>
      </w:r>
      <w:r w:rsidRPr="00A65D3E">
        <w:t>30 to 59</w:t>
      </w:r>
      <w:r w:rsidR="003C0CA0">
        <w:t> </w:t>
      </w:r>
      <w:r w:rsidRPr="00A65D3E">
        <w:t>mL/min</w:t>
      </w:r>
      <w:r w:rsidR="003C0CA0">
        <w:t>ute</w:t>
      </w:r>
      <w:r w:rsidRPr="00A65D3E">
        <w:t>) or severe (CLcr 15 to 29</w:t>
      </w:r>
      <w:r w:rsidR="003C0CA0">
        <w:t> </w:t>
      </w:r>
      <w:r w:rsidRPr="00A65D3E">
        <w:t>mL/min</w:t>
      </w:r>
      <w:r w:rsidR="003C0CA0">
        <w:t>ute</w:t>
      </w:r>
      <w:r w:rsidRPr="00A65D3E">
        <w:t xml:space="preserve">) renal impairment on the pharmacokinetics of </w:t>
      </w:r>
      <w:proofErr w:type="spellStart"/>
      <w:r w:rsidRPr="00A65D3E">
        <w:t>toripalimab</w:t>
      </w:r>
      <w:proofErr w:type="spellEnd"/>
      <w:r w:rsidRPr="00A65D3E">
        <w:t xml:space="preserve"> has not been studied</w:t>
      </w:r>
      <w:r w:rsidR="003C0CA0">
        <w:t>.</w:t>
      </w:r>
    </w:p>
    <w:p w14:paraId="28FBBD08" w14:textId="423748F8" w:rsidR="00A65D3E" w:rsidRPr="00A65D3E" w:rsidRDefault="002E6DC0" w:rsidP="00A65D3E">
      <w:pPr>
        <w:pStyle w:val="ListBullet"/>
        <w:rPr>
          <w:szCs w:val="22"/>
        </w:rPr>
      </w:pPr>
      <w:r w:rsidRPr="002E6DC0">
        <w:rPr>
          <w:szCs w:val="22"/>
        </w:rPr>
        <w:t xml:space="preserve">Based upon its expected metabolism, </w:t>
      </w:r>
      <w:proofErr w:type="spellStart"/>
      <w:r w:rsidRPr="002E6DC0">
        <w:rPr>
          <w:szCs w:val="22"/>
        </w:rPr>
        <w:t>toripalimab</w:t>
      </w:r>
      <w:proofErr w:type="spellEnd"/>
      <w:r w:rsidRPr="002E6DC0">
        <w:rPr>
          <w:szCs w:val="22"/>
        </w:rPr>
        <w:t xml:space="preserve"> is not expected to have drug-drug interactions</w:t>
      </w:r>
    </w:p>
    <w:p w14:paraId="142841CE" w14:textId="126DFBC2" w:rsidR="00DB02ED" w:rsidRDefault="00602ED7" w:rsidP="00602ED7">
      <w:pPr>
        <w:pStyle w:val="ListBullet"/>
      </w:pPr>
      <w:r>
        <w:t xml:space="preserve">Two </w:t>
      </w:r>
      <w:r w:rsidR="00615238">
        <w:t>population pharmacokinet</w:t>
      </w:r>
      <w:r w:rsidR="00615238" w:rsidRPr="00522C5F">
        <w:t>ics (</w:t>
      </w:r>
      <w:proofErr w:type="spellStart"/>
      <w:r w:rsidR="00344EDC" w:rsidRPr="00522C5F">
        <w:t>p</w:t>
      </w:r>
      <w:r w:rsidR="00615238" w:rsidRPr="00522C5F">
        <w:t>opPK</w:t>
      </w:r>
      <w:proofErr w:type="spellEnd"/>
      <w:r w:rsidR="00615238" w:rsidRPr="00522C5F">
        <w:t>)</w:t>
      </w:r>
      <w:r w:rsidR="00615238">
        <w:t xml:space="preserve"> models</w:t>
      </w:r>
      <w:r w:rsidR="00A51CE0">
        <w:t xml:space="preserve"> were developed in support of this </w:t>
      </w:r>
      <w:r w:rsidR="00646554">
        <w:t>submission.</w:t>
      </w:r>
    </w:p>
    <w:p w14:paraId="2B4773AB" w14:textId="205FFD0C" w:rsidR="00646554" w:rsidRPr="00344EDC" w:rsidRDefault="00646554" w:rsidP="00646554">
      <w:pPr>
        <w:pStyle w:val="ListBullet2"/>
      </w:pPr>
      <w:r>
        <w:t xml:space="preserve">The first model utilised a dataset that was limited to patients who received </w:t>
      </w:r>
      <w:proofErr w:type="spellStart"/>
      <w:r>
        <w:t>toripalimab</w:t>
      </w:r>
      <w:proofErr w:type="spellEnd"/>
      <w:r>
        <w:t xml:space="preserve"> as a single agent (that is, as monotherapy)</w:t>
      </w:r>
      <w:r w:rsidR="00B649C9">
        <w:t xml:space="preserve">. </w:t>
      </w:r>
      <w:r w:rsidR="00344EDC" w:rsidRPr="00A96979">
        <w:rPr>
          <w:rFonts w:cs="Calibri"/>
          <w:szCs w:val="22"/>
        </w:rPr>
        <w:t xml:space="preserve">This </w:t>
      </w:r>
      <w:proofErr w:type="spellStart"/>
      <w:r w:rsidR="00344EDC" w:rsidRPr="00A96979">
        <w:rPr>
          <w:rFonts w:cs="Calibri"/>
          <w:szCs w:val="22"/>
        </w:rPr>
        <w:t>popPK</w:t>
      </w:r>
      <w:proofErr w:type="spellEnd"/>
      <w:r w:rsidR="00344EDC" w:rsidRPr="00A96979">
        <w:rPr>
          <w:rFonts w:cs="Calibri"/>
          <w:szCs w:val="22"/>
        </w:rPr>
        <w:t xml:space="preserve"> analysis model was conducted on a database containing 9377 PK observation records in 862 patients with various cancers.</w:t>
      </w:r>
    </w:p>
    <w:p w14:paraId="19EAF018" w14:textId="4C4056F2" w:rsidR="00344EDC" w:rsidRDefault="00C63BFF" w:rsidP="00F153A9">
      <w:pPr>
        <w:pStyle w:val="ListBullet2"/>
      </w:pPr>
      <w:r w:rsidRPr="00A96979">
        <w:t xml:space="preserve">The second (updated) model was developed to assess the effects of concurrent chemotherapy on </w:t>
      </w:r>
      <w:proofErr w:type="spellStart"/>
      <w:r w:rsidRPr="00A96979">
        <w:t>toripalimab</w:t>
      </w:r>
      <w:proofErr w:type="spellEnd"/>
      <w:r w:rsidRPr="00A96979">
        <w:t xml:space="preserve"> PK and utili</w:t>
      </w:r>
      <w:r w:rsidR="00F96250">
        <w:t>s</w:t>
      </w:r>
      <w:r w:rsidRPr="00A96979">
        <w:t xml:space="preserve">ed a combined dataset that included all patients in the original </w:t>
      </w:r>
      <w:proofErr w:type="spellStart"/>
      <w:r w:rsidRPr="00A96979">
        <w:t>popPK</w:t>
      </w:r>
      <w:proofErr w:type="spellEnd"/>
      <w:r w:rsidRPr="00A96979">
        <w:t xml:space="preserve"> model and additional data from two studies, POLARIS</w:t>
      </w:r>
      <w:r w:rsidR="00F96250">
        <w:noBreakHyphen/>
      </w:r>
      <w:r w:rsidRPr="00A96979">
        <w:t>02/CT5 cohorts 5</w:t>
      </w:r>
      <w:r w:rsidR="00F96250">
        <w:t xml:space="preserve"> to </w:t>
      </w:r>
      <w:r w:rsidRPr="00A96979">
        <w:t xml:space="preserve">8 and JUPITER-02, in which patients received </w:t>
      </w:r>
      <w:proofErr w:type="spellStart"/>
      <w:r w:rsidRPr="00A96979">
        <w:t>toripalimab</w:t>
      </w:r>
      <w:proofErr w:type="spellEnd"/>
      <w:r w:rsidRPr="00A96979">
        <w:t xml:space="preserve"> in combination with one of several platinum-based chemotherapy regimens. The updated </w:t>
      </w:r>
      <w:proofErr w:type="spellStart"/>
      <w:r w:rsidRPr="00A96979">
        <w:t>popPK</w:t>
      </w:r>
      <w:proofErr w:type="spellEnd"/>
      <w:r w:rsidRPr="00A96979">
        <w:t xml:space="preserve"> analysis model contained 10430 PK observation records from 1014</w:t>
      </w:r>
      <w:r w:rsidR="00F153A9">
        <w:t> </w:t>
      </w:r>
      <w:r w:rsidRPr="00A96979">
        <w:t>patients with various cancers.</w:t>
      </w:r>
    </w:p>
    <w:p w14:paraId="4C6DE283" w14:textId="0DF15F43" w:rsidR="00F153A9" w:rsidRDefault="006A46C2" w:rsidP="00F153A9">
      <w:pPr>
        <w:pStyle w:val="Heading5"/>
      </w:pPr>
      <w:r>
        <w:t>Pharmacokinetics conclusions</w:t>
      </w:r>
    </w:p>
    <w:p w14:paraId="009EAB82" w14:textId="77B5471A" w:rsidR="00DB02ED" w:rsidRPr="006A46C2" w:rsidRDefault="006A46C2" w:rsidP="00BA54E8">
      <w:pPr>
        <w:pStyle w:val="ListBullet"/>
      </w:pPr>
      <w:r w:rsidRPr="006A46C2">
        <w:t>T</w:t>
      </w:r>
      <w:r w:rsidR="00DB02ED" w:rsidRPr="006A46C2">
        <w:t xml:space="preserve">he updated </w:t>
      </w:r>
      <w:proofErr w:type="spellStart"/>
      <w:r>
        <w:t>p</w:t>
      </w:r>
      <w:r w:rsidR="00DB02ED" w:rsidRPr="006A46C2">
        <w:t>opPK</w:t>
      </w:r>
      <w:proofErr w:type="spellEnd"/>
      <w:r w:rsidR="00DB02ED" w:rsidRPr="006A46C2">
        <w:t xml:space="preserve"> analysis model contained 10430 PK observations from 1014 patients with 25 tumour </w:t>
      </w:r>
      <w:r w:rsidRPr="006A46C2">
        <w:t>types;</w:t>
      </w:r>
      <w:r w:rsidR="00DB02ED" w:rsidRPr="006A46C2">
        <w:t xml:space="preserve"> trials were primarily conducted in China. </w:t>
      </w:r>
      <w:proofErr w:type="spellStart"/>
      <w:r w:rsidR="00DB02ED" w:rsidRPr="006A46C2">
        <w:t>Toripalimab</w:t>
      </w:r>
      <w:proofErr w:type="spellEnd"/>
      <w:r w:rsidR="00DB02ED" w:rsidRPr="006A46C2">
        <w:t xml:space="preserve"> clearance</w:t>
      </w:r>
      <w:r>
        <w:t xml:space="preserve"> </w:t>
      </w:r>
      <w:r w:rsidR="00DB02ED" w:rsidRPr="006A46C2">
        <w:t>decreases over time.</w:t>
      </w:r>
    </w:p>
    <w:p w14:paraId="622658B7" w14:textId="3A090B42" w:rsidR="00DB02ED" w:rsidRPr="006A46C2" w:rsidRDefault="00DB02ED" w:rsidP="00BA54E8">
      <w:pPr>
        <w:pStyle w:val="ListBullet"/>
      </w:pPr>
      <w:r w:rsidRPr="006A46C2">
        <w:t xml:space="preserve">The proposed dose regimen of </w:t>
      </w:r>
      <w:proofErr w:type="spellStart"/>
      <w:r w:rsidRPr="006A46C2">
        <w:t>toripalimab</w:t>
      </w:r>
      <w:proofErr w:type="spellEnd"/>
      <w:r w:rsidRPr="006A46C2">
        <w:t xml:space="preserve"> 240</w:t>
      </w:r>
      <w:r w:rsidR="00B01F1B">
        <w:t> </w:t>
      </w:r>
      <w:r w:rsidRPr="006A46C2">
        <w:t xml:space="preserve">mg </w:t>
      </w:r>
      <w:r w:rsidR="00B01F1B">
        <w:t xml:space="preserve">once every </w:t>
      </w:r>
      <w:r w:rsidR="00351469">
        <w:t>3</w:t>
      </w:r>
      <w:r w:rsidR="00B01F1B">
        <w:t xml:space="preserve"> weeks </w:t>
      </w:r>
      <w:r w:rsidRPr="006A46C2">
        <w:t>in combination with chemotherapy was evaluated in clinical trials and seems acceptable.</w:t>
      </w:r>
    </w:p>
    <w:p w14:paraId="7B95A8B7" w14:textId="29B730B7" w:rsidR="00DB02ED" w:rsidRDefault="00DB02ED" w:rsidP="00BA54E8">
      <w:pPr>
        <w:pStyle w:val="ListBullet"/>
      </w:pPr>
      <w:r w:rsidRPr="006A46C2">
        <w:t xml:space="preserve">The proposed dosage in monotherapy of </w:t>
      </w:r>
      <w:r w:rsidR="00B01F1B">
        <w:t>3 </w:t>
      </w:r>
      <w:r w:rsidRPr="006A46C2">
        <w:t>mg/</w:t>
      </w:r>
      <w:r w:rsidR="00B01F1B">
        <w:t>kg</w:t>
      </w:r>
      <w:r w:rsidRPr="006A46C2">
        <w:t xml:space="preserve"> for previously treated NPC patients is supported by PK data.</w:t>
      </w:r>
    </w:p>
    <w:p w14:paraId="6889AE76" w14:textId="5373B908" w:rsidR="00BA54E8" w:rsidRDefault="00BA54E8" w:rsidP="00BA54E8">
      <w:pPr>
        <w:pStyle w:val="Heading5"/>
      </w:pPr>
      <w:r>
        <w:lastRenderedPageBreak/>
        <w:t>Pharmacodynamics</w:t>
      </w:r>
    </w:p>
    <w:p w14:paraId="470D3C32" w14:textId="0403DC15" w:rsidR="002D6510" w:rsidRPr="0079287A" w:rsidRDefault="0079287A" w:rsidP="0079287A">
      <w:r>
        <w:t>T</w:t>
      </w:r>
      <w:r w:rsidR="002D6510" w:rsidRPr="0079287A">
        <w:t>he difference in clearance between White and Asian populations is unlikely to be meaningful. The available</w:t>
      </w:r>
      <w:r w:rsidR="000A10C0">
        <w:t xml:space="preserve"> exposur</w:t>
      </w:r>
      <w:r w:rsidR="0030172A">
        <w:t>e re</w:t>
      </w:r>
      <w:r w:rsidR="000A10C0">
        <w:t>sponse</w:t>
      </w:r>
      <w:r w:rsidR="002D6510" w:rsidRPr="0079287A">
        <w:t xml:space="preserve"> </w:t>
      </w:r>
      <w:r w:rsidR="0030172A">
        <w:t xml:space="preserve">(ER) </w:t>
      </w:r>
      <w:r w:rsidR="002D6510" w:rsidRPr="0079287A">
        <w:t xml:space="preserve">analysis to support efficacy and safety of </w:t>
      </w:r>
      <w:proofErr w:type="spellStart"/>
      <w:r w:rsidR="002D6510" w:rsidRPr="0079287A">
        <w:t>toripalimab</w:t>
      </w:r>
      <w:proofErr w:type="spellEnd"/>
      <w:r w:rsidR="002D6510" w:rsidRPr="0079287A">
        <w:t xml:space="preserve"> did not include US patients with NPC, which is a new indication for a PD-1 inhibitor drug. The </w:t>
      </w:r>
      <w:r w:rsidR="00EF5511">
        <w:t>sponsor</w:t>
      </w:r>
      <w:r w:rsidR="002D6510" w:rsidRPr="0079287A">
        <w:t xml:space="preserve"> plans to conduct a Phase </w:t>
      </w:r>
      <w:r w:rsidR="00EF5511">
        <w:t>IV</w:t>
      </w:r>
      <w:r w:rsidR="002D6510" w:rsidRPr="0079287A">
        <w:t xml:space="preserve"> trial in the US patient population. Sparse sampling for supportive </w:t>
      </w:r>
      <w:r w:rsidR="00F032B2">
        <w:t>ER ana</w:t>
      </w:r>
      <w:r w:rsidR="002D6510" w:rsidRPr="0079287A">
        <w:t xml:space="preserve">lyses will be included in the Phase </w:t>
      </w:r>
      <w:r w:rsidR="00EF5511">
        <w:t>IV</w:t>
      </w:r>
      <w:r w:rsidR="002D6510" w:rsidRPr="0079287A">
        <w:t xml:space="preserve"> trial. The </w:t>
      </w:r>
      <w:r w:rsidR="00F032B2">
        <w:t xml:space="preserve">ER </w:t>
      </w:r>
      <w:r w:rsidR="002D6510" w:rsidRPr="0079287A">
        <w:t>analyses may be used to help characteri</w:t>
      </w:r>
      <w:r w:rsidR="00D95BF3">
        <w:t>s</w:t>
      </w:r>
      <w:r w:rsidR="002D6510" w:rsidRPr="0079287A">
        <w:t xml:space="preserve">e efficacy and safety in a US patient </w:t>
      </w:r>
      <w:r w:rsidR="00D95BF3">
        <w:t>population.</w:t>
      </w:r>
    </w:p>
    <w:p w14:paraId="61CB14A4" w14:textId="3E846C14" w:rsidR="002D6510" w:rsidRPr="00D95BF3" w:rsidRDefault="00D95BF3" w:rsidP="00D95BF3">
      <w:r w:rsidRPr="00D95BF3">
        <w:t>I</w:t>
      </w:r>
      <w:r w:rsidR="002D6510" w:rsidRPr="00D95BF3">
        <w:t xml:space="preserve">ndependent analysis shows a flat </w:t>
      </w:r>
      <w:r w:rsidR="00F032B2">
        <w:t>ER</w:t>
      </w:r>
      <w:r w:rsidR="002D6510" w:rsidRPr="00D95BF3">
        <w:t xml:space="preserve"> relationship for ORR and shallow positive relationship was identified for </w:t>
      </w:r>
      <w:r w:rsidR="00E15ACA">
        <w:t>disease control rate</w:t>
      </w:r>
      <w:r w:rsidR="002D6510" w:rsidRPr="00D95BF3">
        <w:t xml:space="preserve"> in patients with NPC treated with </w:t>
      </w:r>
      <w:proofErr w:type="spellStart"/>
      <w:r w:rsidR="002D6510" w:rsidRPr="00D95BF3">
        <w:t>toripalimab</w:t>
      </w:r>
      <w:proofErr w:type="spellEnd"/>
      <w:r w:rsidR="002D6510" w:rsidRPr="00D95BF3">
        <w:t xml:space="preserve"> as monotherapy. The flat</w:t>
      </w:r>
      <w:r w:rsidR="00282A2E">
        <w:t xml:space="preserve"> </w:t>
      </w:r>
      <w:r w:rsidR="009E6E64">
        <w:t>ER</w:t>
      </w:r>
      <w:r w:rsidR="00282A2E">
        <w:t xml:space="preserve"> </w:t>
      </w:r>
      <w:r w:rsidR="002D6510" w:rsidRPr="00D95BF3">
        <w:t>relationship should be interpreted with caution as it was derived based on a small sample size and narrow exposure range from a single dose level</w:t>
      </w:r>
      <w:r w:rsidR="007A04C6">
        <w:t>.</w:t>
      </w:r>
    </w:p>
    <w:p w14:paraId="46E3C68C" w14:textId="2D0D9FC9" w:rsidR="002D6510" w:rsidRPr="002D6510" w:rsidRDefault="007A04C6" w:rsidP="007A04C6">
      <w:pPr>
        <w:pStyle w:val="ListBullet"/>
        <w:numPr>
          <w:ilvl w:val="0"/>
          <w:numId w:val="0"/>
        </w:numPr>
        <w:rPr>
          <w:szCs w:val="22"/>
        </w:rPr>
      </w:pPr>
      <w:r>
        <w:rPr>
          <w:szCs w:val="22"/>
        </w:rPr>
        <w:t>T</w:t>
      </w:r>
      <w:r w:rsidR="002D6510" w:rsidRPr="002D6510">
        <w:rPr>
          <w:szCs w:val="22"/>
        </w:rPr>
        <w:t xml:space="preserve">here appears to be no apparent relationship between </w:t>
      </w:r>
      <w:proofErr w:type="spellStart"/>
      <w:r w:rsidR="002D6510" w:rsidRPr="002D6510">
        <w:rPr>
          <w:szCs w:val="22"/>
        </w:rPr>
        <w:t>toripalimab</w:t>
      </w:r>
      <w:proofErr w:type="spellEnd"/>
      <w:r w:rsidR="002D6510" w:rsidRPr="002D6510">
        <w:rPr>
          <w:szCs w:val="22"/>
        </w:rPr>
        <w:t xml:space="preserve"> exposure and Grade ≥</w:t>
      </w:r>
      <w:r>
        <w:rPr>
          <w:szCs w:val="22"/>
        </w:rPr>
        <w:t> </w:t>
      </w:r>
      <w:r w:rsidR="002D6510" w:rsidRPr="002D6510">
        <w:rPr>
          <w:szCs w:val="22"/>
        </w:rPr>
        <w:t xml:space="preserve">3 </w:t>
      </w:r>
      <w:r>
        <w:rPr>
          <w:szCs w:val="22"/>
        </w:rPr>
        <w:t>adverse events</w:t>
      </w:r>
      <w:r w:rsidR="002D6510" w:rsidRPr="002D6510">
        <w:rPr>
          <w:szCs w:val="22"/>
        </w:rPr>
        <w:t xml:space="preserve">. The observed trend of reversed </w:t>
      </w:r>
      <w:r w:rsidR="0036298F">
        <w:rPr>
          <w:szCs w:val="22"/>
        </w:rPr>
        <w:t>ER</w:t>
      </w:r>
      <w:r w:rsidR="002D6510" w:rsidRPr="002D6510">
        <w:rPr>
          <w:szCs w:val="22"/>
        </w:rPr>
        <w:t xml:space="preserve"> relationship for safety could be due to other unknown confounding effects.</w:t>
      </w:r>
    </w:p>
    <w:p w14:paraId="2B44C313" w14:textId="7F12B5B0" w:rsidR="002D6510" w:rsidRPr="00015869" w:rsidRDefault="00015869" w:rsidP="00015869">
      <w:r w:rsidRPr="00015869">
        <w:t>D</w:t>
      </w:r>
      <w:r w:rsidR="002D6510" w:rsidRPr="00015869">
        <w:t xml:space="preserve">ose adjustments are not required in the presence of mild hepatic failure or mild to moderate renal failure. </w:t>
      </w:r>
      <w:proofErr w:type="spellStart"/>
      <w:r w:rsidR="002D6510" w:rsidRPr="00015869">
        <w:t>Toripalimab</w:t>
      </w:r>
      <w:proofErr w:type="spellEnd"/>
      <w:r w:rsidR="002D6510" w:rsidRPr="00015869">
        <w:t xml:space="preserve"> has not been studied in patients will moderate hepatic failure or in patients with severe hepatic or renal failure.</w:t>
      </w:r>
    </w:p>
    <w:p w14:paraId="5A162000" w14:textId="6A772444" w:rsidR="002D6510" w:rsidRDefault="00015869" w:rsidP="00015869">
      <w:pPr>
        <w:pStyle w:val="Heading5"/>
      </w:pPr>
      <w:r>
        <w:t>Pharmacodynamics</w:t>
      </w:r>
      <w:r w:rsidR="006F7FF5">
        <w:t xml:space="preserve"> conclusions</w:t>
      </w:r>
    </w:p>
    <w:p w14:paraId="6252D278" w14:textId="4207EF19" w:rsidR="003371BB" w:rsidRPr="00BA54E8" w:rsidRDefault="003371BB">
      <w:pPr>
        <w:pStyle w:val="ListBullet"/>
      </w:pPr>
      <w:r w:rsidRPr="00BA54E8">
        <w:t xml:space="preserve">A flat </w:t>
      </w:r>
      <w:r w:rsidR="00CF59B1">
        <w:t>ER</w:t>
      </w:r>
      <w:r w:rsidRPr="00BA54E8">
        <w:t xml:space="preserve"> relationship was observed for </w:t>
      </w:r>
      <w:proofErr w:type="spellStart"/>
      <w:r w:rsidRPr="00BA54E8">
        <w:t>toripalimab</w:t>
      </w:r>
      <w:proofErr w:type="spellEnd"/>
      <w:r w:rsidRPr="00BA54E8">
        <w:t xml:space="preserve"> monotherapy and in combination with chemotherapy.</w:t>
      </w:r>
      <w:r w:rsidR="00966CD1">
        <w:t xml:space="preserve"> </w:t>
      </w:r>
      <w:r w:rsidRPr="00BA54E8">
        <w:t>This conclusion was based on a small sample size, so should be treated with some caution.</w:t>
      </w:r>
    </w:p>
    <w:p w14:paraId="1E6140DA" w14:textId="6540BB0C" w:rsidR="003371BB" w:rsidRDefault="003371BB" w:rsidP="003371BB">
      <w:pPr>
        <w:pStyle w:val="ListBullet"/>
      </w:pPr>
      <w:r w:rsidRPr="00BA54E8">
        <w:t xml:space="preserve">There also appears to be no relationship between </w:t>
      </w:r>
      <w:proofErr w:type="spellStart"/>
      <w:r w:rsidRPr="00BA54E8">
        <w:t>toripalimab</w:t>
      </w:r>
      <w:proofErr w:type="spellEnd"/>
      <w:r w:rsidRPr="00BA54E8">
        <w:t xml:space="preserve"> exposure and Grade ≥</w:t>
      </w:r>
      <w:r>
        <w:t> </w:t>
      </w:r>
      <w:r w:rsidRPr="00BA54E8">
        <w:t>3</w:t>
      </w:r>
      <w:r w:rsidR="00CF59B1">
        <w:t xml:space="preserve"> adverse events</w:t>
      </w:r>
      <w:r w:rsidRPr="00BA54E8">
        <w:t>.</w:t>
      </w:r>
    </w:p>
    <w:p w14:paraId="7EEEAE28" w14:textId="29B13119" w:rsidR="00966CD1" w:rsidRDefault="00A353C7" w:rsidP="00B85080">
      <w:pPr>
        <w:pStyle w:val="Heading5"/>
      </w:pPr>
      <w:r>
        <w:t>Clinical pharmacology conclusion</w:t>
      </w:r>
    </w:p>
    <w:p w14:paraId="7DF51B60" w14:textId="0CC00E4D" w:rsidR="00A353C7" w:rsidRDefault="00A353C7" w:rsidP="00A353C7">
      <w:r w:rsidRPr="00A353C7">
        <w:t>The clinical evaluat</w:t>
      </w:r>
      <w:r>
        <w:t>ion</w:t>
      </w:r>
      <w:r w:rsidRPr="00A353C7">
        <w:t xml:space="preserve"> did not identify any outstanding concerns in the assessment of clinical pharmacology for </w:t>
      </w:r>
      <w:proofErr w:type="spellStart"/>
      <w:r w:rsidRPr="00A353C7">
        <w:t>toripalimab</w:t>
      </w:r>
      <w:proofErr w:type="spellEnd"/>
      <w:r w:rsidRPr="00A353C7">
        <w:t>.</w:t>
      </w:r>
    </w:p>
    <w:p w14:paraId="7474F6F0" w14:textId="4567893F" w:rsidR="00E952C4" w:rsidRDefault="00E952C4" w:rsidP="00E952C4">
      <w:pPr>
        <w:pStyle w:val="Heading4"/>
      </w:pPr>
      <w:bookmarkStart w:id="52" w:name="_Toc233974550"/>
      <w:r>
        <w:t>Efficacy</w:t>
      </w:r>
      <w:bookmarkEnd w:id="52"/>
    </w:p>
    <w:p w14:paraId="31F1B96C" w14:textId="2C63442A" w:rsidR="00BC3AC3" w:rsidRPr="00BC3AC3" w:rsidRDefault="00BC3AC3" w:rsidP="000E5421">
      <w:r w:rsidRPr="00BC3AC3">
        <w:t>The pivotal data for efficacy are from JUPITER-02.</w:t>
      </w:r>
    </w:p>
    <w:p w14:paraId="21633024" w14:textId="77777777" w:rsidR="00BC3AC3" w:rsidRPr="00BC3AC3" w:rsidRDefault="00BC3AC3" w:rsidP="00BC3AC3">
      <w:pPr>
        <w:pStyle w:val="Heading5"/>
      </w:pPr>
      <w:r w:rsidRPr="00BC3AC3">
        <w:t xml:space="preserve">JUPITER-02 </w:t>
      </w:r>
    </w:p>
    <w:p w14:paraId="6617AAF7" w14:textId="034BEFC6" w:rsidR="00E952C4" w:rsidRPr="000E5421" w:rsidRDefault="00BC3AC3" w:rsidP="000E5421">
      <w:r w:rsidRPr="000E5421">
        <w:t xml:space="preserve">JUPITER-02 is a multinational, randomised, double blinded, placebo-controlled study designed to evaluate the efficacy and safety of </w:t>
      </w:r>
      <w:proofErr w:type="spellStart"/>
      <w:r w:rsidRPr="000E5421">
        <w:t>toripalimab</w:t>
      </w:r>
      <w:proofErr w:type="spellEnd"/>
      <w:r w:rsidRPr="000E5421">
        <w:t xml:space="preserve"> in combination with cisplatin and gemcitabine chemotherapy as first-line treatment of patients with histologically or cytologically confirmed, locally advanced, recurrent or primary metastatic NPC.</w:t>
      </w:r>
    </w:p>
    <w:p w14:paraId="4A454C52" w14:textId="30892147" w:rsidR="000F4D21" w:rsidRDefault="000F4D21" w:rsidP="000F4D21">
      <w:pPr>
        <w:pStyle w:val="Heading6"/>
      </w:pPr>
      <w:r>
        <w:t>Trial location</w:t>
      </w:r>
    </w:p>
    <w:p w14:paraId="6A125C72" w14:textId="00EF297C" w:rsidR="000F4D21" w:rsidRDefault="000F4D21" w:rsidP="00E766C9">
      <w:r>
        <w:t>The study was conducted from October 2018 until May 2020 at 35 sites in mainland China, Taiwan and Singapore.</w:t>
      </w:r>
    </w:p>
    <w:p w14:paraId="33E1ECEC" w14:textId="7E541E2F" w:rsidR="000F4D21" w:rsidRDefault="00D20D08" w:rsidP="00E766C9">
      <w:pPr>
        <w:pStyle w:val="Heading6"/>
      </w:pPr>
      <w:r>
        <w:t xml:space="preserve">Key </w:t>
      </w:r>
      <w:r w:rsidR="00C17B5C">
        <w:t>i</w:t>
      </w:r>
      <w:r w:rsidR="00BC7DF6">
        <w:t>nclusion/ex</w:t>
      </w:r>
      <w:r w:rsidR="00800F08">
        <w:t xml:space="preserve">clusion criteria </w:t>
      </w:r>
    </w:p>
    <w:p w14:paraId="22FA65D6" w14:textId="2E8D1EB8" w:rsidR="00CE35BD" w:rsidRDefault="00CE35BD" w:rsidP="00CE35BD">
      <w:pPr>
        <w:pStyle w:val="ListBullet"/>
      </w:pPr>
      <w:r w:rsidRPr="00FB1EAD">
        <w:t>Age 18</w:t>
      </w:r>
      <w:r w:rsidR="00155E79">
        <w:t xml:space="preserve"> to </w:t>
      </w:r>
      <w:r w:rsidRPr="00FB1EAD">
        <w:t>75 years</w:t>
      </w:r>
    </w:p>
    <w:p w14:paraId="7B217850" w14:textId="76E03ADA" w:rsidR="00CE35BD" w:rsidRPr="00FB1EAD" w:rsidRDefault="00CE35BD" w:rsidP="00CE35BD">
      <w:pPr>
        <w:pStyle w:val="ListBullet"/>
      </w:pPr>
      <w:r w:rsidRPr="00FB1EAD">
        <w:t>Patients with recurrent or metastatic NPC</w:t>
      </w:r>
    </w:p>
    <w:p w14:paraId="4E119065" w14:textId="7DF915EB" w:rsidR="00CE35BD" w:rsidRPr="00505A22" w:rsidRDefault="00CE35BD" w:rsidP="00CE35BD">
      <w:pPr>
        <w:pStyle w:val="ListBullet"/>
      </w:pPr>
      <w:r w:rsidRPr="00505A22">
        <w:lastRenderedPageBreak/>
        <w:t xml:space="preserve">Measurable disease per </w:t>
      </w:r>
      <w:r w:rsidR="006A65C8" w:rsidRPr="00505A22">
        <w:t>Response Evaluation Criteria in Solid Tumours (</w:t>
      </w:r>
      <w:r w:rsidRPr="00505A22">
        <w:t>RECIST</w:t>
      </w:r>
      <w:r w:rsidR="006A65C8" w:rsidRPr="00505A22">
        <w:t>)</w:t>
      </w:r>
      <w:r w:rsidRPr="00505A22">
        <w:t xml:space="preserve"> v1.1</w:t>
      </w:r>
    </w:p>
    <w:p w14:paraId="12DD4BEF" w14:textId="0C38CD59" w:rsidR="00CE35BD" w:rsidRDefault="00720617" w:rsidP="00CE35BD">
      <w:pPr>
        <w:pStyle w:val="ListBullet"/>
      </w:pPr>
      <w:r w:rsidRPr="00505A22">
        <w:t>Eastern Cooperative Oncology Group (</w:t>
      </w:r>
      <w:r w:rsidR="00CE35BD" w:rsidRPr="00505A22">
        <w:t>ECOG</w:t>
      </w:r>
      <w:r w:rsidRPr="00505A22">
        <w:t>)</w:t>
      </w:r>
      <w:r w:rsidR="00CE35BD" w:rsidRPr="00FB1EAD">
        <w:t xml:space="preserve"> Performance status 0</w:t>
      </w:r>
      <w:r>
        <w:t xml:space="preserve"> to </w:t>
      </w:r>
      <w:r w:rsidR="00CE35BD" w:rsidRPr="00FB1EAD">
        <w:t>1</w:t>
      </w:r>
    </w:p>
    <w:p w14:paraId="4EB6D01D" w14:textId="4CEEA51A" w:rsidR="00CE35BD" w:rsidRDefault="00CE35BD" w:rsidP="00CE35BD">
      <w:pPr>
        <w:pStyle w:val="ListBullet"/>
      </w:pPr>
      <w:r w:rsidRPr="00FB1EAD">
        <w:t>No prior systemic therapy for recurrent or metastatic disease</w:t>
      </w:r>
    </w:p>
    <w:p w14:paraId="565ABC87" w14:textId="414D8637" w:rsidR="00CE35BD" w:rsidRDefault="00CE35BD" w:rsidP="00CE35BD">
      <w:pPr>
        <w:pStyle w:val="ListBullet"/>
      </w:pPr>
      <w:r w:rsidRPr="00FB1EAD">
        <w:t>Patients with recurrent NPC after treatment with curative intent were eligible if there was an interval of at least 6 months between recurrence and the last dose of radiotherapy or chemotherapy</w:t>
      </w:r>
    </w:p>
    <w:p w14:paraId="71FF78A2" w14:textId="5622C572" w:rsidR="00CE35BD" w:rsidRDefault="00CE35BD" w:rsidP="00CE35BD">
      <w:pPr>
        <w:pStyle w:val="ListBullet"/>
      </w:pPr>
      <w:r w:rsidRPr="00FB1EAD">
        <w:t>Patients were not amenable to potentially curative locoregional treatment</w:t>
      </w:r>
    </w:p>
    <w:p w14:paraId="70C3C6C6" w14:textId="27937161" w:rsidR="00CE35BD" w:rsidRDefault="00CE35BD" w:rsidP="00CE35BD">
      <w:pPr>
        <w:pStyle w:val="ListBullet"/>
      </w:pPr>
      <w:r w:rsidRPr="00FB1EAD">
        <w:t xml:space="preserve">Patients with necrotic lesions at risk for massive haemorrhage (per </w:t>
      </w:r>
      <w:r w:rsidR="00803189">
        <w:t>i</w:t>
      </w:r>
      <w:r w:rsidRPr="00FB1EAD">
        <w:t>nvestigator) were not eligible</w:t>
      </w:r>
    </w:p>
    <w:p w14:paraId="21AD97BD" w14:textId="77777777" w:rsidR="00CE35BD" w:rsidRDefault="00CE35BD" w:rsidP="00CE35BD">
      <w:pPr>
        <w:pStyle w:val="ListBullet"/>
      </w:pPr>
      <w:r w:rsidRPr="00FB1EAD">
        <w:t xml:space="preserve">An archival tumour specimen or fresh biopsy tumour sample was available </w:t>
      </w:r>
    </w:p>
    <w:p w14:paraId="1BA2E03D" w14:textId="2D7BD74E" w:rsidR="00CE35BD" w:rsidRPr="00822AA3" w:rsidRDefault="00CE35BD" w:rsidP="00CE35BD">
      <w:pPr>
        <w:pStyle w:val="ListBullet"/>
      </w:pPr>
      <w:r w:rsidRPr="00822AA3">
        <w:t>No active autoimmune disease or a history of autoimmune disease (except vitiligo, childhood asthma)</w:t>
      </w:r>
    </w:p>
    <w:p w14:paraId="52814EF0" w14:textId="7956811D" w:rsidR="00CE35BD" w:rsidRPr="00822AA3" w:rsidRDefault="00CE35BD" w:rsidP="00CE35BD">
      <w:pPr>
        <w:pStyle w:val="ListBullet"/>
      </w:pPr>
      <w:r w:rsidRPr="00822AA3">
        <w:t>No concomitant diseases requiring treatment with immunosuppressive drugs or corticosteroids at a dose equivalent to &gt;</w:t>
      </w:r>
      <w:r w:rsidR="00111034">
        <w:t> </w:t>
      </w:r>
      <w:r w:rsidRPr="00822AA3">
        <w:t>10 mg/d</w:t>
      </w:r>
      <w:r w:rsidR="00C048A7">
        <w:t>ay</w:t>
      </w:r>
      <w:r w:rsidRPr="00822AA3">
        <w:t xml:space="preserve"> prednisone</w:t>
      </w:r>
    </w:p>
    <w:p w14:paraId="45BE31AB" w14:textId="78F7EF4F" w:rsidR="00CE35BD" w:rsidRPr="00C048A7" w:rsidRDefault="00CE35BD" w:rsidP="00CE35BD">
      <w:pPr>
        <w:pStyle w:val="ListBullet"/>
      </w:pPr>
      <w:r w:rsidRPr="00C048A7">
        <w:t xml:space="preserve">No positive test for </w:t>
      </w:r>
      <w:r w:rsidR="005F0D70" w:rsidRPr="00C048A7">
        <w:t>human immunodefi</w:t>
      </w:r>
      <w:r w:rsidR="0075139C" w:rsidRPr="00C048A7">
        <w:t>ciency virus (</w:t>
      </w:r>
      <w:r w:rsidRPr="00C048A7">
        <w:t>HIV</w:t>
      </w:r>
      <w:r w:rsidR="0075139C" w:rsidRPr="00C048A7">
        <w:t>)</w:t>
      </w:r>
      <w:r w:rsidRPr="00C048A7">
        <w:t>,</w:t>
      </w:r>
      <w:r w:rsidR="005F0D70" w:rsidRPr="00C048A7">
        <w:t xml:space="preserve"> </w:t>
      </w:r>
      <w:r w:rsidR="0075139C" w:rsidRPr="00C048A7">
        <w:t>h</w:t>
      </w:r>
      <w:r w:rsidR="005F0D70" w:rsidRPr="00C048A7">
        <w:t>epatitis B surface antigen</w:t>
      </w:r>
      <w:r w:rsidRPr="00C048A7">
        <w:t xml:space="preserve"> </w:t>
      </w:r>
      <w:r w:rsidR="005F0D70" w:rsidRPr="00C048A7">
        <w:t>(</w:t>
      </w:r>
      <w:r w:rsidRPr="00C048A7">
        <w:t>HBsAg</w:t>
      </w:r>
      <w:r w:rsidR="005F0D70" w:rsidRPr="00C048A7">
        <w:t>)</w:t>
      </w:r>
      <w:r w:rsidRPr="00C048A7">
        <w:t xml:space="preserve"> with detectable</w:t>
      </w:r>
      <w:r w:rsidR="005F0D70" w:rsidRPr="00C048A7">
        <w:t xml:space="preserve"> hepatitis B virus</w:t>
      </w:r>
      <w:r w:rsidRPr="00C048A7">
        <w:t xml:space="preserve"> </w:t>
      </w:r>
      <w:r w:rsidR="005F0D70" w:rsidRPr="00C048A7">
        <w:t>(</w:t>
      </w:r>
      <w:r w:rsidRPr="00C048A7">
        <w:t>HBV</w:t>
      </w:r>
      <w:r w:rsidR="005F0D70" w:rsidRPr="00C048A7">
        <w:t>)</w:t>
      </w:r>
      <w:r w:rsidRPr="00C048A7">
        <w:t xml:space="preserve"> DNA</w:t>
      </w:r>
    </w:p>
    <w:p w14:paraId="2C8436DA" w14:textId="5AA4B298" w:rsidR="00CE35BD" w:rsidRPr="00822AA3" w:rsidRDefault="00CE35BD" w:rsidP="00CE35BD">
      <w:pPr>
        <w:pStyle w:val="ListBullet"/>
      </w:pPr>
      <w:r w:rsidRPr="00822AA3">
        <w:t>No prior treatment with an anti-PD-1/L1, an anti-PD-L2, or an anti-CTLA4 antibody</w:t>
      </w:r>
    </w:p>
    <w:p w14:paraId="673918D8" w14:textId="3D5C4509" w:rsidR="00CE35BD" w:rsidRPr="00822AA3" w:rsidRDefault="00CE35BD" w:rsidP="00CE35BD">
      <w:pPr>
        <w:pStyle w:val="ListBullet"/>
      </w:pPr>
      <w:r w:rsidRPr="00822AA3">
        <w:t>Toxicity from previous anticancer therapy must have recovered to grade 0</w:t>
      </w:r>
      <w:r w:rsidR="0075139C">
        <w:t xml:space="preserve"> to </w:t>
      </w:r>
      <w:r w:rsidRPr="00822AA3">
        <w:t>1, except alopecia, pigmentation</w:t>
      </w:r>
    </w:p>
    <w:p w14:paraId="2CB27FBA" w14:textId="7480ECA1" w:rsidR="0075139C" w:rsidRDefault="00104DB0" w:rsidP="00E766C9">
      <w:pPr>
        <w:pStyle w:val="Heading6"/>
      </w:pPr>
      <w:r>
        <w:t>Study treatments</w:t>
      </w:r>
    </w:p>
    <w:p w14:paraId="6FDA13EA" w14:textId="77777777" w:rsidR="0042228E" w:rsidRPr="0042228E" w:rsidRDefault="0042228E" w:rsidP="0042228E">
      <w:r w:rsidRPr="0042228E">
        <w:t>Patients were stratified by:</w:t>
      </w:r>
    </w:p>
    <w:p w14:paraId="1C3AE854" w14:textId="2E48DE65" w:rsidR="0042228E" w:rsidRPr="0042228E" w:rsidRDefault="0042228E" w:rsidP="0042228E">
      <w:pPr>
        <w:pStyle w:val="ListBullet"/>
      </w:pPr>
      <w:r w:rsidRPr="0042228E">
        <w:t xml:space="preserve">ECOG performance status (0 versus 1) and </w:t>
      </w:r>
    </w:p>
    <w:p w14:paraId="1AEF9CC9" w14:textId="332C7AC7" w:rsidR="0042228E" w:rsidRPr="0042228E" w:rsidRDefault="0042228E" w:rsidP="0042228E">
      <w:pPr>
        <w:pStyle w:val="ListBullet"/>
      </w:pPr>
      <w:r w:rsidRPr="0042228E">
        <w:t>Disease stage (recurrent versus metastatic)</w:t>
      </w:r>
    </w:p>
    <w:p w14:paraId="7DA48770" w14:textId="77777777" w:rsidR="00F50116" w:rsidRDefault="0042228E" w:rsidP="0042228E">
      <w:r w:rsidRPr="0042228E">
        <w:t>Patients were randomised 1:1 to Arm A or B</w:t>
      </w:r>
      <w:r w:rsidR="00F50116">
        <w:t>.</w:t>
      </w:r>
    </w:p>
    <w:p w14:paraId="44D4438F" w14:textId="41B952A6" w:rsidR="0042228E" w:rsidRDefault="0042228E" w:rsidP="0042228E">
      <w:pPr>
        <w:pStyle w:val="ListBullet"/>
      </w:pPr>
      <w:r w:rsidRPr="00B261FD">
        <w:t>Arm</w:t>
      </w:r>
      <w:r>
        <w:t xml:space="preserve"> </w:t>
      </w:r>
      <w:r w:rsidRPr="00B261FD">
        <w:t>A</w:t>
      </w:r>
    </w:p>
    <w:p w14:paraId="4F935B36" w14:textId="422FCB1F" w:rsidR="0042228E" w:rsidRDefault="0042228E">
      <w:pPr>
        <w:pStyle w:val="ListBullet2"/>
      </w:pPr>
      <w:proofErr w:type="spellStart"/>
      <w:r w:rsidRPr="00B261FD">
        <w:t>Toripalimab</w:t>
      </w:r>
      <w:proofErr w:type="spellEnd"/>
      <w:r w:rsidRPr="00B261FD">
        <w:t xml:space="preserve"> 240</w:t>
      </w:r>
      <w:r>
        <w:t> </w:t>
      </w:r>
      <w:r w:rsidRPr="00B261FD">
        <w:t xml:space="preserve">mg </w:t>
      </w:r>
      <w:r w:rsidRPr="00515909">
        <w:t>IV</w:t>
      </w:r>
      <w:r w:rsidRPr="00B261FD">
        <w:t xml:space="preserve"> </w:t>
      </w:r>
      <w:r>
        <w:t xml:space="preserve">once every </w:t>
      </w:r>
      <w:r w:rsidR="00351469">
        <w:t>3 weeks</w:t>
      </w:r>
    </w:p>
    <w:p w14:paraId="4AE3B612" w14:textId="64BF8A56" w:rsidR="0042228E" w:rsidRDefault="0042228E">
      <w:pPr>
        <w:pStyle w:val="ListBullet2"/>
      </w:pPr>
      <w:r w:rsidRPr="00891AD6">
        <w:t>Cisplatin 80</w:t>
      </w:r>
      <w:r>
        <w:t> </w:t>
      </w:r>
      <w:r w:rsidRPr="00891AD6">
        <w:t>mg/m</w:t>
      </w:r>
      <w:r w:rsidRPr="000F649A">
        <w:rPr>
          <w:position w:val="8"/>
          <w:vertAlign w:val="superscript"/>
        </w:rPr>
        <w:t>2</w:t>
      </w:r>
      <w:r w:rsidRPr="0042228E">
        <w:rPr>
          <w:position w:val="8"/>
        </w:rPr>
        <w:t xml:space="preserve"> </w:t>
      </w:r>
      <w:r w:rsidRPr="00891AD6">
        <w:t xml:space="preserve">IV </w:t>
      </w:r>
      <w:r w:rsidR="0063369F">
        <w:t xml:space="preserve">once every </w:t>
      </w:r>
      <w:r w:rsidR="00351469">
        <w:t>3 weeks</w:t>
      </w:r>
      <w:r w:rsidR="0063369F">
        <w:t xml:space="preserve"> for 6 cycles</w:t>
      </w:r>
    </w:p>
    <w:p w14:paraId="1CCCB193" w14:textId="3F309733" w:rsidR="0042228E" w:rsidRPr="00891AD6" w:rsidRDefault="0042228E" w:rsidP="0042228E">
      <w:pPr>
        <w:pStyle w:val="ListBullet2"/>
      </w:pPr>
      <w:r w:rsidRPr="00891AD6">
        <w:t>Gemcitabine 1000</w:t>
      </w:r>
      <w:r w:rsidR="0063369F">
        <w:t> </w:t>
      </w:r>
      <w:r w:rsidRPr="00891AD6">
        <w:t>mg/m</w:t>
      </w:r>
      <w:r w:rsidRPr="000F649A">
        <w:rPr>
          <w:position w:val="8"/>
          <w:vertAlign w:val="superscript"/>
        </w:rPr>
        <w:t>2</w:t>
      </w:r>
      <w:r w:rsidRPr="00891AD6">
        <w:rPr>
          <w:position w:val="8"/>
        </w:rPr>
        <w:t xml:space="preserve"> </w:t>
      </w:r>
      <w:r w:rsidRPr="00891AD6">
        <w:t xml:space="preserve">IV </w:t>
      </w:r>
      <w:r w:rsidR="0063369F">
        <w:t xml:space="preserve">on </w:t>
      </w:r>
      <w:r w:rsidRPr="00891AD6">
        <w:t>Days 1</w:t>
      </w:r>
      <w:r w:rsidR="00523EF8">
        <w:t xml:space="preserve"> and </w:t>
      </w:r>
      <w:r w:rsidRPr="00891AD6">
        <w:t xml:space="preserve">8 </w:t>
      </w:r>
      <w:r w:rsidR="00523EF8">
        <w:t xml:space="preserve">then once every </w:t>
      </w:r>
      <w:r w:rsidR="00351469">
        <w:t>3 weeks</w:t>
      </w:r>
      <w:r w:rsidR="00523EF8">
        <w:t xml:space="preserve"> for 6 cycles</w:t>
      </w:r>
      <w:r w:rsidRPr="00891AD6">
        <w:t xml:space="preserve"> </w:t>
      </w:r>
    </w:p>
    <w:p w14:paraId="73C5107E" w14:textId="77777777" w:rsidR="0042228E" w:rsidRDefault="0042228E" w:rsidP="00523EF8">
      <w:pPr>
        <w:pStyle w:val="ListBullet"/>
      </w:pPr>
      <w:r w:rsidRPr="00B261FD">
        <w:t>Arm</w:t>
      </w:r>
      <w:r>
        <w:t xml:space="preserve"> </w:t>
      </w:r>
      <w:r w:rsidRPr="00B261FD">
        <w:t>B</w:t>
      </w:r>
    </w:p>
    <w:p w14:paraId="6A16A589" w14:textId="31F5B9C2" w:rsidR="0042228E" w:rsidRPr="00891AD6" w:rsidRDefault="0042228E" w:rsidP="00523EF8">
      <w:pPr>
        <w:pStyle w:val="ListBullet2"/>
      </w:pPr>
      <w:r w:rsidRPr="00B261FD">
        <w:t xml:space="preserve">Placebo IV </w:t>
      </w:r>
      <w:r w:rsidR="00523EF8">
        <w:t xml:space="preserve">once every </w:t>
      </w:r>
      <w:r w:rsidR="00351469">
        <w:t>3 weeks</w:t>
      </w:r>
    </w:p>
    <w:p w14:paraId="01D96B0A" w14:textId="2F1122CF" w:rsidR="0042228E" w:rsidRPr="00891AD6" w:rsidRDefault="0042228E" w:rsidP="005D14B3">
      <w:pPr>
        <w:pStyle w:val="ListBullet2"/>
      </w:pPr>
      <w:r w:rsidRPr="00B261FD">
        <w:t>Cisplatin 80 mg/m</w:t>
      </w:r>
      <w:r w:rsidRPr="000F649A">
        <w:rPr>
          <w:position w:val="8"/>
          <w:vertAlign w:val="superscript"/>
        </w:rPr>
        <w:t>2</w:t>
      </w:r>
      <w:r w:rsidRPr="00B261FD">
        <w:rPr>
          <w:position w:val="8"/>
        </w:rPr>
        <w:t xml:space="preserve"> </w:t>
      </w:r>
      <w:r w:rsidRPr="00B261FD">
        <w:t xml:space="preserve">IV </w:t>
      </w:r>
      <w:r w:rsidR="005D14B3" w:rsidRPr="005D14B3">
        <w:t xml:space="preserve">once every </w:t>
      </w:r>
      <w:r w:rsidR="00351469">
        <w:t>3 weeks</w:t>
      </w:r>
      <w:r w:rsidR="005D14B3" w:rsidRPr="005D14B3">
        <w:t xml:space="preserve"> for 6 cycles</w:t>
      </w:r>
    </w:p>
    <w:p w14:paraId="0CEC1230" w14:textId="68BC30EC" w:rsidR="0042228E" w:rsidRPr="00B261FD" w:rsidRDefault="0042228E" w:rsidP="005D14B3">
      <w:pPr>
        <w:pStyle w:val="ListBullet2"/>
      </w:pPr>
      <w:r w:rsidRPr="00B261FD">
        <w:t>Gemcitabine 1000 mg/m</w:t>
      </w:r>
      <w:r w:rsidRPr="000F649A">
        <w:rPr>
          <w:position w:val="8"/>
          <w:vertAlign w:val="superscript"/>
        </w:rPr>
        <w:t>2</w:t>
      </w:r>
      <w:r w:rsidRPr="00B261FD">
        <w:rPr>
          <w:position w:val="8"/>
        </w:rPr>
        <w:t xml:space="preserve"> </w:t>
      </w:r>
      <w:r w:rsidRPr="00B261FD">
        <w:t xml:space="preserve">IV </w:t>
      </w:r>
      <w:r w:rsidR="005D14B3" w:rsidRPr="005D14B3">
        <w:t xml:space="preserve">on Days 1 and 8 then once every </w:t>
      </w:r>
      <w:r w:rsidR="00351469">
        <w:t>3 weeks</w:t>
      </w:r>
      <w:r w:rsidR="005D14B3" w:rsidRPr="005D14B3">
        <w:t xml:space="preserve"> for 6 cycles</w:t>
      </w:r>
    </w:p>
    <w:p w14:paraId="57826DB7" w14:textId="721E6829" w:rsidR="0042228E" w:rsidRPr="00FF5843" w:rsidRDefault="0042228E" w:rsidP="00FF5843">
      <w:r w:rsidRPr="00FF5843">
        <w:t xml:space="preserve">After completing up to 6 cycles of cisplatin/gemcitabine, patients received </w:t>
      </w:r>
      <w:proofErr w:type="spellStart"/>
      <w:r w:rsidRPr="00FF5843">
        <w:t>toripalimab</w:t>
      </w:r>
      <w:proofErr w:type="spellEnd"/>
      <w:r w:rsidRPr="00FF5843">
        <w:t>/placebo (depending upon initial assignment)</w:t>
      </w:r>
      <w:r w:rsidR="00FF5843" w:rsidRPr="00FF5843">
        <w:t xml:space="preserve"> once every </w:t>
      </w:r>
      <w:r w:rsidR="006E12B6">
        <w:t>3 weeks</w:t>
      </w:r>
      <w:r w:rsidRPr="00FF5843">
        <w:t>.</w:t>
      </w:r>
    </w:p>
    <w:p w14:paraId="41B7F1BE" w14:textId="223FBD3C" w:rsidR="0042228E" w:rsidRPr="00FF5843" w:rsidRDefault="0042228E" w:rsidP="00FF5843">
      <w:r w:rsidRPr="00FF5843">
        <w:lastRenderedPageBreak/>
        <w:t xml:space="preserve">Patients remained on treatment until disease progression, loss of clinical benefit, death, intolerable toxicity, withdrawal of consent, initiation of new anticancer therapy, or </w:t>
      </w:r>
      <w:r w:rsidR="00FF5843" w:rsidRPr="00FF5843">
        <w:t>i</w:t>
      </w:r>
      <w:r w:rsidRPr="00FF5843">
        <w:t>nvestigator’s decision.</w:t>
      </w:r>
    </w:p>
    <w:p w14:paraId="19185A38" w14:textId="516721D3" w:rsidR="00FF5843" w:rsidRPr="00FF5843" w:rsidRDefault="0042228E" w:rsidP="00FF5843">
      <w:r w:rsidRPr="00FF5843">
        <w:t xml:space="preserve">Patients experiencing clinical benefit (per </w:t>
      </w:r>
      <w:r w:rsidR="00FC14A1">
        <w:t>i</w:t>
      </w:r>
      <w:r w:rsidRPr="00FF5843">
        <w:t xml:space="preserve">nvestigator) in the absence of unacceptable toxicity or symptomatic deterioration continued treatment with </w:t>
      </w:r>
      <w:proofErr w:type="spellStart"/>
      <w:r w:rsidRPr="00FF5843">
        <w:t>toripalimab</w:t>
      </w:r>
      <w:proofErr w:type="spellEnd"/>
      <w:r w:rsidRPr="00FF5843">
        <w:t>/placebo until confirmed disease progression.</w:t>
      </w:r>
    </w:p>
    <w:p w14:paraId="51204E2C" w14:textId="7C896F6B" w:rsidR="0042228E" w:rsidRPr="00FF5843" w:rsidRDefault="0042228E" w:rsidP="00FF5843">
      <w:r w:rsidRPr="00FF5843">
        <w:t>Crossover of patients in the control arm was not permitted.</w:t>
      </w:r>
    </w:p>
    <w:p w14:paraId="36C7D964" w14:textId="7DDAF989" w:rsidR="00104DB0" w:rsidRDefault="00E766C9" w:rsidP="00E766C9">
      <w:pPr>
        <w:pStyle w:val="Heading6"/>
      </w:pPr>
      <w:r>
        <w:t>Primary objective</w:t>
      </w:r>
    </w:p>
    <w:p w14:paraId="3A6FC05B" w14:textId="4EE3DDE9" w:rsidR="005A3EB0" w:rsidRPr="007A553F" w:rsidRDefault="005A3EB0" w:rsidP="007A553F">
      <w:r w:rsidRPr="007A553F">
        <w:t xml:space="preserve">The primary objective of the study is to evaluate the efficacy of </w:t>
      </w:r>
      <w:proofErr w:type="spellStart"/>
      <w:r w:rsidRPr="007A553F">
        <w:t>toripalimab</w:t>
      </w:r>
      <w:proofErr w:type="spellEnd"/>
      <w:r w:rsidRPr="007A553F">
        <w:t xml:space="preserve"> plus chemotherapy compared with placebo plus chemotherapy, as measured by </w:t>
      </w:r>
      <w:r w:rsidRPr="002C021D">
        <w:t>IRC</w:t>
      </w:r>
      <w:r w:rsidRPr="007A553F">
        <w:t xml:space="preserve"> assess</w:t>
      </w:r>
      <w:r w:rsidR="004C0EF6" w:rsidRPr="007A553F">
        <w:t xml:space="preserve">ed </w:t>
      </w:r>
      <w:r w:rsidRPr="007A553F">
        <w:t>PFS according to RECIST v1.1 in patients with recurrent or metastatic NPC in the intent-to-</w:t>
      </w:r>
      <w:r w:rsidR="007A553F" w:rsidRPr="007A553F">
        <w:t>t</w:t>
      </w:r>
      <w:r w:rsidRPr="007A553F">
        <w:t>reat (all randomised patients) population.</w:t>
      </w:r>
    </w:p>
    <w:p w14:paraId="30D0DDEE" w14:textId="6C333913" w:rsidR="00E766C9" w:rsidRPr="007A553F" w:rsidRDefault="005A3EB0" w:rsidP="007A553F">
      <w:r w:rsidRPr="007A553F">
        <w:t>Progression-free survival is defined as the time from randomisation to the time of first documented disease progression or death due to any cause (whichever occurs first).</w:t>
      </w:r>
    </w:p>
    <w:p w14:paraId="0AC539EA" w14:textId="666AFBF0" w:rsidR="005A3EB0" w:rsidRDefault="005A3EB0" w:rsidP="005A3EB0">
      <w:pPr>
        <w:pStyle w:val="Heading6"/>
      </w:pPr>
      <w:r>
        <w:t>Secondary objectives</w:t>
      </w:r>
    </w:p>
    <w:p w14:paraId="657F99D1" w14:textId="6B05B5DE" w:rsidR="005A3EB0" w:rsidRDefault="004C0EF6" w:rsidP="004C0EF6">
      <w:pPr>
        <w:rPr>
          <w:rFonts w:cs="Calibri"/>
          <w:szCs w:val="22"/>
        </w:rPr>
      </w:pPr>
      <w:r>
        <w:rPr>
          <w:rFonts w:cs="Arial"/>
          <w:szCs w:val="22"/>
        </w:rPr>
        <w:t>T</w:t>
      </w:r>
      <w:r w:rsidRPr="00F6516F">
        <w:rPr>
          <w:rFonts w:cs="Arial"/>
          <w:szCs w:val="22"/>
        </w:rPr>
        <w:t xml:space="preserve">o evaluate the efficacy of </w:t>
      </w:r>
      <w:proofErr w:type="spellStart"/>
      <w:r>
        <w:rPr>
          <w:rFonts w:cs="Arial"/>
          <w:szCs w:val="22"/>
        </w:rPr>
        <w:t>toripalimab</w:t>
      </w:r>
      <w:proofErr w:type="spellEnd"/>
      <w:r w:rsidRPr="00F6516F">
        <w:rPr>
          <w:rFonts w:cs="Arial"/>
          <w:szCs w:val="22"/>
        </w:rPr>
        <w:t xml:space="preserve"> plus chemotherapy compared with placebo plus chemotherapy</w:t>
      </w:r>
      <w:r>
        <w:rPr>
          <w:rFonts w:cs="Arial"/>
          <w:szCs w:val="22"/>
        </w:rPr>
        <w:t xml:space="preserve"> as measured by OS and </w:t>
      </w:r>
      <w:r w:rsidRPr="009E59EC">
        <w:rPr>
          <w:rFonts w:cs="Calibri"/>
          <w:szCs w:val="22"/>
        </w:rPr>
        <w:t>IRC</w:t>
      </w:r>
      <w:r w:rsidR="008D7CBA">
        <w:rPr>
          <w:rFonts w:cs="Calibri"/>
          <w:szCs w:val="22"/>
        </w:rPr>
        <w:t xml:space="preserve"> </w:t>
      </w:r>
      <w:r w:rsidRPr="009E59EC">
        <w:rPr>
          <w:rFonts w:cs="Calibri"/>
          <w:szCs w:val="22"/>
        </w:rPr>
        <w:t xml:space="preserve">determined ORR and </w:t>
      </w:r>
      <w:proofErr w:type="spellStart"/>
      <w:r w:rsidRPr="009E59EC">
        <w:rPr>
          <w:rFonts w:cs="Calibri"/>
          <w:szCs w:val="22"/>
        </w:rPr>
        <w:t>DoR</w:t>
      </w:r>
      <w:proofErr w:type="spellEnd"/>
      <w:r>
        <w:rPr>
          <w:rFonts w:cs="Calibri"/>
          <w:szCs w:val="22"/>
        </w:rPr>
        <w:t xml:space="preserve"> </w:t>
      </w:r>
      <w:r w:rsidRPr="009E59EC">
        <w:rPr>
          <w:rFonts w:cs="Calibri"/>
          <w:szCs w:val="22"/>
        </w:rPr>
        <w:t>per RECIST v1.1</w:t>
      </w:r>
      <w:r>
        <w:rPr>
          <w:rFonts w:cs="Calibri"/>
          <w:szCs w:val="22"/>
        </w:rPr>
        <w:t>.</w:t>
      </w:r>
    </w:p>
    <w:p w14:paraId="4886A6D3" w14:textId="72386B53" w:rsidR="00587B33" w:rsidRDefault="007B215F" w:rsidP="007B215F">
      <w:pPr>
        <w:pStyle w:val="Heading6"/>
      </w:pPr>
      <w:r>
        <w:t>Baseline characteristics</w:t>
      </w:r>
    </w:p>
    <w:p w14:paraId="7420EBEB" w14:textId="77777777" w:rsidR="00F50116" w:rsidRDefault="007B215F" w:rsidP="007B215F">
      <w:r w:rsidRPr="007B215F">
        <w:t>JUPITER-02 accrued patients in China, Taiwan and Singapore; all patients were Asian</w:t>
      </w:r>
      <w:r w:rsidR="00F50116">
        <w:t>.</w:t>
      </w:r>
    </w:p>
    <w:p w14:paraId="70A0B735" w14:textId="094340FD" w:rsidR="007B215F" w:rsidRPr="007B215F" w:rsidRDefault="007B215F" w:rsidP="007B215F">
      <w:pPr>
        <w:pStyle w:val="ListBullet"/>
      </w:pPr>
      <w:r w:rsidRPr="007B215F">
        <w:t>Men: 84.9% (</w:t>
      </w:r>
      <w:proofErr w:type="spellStart"/>
      <w:r w:rsidRPr="007B215F">
        <w:t>toripalimab</w:t>
      </w:r>
      <w:proofErr w:type="spellEnd"/>
      <w:r w:rsidRPr="007B215F">
        <w:t xml:space="preserve">) </w:t>
      </w:r>
      <w:r>
        <w:t>versus</w:t>
      </w:r>
      <w:r w:rsidRPr="007B215F">
        <w:t xml:space="preserve"> 81.1% (placebo</w:t>
      </w:r>
      <w:r>
        <w:t>)</w:t>
      </w:r>
    </w:p>
    <w:p w14:paraId="60A158D3" w14:textId="1B8E4462" w:rsidR="007B215F" w:rsidRPr="007B215F" w:rsidRDefault="007B215F" w:rsidP="007B215F">
      <w:pPr>
        <w:pStyle w:val="ListBullet"/>
      </w:pPr>
      <w:r w:rsidRPr="007B215F">
        <w:t>Age median: 46 years, range 19</w:t>
      </w:r>
      <w:r>
        <w:t xml:space="preserve"> to </w:t>
      </w:r>
      <w:r w:rsidRPr="007B215F">
        <w:t>72 (</w:t>
      </w:r>
      <w:proofErr w:type="spellStart"/>
      <w:r w:rsidRPr="007B215F">
        <w:t>toripalimab</w:t>
      </w:r>
      <w:proofErr w:type="spellEnd"/>
      <w:r w:rsidRPr="007B215F">
        <w:t xml:space="preserve">) </w:t>
      </w:r>
      <w:r>
        <w:t>versus</w:t>
      </w:r>
      <w:r w:rsidRPr="007B215F">
        <w:t xml:space="preserve"> 51 years, range 21</w:t>
      </w:r>
      <w:r>
        <w:t xml:space="preserve"> to </w:t>
      </w:r>
      <w:r w:rsidRPr="007B215F">
        <w:t>72 (placebo)</w:t>
      </w:r>
    </w:p>
    <w:p w14:paraId="28D97823" w14:textId="11850C9F" w:rsidR="007B215F" w:rsidRPr="007B215F" w:rsidRDefault="007B215F" w:rsidP="007B215F">
      <w:pPr>
        <w:pStyle w:val="ListBullet"/>
      </w:pPr>
      <w:r w:rsidRPr="007B215F">
        <w:t>Asian: 100% (</w:t>
      </w:r>
      <w:proofErr w:type="spellStart"/>
      <w:r w:rsidRPr="007B215F">
        <w:t>toripalimab</w:t>
      </w:r>
      <w:proofErr w:type="spellEnd"/>
      <w:r w:rsidRPr="007B215F">
        <w:t>) v</w:t>
      </w:r>
      <w:r>
        <w:t>ersus</w:t>
      </w:r>
      <w:r w:rsidRPr="007B215F">
        <w:t xml:space="preserve"> 100% (placebo) </w:t>
      </w:r>
    </w:p>
    <w:p w14:paraId="39E29641" w14:textId="79B97BD4" w:rsidR="007B215F" w:rsidRPr="007B215F" w:rsidRDefault="007B215F" w:rsidP="007B215F">
      <w:pPr>
        <w:pStyle w:val="ListBullet"/>
      </w:pPr>
      <w:r w:rsidRPr="007B215F">
        <w:t>Histology subtype – non-keratini</w:t>
      </w:r>
      <w:r>
        <w:t>s</w:t>
      </w:r>
      <w:r w:rsidRPr="007B215F">
        <w:t xml:space="preserve">ing: </w:t>
      </w:r>
      <w:r w:rsidR="00934F1C">
        <w:t>99.3</w:t>
      </w:r>
      <w:r w:rsidRPr="007B215F">
        <w:t>% (</w:t>
      </w:r>
      <w:proofErr w:type="spellStart"/>
      <w:r w:rsidRPr="007B215F">
        <w:t>toripalimab</w:t>
      </w:r>
      <w:proofErr w:type="spellEnd"/>
      <w:r w:rsidRPr="007B215F">
        <w:t>) v</w:t>
      </w:r>
      <w:r>
        <w:t>ersus</w:t>
      </w:r>
      <w:r w:rsidRPr="007B215F">
        <w:t xml:space="preserve"> </w:t>
      </w:r>
      <w:r w:rsidR="00934F1C">
        <w:t>97.9</w:t>
      </w:r>
      <w:r w:rsidRPr="007B215F">
        <w:t>% (placebo)</w:t>
      </w:r>
    </w:p>
    <w:p w14:paraId="1F800505" w14:textId="4593801C" w:rsidR="007B215F" w:rsidRDefault="007B215F" w:rsidP="007B215F">
      <w:pPr>
        <w:pStyle w:val="ListBullet"/>
      </w:pPr>
      <w:r w:rsidRPr="007B215F">
        <w:t>ECOG 0: 56.8% (</w:t>
      </w:r>
      <w:proofErr w:type="spellStart"/>
      <w:r w:rsidRPr="007B215F">
        <w:t>toripalimab</w:t>
      </w:r>
      <w:proofErr w:type="spellEnd"/>
      <w:r w:rsidRPr="007B215F">
        <w:t xml:space="preserve">) </w:t>
      </w:r>
      <w:r>
        <w:t>versus</w:t>
      </w:r>
      <w:r w:rsidRPr="007B215F">
        <w:t xml:space="preserve"> 55.9% (placebo)</w:t>
      </w:r>
    </w:p>
    <w:p w14:paraId="54F3C443" w14:textId="79DA68D2" w:rsidR="009C384B" w:rsidRPr="007B215F" w:rsidRDefault="007B215F" w:rsidP="009C384B">
      <w:pPr>
        <w:pStyle w:val="ListBullet"/>
      </w:pPr>
      <w:r w:rsidRPr="007B215F">
        <w:t xml:space="preserve">ECOG 1: 43.2% </w:t>
      </w:r>
      <w:r w:rsidR="009C384B">
        <w:t>(</w:t>
      </w:r>
      <w:proofErr w:type="spellStart"/>
      <w:r w:rsidR="009C384B">
        <w:t>toripalimab</w:t>
      </w:r>
      <w:proofErr w:type="spellEnd"/>
      <w:r w:rsidR="009C384B">
        <w:t>) versus</w:t>
      </w:r>
      <w:r w:rsidRPr="007B215F">
        <w:t xml:space="preserve"> 44.1% </w:t>
      </w:r>
      <w:r w:rsidR="009C384B">
        <w:t>(placebo)</w:t>
      </w:r>
    </w:p>
    <w:p w14:paraId="7290D2BE" w14:textId="3DAE8EED" w:rsidR="007B215F" w:rsidRPr="007B215F" w:rsidRDefault="007B215F" w:rsidP="009C384B">
      <w:pPr>
        <w:pStyle w:val="ListBullet"/>
      </w:pPr>
      <w:r w:rsidRPr="007B215F">
        <w:t>PD-L1 status ≥</w:t>
      </w:r>
      <w:r w:rsidR="009C384B">
        <w:t> </w:t>
      </w:r>
      <w:r w:rsidRPr="007B215F">
        <w:t>1%: 74.7% (</w:t>
      </w:r>
      <w:proofErr w:type="spellStart"/>
      <w:r w:rsidRPr="007B215F">
        <w:t>toripalimab</w:t>
      </w:r>
      <w:proofErr w:type="spellEnd"/>
      <w:r w:rsidRPr="007B215F">
        <w:t>) v</w:t>
      </w:r>
      <w:r w:rsidR="009C384B">
        <w:t>ersus</w:t>
      </w:r>
      <w:r w:rsidRPr="007B215F">
        <w:t xml:space="preserve"> 76.2% (placebo)</w:t>
      </w:r>
    </w:p>
    <w:p w14:paraId="38F1A734" w14:textId="1E23BB5F" w:rsidR="007B215F" w:rsidRPr="007B215F" w:rsidRDefault="007B215F" w:rsidP="007C2B01">
      <w:pPr>
        <w:pStyle w:val="ListBullet"/>
      </w:pPr>
      <w:r w:rsidRPr="007B215F">
        <w:t>Stage IVB at study entry: 87.0% (</w:t>
      </w:r>
      <w:proofErr w:type="spellStart"/>
      <w:r w:rsidRPr="007B215F">
        <w:t>toripalimab</w:t>
      </w:r>
      <w:proofErr w:type="spellEnd"/>
      <w:r w:rsidRPr="007B215F">
        <w:t>) v</w:t>
      </w:r>
      <w:r w:rsidR="0040116A">
        <w:t>ersus</w:t>
      </w:r>
      <w:r w:rsidRPr="007B215F">
        <w:t xml:space="preserve"> 84.6% (placebo)</w:t>
      </w:r>
    </w:p>
    <w:p w14:paraId="29A84A30" w14:textId="3A467C95" w:rsidR="007B215F" w:rsidRPr="007B215F" w:rsidRDefault="007B215F" w:rsidP="0040116A">
      <w:pPr>
        <w:pStyle w:val="ListBullet"/>
      </w:pPr>
      <w:r w:rsidRPr="007B215F">
        <w:t>Recurrent disease at consent: 56.8% (</w:t>
      </w:r>
      <w:proofErr w:type="spellStart"/>
      <w:r w:rsidRPr="007B215F">
        <w:t>toripalimab</w:t>
      </w:r>
      <w:proofErr w:type="spellEnd"/>
      <w:r w:rsidRPr="007B215F">
        <w:t>) v</w:t>
      </w:r>
      <w:r w:rsidR="0040116A">
        <w:t>ersus</w:t>
      </w:r>
      <w:r w:rsidRPr="007B215F">
        <w:t xml:space="preserve"> 57.3% (placebo)</w:t>
      </w:r>
    </w:p>
    <w:p w14:paraId="3832D42D" w14:textId="0D3D9011" w:rsidR="007B215F" w:rsidRPr="007B215F" w:rsidRDefault="007B215F" w:rsidP="0040116A">
      <w:pPr>
        <w:pStyle w:val="ListBullet"/>
      </w:pPr>
      <w:r w:rsidRPr="007B215F">
        <w:t>Metastatic disease at consent: 43.2% (</w:t>
      </w:r>
      <w:proofErr w:type="spellStart"/>
      <w:r w:rsidRPr="007B215F">
        <w:t>toripalimab</w:t>
      </w:r>
      <w:proofErr w:type="spellEnd"/>
      <w:r w:rsidRPr="007B215F">
        <w:t>) v</w:t>
      </w:r>
      <w:r w:rsidR="0040116A">
        <w:t>ersus</w:t>
      </w:r>
      <w:r w:rsidRPr="007B215F">
        <w:t xml:space="preserve"> 42.7% (placebo)</w:t>
      </w:r>
    </w:p>
    <w:p w14:paraId="616908A7" w14:textId="2FB4248A" w:rsidR="007B215F" w:rsidRDefault="007B215F" w:rsidP="007B215F">
      <w:r w:rsidRPr="007B215F">
        <w:t xml:space="preserve">Among the patients with recurrent disease at study entry, 70.3% (59 </w:t>
      </w:r>
      <w:proofErr w:type="spellStart"/>
      <w:r w:rsidRPr="007B215F">
        <w:t>toripalimab</w:t>
      </w:r>
      <w:proofErr w:type="spellEnd"/>
      <w:r w:rsidRPr="007B215F">
        <w:t>, 62 placebo) of these patients</w:t>
      </w:r>
      <w:r w:rsidR="007D48C1">
        <w:t xml:space="preserve"> </w:t>
      </w:r>
      <w:r w:rsidR="007D48C1" w:rsidRPr="007D48C1">
        <w:t>received prior platinum-based chemoradiation for definitive treatment of loco</w:t>
      </w:r>
      <w:r w:rsidR="00436CBF">
        <w:noBreakHyphen/>
      </w:r>
      <w:r w:rsidR="007D48C1" w:rsidRPr="007D48C1">
        <w:t>regional NPC.</w:t>
      </w:r>
    </w:p>
    <w:p w14:paraId="46A56523" w14:textId="2BF5C1B2" w:rsidR="007D48C1" w:rsidRDefault="00EA5466" w:rsidP="00EA5466">
      <w:pPr>
        <w:pStyle w:val="Heading6"/>
      </w:pPr>
      <w:r>
        <w:t>Results</w:t>
      </w:r>
    </w:p>
    <w:p w14:paraId="47365007" w14:textId="0CDEFBCD" w:rsidR="00EA5466" w:rsidRDefault="00836929" w:rsidP="00836929">
      <w:pPr>
        <w:pStyle w:val="Heading7"/>
      </w:pPr>
      <w:r>
        <w:t>Primary efficacy results – progression free survival</w:t>
      </w:r>
    </w:p>
    <w:p w14:paraId="6A833639" w14:textId="66DB7FCB" w:rsidR="00836929" w:rsidRDefault="00210AD4" w:rsidP="00210AD4">
      <w:r w:rsidRPr="00210AD4">
        <w:t>An analysis of IRC</w:t>
      </w:r>
      <w:r w:rsidR="008265AE">
        <w:t xml:space="preserve"> </w:t>
      </w:r>
      <w:r w:rsidRPr="00210AD4">
        <w:t xml:space="preserve">determined PFS, conducted at the time of the pre-specified final analysis of PFS (data cut-off </w:t>
      </w:r>
      <w:r w:rsidR="008265AE">
        <w:t xml:space="preserve">8 </w:t>
      </w:r>
      <w:r w:rsidRPr="00210AD4">
        <w:t xml:space="preserve">June 2021) demonstrated a clinically meaningful and statistically significant </w:t>
      </w:r>
      <w:r w:rsidRPr="00210AD4">
        <w:lastRenderedPageBreak/>
        <w:t>improvement in IRC</w:t>
      </w:r>
      <w:r w:rsidR="008265AE">
        <w:t xml:space="preserve"> </w:t>
      </w:r>
      <w:r w:rsidRPr="00210AD4">
        <w:t xml:space="preserve">determined PFS with the addition of </w:t>
      </w:r>
      <w:proofErr w:type="spellStart"/>
      <w:r w:rsidRPr="00210AD4">
        <w:t>toripalimab</w:t>
      </w:r>
      <w:proofErr w:type="spellEnd"/>
      <w:r w:rsidRPr="00210AD4">
        <w:t xml:space="preserve"> to standard chemotherapy</w:t>
      </w:r>
      <w:r w:rsidR="008265AE">
        <w:t>. Hazard ratio (</w:t>
      </w:r>
      <w:r w:rsidRPr="00210AD4">
        <w:t>HR</w:t>
      </w:r>
      <w:r w:rsidR="008265AE">
        <w:t>) </w:t>
      </w:r>
      <w:r w:rsidRPr="00210AD4">
        <w:t>=</w:t>
      </w:r>
      <w:r w:rsidR="008265AE">
        <w:t> </w:t>
      </w:r>
      <w:r w:rsidRPr="00210AD4">
        <w:t xml:space="preserve">0.52 (95% </w:t>
      </w:r>
      <w:r w:rsidR="008265AE">
        <w:t>confidence interval (</w:t>
      </w:r>
      <w:r w:rsidRPr="00210AD4">
        <w:t>CI</w:t>
      </w:r>
      <w:r w:rsidR="008265AE">
        <w:t>)</w:t>
      </w:r>
      <w:r w:rsidRPr="00210AD4">
        <w:t>: 0.37, 0.73)</w:t>
      </w:r>
      <w:r w:rsidR="00466424">
        <w:t>.</w:t>
      </w:r>
    </w:p>
    <w:p w14:paraId="7AD07F02" w14:textId="0B65DB9A" w:rsidR="00466424" w:rsidRDefault="00C90D0A" w:rsidP="002918A6">
      <w:pPr>
        <w:pStyle w:val="TableTitle"/>
      </w:pPr>
      <w:r>
        <w:t xml:space="preserve">Table </w:t>
      </w:r>
      <w:fldSimple w:instr=" SEQ Table \* ARABIC ">
        <w:r w:rsidR="00D82028">
          <w:rPr>
            <w:noProof/>
          </w:rPr>
          <w:t>3</w:t>
        </w:r>
      </w:fldSimple>
      <w:r>
        <w:t>: JUPITER</w:t>
      </w:r>
      <w:r>
        <w:noBreakHyphen/>
      </w:r>
      <w:r w:rsidR="002918A6">
        <w:t>02</w:t>
      </w:r>
      <w:r>
        <w:t xml:space="preserve"> IRC determined </w:t>
      </w:r>
      <w:r w:rsidR="002918A6">
        <w:t>progression free survival</w:t>
      </w:r>
    </w:p>
    <w:p w14:paraId="19F33424" w14:textId="027E7847" w:rsidR="00D80D8A" w:rsidRDefault="008265AE" w:rsidP="00210AD4">
      <w:r w:rsidRPr="008265AE">
        <w:rPr>
          <w:noProof/>
        </w:rPr>
        <w:drawing>
          <wp:inline distT="0" distB="0" distL="0" distR="0" wp14:anchorId="48D8ECDF" wp14:editId="50178356">
            <wp:extent cx="5425725" cy="1600200"/>
            <wp:effectExtent l="0" t="0" r="3810" b="0"/>
            <wp:docPr id="198368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8782" name=""/>
                    <pic:cNvPicPr/>
                  </pic:nvPicPr>
                  <pic:blipFill>
                    <a:blip r:embed="rId25"/>
                    <a:stretch>
                      <a:fillRect/>
                    </a:stretch>
                  </pic:blipFill>
                  <pic:spPr>
                    <a:xfrm>
                      <a:off x="0" y="0"/>
                      <a:ext cx="5427523" cy="1600730"/>
                    </a:xfrm>
                    <a:prstGeom prst="rect">
                      <a:avLst/>
                    </a:prstGeom>
                  </pic:spPr>
                </pic:pic>
              </a:graphicData>
            </a:graphic>
          </wp:inline>
        </w:drawing>
      </w:r>
    </w:p>
    <w:p w14:paraId="30A0C4C5" w14:textId="21BFAD71" w:rsidR="00B60F3C" w:rsidRDefault="00EB62C3" w:rsidP="00BB1582">
      <w:pPr>
        <w:pStyle w:val="TableDescription"/>
      </w:pPr>
      <w:r>
        <w:rPr>
          <w:vertAlign w:val="superscript"/>
        </w:rPr>
        <w:t xml:space="preserve">1 </w:t>
      </w:r>
      <w:r>
        <w:t>Strata are performance status</w:t>
      </w:r>
      <w:r w:rsidR="00B306B6">
        <w:t xml:space="preserve"> and disease stage</w:t>
      </w:r>
      <w:r w:rsidR="00B60F3C">
        <w:t>.</w:t>
      </w:r>
    </w:p>
    <w:p w14:paraId="20867EF5" w14:textId="330F1175" w:rsidR="00B306B6" w:rsidRDefault="00B306B6" w:rsidP="00BB1582">
      <w:pPr>
        <w:pStyle w:val="TableDescription"/>
      </w:pPr>
      <w:r>
        <w:rPr>
          <w:vertAlign w:val="superscript"/>
        </w:rPr>
        <w:t xml:space="preserve">2 </w:t>
      </w:r>
      <w:r>
        <w:t>Crossed the boundary of 0.010 adjusted for 128 observed PFS events, for the interim analysis.</w:t>
      </w:r>
    </w:p>
    <w:p w14:paraId="17585BDA" w14:textId="0F35CAF6" w:rsidR="00BB1582" w:rsidRDefault="00B60F3C" w:rsidP="00BB1582">
      <w:pPr>
        <w:pStyle w:val="TableDescription"/>
      </w:pPr>
      <w:r>
        <w:t>Abbreviation: CI = confidence interval, IRC = </w:t>
      </w:r>
      <w:r w:rsidR="00FB220F">
        <w:t>independent review committee, NE = not estimable, OS = overall survival, PFS</w:t>
      </w:r>
      <w:r w:rsidR="00BB1582">
        <w:t> = progression free survival.</w:t>
      </w:r>
    </w:p>
    <w:p w14:paraId="00DE519A" w14:textId="1DBA4EF5" w:rsidR="0017057A" w:rsidRPr="0017057A" w:rsidRDefault="0017057A" w:rsidP="00890A8B">
      <w:pPr>
        <w:pStyle w:val="FigureTitle"/>
      </w:pPr>
      <w:r w:rsidRPr="00EA1E81">
        <w:t xml:space="preserve">Figure </w:t>
      </w:r>
      <w:fldSimple w:instr=" SEQ Figure \* ARABIC ">
        <w:r w:rsidR="00D82028">
          <w:rPr>
            <w:noProof/>
          </w:rPr>
          <w:t>1</w:t>
        </w:r>
      </w:fldSimple>
      <w:r w:rsidRPr="00EA1E81">
        <w:t>: JUPITER</w:t>
      </w:r>
      <w:r w:rsidRPr="00EA1E81">
        <w:noBreakHyphen/>
        <w:t xml:space="preserve">02 </w:t>
      </w:r>
      <w:r w:rsidR="00545EA8" w:rsidRPr="00EA1E81">
        <w:t>final analysis of IRC determined</w:t>
      </w:r>
      <w:r w:rsidR="001F190E" w:rsidRPr="00EA1E81">
        <w:t xml:space="preserve"> progression free survival</w:t>
      </w:r>
    </w:p>
    <w:p w14:paraId="36EEA2FE" w14:textId="6DBE3C67" w:rsidR="00BB1582" w:rsidRDefault="00F67B6F" w:rsidP="00BB1582">
      <w:r w:rsidRPr="00F67B6F">
        <w:rPr>
          <w:noProof/>
        </w:rPr>
        <w:drawing>
          <wp:inline distT="0" distB="0" distL="0" distR="0" wp14:anchorId="3620285D" wp14:editId="6CEA5019">
            <wp:extent cx="5143500" cy="2187831"/>
            <wp:effectExtent l="0" t="0" r="0" b="3175"/>
            <wp:docPr id="166598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88275" name=""/>
                    <pic:cNvPicPr/>
                  </pic:nvPicPr>
                  <pic:blipFill>
                    <a:blip r:embed="rId26"/>
                    <a:stretch>
                      <a:fillRect/>
                    </a:stretch>
                  </pic:blipFill>
                  <pic:spPr>
                    <a:xfrm>
                      <a:off x="0" y="0"/>
                      <a:ext cx="5147220" cy="2189413"/>
                    </a:xfrm>
                    <a:prstGeom prst="rect">
                      <a:avLst/>
                    </a:prstGeom>
                  </pic:spPr>
                </pic:pic>
              </a:graphicData>
            </a:graphic>
          </wp:inline>
        </w:drawing>
      </w:r>
    </w:p>
    <w:p w14:paraId="4BA8E983" w14:textId="7B004D40" w:rsidR="00070241" w:rsidRPr="00070241" w:rsidRDefault="00EA1E81" w:rsidP="00EA1E81">
      <w:pPr>
        <w:pStyle w:val="FigureDescription"/>
        <w:keepNext w:val="0"/>
      </w:pPr>
      <w:r w:rsidRPr="00EA1E81">
        <w:t>JS001</w:t>
      </w:r>
      <w:r>
        <w:t> </w:t>
      </w:r>
      <w:r w:rsidRPr="00EA1E81">
        <w:t>=</w:t>
      </w:r>
      <w:r>
        <w:t> </w:t>
      </w:r>
      <w:proofErr w:type="spellStart"/>
      <w:r w:rsidRPr="00EA1E81">
        <w:t>toripalimab</w:t>
      </w:r>
      <w:proofErr w:type="spellEnd"/>
    </w:p>
    <w:p w14:paraId="4CE3DB1A" w14:textId="4C8C9D48" w:rsidR="009C4D75" w:rsidRDefault="00003DE2" w:rsidP="009C4D75">
      <w:pPr>
        <w:pStyle w:val="Heading7"/>
      </w:pPr>
      <w:r>
        <w:t>Secondary endpoint</w:t>
      </w:r>
      <w:r w:rsidR="009C4D75">
        <w:t xml:space="preserve"> – overall response rate</w:t>
      </w:r>
    </w:p>
    <w:p w14:paraId="0B0F3962" w14:textId="3EF3A30B" w:rsidR="008C07DC" w:rsidRPr="006B1EF2" w:rsidRDefault="004D13E9" w:rsidP="006B1EF2">
      <w:r w:rsidRPr="006B1EF2">
        <w:t>T</w:t>
      </w:r>
      <w:r w:rsidR="008C07DC" w:rsidRPr="006B1EF2">
        <w:t>he difference in IRC</w:t>
      </w:r>
      <w:r w:rsidR="00F17ADB" w:rsidRPr="006B1EF2">
        <w:t xml:space="preserve"> </w:t>
      </w:r>
      <w:r w:rsidR="008C07DC" w:rsidRPr="006B1EF2">
        <w:t xml:space="preserve">determined response rates between the </w:t>
      </w:r>
      <w:proofErr w:type="spellStart"/>
      <w:r w:rsidR="008C07DC" w:rsidRPr="006B1EF2">
        <w:t>toripalimab</w:t>
      </w:r>
      <w:proofErr w:type="spellEnd"/>
      <w:r w:rsidR="008C07DC" w:rsidRPr="006B1EF2">
        <w:t xml:space="preserve"> and placebo arms, per RECIST v1.1, was statistically significant</w:t>
      </w:r>
      <w:r w:rsidR="00EC31BB" w:rsidRPr="006B1EF2">
        <w:t xml:space="preserve">. Overall response rate </w:t>
      </w:r>
      <w:r w:rsidR="008C07DC" w:rsidRPr="006B1EF2">
        <w:t xml:space="preserve">of 77.4% in the </w:t>
      </w:r>
      <w:proofErr w:type="spellStart"/>
      <w:r w:rsidR="008C07DC" w:rsidRPr="006B1EF2">
        <w:t>toripalimab</w:t>
      </w:r>
      <w:proofErr w:type="spellEnd"/>
      <w:r w:rsidR="008C07DC" w:rsidRPr="006B1EF2">
        <w:t xml:space="preserve"> and 66.4% in the placebo arms, with a difference in ORR of 10.8%, p</w:t>
      </w:r>
      <w:r w:rsidR="00EC31BB" w:rsidRPr="006B1EF2">
        <w:t> </w:t>
      </w:r>
      <w:r w:rsidR="008C07DC" w:rsidRPr="006B1EF2">
        <w:t>=</w:t>
      </w:r>
      <w:r w:rsidR="00EC31BB" w:rsidRPr="006B1EF2">
        <w:t> </w:t>
      </w:r>
      <w:r w:rsidR="008C07DC" w:rsidRPr="006B1EF2">
        <w:t xml:space="preserve">0.0335 </w:t>
      </w:r>
      <w:r w:rsidR="00EC31BB" w:rsidRPr="006B1EF2">
        <w:t xml:space="preserve">(data cut-off </w:t>
      </w:r>
      <w:r w:rsidRPr="006B1EF2">
        <w:t>30 May 2020</w:t>
      </w:r>
      <w:r w:rsidR="00D37FE6">
        <w:t>)</w:t>
      </w:r>
      <w:r w:rsidRPr="006B1EF2">
        <w:t>.</w:t>
      </w:r>
    </w:p>
    <w:p w14:paraId="558B5E24" w14:textId="6E3AC85D" w:rsidR="009C4D75" w:rsidRPr="006B1EF2" w:rsidRDefault="008C07DC" w:rsidP="006B1EF2">
      <w:r w:rsidRPr="006B1EF2">
        <w:t>In the post hoc analysis (</w:t>
      </w:r>
      <w:r w:rsidR="004D13E9" w:rsidRPr="006B1EF2">
        <w:t>data cut-off 8 June </w:t>
      </w:r>
      <w:r w:rsidRPr="006B1EF2">
        <w:t>2021), IRC</w:t>
      </w:r>
      <w:r w:rsidR="004D13E9" w:rsidRPr="006B1EF2">
        <w:t xml:space="preserve"> </w:t>
      </w:r>
      <w:r w:rsidRPr="006B1EF2">
        <w:t xml:space="preserve">determined ORR was 78.8% and 67.1% in the </w:t>
      </w:r>
      <w:proofErr w:type="spellStart"/>
      <w:r w:rsidRPr="006B1EF2">
        <w:t>toripalimab</w:t>
      </w:r>
      <w:proofErr w:type="spellEnd"/>
      <w:r w:rsidRPr="006B1EF2">
        <w:t xml:space="preserve"> and placebo arms, respectively, which was similar to that seen at the time of the definitive analysis of ORR; however, IRC</w:t>
      </w:r>
      <w:r w:rsidR="006B1EF2" w:rsidRPr="006B1EF2">
        <w:t xml:space="preserve"> </w:t>
      </w:r>
      <w:r w:rsidRPr="006B1EF2">
        <w:t xml:space="preserve">determined </w:t>
      </w:r>
      <w:proofErr w:type="spellStart"/>
      <w:r w:rsidR="00D340D2">
        <w:t>DoR</w:t>
      </w:r>
      <w:proofErr w:type="spellEnd"/>
      <w:r w:rsidRPr="006B1EF2">
        <w:t xml:space="preserve"> was considerably longer with a median </w:t>
      </w:r>
      <w:proofErr w:type="spellStart"/>
      <w:r w:rsidR="00D340D2">
        <w:t>DoR</w:t>
      </w:r>
      <w:proofErr w:type="spellEnd"/>
      <w:r w:rsidRPr="006B1EF2">
        <w:t xml:space="preserve"> of 18.0 months in the </w:t>
      </w:r>
      <w:proofErr w:type="spellStart"/>
      <w:r w:rsidRPr="006B1EF2">
        <w:t>toripalimab</w:t>
      </w:r>
      <w:proofErr w:type="spellEnd"/>
      <w:r w:rsidRPr="006B1EF2">
        <w:t xml:space="preserve"> and 6.0 months in the placebo arm as compared to the previous analysis.</w:t>
      </w:r>
    </w:p>
    <w:p w14:paraId="0411AFE1" w14:textId="365B0B58" w:rsidR="009C4D75" w:rsidRDefault="009C4D75" w:rsidP="008C07DC">
      <w:pPr>
        <w:pStyle w:val="Heading7"/>
        <w:tabs>
          <w:tab w:val="left" w:pos="5220"/>
        </w:tabs>
      </w:pPr>
      <w:r>
        <w:t>Secondary endpoint – overall survival</w:t>
      </w:r>
    </w:p>
    <w:p w14:paraId="67952145" w14:textId="08B1D4DA" w:rsidR="008C07DC" w:rsidRDefault="008C07DC" w:rsidP="00645014">
      <w:r w:rsidRPr="00645014">
        <w:t xml:space="preserve">The final analysis of OS demonstrated a clinically meaningful and statistically significant improvement in OS with the addition of </w:t>
      </w:r>
      <w:proofErr w:type="spellStart"/>
      <w:r w:rsidRPr="00645014">
        <w:t>toripalimab</w:t>
      </w:r>
      <w:proofErr w:type="spellEnd"/>
      <w:r w:rsidRPr="00645014">
        <w:t xml:space="preserve">. The median OS was not estimable in the </w:t>
      </w:r>
      <w:proofErr w:type="spellStart"/>
      <w:r w:rsidRPr="00645014">
        <w:t>toripalimab</w:t>
      </w:r>
      <w:proofErr w:type="spellEnd"/>
      <w:r w:rsidRPr="00645014">
        <w:t xml:space="preserve"> arm (lower bound of the 95% CI 38.7 months) and 33.7 months in the placebo arm with a HR of 0.63 (95% CI: 0.45, 0.89), p</w:t>
      </w:r>
      <w:r w:rsidR="00645014" w:rsidRPr="00645014">
        <w:t> </w:t>
      </w:r>
      <w:r w:rsidRPr="00645014">
        <w:t>=</w:t>
      </w:r>
      <w:r w:rsidR="00645014" w:rsidRPr="00645014">
        <w:t> </w:t>
      </w:r>
      <w:r w:rsidRPr="00645014">
        <w:t>0.0083</w:t>
      </w:r>
      <w:r w:rsidR="00645014" w:rsidRPr="00645014">
        <w:t>.</w:t>
      </w:r>
    </w:p>
    <w:p w14:paraId="5A35FEE2" w14:textId="103B670A" w:rsidR="0005580E" w:rsidRPr="0005580E" w:rsidRDefault="009749E7" w:rsidP="0005580E">
      <w:pPr>
        <w:pStyle w:val="TableTitle"/>
      </w:pPr>
      <w:r>
        <w:lastRenderedPageBreak/>
        <w:t xml:space="preserve">Table </w:t>
      </w:r>
      <w:fldSimple w:instr=" SEQ Table \* ARABIC ">
        <w:r w:rsidR="00D82028">
          <w:rPr>
            <w:noProof/>
          </w:rPr>
          <w:t>4</w:t>
        </w:r>
      </w:fldSimple>
      <w:r>
        <w:t xml:space="preserve">: </w:t>
      </w:r>
      <w:r w:rsidR="00894405">
        <w:t>JUPITER</w:t>
      </w:r>
      <w:r w:rsidR="00894405">
        <w:noBreakHyphen/>
        <w:t xml:space="preserve">02 </w:t>
      </w:r>
      <w:r w:rsidR="0005580E">
        <w:t>key secondary endpoints</w:t>
      </w:r>
    </w:p>
    <w:p w14:paraId="406CCE2B" w14:textId="68548C7E" w:rsidR="008C07DC" w:rsidRDefault="00894405" w:rsidP="008C07DC">
      <w:r w:rsidRPr="00894405">
        <w:rPr>
          <w:noProof/>
        </w:rPr>
        <w:drawing>
          <wp:inline distT="0" distB="0" distL="0" distR="0" wp14:anchorId="0E9EAD7F" wp14:editId="0FAF8543">
            <wp:extent cx="5664200" cy="4622537"/>
            <wp:effectExtent l="0" t="0" r="0" b="6985"/>
            <wp:docPr id="2688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8892" name=""/>
                    <pic:cNvPicPr/>
                  </pic:nvPicPr>
                  <pic:blipFill>
                    <a:blip r:embed="rId27"/>
                    <a:stretch>
                      <a:fillRect/>
                    </a:stretch>
                  </pic:blipFill>
                  <pic:spPr>
                    <a:xfrm>
                      <a:off x="0" y="0"/>
                      <a:ext cx="5667798" cy="4625473"/>
                    </a:xfrm>
                    <a:prstGeom prst="rect">
                      <a:avLst/>
                    </a:prstGeom>
                  </pic:spPr>
                </pic:pic>
              </a:graphicData>
            </a:graphic>
          </wp:inline>
        </w:drawing>
      </w:r>
    </w:p>
    <w:p w14:paraId="4DF9711D" w14:textId="25A63E9C" w:rsidR="0005580E" w:rsidRDefault="0005580E" w:rsidP="00773A2F">
      <w:pPr>
        <w:pStyle w:val="TableDescription"/>
      </w:pPr>
      <w:r>
        <w:rPr>
          <w:vertAlign w:val="superscript"/>
        </w:rPr>
        <w:t xml:space="preserve">1 </w:t>
      </w:r>
      <w:r>
        <w:t>Strata are performance status and disease stage</w:t>
      </w:r>
    </w:p>
    <w:p w14:paraId="3C320A28" w14:textId="014DEDBE" w:rsidR="00316ECD" w:rsidRDefault="00316ECD" w:rsidP="00773A2F">
      <w:pPr>
        <w:pStyle w:val="TableDescription"/>
      </w:pPr>
      <w:r>
        <w:rPr>
          <w:vertAlign w:val="superscript"/>
        </w:rPr>
        <w:t xml:space="preserve">2 </w:t>
      </w:r>
      <w:r>
        <w:t>Stratified Cochran-Mantel-Hae</w:t>
      </w:r>
      <w:r w:rsidR="00B04230">
        <w:t xml:space="preserve">nszel </w:t>
      </w:r>
      <w:proofErr w:type="gramStart"/>
      <w:r w:rsidR="00B04230">
        <w:t>test</w:t>
      </w:r>
      <w:proofErr w:type="gramEnd"/>
    </w:p>
    <w:p w14:paraId="6D893C3C" w14:textId="3FEA1A2A" w:rsidR="00B04230" w:rsidRDefault="00B04230" w:rsidP="00773A2F">
      <w:pPr>
        <w:pStyle w:val="TableDescription"/>
        <w:rPr>
          <w:vertAlign w:val="superscript"/>
        </w:rPr>
      </w:pPr>
      <w:r>
        <w:rPr>
          <w:vertAlign w:val="superscript"/>
        </w:rPr>
        <w:t xml:space="preserve">3 </w:t>
      </w:r>
      <w:r w:rsidRPr="00B04230">
        <w:t>Cox proportional hazards model</w:t>
      </w:r>
    </w:p>
    <w:p w14:paraId="2FA38CDD" w14:textId="6F6498FC" w:rsidR="00B04230" w:rsidRDefault="00B04230" w:rsidP="00773A2F">
      <w:pPr>
        <w:pStyle w:val="TableDescription"/>
      </w:pPr>
      <w:r>
        <w:rPr>
          <w:vertAlign w:val="superscript"/>
        </w:rPr>
        <w:t xml:space="preserve">4 </w:t>
      </w:r>
      <w:r>
        <w:t xml:space="preserve">Data cut-off date </w:t>
      </w:r>
      <w:r w:rsidR="00A67270">
        <w:t>18 February 2021</w:t>
      </w:r>
    </w:p>
    <w:p w14:paraId="5FE29BEF" w14:textId="0ED6F26D" w:rsidR="00A67270" w:rsidRDefault="0020786B" w:rsidP="00773A2F">
      <w:pPr>
        <w:pStyle w:val="TableDescription"/>
      </w:pPr>
      <w:r>
        <w:t xml:space="preserve">Abbreviations: </w:t>
      </w:r>
      <w:r w:rsidR="00A67270">
        <w:t xml:space="preserve">CI = confidence interval, </w:t>
      </w:r>
      <w:proofErr w:type="spellStart"/>
      <w:r w:rsidR="00773A2F">
        <w:t>DoR</w:t>
      </w:r>
      <w:proofErr w:type="spellEnd"/>
      <w:r w:rsidR="00773A2F">
        <w:t> = duration of response, IRC independent review committee, NE = not estimable, ORR = objective response rate, OS = overall survival.</w:t>
      </w:r>
    </w:p>
    <w:p w14:paraId="7AF56D7B" w14:textId="6879AA1C" w:rsidR="00773A2F" w:rsidRDefault="00EB4B6C" w:rsidP="00EB4B6C">
      <w:pPr>
        <w:pStyle w:val="TableTitle"/>
      </w:pPr>
      <w:r>
        <w:t xml:space="preserve">Table </w:t>
      </w:r>
      <w:fldSimple w:instr=" SEQ Table \* ARABIC ">
        <w:r w:rsidR="00D82028">
          <w:rPr>
            <w:noProof/>
          </w:rPr>
          <w:t>5</w:t>
        </w:r>
      </w:fldSimple>
      <w:r>
        <w:t>: JUPITER</w:t>
      </w:r>
      <w:r>
        <w:noBreakHyphen/>
        <w:t>02 final analysis of overall survival</w:t>
      </w:r>
    </w:p>
    <w:p w14:paraId="1334A3C4" w14:textId="6721A905" w:rsidR="00EB4B6C" w:rsidRDefault="004E695D" w:rsidP="00CA7F43">
      <w:r w:rsidRPr="004E695D">
        <w:rPr>
          <w:noProof/>
        </w:rPr>
        <w:drawing>
          <wp:inline distT="0" distB="0" distL="0" distR="0" wp14:anchorId="115E2279" wp14:editId="3AF0307C">
            <wp:extent cx="5664200" cy="1441450"/>
            <wp:effectExtent l="0" t="0" r="0" b="6350"/>
            <wp:docPr id="189058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88810" name=""/>
                    <pic:cNvPicPr/>
                  </pic:nvPicPr>
                  <pic:blipFill rotWithShape="1">
                    <a:blip r:embed="rId28"/>
                    <a:srcRect l="1654"/>
                    <a:stretch>
                      <a:fillRect/>
                    </a:stretch>
                  </pic:blipFill>
                  <pic:spPr bwMode="auto">
                    <a:xfrm>
                      <a:off x="0" y="0"/>
                      <a:ext cx="5664200" cy="1441450"/>
                    </a:xfrm>
                    <a:prstGeom prst="rect">
                      <a:avLst/>
                    </a:prstGeom>
                    <a:ln>
                      <a:noFill/>
                    </a:ln>
                    <a:extLst>
                      <a:ext uri="{53640926-AAD7-44D8-BBD7-CCE9431645EC}">
                        <a14:shadowObscured xmlns:a14="http://schemas.microsoft.com/office/drawing/2010/main"/>
                      </a:ext>
                    </a:extLst>
                  </pic:spPr>
                </pic:pic>
              </a:graphicData>
            </a:graphic>
          </wp:inline>
        </w:drawing>
      </w:r>
    </w:p>
    <w:p w14:paraId="5A021B21" w14:textId="0047D1C7" w:rsidR="00DA38A4" w:rsidRPr="00DA38A4" w:rsidRDefault="00DA38A4" w:rsidP="0020786B">
      <w:pPr>
        <w:pStyle w:val="TableDescription"/>
      </w:pPr>
      <w:r w:rsidRPr="00DA38A4">
        <w:rPr>
          <w:vertAlign w:val="superscript"/>
        </w:rPr>
        <w:t>1</w:t>
      </w:r>
      <w:r>
        <w:t xml:space="preserve"> </w:t>
      </w:r>
      <w:r w:rsidRPr="00DA38A4">
        <w:t>Median OS was estimated using the Kaplan-Meier method. The Brookmeyer-Crowley method was used to construct the 95% confidence interval.</w:t>
      </w:r>
      <w:r w:rsidR="00113D94" w:rsidRPr="00113D94">
        <w:t xml:space="preserve"> </w:t>
      </w:r>
      <w:r w:rsidR="00113D94" w:rsidRPr="00801CBF">
        <w:t xml:space="preserve">Data </w:t>
      </w:r>
      <w:r w:rsidR="00C17B5C">
        <w:t>c</w:t>
      </w:r>
      <w:r w:rsidR="00113D94" w:rsidRPr="00801CBF">
        <w:t>ut</w:t>
      </w:r>
      <w:r w:rsidR="00C17B5C">
        <w:noBreakHyphen/>
      </w:r>
      <w:r w:rsidR="00113D94" w:rsidRPr="00801CBF">
        <w:t xml:space="preserve">off </w:t>
      </w:r>
      <w:r w:rsidR="00C17B5C">
        <w:t>18 </w:t>
      </w:r>
      <w:r w:rsidR="00113D94" w:rsidRPr="00801CBF">
        <w:t xml:space="preserve">November </w:t>
      </w:r>
      <w:r w:rsidR="00C17B5C">
        <w:t>2</w:t>
      </w:r>
      <w:r w:rsidR="00113D94" w:rsidRPr="00801CBF">
        <w:t>022</w:t>
      </w:r>
      <w:r w:rsidR="00C17B5C">
        <w:t>.</w:t>
      </w:r>
    </w:p>
    <w:p w14:paraId="1DD7A120" w14:textId="58B9EB1A" w:rsidR="00DA38A4" w:rsidRPr="00DA38A4" w:rsidRDefault="00DA38A4" w:rsidP="0020786B">
      <w:pPr>
        <w:pStyle w:val="TableDescription"/>
      </w:pPr>
      <w:r w:rsidRPr="0020786B">
        <w:rPr>
          <w:vertAlign w:val="superscript"/>
        </w:rPr>
        <w:t>2</w:t>
      </w:r>
      <w:r w:rsidR="0020786B">
        <w:t xml:space="preserve"> </w:t>
      </w:r>
      <w:r w:rsidRPr="00DA38A4">
        <w:t>The hazard ratio and its 95% confidence intervals were estimated using the Cox proportional hazards model using the stratification factors at randomi</w:t>
      </w:r>
      <w:r w:rsidR="0020786B">
        <w:t>s</w:t>
      </w:r>
      <w:r w:rsidRPr="00DA38A4">
        <w:t>ation.</w:t>
      </w:r>
    </w:p>
    <w:p w14:paraId="744CFDD2" w14:textId="6F7D2866" w:rsidR="00DA38A4" w:rsidRPr="00DA38A4" w:rsidRDefault="00DA38A4" w:rsidP="0020786B">
      <w:pPr>
        <w:pStyle w:val="TableDescription"/>
      </w:pPr>
      <w:r w:rsidRPr="0020786B">
        <w:rPr>
          <w:vertAlign w:val="superscript"/>
        </w:rPr>
        <w:t>3</w:t>
      </w:r>
      <w:r w:rsidR="0020786B">
        <w:t xml:space="preserve"> </w:t>
      </w:r>
      <w:r w:rsidRPr="00DA38A4">
        <w:t>The log rank test was used to determine the p-value.</w:t>
      </w:r>
    </w:p>
    <w:p w14:paraId="7CE2CC6C" w14:textId="12BED6A9" w:rsidR="00DA38A4" w:rsidRDefault="0020786B" w:rsidP="0020786B">
      <w:pPr>
        <w:pStyle w:val="TableDescription"/>
      </w:pPr>
      <w:r>
        <w:t xml:space="preserve">Abbreviations: </w:t>
      </w:r>
      <w:r w:rsidR="00DA38A4" w:rsidRPr="00DA38A4">
        <w:t>CI</w:t>
      </w:r>
      <w:r>
        <w:t> </w:t>
      </w:r>
      <w:r w:rsidR="00DA38A4" w:rsidRPr="00DA38A4">
        <w:t>=</w:t>
      </w:r>
      <w:r>
        <w:t> </w:t>
      </w:r>
      <w:r w:rsidR="00DA38A4" w:rsidRPr="00DA38A4">
        <w:t>confidence interval</w:t>
      </w:r>
      <w:r>
        <w:t>,</w:t>
      </w:r>
      <w:r w:rsidR="00DA38A4" w:rsidRPr="00DA38A4">
        <w:t xml:space="preserve"> GC</w:t>
      </w:r>
      <w:r>
        <w:t> </w:t>
      </w:r>
      <w:r w:rsidR="00DA38A4" w:rsidRPr="00DA38A4">
        <w:t>=</w:t>
      </w:r>
      <w:r>
        <w:t> </w:t>
      </w:r>
      <w:r w:rsidR="00DA38A4" w:rsidRPr="00DA38A4">
        <w:t>gemcitabine/cisplatin</w:t>
      </w:r>
      <w:r>
        <w:t>,</w:t>
      </w:r>
      <w:r w:rsidR="00DA38A4" w:rsidRPr="00DA38A4">
        <w:t xml:space="preserve"> NE</w:t>
      </w:r>
      <w:r>
        <w:t> </w:t>
      </w:r>
      <w:r w:rsidR="00DA38A4" w:rsidRPr="00DA38A4">
        <w:t>=</w:t>
      </w:r>
      <w:r>
        <w:t> </w:t>
      </w:r>
      <w:r w:rsidR="00DA38A4" w:rsidRPr="00DA38A4">
        <w:t>not estimable</w:t>
      </w:r>
      <w:r>
        <w:t xml:space="preserve">, </w:t>
      </w:r>
      <w:r w:rsidR="00DA38A4" w:rsidRPr="00DA38A4">
        <w:t>OS</w:t>
      </w:r>
      <w:r>
        <w:t> </w:t>
      </w:r>
      <w:r w:rsidR="00DA38A4" w:rsidRPr="00DA38A4">
        <w:t>=</w:t>
      </w:r>
      <w:r>
        <w:t> </w:t>
      </w:r>
      <w:r w:rsidR="00DA38A4" w:rsidRPr="00DA38A4">
        <w:t>overall survival</w:t>
      </w:r>
      <w:r>
        <w:t>.</w:t>
      </w:r>
    </w:p>
    <w:p w14:paraId="48982EB8" w14:textId="6D519C25" w:rsidR="0020786B" w:rsidRDefault="00106A30" w:rsidP="00106A30">
      <w:pPr>
        <w:pStyle w:val="FigureTitle"/>
      </w:pPr>
      <w:r>
        <w:lastRenderedPageBreak/>
        <w:t xml:space="preserve">Figure </w:t>
      </w:r>
      <w:fldSimple w:instr=" SEQ Figure \* ARABIC ">
        <w:r w:rsidR="00D82028">
          <w:rPr>
            <w:noProof/>
          </w:rPr>
          <w:t>2</w:t>
        </w:r>
      </w:fldSimple>
      <w:r>
        <w:t xml:space="preserve">: </w:t>
      </w:r>
      <w:r w:rsidRPr="00106A30">
        <w:t>JUPITER 02 final analysis of overall survival</w:t>
      </w:r>
    </w:p>
    <w:p w14:paraId="38C32C0D" w14:textId="4F238FB7" w:rsidR="00106A30" w:rsidRDefault="00AE12F4" w:rsidP="00CA7F43">
      <w:r w:rsidRPr="00AE12F4">
        <w:rPr>
          <w:noProof/>
        </w:rPr>
        <w:drawing>
          <wp:inline distT="0" distB="0" distL="0" distR="0" wp14:anchorId="224D42B0" wp14:editId="6AF27E73">
            <wp:extent cx="5607050" cy="2590165"/>
            <wp:effectExtent l="0" t="0" r="0" b="635"/>
            <wp:docPr id="853676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76919" name=""/>
                    <pic:cNvPicPr/>
                  </pic:nvPicPr>
                  <pic:blipFill rotWithShape="1">
                    <a:blip r:embed="rId29"/>
                    <a:srcRect l="2646"/>
                    <a:stretch>
                      <a:fillRect/>
                    </a:stretch>
                  </pic:blipFill>
                  <pic:spPr bwMode="auto">
                    <a:xfrm>
                      <a:off x="0" y="0"/>
                      <a:ext cx="5607050" cy="2590165"/>
                    </a:xfrm>
                    <a:prstGeom prst="rect">
                      <a:avLst/>
                    </a:prstGeom>
                    <a:ln>
                      <a:noFill/>
                    </a:ln>
                    <a:extLst>
                      <a:ext uri="{53640926-AAD7-44D8-BBD7-CCE9431645EC}">
                        <a14:shadowObscured xmlns:a14="http://schemas.microsoft.com/office/drawing/2010/main"/>
                      </a:ext>
                    </a:extLst>
                  </pic:spPr>
                </pic:pic>
              </a:graphicData>
            </a:graphic>
          </wp:inline>
        </w:drawing>
      </w:r>
    </w:p>
    <w:p w14:paraId="7ECA251D" w14:textId="77777777" w:rsidR="00AE12F4" w:rsidRPr="00AE12F4" w:rsidRDefault="00AE12F4" w:rsidP="00AE12F4">
      <w:pPr>
        <w:pStyle w:val="FigureDescription"/>
      </w:pPr>
      <w:r w:rsidRPr="00EA1E81">
        <w:t>JS001</w:t>
      </w:r>
      <w:r>
        <w:t> </w:t>
      </w:r>
      <w:r w:rsidRPr="00EA1E81">
        <w:t>=</w:t>
      </w:r>
      <w:r>
        <w:t> </w:t>
      </w:r>
      <w:proofErr w:type="spellStart"/>
      <w:r w:rsidRPr="00EA1E81">
        <w:t>toripalimab</w:t>
      </w:r>
      <w:proofErr w:type="spellEnd"/>
    </w:p>
    <w:p w14:paraId="707AED09" w14:textId="237B12CE" w:rsidR="00AE12F4" w:rsidRDefault="006C137C" w:rsidP="005E05E9">
      <w:pPr>
        <w:pStyle w:val="Heading5"/>
      </w:pPr>
      <w:r w:rsidRPr="006C137C">
        <w:t>POLARIS-02/</w:t>
      </w:r>
      <w:r w:rsidR="006A1C7D">
        <w:t>C</w:t>
      </w:r>
      <w:r w:rsidRPr="006C137C">
        <w:t>ohort 7</w:t>
      </w:r>
    </w:p>
    <w:p w14:paraId="1E751884" w14:textId="5C567ABA" w:rsidR="006D2B85" w:rsidRPr="003C4B0C" w:rsidRDefault="006D2B85" w:rsidP="003C4B0C">
      <w:r w:rsidRPr="003C4B0C">
        <w:t xml:space="preserve">This was a </w:t>
      </w:r>
      <w:r w:rsidR="003C4B0C">
        <w:t>P</w:t>
      </w:r>
      <w:r w:rsidRPr="003C4B0C">
        <w:t xml:space="preserve">hase </w:t>
      </w:r>
      <w:r w:rsidR="003C4B0C">
        <w:t>II</w:t>
      </w:r>
      <w:r w:rsidRPr="003C4B0C">
        <w:t>, multiple</w:t>
      </w:r>
      <w:r w:rsidR="003C4B0C">
        <w:t xml:space="preserve"> </w:t>
      </w:r>
      <w:proofErr w:type="gramStart"/>
      <w:r w:rsidRPr="003C4B0C">
        <w:t>cohort</w:t>
      </w:r>
      <w:proofErr w:type="gramEnd"/>
      <w:r w:rsidRPr="003C4B0C">
        <w:t>, activity</w:t>
      </w:r>
      <w:r w:rsidR="003C4B0C">
        <w:t xml:space="preserve"> </w:t>
      </w:r>
      <w:r w:rsidRPr="003C4B0C">
        <w:t>estimating trial comprising 8 cohorts.</w:t>
      </w:r>
    </w:p>
    <w:p w14:paraId="0D3A37EE" w14:textId="7DFCC435" w:rsidR="006D2B85" w:rsidRPr="003C4B0C" w:rsidRDefault="006D2B85" w:rsidP="003C4B0C">
      <w:r w:rsidRPr="003C4B0C">
        <w:t xml:space="preserve">Supportive evidence of the clinical efficacy and safety of </w:t>
      </w:r>
      <w:proofErr w:type="spellStart"/>
      <w:r w:rsidRPr="003C4B0C">
        <w:t>toripalimab</w:t>
      </w:r>
      <w:proofErr w:type="spellEnd"/>
      <w:r w:rsidRPr="003C4B0C">
        <w:t xml:space="preserve"> as first line treatment in patients with recurrent/metastatic NPC is from data from 12 patients in Cohort 7 of POLARIS</w:t>
      </w:r>
      <w:r w:rsidR="003C4B0C">
        <w:noBreakHyphen/>
      </w:r>
      <w:r w:rsidRPr="003C4B0C">
        <w:t xml:space="preserve">02. Cohort 7 enrolled patients with NPC who had received no prior systemic therapy for recurrent or metastatic disease. Patients received </w:t>
      </w:r>
      <w:proofErr w:type="spellStart"/>
      <w:r w:rsidRPr="003C4B0C">
        <w:t>toripalimab</w:t>
      </w:r>
      <w:proofErr w:type="spellEnd"/>
      <w:r w:rsidRPr="003C4B0C">
        <w:t xml:space="preserve"> 240</w:t>
      </w:r>
      <w:r w:rsidR="003C4B0C">
        <w:t xml:space="preserve"> mg </w:t>
      </w:r>
      <w:r w:rsidRPr="003C4B0C">
        <w:t>or 360</w:t>
      </w:r>
      <w:r w:rsidR="003C4B0C">
        <w:t> </w:t>
      </w:r>
      <w:r w:rsidRPr="003C4B0C">
        <w:t xml:space="preserve">mg IV </w:t>
      </w:r>
      <w:r w:rsidR="003C4B0C">
        <w:t xml:space="preserve">once every </w:t>
      </w:r>
      <w:r w:rsidR="006E12B6">
        <w:t>3 weeks</w:t>
      </w:r>
      <w:r w:rsidR="003C4B0C">
        <w:t xml:space="preserve"> </w:t>
      </w:r>
      <w:r w:rsidRPr="003C4B0C">
        <w:t>in combination with cisplatin 80</w:t>
      </w:r>
      <w:r w:rsidR="006E12B6">
        <w:t> </w:t>
      </w:r>
      <w:r w:rsidRPr="003C4B0C">
        <w:t>mg/m</w:t>
      </w:r>
      <w:r w:rsidRPr="000F649A">
        <w:rPr>
          <w:vertAlign w:val="superscript"/>
        </w:rPr>
        <w:t>2</w:t>
      </w:r>
      <w:r w:rsidRPr="003C4B0C">
        <w:t xml:space="preserve"> IV</w:t>
      </w:r>
      <w:r w:rsidR="006E12B6">
        <w:t xml:space="preserve"> once every 3 weeks </w:t>
      </w:r>
      <w:r w:rsidRPr="003C4B0C">
        <w:t>and gemcitabine 1000</w:t>
      </w:r>
      <w:r w:rsidR="006E12B6">
        <w:t> </w:t>
      </w:r>
      <w:r w:rsidRPr="003C4B0C">
        <w:t>mg/m</w:t>
      </w:r>
      <w:r w:rsidRPr="000F649A">
        <w:rPr>
          <w:vertAlign w:val="superscript"/>
        </w:rPr>
        <w:t>2</w:t>
      </w:r>
      <w:r w:rsidRPr="003C4B0C">
        <w:t xml:space="preserve"> IV Days 1 and 8 </w:t>
      </w:r>
      <w:r w:rsidR="00D55AF9">
        <w:t>then once every 3 weeks</w:t>
      </w:r>
      <w:r w:rsidRPr="003C4B0C">
        <w:t xml:space="preserve">. The primary endpoint, </w:t>
      </w:r>
      <w:r w:rsidR="00D55AF9">
        <w:t>i</w:t>
      </w:r>
      <w:r w:rsidRPr="003C4B0C">
        <w:t>nvestigator</w:t>
      </w:r>
      <w:r w:rsidR="00D55AF9">
        <w:t xml:space="preserve"> </w:t>
      </w:r>
      <w:r w:rsidRPr="003C4B0C">
        <w:t>determined objective response rate per RECIST v1.1 was 75.0% (95% CI: 42.8, 94.5). The key secondary endpoint, median duration of response was 7.1 months (95% CI: 4.2, 15.3).</w:t>
      </w:r>
    </w:p>
    <w:p w14:paraId="54C84B0B" w14:textId="4B239A1E" w:rsidR="006C137C" w:rsidRPr="003C4B0C" w:rsidRDefault="006D2B85" w:rsidP="003C4B0C">
      <w:r w:rsidRPr="003C4B0C">
        <w:t>Given the low patient numbers</w:t>
      </w:r>
      <w:r w:rsidR="00D55AF9">
        <w:t>,</w:t>
      </w:r>
      <w:r w:rsidRPr="003C4B0C">
        <w:t xml:space="preserve"> it is not considered that these data materially alter the efficacy assessment derived from JUPITER</w:t>
      </w:r>
      <w:r w:rsidR="00D55AF9">
        <w:noBreakHyphen/>
      </w:r>
      <w:r w:rsidRPr="003C4B0C">
        <w:t>02.</w:t>
      </w:r>
    </w:p>
    <w:p w14:paraId="7B1A3E4B" w14:textId="194D062D" w:rsidR="006C137C" w:rsidRDefault="008736F9" w:rsidP="006C137C">
      <w:pPr>
        <w:pStyle w:val="Heading5"/>
      </w:pPr>
      <w:r w:rsidRPr="008736F9">
        <w:t>POLARIS-02/</w:t>
      </w:r>
      <w:r w:rsidR="006A1C7D">
        <w:t>C</w:t>
      </w:r>
      <w:r w:rsidRPr="008736F9">
        <w:t>ohort 3</w:t>
      </w:r>
    </w:p>
    <w:p w14:paraId="7E5AB45C" w14:textId="1AEB5328" w:rsidR="006D2B85" w:rsidRPr="00D55AF9" w:rsidRDefault="006D2B85" w:rsidP="00D55AF9">
      <w:r w:rsidRPr="00D55AF9">
        <w:t xml:space="preserve">The primary evidence to support the clinical efficacy of </w:t>
      </w:r>
      <w:proofErr w:type="spellStart"/>
      <w:r w:rsidRPr="00D55AF9">
        <w:t>toripalimab</w:t>
      </w:r>
      <w:proofErr w:type="spellEnd"/>
      <w:r w:rsidRPr="00D55AF9">
        <w:t xml:space="preserve"> in patients with recurrent or metastatic NPC following platinum-based therapy is from 172 patients in Cohort 3 of POLARIS</w:t>
      </w:r>
      <w:r w:rsidR="004E6D7D">
        <w:noBreakHyphen/>
      </w:r>
      <w:r w:rsidRPr="00D55AF9">
        <w:t xml:space="preserve">02 who received </w:t>
      </w:r>
      <w:proofErr w:type="spellStart"/>
      <w:r w:rsidRPr="00D55AF9">
        <w:t>toripalimab</w:t>
      </w:r>
      <w:proofErr w:type="spellEnd"/>
      <w:r w:rsidRPr="00D55AF9">
        <w:t xml:space="preserve"> monotherapy. </w:t>
      </w:r>
      <w:r w:rsidR="004E6D7D">
        <w:t>This s</w:t>
      </w:r>
      <w:r w:rsidRPr="00D55AF9">
        <w:t>tudy was conducted in China.</w:t>
      </w:r>
    </w:p>
    <w:p w14:paraId="78C6169E" w14:textId="6AE66D95" w:rsidR="006D2B85" w:rsidRPr="00D55AF9" w:rsidRDefault="006D2B85" w:rsidP="00D55AF9">
      <w:r w:rsidRPr="00D55AF9">
        <w:t>Key inclusion criteria</w:t>
      </w:r>
      <w:r w:rsidR="004E6D7D">
        <w:t xml:space="preserve"> included </w:t>
      </w:r>
      <w:r w:rsidRPr="00D55AF9">
        <w:t>adult patients (18</w:t>
      </w:r>
      <w:r w:rsidR="004E6D7D">
        <w:t xml:space="preserve"> to </w:t>
      </w:r>
      <w:r w:rsidRPr="00D55AF9">
        <w:t>75 years) with recurrent NPC or metastatic NPC, who have previously received at least one prior line of treatment (including, but not limited to, chemotherapy or radio-chemotherapy) for advanced NPC with disease progression or who were intolerant to existing treatment regimens</w:t>
      </w:r>
      <w:r w:rsidR="006E038B">
        <w:t>. U</w:t>
      </w:r>
      <w:r w:rsidRPr="00D55AF9">
        <w:t>nder version 5.0 of the protocol, eligibility for the NPC cohort was limited to patients who received at least two prior lines of treatment (including, but not limited to, chemotherapy or chemoradiotherapy) for advanced NPC with disease progression or who were intolerant existing treatment regimens.</w:t>
      </w:r>
    </w:p>
    <w:p w14:paraId="7FA70600" w14:textId="34370064" w:rsidR="008736F9" w:rsidRPr="00D55AF9" w:rsidRDefault="006D2B85" w:rsidP="00D55AF9">
      <w:r w:rsidRPr="00D55AF9">
        <w:t xml:space="preserve">Treatment with </w:t>
      </w:r>
      <w:proofErr w:type="spellStart"/>
      <w:r w:rsidRPr="00D55AF9">
        <w:t>toripalimab</w:t>
      </w:r>
      <w:proofErr w:type="spellEnd"/>
      <w:r w:rsidRPr="00D55AF9">
        <w:t xml:space="preserve"> was at 3</w:t>
      </w:r>
      <w:r w:rsidR="006E038B">
        <w:t> </w:t>
      </w:r>
      <w:r w:rsidRPr="00D55AF9">
        <w:t xml:space="preserve">mg/kg IV </w:t>
      </w:r>
      <w:r w:rsidR="006E038B">
        <w:t>once every 2 weeks</w:t>
      </w:r>
      <w:r w:rsidRPr="00D55AF9">
        <w:t>. In 172 patients who had received prior platinum</w:t>
      </w:r>
      <w:r w:rsidR="006E038B">
        <w:t>-</w:t>
      </w:r>
      <w:r w:rsidRPr="00D55AF9">
        <w:t>based therapy, the IR</w:t>
      </w:r>
      <w:r w:rsidR="006E038B">
        <w:t xml:space="preserve">C </w:t>
      </w:r>
      <w:r w:rsidRPr="00D55AF9">
        <w:t>determined response rate was 20.9% (95% CI: 15.1, 27.8) and the IRC</w:t>
      </w:r>
      <w:r w:rsidR="006E038B">
        <w:t xml:space="preserve"> </w:t>
      </w:r>
      <w:r w:rsidRPr="00D55AF9">
        <w:t xml:space="preserve">determined median </w:t>
      </w:r>
      <w:proofErr w:type="spellStart"/>
      <w:r w:rsidR="004115F8">
        <w:t>DoR</w:t>
      </w:r>
      <w:proofErr w:type="spellEnd"/>
      <w:r w:rsidRPr="00D55AF9">
        <w:t xml:space="preserve"> was 14.9 months (95% CI: 10.3, </w:t>
      </w:r>
      <w:r w:rsidR="00495824">
        <w:t>not estimable (</w:t>
      </w:r>
      <w:r w:rsidRPr="00B660B1">
        <w:t>NE</w:t>
      </w:r>
      <w:r w:rsidR="00495824" w:rsidRPr="00B660B1">
        <w:t>)</w:t>
      </w:r>
      <w:r w:rsidRPr="00B660B1">
        <w:t>)</w:t>
      </w:r>
    </w:p>
    <w:p w14:paraId="060ED38E" w14:textId="49C11260" w:rsidR="006D2B85" w:rsidRDefault="006D2B85" w:rsidP="006A1C7D">
      <w:pPr>
        <w:pStyle w:val="TableTitle"/>
      </w:pPr>
      <w:r>
        <w:lastRenderedPageBreak/>
        <w:t xml:space="preserve">Table </w:t>
      </w:r>
      <w:fldSimple w:instr=" SEQ Table \* ARABIC ">
        <w:r w:rsidR="00D82028">
          <w:rPr>
            <w:noProof/>
          </w:rPr>
          <w:t>6</w:t>
        </w:r>
      </w:fldSimple>
      <w:r>
        <w:t xml:space="preserve">: </w:t>
      </w:r>
      <w:r w:rsidR="001D2E83">
        <w:t>POLARIS</w:t>
      </w:r>
      <w:r w:rsidR="001D2E83">
        <w:noBreakHyphen/>
        <w:t xml:space="preserve">02/Cohort 3 independent review committee determined </w:t>
      </w:r>
      <w:r w:rsidR="006A1C7D">
        <w:t>objective response rate and duration of response</w:t>
      </w:r>
    </w:p>
    <w:p w14:paraId="76594C0A" w14:textId="68DFAA3A" w:rsidR="006A1C7D" w:rsidRDefault="005539BE" w:rsidP="00CA7F43">
      <w:r w:rsidRPr="005539BE">
        <w:rPr>
          <w:noProof/>
        </w:rPr>
        <w:drawing>
          <wp:inline distT="0" distB="0" distL="0" distR="0" wp14:anchorId="67925D04" wp14:editId="10672465">
            <wp:extent cx="5419931" cy="1838325"/>
            <wp:effectExtent l="0" t="0" r="9525" b="0"/>
            <wp:docPr id="98977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72355" name=""/>
                    <pic:cNvPicPr/>
                  </pic:nvPicPr>
                  <pic:blipFill rotWithShape="1">
                    <a:blip r:embed="rId30"/>
                    <a:srcRect l="662"/>
                    <a:stretch>
                      <a:fillRect/>
                    </a:stretch>
                  </pic:blipFill>
                  <pic:spPr bwMode="auto">
                    <a:xfrm>
                      <a:off x="0" y="0"/>
                      <a:ext cx="5421611" cy="1838895"/>
                    </a:xfrm>
                    <a:prstGeom prst="rect">
                      <a:avLst/>
                    </a:prstGeom>
                    <a:ln>
                      <a:noFill/>
                    </a:ln>
                    <a:extLst>
                      <a:ext uri="{53640926-AAD7-44D8-BBD7-CCE9431645EC}">
                        <a14:shadowObscured xmlns:a14="http://schemas.microsoft.com/office/drawing/2010/main"/>
                      </a:ext>
                    </a:extLst>
                  </pic:spPr>
                </pic:pic>
              </a:graphicData>
            </a:graphic>
          </wp:inline>
        </w:drawing>
      </w:r>
    </w:p>
    <w:p w14:paraId="6BF7B97E" w14:textId="09EE4F49" w:rsidR="005539BE" w:rsidRDefault="008A72C6" w:rsidP="008A72C6">
      <w:pPr>
        <w:pStyle w:val="TableDescription"/>
      </w:pPr>
      <w:r>
        <w:t xml:space="preserve">Abbreviations: </w:t>
      </w:r>
      <w:r w:rsidRPr="008A72C6">
        <w:t>CI</w:t>
      </w:r>
      <w:r>
        <w:t> </w:t>
      </w:r>
      <w:r w:rsidRPr="008A72C6">
        <w:t>=</w:t>
      </w:r>
      <w:r>
        <w:t> </w:t>
      </w:r>
      <w:r w:rsidRPr="008A72C6">
        <w:t>confidence interval</w:t>
      </w:r>
      <w:r>
        <w:t>,</w:t>
      </w:r>
      <w:r w:rsidRPr="008A72C6">
        <w:t xml:space="preserve"> </w:t>
      </w:r>
      <w:proofErr w:type="spellStart"/>
      <w:r w:rsidRPr="008A72C6">
        <w:t>DoR</w:t>
      </w:r>
      <w:proofErr w:type="spellEnd"/>
      <w:r>
        <w:t> </w:t>
      </w:r>
      <w:r w:rsidRPr="008A72C6">
        <w:t>=</w:t>
      </w:r>
      <w:r>
        <w:t> </w:t>
      </w:r>
      <w:r w:rsidRPr="008A72C6">
        <w:t>duration of response</w:t>
      </w:r>
      <w:r>
        <w:t>,</w:t>
      </w:r>
      <w:r w:rsidRPr="008A72C6">
        <w:t xml:space="preserve"> IRC</w:t>
      </w:r>
      <w:r>
        <w:t> </w:t>
      </w:r>
      <w:r w:rsidRPr="008A72C6">
        <w:t>=</w:t>
      </w:r>
      <w:r>
        <w:t> </w:t>
      </w:r>
      <w:r w:rsidRPr="008A72C6">
        <w:t>independent review committee</w:t>
      </w:r>
      <w:r>
        <w:t>,</w:t>
      </w:r>
      <w:r w:rsidRPr="008A72C6">
        <w:t xml:space="preserve"> NE</w:t>
      </w:r>
      <w:r>
        <w:t> </w:t>
      </w:r>
      <w:r w:rsidRPr="008A72C6">
        <w:t>=</w:t>
      </w:r>
      <w:r>
        <w:t> </w:t>
      </w:r>
      <w:r w:rsidRPr="008A72C6">
        <w:t>not estimable</w:t>
      </w:r>
      <w:r>
        <w:t>.</w:t>
      </w:r>
    </w:p>
    <w:p w14:paraId="5D15189A" w14:textId="015371A2" w:rsidR="008736F9" w:rsidRDefault="00885256" w:rsidP="008736F9">
      <w:pPr>
        <w:pStyle w:val="Heading5"/>
      </w:pPr>
      <w:r>
        <w:t>E</w:t>
      </w:r>
      <w:r w:rsidR="008736F9" w:rsidRPr="008736F9">
        <w:t>fficacy</w:t>
      </w:r>
      <w:r w:rsidRPr="00885256">
        <w:t xml:space="preserve"> </w:t>
      </w:r>
      <w:r w:rsidRPr="008736F9">
        <w:t>conclusion</w:t>
      </w:r>
      <w:r w:rsidR="007611E7">
        <w:t>s</w:t>
      </w:r>
    </w:p>
    <w:p w14:paraId="6160AF2C" w14:textId="77777777" w:rsidR="00E51423" w:rsidRPr="00910D85" w:rsidRDefault="00E51423" w:rsidP="005F2426">
      <w:pPr>
        <w:pStyle w:val="ListBullet"/>
      </w:pPr>
      <w:r w:rsidRPr="00910D85">
        <w:t>The incidence of NPC is substantially higher in Southeast Asia relative to Australia.</w:t>
      </w:r>
    </w:p>
    <w:p w14:paraId="552D0D71" w14:textId="7E5FD7E3" w:rsidR="00E51423" w:rsidRPr="00910D85" w:rsidRDefault="00E51423" w:rsidP="005F2426">
      <w:pPr>
        <w:pStyle w:val="ListBullet"/>
      </w:pPr>
      <w:r w:rsidRPr="00910D85">
        <w:t xml:space="preserve">Although the epidemiologic data is not strong, the pattern of disease is expected to be </w:t>
      </w:r>
      <w:proofErr w:type="gramStart"/>
      <w:r w:rsidRPr="00910D85">
        <w:t>similar to</w:t>
      </w:r>
      <w:proofErr w:type="gramEnd"/>
      <w:r w:rsidRPr="00910D85">
        <w:t xml:space="preserve"> the US where a higher proportion of NPC patients develop the keratini</w:t>
      </w:r>
      <w:r w:rsidR="00910D85">
        <w:t>s</w:t>
      </w:r>
      <w:r w:rsidRPr="00910D85">
        <w:t xml:space="preserve">ing squamous subtype compared with China, where </w:t>
      </w:r>
      <w:proofErr w:type="gramStart"/>
      <w:r w:rsidRPr="00910D85">
        <w:t>the vast majority of</w:t>
      </w:r>
      <w:proofErr w:type="gramEnd"/>
      <w:r w:rsidRPr="00910D85">
        <w:t xml:space="preserve"> patients develop the non</w:t>
      </w:r>
      <w:r w:rsidR="000F4881">
        <w:noBreakHyphen/>
      </w:r>
      <w:r w:rsidRPr="00910D85">
        <w:t>keratini</w:t>
      </w:r>
      <w:r w:rsidR="00910D85">
        <w:t>s</w:t>
      </w:r>
      <w:r w:rsidRPr="00910D85">
        <w:t>ing undifferentiated subtype.</w:t>
      </w:r>
    </w:p>
    <w:p w14:paraId="3C6980EB" w14:textId="4D98D7EA" w:rsidR="00E51423" w:rsidRDefault="00E51423" w:rsidP="005F2426">
      <w:pPr>
        <w:pStyle w:val="ListBullet"/>
      </w:pPr>
      <w:r>
        <w:t>The prognosis of metastatic NPC remains poor, characteri</w:t>
      </w:r>
      <w:r w:rsidR="00910D85">
        <w:t>s</w:t>
      </w:r>
      <w:r>
        <w:t xml:space="preserve">ed by a median </w:t>
      </w:r>
      <w:r w:rsidR="000F4881">
        <w:t xml:space="preserve">OS </w:t>
      </w:r>
      <w:r>
        <w:t xml:space="preserve">of 21 to </w:t>
      </w:r>
      <w:r w:rsidRPr="000F4881">
        <w:t>29</w:t>
      </w:r>
      <w:r w:rsidR="000F4881">
        <w:t> </w:t>
      </w:r>
      <w:r w:rsidRPr="000F4881">
        <w:t>months</w:t>
      </w:r>
      <w:r>
        <w:t>.</w:t>
      </w:r>
    </w:p>
    <w:p w14:paraId="36837B2F" w14:textId="7E0EA3E0" w:rsidR="00E51423" w:rsidRDefault="00E51423" w:rsidP="005F2426">
      <w:pPr>
        <w:pStyle w:val="ListBullet"/>
      </w:pPr>
      <w:r>
        <w:t>There are no TGA approved therapies specifically for NPC.</w:t>
      </w:r>
    </w:p>
    <w:p w14:paraId="6D197C4F" w14:textId="6255C226" w:rsidR="00E51423" w:rsidRDefault="00E51423" w:rsidP="00C91121">
      <w:pPr>
        <w:pStyle w:val="ListBullet"/>
      </w:pPr>
      <w:r>
        <w:t>Standard of care therapy consists of first</w:t>
      </w:r>
      <w:r w:rsidR="005F2426">
        <w:t xml:space="preserve"> </w:t>
      </w:r>
      <w:r>
        <w:t>line chemotherapy with cisplatin plus gemcitabine. Usual treatment in second</w:t>
      </w:r>
      <w:r w:rsidR="005F2426">
        <w:t xml:space="preserve"> </w:t>
      </w:r>
      <w:r>
        <w:t>line and beyond is with single agent regimens; however, the clinical data supporting use are predominantly from small, single arm trials. Metastatic NPC represents a life-threatening disease with an unmet medical need.</w:t>
      </w:r>
    </w:p>
    <w:p w14:paraId="05C2D26C" w14:textId="4273F9F1" w:rsidR="00E51423" w:rsidRDefault="00E51423" w:rsidP="00C91121">
      <w:pPr>
        <w:pStyle w:val="ListBullet"/>
      </w:pPr>
      <w:r>
        <w:t xml:space="preserve">The design, methodology and sample size of the pivotal trials included in this submission are considered adequate to assess efficacy of </w:t>
      </w:r>
      <w:proofErr w:type="spellStart"/>
      <w:r>
        <w:t>toripalimab</w:t>
      </w:r>
      <w:proofErr w:type="spellEnd"/>
      <w:r>
        <w:t>.</w:t>
      </w:r>
    </w:p>
    <w:p w14:paraId="1E0F261E" w14:textId="4CC2846A" w:rsidR="00E51423" w:rsidRDefault="00E51423" w:rsidP="00C91121">
      <w:pPr>
        <w:pStyle w:val="ListBullet"/>
      </w:pPr>
      <w:r>
        <w:t>The primary endpoint of PFS is a recognised regulatory endpoint and is supported by overall survival and ORR data.</w:t>
      </w:r>
    </w:p>
    <w:p w14:paraId="46361F2B" w14:textId="3ECC00A3" w:rsidR="00E51423" w:rsidRDefault="00E51423" w:rsidP="00A40C3C">
      <w:pPr>
        <w:pStyle w:val="ListBullet"/>
      </w:pPr>
      <w:r>
        <w:t xml:space="preserve">The </w:t>
      </w:r>
      <w:r w:rsidR="004754DC">
        <w:t>13.2-month</w:t>
      </w:r>
      <w:r>
        <w:t xml:space="preserve"> improvement in median PFS demonstrated in JUPITER-02 is considered clinically meaningful in this disease setting. These results, supported by a statistically significant improvement in ORR, along with a longer median </w:t>
      </w:r>
      <w:proofErr w:type="spellStart"/>
      <w:r>
        <w:t>DoR</w:t>
      </w:r>
      <w:proofErr w:type="spellEnd"/>
      <w:r>
        <w:t xml:space="preserve"> in the </w:t>
      </w:r>
      <w:proofErr w:type="spellStart"/>
      <w:r>
        <w:t>toripalimab</w:t>
      </w:r>
      <w:proofErr w:type="spellEnd"/>
      <w:r>
        <w:t xml:space="preserve"> plus chemotherapy arm v</w:t>
      </w:r>
      <w:r w:rsidR="00A40C3C">
        <w:t>ersus</w:t>
      </w:r>
      <w:r>
        <w:t xml:space="preserve"> the placebo plus chemotherapy arm provide substantial evidence of effectiveness for </w:t>
      </w:r>
      <w:proofErr w:type="spellStart"/>
      <w:r>
        <w:t>toripalimab</w:t>
      </w:r>
      <w:proofErr w:type="spellEnd"/>
      <w:r>
        <w:t>, in combination with cisplatin and gemcitabine, for the first</w:t>
      </w:r>
      <w:r w:rsidR="00A40C3C">
        <w:t xml:space="preserve"> </w:t>
      </w:r>
      <w:r>
        <w:t>line treatment of adults with metastatic or with recurrent, locally advanced</w:t>
      </w:r>
      <w:r w:rsidR="007A4162">
        <w:t xml:space="preserve"> </w:t>
      </w:r>
      <w:r>
        <w:t>NPC.</w:t>
      </w:r>
    </w:p>
    <w:p w14:paraId="25569F65" w14:textId="473DB710" w:rsidR="00E51423" w:rsidRDefault="00E51423" w:rsidP="008405DC">
      <w:pPr>
        <w:pStyle w:val="ListBullet"/>
      </w:pPr>
      <w:r>
        <w:t xml:space="preserve">The final analysis of OS, based on </w:t>
      </w:r>
      <w:r w:rsidR="002448B2">
        <w:t>data cut-off 18 </w:t>
      </w:r>
      <w:r>
        <w:t xml:space="preserve">November 2022 demonstrated a clinically meaningful and statistically significant improvement in OS with the addition of </w:t>
      </w:r>
      <w:proofErr w:type="spellStart"/>
      <w:r>
        <w:t>toripalimab</w:t>
      </w:r>
      <w:proofErr w:type="spellEnd"/>
      <w:r>
        <w:t xml:space="preserve">. The median OS was not estimable in the </w:t>
      </w:r>
      <w:proofErr w:type="spellStart"/>
      <w:r>
        <w:t>toripalimab</w:t>
      </w:r>
      <w:proofErr w:type="spellEnd"/>
      <w:r>
        <w:t xml:space="preserve"> arm (lower bound of the 95% CI, 38.7 months) and 33.7 months in the placebo arm with a HR of 0.63, p</w:t>
      </w:r>
      <w:r w:rsidR="005B1888">
        <w:t> </w:t>
      </w:r>
      <w:r>
        <w:t>=</w:t>
      </w:r>
      <w:r w:rsidR="005B1888">
        <w:t> </w:t>
      </w:r>
      <w:r>
        <w:t>0.0083.</w:t>
      </w:r>
    </w:p>
    <w:p w14:paraId="072DB951" w14:textId="4FC37238" w:rsidR="00E51423" w:rsidRDefault="00E51423" w:rsidP="005B1888">
      <w:pPr>
        <w:pStyle w:val="ListBullet"/>
      </w:pPr>
      <w:r>
        <w:t>POLARIS-02</w:t>
      </w:r>
      <w:r w:rsidR="0095145E">
        <w:t>/Cohort 3</w:t>
      </w:r>
      <w:r>
        <w:t>, a multicohort trial, included 190 patients with previously treated recurrent unresectable or metastatic NPC, including 172 patients with disease progression on or after platinum</w:t>
      </w:r>
      <w:r w:rsidR="00CD3958">
        <w:t>-</w:t>
      </w:r>
      <w:r>
        <w:t>based chemotherapy (</w:t>
      </w:r>
      <w:r w:rsidR="00CD3958">
        <w:t xml:space="preserve">platinum treated analysis </w:t>
      </w:r>
      <w:r>
        <w:t>set</w:t>
      </w:r>
      <w:r w:rsidR="00CD3958">
        <w:t xml:space="preserve"> (</w:t>
      </w:r>
      <w:r w:rsidR="00CD3958" w:rsidRPr="00C47599">
        <w:t>PTAS)</w:t>
      </w:r>
      <w:r w:rsidRPr="00C47599">
        <w:t>,</w:t>
      </w:r>
      <w:r>
        <w:t xml:space="preserve"> efficacy population), who received </w:t>
      </w:r>
      <w:proofErr w:type="spellStart"/>
      <w:r>
        <w:t>toripalimab</w:t>
      </w:r>
      <w:proofErr w:type="spellEnd"/>
      <w:r>
        <w:t xml:space="preserve"> 3</w:t>
      </w:r>
      <w:r w:rsidR="00CD3958">
        <w:t> </w:t>
      </w:r>
      <w:r>
        <w:t xml:space="preserve">mg/kg </w:t>
      </w:r>
      <w:r w:rsidR="00CD3958">
        <w:t xml:space="preserve">once every 2 weeks </w:t>
      </w:r>
      <w:r>
        <w:t>as a single agent.</w:t>
      </w:r>
    </w:p>
    <w:p w14:paraId="79357EAF" w14:textId="75773CBF" w:rsidR="00E51423" w:rsidRDefault="00E51423" w:rsidP="00CD3958">
      <w:pPr>
        <w:pStyle w:val="ListBullet"/>
      </w:pPr>
      <w:r>
        <w:lastRenderedPageBreak/>
        <w:t>In the PTAS set of POLARIS-02</w:t>
      </w:r>
      <w:r w:rsidR="00C47599">
        <w:t>/Cohort 3</w:t>
      </w:r>
      <w:r>
        <w:t>, the ICR</w:t>
      </w:r>
      <w:r w:rsidR="00CD3958">
        <w:t xml:space="preserve"> </w:t>
      </w:r>
      <w:r>
        <w:t xml:space="preserve">assessed ORR was 21% (95% CI: 15, 28), with a median </w:t>
      </w:r>
      <w:proofErr w:type="spellStart"/>
      <w:r>
        <w:t>D</w:t>
      </w:r>
      <w:r w:rsidR="00896B19">
        <w:t>o</w:t>
      </w:r>
      <w:r>
        <w:t>R</w:t>
      </w:r>
      <w:proofErr w:type="spellEnd"/>
      <w:r>
        <w:t xml:space="preserve"> of 14.9 months (95% CI: 10.3, NE). Among the 36 patients with an objective response, 83% had </w:t>
      </w:r>
      <w:proofErr w:type="spellStart"/>
      <w:r>
        <w:t>DoR</w:t>
      </w:r>
      <w:proofErr w:type="spellEnd"/>
      <w:r>
        <w:t xml:space="preserve"> of ≥</w:t>
      </w:r>
      <w:r w:rsidR="00896B19">
        <w:t> </w:t>
      </w:r>
      <w:r>
        <w:t xml:space="preserve">6 months and 39% had </w:t>
      </w:r>
      <w:proofErr w:type="spellStart"/>
      <w:r>
        <w:t>DoR</w:t>
      </w:r>
      <w:proofErr w:type="spellEnd"/>
      <w:r>
        <w:t xml:space="preserve"> of</w:t>
      </w:r>
      <w:r w:rsidR="00896B19">
        <w:t xml:space="preserve"> </w:t>
      </w:r>
      <w:r>
        <w:t>≥</w:t>
      </w:r>
      <w:r w:rsidR="00896B19">
        <w:t> </w:t>
      </w:r>
      <w:r>
        <w:t>12 months.</w:t>
      </w:r>
    </w:p>
    <w:p w14:paraId="5D3C4D5D" w14:textId="77777777" w:rsidR="00910D85" w:rsidRDefault="00910D85" w:rsidP="00896B19">
      <w:pPr>
        <w:pStyle w:val="ListBullet"/>
      </w:pPr>
      <w:r>
        <w:t>This result is considered clinically meaningful given the unmet need in the intended population.</w:t>
      </w:r>
    </w:p>
    <w:p w14:paraId="6D70D20F" w14:textId="4E4485E4" w:rsidR="00910D85" w:rsidRDefault="00910D85" w:rsidP="00896B19">
      <w:pPr>
        <w:pStyle w:val="ListBullet"/>
      </w:pPr>
      <w:r>
        <w:t>A limitation of the data is that the two primary trials supporting thi</w:t>
      </w:r>
      <w:r w:rsidR="00FD29B5">
        <w:t xml:space="preserve">s </w:t>
      </w:r>
      <w:r>
        <w:t>application were conducted exclusively in Asia. JUPITER-02 had clinical sites only in China, Taiwan and Singapore, while POLARIS-02 was conducted exclusively in China, and all patients enrolled in both studies were Asian patients.</w:t>
      </w:r>
    </w:p>
    <w:p w14:paraId="4AD02466" w14:textId="2FCAAB18" w:rsidR="00E51423" w:rsidRDefault="00910D85" w:rsidP="005E2DED">
      <w:pPr>
        <w:pStyle w:val="ListBullet"/>
      </w:pPr>
      <w:r>
        <w:t>Therefore, the patient population in the trials are not reflective of the racial and ethnic diversity of patients with NPC in Australia.</w:t>
      </w:r>
    </w:p>
    <w:p w14:paraId="4A89182F" w14:textId="45437CD9" w:rsidR="005E2DED" w:rsidRDefault="00CE1304" w:rsidP="00CE1304">
      <w:pPr>
        <w:pStyle w:val="Heading4"/>
      </w:pPr>
      <w:bookmarkStart w:id="53" w:name="_Toc233974551"/>
      <w:r>
        <w:t>Safety</w:t>
      </w:r>
      <w:bookmarkEnd w:id="53"/>
    </w:p>
    <w:p w14:paraId="0F51288C" w14:textId="703E277F" w:rsidR="00AE250F" w:rsidRPr="00AE250F" w:rsidRDefault="00AE250F" w:rsidP="00AE250F">
      <w:r w:rsidRPr="00AE250F">
        <w:t xml:space="preserve">The review of the safety profile of </w:t>
      </w:r>
      <w:proofErr w:type="spellStart"/>
      <w:r w:rsidRPr="00AE250F">
        <w:t>toripalimab</w:t>
      </w:r>
      <w:proofErr w:type="spellEnd"/>
      <w:r w:rsidRPr="00AE250F">
        <w:t xml:space="preserve"> 240</w:t>
      </w:r>
      <w:r w:rsidR="0066115D">
        <w:t> </w:t>
      </w:r>
      <w:r w:rsidRPr="00AE250F">
        <w:t xml:space="preserve">mg </w:t>
      </w:r>
      <w:r w:rsidR="0066115D">
        <w:t>once every 3 weeks</w:t>
      </w:r>
      <w:r w:rsidRPr="00AE250F">
        <w:t xml:space="preserve"> in combination with cisplatin and gemcitabine as first</w:t>
      </w:r>
      <w:r w:rsidR="0066115D">
        <w:t xml:space="preserve"> </w:t>
      </w:r>
      <w:r w:rsidRPr="00AE250F">
        <w:t xml:space="preserve">line treatment for locally recurrent or metastatic NPC was based on data from 146 patients treated with </w:t>
      </w:r>
      <w:proofErr w:type="spellStart"/>
      <w:r w:rsidRPr="00AE250F">
        <w:t>toripalimab</w:t>
      </w:r>
      <w:proofErr w:type="spellEnd"/>
      <w:r w:rsidRPr="00AE250F">
        <w:t xml:space="preserve"> 240</w:t>
      </w:r>
      <w:r w:rsidR="0066115D">
        <w:t> </w:t>
      </w:r>
      <w:r w:rsidRPr="00AE250F">
        <w:t xml:space="preserve">mg </w:t>
      </w:r>
      <w:r w:rsidR="0066115D">
        <w:t xml:space="preserve">once every 3 weeks </w:t>
      </w:r>
      <w:r w:rsidRPr="00AE250F">
        <w:t>in JUPITER</w:t>
      </w:r>
      <w:r w:rsidR="0066115D">
        <w:noBreakHyphen/>
      </w:r>
      <w:r w:rsidRPr="00AE250F">
        <w:t>02.</w:t>
      </w:r>
    </w:p>
    <w:p w14:paraId="02E99E92" w14:textId="0445E9E1" w:rsidR="00AF1830" w:rsidRPr="008F0D25" w:rsidRDefault="00AE250F" w:rsidP="008F0D25">
      <w:r w:rsidRPr="008F0D25">
        <w:t xml:space="preserve">The primary safety analysis populations for the review of the safety profile of </w:t>
      </w:r>
      <w:proofErr w:type="spellStart"/>
      <w:r w:rsidRPr="008F0D25">
        <w:t>toripalimab</w:t>
      </w:r>
      <w:proofErr w:type="spellEnd"/>
      <w:r w:rsidRPr="008F0D25">
        <w:t xml:space="preserve"> as a single agent were 190 patients with previously treated NPC in POLARIS</w:t>
      </w:r>
      <w:r w:rsidR="002527F9" w:rsidRPr="008F0D25">
        <w:noBreakHyphen/>
      </w:r>
      <w:r w:rsidRPr="008F0D25">
        <w:t>02</w:t>
      </w:r>
      <w:r w:rsidR="004441A1" w:rsidRPr="008F0D25">
        <w:t>/Cohort 3</w:t>
      </w:r>
      <w:r w:rsidRPr="008F0D25">
        <w:t xml:space="preserve"> who received </w:t>
      </w:r>
      <w:proofErr w:type="spellStart"/>
      <w:r w:rsidRPr="008F0D25">
        <w:t>toripalimab</w:t>
      </w:r>
      <w:proofErr w:type="spellEnd"/>
      <w:r w:rsidRPr="008F0D25">
        <w:t xml:space="preserve"> 3</w:t>
      </w:r>
      <w:r w:rsidR="002527F9" w:rsidRPr="008F0D25">
        <w:t> </w:t>
      </w:r>
      <w:r w:rsidRPr="008F0D25">
        <w:t xml:space="preserve">mg/kg and a pooled safety dataset of 851 patients with various advanced solid tumours who received </w:t>
      </w:r>
      <w:proofErr w:type="spellStart"/>
      <w:r w:rsidRPr="008F0D25">
        <w:t>toripalimab</w:t>
      </w:r>
      <w:proofErr w:type="spellEnd"/>
      <w:r w:rsidRPr="008F0D25">
        <w:t xml:space="preserve"> as a single agent at a dose of 3</w:t>
      </w:r>
      <w:r w:rsidR="002527F9" w:rsidRPr="008F0D25">
        <w:t> </w:t>
      </w:r>
      <w:r w:rsidRPr="008F0D25">
        <w:t xml:space="preserve">mg/kg </w:t>
      </w:r>
      <w:r w:rsidR="002527F9" w:rsidRPr="008F0D25">
        <w:t>once every 2</w:t>
      </w:r>
      <w:r w:rsidR="008F0D25" w:rsidRPr="008F0D25">
        <w:t> </w:t>
      </w:r>
      <w:r w:rsidR="002527F9" w:rsidRPr="008F0D25">
        <w:t>weeks</w:t>
      </w:r>
      <w:r w:rsidRPr="008F0D25">
        <w:t xml:space="preserve"> across multiple clinical trials (this represents a subset of the </w:t>
      </w:r>
      <w:r w:rsidR="002527F9" w:rsidRPr="008F0D25">
        <w:t>s</w:t>
      </w:r>
      <w:r w:rsidRPr="008F0D25">
        <w:t xml:space="preserve">ponsor’s originally submitted pooled dataset of 1066 patients because some of these patients received </w:t>
      </w:r>
      <w:proofErr w:type="spellStart"/>
      <w:r w:rsidRPr="008F0D25">
        <w:t>toripalimab</w:t>
      </w:r>
      <w:proofErr w:type="spellEnd"/>
      <w:r w:rsidRPr="008F0D25">
        <w:t xml:space="preserve"> at doses ranging from 0.3</w:t>
      </w:r>
      <w:r w:rsidR="002527F9" w:rsidRPr="008F0D25">
        <w:t> </w:t>
      </w:r>
      <w:r w:rsidRPr="008F0D25">
        <w:t xml:space="preserve">mg/kg </w:t>
      </w:r>
      <w:r w:rsidR="002527F9" w:rsidRPr="008F0D25">
        <w:t>once every 2 weeks</w:t>
      </w:r>
      <w:r w:rsidRPr="008F0D25">
        <w:t xml:space="preserve"> to 10</w:t>
      </w:r>
      <w:r w:rsidR="002527F9" w:rsidRPr="008F0D25">
        <w:t> </w:t>
      </w:r>
      <w:r w:rsidRPr="008F0D25">
        <w:t xml:space="preserve">mg/kg </w:t>
      </w:r>
      <w:r w:rsidR="002527F9" w:rsidRPr="008F0D25">
        <w:t>once every 2 weeks</w:t>
      </w:r>
      <w:r w:rsidRPr="008F0D25">
        <w:t xml:space="preserve"> and from 80</w:t>
      </w:r>
      <w:r w:rsidR="002527F9" w:rsidRPr="008F0D25">
        <w:t> </w:t>
      </w:r>
      <w:r w:rsidRPr="008F0D25">
        <w:t xml:space="preserve">mg </w:t>
      </w:r>
      <w:r w:rsidR="002527F9" w:rsidRPr="008F0D25">
        <w:t>once every 2 weeks</w:t>
      </w:r>
      <w:r w:rsidRPr="008F0D25">
        <w:t xml:space="preserve"> to 480</w:t>
      </w:r>
      <w:r w:rsidR="002527F9" w:rsidRPr="008F0D25">
        <w:t> </w:t>
      </w:r>
      <w:r w:rsidRPr="008F0D25">
        <w:t xml:space="preserve">mg </w:t>
      </w:r>
      <w:r w:rsidR="002527F9" w:rsidRPr="008F0D25">
        <w:t>once every 2 weeks</w:t>
      </w:r>
      <w:r w:rsidRPr="008F0D25">
        <w:t>).</w:t>
      </w:r>
    </w:p>
    <w:p w14:paraId="213F7630" w14:textId="15B0A8E6" w:rsidR="003B7094" w:rsidRPr="003B7094" w:rsidRDefault="00E97743" w:rsidP="003B7094">
      <w:pPr>
        <w:pStyle w:val="Heading5"/>
      </w:pPr>
      <w:r>
        <w:t>Adverse events</w:t>
      </w:r>
    </w:p>
    <w:p w14:paraId="53FF1742" w14:textId="5A0F1DCD" w:rsidR="00F50116" w:rsidRDefault="001E1050" w:rsidP="00AA541B">
      <w:r w:rsidRPr="00AA541B">
        <w:t xml:space="preserve">The most common adverse events </w:t>
      </w:r>
      <w:r w:rsidR="00065824" w:rsidRPr="00AA541B">
        <w:t xml:space="preserve">(all grades) </w:t>
      </w:r>
      <w:r w:rsidRPr="00AA541B">
        <w:t>in</w:t>
      </w:r>
      <w:r w:rsidR="003B7094" w:rsidRPr="00AA541B">
        <w:t xml:space="preserve"> JUPITER</w:t>
      </w:r>
      <w:r w:rsidR="003B7094" w:rsidRPr="00AA541B">
        <w:noBreakHyphen/>
        <w:t>02 for</w:t>
      </w:r>
      <w:r w:rsidRPr="00AA541B">
        <w:t xml:space="preserve"> the </w:t>
      </w:r>
      <w:proofErr w:type="spellStart"/>
      <w:r w:rsidR="00CD2556" w:rsidRPr="00AA541B">
        <w:t>t</w:t>
      </w:r>
      <w:r w:rsidR="004F6FDE" w:rsidRPr="00AA541B">
        <w:t>oripalimab</w:t>
      </w:r>
      <w:proofErr w:type="spellEnd"/>
      <w:r w:rsidR="004F6FDE" w:rsidRPr="00AA541B">
        <w:t xml:space="preserve"> and </w:t>
      </w:r>
      <w:r w:rsidR="00A739BA" w:rsidRPr="00AA541B">
        <w:t xml:space="preserve">gemcitabine/cisplatin </w:t>
      </w:r>
      <w:r w:rsidR="00AD0A31" w:rsidRPr="00AA541B">
        <w:t xml:space="preserve">arm were </w:t>
      </w:r>
      <w:r w:rsidR="00AD0A31" w:rsidRPr="00AA541B">
        <w:rPr>
          <w:lang w:val="en-GB"/>
        </w:rPr>
        <w:t xml:space="preserve">nausea (69.2%), vomiting (67.1%), decreased appetite (53.4%), constipation (39.0%), fatigue (35.6%), hypothyroidism (30.8%), pyrexia (30.8%), rash (27.4%), diarrhoea (30.1%), </w:t>
      </w:r>
      <w:r w:rsidR="00AD0A31" w:rsidRPr="00AA541B">
        <w:t xml:space="preserve">and </w:t>
      </w:r>
      <w:r w:rsidR="00AD0A31" w:rsidRPr="00AA541B">
        <w:rPr>
          <w:lang w:val="en-GB"/>
        </w:rPr>
        <w:t>peripheral neuropathy (30%)</w:t>
      </w:r>
      <w:r w:rsidR="00AD0A31" w:rsidRPr="00AA541B">
        <w:t xml:space="preserve">. In the placebo </w:t>
      </w:r>
      <w:r w:rsidR="000B29E7" w:rsidRPr="00AA541B">
        <w:t xml:space="preserve">and gemcitabine/cisplatin </w:t>
      </w:r>
      <w:r w:rsidR="00AD0A31" w:rsidRPr="00AA541B">
        <w:t xml:space="preserve">arm the most common adverse events were </w:t>
      </w:r>
      <w:r w:rsidR="00CD2556" w:rsidRPr="00AA541B">
        <w:rPr>
          <w:lang w:val="en-GB"/>
        </w:rPr>
        <w:t xml:space="preserve">nausea (83.2%), vomiting (65.7%), decreased </w:t>
      </w:r>
      <w:r w:rsidR="00CD2556" w:rsidRPr="00AB466D">
        <w:rPr>
          <w:lang w:val="en-GB"/>
        </w:rPr>
        <w:t xml:space="preserve">appetite (58.7%), constipation (44.8%), fatigue (35.7%), </w:t>
      </w:r>
      <w:r w:rsidR="00CD2556" w:rsidRPr="00AB466D">
        <w:t xml:space="preserve">and </w:t>
      </w:r>
      <w:r w:rsidR="00CD2556" w:rsidRPr="00AB466D">
        <w:rPr>
          <w:lang w:val="en-GB"/>
        </w:rPr>
        <w:t>peripheral neuropathy (28.7%)</w:t>
      </w:r>
      <w:r w:rsidR="00065824" w:rsidRPr="00AB466D">
        <w:t xml:space="preserve"> (</w:t>
      </w:r>
      <w:r w:rsidR="00AB466D">
        <w:fldChar w:fldCharType="begin"/>
      </w:r>
      <w:r w:rsidR="00AB466D">
        <w:instrText xml:space="preserve"> REF _Ref229671790 \h </w:instrText>
      </w:r>
      <w:r w:rsidR="00AB466D">
        <w:fldChar w:fldCharType="separate"/>
      </w:r>
      <w:r w:rsidR="00D82028">
        <w:t xml:space="preserve">Table </w:t>
      </w:r>
      <w:r w:rsidR="00D82028">
        <w:rPr>
          <w:noProof/>
        </w:rPr>
        <w:t>7</w:t>
      </w:r>
      <w:r w:rsidR="00AB466D">
        <w:fldChar w:fldCharType="end"/>
      </w:r>
      <w:r w:rsidR="00065824" w:rsidRPr="00AB466D">
        <w:t>)</w:t>
      </w:r>
      <w:r w:rsidR="00F50116">
        <w:t>.</w:t>
      </w:r>
    </w:p>
    <w:p w14:paraId="5900CCD4" w14:textId="6434ADDE" w:rsidR="00A739BA" w:rsidRPr="00AA541B" w:rsidRDefault="000B29E7" w:rsidP="00AA541B">
      <w:r w:rsidRPr="00AA541B">
        <w:t>In POLARIS-02</w:t>
      </w:r>
      <w:r w:rsidR="003D4FFA">
        <w:t>/Cohort 3</w:t>
      </w:r>
      <w:r w:rsidRPr="00AA541B">
        <w:t xml:space="preserve"> </w:t>
      </w:r>
      <w:r w:rsidR="00F81F79" w:rsidRPr="00AA541B">
        <w:rPr>
          <w:lang w:val="en-GB"/>
        </w:rPr>
        <w:t xml:space="preserve">the most common adverse events were hypothyroidism (25%), asthenia (22%), musculoskeletal pain (18%), cough (17%), </w:t>
      </w:r>
      <w:r w:rsidR="00F81F79" w:rsidRPr="00AA541B">
        <w:t xml:space="preserve">and </w:t>
      </w:r>
      <w:r w:rsidR="00F81F79" w:rsidRPr="00AA541B">
        <w:rPr>
          <w:lang w:val="en-GB"/>
        </w:rPr>
        <w:t>pyrexia (16%).</w:t>
      </w:r>
    </w:p>
    <w:p w14:paraId="29973B13" w14:textId="2CD40506" w:rsidR="00F50116" w:rsidRDefault="002B53A7" w:rsidP="00AA541B">
      <w:r w:rsidRPr="00AA541B">
        <w:t>The most common adverse events ≥ Grade 3 in JUPITER</w:t>
      </w:r>
      <w:r w:rsidRPr="00AA541B">
        <w:noBreakHyphen/>
        <w:t xml:space="preserve">02 for the </w:t>
      </w:r>
      <w:proofErr w:type="spellStart"/>
      <w:r w:rsidRPr="00AA541B">
        <w:t>toripalimab</w:t>
      </w:r>
      <w:proofErr w:type="spellEnd"/>
      <w:r w:rsidRPr="00AA541B">
        <w:t xml:space="preserve"> and gemcitabine/cisplatin arm</w:t>
      </w:r>
      <w:r w:rsidR="0052445F" w:rsidRPr="00AA541B">
        <w:t xml:space="preserve"> were pneumonia (10.3%), upper respiratory tract infection (3.4%), and rash (3.4%). </w:t>
      </w:r>
      <w:r w:rsidR="00AA541B" w:rsidRPr="00AA541B">
        <w:t xml:space="preserve">In the placebo and gemcitabine/cisplatin arm the most common adverse events ≥ Grade 3 were pneumonia (3.5%), and nausea (2.8%) </w:t>
      </w:r>
      <w:r w:rsidR="00AA541B" w:rsidRPr="00AB466D">
        <w:t>(</w:t>
      </w:r>
      <w:r w:rsidR="0031011F">
        <w:fldChar w:fldCharType="begin"/>
      </w:r>
      <w:r w:rsidR="0031011F">
        <w:instrText xml:space="preserve"> REF _Ref229671790 \h </w:instrText>
      </w:r>
      <w:r w:rsidR="0031011F">
        <w:fldChar w:fldCharType="separate"/>
      </w:r>
      <w:r w:rsidR="00D82028">
        <w:t xml:space="preserve">Table </w:t>
      </w:r>
      <w:r w:rsidR="00D82028">
        <w:rPr>
          <w:noProof/>
        </w:rPr>
        <w:t>7</w:t>
      </w:r>
      <w:r w:rsidR="0031011F">
        <w:fldChar w:fldCharType="end"/>
      </w:r>
      <w:r w:rsidR="00AA541B" w:rsidRPr="00AB466D">
        <w:t>)</w:t>
      </w:r>
      <w:r w:rsidR="00F50116">
        <w:t>.</w:t>
      </w:r>
    </w:p>
    <w:p w14:paraId="29C9FDE8" w14:textId="735C3DB0" w:rsidR="009873AB" w:rsidRPr="00AA541B" w:rsidRDefault="0070782C" w:rsidP="0070782C">
      <w:pPr>
        <w:pStyle w:val="TableTitle"/>
      </w:pPr>
      <w:bookmarkStart w:id="54" w:name="_Ref229671790"/>
      <w:r>
        <w:lastRenderedPageBreak/>
        <w:t xml:space="preserve">Table </w:t>
      </w:r>
      <w:fldSimple w:instr=" SEQ Table \* ARABIC ">
        <w:r w:rsidR="00D82028">
          <w:rPr>
            <w:noProof/>
          </w:rPr>
          <w:t>7</w:t>
        </w:r>
      </w:fldSimple>
      <w:bookmarkEnd w:id="54"/>
      <w:r>
        <w:t>: Treatment-emergent adverse events in greater than 10% of patients in JUPITER</w:t>
      </w:r>
      <w:r>
        <w:noBreakHyphen/>
        <w:t>02</w:t>
      </w:r>
    </w:p>
    <w:p w14:paraId="66A9559A" w14:textId="44C6478B" w:rsidR="00AA541B" w:rsidRDefault="009873AB" w:rsidP="00905E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r w:rsidRPr="009873AB">
        <w:rPr>
          <w:noProof/>
        </w:rPr>
        <w:drawing>
          <wp:inline distT="0" distB="0" distL="0" distR="0" wp14:anchorId="05B36928" wp14:editId="1CED388C">
            <wp:extent cx="4886960" cy="4601163"/>
            <wp:effectExtent l="0" t="0" r="8890" b="9525"/>
            <wp:docPr id="394568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68239" name=""/>
                    <pic:cNvPicPr/>
                  </pic:nvPicPr>
                  <pic:blipFill rotWithShape="1">
                    <a:blip r:embed="rId31"/>
                    <a:srcRect l="1536"/>
                    <a:stretch>
                      <a:fillRect/>
                    </a:stretch>
                  </pic:blipFill>
                  <pic:spPr bwMode="auto">
                    <a:xfrm>
                      <a:off x="0" y="0"/>
                      <a:ext cx="4887017" cy="4601217"/>
                    </a:xfrm>
                    <a:prstGeom prst="rect">
                      <a:avLst/>
                    </a:prstGeom>
                    <a:ln>
                      <a:noFill/>
                    </a:ln>
                    <a:extLst>
                      <a:ext uri="{53640926-AAD7-44D8-BBD7-CCE9431645EC}">
                        <a14:shadowObscured xmlns:a14="http://schemas.microsoft.com/office/drawing/2010/main"/>
                      </a:ext>
                    </a:extLst>
                  </pic:spPr>
                </pic:pic>
              </a:graphicData>
            </a:graphic>
          </wp:inline>
        </w:drawing>
      </w:r>
    </w:p>
    <w:p w14:paraId="22BA27DE" w14:textId="4C21E231" w:rsidR="000544FE" w:rsidRDefault="00AB466D" w:rsidP="00AB466D">
      <w:pPr>
        <w:pStyle w:val="TableDescription"/>
      </w:pPr>
      <w:r w:rsidRPr="00AB466D">
        <w:rPr>
          <w:vertAlign w:val="superscript"/>
        </w:rPr>
        <w:t>1</w:t>
      </w:r>
      <w:r w:rsidR="000544FE">
        <w:t xml:space="preserve"> </w:t>
      </w:r>
      <w:r w:rsidR="00D41530">
        <w:t>I</w:t>
      </w:r>
      <w:r w:rsidR="000544FE">
        <w:t>ncludes diarrhea, gastroenteritis</w:t>
      </w:r>
    </w:p>
    <w:p w14:paraId="393E53A4" w14:textId="77777777" w:rsidR="00D41530" w:rsidRDefault="00D41530" w:rsidP="00AB466D">
      <w:pPr>
        <w:pStyle w:val="TableDescription"/>
      </w:pPr>
      <w:r w:rsidRPr="00D41530">
        <w:rPr>
          <w:vertAlign w:val="superscript"/>
        </w:rPr>
        <w:t>2</w:t>
      </w:r>
      <w:r>
        <w:t xml:space="preserve"> </w:t>
      </w:r>
      <w:r w:rsidRPr="00D41530">
        <w:t>Includes acute sinusitis, bronchitis, laryngitis, nasopharyngitis, pharyngitis, rhinitis, sinusitis, and upper respiratory tract infection</w:t>
      </w:r>
    </w:p>
    <w:p w14:paraId="06043A2D" w14:textId="66F8D187" w:rsidR="00D41530" w:rsidRPr="00D41530" w:rsidRDefault="00D41530" w:rsidP="00AB466D">
      <w:pPr>
        <w:pStyle w:val="TableDescription"/>
      </w:pPr>
      <w:r w:rsidRPr="00D41530">
        <w:rPr>
          <w:vertAlign w:val="superscript"/>
        </w:rPr>
        <w:t>3</w:t>
      </w:r>
      <w:r>
        <w:t xml:space="preserve"> </w:t>
      </w:r>
      <w:r w:rsidRPr="00D41530">
        <w:t>Includes pneumonia and aspiration pneumonia</w:t>
      </w:r>
    </w:p>
    <w:p w14:paraId="3BCEAE80" w14:textId="728B209A" w:rsidR="000544FE" w:rsidRDefault="00D41530" w:rsidP="00AB466D">
      <w:pPr>
        <w:pStyle w:val="TableDescription"/>
      </w:pPr>
      <w:r w:rsidRPr="00AB466D">
        <w:rPr>
          <w:vertAlign w:val="superscript"/>
        </w:rPr>
        <w:t>4</w:t>
      </w:r>
      <w:r>
        <w:t xml:space="preserve"> </w:t>
      </w:r>
      <w:r w:rsidRPr="00D41530">
        <w:t>Includes drug eruption, erythema, maculopapular rash, papule, pruritic rash, and rash</w:t>
      </w:r>
    </w:p>
    <w:p w14:paraId="6AF81E7B" w14:textId="167C4AE9" w:rsidR="009873AB" w:rsidRDefault="0031011F" w:rsidP="0031011F">
      <w:pPr>
        <w:pStyle w:val="Heading5"/>
      </w:pPr>
      <w:r>
        <w:t>Deaths</w:t>
      </w:r>
    </w:p>
    <w:p w14:paraId="73FD4C7D" w14:textId="3A8EA651" w:rsidR="00E15CCC" w:rsidRDefault="00E15CCC" w:rsidP="00E15CCC">
      <w:r>
        <w:t>In JUPITER</w:t>
      </w:r>
      <w:r w:rsidR="000156C4">
        <w:noBreakHyphen/>
      </w:r>
      <w:r>
        <w:t xml:space="preserve">02, there was </w:t>
      </w:r>
      <w:r w:rsidR="000156C4">
        <w:t>one</w:t>
      </w:r>
      <w:r>
        <w:t xml:space="preserve"> death in the </w:t>
      </w:r>
      <w:proofErr w:type="spellStart"/>
      <w:r>
        <w:t>toripalimab</w:t>
      </w:r>
      <w:proofErr w:type="spellEnd"/>
      <w:r>
        <w:t xml:space="preserve"> arm and 2 deaths in the placebo arm within 30 days of the last dose. Adverse events accounted for 2 of the deaths (</w:t>
      </w:r>
      <w:r w:rsidR="000156C4">
        <w:t>one</w:t>
      </w:r>
      <w:r>
        <w:t xml:space="preserve"> in each arm) while </w:t>
      </w:r>
      <w:r w:rsidR="000156C4">
        <w:t>one</w:t>
      </w:r>
      <w:r>
        <w:t xml:space="preserve"> (placebo arm) was due to disease progression. In POLARIS</w:t>
      </w:r>
      <w:r w:rsidR="000156C4">
        <w:noBreakHyphen/>
      </w:r>
      <w:r>
        <w:t>02</w:t>
      </w:r>
      <w:r w:rsidR="0042686B">
        <w:t>/Cohort 3</w:t>
      </w:r>
      <w:r>
        <w:t xml:space="preserve">, 9 (4.7%) deaths occurred within 30 days of the last dose of </w:t>
      </w:r>
      <w:proofErr w:type="spellStart"/>
      <w:r>
        <w:t>toripalimab</w:t>
      </w:r>
      <w:proofErr w:type="spellEnd"/>
      <w:r>
        <w:t>. Adverse events were the most common cause of death accounting for 6 of</w:t>
      </w:r>
      <w:r w:rsidR="000156C4">
        <w:t xml:space="preserve"> the</w:t>
      </w:r>
      <w:r>
        <w:t xml:space="preserve"> 9 deaths.</w:t>
      </w:r>
    </w:p>
    <w:p w14:paraId="2FFDF4EC" w14:textId="549127A7" w:rsidR="0031011F" w:rsidRDefault="00E15CCC" w:rsidP="006219A2">
      <w:r>
        <w:t xml:space="preserve">In the </w:t>
      </w:r>
      <w:proofErr w:type="spellStart"/>
      <w:r>
        <w:t>toripalimab</w:t>
      </w:r>
      <w:proofErr w:type="spellEnd"/>
      <w:r>
        <w:t xml:space="preserve"> arm, epistaxis was the only death that occurred within 30 days of the last dose of study drug. There were 3 additional deaths attributed to an adverse event that occurred more than 30 days after the last dose of </w:t>
      </w:r>
      <w:proofErr w:type="spellStart"/>
      <w:r>
        <w:t>toripalimab</w:t>
      </w:r>
      <w:proofErr w:type="spellEnd"/>
      <w:r>
        <w:t>. These</w:t>
      </w:r>
      <w:r w:rsidR="000156C4" w:rsidRPr="000156C4">
        <w:t xml:space="preserve"> </w:t>
      </w:r>
      <w:r w:rsidR="000156C4">
        <w:t xml:space="preserve">were a death due to intracranial </w:t>
      </w:r>
      <w:r w:rsidR="00DB32BF">
        <w:t>haemorrhage</w:t>
      </w:r>
      <w:r w:rsidR="000156C4">
        <w:t xml:space="preserve"> that occurred 61</w:t>
      </w:r>
      <w:r w:rsidR="00B634B8">
        <w:t> </w:t>
      </w:r>
      <w:r w:rsidR="000156C4">
        <w:t xml:space="preserve">days after the last dose of </w:t>
      </w:r>
      <w:proofErr w:type="spellStart"/>
      <w:r w:rsidR="000156C4">
        <w:t>toripalimab</w:t>
      </w:r>
      <w:proofErr w:type="spellEnd"/>
      <w:r w:rsidR="000156C4">
        <w:t xml:space="preserve"> that was related to an ongoing autoimmune event; a death due to disease progression that occurred 60</w:t>
      </w:r>
      <w:r w:rsidR="00241328">
        <w:t> </w:t>
      </w:r>
      <w:r w:rsidR="000156C4">
        <w:t xml:space="preserve">days after the last dose of </w:t>
      </w:r>
      <w:proofErr w:type="spellStart"/>
      <w:r w:rsidR="000156C4">
        <w:t>toripalimab</w:t>
      </w:r>
      <w:proofErr w:type="spellEnd"/>
      <w:r w:rsidR="000156C4">
        <w:t xml:space="preserve"> in a patient with documented progression; and a death that occurred 48</w:t>
      </w:r>
      <w:r w:rsidR="00B634B8">
        <w:t> </w:t>
      </w:r>
      <w:r w:rsidR="000156C4">
        <w:t xml:space="preserve">days after the last dose of </w:t>
      </w:r>
      <w:proofErr w:type="spellStart"/>
      <w:r w:rsidR="000156C4">
        <w:t>toripalimab</w:t>
      </w:r>
      <w:proofErr w:type="spellEnd"/>
      <w:r w:rsidR="000156C4">
        <w:t xml:space="preserve"> that was reported using the adverse event term death not otherwise specified.</w:t>
      </w:r>
    </w:p>
    <w:p w14:paraId="40EAE021" w14:textId="761E68EC" w:rsidR="006219A2" w:rsidRDefault="00413263" w:rsidP="00413263">
      <w:pPr>
        <w:pStyle w:val="Heading5"/>
      </w:pPr>
      <w:r>
        <w:lastRenderedPageBreak/>
        <w:t>Serious adverse events</w:t>
      </w:r>
    </w:p>
    <w:p w14:paraId="21D1FA9D" w14:textId="5E476D13" w:rsidR="005E4544" w:rsidRDefault="005E4544" w:rsidP="00413263">
      <w:r>
        <w:t xml:space="preserve">Serious adverse events occurred in </w:t>
      </w:r>
      <w:r w:rsidR="00915563">
        <w:t xml:space="preserve">JUPITER-02 in 43.2% of </w:t>
      </w:r>
      <w:r w:rsidR="00854E48">
        <w:t xml:space="preserve">patients in the </w:t>
      </w:r>
      <w:proofErr w:type="spellStart"/>
      <w:r w:rsidR="00854E48">
        <w:t>toripalimab</w:t>
      </w:r>
      <w:proofErr w:type="spellEnd"/>
      <w:r w:rsidR="00854E48">
        <w:t xml:space="preserve"> arm versus 43.4% in the placebo arm.</w:t>
      </w:r>
    </w:p>
    <w:p w14:paraId="6F277D50" w14:textId="13E4BAC2" w:rsidR="00413263" w:rsidRDefault="00854E48" w:rsidP="00413263">
      <w:r>
        <w:t>I</w:t>
      </w:r>
      <w:r w:rsidR="00D97FAD" w:rsidRPr="00D97FAD">
        <w:t xml:space="preserve">n the </w:t>
      </w:r>
      <w:proofErr w:type="spellStart"/>
      <w:r w:rsidR="00D97FAD" w:rsidRPr="00D97FAD">
        <w:t>toripalimab</w:t>
      </w:r>
      <w:proofErr w:type="spellEnd"/>
      <w:r w:rsidR="00D97FAD" w:rsidRPr="00D97FAD">
        <w:t xml:space="preserve"> arm, the most common serious adverse </w:t>
      </w:r>
      <w:r w:rsidR="00EF5B65">
        <w:t>events</w:t>
      </w:r>
      <w:r w:rsidR="00D97FAD" w:rsidRPr="00D97FAD">
        <w:t xml:space="preserve"> (≥</w:t>
      </w:r>
      <w:r w:rsidR="00D97FAD">
        <w:t> </w:t>
      </w:r>
      <w:r w:rsidR="00D97FAD" w:rsidRPr="00D97FAD">
        <w:t>2%) were thrombocytopenia (14%), decreased neutrophil count (10%), pneumonia (10%), anaemia (9%), abnormal hepatic function (2.7%), and rash (2.1%).</w:t>
      </w:r>
    </w:p>
    <w:p w14:paraId="033185E8" w14:textId="1BF0350B" w:rsidR="00D97FAD" w:rsidRDefault="00027E44" w:rsidP="00413263">
      <w:r>
        <w:t>In POLARIS</w:t>
      </w:r>
      <w:r>
        <w:noBreakHyphen/>
        <w:t>02/Cohort 3, 2</w:t>
      </w:r>
      <w:r w:rsidR="00B50856">
        <w:t>5</w:t>
      </w:r>
      <w:r>
        <w:t xml:space="preserve">% of patients </w:t>
      </w:r>
      <w:r w:rsidR="00C91ED0">
        <w:t xml:space="preserve">had one or more serious adverse event. The most common serious adverse event </w:t>
      </w:r>
      <w:r w:rsidR="00C91ED0" w:rsidRPr="00D97FAD">
        <w:t>(≥</w:t>
      </w:r>
      <w:r w:rsidR="00C91ED0">
        <w:t> </w:t>
      </w:r>
      <w:r w:rsidR="00C91ED0" w:rsidRPr="00D97FAD">
        <w:t>2%)</w:t>
      </w:r>
      <w:r w:rsidR="008170BA">
        <w:t xml:space="preserve"> included pneumonia</w:t>
      </w:r>
      <w:r w:rsidR="0096662E">
        <w:t xml:space="preserve"> (4.7%)</w:t>
      </w:r>
      <w:r w:rsidR="008170BA">
        <w:t>, hepatic function abnormal</w:t>
      </w:r>
      <w:r w:rsidR="0096662E">
        <w:t xml:space="preserve"> (2.6%)</w:t>
      </w:r>
      <w:r w:rsidR="008170BA">
        <w:t>, and hyperbilirubinemia</w:t>
      </w:r>
      <w:r w:rsidR="00CF4E9E">
        <w:t xml:space="preserve"> (2.1%)</w:t>
      </w:r>
      <w:r w:rsidR="008170BA">
        <w:t>.</w:t>
      </w:r>
    </w:p>
    <w:p w14:paraId="1AF99382" w14:textId="1177265B" w:rsidR="00724557" w:rsidRDefault="00F76D03" w:rsidP="00F76D03">
      <w:pPr>
        <w:pStyle w:val="Heading5"/>
      </w:pPr>
      <w:r>
        <w:t xml:space="preserve">Discontinuation due to adverse </w:t>
      </w:r>
      <w:r w:rsidR="00BE793C">
        <w:t>events</w:t>
      </w:r>
    </w:p>
    <w:p w14:paraId="245BA4CB" w14:textId="13C7AECE" w:rsidR="00EA477D" w:rsidRDefault="00E85131" w:rsidP="00F76D03">
      <w:pPr>
        <w:rPr>
          <w:rFonts w:cs="Calibri"/>
          <w:szCs w:val="22"/>
        </w:rPr>
      </w:pPr>
      <w:r w:rsidRPr="007C181C">
        <w:rPr>
          <w:rFonts w:cs="Calibri"/>
          <w:szCs w:val="22"/>
        </w:rPr>
        <w:t>In JUPITER</w:t>
      </w:r>
      <w:r>
        <w:rPr>
          <w:rFonts w:cs="Calibri"/>
          <w:szCs w:val="22"/>
        </w:rPr>
        <w:noBreakHyphen/>
      </w:r>
      <w:r w:rsidRPr="007C181C">
        <w:rPr>
          <w:rFonts w:cs="Calibri"/>
          <w:szCs w:val="22"/>
        </w:rPr>
        <w:t>02</w:t>
      </w:r>
      <w:r w:rsidR="00EA477D">
        <w:rPr>
          <w:rFonts w:cs="Calibri"/>
          <w:szCs w:val="22"/>
        </w:rPr>
        <w:t xml:space="preserve"> discontinuation due to adverse events occurred in </w:t>
      </w:r>
      <w:r w:rsidR="00AB5E71">
        <w:rPr>
          <w:rFonts w:cs="Calibri"/>
          <w:szCs w:val="22"/>
        </w:rPr>
        <w:t xml:space="preserve">11.6% of patients in the </w:t>
      </w:r>
      <w:proofErr w:type="spellStart"/>
      <w:r w:rsidR="00AB5E71">
        <w:rPr>
          <w:rFonts w:cs="Calibri"/>
          <w:szCs w:val="22"/>
        </w:rPr>
        <w:t>toripalimab</w:t>
      </w:r>
      <w:proofErr w:type="spellEnd"/>
      <w:r w:rsidR="00AB5E71">
        <w:rPr>
          <w:rFonts w:cs="Calibri"/>
          <w:szCs w:val="22"/>
        </w:rPr>
        <w:t xml:space="preserve"> arm versus 2.9% in the placebo arm.</w:t>
      </w:r>
    </w:p>
    <w:p w14:paraId="4E3F9D2D" w14:textId="7C58DBCC" w:rsidR="00F76D03" w:rsidRDefault="00AB5E71" w:rsidP="00F76D03">
      <w:pPr>
        <w:rPr>
          <w:rFonts w:cs="Calibri"/>
          <w:szCs w:val="22"/>
        </w:rPr>
      </w:pPr>
      <w:r>
        <w:rPr>
          <w:rFonts w:cs="Calibri"/>
          <w:szCs w:val="22"/>
        </w:rPr>
        <w:t>T</w:t>
      </w:r>
      <w:r w:rsidR="00E85131" w:rsidRPr="007C181C">
        <w:rPr>
          <w:rFonts w:cs="Calibri"/>
          <w:szCs w:val="22"/>
        </w:rPr>
        <w:t>he most common causes of permanent discontinuation</w:t>
      </w:r>
      <w:r w:rsidR="00A27FE2">
        <w:rPr>
          <w:rFonts w:cs="Calibri"/>
          <w:szCs w:val="22"/>
        </w:rPr>
        <w:t xml:space="preserve"> of </w:t>
      </w:r>
      <w:proofErr w:type="spellStart"/>
      <w:r w:rsidR="00A27FE2">
        <w:rPr>
          <w:rFonts w:cs="Calibri"/>
          <w:szCs w:val="22"/>
        </w:rPr>
        <w:t>toripalimab</w:t>
      </w:r>
      <w:proofErr w:type="spellEnd"/>
      <w:r w:rsidR="00A27FE2">
        <w:rPr>
          <w:rFonts w:cs="Calibri"/>
          <w:szCs w:val="22"/>
        </w:rPr>
        <w:t xml:space="preserve"> in ≥ 1% of patients were</w:t>
      </w:r>
      <w:r w:rsidR="00E85131" w:rsidRPr="007C181C">
        <w:rPr>
          <w:rFonts w:cs="Calibri"/>
          <w:szCs w:val="22"/>
        </w:rPr>
        <w:t xml:space="preserve"> pneumonia</w:t>
      </w:r>
      <w:r w:rsidR="00A27FE2">
        <w:rPr>
          <w:rFonts w:cs="Calibri"/>
          <w:szCs w:val="22"/>
        </w:rPr>
        <w:t xml:space="preserve"> (2.1%), </w:t>
      </w:r>
      <w:r w:rsidR="00E85131" w:rsidRPr="007C181C">
        <w:rPr>
          <w:rFonts w:cs="Calibri"/>
          <w:szCs w:val="22"/>
        </w:rPr>
        <w:t>pulmonary tuberculosis</w:t>
      </w:r>
      <w:r w:rsidR="00DC3F49">
        <w:rPr>
          <w:rFonts w:cs="Calibri"/>
          <w:szCs w:val="22"/>
        </w:rPr>
        <w:t xml:space="preserve"> (1.4%)</w:t>
      </w:r>
      <w:r w:rsidR="00E85131" w:rsidRPr="007C181C">
        <w:rPr>
          <w:rFonts w:cs="Calibri"/>
          <w:szCs w:val="22"/>
        </w:rPr>
        <w:t xml:space="preserve"> and rash</w:t>
      </w:r>
      <w:r w:rsidR="00DC3F49">
        <w:rPr>
          <w:rFonts w:cs="Calibri"/>
          <w:szCs w:val="22"/>
        </w:rPr>
        <w:t xml:space="preserve"> (1.4%)</w:t>
      </w:r>
      <w:r w:rsidR="00E85131" w:rsidRPr="007C181C">
        <w:rPr>
          <w:rFonts w:cs="Calibri"/>
          <w:szCs w:val="22"/>
        </w:rPr>
        <w:t>.</w:t>
      </w:r>
    </w:p>
    <w:p w14:paraId="06FAA193" w14:textId="372DE311" w:rsidR="00DC3F49" w:rsidRDefault="007A53AC" w:rsidP="00F76D03">
      <w:r>
        <w:t>In POLARIS</w:t>
      </w:r>
      <w:r>
        <w:noBreakHyphen/>
        <w:t xml:space="preserve">2/Cohort 3, 8.9% of patients had an adverse event that resulted in permanent </w:t>
      </w:r>
      <w:r w:rsidR="00F84A27">
        <w:t>discontinuation.</w:t>
      </w:r>
    </w:p>
    <w:p w14:paraId="63F6C419" w14:textId="50132003" w:rsidR="00651BB3" w:rsidRPr="00F84A27" w:rsidRDefault="00F84A27" w:rsidP="00F84A27">
      <w:r>
        <w:t xml:space="preserve">In the </w:t>
      </w:r>
      <w:proofErr w:type="spellStart"/>
      <w:r>
        <w:t>toripalimab</w:t>
      </w:r>
      <w:proofErr w:type="spellEnd"/>
      <w:r>
        <w:t xml:space="preserve"> monotherapy safety dataset </w:t>
      </w:r>
      <w:r w:rsidR="00651BB3" w:rsidRPr="007C181C">
        <w:rPr>
          <w:rFonts w:cs="Calibri"/>
          <w:szCs w:val="22"/>
        </w:rPr>
        <w:t>12.</w:t>
      </w:r>
      <w:r w:rsidR="00651BB3">
        <w:rPr>
          <w:rFonts w:cs="Calibri"/>
          <w:szCs w:val="22"/>
        </w:rPr>
        <w:t>1</w:t>
      </w:r>
      <w:r w:rsidR="00651BB3" w:rsidRPr="007C181C">
        <w:rPr>
          <w:rFonts w:cs="Calibri"/>
          <w:szCs w:val="22"/>
        </w:rPr>
        <w:t>% of patients had an adverse event that resulted in permanent discontinuation.</w:t>
      </w:r>
    </w:p>
    <w:p w14:paraId="4B5055C2" w14:textId="20A63292" w:rsidR="00651BB3" w:rsidRDefault="00016FA7" w:rsidP="00016FA7">
      <w:pPr>
        <w:pStyle w:val="Heading5"/>
      </w:pPr>
      <w:r>
        <w:t>Dose interruption due to adverse events</w:t>
      </w:r>
    </w:p>
    <w:p w14:paraId="31EDBF39" w14:textId="77777777" w:rsidR="00F50116" w:rsidRDefault="007D767C" w:rsidP="00016FA7">
      <w:r>
        <w:t>In JUPITER</w:t>
      </w:r>
      <w:r>
        <w:noBreakHyphen/>
        <w:t xml:space="preserve">02 </w:t>
      </w:r>
      <w:r w:rsidR="00A46062">
        <w:t>dose interruption due to adverse events occurred in</w:t>
      </w:r>
      <w:r w:rsidR="00D16FC9">
        <w:t xml:space="preserve"> 50.0% of patients in the </w:t>
      </w:r>
      <w:proofErr w:type="spellStart"/>
      <w:r w:rsidR="00D16FC9">
        <w:t>toripalimab</w:t>
      </w:r>
      <w:proofErr w:type="spellEnd"/>
      <w:r w:rsidR="00D16FC9">
        <w:t xml:space="preserve"> arm versus 48.3% in the placebo arm</w:t>
      </w:r>
      <w:r w:rsidR="00F50116">
        <w:t>.</w:t>
      </w:r>
    </w:p>
    <w:p w14:paraId="7CFF6417" w14:textId="08514C6E" w:rsidR="00D16FC9" w:rsidRDefault="00D16FC9" w:rsidP="00016FA7">
      <w:r>
        <w:t>In POLARIS</w:t>
      </w:r>
      <w:r w:rsidR="00183C66">
        <w:noBreakHyphen/>
        <w:t>02/Cohort 3 dose interruption due to adverse events occurred in 23% of patients.</w:t>
      </w:r>
    </w:p>
    <w:p w14:paraId="1C41E2AB" w14:textId="08DF1F81" w:rsidR="00183C66" w:rsidRDefault="00183C66" w:rsidP="00016FA7">
      <w:r>
        <w:t>In</w:t>
      </w:r>
      <w:r w:rsidR="00BF27F9">
        <w:t xml:space="preserve"> the pooled safety set dose interruption due to adverse events occurred in 19% of patients.</w:t>
      </w:r>
    </w:p>
    <w:p w14:paraId="07474E11" w14:textId="4B5C3ADE" w:rsidR="00BF27F9" w:rsidRDefault="00BF27F9" w:rsidP="00BF27F9">
      <w:pPr>
        <w:pStyle w:val="Heading5"/>
      </w:pPr>
      <w:r>
        <w:t>Haematology/clinical chemistry</w:t>
      </w:r>
    </w:p>
    <w:p w14:paraId="7DE853FC" w14:textId="2BBD4ACE" w:rsidR="00F50116" w:rsidRDefault="001B0C7E" w:rsidP="001B0C7E">
      <w:r w:rsidRPr="001B0C7E">
        <w:t>Laboratory abnormalities seen in &gt;</w:t>
      </w:r>
      <w:r w:rsidR="00335F90">
        <w:t> </w:t>
      </w:r>
      <w:r w:rsidRPr="001B0C7E">
        <w:t xml:space="preserve">20% of patients </w:t>
      </w:r>
      <w:r w:rsidR="00335F90">
        <w:t>in</w:t>
      </w:r>
      <w:r w:rsidRPr="001B0C7E">
        <w:t xml:space="preserve"> JUPITER-02 are shown in the tabl</w:t>
      </w:r>
      <w:r w:rsidR="00F82C2D">
        <w:t xml:space="preserve">e </w:t>
      </w:r>
      <w:r w:rsidRPr="001B0C7E">
        <w:t>below</w:t>
      </w:r>
      <w:r w:rsidR="00F82C2D">
        <w:t xml:space="preserve"> </w:t>
      </w:r>
      <w:r w:rsidR="00F82C2D" w:rsidRPr="001B0C7E">
        <w:t>(</w:t>
      </w:r>
      <w:r w:rsidR="00F82C2D" w:rsidRPr="001B0C7E">
        <w:fldChar w:fldCharType="begin"/>
      </w:r>
      <w:r w:rsidR="00F82C2D" w:rsidRPr="001B0C7E">
        <w:instrText xml:space="preserve"> REF _Ref229987532 \h </w:instrText>
      </w:r>
      <w:r w:rsidR="00F82C2D">
        <w:instrText xml:space="preserve"> \* MERGEFORMAT </w:instrText>
      </w:r>
      <w:r w:rsidR="00F82C2D" w:rsidRPr="001B0C7E">
        <w:fldChar w:fldCharType="separate"/>
      </w:r>
      <w:r w:rsidR="00D82028">
        <w:t>Table 8</w:t>
      </w:r>
      <w:r w:rsidR="00F82C2D" w:rsidRPr="001B0C7E">
        <w:fldChar w:fldCharType="end"/>
      </w:r>
      <w:r w:rsidR="00F82C2D" w:rsidRPr="001B0C7E">
        <w:t>)</w:t>
      </w:r>
      <w:r w:rsidR="00F50116">
        <w:t>.</w:t>
      </w:r>
    </w:p>
    <w:p w14:paraId="321A55F8" w14:textId="0918E7CD" w:rsidR="00171783" w:rsidRDefault="00171783" w:rsidP="006D6BD4">
      <w:pPr>
        <w:pStyle w:val="TableTitle"/>
      </w:pPr>
      <w:bookmarkStart w:id="55" w:name="_Ref229987532"/>
      <w:r>
        <w:lastRenderedPageBreak/>
        <w:t xml:space="preserve">Table </w:t>
      </w:r>
      <w:fldSimple w:instr=" SEQ Table \* ARABIC ">
        <w:r w:rsidR="00D82028">
          <w:rPr>
            <w:noProof/>
          </w:rPr>
          <w:t>8</w:t>
        </w:r>
      </w:fldSimple>
      <w:bookmarkEnd w:id="55"/>
      <w:r>
        <w:t>: Worsening laboratory</w:t>
      </w:r>
      <w:r w:rsidR="006D6BD4">
        <w:t xml:space="preserve"> abnormalities from Baseline occurring in ≥ 20% of patients in the </w:t>
      </w:r>
      <w:proofErr w:type="spellStart"/>
      <w:r w:rsidR="006D6BD4">
        <w:t>toripalimab</w:t>
      </w:r>
      <w:proofErr w:type="spellEnd"/>
      <w:r w:rsidR="006D6BD4">
        <w:t xml:space="preserve"> arm of JUPITER</w:t>
      </w:r>
      <w:r w:rsidR="006D6BD4">
        <w:noBreakHyphen/>
        <w:t>02</w:t>
      </w:r>
    </w:p>
    <w:p w14:paraId="5934541F" w14:textId="2F7CA818" w:rsidR="006D6BD4" w:rsidRDefault="00BF1681" w:rsidP="00CA7F43">
      <w:r w:rsidRPr="00BF1681">
        <w:rPr>
          <w:noProof/>
        </w:rPr>
        <w:drawing>
          <wp:inline distT="0" distB="0" distL="0" distR="0" wp14:anchorId="5C495E02" wp14:editId="2CA05EDC">
            <wp:extent cx="5759450" cy="4827270"/>
            <wp:effectExtent l="0" t="0" r="0" b="0"/>
            <wp:docPr id="123888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8660" name=""/>
                    <pic:cNvPicPr/>
                  </pic:nvPicPr>
                  <pic:blipFill>
                    <a:blip r:embed="rId32"/>
                    <a:stretch>
                      <a:fillRect/>
                    </a:stretch>
                  </pic:blipFill>
                  <pic:spPr>
                    <a:xfrm>
                      <a:off x="0" y="0"/>
                      <a:ext cx="5759450" cy="4827270"/>
                    </a:xfrm>
                    <a:prstGeom prst="rect">
                      <a:avLst/>
                    </a:prstGeom>
                  </pic:spPr>
                </pic:pic>
              </a:graphicData>
            </a:graphic>
          </wp:inline>
        </w:drawing>
      </w:r>
    </w:p>
    <w:p w14:paraId="54FD355C" w14:textId="69BB7B14" w:rsidR="00BF1681" w:rsidRPr="00BF27F9" w:rsidRDefault="00A26D9E" w:rsidP="00A26D9E">
      <w:pPr>
        <w:pStyle w:val="TableDescription"/>
      </w:pPr>
      <w:r w:rsidRPr="00A26D9E">
        <w:rPr>
          <w:vertAlign w:val="superscript"/>
        </w:rPr>
        <w:t>2</w:t>
      </w:r>
      <w:r>
        <w:t xml:space="preserve"> </w:t>
      </w:r>
      <w:r w:rsidRPr="00A26D9E">
        <w:t>Calculations are based on the actual number of patients with baseline and ≥</w:t>
      </w:r>
      <w:r>
        <w:t> </w:t>
      </w:r>
      <w:r w:rsidRPr="00A26D9E">
        <w:t>1 post-baseline value.</w:t>
      </w:r>
    </w:p>
    <w:p w14:paraId="1D21F704" w14:textId="7EC7C165" w:rsidR="0028623D" w:rsidRPr="002D1050" w:rsidRDefault="00335F90" w:rsidP="002D1050">
      <w:r w:rsidRPr="002D1050">
        <w:t xml:space="preserve">Laboratory abnormalities seen in &gt; 10% of patients </w:t>
      </w:r>
      <w:r w:rsidR="00EC6C35" w:rsidRPr="002D1050">
        <w:t>in</w:t>
      </w:r>
      <w:r w:rsidRPr="002D1050">
        <w:t xml:space="preserve"> POLARIS</w:t>
      </w:r>
      <w:r w:rsidR="00EC6C35" w:rsidRPr="002D1050">
        <w:noBreakHyphen/>
      </w:r>
      <w:r w:rsidRPr="002D1050">
        <w:t>02</w:t>
      </w:r>
      <w:r w:rsidR="002A2F98">
        <w:t>/Cohort 3</w:t>
      </w:r>
      <w:r w:rsidR="00EC6C35" w:rsidRPr="002D1050">
        <w:t xml:space="preserve"> are shown in the table below (</w:t>
      </w:r>
      <w:r w:rsidR="002D1050">
        <w:fldChar w:fldCharType="begin"/>
      </w:r>
      <w:r w:rsidR="002D1050">
        <w:instrText xml:space="preserve"> REF _Ref229988790 \h </w:instrText>
      </w:r>
      <w:r w:rsidR="002D1050">
        <w:fldChar w:fldCharType="separate"/>
      </w:r>
      <w:r w:rsidR="00D82028">
        <w:t xml:space="preserve">Table </w:t>
      </w:r>
      <w:r w:rsidR="00D82028">
        <w:rPr>
          <w:noProof/>
        </w:rPr>
        <w:t>9</w:t>
      </w:r>
      <w:r w:rsidR="002D1050">
        <w:fldChar w:fldCharType="end"/>
      </w:r>
      <w:r w:rsidR="00EC6C35" w:rsidRPr="002D1050">
        <w:t>)</w:t>
      </w:r>
      <w:r w:rsidR="002A2F98">
        <w:t>.</w:t>
      </w:r>
    </w:p>
    <w:p w14:paraId="31D03B9A" w14:textId="4CF58E40" w:rsidR="002D1050" w:rsidRDefault="002D1050" w:rsidP="002A2F98">
      <w:pPr>
        <w:pStyle w:val="TableTitle"/>
      </w:pPr>
      <w:bookmarkStart w:id="56" w:name="_Ref229988790"/>
      <w:r>
        <w:lastRenderedPageBreak/>
        <w:t xml:space="preserve">Table </w:t>
      </w:r>
      <w:fldSimple w:instr=" SEQ Table \* ARABIC ">
        <w:r w:rsidR="00D82028">
          <w:rPr>
            <w:noProof/>
          </w:rPr>
          <w:t>9</w:t>
        </w:r>
      </w:fldSimple>
      <w:bookmarkEnd w:id="56"/>
      <w:r>
        <w:t>: Worsening laboratory abnormalities in &gt;</w:t>
      </w:r>
      <w:r w:rsidR="002A2F98">
        <w:t> 10% of patients in POLARIS</w:t>
      </w:r>
      <w:r w:rsidR="002A2F98">
        <w:noBreakHyphen/>
        <w:t>02/Cohort 3</w:t>
      </w:r>
    </w:p>
    <w:p w14:paraId="2C74A05F" w14:textId="38623815" w:rsidR="002A2F98" w:rsidRDefault="00D60663" w:rsidP="002A2F98">
      <w:r>
        <w:rPr>
          <w:noProof/>
        </w:rPr>
        <w:drawing>
          <wp:inline distT="0" distB="0" distL="0" distR="0" wp14:anchorId="21ED477B" wp14:editId="0219F1E9">
            <wp:extent cx="5730875" cy="6577965"/>
            <wp:effectExtent l="0" t="0" r="3175" b="0"/>
            <wp:docPr id="127150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6577965"/>
                    </a:xfrm>
                    <a:prstGeom prst="rect">
                      <a:avLst/>
                    </a:prstGeom>
                    <a:noFill/>
                  </pic:spPr>
                </pic:pic>
              </a:graphicData>
            </a:graphic>
          </wp:inline>
        </w:drawing>
      </w:r>
    </w:p>
    <w:p w14:paraId="4895479B" w14:textId="7E3E410B" w:rsidR="00CC6B1A" w:rsidRPr="00CC6B1A" w:rsidRDefault="00CC6B1A" w:rsidP="00CC6B1A">
      <w:pPr>
        <w:pStyle w:val="TableDescription"/>
      </w:pPr>
      <w:r w:rsidRPr="00CC6B1A">
        <w:rPr>
          <w:vertAlign w:val="superscript"/>
        </w:rPr>
        <w:t>1</w:t>
      </w:r>
      <w:r w:rsidRPr="00CC6B1A">
        <w:t xml:space="preserve"> Calculation are based on the actual number of patients with baseline and on study values.</w:t>
      </w:r>
    </w:p>
    <w:p w14:paraId="5136A0DE" w14:textId="7F1A6BA9" w:rsidR="006B6830" w:rsidRPr="00CC6B1A" w:rsidRDefault="00CC6B1A" w:rsidP="00CC6B1A">
      <w:pPr>
        <w:pStyle w:val="TableDescription"/>
      </w:pPr>
      <w:r w:rsidRPr="00CC6B1A">
        <w:rPr>
          <w:vertAlign w:val="superscript"/>
        </w:rPr>
        <w:t>2</w:t>
      </w:r>
      <w:r w:rsidRPr="00CC6B1A">
        <w:t xml:space="preserve"> Uncorrected calcium.</w:t>
      </w:r>
    </w:p>
    <w:p w14:paraId="57233ACB" w14:textId="3B1C6493" w:rsidR="00AA541B" w:rsidRDefault="00554F6F" w:rsidP="00554F6F">
      <w:pPr>
        <w:pStyle w:val="Heading5"/>
      </w:pPr>
      <w:r>
        <w:t>Immune</w:t>
      </w:r>
      <w:r w:rsidR="00DC4DF6">
        <w:t xml:space="preserve"> </w:t>
      </w:r>
      <w:r>
        <w:t>related adverse events</w:t>
      </w:r>
    </w:p>
    <w:p w14:paraId="7E3B96F5" w14:textId="3B217324" w:rsidR="00D74F07" w:rsidRDefault="00D74F07" w:rsidP="00D74F07">
      <w:r w:rsidRPr="00D74F07">
        <w:t xml:space="preserve">The most significant </w:t>
      </w:r>
      <w:r>
        <w:t>adverse events</w:t>
      </w:r>
      <w:r w:rsidRPr="00D74F07">
        <w:t xml:space="preserve"> in patients treated with PD-1/L1 inhibitors are immune</w:t>
      </w:r>
      <w:r w:rsidR="00A44666">
        <w:t xml:space="preserve"> </w:t>
      </w:r>
      <w:r w:rsidRPr="00D74F07">
        <w:t>related adverse events</w:t>
      </w:r>
      <w:r w:rsidRPr="007433AB">
        <w:t>.</w:t>
      </w:r>
      <w:r w:rsidRPr="00D74F07">
        <w:t xml:space="preserve"> The development of immune</w:t>
      </w:r>
      <w:r w:rsidR="00A44666">
        <w:t xml:space="preserve"> </w:t>
      </w:r>
      <w:r w:rsidRPr="00D74F07">
        <w:t xml:space="preserve">related adverse events was expected based on the mechanism of action of the drug. Frequencies of </w:t>
      </w:r>
      <w:r w:rsidR="007433AB" w:rsidRPr="00D74F07">
        <w:t>immune</w:t>
      </w:r>
      <w:r w:rsidR="007433AB">
        <w:t xml:space="preserve"> </w:t>
      </w:r>
      <w:r w:rsidR="007433AB" w:rsidRPr="00D74F07">
        <w:t>related adverse events</w:t>
      </w:r>
      <w:r w:rsidRPr="00D74F07">
        <w:t xml:space="preserve"> are shown in</w:t>
      </w:r>
      <w:r w:rsidR="00180F23">
        <w:t xml:space="preserve"> </w:t>
      </w:r>
      <w:r w:rsidR="00180F23">
        <w:fldChar w:fldCharType="begin"/>
      </w:r>
      <w:r w:rsidR="00180F23">
        <w:instrText xml:space="preserve"> REF _Ref230007839 \h </w:instrText>
      </w:r>
      <w:r w:rsidR="00180F23">
        <w:fldChar w:fldCharType="separate"/>
      </w:r>
      <w:r w:rsidR="00D82028">
        <w:t xml:space="preserve">Table </w:t>
      </w:r>
      <w:r w:rsidR="00D82028">
        <w:rPr>
          <w:noProof/>
        </w:rPr>
        <w:t>10</w:t>
      </w:r>
      <w:r w:rsidR="00180F23">
        <w:fldChar w:fldCharType="end"/>
      </w:r>
      <w:r w:rsidR="001C69F3">
        <w:t xml:space="preserve"> and</w:t>
      </w:r>
      <w:r w:rsidR="00180F23">
        <w:t xml:space="preserve"> </w:t>
      </w:r>
      <w:r w:rsidR="00180F23">
        <w:fldChar w:fldCharType="begin"/>
      </w:r>
      <w:r w:rsidR="00180F23">
        <w:instrText xml:space="preserve"> REF _Ref230007863 \h </w:instrText>
      </w:r>
      <w:r w:rsidR="00180F23">
        <w:fldChar w:fldCharType="separate"/>
      </w:r>
      <w:r w:rsidR="00D82028">
        <w:t xml:space="preserve">Table </w:t>
      </w:r>
      <w:r w:rsidR="00D82028">
        <w:rPr>
          <w:noProof/>
        </w:rPr>
        <w:t>11</w:t>
      </w:r>
      <w:r w:rsidR="00180F23">
        <w:fldChar w:fldCharType="end"/>
      </w:r>
      <w:r w:rsidR="00180F23">
        <w:t xml:space="preserve"> </w:t>
      </w:r>
      <w:r w:rsidRPr="00D74F07">
        <w:t>below.</w:t>
      </w:r>
    </w:p>
    <w:p w14:paraId="62E74970" w14:textId="10CD910F" w:rsidR="00180F23" w:rsidRPr="00D74F07" w:rsidRDefault="00180F23" w:rsidP="008D497C">
      <w:pPr>
        <w:pStyle w:val="TableTitle"/>
      </w:pPr>
      <w:bookmarkStart w:id="57" w:name="_Ref230007839"/>
      <w:r>
        <w:lastRenderedPageBreak/>
        <w:t xml:space="preserve">Table </w:t>
      </w:r>
      <w:fldSimple w:instr=" SEQ Table \* ARABIC ">
        <w:r w:rsidR="00D82028">
          <w:rPr>
            <w:noProof/>
          </w:rPr>
          <w:t>10</w:t>
        </w:r>
      </w:fldSimple>
      <w:bookmarkEnd w:id="57"/>
      <w:r>
        <w:t>: JUPITER</w:t>
      </w:r>
      <w:r w:rsidR="008D497C">
        <w:noBreakHyphen/>
        <w:t>02 applicant adjudicated immune related adverse events</w:t>
      </w:r>
    </w:p>
    <w:p w14:paraId="195E2292" w14:textId="3EBAD4DE" w:rsidR="00081E58" w:rsidRDefault="00D94E44" w:rsidP="00AE250F">
      <w:r w:rsidRPr="00D94E44">
        <w:rPr>
          <w:noProof/>
        </w:rPr>
        <w:drawing>
          <wp:inline distT="0" distB="0" distL="0" distR="0" wp14:anchorId="327DA91F" wp14:editId="7050BA8F">
            <wp:extent cx="4062402" cy="4581525"/>
            <wp:effectExtent l="0" t="0" r="0" b="0"/>
            <wp:docPr id="90724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47944" name=""/>
                    <pic:cNvPicPr/>
                  </pic:nvPicPr>
                  <pic:blipFill rotWithShape="1">
                    <a:blip r:embed="rId34"/>
                    <a:srcRect l="1687" b="679"/>
                    <a:stretch>
                      <a:fillRect/>
                    </a:stretch>
                  </pic:blipFill>
                  <pic:spPr bwMode="auto">
                    <a:xfrm>
                      <a:off x="0" y="0"/>
                      <a:ext cx="4073256" cy="4593766"/>
                    </a:xfrm>
                    <a:prstGeom prst="rect">
                      <a:avLst/>
                    </a:prstGeom>
                    <a:ln>
                      <a:noFill/>
                    </a:ln>
                    <a:extLst>
                      <a:ext uri="{53640926-AAD7-44D8-BBD7-CCE9431645EC}">
                        <a14:shadowObscured xmlns:a14="http://schemas.microsoft.com/office/drawing/2010/main"/>
                      </a:ext>
                    </a:extLst>
                  </pic:spPr>
                </pic:pic>
              </a:graphicData>
            </a:graphic>
          </wp:inline>
        </w:drawing>
      </w:r>
    </w:p>
    <w:p w14:paraId="289D2193" w14:textId="0BE09FD4" w:rsidR="000416F9" w:rsidRDefault="00180F23" w:rsidP="00081E58">
      <w:pPr>
        <w:pStyle w:val="TableTitle"/>
      </w:pPr>
      <w:bookmarkStart w:id="58" w:name="_Ref230007863"/>
      <w:r>
        <w:t xml:space="preserve">Table </w:t>
      </w:r>
      <w:fldSimple w:instr=" SEQ Table \* ARABIC ">
        <w:r w:rsidR="00D82028">
          <w:rPr>
            <w:noProof/>
          </w:rPr>
          <w:t>11</w:t>
        </w:r>
      </w:fldSimple>
      <w:bookmarkEnd w:id="58"/>
      <w:r w:rsidR="008D497C">
        <w:t>:</w:t>
      </w:r>
      <w:r w:rsidR="00081E58">
        <w:t xml:space="preserve"> Immune related adverse events in the </w:t>
      </w:r>
      <w:proofErr w:type="spellStart"/>
      <w:r w:rsidR="00081E58">
        <w:t>toripalimab</w:t>
      </w:r>
      <w:proofErr w:type="spellEnd"/>
      <w:r w:rsidR="00081E58">
        <w:t xml:space="preserve"> arm of JUPITER</w:t>
      </w:r>
      <w:r w:rsidR="00081E58">
        <w:noBreakHyphen/>
        <w:t xml:space="preserve">02 and in the pooled safety dataset of </w:t>
      </w:r>
      <w:proofErr w:type="spellStart"/>
      <w:r w:rsidR="00081E58">
        <w:t>toripalimab</w:t>
      </w:r>
      <w:proofErr w:type="spellEnd"/>
      <w:r w:rsidR="00081E58">
        <w:t xml:space="preserve"> monotherapy</w:t>
      </w:r>
    </w:p>
    <w:p w14:paraId="7CE70BB3" w14:textId="7C1EAD6E" w:rsidR="00D94E44" w:rsidRDefault="000416F9" w:rsidP="00AE250F">
      <w:r w:rsidRPr="000416F9">
        <w:rPr>
          <w:noProof/>
        </w:rPr>
        <w:drawing>
          <wp:inline distT="0" distB="0" distL="0" distR="0" wp14:anchorId="3FF04D4C" wp14:editId="6E11238B">
            <wp:extent cx="5721350" cy="3757295"/>
            <wp:effectExtent l="0" t="0" r="0" b="0"/>
            <wp:docPr id="75733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32611" name=""/>
                    <pic:cNvPicPr/>
                  </pic:nvPicPr>
                  <pic:blipFill rotWithShape="1">
                    <a:blip r:embed="rId35"/>
                    <a:srcRect l="662"/>
                    <a:stretch>
                      <a:fillRect/>
                    </a:stretch>
                  </pic:blipFill>
                  <pic:spPr bwMode="auto">
                    <a:xfrm>
                      <a:off x="0" y="0"/>
                      <a:ext cx="5721350" cy="3757295"/>
                    </a:xfrm>
                    <a:prstGeom prst="rect">
                      <a:avLst/>
                    </a:prstGeom>
                    <a:ln>
                      <a:noFill/>
                    </a:ln>
                    <a:extLst>
                      <a:ext uri="{53640926-AAD7-44D8-BBD7-CCE9431645EC}">
                        <a14:shadowObscured xmlns:a14="http://schemas.microsoft.com/office/drawing/2010/main"/>
                      </a:ext>
                    </a:extLst>
                  </pic:spPr>
                </pic:pic>
              </a:graphicData>
            </a:graphic>
          </wp:inline>
        </w:drawing>
      </w:r>
    </w:p>
    <w:p w14:paraId="306331BF" w14:textId="3CE600E4" w:rsidR="005609F7" w:rsidRDefault="001D69EF" w:rsidP="001D69EF">
      <w:r w:rsidRPr="001D69EF">
        <w:lastRenderedPageBreak/>
        <w:t>Infusion</w:t>
      </w:r>
      <w:r>
        <w:t xml:space="preserve"> </w:t>
      </w:r>
      <w:r w:rsidRPr="001D69EF">
        <w:t xml:space="preserve">related </w:t>
      </w:r>
      <w:r w:rsidR="0007704F">
        <w:t>adverse events</w:t>
      </w:r>
      <w:r w:rsidRPr="001D69EF">
        <w:t xml:space="preserve"> have been reported in 4.1% of patients receiving </w:t>
      </w:r>
      <w:proofErr w:type="spellStart"/>
      <w:r w:rsidRPr="001D69EF">
        <w:t>toripalimab</w:t>
      </w:r>
      <w:proofErr w:type="spellEnd"/>
      <w:r w:rsidRPr="001D69EF">
        <w:t xml:space="preserve"> in</w:t>
      </w:r>
      <w:r>
        <w:t xml:space="preserve"> </w:t>
      </w:r>
      <w:r w:rsidRPr="001D69EF">
        <w:t>combination with cisplatin and gemcitabine, including Grade</w:t>
      </w:r>
      <w:r w:rsidR="0007704F">
        <w:t> </w:t>
      </w:r>
      <w:r w:rsidRPr="001D69EF">
        <w:t>2 (0.7%) reactions.</w:t>
      </w:r>
      <w:r>
        <w:t xml:space="preserve"> </w:t>
      </w:r>
      <w:r w:rsidRPr="001D69EF">
        <w:t>Infusion</w:t>
      </w:r>
      <w:r w:rsidR="0007704F">
        <w:t xml:space="preserve"> </w:t>
      </w:r>
      <w:r w:rsidRPr="001D69EF">
        <w:t xml:space="preserve">related </w:t>
      </w:r>
      <w:r w:rsidR="0007704F">
        <w:t>adverse events</w:t>
      </w:r>
      <w:r w:rsidRPr="001D69EF">
        <w:t xml:space="preserve"> occurred in 2% of 851 patients receiving </w:t>
      </w:r>
      <w:proofErr w:type="spellStart"/>
      <w:r w:rsidRPr="001D69EF">
        <w:t>toripalimab</w:t>
      </w:r>
      <w:proofErr w:type="spellEnd"/>
      <w:r w:rsidRPr="001D69EF">
        <w:t xml:space="preserve"> as a single agent, including Grade</w:t>
      </w:r>
      <w:r w:rsidR="0007704F">
        <w:t> </w:t>
      </w:r>
      <w:r w:rsidRPr="001D69EF">
        <w:t>3 (0.1%) and Grade</w:t>
      </w:r>
      <w:r w:rsidR="0007704F">
        <w:t> </w:t>
      </w:r>
      <w:r w:rsidRPr="001D69EF">
        <w:t xml:space="preserve">2 (0.6%). </w:t>
      </w:r>
      <w:proofErr w:type="spellStart"/>
      <w:r w:rsidRPr="001D69EF">
        <w:t>Toripalimab</w:t>
      </w:r>
      <w:proofErr w:type="spellEnd"/>
      <w:r w:rsidRPr="001D69EF">
        <w:t xml:space="preserve"> was withheld for one Grade</w:t>
      </w:r>
      <w:r w:rsidR="0007704F">
        <w:t> </w:t>
      </w:r>
      <w:r w:rsidRPr="001D69EF">
        <w:t xml:space="preserve">3 infusion related </w:t>
      </w:r>
      <w:r w:rsidR="0007704F">
        <w:t>adverse event</w:t>
      </w:r>
      <w:r w:rsidRPr="001D69EF">
        <w:t>.</w:t>
      </w:r>
    </w:p>
    <w:p w14:paraId="13801045" w14:textId="085ED60B" w:rsidR="0007704F" w:rsidRDefault="00F33065" w:rsidP="00F33065">
      <w:pPr>
        <w:pStyle w:val="Heading5"/>
      </w:pPr>
      <w:r>
        <w:t>Immunogenicity</w:t>
      </w:r>
    </w:p>
    <w:p w14:paraId="5E14A8BA" w14:textId="688479CE" w:rsidR="00713FF5" w:rsidRPr="007611E7" w:rsidRDefault="00713FF5" w:rsidP="007611E7">
      <w:r w:rsidRPr="007611E7">
        <w:t>The incidence of anti-drug antib</w:t>
      </w:r>
      <w:r w:rsidRPr="00151DB9">
        <w:t>odies (ADA) among</w:t>
      </w:r>
      <w:r w:rsidRPr="007611E7">
        <w:t xml:space="preserve"> patients in POLARIS</w:t>
      </w:r>
      <w:r w:rsidR="007611E7">
        <w:noBreakHyphen/>
      </w:r>
      <w:r w:rsidRPr="007611E7">
        <w:t>02</w:t>
      </w:r>
      <w:r w:rsidR="007611E7">
        <w:t>/Cohort 3</w:t>
      </w:r>
      <w:r w:rsidRPr="007611E7">
        <w:t xml:space="preserve"> who received </w:t>
      </w:r>
      <w:proofErr w:type="spellStart"/>
      <w:r w:rsidRPr="007611E7">
        <w:t>toripalimab</w:t>
      </w:r>
      <w:proofErr w:type="spellEnd"/>
      <w:r w:rsidRPr="007611E7">
        <w:t xml:space="preserve"> monotherapy was 7</w:t>
      </w:r>
      <w:r w:rsidR="007611E7">
        <w:t xml:space="preserve"> out of </w:t>
      </w:r>
      <w:r w:rsidRPr="007611E7">
        <w:t>190 (3.7%). In the PTAS population of</w:t>
      </w:r>
      <w:r w:rsidR="00EA2EE5">
        <w:t xml:space="preserve"> </w:t>
      </w:r>
      <w:r w:rsidRPr="007611E7">
        <w:t>POLARIS</w:t>
      </w:r>
      <w:r w:rsidR="00EA2EE5">
        <w:noBreakHyphen/>
      </w:r>
      <w:r w:rsidRPr="007611E7">
        <w:t>02</w:t>
      </w:r>
      <w:r w:rsidR="00EA2EE5">
        <w:t>/Cohort 3</w:t>
      </w:r>
      <w:r w:rsidRPr="007611E7">
        <w:t>, the ORR was 28.6% in those with ADA and 20.6% in those without ADA.</w:t>
      </w:r>
    </w:p>
    <w:p w14:paraId="5999D291" w14:textId="770F1A36" w:rsidR="00713FF5" w:rsidRPr="007611E7" w:rsidRDefault="00713FF5" w:rsidP="007611E7">
      <w:r w:rsidRPr="007611E7">
        <w:t xml:space="preserve">Among the 206 patients who received </w:t>
      </w:r>
      <w:proofErr w:type="spellStart"/>
      <w:r w:rsidRPr="007611E7">
        <w:t>toripalimab</w:t>
      </w:r>
      <w:proofErr w:type="spellEnd"/>
      <w:r w:rsidRPr="007611E7">
        <w:t xml:space="preserve"> in combination with platinum</w:t>
      </w:r>
      <w:r w:rsidR="00EA2EE5">
        <w:t>-</w:t>
      </w:r>
      <w:r w:rsidRPr="007611E7">
        <w:t xml:space="preserve">based therapy, 8 (3.9%) developed ADA. The incidence of </w:t>
      </w:r>
      <w:r w:rsidR="00F34482">
        <w:t>infusion related reaction</w:t>
      </w:r>
      <w:r w:rsidRPr="007611E7">
        <w:t xml:space="preserve"> was 1</w:t>
      </w:r>
      <w:r w:rsidR="00EA2EE5">
        <w:t xml:space="preserve"> out of </w:t>
      </w:r>
      <w:r w:rsidRPr="007611E7">
        <w:t>8 (12.5%) in those with ADA and 10</w:t>
      </w:r>
      <w:r w:rsidR="00EA2EE5">
        <w:t xml:space="preserve"> out of </w:t>
      </w:r>
      <w:r w:rsidRPr="007611E7">
        <w:t xml:space="preserve">198 (5.1%) in those without. When </w:t>
      </w:r>
      <w:proofErr w:type="spellStart"/>
      <w:r w:rsidRPr="007611E7">
        <w:t>toripalimab</w:t>
      </w:r>
      <w:proofErr w:type="spellEnd"/>
      <w:r w:rsidRPr="007611E7">
        <w:t xml:space="preserve"> was given in combination with cisplatin and gemcitabine </w:t>
      </w:r>
      <w:r w:rsidR="00861BA0">
        <w:t>in</w:t>
      </w:r>
      <w:r w:rsidRPr="007611E7">
        <w:t xml:space="preserve"> JUPITER</w:t>
      </w:r>
      <w:r w:rsidR="00861BA0">
        <w:noBreakHyphen/>
      </w:r>
      <w:r w:rsidRPr="007611E7">
        <w:t>02, ADA was detected in 5</w:t>
      </w:r>
      <w:r w:rsidR="00861BA0">
        <w:t xml:space="preserve"> out of </w:t>
      </w:r>
      <w:r w:rsidRPr="007611E7">
        <w:t xml:space="preserve">146 (3.4%) patients. In the </w:t>
      </w:r>
      <w:proofErr w:type="spellStart"/>
      <w:r w:rsidRPr="007611E7">
        <w:t>toripalimab</w:t>
      </w:r>
      <w:proofErr w:type="spellEnd"/>
      <w:r w:rsidRPr="007611E7">
        <w:t xml:space="preserve"> arm of JUPITER</w:t>
      </w:r>
      <w:r w:rsidR="00861BA0">
        <w:noBreakHyphen/>
      </w:r>
      <w:r w:rsidRPr="007611E7">
        <w:t>02, the ORR was 60.0% in those with ADA and 78.0% in those without.</w:t>
      </w:r>
    </w:p>
    <w:p w14:paraId="53BF8EF1" w14:textId="7D2FED33" w:rsidR="00F33065" w:rsidRPr="007611E7" w:rsidRDefault="00713FF5" w:rsidP="007611E7">
      <w:r w:rsidRPr="007611E7">
        <w:t xml:space="preserve">Due to the low incidence of </w:t>
      </w:r>
      <w:proofErr w:type="gramStart"/>
      <w:r w:rsidRPr="007611E7">
        <w:t>ADAs</w:t>
      </w:r>
      <w:proofErr w:type="gramEnd"/>
      <w:r w:rsidRPr="007611E7">
        <w:t xml:space="preserve"> no conclusion can be made on the impact on efficacy.</w:t>
      </w:r>
    </w:p>
    <w:p w14:paraId="59F3751F" w14:textId="793B0A9F" w:rsidR="00713FF5" w:rsidRDefault="00885256" w:rsidP="00885256">
      <w:pPr>
        <w:pStyle w:val="Heading5"/>
      </w:pPr>
      <w:r>
        <w:t>Safety conclusion</w:t>
      </w:r>
      <w:r w:rsidR="007611E7">
        <w:t>s</w:t>
      </w:r>
    </w:p>
    <w:p w14:paraId="5FBF6395" w14:textId="351A8991" w:rsidR="004F7ACF" w:rsidRDefault="004F7ACF" w:rsidP="004F7ACF">
      <w:pPr>
        <w:pStyle w:val="ListBullet"/>
      </w:pPr>
      <w:r>
        <w:t>The evidence for clinical safety generated from JUPITER</w:t>
      </w:r>
      <w:r w:rsidR="0043231B">
        <w:noBreakHyphen/>
      </w:r>
      <w:r>
        <w:t>02, POLARIS</w:t>
      </w:r>
      <w:r w:rsidR="0043231B">
        <w:noBreakHyphen/>
      </w:r>
      <w:r>
        <w:t>02</w:t>
      </w:r>
      <w:r w:rsidR="0043231B">
        <w:t xml:space="preserve">/Cohort 3 </w:t>
      </w:r>
      <w:r>
        <w:t xml:space="preserve">and the pooled safety dataset are considered adequate to assess the safety of </w:t>
      </w:r>
      <w:proofErr w:type="spellStart"/>
      <w:r>
        <w:t>toripalimab</w:t>
      </w:r>
      <w:proofErr w:type="spellEnd"/>
      <w:r>
        <w:t xml:space="preserve"> in the proposed indications.</w:t>
      </w:r>
    </w:p>
    <w:p w14:paraId="059E744C" w14:textId="203BD43E" w:rsidR="004F7ACF" w:rsidRDefault="004F7ACF" w:rsidP="004F7ACF">
      <w:pPr>
        <w:pStyle w:val="ListBullet"/>
      </w:pPr>
      <w:r>
        <w:t>In JUPITER</w:t>
      </w:r>
      <w:r w:rsidR="00B63227">
        <w:noBreakHyphen/>
      </w:r>
      <w:r>
        <w:t xml:space="preserve">02, the most frequent </w:t>
      </w:r>
      <w:r w:rsidR="00B63227">
        <w:t>adverse events</w:t>
      </w:r>
      <w:r>
        <w:t xml:space="preserve"> (≥</w:t>
      </w:r>
      <w:r w:rsidR="00B63227">
        <w:t> </w:t>
      </w:r>
      <w:r>
        <w:t>20%) were nausea, vomiting, decreased appetite, constipation, hypothyroidism, rash, pyrexia, diarrhea, peripheral neuropathy, cough, musculoskeletal pain, upper respiratory infection, insomnia, malaise, and dizziness. In POLARIS</w:t>
      </w:r>
      <w:r w:rsidR="00B63227">
        <w:noBreakHyphen/>
      </w:r>
      <w:r>
        <w:t xml:space="preserve">02/Cohort 3 the most frequent </w:t>
      </w:r>
      <w:r w:rsidR="00B63227">
        <w:t>adverse events</w:t>
      </w:r>
      <w:r>
        <w:t xml:space="preserve"> (≥</w:t>
      </w:r>
      <w:r w:rsidR="00B63227">
        <w:t> </w:t>
      </w:r>
      <w:r>
        <w:t>20%) were hypothyroidism, fatigue, and cough</w:t>
      </w:r>
      <w:r w:rsidR="004573D3">
        <w:t>. I</w:t>
      </w:r>
      <w:r>
        <w:t>n the pooled safety dataset (n</w:t>
      </w:r>
      <w:r w:rsidR="00B63227">
        <w:t> </w:t>
      </w:r>
      <w:r>
        <w:t>=</w:t>
      </w:r>
      <w:r w:rsidR="00B63227">
        <w:t> </w:t>
      </w:r>
      <w:r>
        <w:t xml:space="preserve">851), the most frequent </w:t>
      </w:r>
      <w:r w:rsidR="00B63227">
        <w:t xml:space="preserve">adverse events </w:t>
      </w:r>
      <w:r>
        <w:t>(≥</w:t>
      </w:r>
      <w:r w:rsidR="00B63227">
        <w:t> </w:t>
      </w:r>
      <w:r>
        <w:t>20%) were hypothyroidism, fatigue, and musculoskeletal pain.</w:t>
      </w:r>
    </w:p>
    <w:p w14:paraId="75D4BD58" w14:textId="0F2B97A8" w:rsidR="004F7ACF" w:rsidRDefault="004F7ACF" w:rsidP="004F7ACF">
      <w:pPr>
        <w:pStyle w:val="ListBullet"/>
      </w:pPr>
      <w:r>
        <w:t xml:space="preserve">Discontinuation of </w:t>
      </w:r>
      <w:proofErr w:type="spellStart"/>
      <w:r>
        <w:t>toripalimab</w:t>
      </w:r>
      <w:proofErr w:type="spellEnd"/>
      <w:r>
        <w:t xml:space="preserve"> due to </w:t>
      </w:r>
      <w:r w:rsidR="004573D3">
        <w:t>adverse events</w:t>
      </w:r>
      <w:r>
        <w:t xml:space="preserve"> occurred in 12% of patients in JUPITER</w:t>
      </w:r>
      <w:r w:rsidR="004906FA">
        <w:noBreakHyphen/>
      </w:r>
      <w:r>
        <w:t>02, and in 9% and 12.1% of patients in the POLARIS</w:t>
      </w:r>
      <w:r w:rsidR="004906FA">
        <w:noBreakHyphen/>
      </w:r>
      <w:r>
        <w:t>02/Cohort 3 trial and the safety pooled dataset, respectively. In JUPITER</w:t>
      </w:r>
      <w:r w:rsidR="004906FA">
        <w:noBreakHyphen/>
      </w:r>
      <w:r>
        <w:t xml:space="preserve">02, the most frequent </w:t>
      </w:r>
      <w:r w:rsidR="004906FA">
        <w:t>adverse events</w:t>
      </w:r>
      <w:r>
        <w:t xml:space="preserve"> leading to </w:t>
      </w:r>
      <w:proofErr w:type="spellStart"/>
      <w:r>
        <w:t>toripalimab</w:t>
      </w:r>
      <w:proofErr w:type="spellEnd"/>
      <w:r>
        <w:t xml:space="preserve"> discontinuation (≥</w:t>
      </w:r>
      <w:r w:rsidR="004906FA">
        <w:t> </w:t>
      </w:r>
      <w:r>
        <w:t>1%) were pneumonia, pulmonary tuberculosis, rash, vomiting, and thrombocytopenia. In POLARIS</w:t>
      </w:r>
      <w:r w:rsidR="004906FA">
        <w:noBreakHyphen/>
      </w:r>
      <w:r>
        <w:t>02</w:t>
      </w:r>
      <w:r w:rsidR="004906FA">
        <w:t>/Cohort 3</w:t>
      </w:r>
      <w:r>
        <w:t xml:space="preserve">, the most frequent </w:t>
      </w:r>
      <w:r w:rsidR="004906FA">
        <w:t>adverse events</w:t>
      </w:r>
      <w:r>
        <w:t xml:space="preserve"> leading to </w:t>
      </w:r>
      <w:proofErr w:type="spellStart"/>
      <w:r>
        <w:t>toripalimab</w:t>
      </w:r>
      <w:proofErr w:type="spellEnd"/>
      <w:r>
        <w:t xml:space="preserve"> discontinuation (≥</w:t>
      </w:r>
      <w:r w:rsidR="004906FA">
        <w:t> </w:t>
      </w:r>
      <w:r>
        <w:t>1%) were pneumonia, abnormal hepatic function, and hyperbilirubinemia.</w:t>
      </w:r>
    </w:p>
    <w:p w14:paraId="4AC64786" w14:textId="5224DFFC" w:rsidR="00885256" w:rsidRDefault="004F7ACF" w:rsidP="004906FA">
      <w:pPr>
        <w:pStyle w:val="ListBullet"/>
      </w:pPr>
      <w:r>
        <w:t xml:space="preserve">Adverse events leading to </w:t>
      </w:r>
      <w:proofErr w:type="spellStart"/>
      <w:r>
        <w:t>toripalimab</w:t>
      </w:r>
      <w:proofErr w:type="spellEnd"/>
      <w:r>
        <w:t xml:space="preserve"> dose interruptions occurred in 50%, 20%, and 19% of patients in JUPITER</w:t>
      </w:r>
      <w:r w:rsidR="004906FA">
        <w:noBreakHyphen/>
      </w:r>
      <w:r>
        <w:t>02, POLARIS</w:t>
      </w:r>
      <w:r w:rsidR="00E572BE">
        <w:noBreakHyphen/>
      </w:r>
      <w:r>
        <w:t>02/Cohort 3, and the pooled safety dataset, respectively. In JUPITER</w:t>
      </w:r>
      <w:r w:rsidR="00E572BE">
        <w:noBreakHyphen/>
      </w:r>
      <w:r>
        <w:t xml:space="preserve">02, the most frequent </w:t>
      </w:r>
      <w:r w:rsidR="00E572BE">
        <w:t>adverse events</w:t>
      </w:r>
      <w:r>
        <w:t xml:space="preserve"> leading to dose interruptions (≥</w:t>
      </w:r>
      <w:r w:rsidR="00E572BE">
        <w:t> </w:t>
      </w:r>
      <w:r>
        <w:t>2%) were anaemia, decreased neutrophil count, thrombocytopenia, pneumonia, acute kidney injury, fatigue, upper respiratory tract infection, and hypothyroidism. In POLARIS</w:t>
      </w:r>
      <w:r w:rsidR="00E572BE">
        <w:noBreakHyphen/>
        <w:t>02</w:t>
      </w:r>
      <w:r>
        <w:t xml:space="preserve">/Cohort 3, the most frequent </w:t>
      </w:r>
      <w:r w:rsidR="00E572BE">
        <w:t>adverse events</w:t>
      </w:r>
      <w:r>
        <w:t xml:space="preserve"> leading to dose interruptions (≥</w:t>
      </w:r>
      <w:r w:rsidR="00E572BE">
        <w:t> </w:t>
      </w:r>
      <w:r>
        <w:t>1%) were pneumonia, thrombocytopenia, fatigue, hyperbilirubinemia, anaemia, decreased appetite, abnormal hepatic function abnormal, hypothyroidism, and pneumonitis.</w:t>
      </w:r>
    </w:p>
    <w:p w14:paraId="36520578" w14:textId="77777777" w:rsidR="000F7687" w:rsidRDefault="004F7ACF" w:rsidP="000F7687">
      <w:pPr>
        <w:pStyle w:val="ListBullet"/>
      </w:pPr>
      <w:r w:rsidRPr="004F7ACF">
        <w:t xml:space="preserve">A review of deaths due to </w:t>
      </w:r>
      <w:r w:rsidR="00944984">
        <w:t>adverse events</w:t>
      </w:r>
      <w:r w:rsidRPr="004F7ACF">
        <w:t xml:space="preserve"> in JUPITER</w:t>
      </w:r>
      <w:r w:rsidR="00944984">
        <w:noBreakHyphen/>
      </w:r>
      <w:r w:rsidRPr="004F7ACF">
        <w:t>02, POLARIS</w:t>
      </w:r>
      <w:r w:rsidR="00944984">
        <w:noBreakHyphen/>
      </w:r>
      <w:r w:rsidRPr="004F7ACF">
        <w:t>02</w:t>
      </w:r>
      <w:r w:rsidR="00944984">
        <w:t>/Cohort 3</w:t>
      </w:r>
      <w:r w:rsidRPr="004F7ACF">
        <w:t>, and the pooled safety dataset did not identify an unexpected safety signal relative to other agents in this class.</w:t>
      </w:r>
    </w:p>
    <w:p w14:paraId="117749D2" w14:textId="3161D0D5" w:rsidR="004F7ACF" w:rsidRPr="004F7ACF" w:rsidRDefault="004F7ACF" w:rsidP="000F7687">
      <w:pPr>
        <w:pStyle w:val="ListBullet"/>
      </w:pPr>
      <w:r w:rsidRPr="004F7ACF">
        <w:t>Serious adverse events occurred in 43%, 24.9%, and 23% of patients in JUPITER</w:t>
      </w:r>
      <w:r w:rsidR="000F7687">
        <w:noBreakHyphen/>
      </w:r>
      <w:r w:rsidRPr="004F7ACF">
        <w:t>02, POLARIS</w:t>
      </w:r>
      <w:r w:rsidR="000F7687">
        <w:noBreakHyphen/>
        <w:t>02</w:t>
      </w:r>
      <w:r w:rsidRPr="004F7ACF">
        <w:t>/Cohort 3, and the pooled safety dataset respectively. In JUPITER</w:t>
      </w:r>
      <w:r w:rsidR="000F7687">
        <w:noBreakHyphen/>
      </w:r>
      <w:r w:rsidRPr="004F7ACF">
        <w:t xml:space="preserve">02, the most </w:t>
      </w:r>
      <w:r w:rsidRPr="004F7ACF">
        <w:lastRenderedPageBreak/>
        <w:t xml:space="preserve">frequent </w:t>
      </w:r>
      <w:r w:rsidR="000F7687">
        <w:t>serious adverse events</w:t>
      </w:r>
      <w:r w:rsidRPr="004F7ACF">
        <w:t xml:space="preserve"> (≥</w:t>
      </w:r>
      <w:r w:rsidR="000F7687">
        <w:t> </w:t>
      </w:r>
      <w:r w:rsidRPr="004F7ACF">
        <w:t>2%) were thrombocytopenia, decreased neutrophil count, pneumonia, anaemia, abnormal hepatic function, and rash. In POLARIS</w:t>
      </w:r>
      <w:r w:rsidR="000F7687">
        <w:noBreakHyphen/>
        <w:t>02</w:t>
      </w:r>
      <w:r w:rsidRPr="004F7ACF">
        <w:t xml:space="preserve">/Cohort 3, the most frequent </w:t>
      </w:r>
      <w:r w:rsidR="000F7687">
        <w:t>serious adverse events</w:t>
      </w:r>
      <w:r w:rsidRPr="004F7ACF">
        <w:t xml:space="preserve"> (≥</w:t>
      </w:r>
      <w:r w:rsidR="000F7687">
        <w:t> </w:t>
      </w:r>
      <w:r w:rsidRPr="004F7ACF">
        <w:t>2%) were pneumonia, abnormal hepatic function abnormal, and hyperbilirubinemia.</w:t>
      </w:r>
    </w:p>
    <w:p w14:paraId="05966EE6" w14:textId="381333CF" w:rsidR="00551D62" w:rsidRDefault="004F7ACF" w:rsidP="00551D62">
      <w:pPr>
        <w:pStyle w:val="ListBullet"/>
      </w:pPr>
      <w:r w:rsidRPr="004F7ACF">
        <w:t>Immune</w:t>
      </w:r>
      <w:r w:rsidR="00EF4541">
        <w:t xml:space="preserve"> </w:t>
      </w:r>
      <w:r w:rsidRPr="004F7ACF">
        <w:t>related adverse events occurred in 40% (Grades</w:t>
      </w:r>
      <w:r w:rsidR="00551D62">
        <w:t> </w:t>
      </w:r>
      <w:r w:rsidR="00D72A83">
        <w:t xml:space="preserve">3 to </w:t>
      </w:r>
      <w:r w:rsidRPr="004F7ACF">
        <w:t>4, 6%) and 27.3% of patients (Grades</w:t>
      </w:r>
      <w:r w:rsidR="00551D62">
        <w:t> </w:t>
      </w:r>
      <w:r w:rsidRPr="004F7ACF">
        <w:t>3</w:t>
      </w:r>
      <w:r w:rsidR="00D72A83">
        <w:t xml:space="preserve"> to </w:t>
      </w:r>
      <w:r w:rsidRPr="004F7ACF">
        <w:t>5, 6%) in JUPITER</w:t>
      </w:r>
      <w:r w:rsidR="00D72A83">
        <w:noBreakHyphen/>
      </w:r>
      <w:r w:rsidRPr="004F7ACF">
        <w:t>02 and in the pooled safety dataset, respectively. In JUPITER</w:t>
      </w:r>
      <w:r w:rsidR="00D72A83">
        <w:noBreakHyphen/>
      </w:r>
      <w:r w:rsidRPr="004F7ACF">
        <w:t xml:space="preserve">02, the most frequent </w:t>
      </w:r>
      <w:r w:rsidR="004347CE">
        <w:t>immune related adverse events</w:t>
      </w:r>
      <w:r w:rsidRPr="004F7ACF">
        <w:t xml:space="preserve"> (≥</w:t>
      </w:r>
      <w:r w:rsidR="004347CE">
        <w:t> </w:t>
      </w:r>
      <w:r w:rsidRPr="004F7ACF">
        <w:t>2%) were hypothyroidism, dermatologic reactions, pneumonitis, and thyroiditis. In the pooled safety dataset, the most frequent i</w:t>
      </w:r>
      <w:r w:rsidR="004347CE">
        <w:t>mmune related adverse events</w:t>
      </w:r>
      <w:r w:rsidRPr="004F7ACF">
        <w:t xml:space="preserve"> (≥</w:t>
      </w:r>
      <w:r w:rsidR="004347CE">
        <w:t> </w:t>
      </w:r>
      <w:r w:rsidRPr="004F7ACF">
        <w:t>2%) were hypothyroidism, hyperthyroidism, dermatologic reactions, hepatitis, and pneumonitis. Two patients in the pooled dataset had fatal immune</w:t>
      </w:r>
      <w:r w:rsidR="004347CE">
        <w:t xml:space="preserve"> </w:t>
      </w:r>
      <w:r w:rsidRPr="004F7ACF">
        <w:t xml:space="preserve">related pneumonitis. Overall, the observed incidence of </w:t>
      </w:r>
      <w:r w:rsidR="004347CE">
        <w:t>immune related adverse events</w:t>
      </w:r>
      <w:r w:rsidRPr="004F7ACF">
        <w:t xml:space="preserve"> was </w:t>
      </w:r>
      <w:proofErr w:type="gramStart"/>
      <w:r w:rsidRPr="004F7ACF">
        <w:t>similar to</w:t>
      </w:r>
      <w:proofErr w:type="gramEnd"/>
      <w:r w:rsidRPr="004F7ACF">
        <w:t xml:space="preserve"> that reported for other agents in this class, </w:t>
      </w:r>
      <w:proofErr w:type="gramStart"/>
      <w:r w:rsidRPr="004F7ACF">
        <w:t>with the exception of</w:t>
      </w:r>
      <w:proofErr w:type="gramEnd"/>
      <w:r w:rsidRPr="004F7ACF">
        <w:t xml:space="preserve"> a higher incidence of hypothyroidism, which is most likely related to the high proportion of patients who had received prior radiation as treatment for NPC.</w:t>
      </w:r>
    </w:p>
    <w:p w14:paraId="47AF1AAB" w14:textId="2108FB2F" w:rsidR="004F7ACF" w:rsidRPr="004F7ACF" w:rsidRDefault="004F7ACF" w:rsidP="00551D62">
      <w:pPr>
        <w:pStyle w:val="ListBullet"/>
      </w:pPr>
      <w:r w:rsidRPr="004F7ACF">
        <w:t>Infusion</w:t>
      </w:r>
      <w:r w:rsidR="00551D62">
        <w:t xml:space="preserve"> </w:t>
      </w:r>
      <w:r w:rsidRPr="004F7ACF">
        <w:t xml:space="preserve">related reactions have been reported in 4.1% of patients receiving </w:t>
      </w:r>
      <w:proofErr w:type="spellStart"/>
      <w:r w:rsidRPr="004F7ACF">
        <w:t>toripalimab</w:t>
      </w:r>
      <w:proofErr w:type="spellEnd"/>
      <w:r w:rsidRPr="004F7ACF">
        <w:t xml:space="preserve"> in combination with cisplatin and gemcitabine, including Grade</w:t>
      </w:r>
      <w:r w:rsidR="00551D62">
        <w:t> </w:t>
      </w:r>
      <w:r w:rsidRPr="004F7ACF">
        <w:t>2 (0.7%) reactions</w:t>
      </w:r>
      <w:r w:rsidR="0020050C">
        <w:t>.</w:t>
      </w:r>
    </w:p>
    <w:p w14:paraId="4935A133" w14:textId="77777777" w:rsidR="0020050C" w:rsidRDefault="004F7ACF" w:rsidP="0020050C">
      <w:pPr>
        <w:pStyle w:val="ListBullet"/>
      </w:pPr>
      <w:r w:rsidRPr="004F7ACF">
        <w:t>Infusion</w:t>
      </w:r>
      <w:r w:rsidR="0020050C">
        <w:t xml:space="preserve"> </w:t>
      </w:r>
      <w:r w:rsidRPr="004F7ACF">
        <w:t xml:space="preserve">related reactions occurred in 2% of 851 patients receiving </w:t>
      </w:r>
      <w:proofErr w:type="spellStart"/>
      <w:r w:rsidRPr="004F7ACF">
        <w:t>toripalimab</w:t>
      </w:r>
      <w:proofErr w:type="spellEnd"/>
      <w:r w:rsidRPr="004F7ACF">
        <w:t xml:space="preserve"> as a single agent, including Grade</w:t>
      </w:r>
      <w:r w:rsidR="0020050C">
        <w:t> </w:t>
      </w:r>
      <w:r w:rsidRPr="004F7ACF">
        <w:t>3 (0.1%) and Grade</w:t>
      </w:r>
      <w:r w:rsidR="0020050C">
        <w:t> </w:t>
      </w:r>
      <w:r w:rsidRPr="004F7ACF">
        <w:t xml:space="preserve">2 (0.6%). </w:t>
      </w:r>
      <w:proofErr w:type="spellStart"/>
      <w:r w:rsidRPr="004F7ACF">
        <w:t>Toripalimab</w:t>
      </w:r>
      <w:proofErr w:type="spellEnd"/>
      <w:r w:rsidRPr="004F7ACF">
        <w:t xml:space="preserve"> was withheld for one Grade</w:t>
      </w:r>
      <w:r w:rsidR="0020050C">
        <w:t> </w:t>
      </w:r>
      <w:r w:rsidRPr="004F7ACF">
        <w:t>3 infusion related reaction</w:t>
      </w:r>
      <w:r w:rsidR="0020050C">
        <w:t>.</w:t>
      </w:r>
    </w:p>
    <w:p w14:paraId="21D7D92A" w14:textId="65D8D9A5" w:rsidR="004F7ACF" w:rsidRPr="004F7ACF" w:rsidRDefault="004F7ACF" w:rsidP="0020050C">
      <w:pPr>
        <w:pStyle w:val="ListBullet"/>
      </w:pPr>
      <w:r w:rsidRPr="004F7ACF">
        <w:t>In JUPITER</w:t>
      </w:r>
      <w:r w:rsidR="00BE05F8">
        <w:noBreakHyphen/>
      </w:r>
      <w:r w:rsidRPr="004F7ACF">
        <w:t>02, the most frequent Grade</w:t>
      </w:r>
      <w:r w:rsidR="00BE05F8">
        <w:t> </w:t>
      </w:r>
      <w:r w:rsidRPr="004F7ACF">
        <w:t>3 to 4 laboratory abnormalities (≥</w:t>
      </w:r>
      <w:r w:rsidR="00BE05F8">
        <w:t> </w:t>
      </w:r>
      <w:r w:rsidRPr="004F7ACF">
        <w:t>2%) were decreased neutrophils, decreased lymphocytes, decreased haemoglobin, decreased platelets, decreased potassium, decreased sodium, increased alanine aminotransferase, decreased magnesium, decreased calcium and increased aspartate aminotransferase. In POLARIS</w:t>
      </w:r>
      <w:r w:rsidR="004543F1">
        <w:noBreakHyphen/>
        <w:t>02</w:t>
      </w:r>
      <w:r w:rsidRPr="004F7ACF">
        <w:t>/Cohort 3, the most frequent Grade</w:t>
      </w:r>
      <w:r w:rsidR="004543F1">
        <w:t> </w:t>
      </w:r>
      <w:r w:rsidRPr="004F7ACF">
        <w:t>3 to 4 laboratory abnormalities (≥</w:t>
      </w:r>
      <w:r w:rsidR="004543F1">
        <w:t> </w:t>
      </w:r>
      <w:r w:rsidRPr="004F7ACF">
        <w:t>2%) were decreased lymphocytes, decreased sodium, decreased haemoglobin, increased aspartate aminotransferase and increased alkaline phosphatase. In the pooled monotherapy safety dataset, the most frequent Grade</w:t>
      </w:r>
      <w:r w:rsidR="004543F1">
        <w:t> </w:t>
      </w:r>
      <w:r w:rsidRPr="004F7ACF">
        <w:t>3 to 4 laboratory abnormalities (≥</w:t>
      </w:r>
      <w:r w:rsidR="004543F1">
        <w:t> </w:t>
      </w:r>
      <w:r w:rsidRPr="004F7ACF">
        <w:t>2%) were decreased sodium, decreased lymphocytes, decreased haemoglobin, decreased fibrinogen, increased lipase, increased aspartate aminotransferase, increased glucose and decreased phosphate.</w:t>
      </w:r>
    </w:p>
    <w:p w14:paraId="70B2DC6C" w14:textId="1235058D" w:rsidR="004F7ACF" w:rsidRPr="004F7ACF" w:rsidRDefault="004F7ACF" w:rsidP="00944D1F">
      <w:pPr>
        <w:pStyle w:val="ListBullet"/>
      </w:pPr>
      <w:r w:rsidRPr="004F7ACF">
        <w:t xml:space="preserve">The safety profile of </w:t>
      </w:r>
      <w:proofErr w:type="spellStart"/>
      <w:r w:rsidRPr="004F7ACF">
        <w:t>toripalimab</w:t>
      </w:r>
      <w:proofErr w:type="spellEnd"/>
      <w:r w:rsidRPr="004F7ACF">
        <w:t xml:space="preserve"> was </w:t>
      </w:r>
      <w:proofErr w:type="gramStart"/>
      <w:r w:rsidRPr="004F7ACF">
        <w:t>similar to</w:t>
      </w:r>
      <w:proofErr w:type="gramEnd"/>
      <w:r w:rsidRPr="004F7ACF">
        <w:t xml:space="preserve"> other PD</w:t>
      </w:r>
      <w:r w:rsidR="00E91736">
        <w:noBreakHyphen/>
      </w:r>
      <w:r w:rsidRPr="004F7ACF">
        <w:t>1 blocking antibodies when combined with platinum-based chemotherapy or administered as a monotherapy. The most significant adverse reactions include immune</w:t>
      </w:r>
      <w:r w:rsidR="003D7C93">
        <w:t xml:space="preserve"> </w:t>
      </w:r>
      <w:r w:rsidRPr="004F7ACF">
        <w:t xml:space="preserve">related adverse events. </w:t>
      </w:r>
      <w:proofErr w:type="spellStart"/>
      <w:r w:rsidRPr="004F7ACF">
        <w:t>Toripalimab</w:t>
      </w:r>
      <w:proofErr w:type="spellEnd"/>
      <w:r w:rsidRPr="004F7ACF">
        <w:t>, in combination with cisplatin or gemcitabine or as a monotherapy, appears to have an acceptable safety profile when assessed in the context of a life-threatening disease with unmet medical need.</w:t>
      </w:r>
    </w:p>
    <w:p w14:paraId="18BF15F8" w14:textId="66767542" w:rsidR="004F7ACF" w:rsidRPr="004F7ACF" w:rsidRDefault="004F7ACF" w:rsidP="003D7C93">
      <w:pPr>
        <w:pStyle w:val="ListBullet"/>
      </w:pPr>
      <w:r w:rsidRPr="004F7ACF">
        <w:t>Patients in clinical practice may have a lower performance status than those enrolled in clinical trials and could potentially experience greater toxicity.</w:t>
      </w:r>
    </w:p>
    <w:p w14:paraId="3FE59826" w14:textId="77777777" w:rsidR="000F079E" w:rsidRDefault="004F7ACF" w:rsidP="000F079E">
      <w:pPr>
        <w:pStyle w:val="ListBullet"/>
      </w:pPr>
      <w:r w:rsidRPr="004F7ACF">
        <w:t>A limitation of the data is that the two primary trials supporting this marketing application were conducted exclusively in Asia. JUPITER</w:t>
      </w:r>
      <w:r w:rsidR="000F079E">
        <w:noBreakHyphen/>
      </w:r>
      <w:r w:rsidRPr="004F7ACF">
        <w:t>02 had clinical sites only in China, Taiwan and Singapore, while POLARIS</w:t>
      </w:r>
      <w:r w:rsidR="000F079E">
        <w:noBreakHyphen/>
      </w:r>
      <w:r w:rsidRPr="004F7ACF">
        <w:t>02 was conducted exclusively in China, and all patients enrolled in both studies were Asian patients</w:t>
      </w:r>
      <w:r w:rsidR="000F079E">
        <w:t>.</w:t>
      </w:r>
    </w:p>
    <w:p w14:paraId="11A4558A" w14:textId="7B0FBA50" w:rsidR="004F7ACF" w:rsidRDefault="004F7ACF" w:rsidP="000F079E">
      <w:pPr>
        <w:pStyle w:val="ListBullet"/>
      </w:pPr>
      <w:r w:rsidRPr="004F7ACF">
        <w:t>Therefore, the patient population in the trials is not reflective of the racial and ethnic diversity of patients with NPC in Australia</w:t>
      </w:r>
      <w:r w:rsidR="00F36964">
        <w:t>.</w:t>
      </w:r>
    </w:p>
    <w:p w14:paraId="2F54408F" w14:textId="73258726" w:rsidR="00C22214" w:rsidRDefault="008C49C6" w:rsidP="00C22214">
      <w:pPr>
        <w:pStyle w:val="Heading4"/>
      </w:pPr>
      <w:bookmarkStart w:id="59" w:name="_Toc233974552"/>
      <w:bookmarkStart w:id="60" w:name="_Toc314842514"/>
      <w:r>
        <w:t>R</w:t>
      </w:r>
      <w:r w:rsidR="00C22214" w:rsidRPr="007B6132">
        <w:t>ecommendation</w:t>
      </w:r>
      <w:r>
        <w:t xml:space="preserve"> following the clinical evaluation</w:t>
      </w:r>
      <w:bookmarkEnd w:id="59"/>
    </w:p>
    <w:p w14:paraId="312AEF5E" w14:textId="77777777" w:rsidR="00A92CBF" w:rsidRDefault="00A92CBF" w:rsidP="00A92CBF">
      <w:r>
        <w:t xml:space="preserve">The clinical data supports a positive risk-benefit assessment and is supportive of approval for </w:t>
      </w:r>
      <w:proofErr w:type="spellStart"/>
      <w:r>
        <w:t>toripalimab</w:t>
      </w:r>
      <w:proofErr w:type="spellEnd"/>
      <w:r>
        <w:t xml:space="preserve"> for the following indications:</w:t>
      </w:r>
    </w:p>
    <w:p w14:paraId="572DC755" w14:textId="509736EB" w:rsidR="00A92CBF" w:rsidRDefault="00A92CBF" w:rsidP="007C1526">
      <w:pPr>
        <w:pStyle w:val="ListBullet"/>
      </w:pPr>
      <w:proofErr w:type="spellStart"/>
      <w:r>
        <w:lastRenderedPageBreak/>
        <w:t>Toripalimab</w:t>
      </w:r>
      <w:proofErr w:type="spellEnd"/>
      <w:r>
        <w:t xml:space="preserve"> is indicated, in combination with cisplatin and gemcitabine, for the first-line treatment of adults with metastatic or with recurrent, locally advanced nasopharyngeal carcinoma (NPC),</w:t>
      </w:r>
    </w:p>
    <w:p w14:paraId="48F74AED" w14:textId="5D5B779D" w:rsidR="00A92CBF" w:rsidRPr="00A92CBF" w:rsidRDefault="00A92CBF" w:rsidP="007C1526">
      <w:pPr>
        <w:pStyle w:val="ListBullet"/>
      </w:pPr>
      <w:proofErr w:type="spellStart"/>
      <w:r>
        <w:t>Toripalimab</w:t>
      </w:r>
      <w:proofErr w:type="spellEnd"/>
      <w:r>
        <w:t xml:space="preserve"> is indicated, as a single agent, for the treatment of adults with recurrent unresectable or metastatic NPC with disease progression on or after a platinum-containing chemotherapy</w:t>
      </w:r>
      <w:r w:rsidR="007C1526">
        <w:t>.</w:t>
      </w:r>
    </w:p>
    <w:p w14:paraId="2858B006" w14:textId="77777777" w:rsidR="00C22214" w:rsidRDefault="00C22214" w:rsidP="00C22214">
      <w:pPr>
        <w:pStyle w:val="Heading3"/>
        <w:rPr>
          <w:lang w:eastAsia="en-AU"/>
        </w:rPr>
      </w:pPr>
      <w:bookmarkStart w:id="61" w:name="_Toc103679298"/>
      <w:bookmarkStart w:id="62" w:name="_Toc233974553"/>
      <w:r>
        <w:rPr>
          <w:lang w:eastAsia="en-AU"/>
        </w:rPr>
        <w:t>Risk management plan</w:t>
      </w:r>
      <w:bookmarkEnd w:id="60"/>
      <w:bookmarkEnd w:id="61"/>
      <w:bookmarkEnd w:id="62"/>
    </w:p>
    <w:p w14:paraId="16A2B2F9" w14:textId="6858E9C4" w:rsidR="00FB3232" w:rsidRPr="00301825" w:rsidRDefault="00301825" w:rsidP="00C22214">
      <w:bookmarkStart w:id="63" w:name="_Toc247691531"/>
      <w:bookmarkStart w:id="64" w:name="_Toc314842515"/>
      <w:r w:rsidRPr="00805518">
        <w:t>The sponsor has submitted European Union (EU) Risk Management Plan (RMP) version 1.2 (date 8</w:t>
      </w:r>
      <w:r w:rsidR="00C0154F" w:rsidRPr="00805518">
        <w:t> </w:t>
      </w:r>
      <w:r w:rsidRPr="00805518">
        <w:t>August</w:t>
      </w:r>
      <w:r w:rsidR="00C0154F" w:rsidRPr="00805518">
        <w:t> </w:t>
      </w:r>
      <w:r w:rsidRPr="00805518">
        <w:t xml:space="preserve">2023; </w:t>
      </w:r>
      <w:r w:rsidR="00C0154F" w:rsidRPr="00805518">
        <w:t>data lock point (</w:t>
      </w:r>
      <w:r w:rsidRPr="00805518">
        <w:t>DLP</w:t>
      </w:r>
      <w:r w:rsidR="00C0154F" w:rsidRPr="00805518">
        <w:t>)</w:t>
      </w:r>
      <w:r w:rsidRPr="00805518">
        <w:t xml:space="preserve"> 16</w:t>
      </w:r>
      <w:r w:rsidR="00C0154F" w:rsidRPr="00805518">
        <w:t> </w:t>
      </w:r>
      <w:r w:rsidRPr="00805518">
        <w:t>December</w:t>
      </w:r>
      <w:r w:rsidR="00C0154F" w:rsidRPr="00805518">
        <w:t> </w:t>
      </w:r>
      <w:r w:rsidRPr="00805518">
        <w:t xml:space="preserve">2022) and </w:t>
      </w:r>
      <w:r w:rsidR="00C0154F" w:rsidRPr="00805518">
        <w:t>Australia-Specific Annex (</w:t>
      </w:r>
      <w:r w:rsidRPr="00805518">
        <w:t>ASA</w:t>
      </w:r>
      <w:r w:rsidR="00C0154F" w:rsidRPr="00805518">
        <w:t>)</w:t>
      </w:r>
      <w:r w:rsidRPr="00805518">
        <w:t xml:space="preserve"> version 0.1 (date not provided) in support of this application. </w:t>
      </w:r>
      <w:bookmarkStart w:id="65" w:name="_Hlk171081283"/>
      <w:r w:rsidRPr="00805518">
        <w:t xml:space="preserve">With the </w:t>
      </w:r>
      <w:r w:rsidR="003F1A8F" w:rsidRPr="00805518">
        <w:t xml:space="preserve">sponsors </w:t>
      </w:r>
      <w:r w:rsidRPr="00805518">
        <w:t>responses</w:t>
      </w:r>
      <w:r w:rsidR="003F1A8F" w:rsidRPr="00805518">
        <w:t xml:space="preserve"> to TGA questions</w:t>
      </w:r>
      <w:r w:rsidRPr="00805518">
        <w:t>, the sponsor provided EU</w:t>
      </w:r>
      <w:r w:rsidR="003F1A8F" w:rsidRPr="00805518">
        <w:t>-</w:t>
      </w:r>
      <w:r w:rsidRPr="00805518">
        <w:t>RMP version 1.4.1 (date</w:t>
      </w:r>
      <w:r w:rsidR="003F1A8F" w:rsidRPr="00805518">
        <w:t> </w:t>
      </w:r>
      <w:r w:rsidRPr="00805518">
        <w:t>13 June</w:t>
      </w:r>
      <w:r w:rsidR="003F1A8F" w:rsidRPr="00805518">
        <w:t> </w:t>
      </w:r>
      <w:r w:rsidRPr="00805518">
        <w:t>2024; DLP 16</w:t>
      </w:r>
      <w:r w:rsidR="003F1A8F" w:rsidRPr="00805518">
        <w:t> </w:t>
      </w:r>
      <w:r w:rsidRPr="00805518">
        <w:t>December</w:t>
      </w:r>
      <w:r w:rsidR="003F1A8F" w:rsidRPr="00805518">
        <w:t> </w:t>
      </w:r>
      <w:r w:rsidRPr="00805518">
        <w:t>2022) and an updated ASA version 0.2 (date 13</w:t>
      </w:r>
      <w:r w:rsidR="003F1A8F" w:rsidRPr="00805518">
        <w:t> </w:t>
      </w:r>
      <w:r w:rsidRPr="00805518">
        <w:t>June</w:t>
      </w:r>
      <w:r w:rsidR="003F1A8F" w:rsidRPr="00805518">
        <w:t> </w:t>
      </w:r>
      <w:r w:rsidRPr="00805518">
        <w:t>2024).</w:t>
      </w:r>
      <w:bookmarkEnd w:id="65"/>
    </w:p>
    <w:p w14:paraId="39F3CD1D" w14:textId="065F17A9"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D82028" w:rsidRPr="00D82028">
        <w:rPr>
          <w:szCs w:val="22"/>
        </w:rPr>
        <w:t xml:space="preserve">Table </w:t>
      </w:r>
      <w:r w:rsidR="00D82028" w:rsidRPr="00D82028">
        <w:rPr>
          <w:noProof/>
          <w:szCs w:val="22"/>
        </w:rPr>
        <w:t>12</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w:t>
      </w:r>
      <w:r w:rsidR="009C633D">
        <w:rPr>
          <w:szCs w:val="22"/>
        </w:rPr>
        <w:t xml:space="preserve"> </w:t>
      </w:r>
      <w:r w:rsidR="0072003B" w:rsidRPr="00BD5DBD">
        <w:rPr>
          <w:szCs w:val="22"/>
        </w:rPr>
        <w:t>cycle, during both the pre-approval and post-approval phases.</w:t>
      </w:r>
    </w:p>
    <w:p w14:paraId="2B51299D" w14:textId="470C1CE0" w:rsidR="00863132" w:rsidRPr="00F917E7" w:rsidRDefault="00C22214" w:rsidP="00863132">
      <w:pPr>
        <w:pStyle w:val="TableTitle"/>
      </w:pPr>
      <w:bookmarkStart w:id="66" w:name="_Ref97629131"/>
      <w:r>
        <w:t xml:space="preserve">Table </w:t>
      </w:r>
      <w:fldSimple w:instr=" SEQ Table \* ARABIC ">
        <w:r w:rsidR="00D82028">
          <w:rPr>
            <w:noProof/>
          </w:rPr>
          <w:t>12</w:t>
        </w:r>
      </w:fldSimple>
      <w:bookmarkEnd w:id="66"/>
      <w:r>
        <w:t>: Summary of safety concerns</w:t>
      </w:r>
    </w:p>
    <w:tbl>
      <w:tblPr>
        <w:tblStyle w:val="TableTGAblue2023"/>
        <w:tblW w:w="9469" w:type="dxa"/>
        <w:tblLayout w:type="fixed"/>
        <w:tblLook w:val="04A0" w:firstRow="1" w:lastRow="0" w:firstColumn="1" w:lastColumn="0" w:noHBand="0" w:noVBand="1"/>
      </w:tblPr>
      <w:tblGrid>
        <w:gridCol w:w="1413"/>
        <w:gridCol w:w="3544"/>
        <w:gridCol w:w="992"/>
        <w:gridCol w:w="1276"/>
        <w:gridCol w:w="992"/>
        <w:gridCol w:w="1252"/>
      </w:tblGrid>
      <w:tr w:rsidR="00863132" w:rsidRPr="00BF52F4" w14:paraId="299B387B" w14:textId="77777777" w:rsidTr="000C63D6">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957" w:type="dxa"/>
            <w:gridSpan w:val="2"/>
            <w:vMerge w:val="restart"/>
          </w:tcPr>
          <w:p w14:paraId="63B62820" w14:textId="77777777" w:rsidR="00863132" w:rsidRPr="000C63D6" w:rsidRDefault="00863132" w:rsidP="00CA7F43">
            <w:pPr>
              <w:rPr>
                <w:b w:val="0"/>
              </w:rPr>
            </w:pPr>
            <w:r w:rsidRPr="000C63D6">
              <w:t>Summary of safety concerns</w:t>
            </w:r>
          </w:p>
        </w:tc>
        <w:tc>
          <w:tcPr>
            <w:tcW w:w="2268" w:type="dxa"/>
            <w:gridSpan w:val="2"/>
          </w:tcPr>
          <w:p w14:paraId="5E2E4763" w14:textId="77777777" w:rsidR="00863132" w:rsidRPr="000C63D6" w:rsidRDefault="00863132" w:rsidP="00CA7F43">
            <w:pPr>
              <w:cnfStyle w:val="100000000000" w:firstRow="1" w:lastRow="0" w:firstColumn="0" w:lastColumn="0" w:oddVBand="0" w:evenVBand="0" w:oddHBand="0" w:evenHBand="0" w:firstRowFirstColumn="0" w:firstRowLastColumn="0" w:lastRowFirstColumn="0" w:lastRowLastColumn="0"/>
              <w:rPr>
                <w:b w:val="0"/>
              </w:rPr>
            </w:pPr>
            <w:r w:rsidRPr="000C63D6">
              <w:t>Pharmacovigilance</w:t>
            </w:r>
          </w:p>
        </w:tc>
        <w:tc>
          <w:tcPr>
            <w:tcW w:w="2244" w:type="dxa"/>
            <w:gridSpan w:val="2"/>
          </w:tcPr>
          <w:p w14:paraId="30759328" w14:textId="77777777" w:rsidR="00863132" w:rsidRPr="000C63D6" w:rsidRDefault="00863132" w:rsidP="00CA7F43">
            <w:pPr>
              <w:cnfStyle w:val="100000000000" w:firstRow="1" w:lastRow="0" w:firstColumn="0" w:lastColumn="0" w:oddVBand="0" w:evenVBand="0" w:oddHBand="0" w:evenHBand="0" w:firstRowFirstColumn="0" w:firstRowLastColumn="0" w:lastRowFirstColumn="0" w:lastRowLastColumn="0"/>
              <w:rPr>
                <w:b w:val="0"/>
              </w:rPr>
            </w:pPr>
            <w:r w:rsidRPr="000C63D6">
              <w:t>Risk Minimisation</w:t>
            </w:r>
          </w:p>
        </w:tc>
      </w:tr>
      <w:tr w:rsidR="000C63D6" w:rsidRPr="00BF52F4" w14:paraId="44623A2F" w14:textId="77777777" w:rsidTr="00100947">
        <w:trPr>
          <w:trHeight w:val="150"/>
        </w:trPr>
        <w:tc>
          <w:tcPr>
            <w:cnfStyle w:val="001000000000" w:firstRow="0" w:lastRow="0" w:firstColumn="1" w:lastColumn="0" w:oddVBand="0" w:evenVBand="0" w:oddHBand="0" w:evenHBand="0" w:firstRowFirstColumn="0" w:firstRowLastColumn="0" w:lastRowFirstColumn="0" w:lastRowLastColumn="0"/>
            <w:tcW w:w="4957" w:type="dxa"/>
            <w:gridSpan w:val="2"/>
            <w:vMerge/>
          </w:tcPr>
          <w:p w14:paraId="42D27D15" w14:textId="77777777" w:rsidR="00863132" w:rsidRPr="000C63D6" w:rsidRDefault="00863132" w:rsidP="00CA7F43"/>
        </w:tc>
        <w:tc>
          <w:tcPr>
            <w:tcW w:w="992" w:type="dxa"/>
            <w:shd w:val="clear" w:color="auto" w:fill="DEEAF6" w:themeFill="accent5" w:themeFillTint="33"/>
          </w:tcPr>
          <w:p w14:paraId="20156386" w14:textId="77777777" w:rsidR="00863132" w:rsidRPr="00100947" w:rsidRDefault="00863132" w:rsidP="00CA7F43">
            <w:pPr>
              <w:cnfStyle w:val="000000000000" w:firstRow="0" w:lastRow="0" w:firstColumn="0" w:lastColumn="0" w:oddVBand="0" w:evenVBand="0" w:oddHBand="0" w:evenHBand="0" w:firstRowFirstColumn="0" w:firstRowLastColumn="0" w:lastRowFirstColumn="0" w:lastRowLastColumn="0"/>
            </w:pPr>
            <w:r w:rsidRPr="00100947">
              <w:t>Routine</w:t>
            </w:r>
          </w:p>
        </w:tc>
        <w:tc>
          <w:tcPr>
            <w:tcW w:w="1276" w:type="dxa"/>
            <w:shd w:val="clear" w:color="auto" w:fill="DEEAF6" w:themeFill="accent5" w:themeFillTint="33"/>
          </w:tcPr>
          <w:p w14:paraId="6F97DDCC" w14:textId="77777777" w:rsidR="00863132" w:rsidRPr="00100947" w:rsidRDefault="00863132" w:rsidP="00CA7F43">
            <w:pPr>
              <w:cnfStyle w:val="000000000000" w:firstRow="0" w:lastRow="0" w:firstColumn="0" w:lastColumn="0" w:oddVBand="0" w:evenVBand="0" w:oddHBand="0" w:evenHBand="0" w:firstRowFirstColumn="0" w:firstRowLastColumn="0" w:lastRowFirstColumn="0" w:lastRowLastColumn="0"/>
            </w:pPr>
            <w:r w:rsidRPr="00100947">
              <w:t>Additional</w:t>
            </w:r>
          </w:p>
        </w:tc>
        <w:tc>
          <w:tcPr>
            <w:tcW w:w="992" w:type="dxa"/>
            <w:shd w:val="clear" w:color="auto" w:fill="DEEAF6" w:themeFill="accent5" w:themeFillTint="33"/>
          </w:tcPr>
          <w:p w14:paraId="3024DE4F" w14:textId="77777777" w:rsidR="00863132" w:rsidRPr="00100947" w:rsidRDefault="00863132" w:rsidP="00CA7F43">
            <w:pPr>
              <w:cnfStyle w:val="000000000000" w:firstRow="0" w:lastRow="0" w:firstColumn="0" w:lastColumn="0" w:oddVBand="0" w:evenVBand="0" w:oddHBand="0" w:evenHBand="0" w:firstRowFirstColumn="0" w:firstRowLastColumn="0" w:lastRowFirstColumn="0" w:lastRowLastColumn="0"/>
            </w:pPr>
            <w:r w:rsidRPr="00100947">
              <w:t>Routine</w:t>
            </w:r>
          </w:p>
        </w:tc>
        <w:tc>
          <w:tcPr>
            <w:tcW w:w="1252" w:type="dxa"/>
            <w:shd w:val="clear" w:color="auto" w:fill="DEEAF6" w:themeFill="accent5" w:themeFillTint="33"/>
          </w:tcPr>
          <w:p w14:paraId="117158A4" w14:textId="77777777" w:rsidR="00863132" w:rsidRPr="00100947" w:rsidRDefault="00863132" w:rsidP="00CA7F43">
            <w:pPr>
              <w:cnfStyle w:val="000000000000" w:firstRow="0" w:lastRow="0" w:firstColumn="0" w:lastColumn="0" w:oddVBand="0" w:evenVBand="0" w:oddHBand="0" w:evenHBand="0" w:firstRowFirstColumn="0" w:firstRowLastColumn="0" w:lastRowFirstColumn="0" w:lastRowLastColumn="0"/>
            </w:pPr>
            <w:r w:rsidRPr="00100947">
              <w:t>Additional</w:t>
            </w:r>
          </w:p>
        </w:tc>
      </w:tr>
      <w:tr w:rsidR="000C63D6" w:rsidRPr="00BF52F4" w14:paraId="7D79C38D" w14:textId="77777777" w:rsidTr="000C63D6">
        <w:trPr>
          <w:trHeight w:val="137"/>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075EF62B" w14:textId="77777777" w:rsidR="00863132" w:rsidRPr="000C63D6" w:rsidRDefault="00863132" w:rsidP="00CA7F43">
            <w:r w:rsidRPr="000C63D6">
              <w:t>Important identified risks</w:t>
            </w:r>
          </w:p>
        </w:tc>
        <w:tc>
          <w:tcPr>
            <w:tcW w:w="3544" w:type="dxa"/>
          </w:tcPr>
          <w:p w14:paraId="611681F9"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Immune related adverse reactions (ARs) (including immune-related pneumonitis, colitis and diarrhoea, hepatitis, myocarditis, nephritis, endocrinopathies, pancreatitis, myositis, skin ARs, and other immune-related reactions)</w:t>
            </w:r>
          </w:p>
        </w:tc>
        <w:tc>
          <w:tcPr>
            <w:tcW w:w="992" w:type="dxa"/>
          </w:tcPr>
          <w:p w14:paraId="378509B2"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rFonts w:ascii="Wingdings" w:eastAsia="Wingdings" w:hAnsi="Wingdings" w:cs="Wingdings"/>
              </w:rPr>
              <w:t>ü</w:t>
            </w:r>
          </w:p>
        </w:tc>
        <w:tc>
          <w:tcPr>
            <w:tcW w:w="1276" w:type="dxa"/>
          </w:tcPr>
          <w:p w14:paraId="05D1BC26"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w:t>
            </w:r>
          </w:p>
        </w:tc>
        <w:tc>
          <w:tcPr>
            <w:tcW w:w="992" w:type="dxa"/>
          </w:tcPr>
          <w:p w14:paraId="5A2BA00C"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rFonts w:ascii="Wingdings" w:eastAsia="Wingdings" w:hAnsi="Wingdings" w:cs="Wingdings"/>
              </w:rPr>
              <w:t>ü</w:t>
            </w:r>
          </w:p>
        </w:tc>
        <w:tc>
          <w:tcPr>
            <w:tcW w:w="1252" w:type="dxa"/>
          </w:tcPr>
          <w:p w14:paraId="56A7C692"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rFonts w:ascii="Wingdings" w:eastAsia="Wingdings" w:hAnsi="Wingdings" w:cs="Wingdings"/>
              </w:rPr>
              <w:t>ü</w:t>
            </w:r>
            <w:r w:rsidRPr="000C63D6">
              <w:rPr>
                <w:rFonts w:asciiTheme="majorHAnsi" w:hAnsiTheme="majorHAnsi"/>
              </w:rPr>
              <w:t>†</w:t>
            </w:r>
          </w:p>
        </w:tc>
      </w:tr>
      <w:tr w:rsidR="000C63D6" w:rsidRPr="00BF52F4" w14:paraId="22BA15C8" w14:textId="77777777" w:rsidTr="000C63D6">
        <w:trPr>
          <w:trHeight w:val="94"/>
        </w:trPr>
        <w:tc>
          <w:tcPr>
            <w:cnfStyle w:val="001000000000" w:firstRow="0" w:lastRow="0" w:firstColumn="1" w:lastColumn="0" w:oddVBand="0" w:evenVBand="0" w:oddHBand="0" w:evenHBand="0" w:firstRowFirstColumn="0" w:firstRowLastColumn="0" w:lastRowFirstColumn="0" w:lastRowLastColumn="0"/>
            <w:tcW w:w="1413" w:type="dxa"/>
            <w:vMerge/>
          </w:tcPr>
          <w:p w14:paraId="434FE35F" w14:textId="77777777" w:rsidR="00863132" w:rsidRPr="000C63D6" w:rsidRDefault="00863132" w:rsidP="00CA7F43"/>
        </w:tc>
        <w:tc>
          <w:tcPr>
            <w:tcW w:w="3544" w:type="dxa"/>
          </w:tcPr>
          <w:p w14:paraId="6AD283C2"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Solid organ transplant rejection</w:t>
            </w:r>
          </w:p>
        </w:tc>
        <w:tc>
          <w:tcPr>
            <w:tcW w:w="992" w:type="dxa"/>
          </w:tcPr>
          <w:p w14:paraId="291597EC"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rFonts w:ascii="Wingdings" w:eastAsia="Wingdings" w:hAnsi="Wingdings" w:cs="Wingdings"/>
              </w:rPr>
              <w:t>ü</w:t>
            </w:r>
          </w:p>
        </w:tc>
        <w:tc>
          <w:tcPr>
            <w:tcW w:w="1276" w:type="dxa"/>
          </w:tcPr>
          <w:p w14:paraId="3C7208AF"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w:t>
            </w:r>
          </w:p>
        </w:tc>
        <w:tc>
          <w:tcPr>
            <w:tcW w:w="992" w:type="dxa"/>
          </w:tcPr>
          <w:p w14:paraId="7DC3F424"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rFonts w:ascii="Wingdings" w:eastAsia="Wingdings" w:hAnsi="Wingdings" w:cs="Wingdings"/>
              </w:rPr>
              <w:t>ü</w:t>
            </w:r>
          </w:p>
        </w:tc>
        <w:tc>
          <w:tcPr>
            <w:tcW w:w="1252" w:type="dxa"/>
          </w:tcPr>
          <w:p w14:paraId="617A0FB9"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w:t>
            </w:r>
          </w:p>
        </w:tc>
      </w:tr>
      <w:tr w:rsidR="000C63D6" w:rsidRPr="00BF52F4" w14:paraId="785C245E" w14:textId="77777777" w:rsidTr="000C63D6">
        <w:trPr>
          <w:trHeight w:val="159"/>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57E270DF" w14:textId="77777777" w:rsidR="00863132" w:rsidRPr="000C63D6" w:rsidRDefault="00863132" w:rsidP="00CA7F43">
            <w:r w:rsidRPr="000C63D6">
              <w:t>Important potential risks</w:t>
            </w:r>
          </w:p>
        </w:tc>
        <w:tc>
          <w:tcPr>
            <w:tcW w:w="3544" w:type="dxa"/>
          </w:tcPr>
          <w:p w14:paraId="25110556"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 xml:space="preserve">Graft-versus-host-disease (GVHD) with </w:t>
            </w:r>
            <w:proofErr w:type="spellStart"/>
            <w:r w:rsidRPr="000C63D6">
              <w:t>toripalimab</w:t>
            </w:r>
            <w:proofErr w:type="spellEnd"/>
            <w:r w:rsidRPr="000C63D6">
              <w:t xml:space="preserve"> after allogeneic </w:t>
            </w:r>
          </w:p>
          <w:p w14:paraId="1906846B"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 xml:space="preserve">hematopoietic stem cell transplantation </w:t>
            </w:r>
          </w:p>
          <w:p w14:paraId="2A12BDFC"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(HSCT)</w:t>
            </w:r>
          </w:p>
        </w:tc>
        <w:tc>
          <w:tcPr>
            <w:tcW w:w="992" w:type="dxa"/>
          </w:tcPr>
          <w:p w14:paraId="2C0F4078"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rFonts w:ascii="Wingdings" w:eastAsia="Wingdings" w:hAnsi="Wingdings" w:cs="Wingdings"/>
              </w:rPr>
              <w:t>ü</w:t>
            </w:r>
          </w:p>
        </w:tc>
        <w:tc>
          <w:tcPr>
            <w:tcW w:w="1276" w:type="dxa"/>
          </w:tcPr>
          <w:p w14:paraId="6028FFDA"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w:t>
            </w:r>
          </w:p>
        </w:tc>
        <w:tc>
          <w:tcPr>
            <w:tcW w:w="992" w:type="dxa"/>
          </w:tcPr>
          <w:p w14:paraId="1FEC3A3F"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rFonts w:ascii="Wingdings" w:eastAsia="Wingdings" w:hAnsi="Wingdings" w:cs="Wingdings"/>
              </w:rPr>
              <w:t>ü</w:t>
            </w:r>
          </w:p>
        </w:tc>
        <w:tc>
          <w:tcPr>
            <w:tcW w:w="1252" w:type="dxa"/>
          </w:tcPr>
          <w:p w14:paraId="44833384"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w:t>
            </w:r>
          </w:p>
        </w:tc>
      </w:tr>
      <w:tr w:rsidR="000C63D6" w:rsidRPr="00BF52F4" w14:paraId="02E3C1C1" w14:textId="77777777" w:rsidTr="000C63D6">
        <w:trPr>
          <w:trHeight w:val="112"/>
        </w:trPr>
        <w:tc>
          <w:tcPr>
            <w:cnfStyle w:val="001000000000" w:firstRow="0" w:lastRow="0" w:firstColumn="1" w:lastColumn="0" w:oddVBand="0" w:evenVBand="0" w:oddHBand="0" w:evenHBand="0" w:firstRowFirstColumn="0" w:firstRowLastColumn="0" w:lastRowFirstColumn="0" w:lastRowLastColumn="0"/>
            <w:tcW w:w="1413" w:type="dxa"/>
            <w:vMerge/>
          </w:tcPr>
          <w:p w14:paraId="01EC2D0D" w14:textId="77777777" w:rsidR="00863132" w:rsidRPr="000C63D6" w:rsidRDefault="00863132" w:rsidP="00CA7F43">
            <w:bookmarkStart w:id="67" w:name="_Hlk171083532"/>
          </w:p>
        </w:tc>
        <w:tc>
          <w:tcPr>
            <w:tcW w:w="3544" w:type="dxa"/>
          </w:tcPr>
          <w:p w14:paraId="5C890BC9"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Embryotoxicities</w:t>
            </w:r>
          </w:p>
        </w:tc>
        <w:tc>
          <w:tcPr>
            <w:tcW w:w="992" w:type="dxa"/>
          </w:tcPr>
          <w:p w14:paraId="1096037A"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rFonts w:ascii="Wingdings" w:eastAsia="Wingdings" w:hAnsi="Wingdings" w:cs="Wingdings"/>
              </w:rPr>
              <w:t>ü</w:t>
            </w:r>
          </w:p>
        </w:tc>
        <w:tc>
          <w:tcPr>
            <w:tcW w:w="1276" w:type="dxa"/>
          </w:tcPr>
          <w:p w14:paraId="6610278D"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w:t>
            </w:r>
          </w:p>
        </w:tc>
        <w:tc>
          <w:tcPr>
            <w:tcW w:w="992" w:type="dxa"/>
          </w:tcPr>
          <w:p w14:paraId="14CA29F6"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rFonts w:ascii="Wingdings" w:eastAsia="Wingdings" w:hAnsi="Wingdings" w:cs="Wingdings"/>
              </w:rPr>
              <w:t>ü</w:t>
            </w:r>
          </w:p>
        </w:tc>
        <w:tc>
          <w:tcPr>
            <w:tcW w:w="1252" w:type="dxa"/>
          </w:tcPr>
          <w:p w14:paraId="2AB87EC3"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w:t>
            </w:r>
          </w:p>
        </w:tc>
      </w:tr>
      <w:bookmarkEnd w:id="67"/>
      <w:tr w:rsidR="000C63D6" w:rsidRPr="00BF52F4" w14:paraId="55A7195C" w14:textId="77777777" w:rsidTr="000C63D6">
        <w:trPr>
          <w:trHeight w:val="112"/>
        </w:trPr>
        <w:tc>
          <w:tcPr>
            <w:cnfStyle w:val="001000000000" w:firstRow="0" w:lastRow="0" w:firstColumn="1" w:lastColumn="0" w:oddVBand="0" w:evenVBand="0" w:oddHBand="0" w:evenHBand="0" w:firstRowFirstColumn="0" w:firstRowLastColumn="0" w:lastRowFirstColumn="0" w:lastRowLastColumn="0"/>
            <w:tcW w:w="1413" w:type="dxa"/>
          </w:tcPr>
          <w:p w14:paraId="768CC474" w14:textId="77777777" w:rsidR="00863132" w:rsidRPr="000C63D6" w:rsidRDefault="00863132" w:rsidP="00CA7F43">
            <w:r w:rsidRPr="000C63D6">
              <w:t xml:space="preserve">Missing information </w:t>
            </w:r>
          </w:p>
        </w:tc>
        <w:tc>
          <w:tcPr>
            <w:tcW w:w="3544" w:type="dxa"/>
          </w:tcPr>
          <w:p w14:paraId="115990F4"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bCs/>
              </w:rPr>
              <w:t xml:space="preserve">Safety during breast feeding* </w:t>
            </w:r>
          </w:p>
        </w:tc>
        <w:tc>
          <w:tcPr>
            <w:tcW w:w="992" w:type="dxa"/>
          </w:tcPr>
          <w:p w14:paraId="341A9FF5"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rFonts w:ascii="Wingdings" w:eastAsia="Wingdings" w:hAnsi="Wingdings" w:cs="Wingdings"/>
              </w:rPr>
              <w:t>ü</w:t>
            </w:r>
          </w:p>
        </w:tc>
        <w:tc>
          <w:tcPr>
            <w:tcW w:w="1276" w:type="dxa"/>
          </w:tcPr>
          <w:p w14:paraId="7C774022"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w:t>
            </w:r>
          </w:p>
        </w:tc>
        <w:tc>
          <w:tcPr>
            <w:tcW w:w="992" w:type="dxa"/>
          </w:tcPr>
          <w:p w14:paraId="05E45928"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rPr>
                <w:rFonts w:ascii="Wingdings" w:eastAsia="Wingdings" w:hAnsi="Wingdings" w:cs="Wingdings"/>
              </w:rPr>
              <w:t>ü</w:t>
            </w:r>
          </w:p>
        </w:tc>
        <w:tc>
          <w:tcPr>
            <w:tcW w:w="1252" w:type="dxa"/>
          </w:tcPr>
          <w:p w14:paraId="243D104D" w14:textId="77777777" w:rsidR="00863132" w:rsidRPr="000C63D6" w:rsidRDefault="00863132" w:rsidP="00CA7F43">
            <w:pPr>
              <w:cnfStyle w:val="000000000000" w:firstRow="0" w:lastRow="0" w:firstColumn="0" w:lastColumn="0" w:oddVBand="0" w:evenVBand="0" w:oddHBand="0" w:evenHBand="0" w:firstRowFirstColumn="0" w:firstRowLastColumn="0" w:lastRowFirstColumn="0" w:lastRowLastColumn="0"/>
            </w:pPr>
            <w:r w:rsidRPr="000C63D6">
              <w:t>–</w:t>
            </w:r>
          </w:p>
        </w:tc>
      </w:tr>
    </w:tbl>
    <w:p w14:paraId="0684D1E4" w14:textId="77777777" w:rsidR="00863132" w:rsidRDefault="00863132" w:rsidP="000C63D6">
      <w:pPr>
        <w:pStyle w:val="TableDescription"/>
      </w:pPr>
      <w:r>
        <w:t>*Australia-specific safety concern</w:t>
      </w:r>
      <w:r>
        <w:br/>
      </w:r>
      <w:r w:rsidRPr="00A0444D">
        <w:t xml:space="preserve">† Patient </w:t>
      </w:r>
      <w:r>
        <w:t>A</w:t>
      </w:r>
      <w:r w:rsidRPr="00A0444D">
        <w:t xml:space="preserve">lert </w:t>
      </w:r>
      <w:r>
        <w:t>C</w:t>
      </w:r>
      <w:r w:rsidRPr="00A0444D">
        <w:t>ard</w:t>
      </w:r>
    </w:p>
    <w:p w14:paraId="4733CF55" w14:textId="25A607C4" w:rsidR="008F0769" w:rsidRPr="008F0769" w:rsidRDefault="008F0769" w:rsidP="008F0769">
      <w:r w:rsidRPr="008F0769">
        <w:t xml:space="preserve">The summary of safety concerns is identical to that included in EU-RMP version 1.4.1, except for the Australia-specific missing information of </w:t>
      </w:r>
      <w:r w:rsidR="00764DC9">
        <w:t>s</w:t>
      </w:r>
      <w:r w:rsidRPr="008F0769">
        <w:t>afety during breast feeding. This summary of safety concerns is acceptable from an RMP perspective.</w:t>
      </w:r>
    </w:p>
    <w:p w14:paraId="29A5DD93" w14:textId="57B64E11" w:rsidR="008F0769" w:rsidRPr="008F0769" w:rsidRDefault="008F0769" w:rsidP="008F0769">
      <w:r w:rsidRPr="008F0769">
        <w:lastRenderedPageBreak/>
        <w:t>The pharmacovigilance plan is acceptable from an RMP perspective.</w:t>
      </w:r>
    </w:p>
    <w:p w14:paraId="00D1DD52" w14:textId="24410E84" w:rsidR="008F0769" w:rsidRPr="008F0769" w:rsidRDefault="008F0769" w:rsidP="008F0769">
      <w:r w:rsidRPr="008F0769">
        <w:t>The risk minimisation plan proposed in the EU includes a Patient Alert Card as an additional risk minimisation activity. The previous version of the EU</w:t>
      </w:r>
      <w:r w:rsidR="00C055C7">
        <w:t>-</w:t>
      </w:r>
      <w:r w:rsidRPr="008F0769">
        <w:t>RMP had a Patient Guide and the sponsor has provided a draft Patient Guide. The contents of the Patient Guide are very similar to the contents of the Patient Alert Card. Thus, the sponsor is advised that not implementing the Patient Guide in Australia, in line with the approach in the EU, is acceptable.</w:t>
      </w:r>
    </w:p>
    <w:p w14:paraId="16E5DFAA" w14:textId="39E79A72" w:rsidR="00032A0F" w:rsidRDefault="00032A0F" w:rsidP="003B149C">
      <w:pPr>
        <w:rPr>
          <w:rFonts w:eastAsia="Cambria" w:cs="Times New Roman"/>
          <w:i/>
          <w:color w:val="007099"/>
          <w:szCs w:val="22"/>
        </w:rPr>
      </w:pPr>
      <w:r>
        <w:t>The RMP evaluation recommended conditions of registration relating to the versions of the risk management plan, requirement for periodic safety update reports, and inclusion of the medicine in the Black Triangle Scheme</w:t>
      </w:r>
      <w:r w:rsidR="00262C20">
        <w:t>.</w:t>
      </w:r>
    </w:p>
    <w:p w14:paraId="74A4F87F" w14:textId="77777777" w:rsidR="00C22214" w:rsidRDefault="00C22214" w:rsidP="00C22214">
      <w:pPr>
        <w:pStyle w:val="Heading3"/>
      </w:pPr>
      <w:bookmarkStart w:id="68" w:name="_Toc103679299"/>
      <w:bookmarkStart w:id="69" w:name="_Toc233974554"/>
      <w:r>
        <w:t>Risk-benefit analysis</w:t>
      </w:r>
      <w:bookmarkEnd w:id="63"/>
      <w:bookmarkEnd w:id="64"/>
      <w:bookmarkEnd w:id="68"/>
      <w:bookmarkEnd w:id="69"/>
    </w:p>
    <w:p w14:paraId="77DE2655" w14:textId="77777777" w:rsidR="00C22214" w:rsidRDefault="00C22214" w:rsidP="00C22214">
      <w:pPr>
        <w:pStyle w:val="Heading4"/>
      </w:pPr>
      <w:bookmarkStart w:id="70" w:name="_Toc98931932"/>
      <w:bookmarkStart w:id="71" w:name="_Toc233974555"/>
      <w:r>
        <w:t>Delegate’s considerations</w:t>
      </w:r>
      <w:bookmarkEnd w:id="70"/>
      <w:bookmarkEnd w:id="71"/>
    </w:p>
    <w:p w14:paraId="7E0181BD" w14:textId="0ED7DC64" w:rsidR="005C24D0" w:rsidRDefault="005C24D0" w:rsidP="005C24D0">
      <w:proofErr w:type="spellStart"/>
      <w:r w:rsidRPr="00902FB4">
        <w:t>Toripalimab</w:t>
      </w:r>
      <w:proofErr w:type="spellEnd"/>
      <w:r w:rsidRPr="00902FB4">
        <w:t xml:space="preserve"> is a humani</w:t>
      </w:r>
      <w:r w:rsidR="00902FB4" w:rsidRPr="00902FB4">
        <w:t>s</w:t>
      </w:r>
      <w:r w:rsidRPr="00902FB4">
        <w:t>ed modified IgG4κ monoclonal antibody specific against human programmed death-1 (PD-1), a co-inhibitory receptor expressed on T cells</w:t>
      </w:r>
      <w:r>
        <w:t>.</w:t>
      </w:r>
    </w:p>
    <w:p w14:paraId="1ADB387B" w14:textId="77777777" w:rsidR="005C24D0" w:rsidRDefault="005C24D0" w:rsidP="00902FB4">
      <w:pPr>
        <w:pStyle w:val="Heading5"/>
      </w:pPr>
      <w:r>
        <w:t>Proposed indication</w:t>
      </w:r>
    </w:p>
    <w:p w14:paraId="20717102" w14:textId="6F56E9A7" w:rsidR="00C22214" w:rsidRPr="00902FB4" w:rsidRDefault="005C24D0" w:rsidP="00902FB4">
      <w:r w:rsidRPr="00902FB4">
        <w:t xml:space="preserve">The </w:t>
      </w:r>
      <w:r w:rsidR="00902FB4" w:rsidRPr="00902FB4">
        <w:t>s</w:t>
      </w:r>
      <w:r w:rsidRPr="00902FB4">
        <w:t xml:space="preserve">ponsor proposes to register </w:t>
      </w:r>
      <w:proofErr w:type="spellStart"/>
      <w:r w:rsidRPr="00902FB4">
        <w:t>toripalimab</w:t>
      </w:r>
      <w:proofErr w:type="spellEnd"/>
      <w:r w:rsidRPr="00902FB4">
        <w:t>, a new therapeutic entity, for the following indications:</w:t>
      </w:r>
    </w:p>
    <w:p w14:paraId="2FDCF210" w14:textId="4091CEFB" w:rsidR="005C24D0" w:rsidRPr="005C24D0" w:rsidRDefault="005C24D0" w:rsidP="00D15251">
      <w:pPr>
        <w:ind w:left="720"/>
        <w:rPr>
          <w:i/>
          <w:iCs/>
        </w:rPr>
      </w:pPr>
      <w:r w:rsidRPr="005C24D0">
        <w:rPr>
          <w:i/>
          <w:iCs/>
        </w:rPr>
        <w:t>T</w:t>
      </w:r>
      <w:r w:rsidR="00D15251">
        <w:rPr>
          <w:i/>
          <w:iCs/>
        </w:rPr>
        <w:t>uoyi</w:t>
      </w:r>
      <w:r w:rsidRPr="005C24D0">
        <w:rPr>
          <w:i/>
          <w:iCs/>
        </w:rPr>
        <w:t xml:space="preserve"> is indicated, in combination with cisplatin and gemcitabine, for the first-line treatment of adults with metastatic or with recurrent, locally advanced nasopharyngeal carcinoma (NPC).</w:t>
      </w:r>
    </w:p>
    <w:p w14:paraId="4A3F0DC7" w14:textId="5415680D" w:rsidR="005C24D0" w:rsidRPr="005C24D0" w:rsidRDefault="005C24D0" w:rsidP="00D15251">
      <w:pPr>
        <w:ind w:left="720"/>
        <w:rPr>
          <w:i/>
          <w:iCs/>
        </w:rPr>
      </w:pPr>
      <w:r w:rsidRPr="005C24D0">
        <w:rPr>
          <w:i/>
          <w:iCs/>
        </w:rPr>
        <w:t>T</w:t>
      </w:r>
      <w:r w:rsidR="00F70E28">
        <w:rPr>
          <w:i/>
          <w:iCs/>
        </w:rPr>
        <w:t>uoyi</w:t>
      </w:r>
      <w:r w:rsidRPr="005C24D0">
        <w:rPr>
          <w:i/>
          <w:iCs/>
        </w:rPr>
        <w:t xml:space="preserve"> is indicated, as a single agent, for the treatment of adults with recurrent unresectable or metastatic NPC with disease progression on or after a platinum-containing chemotherapy.</w:t>
      </w:r>
    </w:p>
    <w:p w14:paraId="187DA998" w14:textId="70006D72" w:rsidR="005C24D0" w:rsidRDefault="005C24D0" w:rsidP="00F70E28">
      <w:r w:rsidRPr="00F70E28">
        <w:t>The proposed/recommended dosage is as follows:</w:t>
      </w:r>
    </w:p>
    <w:p w14:paraId="0BA37286" w14:textId="35C5F7DA" w:rsidR="00F70E28" w:rsidRPr="00F70E28" w:rsidRDefault="00F70E28" w:rsidP="001F22FB">
      <w:pPr>
        <w:pStyle w:val="TableTitle"/>
      </w:pPr>
      <w:r>
        <w:t xml:space="preserve">Table </w:t>
      </w:r>
      <w:fldSimple w:instr=" SEQ Table \* ARABIC ">
        <w:r w:rsidR="00D82028">
          <w:rPr>
            <w:noProof/>
          </w:rPr>
          <w:t>13</w:t>
        </w:r>
      </w:fldSimple>
      <w:r>
        <w:t xml:space="preserve">: </w:t>
      </w:r>
      <w:r w:rsidR="001F22FB">
        <w:t>Recommended dosage of Tuoyi</w:t>
      </w:r>
    </w:p>
    <w:p w14:paraId="3D60619C" w14:textId="1CD95097" w:rsidR="005C24D0" w:rsidRDefault="00443FBB" w:rsidP="005C24D0">
      <w:r w:rsidRPr="00443FBB">
        <w:rPr>
          <w:noProof/>
        </w:rPr>
        <w:drawing>
          <wp:inline distT="0" distB="0" distL="0" distR="0" wp14:anchorId="57F5677A" wp14:editId="72793E0B">
            <wp:extent cx="5314950" cy="1164368"/>
            <wp:effectExtent l="0" t="0" r="0" b="0"/>
            <wp:docPr id="949809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09712" name=""/>
                    <pic:cNvPicPr/>
                  </pic:nvPicPr>
                  <pic:blipFill rotWithShape="1">
                    <a:blip r:embed="rId36"/>
                    <a:srcRect l="1158" t="4381" r="-1"/>
                    <a:stretch>
                      <a:fillRect/>
                    </a:stretch>
                  </pic:blipFill>
                  <pic:spPr bwMode="auto">
                    <a:xfrm>
                      <a:off x="0" y="0"/>
                      <a:ext cx="5324165" cy="1166387"/>
                    </a:xfrm>
                    <a:prstGeom prst="rect">
                      <a:avLst/>
                    </a:prstGeom>
                    <a:ln>
                      <a:noFill/>
                    </a:ln>
                    <a:extLst>
                      <a:ext uri="{53640926-AAD7-44D8-BBD7-CCE9431645EC}">
                        <a14:shadowObscured xmlns:a14="http://schemas.microsoft.com/office/drawing/2010/main"/>
                      </a:ext>
                    </a:extLst>
                  </pic:spPr>
                </pic:pic>
              </a:graphicData>
            </a:graphic>
          </wp:inline>
        </w:drawing>
      </w:r>
    </w:p>
    <w:p w14:paraId="2F83646D" w14:textId="6A72C2F7" w:rsidR="002C771A" w:rsidRPr="002C771A" w:rsidRDefault="002C771A" w:rsidP="001F22FB">
      <w:pPr>
        <w:pStyle w:val="Heading5"/>
      </w:pPr>
      <w:r w:rsidRPr="002C771A">
        <w:t>Benefits/</w:t>
      </w:r>
      <w:r w:rsidR="00235900">
        <w:t>u</w:t>
      </w:r>
      <w:r w:rsidRPr="002C771A">
        <w:t>ncertainties of benefit</w:t>
      </w:r>
    </w:p>
    <w:p w14:paraId="5EB07619" w14:textId="14FC0825" w:rsidR="002C771A" w:rsidRPr="002C771A" w:rsidRDefault="002C771A" w:rsidP="00F51EBB">
      <w:r w:rsidRPr="002C771A">
        <w:t xml:space="preserve">The sponsor has provided adequate evidence of effectiveness and benefit to support approval of </w:t>
      </w:r>
      <w:proofErr w:type="spellStart"/>
      <w:r w:rsidRPr="002C771A">
        <w:t>toripalimab</w:t>
      </w:r>
      <w:proofErr w:type="spellEnd"/>
      <w:r w:rsidRPr="002C771A">
        <w:t xml:space="preserve"> for the proposed indications.</w:t>
      </w:r>
    </w:p>
    <w:p w14:paraId="32AF8861" w14:textId="649F6268" w:rsidR="002C771A" w:rsidRPr="002C771A" w:rsidRDefault="002C771A" w:rsidP="00F51EBB">
      <w:pPr>
        <w:pStyle w:val="Heading6"/>
      </w:pPr>
      <w:r w:rsidRPr="002C771A">
        <w:t>JUPITER</w:t>
      </w:r>
      <w:r w:rsidR="00F51EBB">
        <w:noBreakHyphen/>
      </w:r>
      <w:r w:rsidRPr="002C771A">
        <w:t>02 summary</w:t>
      </w:r>
    </w:p>
    <w:p w14:paraId="130FCF47" w14:textId="4DAB8EB7" w:rsidR="002C771A" w:rsidRPr="002C771A" w:rsidRDefault="00F51EBB" w:rsidP="00BA2FBE">
      <w:pPr>
        <w:pStyle w:val="ListBullet"/>
      </w:pPr>
      <w:r>
        <w:t>J</w:t>
      </w:r>
      <w:r w:rsidR="00764DC9">
        <w:t>UPITER</w:t>
      </w:r>
      <w:r>
        <w:noBreakHyphen/>
        <w:t>02 is a P</w:t>
      </w:r>
      <w:r w:rsidR="002C771A" w:rsidRPr="002C771A">
        <w:t xml:space="preserve">hase </w:t>
      </w:r>
      <w:r>
        <w:t>III</w:t>
      </w:r>
      <w:r w:rsidR="002C771A" w:rsidRPr="002C771A">
        <w:t>, double</w:t>
      </w:r>
      <w:r>
        <w:t xml:space="preserve"> </w:t>
      </w:r>
      <w:r w:rsidR="002C771A" w:rsidRPr="002C771A">
        <w:t>blind, placebo</w:t>
      </w:r>
      <w:r w:rsidR="003461BD">
        <w:t>-</w:t>
      </w:r>
      <w:r w:rsidR="002C771A" w:rsidRPr="002C771A">
        <w:t>controlled trial</w:t>
      </w:r>
      <w:r>
        <w:t>.</w:t>
      </w:r>
    </w:p>
    <w:p w14:paraId="608F88B2" w14:textId="4E4C6EA0" w:rsidR="002C771A" w:rsidRPr="002C771A" w:rsidRDefault="003461BD" w:rsidP="00BA2FBE">
      <w:pPr>
        <w:pStyle w:val="ListBullet"/>
      </w:pPr>
      <w:r w:rsidRPr="003461BD">
        <w:t xml:space="preserve">A total of </w:t>
      </w:r>
      <w:r w:rsidR="002C771A" w:rsidRPr="002C771A">
        <w:t>289 patients with recurrent locally advanced or primary metastatic NPC who have not received prior systemic therapy for advanced disease were randomi</w:t>
      </w:r>
      <w:r w:rsidR="00C31160">
        <w:t>s</w:t>
      </w:r>
      <w:r w:rsidR="002C771A" w:rsidRPr="002C771A">
        <w:t xml:space="preserve">ed 1:1 to </w:t>
      </w:r>
      <w:proofErr w:type="spellStart"/>
      <w:r w:rsidR="002C771A" w:rsidRPr="002C771A">
        <w:t>toripalimab</w:t>
      </w:r>
      <w:proofErr w:type="spellEnd"/>
      <w:r w:rsidR="002C771A" w:rsidRPr="002C771A">
        <w:t xml:space="preserve"> 240</w:t>
      </w:r>
      <w:r w:rsidR="00C31160">
        <w:t> </w:t>
      </w:r>
      <w:r w:rsidR="002C771A" w:rsidRPr="002C771A">
        <w:t xml:space="preserve">mg IV </w:t>
      </w:r>
      <w:r w:rsidR="00C31160">
        <w:t xml:space="preserve">once every 3 weeks </w:t>
      </w:r>
      <w:r w:rsidR="002C771A" w:rsidRPr="002C771A">
        <w:t xml:space="preserve">in combination with 6 cycles of </w:t>
      </w:r>
      <w:r w:rsidR="002C771A" w:rsidRPr="002C771A">
        <w:lastRenderedPageBreak/>
        <w:t xml:space="preserve">cisplatin/gemcitabine followed by </w:t>
      </w:r>
      <w:proofErr w:type="spellStart"/>
      <w:r w:rsidR="002C771A" w:rsidRPr="002C771A">
        <w:t>toripalimab</w:t>
      </w:r>
      <w:proofErr w:type="spellEnd"/>
      <w:r w:rsidR="002C771A" w:rsidRPr="002C771A">
        <w:t xml:space="preserve"> 240</w:t>
      </w:r>
      <w:r w:rsidR="00C31160">
        <w:t> </w:t>
      </w:r>
      <w:r w:rsidR="002C771A" w:rsidRPr="002C771A">
        <w:t xml:space="preserve">mg IV </w:t>
      </w:r>
      <w:r w:rsidR="00C31160">
        <w:t xml:space="preserve">once every 3 weeks </w:t>
      </w:r>
      <w:r w:rsidR="002C771A" w:rsidRPr="002C771A">
        <w:t>(n</w:t>
      </w:r>
      <w:r w:rsidR="0001343D">
        <w:t> </w:t>
      </w:r>
      <w:r w:rsidR="002C771A" w:rsidRPr="002C771A">
        <w:t>=</w:t>
      </w:r>
      <w:r w:rsidR="0001343D">
        <w:t> </w:t>
      </w:r>
      <w:r w:rsidR="002C771A" w:rsidRPr="002C771A">
        <w:t xml:space="preserve">146) or to placebo with cisplatin/gemcitabine followed by placebo </w:t>
      </w:r>
      <w:r w:rsidR="0001343D">
        <w:t>once every 3 weeks</w:t>
      </w:r>
      <w:r w:rsidR="002C771A" w:rsidRPr="002C771A">
        <w:t xml:space="preserve"> (n</w:t>
      </w:r>
      <w:r w:rsidR="0001343D">
        <w:t> </w:t>
      </w:r>
      <w:r w:rsidR="002C771A" w:rsidRPr="002C771A">
        <w:t>=</w:t>
      </w:r>
      <w:r w:rsidR="0001343D">
        <w:t> </w:t>
      </w:r>
      <w:r w:rsidR="002C771A" w:rsidRPr="002C771A">
        <w:t>143)</w:t>
      </w:r>
      <w:r w:rsidR="0001343D">
        <w:t>.</w:t>
      </w:r>
    </w:p>
    <w:p w14:paraId="3728F34F" w14:textId="5DDD0389" w:rsidR="00BA2FBE" w:rsidRDefault="002C771A" w:rsidP="00BA2FBE">
      <w:pPr>
        <w:pStyle w:val="ListBullet"/>
      </w:pPr>
      <w:r w:rsidRPr="002C771A">
        <w:t xml:space="preserve">The primary endpoint was PFS by IRC in the </w:t>
      </w:r>
      <w:r w:rsidR="002943C8">
        <w:t>intent-to-treat</w:t>
      </w:r>
      <w:r w:rsidRPr="002C771A">
        <w:t xml:space="preserve"> population</w:t>
      </w:r>
    </w:p>
    <w:p w14:paraId="7D7BED73" w14:textId="7413A7F1" w:rsidR="002C771A" w:rsidRDefault="00BA2FBE" w:rsidP="00BA2FBE">
      <w:pPr>
        <w:pStyle w:val="ListBullet2"/>
      </w:pPr>
      <w:r>
        <w:t>S</w:t>
      </w:r>
      <w:r w:rsidR="002C771A" w:rsidRPr="002C771A">
        <w:t xml:space="preserve">tatistically significant improvement in PFS in the </w:t>
      </w:r>
      <w:proofErr w:type="spellStart"/>
      <w:r w:rsidR="002C771A" w:rsidRPr="002C771A">
        <w:t>toripalimab</w:t>
      </w:r>
      <w:proofErr w:type="spellEnd"/>
      <w:r w:rsidR="002C771A" w:rsidRPr="002C771A">
        <w:t xml:space="preserve"> arm, with a HR of 0.52 (95% CI 0.37, 0.73), corresponding to a median PFS of 21.4 months (95% CI: 11.7, NE) in the </w:t>
      </w:r>
      <w:proofErr w:type="spellStart"/>
      <w:r w:rsidR="002C771A" w:rsidRPr="002C771A">
        <w:t>toripalimab</w:t>
      </w:r>
      <w:proofErr w:type="spellEnd"/>
      <w:r w:rsidR="002C771A" w:rsidRPr="002C771A">
        <w:t xml:space="preserve"> in combination with cisplatin and gemcitabine arm and 8.2 months (95% CI: 7.0, 9.8) in the placebo in combination with cisplatin and gemcitabine arm</w:t>
      </w:r>
      <w:r w:rsidR="00A06638">
        <w:t>.</w:t>
      </w:r>
    </w:p>
    <w:p w14:paraId="4A9D42B0" w14:textId="64B5B7C6" w:rsidR="002C771A" w:rsidRPr="00A06638" w:rsidRDefault="002C771A" w:rsidP="00A06638">
      <w:pPr>
        <w:pStyle w:val="ListBullet"/>
      </w:pPr>
      <w:r w:rsidRPr="00A06638">
        <w:t xml:space="preserve">Secondary end points included ORR and </w:t>
      </w:r>
      <w:proofErr w:type="spellStart"/>
      <w:r w:rsidRPr="00A06638">
        <w:t>D</w:t>
      </w:r>
      <w:r w:rsidR="00A06638">
        <w:t>o</w:t>
      </w:r>
      <w:r w:rsidRPr="00A06638">
        <w:t>R.</w:t>
      </w:r>
      <w:proofErr w:type="spellEnd"/>
      <w:r w:rsidRPr="00A06638">
        <w:t xml:space="preserve"> Response rates were 77.4% and 66.4% in the </w:t>
      </w:r>
      <w:proofErr w:type="spellStart"/>
      <w:r w:rsidRPr="00A06638">
        <w:t>toripalimab</w:t>
      </w:r>
      <w:proofErr w:type="spellEnd"/>
      <w:r w:rsidRPr="00A06638">
        <w:t xml:space="preserve"> and placebo arms respectively, p</w:t>
      </w:r>
      <w:r w:rsidR="00A06638">
        <w:t> </w:t>
      </w:r>
      <w:r w:rsidRPr="00A06638">
        <w:t>=</w:t>
      </w:r>
      <w:r w:rsidR="00A06638">
        <w:t> </w:t>
      </w:r>
      <w:r w:rsidRPr="00A06638">
        <w:t xml:space="preserve">0.03 and were accompanied by a median duration of response of 10.0 months in the </w:t>
      </w:r>
      <w:proofErr w:type="spellStart"/>
      <w:r w:rsidRPr="00A06638">
        <w:t>toripalimab</w:t>
      </w:r>
      <w:proofErr w:type="spellEnd"/>
      <w:r w:rsidRPr="00A06638">
        <w:t xml:space="preserve"> and 5.7 months in the placebo arm</w:t>
      </w:r>
      <w:r w:rsidR="0013370D">
        <w:t>.</w:t>
      </w:r>
    </w:p>
    <w:p w14:paraId="0E144949" w14:textId="106FDB13" w:rsidR="002C771A" w:rsidRDefault="003C5989" w:rsidP="003C5989">
      <w:pPr>
        <w:pStyle w:val="ListBullet"/>
      </w:pPr>
      <w:r w:rsidRPr="003C5989">
        <w:t>S</w:t>
      </w:r>
      <w:r w:rsidR="002C771A" w:rsidRPr="003C5989">
        <w:t>tatistically significant improvement in OS with a HR of 0.63 (95% CI: 0.45, 0.89, p</w:t>
      </w:r>
      <w:r>
        <w:t> = </w:t>
      </w:r>
      <w:r w:rsidR="002C771A" w:rsidRPr="003C5989">
        <w:t xml:space="preserve">0.0083), with median OS not reached (95% CI: 38.7, NE) in the </w:t>
      </w:r>
      <w:proofErr w:type="spellStart"/>
      <w:r w:rsidR="002C771A" w:rsidRPr="003C5989">
        <w:t>toripalimab</w:t>
      </w:r>
      <w:proofErr w:type="spellEnd"/>
      <w:r w:rsidR="002C771A" w:rsidRPr="003C5989">
        <w:t xml:space="preserve"> in combination with cisplatin and gemcitabine treatment arm and 33.7 months (95% CI: 27.0, 44.2) in the placebo with cisplatin and gemcitabine arm</w:t>
      </w:r>
      <w:r w:rsidR="00F27B66">
        <w:t>.</w:t>
      </w:r>
    </w:p>
    <w:p w14:paraId="7354D5BD" w14:textId="3F59758B" w:rsidR="002C771A" w:rsidRPr="002C771A" w:rsidRDefault="002C771A" w:rsidP="00F27B66">
      <w:pPr>
        <w:pStyle w:val="Heading6"/>
      </w:pPr>
      <w:r w:rsidRPr="002C771A">
        <w:t>POLARIS</w:t>
      </w:r>
      <w:r w:rsidR="00F27B66">
        <w:noBreakHyphen/>
      </w:r>
      <w:r w:rsidRPr="002C771A">
        <w:t>02</w:t>
      </w:r>
      <w:r w:rsidR="00F27B66">
        <w:t xml:space="preserve"> </w:t>
      </w:r>
      <w:r w:rsidRPr="002C771A">
        <w:t>summary</w:t>
      </w:r>
    </w:p>
    <w:p w14:paraId="1898A0AF" w14:textId="41B07E5A" w:rsidR="002C771A" w:rsidRPr="002C771A" w:rsidRDefault="00F27B66" w:rsidP="0013370D">
      <w:pPr>
        <w:pStyle w:val="ListBullet"/>
      </w:pPr>
      <w:r>
        <w:t>POLARIS</w:t>
      </w:r>
      <w:r>
        <w:noBreakHyphen/>
        <w:t>02 is a P</w:t>
      </w:r>
      <w:r w:rsidR="002C771A" w:rsidRPr="002C771A">
        <w:t xml:space="preserve">hase </w:t>
      </w:r>
      <w:r>
        <w:t>II</w:t>
      </w:r>
      <w:r w:rsidR="002C771A" w:rsidRPr="002C771A">
        <w:t>, multiple</w:t>
      </w:r>
      <w:r>
        <w:t xml:space="preserve"> </w:t>
      </w:r>
      <w:proofErr w:type="gramStart"/>
      <w:r w:rsidR="002C771A" w:rsidRPr="002C771A">
        <w:t>cohort</w:t>
      </w:r>
      <w:proofErr w:type="gramEnd"/>
      <w:r w:rsidR="002C771A" w:rsidRPr="002C771A">
        <w:t>, activity</w:t>
      </w:r>
      <w:r>
        <w:t xml:space="preserve"> </w:t>
      </w:r>
      <w:r w:rsidR="002C771A" w:rsidRPr="002C771A">
        <w:t>estimating trial comprising 8 cohorts</w:t>
      </w:r>
      <w:r>
        <w:t>.</w:t>
      </w:r>
    </w:p>
    <w:p w14:paraId="32591824" w14:textId="4FF3E45D" w:rsidR="002C771A" w:rsidRPr="002C771A" w:rsidRDefault="002C771A" w:rsidP="0013370D">
      <w:pPr>
        <w:pStyle w:val="ListBullet"/>
      </w:pPr>
      <w:r w:rsidRPr="002C771A">
        <w:t xml:space="preserve">Cohort 3 enrolled 190 adult patients with NPC recurrent or metastatic disease NPC and to have received at least 2 prior systemic regimens for advanced NPC or be intolerant to such therapy. </w:t>
      </w:r>
      <w:r w:rsidR="005D5AC5">
        <w:t xml:space="preserve">A total of </w:t>
      </w:r>
      <w:r w:rsidRPr="002C771A">
        <w:t>172 patients who had received prior platinum</w:t>
      </w:r>
      <w:r w:rsidR="00005D70">
        <w:t>-</w:t>
      </w:r>
      <w:r w:rsidRPr="002C771A">
        <w:t xml:space="preserve">based therapy were treated with </w:t>
      </w:r>
      <w:proofErr w:type="spellStart"/>
      <w:r w:rsidRPr="002C771A">
        <w:t>toripalimab</w:t>
      </w:r>
      <w:proofErr w:type="spellEnd"/>
      <w:r w:rsidRPr="002C771A">
        <w:t xml:space="preserve"> </w:t>
      </w:r>
      <w:r w:rsidRPr="00005D70">
        <w:t>3</w:t>
      </w:r>
      <w:r w:rsidR="00005D70">
        <w:t> </w:t>
      </w:r>
      <w:r w:rsidRPr="00005D70">
        <w:t>mg</w:t>
      </w:r>
      <w:r w:rsidRPr="002C771A">
        <w:t>/kg</w:t>
      </w:r>
      <w:r w:rsidR="00005D70">
        <w:t xml:space="preserve"> once every 2 weeks</w:t>
      </w:r>
      <w:r w:rsidRPr="002C771A">
        <w:t xml:space="preserve"> as a single agent; the IRC</w:t>
      </w:r>
      <w:r w:rsidR="00005D70">
        <w:t xml:space="preserve"> </w:t>
      </w:r>
      <w:r w:rsidRPr="002C771A">
        <w:t>determined response rate was 20.9% (95% CI: 15.1, 27.8) and the IRC</w:t>
      </w:r>
      <w:r w:rsidR="00005D70">
        <w:t xml:space="preserve"> </w:t>
      </w:r>
      <w:r w:rsidRPr="002C771A">
        <w:t>determined median duration of response was 14.9 months (95% CI: 10.3, NE).</w:t>
      </w:r>
    </w:p>
    <w:p w14:paraId="1EFFEA42" w14:textId="7D857D04" w:rsidR="002C771A" w:rsidRPr="002C771A" w:rsidRDefault="002C771A" w:rsidP="005D5AC5">
      <w:pPr>
        <w:pStyle w:val="ListBullet"/>
      </w:pPr>
      <w:r w:rsidRPr="002C771A">
        <w:t xml:space="preserve">Among the 36 patients with an objective response, 83% had </w:t>
      </w:r>
      <w:proofErr w:type="spellStart"/>
      <w:r w:rsidRPr="002C771A">
        <w:t>D</w:t>
      </w:r>
      <w:r w:rsidR="005D5AC5">
        <w:t>o</w:t>
      </w:r>
      <w:r w:rsidRPr="002C771A">
        <w:t>R</w:t>
      </w:r>
      <w:proofErr w:type="spellEnd"/>
      <w:r w:rsidRPr="002C771A">
        <w:t xml:space="preserve"> of ≥</w:t>
      </w:r>
      <w:r w:rsidR="005D5AC5">
        <w:t> </w:t>
      </w:r>
      <w:r w:rsidRPr="002C771A">
        <w:t xml:space="preserve">6 months and 39% had </w:t>
      </w:r>
      <w:proofErr w:type="spellStart"/>
      <w:r w:rsidRPr="002C771A">
        <w:t>D</w:t>
      </w:r>
      <w:r w:rsidR="005D5AC5">
        <w:t>o</w:t>
      </w:r>
      <w:r w:rsidRPr="002C771A">
        <w:t>R</w:t>
      </w:r>
      <w:proofErr w:type="spellEnd"/>
      <w:r w:rsidRPr="002C771A">
        <w:t xml:space="preserve"> of ≥</w:t>
      </w:r>
      <w:r w:rsidR="005D5AC5">
        <w:t> </w:t>
      </w:r>
      <w:r w:rsidRPr="002C771A">
        <w:t>12 months</w:t>
      </w:r>
      <w:r w:rsidR="005D5AC5">
        <w:t>.</w:t>
      </w:r>
    </w:p>
    <w:p w14:paraId="09955772" w14:textId="3A047C58" w:rsidR="002C771A" w:rsidRPr="002C771A" w:rsidRDefault="002C771A" w:rsidP="00235900">
      <w:pPr>
        <w:pStyle w:val="ListBullet"/>
      </w:pPr>
      <w:r w:rsidRPr="002C771A">
        <w:t>Cohort 7 enrolled 12 patients with NPC who had received no prior systemic therapy for recurrent or metastatic disease. Investigator</w:t>
      </w:r>
      <w:r w:rsidR="00CB3285">
        <w:t xml:space="preserve"> </w:t>
      </w:r>
      <w:r w:rsidRPr="002C771A">
        <w:t xml:space="preserve">determined objective response rate per </w:t>
      </w:r>
      <w:r w:rsidR="008A56FE">
        <w:t>RECIST v1.1 was 75.0% (9</w:t>
      </w:r>
      <w:r w:rsidR="00335BD9">
        <w:t>5% CI: 42.8, 94.5). The median duration of response was 7.1 months (</w:t>
      </w:r>
      <w:r w:rsidR="00235900">
        <w:t>95% CI: 4.2, 15.3).</w:t>
      </w:r>
    </w:p>
    <w:p w14:paraId="414872F3" w14:textId="0F29A074" w:rsidR="002C771A" w:rsidRPr="002C771A" w:rsidRDefault="002C771A" w:rsidP="00235900">
      <w:pPr>
        <w:pStyle w:val="Heading6"/>
      </w:pPr>
      <w:r w:rsidRPr="002C771A">
        <w:t>Uncertainties</w:t>
      </w:r>
    </w:p>
    <w:p w14:paraId="136EB982" w14:textId="01D7F657" w:rsidR="002C771A" w:rsidRPr="002C771A" w:rsidRDefault="002C771A" w:rsidP="003D4B2F">
      <w:r w:rsidRPr="002C771A">
        <w:t>A limitation of the data is that the two primary trials supporting this marketing application were conducted exclusively in Asia. JUPITER</w:t>
      </w:r>
      <w:r w:rsidR="003D4B2F">
        <w:noBreakHyphen/>
      </w:r>
      <w:r w:rsidRPr="002C771A">
        <w:t>02 had clinical sites only in China, Taiwan and Singapore, while POLARIS</w:t>
      </w:r>
      <w:r w:rsidR="003D4B2F">
        <w:noBreakHyphen/>
      </w:r>
      <w:r w:rsidRPr="002C771A">
        <w:t xml:space="preserve">02 was conducted exclusively in China, and all patients enrolled in both studies were Asian patients. Therefore, as highlighted </w:t>
      </w:r>
      <w:r w:rsidR="00CD2639">
        <w:t>in</w:t>
      </w:r>
      <w:r w:rsidRPr="002C771A">
        <w:t xml:space="preserve"> the evaluat</w:t>
      </w:r>
      <w:r w:rsidR="00CD2639">
        <w:t>ion</w:t>
      </w:r>
      <w:r w:rsidRPr="002C771A">
        <w:t>, the patient population in the trials is not totally reflective of the racial and ethnic diversity of patients with NPC in the Australia and the US</w:t>
      </w:r>
      <w:r w:rsidR="00CD2639">
        <w:t>.</w:t>
      </w:r>
      <w:r w:rsidRPr="002C771A">
        <w:t xml:space="preserve"> </w:t>
      </w:r>
      <w:r w:rsidR="00CD2639">
        <w:t>I</w:t>
      </w:r>
      <w:r w:rsidRPr="002C771A">
        <w:t>n addition, patients with NPC with keratini</w:t>
      </w:r>
      <w:r w:rsidR="00CD2639">
        <w:t>s</w:t>
      </w:r>
      <w:r w:rsidRPr="002C771A">
        <w:t>ing histology are significantly underrepresented relative to the expected incidence of this histology in a U</w:t>
      </w:r>
      <w:r w:rsidR="003B3331">
        <w:t>S</w:t>
      </w:r>
      <w:r w:rsidRPr="002C771A">
        <w:t xml:space="preserve"> population of patients with NPC.</w:t>
      </w:r>
    </w:p>
    <w:p w14:paraId="6CCF7258" w14:textId="6D62809E" w:rsidR="00FD4D16" w:rsidRPr="00FD4D16" w:rsidRDefault="002C771A" w:rsidP="00FD4D16">
      <w:r w:rsidRPr="002C771A">
        <w:t>However, the following commentary in the Project Orbis evaluation</w:t>
      </w:r>
      <w:r w:rsidR="006B64B4" w:rsidRPr="00FD4D16">
        <w:t xml:space="preserve"> </w:t>
      </w:r>
      <w:r w:rsidRPr="002C771A">
        <w:t>is noted:</w:t>
      </w:r>
    </w:p>
    <w:p w14:paraId="19CF72EA" w14:textId="1C52DA37" w:rsidR="002C771A" w:rsidRPr="002C771A" w:rsidRDefault="002C771A" w:rsidP="00FD4D16">
      <w:pPr>
        <w:ind w:left="720"/>
        <w:rPr>
          <w:i/>
          <w:iCs/>
        </w:rPr>
      </w:pPr>
      <w:r w:rsidRPr="002C771A">
        <w:rPr>
          <w:i/>
          <w:iCs/>
        </w:rPr>
        <w:t>While both JUPITER</w:t>
      </w:r>
      <w:r w:rsidR="00FD4D16">
        <w:rPr>
          <w:i/>
          <w:iCs/>
        </w:rPr>
        <w:noBreakHyphen/>
      </w:r>
      <w:r w:rsidRPr="002C771A">
        <w:rPr>
          <w:i/>
          <w:iCs/>
        </w:rPr>
        <w:t xml:space="preserve">02 and POLARI-02 were conducted exclusively in Asia, a flexible regulatory approach is warranted given the high unmet need and lack of FDA-approved therapies for US patients with NPC. The Applicant will be collecting additional clinical data to further characterize the safety and efficacy of </w:t>
      </w:r>
      <w:proofErr w:type="spellStart"/>
      <w:r w:rsidRPr="002C771A">
        <w:rPr>
          <w:i/>
          <w:iCs/>
        </w:rPr>
        <w:t>toripalimab</w:t>
      </w:r>
      <w:proofErr w:type="spellEnd"/>
      <w:r w:rsidRPr="002C771A">
        <w:rPr>
          <w:i/>
          <w:iCs/>
        </w:rPr>
        <w:t xml:space="preserve"> in combination with cisplatin and gemcitabine for the treatment of NPC in a study population </w:t>
      </w:r>
      <w:proofErr w:type="gramStart"/>
      <w:r w:rsidRPr="002C771A">
        <w:rPr>
          <w:i/>
          <w:iCs/>
        </w:rPr>
        <w:t>whose</w:t>
      </w:r>
      <w:proofErr w:type="gramEnd"/>
      <w:r w:rsidRPr="002C771A">
        <w:rPr>
          <w:i/>
          <w:iCs/>
        </w:rPr>
        <w:t xml:space="preserve"> demographic and disease characteristics are more representative of the population of U.S. patients with NPC.</w:t>
      </w:r>
    </w:p>
    <w:p w14:paraId="7D6A8803" w14:textId="77777777" w:rsidR="00F100FD" w:rsidRDefault="002C771A" w:rsidP="00F100FD">
      <w:r w:rsidRPr="002C771A">
        <w:lastRenderedPageBreak/>
        <w:t xml:space="preserve">This approach would similarly apply in the Australian context. If registration for </w:t>
      </w:r>
      <w:proofErr w:type="spellStart"/>
      <w:r w:rsidRPr="002C771A">
        <w:t>toripalimab</w:t>
      </w:r>
      <w:proofErr w:type="spellEnd"/>
      <w:r w:rsidRPr="002C771A">
        <w:t xml:space="preserve"> is TGA approved, the </w:t>
      </w:r>
      <w:r w:rsidR="00F100FD">
        <w:t>D</w:t>
      </w:r>
      <w:r w:rsidRPr="002C771A">
        <w:t>elegate proposes the following additional condition of registration</w:t>
      </w:r>
      <w:r w:rsidR="00F100FD">
        <w:t xml:space="preserve"> </w:t>
      </w:r>
      <w:r w:rsidRPr="002C771A">
        <w:t xml:space="preserve">to further inform clinical efficacy and safety that would be relevant for the Australian population: </w:t>
      </w:r>
    </w:p>
    <w:p w14:paraId="0F67B103" w14:textId="0C5CCD97" w:rsidR="002C771A" w:rsidRPr="002C771A" w:rsidRDefault="002C771A" w:rsidP="00F100FD">
      <w:pPr>
        <w:pStyle w:val="ListBullet"/>
      </w:pPr>
      <w:r w:rsidRPr="002C771A">
        <w:t>Conduct a clinical trial enrolling a total sample size of 100 patients in the U</w:t>
      </w:r>
      <w:r w:rsidR="0054472C">
        <w:t>S</w:t>
      </w:r>
      <w:r w:rsidRPr="002C771A">
        <w:t xml:space="preserve"> and Canada, that includes a sufficient representation of patients in racial and ethnic minority subgroups and is reflective of the </w:t>
      </w:r>
      <w:r w:rsidR="0054472C">
        <w:t>U</w:t>
      </w:r>
      <w:r w:rsidRPr="002C771A">
        <w:t>S population of patients with nasopharyngeal carcinoma (NPC), to further characteri</w:t>
      </w:r>
      <w:r w:rsidR="0054472C">
        <w:t>s</w:t>
      </w:r>
      <w:r w:rsidRPr="002C771A">
        <w:t xml:space="preserve">e the safety and efficacy of </w:t>
      </w:r>
      <w:proofErr w:type="spellStart"/>
      <w:r w:rsidRPr="002C771A">
        <w:t>toripalimab</w:t>
      </w:r>
      <w:proofErr w:type="spellEnd"/>
      <w:r w:rsidRPr="002C771A">
        <w:t xml:space="preserve"> in combination with cisplatin and gemcitabine in these patients. Include </w:t>
      </w:r>
      <w:proofErr w:type="gramStart"/>
      <w:r w:rsidRPr="002C771A">
        <w:t>a sufficient number of</w:t>
      </w:r>
      <w:proofErr w:type="gramEnd"/>
      <w:r w:rsidRPr="002C771A">
        <w:t xml:space="preserve"> patients with the keratini</w:t>
      </w:r>
      <w:r w:rsidR="0054472C">
        <w:t>s</w:t>
      </w:r>
      <w:r w:rsidRPr="002C771A">
        <w:t>ing subtype reflecting the incidence of keratini</w:t>
      </w:r>
      <w:r w:rsidR="0054472C">
        <w:t>s</w:t>
      </w:r>
      <w:r w:rsidRPr="002C771A">
        <w:t xml:space="preserve">ing NPC in the US population. Conduct sparse sampling for supportive population pharmacokinetic and </w:t>
      </w:r>
      <w:r w:rsidR="0054472C">
        <w:t>e</w:t>
      </w:r>
      <w:r w:rsidRPr="002C771A">
        <w:t>xposure</w:t>
      </w:r>
      <w:r w:rsidR="0054472C">
        <w:t xml:space="preserve"> r</w:t>
      </w:r>
      <w:r w:rsidRPr="002C771A">
        <w:t>esponse (ER) analyses. The ER analyses may be used as supportive evidence for the efficacy and safety in the intended patient population. In the ER analyses report, include an analysis of the presence and clinical impact of the neutrali</w:t>
      </w:r>
      <w:r w:rsidR="0054472C">
        <w:t>s</w:t>
      </w:r>
      <w:r w:rsidRPr="002C771A">
        <w:t xml:space="preserve">ing anti-drug antibodies on pharmacokinetics, efficacy and safety of </w:t>
      </w:r>
      <w:proofErr w:type="spellStart"/>
      <w:r w:rsidRPr="002C771A">
        <w:t>toripalimab</w:t>
      </w:r>
      <w:proofErr w:type="spellEnd"/>
      <w:r w:rsidRPr="002C771A">
        <w:t>.</w:t>
      </w:r>
    </w:p>
    <w:p w14:paraId="15CCE88F" w14:textId="68EF5C5D" w:rsidR="002C771A" w:rsidRPr="002C771A" w:rsidRDefault="0054472C" w:rsidP="0054472C">
      <w:r w:rsidRPr="0054472C">
        <w:t>D</w:t>
      </w:r>
      <w:r w:rsidR="002C771A" w:rsidRPr="002C771A">
        <w:t xml:space="preserve">ue to the low incidence of </w:t>
      </w:r>
      <w:proofErr w:type="gramStart"/>
      <w:r w:rsidR="002C771A" w:rsidRPr="002C771A">
        <w:t>ADAs</w:t>
      </w:r>
      <w:proofErr w:type="gramEnd"/>
      <w:r w:rsidR="002C771A" w:rsidRPr="002C771A">
        <w:t xml:space="preserve"> no conclusion can be made on their impact on efficacy.</w:t>
      </w:r>
    </w:p>
    <w:p w14:paraId="710280A6" w14:textId="0107E226" w:rsidR="002C771A" w:rsidRPr="002C771A" w:rsidRDefault="002C771A" w:rsidP="0054472C">
      <w:pPr>
        <w:pStyle w:val="Heading5"/>
      </w:pPr>
      <w:r w:rsidRPr="002C771A">
        <w:t>Risks/</w:t>
      </w:r>
      <w:r w:rsidR="0031495B">
        <w:t>u</w:t>
      </w:r>
      <w:r w:rsidRPr="002C771A">
        <w:t>ncertainties of risk</w:t>
      </w:r>
    </w:p>
    <w:p w14:paraId="080E642F" w14:textId="50B54170" w:rsidR="002C771A" w:rsidRPr="002C771A" w:rsidRDefault="002C771A" w:rsidP="0031495B">
      <w:r w:rsidRPr="002C771A">
        <w:t xml:space="preserve">The overall safety profile of </w:t>
      </w:r>
      <w:proofErr w:type="spellStart"/>
      <w:r w:rsidRPr="002C771A">
        <w:t>toripalimab</w:t>
      </w:r>
      <w:proofErr w:type="spellEnd"/>
      <w:r w:rsidRPr="002C771A">
        <w:t xml:space="preserve"> was </w:t>
      </w:r>
      <w:proofErr w:type="gramStart"/>
      <w:r w:rsidRPr="002C771A">
        <w:t>similar to</w:t>
      </w:r>
      <w:proofErr w:type="gramEnd"/>
      <w:r w:rsidRPr="002C771A">
        <w:t xml:space="preserve"> that observed with other PD-1 blocking antibodies. Safety issues identified as significant and serious were immune</w:t>
      </w:r>
      <w:r w:rsidR="0031495B">
        <w:t xml:space="preserve"> </w:t>
      </w:r>
      <w:r w:rsidRPr="002C771A">
        <w:t>related adverse events and infusion</w:t>
      </w:r>
      <w:r w:rsidR="0031495B">
        <w:t xml:space="preserve"> </w:t>
      </w:r>
      <w:r w:rsidRPr="002C771A">
        <w:t xml:space="preserve">related reactions, which are adequately addressed by the information in the Warnings and Precautions and Dosage Modifications sections included in the </w:t>
      </w:r>
      <w:r w:rsidR="0031495B">
        <w:t>(Product Informatio</w:t>
      </w:r>
      <w:r w:rsidR="0031495B" w:rsidRPr="00987FDC">
        <w:t>n (</w:t>
      </w:r>
      <w:r w:rsidRPr="002C771A">
        <w:t>PI</w:t>
      </w:r>
      <w:r w:rsidR="0031495B" w:rsidRPr="00987FDC">
        <w:t>))</w:t>
      </w:r>
      <w:r w:rsidRPr="002C771A">
        <w:t xml:space="preserve">. </w:t>
      </w:r>
      <w:proofErr w:type="spellStart"/>
      <w:r w:rsidRPr="002C771A">
        <w:t>Toripalimab</w:t>
      </w:r>
      <w:proofErr w:type="spellEnd"/>
      <w:r w:rsidRPr="002C771A">
        <w:t xml:space="preserve"> appears to have an acceptable safety profile when assessed in the context of a life-threatening disease with unmet medical need.</w:t>
      </w:r>
    </w:p>
    <w:p w14:paraId="0929D0A0" w14:textId="280ABFD2" w:rsidR="0031495B" w:rsidRDefault="002C771A" w:rsidP="0031495B">
      <w:pPr>
        <w:pStyle w:val="Heading6"/>
      </w:pPr>
      <w:r w:rsidRPr="002C771A">
        <w:t>Uncertainties</w:t>
      </w:r>
    </w:p>
    <w:p w14:paraId="2D4E4EB5" w14:textId="77777777" w:rsidR="00F50116" w:rsidRDefault="0031495B" w:rsidP="002C771A">
      <w:r>
        <w:t>D</w:t>
      </w:r>
      <w:r w:rsidR="002C771A" w:rsidRPr="002C771A">
        <w:t xml:space="preserve">ue to the low incidence of </w:t>
      </w:r>
      <w:proofErr w:type="gramStart"/>
      <w:r w:rsidR="002C771A" w:rsidRPr="002C771A">
        <w:t>ADAs</w:t>
      </w:r>
      <w:proofErr w:type="gramEnd"/>
      <w:r w:rsidR="002C771A" w:rsidRPr="002C771A">
        <w:t xml:space="preserve"> no conclusion can be made on the impact on safety</w:t>
      </w:r>
      <w:r w:rsidR="00F50116">
        <w:t>.</w:t>
      </w:r>
    </w:p>
    <w:p w14:paraId="35317B0E" w14:textId="31413300" w:rsidR="00443FBB" w:rsidRDefault="002C771A" w:rsidP="0031495B">
      <w:pPr>
        <w:pStyle w:val="Heading5"/>
      </w:pPr>
      <w:r w:rsidRPr="002C771A">
        <w:t>Benefit/</w:t>
      </w:r>
      <w:r w:rsidR="00FA74B9">
        <w:t>r</w:t>
      </w:r>
      <w:r w:rsidRPr="002C771A">
        <w:t>isk balance</w:t>
      </w:r>
    </w:p>
    <w:p w14:paraId="7363E860" w14:textId="29E91F8A" w:rsidR="00392C06" w:rsidRPr="00392C06" w:rsidRDefault="00392C06" w:rsidP="00FA74B9">
      <w:r w:rsidRPr="00392C06">
        <w:t>The improvement in PFS and OS demonstrated in JUPITER</w:t>
      </w:r>
      <w:r w:rsidR="00FA74B9">
        <w:noBreakHyphen/>
      </w:r>
      <w:r w:rsidRPr="00392C06">
        <w:t xml:space="preserve">02 for patients with metastatic or recurrent, locally advanced NPC in the first line treatment setting </w:t>
      </w:r>
      <w:proofErr w:type="gramStart"/>
      <w:r w:rsidRPr="00392C06">
        <w:t>are considered to be</w:t>
      </w:r>
      <w:proofErr w:type="gramEnd"/>
      <w:r w:rsidRPr="00392C06">
        <w:t xml:space="preserve"> clinically meaningful, and the safety profile acceptable, in the context of this life-threatening disease:</w:t>
      </w:r>
    </w:p>
    <w:p w14:paraId="5AD69D5D" w14:textId="27CD13E4" w:rsidR="00392C06" w:rsidRPr="00392C06" w:rsidRDefault="00EB6D1C" w:rsidP="00EB6D1C">
      <w:pPr>
        <w:pStyle w:val="ListBullet"/>
      </w:pPr>
      <w:r>
        <w:t>S</w:t>
      </w:r>
      <w:r w:rsidR="00392C06" w:rsidRPr="00392C06">
        <w:t>tatistically significant improvement in IRC</w:t>
      </w:r>
      <w:r>
        <w:t xml:space="preserve"> </w:t>
      </w:r>
      <w:r w:rsidR="00392C06" w:rsidRPr="00392C06">
        <w:t xml:space="preserve">assessed PFS favouring the </w:t>
      </w:r>
      <w:proofErr w:type="spellStart"/>
      <w:r w:rsidR="00392C06" w:rsidRPr="00392C06">
        <w:t>toripalimab</w:t>
      </w:r>
      <w:proofErr w:type="spellEnd"/>
      <w:r w:rsidR="00392C06" w:rsidRPr="00392C06">
        <w:t xml:space="preserve"> arm, with a HR of 0.52 (95% CI 0.37, 0.73), corresponding to a median PFS of 21.4 months (95% CI: 11.7, NE) in the </w:t>
      </w:r>
      <w:proofErr w:type="spellStart"/>
      <w:r w:rsidR="00392C06" w:rsidRPr="00392C06">
        <w:t>toripalimab</w:t>
      </w:r>
      <w:proofErr w:type="spellEnd"/>
      <w:r w:rsidR="00392C06" w:rsidRPr="00392C06">
        <w:t xml:space="preserve"> in combination with cisplatin and gemcitabine arm and 8.2</w:t>
      </w:r>
      <w:r>
        <w:t> </w:t>
      </w:r>
      <w:r w:rsidR="00392C06" w:rsidRPr="00392C06">
        <w:t>months (95% CI: 7.0, 9.8) in the placebo in combination with cisplatin and gemcitabine arm</w:t>
      </w:r>
      <w:r>
        <w:t>.</w:t>
      </w:r>
    </w:p>
    <w:p w14:paraId="5844F196" w14:textId="0EBB2F13" w:rsidR="00392C06" w:rsidRPr="00392C06" w:rsidRDefault="00EB6D1C" w:rsidP="00392C06">
      <w:pPr>
        <w:pStyle w:val="ListBullet"/>
      </w:pPr>
      <w:r>
        <w:t>S</w:t>
      </w:r>
      <w:r w:rsidR="00392C06" w:rsidRPr="00392C06">
        <w:t>tatistically significant improvement in OS with a HR of 0.63 (95% CI: 0.45, 0.89, p</w:t>
      </w:r>
      <w:r>
        <w:t> = </w:t>
      </w:r>
      <w:r w:rsidR="00392C06" w:rsidRPr="00392C06">
        <w:t xml:space="preserve">0.0083), with median OS not reached (95% CI: 38.7, NE) in the </w:t>
      </w:r>
      <w:proofErr w:type="spellStart"/>
      <w:r w:rsidR="00392C06" w:rsidRPr="00392C06">
        <w:t>toripalimab</w:t>
      </w:r>
      <w:proofErr w:type="spellEnd"/>
      <w:r w:rsidR="00392C06" w:rsidRPr="00392C06">
        <w:t xml:space="preserve"> in combination with cisplatin and gemcitabine treatment arm and 33.7 months (95% CI: 27.0, 44.2) in the placebo with cisplatin and gemcitabine arm</w:t>
      </w:r>
      <w:r w:rsidR="0070205E">
        <w:t>.</w:t>
      </w:r>
    </w:p>
    <w:p w14:paraId="67F4DE08" w14:textId="587125DF" w:rsidR="00392C06" w:rsidRPr="00392C06" w:rsidRDefault="00392C06" w:rsidP="0070205E">
      <w:r w:rsidRPr="00392C06">
        <w:t>Likewise, POLARIS</w:t>
      </w:r>
      <w:r w:rsidR="0070205E">
        <w:noBreakHyphen/>
      </w:r>
      <w:r w:rsidRPr="00392C06">
        <w:t xml:space="preserve">02 provided evidence in support of treatment with </w:t>
      </w:r>
      <w:proofErr w:type="spellStart"/>
      <w:r w:rsidRPr="00392C06">
        <w:t>toripalimab</w:t>
      </w:r>
      <w:proofErr w:type="spellEnd"/>
      <w:r w:rsidRPr="00392C06">
        <w:t xml:space="preserve"> in patients with unresectable/metastatic NPC with disease progression on or after platinum-containing chemotherapy. The ICR</w:t>
      </w:r>
      <w:r w:rsidR="0070205E">
        <w:t xml:space="preserve"> </w:t>
      </w:r>
      <w:r w:rsidRPr="00392C06">
        <w:t xml:space="preserve">assessed ORR was 21% (95% CI: 15, 28), with a median </w:t>
      </w:r>
      <w:proofErr w:type="spellStart"/>
      <w:r w:rsidRPr="00392C06">
        <w:t>D</w:t>
      </w:r>
      <w:r w:rsidR="0070205E">
        <w:t>o</w:t>
      </w:r>
      <w:r w:rsidRPr="00392C06">
        <w:t>R</w:t>
      </w:r>
      <w:proofErr w:type="spellEnd"/>
      <w:r w:rsidRPr="00392C06">
        <w:t xml:space="preserve"> of 14.9</w:t>
      </w:r>
      <w:r w:rsidR="0070205E">
        <w:t> </w:t>
      </w:r>
      <w:r w:rsidRPr="00392C06">
        <w:t xml:space="preserve">months (95% CI: 10.3, NE). Among the 36 patients with an objective response, 83% had </w:t>
      </w:r>
      <w:proofErr w:type="spellStart"/>
      <w:r w:rsidRPr="00392C06">
        <w:t>D</w:t>
      </w:r>
      <w:r w:rsidR="0070205E">
        <w:t>o</w:t>
      </w:r>
      <w:r w:rsidRPr="00392C06">
        <w:t>R</w:t>
      </w:r>
      <w:proofErr w:type="spellEnd"/>
      <w:r w:rsidRPr="00392C06">
        <w:t xml:space="preserve"> of ≥</w:t>
      </w:r>
      <w:r w:rsidR="0070205E">
        <w:t> </w:t>
      </w:r>
      <w:r w:rsidRPr="00392C06">
        <w:t xml:space="preserve">6 months and 39% had </w:t>
      </w:r>
      <w:proofErr w:type="spellStart"/>
      <w:r w:rsidRPr="00392C06">
        <w:t>D</w:t>
      </w:r>
      <w:r w:rsidR="0070205E">
        <w:t>o</w:t>
      </w:r>
      <w:r w:rsidRPr="00392C06">
        <w:t>R</w:t>
      </w:r>
      <w:proofErr w:type="spellEnd"/>
      <w:r w:rsidRPr="00392C06">
        <w:t xml:space="preserve"> of ≥</w:t>
      </w:r>
      <w:r w:rsidR="0070205E">
        <w:t> </w:t>
      </w:r>
      <w:r w:rsidRPr="00392C06">
        <w:t>12 months. These results are considered clinically meaningful when considering the intended patient population, and the results of the JUPITER</w:t>
      </w:r>
      <w:r w:rsidR="003C6700">
        <w:noBreakHyphen/>
      </w:r>
      <w:r w:rsidRPr="00392C06">
        <w:t xml:space="preserve">02 study provide further confidence in the benefit of </w:t>
      </w:r>
      <w:proofErr w:type="spellStart"/>
      <w:r w:rsidRPr="00392C06">
        <w:t>toripalimab</w:t>
      </w:r>
      <w:proofErr w:type="spellEnd"/>
      <w:r w:rsidRPr="00392C06">
        <w:t xml:space="preserve"> for the treatment of patients with advanced NPC.</w:t>
      </w:r>
    </w:p>
    <w:p w14:paraId="37F6D13E" w14:textId="06EC1288" w:rsidR="00392C06" w:rsidRPr="00392C06" w:rsidRDefault="00392C06" w:rsidP="0070205E">
      <w:r w:rsidRPr="00392C06">
        <w:lastRenderedPageBreak/>
        <w:t xml:space="preserve">Despite some uncertainty in the applicability of the trial data generated in Asia to the Australian population, the </w:t>
      </w:r>
      <w:r w:rsidR="003C6700">
        <w:t>D</w:t>
      </w:r>
      <w:r w:rsidRPr="00392C06">
        <w:t xml:space="preserve">elegate’s opinion is that overall, approval of </w:t>
      </w:r>
      <w:proofErr w:type="spellStart"/>
      <w:r w:rsidRPr="00392C06">
        <w:t>toripalimab</w:t>
      </w:r>
      <w:proofErr w:type="spellEnd"/>
      <w:r w:rsidRPr="00392C06">
        <w:t xml:space="preserve"> for the proposed indications are warranted in view of the high unmet need and lack of TGA approved therapies for the relevant patient population in Australia. The comparator arm of cisplatin plus gemcitabine used in the JUPITER</w:t>
      </w:r>
      <w:r w:rsidR="003C6700">
        <w:noBreakHyphen/>
      </w:r>
      <w:r w:rsidRPr="00392C06">
        <w:t>02 study is considered standard of care for the first-line treatment of patients with NPC in Australia and is therefore applicable to Australian medical practice. The incidence of NPC is much higher in Southeast Asia (relative to countries such as United States and Australia, where NPC is a relatively rare disease), making enrolment to clinical trials more feasible in that region of the world. The clinical evaluation report confirms that clinical site inspections were conducted by the FDA to validate the data supporting this application.</w:t>
      </w:r>
    </w:p>
    <w:p w14:paraId="12C6066D" w14:textId="14738DA8" w:rsidR="00392C06" w:rsidRPr="00392C06" w:rsidRDefault="00392C06" w:rsidP="00682176">
      <w:r w:rsidRPr="00392C06">
        <w:t>A condition of registration</w:t>
      </w:r>
      <w:r w:rsidR="00682176">
        <w:t xml:space="preserve"> </w:t>
      </w:r>
      <w:r w:rsidRPr="00392C06">
        <w:t xml:space="preserve">for the submission of additional clinical data of </w:t>
      </w:r>
      <w:proofErr w:type="spellStart"/>
      <w:r w:rsidRPr="00392C06">
        <w:t>toripalimab</w:t>
      </w:r>
      <w:proofErr w:type="spellEnd"/>
      <w:r w:rsidRPr="00392C06">
        <w:t xml:space="preserve"> in combination with cisplatin</w:t>
      </w:r>
      <w:r w:rsidR="00682176">
        <w:t xml:space="preserve"> and </w:t>
      </w:r>
      <w:r w:rsidRPr="00392C06">
        <w:t>gemcitabine for the treatment of NPC in the US/Canadian population would further inform clinical efficacy and safety as relevant for the Australian population.</w:t>
      </w:r>
    </w:p>
    <w:p w14:paraId="51F14156" w14:textId="0389B726" w:rsidR="00392C06" w:rsidRPr="00392C06" w:rsidRDefault="00392C06" w:rsidP="00682176">
      <w:r w:rsidRPr="00392C06">
        <w:t xml:space="preserve">In addition, it is notable that the combination of </w:t>
      </w:r>
      <w:proofErr w:type="spellStart"/>
      <w:r w:rsidRPr="00392C06">
        <w:t>toripalimab</w:t>
      </w:r>
      <w:proofErr w:type="spellEnd"/>
      <w:r w:rsidRPr="00392C06">
        <w:t xml:space="preserve"> </w:t>
      </w:r>
      <w:r w:rsidR="00687889">
        <w:t>and</w:t>
      </w:r>
      <w:r w:rsidRPr="00392C06">
        <w:t xml:space="preserve"> cisplatin/gemcitabine in the 1L setting, and </w:t>
      </w:r>
      <w:proofErr w:type="spellStart"/>
      <w:r w:rsidRPr="00392C06">
        <w:t>toripalimab</w:t>
      </w:r>
      <w:proofErr w:type="spellEnd"/>
      <w:r w:rsidRPr="00392C06">
        <w:t xml:space="preserve"> monotherapy (if disease progression on or after platinum-containing therapy) in the 2L/subsequent setting, are now recommended standards of care for patients with unresectable/metastatic NPC in international treatment guidelines (</w:t>
      </w:r>
      <w:r w:rsidR="00A118AF">
        <w:t>that is,</w:t>
      </w:r>
      <w:r w:rsidRPr="00392C06">
        <w:t xml:space="preserve"> </w:t>
      </w:r>
      <w:r w:rsidR="00E17194">
        <w:t>National Comprehensive Cancer Net</w:t>
      </w:r>
      <w:r w:rsidR="00002FB1">
        <w:t xml:space="preserve">work </w:t>
      </w:r>
      <w:r w:rsidRPr="00392C06">
        <w:t>v4.2024 Head and Neck Cancers May</w:t>
      </w:r>
      <w:r w:rsidR="00002FB1">
        <w:t> </w:t>
      </w:r>
      <w:r w:rsidRPr="00392C06">
        <w:t>1</w:t>
      </w:r>
      <w:r w:rsidR="00002FB1">
        <w:t> </w:t>
      </w:r>
      <w:r w:rsidRPr="00392C06">
        <w:t>2024).</w:t>
      </w:r>
    </w:p>
    <w:p w14:paraId="5C635C5D" w14:textId="2F6473DC" w:rsidR="00392C06" w:rsidRPr="00682176" w:rsidRDefault="00392C06" w:rsidP="00682176">
      <w:r w:rsidRPr="00682176">
        <w:t xml:space="preserve">Presently, the risk-benefit assessment of </w:t>
      </w:r>
      <w:proofErr w:type="spellStart"/>
      <w:r w:rsidRPr="00682176">
        <w:t>toripalimab</w:t>
      </w:r>
      <w:proofErr w:type="spellEnd"/>
      <w:r w:rsidRPr="00682176">
        <w:t xml:space="preserve"> </w:t>
      </w:r>
      <w:proofErr w:type="gramStart"/>
      <w:r w:rsidRPr="00682176">
        <w:t>is considered to be</w:t>
      </w:r>
      <w:proofErr w:type="gramEnd"/>
      <w:r w:rsidRPr="00682176">
        <w:t xml:space="preserve"> favourable for the proposed population.</w:t>
      </w:r>
    </w:p>
    <w:p w14:paraId="3916F296" w14:textId="77777777" w:rsidR="00C22214" w:rsidRDefault="00C22214" w:rsidP="00C22214">
      <w:pPr>
        <w:pStyle w:val="Heading4"/>
      </w:pPr>
      <w:bookmarkStart w:id="72" w:name="_Toc98931933"/>
      <w:bookmarkStart w:id="73" w:name="_Toc233974556"/>
      <w:r w:rsidRPr="00D23139">
        <w:t>Proposed action</w:t>
      </w:r>
      <w:bookmarkEnd w:id="72"/>
      <w:bookmarkEnd w:id="73"/>
    </w:p>
    <w:p w14:paraId="4E837EA3" w14:textId="0CF53931" w:rsidR="00392C06" w:rsidRPr="00EE3E54" w:rsidRDefault="00392C06" w:rsidP="00EE3E54">
      <w:r w:rsidRPr="00EE3E54">
        <w:t xml:space="preserve">The </w:t>
      </w:r>
      <w:r w:rsidR="00EE3E54" w:rsidRPr="00EE3E54">
        <w:t xml:space="preserve">risk-benefit </w:t>
      </w:r>
      <w:r w:rsidRPr="00EE3E54">
        <w:t xml:space="preserve">assessment for </w:t>
      </w:r>
      <w:proofErr w:type="spellStart"/>
      <w:r w:rsidRPr="00EE3E54">
        <w:t>toripalimab</w:t>
      </w:r>
      <w:proofErr w:type="spellEnd"/>
      <w:r w:rsidRPr="00EE3E54">
        <w:t xml:space="preserve"> </w:t>
      </w:r>
      <w:proofErr w:type="gramStart"/>
      <w:r w:rsidRPr="00EE3E54">
        <w:t>is considered to be</w:t>
      </w:r>
      <w:proofErr w:type="gramEnd"/>
      <w:r w:rsidRPr="00EE3E54">
        <w:t xml:space="preserve"> favourable; the </w:t>
      </w:r>
      <w:r w:rsidR="00EE3E54">
        <w:t>D</w:t>
      </w:r>
      <w:r w:rsidRPr="00EE3E54">
        <w:t xml:space="preserve">elegate supports registration of </w:t>
      </w:r>
      <w:proofErr w:type="spellStart"/>
      <w:r w:rsidRPr="00EE3E54">
        <w:t>toripalimab</w:t>
      </w:r>
      <w:proofErr w:type="spellEnd"/>
      <w:r w:rsidRPr="00EE3E54">
        <w:t xml:space="preserve"> for the following indications</w:t>
      </w:r>
      <w:r w:rsidR="00EE3E54">
        <w:t>:</w:t>
      </w:r>
    </w:p>
    <w:p w14:paraId="0A6CF31D" w14:textId="6AE13205" w:rsidR="00902FB4" w:rsidRPr="00902FB4" w:rsidRDefault="00902FB4" w:rsidP="00EE3E54">
      <w:pPr>
        <w:ind w:left="720"/>
        <w:rPr>
          <w:i/>
          <w:iCs/>
        </w:rPr>
      </w:pPr>
      <w:proofErr w:type="spellStart"/>
      <w:r w:rsidRPr="00902FB4">
        <w:rPr>
          <w:i/>
          <w:iCs/>
        </w:rPr>
        <w:t>Toripalimab</w:t>
      </w:r>
      <w:proofErr w:type="spellEnd"/>
      <w:r w:rsidRPr="00902FB4">
        <w:rPr>
          <w:i/>
          <w:iCs/>
        </w:rPr>
        <w:t xml:space="preserve"> is indicated, in combination with cisplatin and gemcitabine, for the first-line treatment of adults with metastatic or with recurrent, locally advanced nasopharyngeal carcinoma (NPC),</w:t>
      </w:r>
    </w:p>
    <w:p w14:paraId="10B75F87" w14:textId="5C48D676" w:rsidR="00902FB4" w:rsidRPr="00902FB4" w:rsidRDefault="00902FB4" w:rsidP="00EE3E54">
      <w:pPr>
        <w:ind w:left="720"/>
        <w:rPr>
          <w:i/>
          <w:iCs/>
        </w:rPr>
      </w:pPr>
      <w:proofErr w:type="spellStart"/>
      <w:r w:rsidRPr="00902FB4">
        <w:rPr>
          <w:i/>
          <w:iCs/>
        </w:rPr>
        <w:t>Toripalimab</w:t>
      </w:r>
      <w:proofErr w:type="spellEnd"/>
      <w:r w:rsidRPr="00902FB4">
        <w:rPr>
          <w:i/>
          <w:iCs/>
        </w:rPr>
        <w:t xml:space="preserve"> is indicated, as a single agent, for the treatment of adults with recurrent unresectable or metastatic nasopharyngeal carcinoma (NPC) with disease progression on or after a platinum-containing chemotherapy.</w:t>
      </w:r>
    </w:p>
    <w:p w14:paraId="307F236C" w14:textId="7FD19BD3" w:rsidR="00C22214" w:rsidRPr="002E238E" w:rsidRDefault="0046285C" w:rsidP="00C22214">
      <w:pPr>
        <w:pStyle w:val="Heading2"/>
      </w:pPr>
      <w:bookmarkStart w:id="74" w:name="_Toc247691532"/>
      <w:bookmarkStart w:id="75" w:name="_Toc314842516"/>
      <w:bookmarkStart w:id="76" w:name="_Toc103679300"/>
      <w:bookmarkStart w:id="77" w:name="_Toc233974557"/>
      <w:r>
        <w:t>Assessment</w:t>
      </w:r>
      <w:r w:rsidR="00190853">
        <w:t xml:space="preserve"> </w:t>
      </w:r>
      <w:r>
        <w:t>o</w:t>
      </w:r>
      <w:r w:rsidR="00C22214">
        <w:t>utcome</w:t>
      </w:r>
      <w:bookmarkEnd w:id="74"/>
      <w:bookmarkEnd w:id="75"/>
      <w:bookmarkEnd w:id="76"/>
      <w:bookmarkEnd w:id="77"/>
    </w:p>
    <w:p w14:paraId="4EF22939" w14:textId="40A00DC8"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575C8E" w:rsidRPr="00575C8E">
        <w:t>Tuoyi (</w:t>
      </w:r>
      <w:proofErr w:type="spellStart"/>
      <w:r w:rsidR="00575C8E" w:rsidRPr="00575C8E">
        <w:t>toripalimab</w:t>
      </w:r>
      <w:proofErr w:type="spellEnd"/>
      <w:r w:rsidR="00575C8E" w:rsidRPr="00575C8E">
        <w:t>) 240 mg/6 mL, concentrated injection, vial</w:t>
      </w:r>
      <w:r w:rsidRPr="0017005C">
        <w:t>, indicated for:</w:t>
      </w:r>
    </w:p>
    <w:p w14:paraId="0052BE73" w14:textId="645FBF42" w:rsidR="00F732E9" w:rsidRPr="00F732E9" w:rsidRDefault="00F732E9" w:rsidP="00F732E9">
      <w:pPr>
        <w:ind w:left="720"/>
        <w:rPr>
          <w:i/>
          <w:iCs/>
        </w:rPr>
      </w:pPr>
      <w:r w:rsidRPr="00F732E9">
        <w:rPr>
          <w:i/>
          <w:iCs/>
        </w:rPr>
        <w:t>Tuoyi is indicated, in combination with cisplatin and gemcitabine, for the first-line treatment of adults with metastatic or recurrent, locally advanced nasopharyngeal carcinoma (NPC).</w:t>
      </w:r>
    </w:p>
    <w:p w14:paraId="3B245AB5" w14:textId="0F6ACA7C" w:rsidR="00C22214" w:rsidRPr="00F732E9" w:rsidRDefault="00F732E9" w:rsidP="00F732E9">
      <w:pPr>
        <w:ind w:left="720"/>
        <w:rPr>
          <w:i/>
          <w:iCs/>
        </w:rPr>
      </w:pPr>
      <w:r w:rsidRPr="00F732E9">
        <w:rPr>
          <w:i/>
          <w:iCs/>
        </w:rPr>
        <w:t>Tuoyi is indicated, as a single agent, for the treatment of adults with recurrent unresectable or metastatic nasopharyngeal carcinoma (NPC) with disease progression on or after a platinum-containing chemotherapy.</w:t>
      </w:r>
    </w:p>
    <w:p w14:paraId="0D732DA4" w14:textId="74882685" w:rsidR="00854D98" w:rsidRPr="00D23139" w:rsidRDefault="00854D98" w:rsidP="00906C74">
      <w:pPr>
        <w:pStyle w:val="Heading2"/>
      </w:pPr>
      <w:bookmarkStart w:id="78" w:name="_Toc233974558"/>
      <w:bookmarkStart w:id="79" w:name="_Toc103679301"/>
      <w:r w:rsidRPr="00D23139">
        <w:lastRenderedPageBreak/>
        <w:t>Specific conditions of registration</w:t>
      </w:r>
      <w:bookmarkEnd w:id="78"/>
      <w:r w:rsidRPr="00D23139">
        <w:t xml:space="preserve"> </w:t>
      </w:r>
      <w:bookmarkEnd w:id="79"/>
    </w:p>
    <w:p w14:paraId="303EDC25" w14:textId="3B961DD0" w:rsidR="004D0583" w:rsidRDefault="004D0583" w:rsidP="000478BA">
      <w:pPr>
        <w:pStyle w:val="ListBullet"/>
      </w:pPr>
      <w:r>
        <w:t>Tuoyi (</w:t>
      </w:r>
      <w:proofErr w:type="spellStart"/>
      <w:r>
        <w:t>toripalimab</w:t>
      </w:r>
      <w:proofErr w:type="spellEnd"/>
      <w:r>
        <w:t>) is to be included in the Black Triangle Scheme. The PI and CMI for Tuoyi must include the black triangle symbol and mandatory accompanying text for five years, which starts from the date of first supply of the product.</w:t>
      </w:r>
    </w:p>
    <w:p w14:paraId="1701207F" w14:textId="4CC62FB6" w:rsidR="004D0583" w:rsidRDefault="004D0583" w:rsidP="008403FD">
      <w:pPr>
        <w:pStyle w:val="ListBullet"/>
      </w:pPr>
      <w:r>
        <w:t>The Tuoyi EU-Risk Management Plan (RMP) (version 1.4.1, dated 13</w:t>
      </w:r>
      <w:r w:rsidR="008403FD">
        <w:t> </w:t>
      </w:r>
      <w:r>
        <w:t>June</w:t>
      </w:r>
      <w:r w:rsidR="008403FD">
        <w:t> </w:t>
      </w:r>
      <w:r>
        <w:t>2024; DLP 16</w:t>
      </w:r>
      <w:r w:rsidR="008403FD">
        <w:t> </w:t>
      </w:r>
      <w:r>
        <w:t>December</w:t>
      </w:r>
      <w:r w:rsidR="008403FD">
        <w:t> </w:t>
      </w:r>
      <w:r>
        <w:t>2022), with Australia Specific Annex (version 0.2, dated 13</w:t>
      </w:r>
      <w:r w:rsidR="008403FD">
        <w:t> </w:t>
      </w:r>
      <w:r>
        <w:t>June</w:t>
      </w:r>
      <w:r w:rsidR="008403FD">
        <w:t> </w:t>
      </w:r>
      <w:r>
        <w:t>2024), included with submission PM-2023-04783-1-4, and any subsequent revisions, as agreed with the TGA will be implemented in Australia.</w:t>
      </w:r>
    </w:p>
    <w:p w14:paraId="55C7BA2F" w14:textId="0A49033C" w:rsidR="004D0583" w:rsidRDefault="004D0583" w:rsidP="008403FD">
      <w:pPr>
        <w:pStyle w:val="ListBullet"/>
      </w:pPr>
      <w:r>
        <w:t>An obligatory component of risk management plans is routine pharmacovigilance. Routine pharmacovigilance includes the submission of periodic safety update reports (PSURs).</w:t>
      </w:r>
    </w:p>
    <w:p w14:paraId="1924AD35" w14:textId="2E338592" w:rsidR="004D0583" w:rsidRDefault="004D0583" w:rsidP="008403FD">
      <w:pPr>
        <w:pStyle w:val="ListBullet"/>
        <w:numPr>
          <w:ilvl w:val="0"/>
          <w:numId w:val="0"/>
        </w:numPr>
        <w:ind w:left="360"/>
      </w:pPr>
      <w:r>
        <w:t>Unless agreed separately between the supplier who is the recipient of the approval and the TGA, the first report must be submitted to TGA no later than 15 calendar months after the date of th</w:t>
      </w:r>
      <w:r w:rsidR="00693BA4">
        <w:t>e</w:t>
      </w:r>
      <w:r>
        <w:t xml:space="preserve"> approval letter. The subsequent reports must be submitted no less frequently than annually from the date of the first submitted report until the period covered by such reports is not less than three years from the date of th</w:t>
      </w:r>
      <w:r w:rsidR="00693BA4">
        <w:t>e</w:t>
      </w:r>
      <w:r>
        <w:t xml:space="preserve"> approval letter. The annual submission may be made up of two PSURs each covering six months. If the sponsor wishes, the six-monthly reports may be submitted separately as they become available.</w:t>
      </w:r>
    </w:p>
    <w:p w14:paraId="0719FE85" w14:textId="7426DB4A" w:rsidR="004D0583" w:rsidRDefault="004D0583" w:rsidP="00693BA4">
      <w:pPr>
        <w:pStyle w:val="ListBullet"/>
        <w:numPr>
          <w:ilvl w:val="0"/>
          <w:numId w:val="0"/>
        </w:numPr>
        <w:ind w:left="360"/>
      </w:pPr>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w:t>
      </w:r>
      <w:r w:rsidR="00693BA4">
        <w:t>e</w:t>
      </w:r>
      <w:r>
        <w:t xml:space="preserve"> approval letter. 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15E7758A" w14:textId="21753EAA" w:rsidR="004D0583" w:rsidRDefault="004D0583" w:rsidP="00373016">
      <w:pPr>
        <w:pStyle w:val="ListBullet"/>
      </w:pPr>
      <w:r>
        <w:t>Conduct, and submit the final dataset and report for, a clinical trial enrolling a total sample size of 100 patients in the United States (US) and Canada, that includes a sufficient representation of patients in racial and ethnic minority subgroups and is reflective of the US population of patients with nasopharyngeal carcinoma (NPC), to further characteri</w:t>
      </w:r>
      <w:r w:rsidR="009C19BD">
        <w:t>s</w:t>
      </w:r>
      <w:r>
        <w:t xml:space="preserve">e the safety and efficacy of </w:t>
      </w:r>
      <w:proofErr w:type="spellStart"/>
      <w:r>
        <w:t>toripalimab</w:t>
      </w:r>
      <w:proofErr w:type="spellEnd"/>
      <w:r>
        <w:t xml:space="preserve"> in combination with cisplatin and gemcitabine in these patients. Include </w:t>
      </w:r>
      <w:proofErr w:type="gramStart"/>
      <w:r>
        <w:t>a sufficient number of</w:t>
      </w:r>
      <w:proofErr w:type="gramEnd"/>
      <w:r>
        <w:t xml:space="preserve"> patients with the keratini</w:t>
      </w:r>
      <w:r w:rsidR="009C19BD">
        <w:t>s</w:t>
      </w:r>
      <w:r>
        <w:t>ing subtype reflecting the incidence of keratini</w:t>
      </w:r>
      <w:r w:rsidR="009C19BD">
        <w:t>s</w:t>
      </w:r>
      <w:r>
        <w:t xml:space="preserve">ing NPC in the US population. Conduct sparse sampling for supportive population pharmacokinetic and </w:t>
      </w:r>
      <w:r w:rsidR="009C19BD">
        <w:t>e</w:t>
      </w:r>
      <w:r>
        <w:t>xposure</w:t>
      </w:r>
      <w:r w:rsidR="009C19BD">
        <w:t xml:space="preserve"> r</w:t>
      </w:r>
      <w:r>
        <w:t>esponse (ER) analyses. The ER analyses may be used as supportive evidence for the</w:t>
      </w:r>
      <w:r w:rsidR="00D7091A">
        <w:t xml:space="preserve"> </w:t>
      </w:r>
      <w:r>
        <w:t>efficacy and safety in the intended patient population. In the ER analyses report,</w:t>
      </w:r>
      <w:r w:rsidR="00D7091A">
        <w:t xml:space="preserve"> </w:t>
      </w:r>
      <w:r>
        <w:t>include an analysis of the presence and clinical impact of the neutrali</w:t>
      </w:r>
      <w:r w:rsidR="004C35B7">
        <w:t>s</w:t>
      </w:r>
      <w:r>
        <w:t>ing anti-drug</w:t>
      </w:r>
      <w:r w:rsidR="00D7091A">
        <w:t xml:space="preserve"> </w:t>
      </w:r>
      <w:r>
        <w:t xml:space="preserve">antibodies on pharmacokinetics, efficacy and safety of </w:t>
      </w:r>
      <w:proofErr w:type="spellStart"/>
      <w:r>
        <w:t>toripalimab</w:t>
      </w:r>
      <w:proofErr w:type="spellEnd"/>
      <w:r w:rsidR="00D7091A">
        <w:t>.</w:t>
      </w:r>
    </w:p>
    <w:p w14:paraId="29279D6D" w14:textId="6F58DA7D" w:rsidR="004D0583" w:rsidRDefault="004D0583" w:rsidP="004C35B7">
      <w:pPr>
        <w:pStyle w:val="ListBullet"/>
      </w:pPr>
      <w:r>
        <w:t>Conduct, and submit the final report for, an assessment to determine the presence of</w:t>
      </w:r>
      <w:r w:rsidR="00D7091A">
        <w:t xml:space="preserve"> </w:t>
      </w:r>
      <w:r>
        <w:t>neutrali</w:t>
      </w:r>
      <w:r w:rsidR="004C35B7">
        <w:t>s</w:t>
      </w:r>
      <w:r>
        <w:t xml:space="preserve">ing anti-drug antibodies against </w:t>
      </w:r>
      <w:proofErr w:type="spellStart"/>
      <w:r>
        <w:t>toripalimab</w:t>
      </w:r>
      <w:proofErr w:type="spellEnd"/>
      <w:r>
        <w:t xml:space="preserve"> in all patient samples that tested</w:t>
      </w:r>
      <w:r w:rsidR="00D7091A">
        <w:t xml:space="preserve"> </w:t>
      </w:r>
      <w:r>
        <w:t>positive for binding anti-drug antibodies in all completed studies with unexpired</w:t>
      </w:r>
      <w:r w:rsidR="00D7091A">
        <w:t xml:space="preserve"> </w:t>
      </w:r>
      <w:r>
        <w:t>immunogenicity samples, as well as all ongoing and planned studies by using a</w:t>
      </w:r>
      <w:r w:rsidR="00D7091A">
        <w:t xml:space="preserve"> </w:t>
      </w:r>
      <w:r>
        <w:t>validated neutrali</w:t>
      </w:r>
      <w:r w:rsidR="004C35B7">
        <w:t>s</w:t>
      </w:r>
      <w:r>
        <w:t>ing anti-drug antibody assay. Evaluate the potential clinical impact of</w:t>
      </w:r>
      <w:r w:rsidR="00D7091A">
        <w:t xml:space="preserve"> </w:t>
      </w:r>
      <w:r>
        <w:t>the neutrali</w:t>
      </w:r>
      <w:r w:rsidR="004C35B7">
        <w:t>s</w:t>
      </w:r>
      <w:r>
        <w:t>ing anti-drug antibodies on pharmacokinetics, efficacy and safety of</w:t>
      </w:r>
      <w:r w:rsidR="00D7091A">
        <w:t xml:space="preserve"> </w:t>
      </w:r>
      <w:proofErr w:type="spellStart"/>
      <w:r>
        <w:t>toripalimab</w:t>
      </w:r>
      <w:proofErr w:type="spellEnd"/>
      <w:r>
        <w:t xml:space="preserve"> in a final report.</w:t>
      </w:r>
    </w:p>
    <w:p w14:paraId="6FCF21E1" w14:textId="3ED57D8F" w:rsidR="004D0583" w:rsidRDefault="004D0583" w:rsidP="004C35B7">
      <w:pPr>
        <w:pStyle w:val="ListBullet"/>
      </w:pPr>
      <w:r>
        <w:t>Laboratory testing &amp; compliance with Certified Product Details (CPD)</w:t>
      </w:r>
    </w:p>
    <w:p w14:paraId="4CE968B3" w14:textId="01D7D822" w:rsidR="004D0583" w:rsidRDefault="004D0583" w:rsidP="008B6223">
      <w:pPr>
        <w:pStyle w:val="ListBullet"/>
        <w:numPr>
          <w:ilvl w:val="0"/>
          <w:numId w:val="0"/>
        </w:numPr>
        <w:ind w:left="360"/>
      </w:pPr>
      <w:proofErr w:type="spellStart"/>
      <w:r>
        <w:t>i</w:t>
      </w:r>
      <w:proofErr w:type="spellEnd"/>
      <w:r>
        <w:t>. All batches of T</w:t>
      </w:r>
      <w:r w:rsidR="008B6223">
        <w:t>uoy</w:t>
      </w:r>
      <w:r w:rsidR="004D64CC">
        <w:t>i</w:t>
      </w:r>
      <w:r>
        <w:t xml:space="preserve"> supplied in Australia must comply with the product details and</w:t>
      </w:r>
      <w:r w:rsidR="000478BA">
        <w:t xml:space="preserve"> </w:t>
      </w:r>
      <w:r>
        <w:t>specifications approved during evaluation and detailed in the Certified Product Details</w:t>
      </w:r>
      <w:r w:rsidR="000478BA">
        <w:t xml:space="preserve"> </w:t>
      </w:r>
      <w:r>
        <w:t>(CPD).</w:t>
      </w:r>
    </w:p>
    <w:p w14:paraId="1D546558" w14:textId="3CC1BA49" w:rsidR="004D0583" w:rsidRDefault="004D0583" w:rsidP="008B6223">
      <w:pPr>
        <w:pStyle w:val="ListBullet"/>
        <w:numPr>
          <w:ilvl w:val="0"/>
          <w:numId w:val="0"/>
        </w:numPr>
        <w:ind w:left="360"/>
      </w:pPr>
      <w:r>
        <w:lastRenderedPageBreak/>
        <w:t>ii.</w:t>
      </w:r>
      <w:r w:rsidR="000478BA">
        <w:t xml:space="preserve"> </w:t>
      </w:r>
      <w:r>
        <w:t xml:space="preserve">When requested by the TGA, the </w:t>
      </w:r>
      <w:r w:rsidR="008B6223">
        <w:t>sp</w:t>
      </w:r>
      <w:r>
        <w:t>onsor should be prepared to provide product</w:t>
      </w:r>
      <w:r w:rsidR="000478BA">
        <w:t xml:space="preserve"> </w:t>
      </w:r>
      <w:r>
        <w:t>samples, specified reference materials and documentary evidence to enable the TGA to</w:t>
      </w:r>
      <w:r w:rsidR="000478BA">
        <w:t xml:space="preserve"> </w:t>
      </w:r>
      <w:r>
        <w:t xml:space="preserve">conduct laboratory testing on the Product. </w:t>
      </w:r>
      <w:r w:rsidR="00E267B4" w:rsidRPr="00E267B4">
        <w:t>Please note that outcomes of laboratory testing may be published on the TGA website</w:t>
      </w:r>
      <w:r w:rsidR="00E267B4">
        <w:t>.</w:t>
      </w:r>
    </w:p>
    <w:p w14:paraId="49C0ACA5" w14:textId="08B0964D" w:rsidR="004D0583" w:rsidRDefault="004D0583" w:rsidP="00FF6631">
      <w:pPr>
        <w:pStyle w:val="ListBullet"/>
      </w:pPr>
      <w:r>
        <w:t>Certified Product Details</w:t>
      </w:r>
    </w:p>
    <w:p w14:paraId="06C7F2A2" w14:textId="4A63815C" w:rsidR="00C66E2C" w:rsidRPr="00C66E2C" w:rsidRDefault="004D0583" w:rsidP="00C66E2C">
      <w:pPr>
        <w:pStyle w:val="ListBullet"/>
      </w:pPr>
      <w:r>
        <w:t>The Certified Product Details (CPD), as described in Guidance 7: Certified Product</w:t>
      </w:r>
      <w:r w:rsidR="000478BA">
        <w:t xml:space="preserve"> </w:t>
      </w:r>
      <w:r>
        <w:t>Details of the Australian Regulatory Guidelines for Prescription Medicines (ARGPM),</w:t>
      </w:r>
      <w:r w:rsidR="000478BA">
        <w:t xml:space="preserve"> </w:t>
      </w:r>
      <w:r>
        <w:t>in PDF format, for the above products should be provided upon registration of these</w:t>
      </w:r>
      <w:r w:rsidR="000478BA">
        <w:t xml:space="preserve"> </w:t>
      </w:r>
      <w:r>
        <w:t>therapeutic goods. In addition, an updated CPD should be provided when changes to</w:t>
      </w:r>
      <w:r w:rsidR="000478BA">
        <w:t xml:space="preserve"> </w:t>
      </w:r>
      <w:r>
        <w:t>finished product specifications and test methods are approved in a Category 3</w:t>
      </w:r>
      <w:r w:rsidR="000478BA">
        <w:t xml:space="preserve"> </w:t>
      </w:r>
      <w:r>
        <w:t>application or notified through a self-assessable change.</w:t>
      </w:r>
      <w:r w:rsidR="000478BA">
        <w:t xml:space="preserve"> </w:t>
      </w:r>
      <w:r>
        <w:t>A template for preparation of CPD for biological prescription medicines can be</w:t>
      </w:r>
      <w:r w:rsidR="000478BA">
        <w:t xml:space="preserve"> </w:t>
      </w:r>
      <w:r>
        <w:t>obtained from the TGA website</w:t>
      </w:r>
      <w:r w:rsidR="000478BA">
        <w:t xml:space="preserve"> </w:t>
      </w:r>
      <w:r w:rsidR="00C66E2C" w:rsidRPr="00C66E2C">
        <w:t>[for the form]</w:t>
      </w:r>
      <w:r w:rsidR="00C66E2C">
        <w:t xml:space="preserve"> </w:t>
      </w:r>
      <w:hyperlink r:id="rId37" w:history="1">
        <w:r w:rsidR="00C66E2C" w:rsidRPr="00B42AB6">
          <w:rPr>
            <w:rStyle w:val="Hyperlink"/>
          </w:rPr>
          <w:t>https://www.tga.gov.au/resources/resources/forms/certified-product-details-cpd-biological-prescription-medicines</w:t>
        </w:r>
      </w:hyperlink>
      <w:r w:rsidR="00C66E2C" w:rsidRPr="00C66E2C">
        <w:t xml:space="preserve"> [for the CPD guidance]</w:t>
      </w:r>
      <w:r w:rsidR="00C66E2C">
        <w:t xml:space="preserve"> </w:t>
      </w:r>
      <w:hyperlink r:id="rId38" w:history="1">
        <w:r w:rsidR="00C66E2C" w:rsidRPr="00C66E2C">
          <w:rPr>
            <w:rStyle w:val="Hyperlink"/>
          </w:rPr>
          <w:t>https://www.tga.gov.au/resources/guidance/submitting-certified-product-details-cpd-biological-prescription-medicines</w:t>
        </w:r>
      </w:hyperlink>
    </w:p>
    <w:p w14:paraId="0F9C1952" w14:textId="46BD475E" w:rsidR="00BA657C" w:rsidRPr="00BA657C" w:rsidRDefault="00BA657C" w:rsidP="004D4AD5">
      <w:pPr>
        <w:pStyle w:val="Heading3"/>
      </w:pPr>
      <w:bookmarkStart w:id="80" w:name="_Toc233974559"/>
      <w:bookmarkStart w:id="81" w:name="_Toc196738290"/>
      <w:r w:rsidRPr="00BA657C">
        <w:t>Product Information and Consumer Medicine Information</w:t>
      </w:r>
      <w:bookmarkEnd w:id="80"/>
      <w:r w:rsidRPr="00BA657C">
        <w:t xml:space="preserve"> </w:t>
      </w:r>
      <w:bookmarkEnd w:id="81"/>
    </w:p>
    <w:p w14:paraId="40740B65" w14:textId="08195C12" w:rsidR="00C22214" w:rsidRPr="008B4DA3" w:rsidRDefault="004D0933" w:rsidP="007E1580">
      <w:bookmarkStart w:id="82" w:name="_Hlk200021736"/>
      <w:r w:rsidRPr="004D0933">
        <w:t xml:space="preserve">For the most recent Product Information (PI) and Consumer Medicine Information (CMI), please refer to the TGA </w:t>
      </w:r>
      <w:hyperlink r:id="rId39" w:history="1">
        <w:r w:rsidRPr="004D0933">
          <w:rPr>
            <w:rStyle w:val="Hyperlink"/>
          </w:rPr>
          <w:t>PI/CMI search facility.</w:t>
        </w:r>
      </w:hyperlink>
      <w:bookmarkEnd w:id="82"/>
    </w:p>
    <w:p w14:paraId="53357BF3" w14:textId="276457B5" w:rsidR="00C22214" w:rsidRDefault="00C22214" w:rsidP="00C22214">
      <w:pPr>
        <w:rPr>
          <w:lang w:eastAsia="ja-JP"/>
        </w:rPr>
        <w:sectPr w:rsidR="00C22214" w:rsidSect="007452E8">
          <w:headerReference w:type="default" r:id="rId40"/>
          <w:footerReference w:type="default" r:id="rId4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92B7D66" w:rsidR="00F02AEC" w:rsidRDefault="00F02AEC">
            <w:pPr>
              <w:pStyle w:val="Address"/>
              <w:jc w:val="center"/>
              <w:rPr>
                <w:sz w:val="22"/>
                <w:szCs w:val="22"/>
              </w:rPr>
            </w:pPr>
            <w:r w:rsidRPr="00215D48">
              <w:t xml:space="preserve">Email: </w:t>
            </w:r>
            <w:hyperlink r:id="rId42" w:history="1">
              <w:r w:rsidRPr="00215D48">
                <w:rPr>
                  <w:rStyle w:val="Hyperlink"/>
                </w:rPr>
                <w:t>info@tga.gov.au</w:t>
              </w:r>
            </w:hyperlink>
            <w:r w:rsidR="00F50116">
              <w:t xml:space="preserve"> </w:t>
            </w:r>
            <w:r w:rsidRPr="00215D48">
              <w:t xml:space="preserve">Phone: 1800 020 653 Fax: </w:t>
            </w:r>
            <w:r w:rsidRPr="00BA0DFC">
              <w:t>02 6203 1605</w:t>
            </w:r>
          </w:p>
          <w:p w14:paraId="4533D80F" w14:textId="059C2271" w:rsidR="00F02AEC" w:rsidRPr="00215D48" w:rsidRDefault="00F02AEC">
            <w:pPr>
              <w:pStyle w:val="Address"/>
              <w:jc w:val="center"/>
              <w:rPr>
                <w:rStyle w:val="Hyperlink"/>
                <w:b/>
                <w:color w:val="auto"/>
                <w:sz w:val="22"/>
              </w:rPr>
            </w:pPr>
            <w:hyperlink r:id="rId43"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4"/>
      <w:footerReference w:type="first" r:id="rId4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C4C92" w14:textId="77777777" w:rsidR="00EB7BC4" w:rsidRDefault="00EB7BC4" w:rsidP="00F02AEC">
      <w:pPr>
        <w:spacing w:after="0" w:line="240" w:lineRule="auto"/>
      </w:pPr>
      <w:r>
        <w:separator/>
      </w:r>
    </w:p>
  </w:endnote>
  <w:endnote w:type="continuationSeparator" w:id="0">
    <w:p w14:paraId="646AAD8B" w14:textId="77777777" w:rsidR="00EB7BC4" w:rsidRDefault="00EB7BC4"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7CF7" w14:textId="7A536625" w:rsidR="00AA6080" w:rsidRDefault="00AA6080">
    <w:pPr>
      <w:pStyle w:val="Footer"/>
    </w:pPr>
    <w:r>
      <w:rPr>
        <w:noProof/>
      </w:rPr>
      <mc:AlternateContent>
        <mc:Choice Requires="wps">
          <w:drawing>
            <wp:anchor distT="0" distB="0" distL="0" distR="0" simplePos="0" relativeHeight="251658247" behindDoc="0" locked="0" layoutInCell="1" allowOverlap="1" wp14:anchorId="6C82A4BB" wp14:editId="3401825C">
              <wp:simplePos x="635" y="635"/>
              <wp:positionH relativeFrom="page">
                <wp:align>center</wp:align>
              </wp:positionH>
              <wp:positionV relativeFrom="page">
                <wp:align>bottom</wp:align>
              </wp:positionV>
              <wp:extent cx="622300" cy="391160"/>
              <wp:effectExtent l="0" t="0" r="6350" b="0"/>
              <wp:wrapNone/>
              <wp:docPr id="16074558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229CBAB" w14:textId="08773DFC"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82A4B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3229CBAB" w14:textId="08773DFC"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5783EBFF" w:rsidR="007452E8" w:rsidRDefault="00AA6080" w:rsidP="007452E8">
          <w:pPr>
            <w:pStyle w:val="Footer"/>
          </w:pPr>
          <w:r>
            <w:rPr>
              <w:noProof/>
            </w:rPr>
            <mc:AlternateContent>
              <mc:Choice Requires="wps">
                <w:drawing>
                  <wp:anchor distT="0" distB="0" distL="0" distR="0" simplePos="0" relativeHeight="251658248" behindDoc="0" locked="0" layoutInCell="1" allowOverlap="1" wp14:anchorId="7B016761" wp14:editId="723C47A0">
                    <wp:simplePos x="635" y="635"/>
                    <wp:positionH relativeFrom="page">
                      <wp:align>center</wp:align>
                    </wp:positionH>
                    <wp:positionV relativeFrom="page">
                      <wp:align>bottom</wp:align>
                    </wp:positionV>
                    <wp:extent cx="622300" cy="391160"/>
                    <wp:effectExtent l="0" t="0" r="6350" b="0"/>
                    <wp:wrapNone/>
                    <wp:docPr id="127534539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ADA2E7" w14:textId="4D4F3F1A"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16761"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ADA2E7" w14:textId="4D4F3F1A"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2D931C92" w:rsidR="007452E8" w:rsidRDefault="00AA6080" w:rsidP="007452E8">
    <w:pPr>
      <w:pStyle w:val="Footer"/>
      <w:ind w:left="-1701"/>
    </w:pPr>
    <w:r>
      <w:rPr>
        <w:noProof/>
      </w:rPr>
      <mc:AlternateContent>
        <mc:Choice Requires="wps">
          <w:drawing>
            <wp:anchor distT="0" distB="0" distL="0" distR="0" simplePos="0" relativeHeight="251658246" behindDoc="0" locked="0" layoutInCell="1" allowOverlap="1" wp14:anchorId="7FBBD7AA" wp14:editId="0931A908">
              <wp:simplePos x="635" y="635"/>
              <wp:positionH relativeFrom="page">
                <wp:align>center</wp:align>
              </wp:positionH>
              <wp:positionV relativeFrom="page">
                <wp:align>bottom</wp:align>
              </wp:positionV>
              <wp:extent cx="622300" cy="391160"/>
              <wp:effectExtent l="0" t="0" r="6350" b="0"/>
              <wp:wrapNone/>
              <wp:docPr id="211656148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13A14CE" w14:textId="6C3CFA46"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BBD7AA"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413A14CE" w14:textId="6C3CFA46"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3BCB0BD" w:rsidR="007452E8" w:rsidRPr="004A3084" w:rsidRDefault="00AA6080" w:rsidP="007452E8">
          <w:pPr>
            <w:pStyle w:val="Footer"/>
          </w:pPr>
          <w:r>
            <w:rPr>
              <w:noProof/>
            </w:rPr>
            <mc:AlternateContent>
              <mc:Choice Requires="wps">
                <w:drawing>
                  <wp:anchor distT="0" distB="0" distL="0" distR="0" simplePos="0" relativeHeight="251658249" behindDoc="0" locked="0" layoutInCell="1" allowOverlap="1" wp14:anchorId="30F87EA8" wp14:editId="3A3FE99A">
                    <wp:simplePos x="0" y="0"/>
                    <wp:positionH relativeFrom="page">
                      <wp:posOffset>2567940</wp:posOffset>
                    </wp:positionH>
                    <wp:positionV relativeFrom="page">
                      <wp:posOffset>238125</wp:posOffset>
                    </wp:positionV>
                    <wp:extent cx="622300" cy="391160"/>
                    <wp:effectExtent l="0" t="0" r="6350" b="0"/>
                    <wp:wrapNone/>
                    <wp:docPr id="163360904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7ADE80E" w14:textId="45AC51EE"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F87EA8" id="_x0000_t202" coordsize="21600,21600" o:spt="202" path="m,l,21600r21600,l21600,xe">
                    <v:stroke joinstyle="miter"/>
                    <v:path gradientshapeok="t" o:connecttype="rect"/>
                  </v:shapetype>
                  <v:shape id="Text Box 9" o:spid="_x0000_s1033" type="#_x0000_t202" alt="OFFICIAL" style="position:absolute;margin-left:202.2pt;margin-top:18.75pt;width:49pt;height:30.8pt;z-index:251658249;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" filled="f" stroked="f">
                    <v:textbox style="mso-fit-shape-to-text:t" inset="0,0,0,15pt">
                      <w:txbxContent>
                        <w:p w14:paraId="57ADE80E" w14:textId="45AC51EE"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r w:rsidR="007452E8" w:rsidRPr="00487162">
            <w:t>AusPA</w:t>
          </w:r>
          <w:r w:rsidR="007452E8">
            <w:t xml:space="preserve">R - </w:t>
          </w:r>
          <w:r w:rsidR="004803D6">
            <w:t>Tuoyi</w:t>
          </w:r>
          <w:r w:rsidR="0090644D" w:rsidRPr="0090644D">
            <w:t xml:space="preserve"> - </w:t>
          </w:r>
          <w:proofErr w:type="spellStart"/>
          <w:r w:rsidR="0090644D" w:rsidRPr="0090644D">
            <w:t>toripalimab</w:t>
          </w:r>
          <w:proofErr w:type="spellEnd"/>
          <w:r w:rsidR="0090644D" w:rsidRPr="0090644D">
            <w:t xml:space="preserve"> - </w:t>
          </w:r>
          <w:r w:rsidR="000D30EA" w:rsidRPr="000D30EA">
            <w:t xml:space="preserve">AA-Med Pty Ltd </w:t>
          </w:r>
          <w:r w:rsidR="0090644D" w:rsidRPr="0090644D">
            <w:t>- PM-2023-04783-1-4</w:t>
          </w:r>
          <w:r w:rsidR="007452E8">
            <w:br/>
          </w:r>
          <w:r w:rsidR="00182AE8" w:rsidRPr="00182AE8">
            <w:t xml:space="preserve">Final </w:t>
          </w:r>
          <w:r w:rsidR="00D82028">
            <w:t>3</w:t>
          </w:r>
          <w:r w:rsidR="00182AE8" w:rsidRPr="00182AE8">
            <w:t xml:space="preserve"> July</w:t>
          </w:r>
          <w:r w:rsidR="00F50116" w:rsidRPr="00182AE8">
            <w:t xml:space="preserve">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E05F7B" w:rsidR="007452E8" w:rsidRPr="008E3C43" w:rsidRDefault="00AA6080" w:rsidP="007452E8">
    <w:pPr>
      <w:pStyle w:val="Footer"/>
    </w:pPr>
    <w:r>
      <w:rPr>
        <w:noProof/>
      </w:rPr>
      <mc:AlternateContent>
        <mc:Choice Requires="wps">
          <w:drawing>
            <wp:anchor distT="0" distB="0" distL="0" distR="0" simplePos="0" relativeHeight="251658250" behindDoc="0" locked="0" layoutInCell="1" allowOverlap="1" wp14:anchorId="75BBE838" wp14:editId="4624DE86">
              <wp:simplePos x="635" y="635"/>
              <wp:positionH relativeFrom="page">
                <wp:align>center</wp:align>
              </wp:positionH>
              <wp:positionV relativeFrom="page">
                <wp:align>bottom</wp:align>
              </wp:positionV>
              <wp:extent cx="622300" cy="391160"/>
              <wp:effectExtent l="0" t="0" r="6350" b="0"/>
              <wp:wrapNone/>
              <wp:docPr id="67730484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D069688" w14:textId="70C9A1B7"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BE838" id="_x0000_t202" coordsize="21600,21600" o:spt="202" path="m,l,21600r21600,l21600,xe">
              <v:stroke joinstyle="miter"/>
              <v:path gradientshapeok="t" o:connecttype="rect"/>
            </v:shapetype>
            <v:shape id="Text Box 10" o:spid="_x0000_s1035" type="#_x0000_t202" alt="OFFICIAL" style="position:absolute;margin-left:0;margin-top:0;width:49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2D069688" w14:textId="70C9A1B7"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B253C" w14:textId="77777777" w:rsidR="00EB7BC4" w:rsidRDefault="00EB7BC4" w:rsidP="00F02AEC">
      <w:pPr>
        <w:spacing w:after="0" w:line="240" w:lineRule="auto"/>
      </w:pPr>
      <w:r>
        <w:separator/>
      </w:r>
    </w:p>
  </w:footnote>
  <w:footnote w:type="continuationSeparator" w:id="0">
    <w:p w14:paraId="5332DE17" w14:textId="77777777" w:rsidR="00EB7BC4" w:rsidRDefault="00EB7BC4" w:rsidP="00F02AEC">
      <w:pPr>
        <w:spacing w:after="0" w:line="240" w:lineRule="auto"/>
      </w:pPr>
      <w:r>
        <w:continuationSeparator/>
      </w:r>
    </w:p>
  </w:footnote>
  <w:footnote w:id="1">
    <w:p w14:paraId="607E41EB" w14:textId="709A018A" w:rsidR="003268D4" w:rsidRDefault="003268D4">
      <w:pPr>
        <w:pStyle w:val="FootnoteText"/>
      </w:pPr>
      <w:r>
        <w:rPr>
          <w:rStyle w:val="FootnoteReference"/>
        </w:rPr>
        <w:footnoteRef/>
      </w:r>
      <w:r w:rsidR="00440D92">
        <w:t xml:space="preserve"> </w:t>
      </w:r>
      <w:r w:rsidR="00D4017B">
        <w:t xml:space="preserve">On </w:t>
      </w:r>
      <w:r w:rsidR="00CC6DA3">
        <w:t xml:space="preserve">4 April 2025 the TGA approved </w:t>
      </w:r>
      <w:r w:rsidR="005A59A4">
        <w:t>a</w:t>
      </w:r>
      <w:r w:rsidR="00A66B9D">
        <w:t xml:space="preserve"> change of tradename from Tuoyi to Z</w:t>
      </w:r>
      <w:r w:rsidR="00464C05">
        <w:t>ytorvi.</w:t>
      </w:r>
    </w:p>
  </w:footnote>
  <w:footnote w:id="2">
    <w:p w14:paraId="3386B26E" w14:textId="3A0517F4" w:rsidR="00563957" w:rsidRDefault="00563957" w:rsidP="00544D2C">
      <w:pPr>
        <w:pStyle w:val="FootnoteText"/>
      </w:pPr>
      <w:r>
        <w:rPr>
          <w:rStyle w:val="FootnoteReference"/>
        </w:rPr>
        <w:footnoteRef/>
      </w:r>
      <w:r>
        <w:t xml:space="preserve"> On 30</w:t>
      </w:r>
      <w:r w:rsidR="00594D7F">
        <w:t xml:space="preserve"> January 2025 the sponsor</w:t>
      </w:r>
      <w:r w:rsidR="00A66508">
        <w:t xml:space="preserve">ship of </w:t>
      </w:r>
      <w:r w:rsidR="00C01249">
        <w:t>T</w:t>
      </w:r>
      <w:r w:rsidR="004C60C1">
        <w:t>uoyi (Zytorvi)</w:t>
      </w:r>
      <w:r w:rsidR="002B40C4">
        <w:t xml:space="preserve"> was transferred from </w:t>
      </w:r>
      <w:r w:rsidR="00A66508" w:rsidRPr="00563957">
        <w:rPr>
          <w:szCs w:val="22"/>
        </w:rPr>
        <w:t>AA-Med Pty Ltd</w:t>
      </w:r>
      <w:r w:rsidR="00544D2C">
        <w:rPr>
          <w:szCs w:val="22"/>
        </w:rPr>
        <w:t xml:space="preserve"> to </w:t>
      </w:r>
      <w:r w:rsidR="00544D2C" w:rsidRPr="00544D2C">
        <w:rPr>
          <w:szCs w:val="22"/>
        </w:rPr>
        <w:t>Dr Reddy's Laboratories Australia Pty Ltd</w:t>
      </w:r>
      <w:r w:rsidR="00544D2C">
        <w:rPr>
          <w:szCs w:val="22"/>
        </w:rPr>
        <w:t>.</w:t>
      </w:r>
    </w:p>
  </w:footnote>
  <w:footnote w:id="3">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BF43" w14:textId="4621B79E" w:rsidR="00AA6080" w:rsidRDefault="00AA6080">
    <w:pPr>
      <w:pStyle w:val="Header"/>
    </w:pPr>
    <w:r>
      <w:rPr>
        <w:noProof/>
      </w:rPr>
      <mc:AlternateContent>
        <mc:Choice Requires="wps">
          <w:drawing>
            <wp:anchor distT="0" distB="0" distL="0" distR="0" simplePos="0" relativeHeight="251658242" behindDoc="0" locked="0" layoutInCell="1" allowOverlap="1" wp14:anchorId="168E078F" wp14:editId="3777CC4B">
              <wp:simplePos x="635" y="635"/>
              <wp:positionH relativeFrom="page">
                <wp:align>center</wp:align>
              </wp:positionH>
              <wp:positionV relativeFrom="page">
                <wp:align>top</wp:align>
              </wp:positionV>
              <wp:extent cx="622300" cy="391160"/>
              <wp:effectExtent l="0" t="0" r="6350" b="8890"/>
              <wp:wrapNone/>
              <wp:docPr id="16264529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7242D30" w14:textId="21E668B3"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8E078F"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57242D30" w14:textId="21E668B3"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37A3B326" w:rsidR="007452E8" w:rsidRPr="00CB0550" w:rsidRDefault="00AA6080" w:rsidP="00CB0550">
    <w:pPr>
      <w:pStyle w:val="Header"/>
      <w:jc w:val="left"/>
    </w:pPr>
    <w:r>
      <w:rPr>
        <w:noProof/>
      </w:rPr>
      <mc:AlternateContent>
        <mc:Choice Requires="wps">
          <w:drawing>
            <wp:anchor distT="0" distB="0" distL="0" distR="0" simplePos="0" relativeHeight="251658243" behindDoc="0" locked="0" layoutInCell="1" allowOverlap="1" wp14:anchorId="1E1C9365" wp14:editId="2AEDCC7B">
              <wp:simplePos x="635" y="635"/>
              <wp:positionH relativeFrom="page">
                <wp:align>center</wp:align>
              </wp:positionH>
              <wp:positionV relativeFrom="page">
                <wp:align>top</wp:align>
              </wp:positionV>
              <wp:extent cx="622300" cy="391160"/>
              <wp:effectExtent l="0" t="0" r="6350" b="8890"/>
              <wp:wrapNone/>
              <wp:docPr id="8699839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A4722D9" w14:textId="1610D419"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1C9365"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7A4722D9" w14:textId="1610D419"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1A1F69EB" w:rsidR="007452E8" w:rsidRPr="002B29B2" w:rsidRDefault="00AA6080" w:rsidP="007452E8">
          <w:pPr>
            <w:ind w:left="-57"/>
            <w:rPr>
              <w:noProof/>
            </w:rPr>
          </w:pPr>
          <w:r>
            <w:rPr>
              <w:noProof/>
            </w:rPr>
            <mc:AlternateContent>
              <mc:Choice Requires="wps">
                <w:drawing>
                  <wp:anchor distT="0" distB="0" distL="0" distR="0" simplePos="0" relativeHeight="251658241" behindDoc="0" locked="0" layoutInCell="1" allowOverlap="1" wp14:anchorId="422F140B" wp14:editId="490F3E2F">
                    <wp:simplePos x="635" y="635"/>
                    <wp:positionH relativeFrom="page">
                      <wp:align>center</wp:align>
                    </wp:positionH>
                    <wp:positionV relativeFrom="page">
                      <wp:align>top</wp:align>
                    </wp:positionV>
                    <wp:extent cx="622300" cy="391160"/>
                    <wp:effectExtent l="0" t="0" r="6350" b="8890"/>
                    <wp:wrapNone/>
                    <wp:docPr id="122060073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A069E31" w14:textId="4AEFAA85"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2F140B"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5A069E31" w14:textId="4AEFAA85"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120C3F87" w:rsidR="007452E8" w:rsidRDefault="00AA6080" w:rsidP="007452E8">
    <w:pPr>
      <w:pStyle w:val="Header"/>
    </w:pPr>
    <w:r>
      <w:rPr>
        <w:noProof/>
      </w:rPr>
      <mc:AlternateContent>
        <mc:Choice Requires="wps">
          <w:drawing>
            <wp:anchor distT="0" distB="0" distL="0" distR="0" simplePos="0" relativeHeight="251658244" behindDoc="0" locked="0" layoutInCell="1" allowOverlap="1" wp14:anchorId="7AEDDC9B" wp14:editId="36FD8DAD">
              <wp:simplePos x="904875" y="361950"/>
              <wp:positionH relativeFrom="page">
                <wp:align>center</wp:align>
              </wp:positionH>
              <wp:positionV relativeFrom="page">
                <wp:align>top</wp:align>
              </wp:positionV>
              <wp:extent cx="622300" cy="391160"/>
              <wp:effectExtent l="0" t="0" r="6350" b="8890"/>
              <wp:wrapNone/>
              <wp:docPr id="196345560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D4558F2" w14:textId="487235AC"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EDDC9B"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5D4558F2" w14:textId="487235AC"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47193F49" w:rsidR="007452E8" w:rsidRPr="00FE501F" w:rsidRDefault="00AA6080" w:rsidP="007452E8">
    <w:pPr>
      <w:pStyle w:val="Headernoline"/>
    </w:pPr>
    <w:r>
      <w:rPr>
        <w:noProof/>
      </w:rPr>
      <mc:AlternateContent>
        <mc:Choice Requires="wps">
          <w:drawing>
            <wp:anchor distT="0" distB="0" distL="0" distR="0" simplePos="0" relativeHeight="251658245" behindDoc="0" locked="0" layoutInCell="1" allowOverlap="1" wp14:anchorId="2E9DBE25" wp14:editId="6C92E7E4">
              <wp:simplePos x="635" y="635"/>
              <wp:positionH relativeFrom="page">
                <wp:align>center</wp:align>
              </wp:positionH>
              <wp:positionV relativeFrom="page">
                <wp:align>top</wp:align>
              </wp:positionV>
              <wp:extent cx="622300" cy="391160"/>
              <wp:effectExtent l="0" t="0" r="6350" b="8890"/>
              <wp:wrapNone/>
              <wp:docPr id="9160222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44BABE5" w14:textId="660E2D68"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DBE25"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044BABE5" w14:textId="660E2D68"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735D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398CE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D807EB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685CA6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72D44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9F1CE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D3D95B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10" w15:restartNumberingAfterBreak="0">
    <w:nsid w:val="12EF17C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4" w15:restartNumberingAfterBreak="0">
    <w:nsid w:val="1C1B61DD"/>
    <w:multiLevelType w:val="multilevel"/>
    <w:tmpl w:val="2D0EE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30EED1D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2FE26B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9" w15:restartNumberingAfterBreak="0">
    <w:nsid w:val="48546F6D"/>
    <w:multiLevelType w:val="hybridMultilevel"/>
    <w:tmpl w:val="12825A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BDD299B"/>
    <w:multiLevelType w:val="hybridMultilevel"/>
    <w:tmpl w:val="D5BC1F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C24401D"/>
    <w:multiLevelType w:val="multilevel"/>
    <w:tmpl w:val="D3AE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847E85"/>
    <w:multiLevelType w:val="hybridMultilevel"/>
    <w:tmpl w:val="DAA48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4"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7" w15:restartNumberingAfterBreak="0">
    <w:nsid w:val="5D1322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1873777"/>
    <w:multiLevelType w:val="hybridMultilevel"/>
    <w:tmpl w:val="5D226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31F8F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3A68D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2" w15:restartNumberingAfterBreak="0">
    <w:nsid w:val="7BD27239"/>
    <w:multiLevelType w:val="multilevel"/>
    <w:tmpl w:val="9D6A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2997172">
    <w:abstractNumId w:val="12"/>
  </w:num>
  <w:num w:numId="2" w16cid:durableId="1856573705">
    <w:abstractNumId w:val="8"/>
  </w:num>
  <w:num w:numId="3" w16cid:durableId="357703499">
    <w:abstractNumId w:val="11"/>
  </w:num>
  <w:num w:numId="4" w16cid:durableId="1869176708">
    <w:abstractNumId w:val="25"/>
  </w:num>
  <w:num w:numId="5" w16cid:durableId="1652950129">
    <w:abstractNumId w:val="15"/>
  </w:num>
  <w:num w:numId="6" w16cid:durableId="1053193207">
    <w:abstractNumId w:val="23"/>
  </w:num>
  <w:num w:numId="7" w16cid:durableId="201135927">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4"/>
  </w:num>
  <w:num w:numId="9" w16cid:durableId="173421270">
    <w:abstractNumId w:val="9"/>
  </w:num>
  <w:num w:numId="10" w16cid:durableId="2108043357">
    <w:abstractNumId w:val="13"/>
  </w:num>
  <w:num w:numId="11" w16cid:durableId="1725904230">
    <w:abstractNumId w:val="18"/>
  </w:num>
  <w:num w:numId="12" w16cid:durableId="141579354">
    <w:abstractNumId w:val="26"/>
  </w:num>
  <w:num w:numId="13" w16cid:durableId="283735081">
    <w:abstractNumId w:val="31"/>
  </w:num>
  <w:num w:numId="14" w16cid:durableId="2017073401">
    <w:abstractNumId w:val="27"/>
  </w:num>
  <w:num w:numId="15" w16cid:durableId="278223543">
    <w:abstractNumId w:val="16"/>
  </w:num>
  <w:num w:numId="16" w16cid:durableId="226839432">
    <w:abstractNumId w:val="2"/>
  </w:num>
  <w:num w:numId="17" w16cid:durableId="1610354153">
    <w:abstractNumId w:val="1"/>
  </w:num>
  <w:num w:numId="18" w16cid:durableId="450711744">
    <w:abstractNumId w:val="32"/>
  </w:num>
  <w:num w:numId="19" w16cid:durableId="505219260">
    <w:abstractNumId w:val="5"/>
  </w:num>
  <w:num w:numId="20" w16cid:durableId="877819103">
    <w:abstractNumId w:val="21"/>
  </w:num>
  <w:num w:numId="21" w16cid:durableId="1672754915">
    <w:abstractNumId w:val="14"/>
  </w:num>
  <w:num w:numId="22" w16cid:durableId="890263750">
    <w:abstractNumId w:val="22"/>
  </w:num>
  <w:num w:numId="23" w16cid:durableId="913244661">
    <w:abstractNumId w:val="19"/>
  </w:num>
  <w:num w:numId="24" w16cid:durableId="308555970">
    <w:abstractNumId w:val="20"/>
  </w:num>
  <w:num w:numId="25" w16cid:durableId="353918530">
    <w:abstractNumId w:val="28"/>
  </w:num>
  <w:num w:numId="26" w16cid:durableId="2091346867">
    <w:abstractNumId w:val="4"/>
  </w:num>
  <w:num w:numId="27" w16cid:durableId="2093238001">
    <w:abstractNumId w:val="0"/>
  </w:num>
  <w:num w:numId="28" w16cid:durableId="178393912">
    <w:abstractNumId w:val="7"/>
  </w:num>
  <w:num w:numId="29" w16cid:durableId="668023603">
    <w:abstractNumId w:val="17"/>
  </w:num>
  <w:num w:numId="30" w16cid:durableId="1327974074">
    <w:abstractNumId w:val="29"/>
  </w:num>
  <w:num w:numId="31" w16cid:durableId="350491096">
    <w:abstractNumId w:val="6"/>
  </w:num>
  <w:num w:numId="32" w16cid:durableId="1117799833">
    <w:abstractNumId w:val="10"/>
  </w:num>
  <w:num w:numId="33" w16cid:durableId="656419541">
    <w:abstractNumId w:val="30"/>
  </w:num>
  <w:num w:numId="34" w16cid:durableId="314652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2FB1"/>
    <w:rsid w:val="00003DE2"/>
    <w:rsid w:val="00004431"/>
    <w:rsid w:val="00005062"/>
    <w:rsid w:val="00005191"/>
    <w:rsid w:val="00005D70"/>
    <w:rsid w:val="00005DFC"/>
    <w:rsid w:val="0001064C"/>
    <w:rsid w:val="0001343D"/>
    <w:rsid w:val="0001384A"/>
    <w:rsid w:val="000156C4"/>
    <w:rsid w:val="00015869"/>
    <w:rsid w:val="00016FA7"/>
    <w:rsid w:val="00021C13"/>
    <w:rsid w:val="000246BE"/>
    <w:rsid w:val="000248E0"/>
    <w:rsid w:val="000276BA"/>
    <w:rsid w:val="00027E44"/>
    <w:rsid w:val="00032A0F"/>
    <w:rsid w:val="00040AFA"/>
    <w:rsid w:val="00040D8D"/>
    <w:rsid w:val="000416F9"/>
    <w:rsid w:val="000458BF"/>
    <w:rsid w:val="00046423"/>
    <w:rsid w:val="00046AFC"/>
    <w:rsid w:val="00046B1E"/>
    <w:rsid w:val="000477F5"/>
    <w:rsid w:val="000478BA"/>
    <w:rsid w:val="0005067C"/>
    <w:rsid w:val="000544FE"/>
    <w:rsid w:val="0005544E"/>
    <w:rsid w:val="0005580E"/>
    <w:rsid w:val="00055C74"/>
    <w:rsid w:val="00056F45"/>
    <w:rsid w:val="0006104E"/>
    <w:rsid w:val="000640BD"/>
    <w:rsid w:val="00064992"/>
    <w:rsid w:val="00065824"/>
    <w:rsid w:val="00065839"/>
    <w:rsid w:val="00065FDF"/>
    <w:rsid w:val="000668C6"/>
    <w:rsid w:val="0006693A"/>
    <w:rsid w:val="00070241"/>
    <w:rsid w:val="000710B8"/>
    <w:rsid w:val="000740B9"/>
    <w:rsid w:val="0007704F"/>
    <w:rsid w:val="00077844"/>
    <w:rsid w:val="00081E58"/>
    <w:rsid w:val="00083763"/>
    <w:rsid w:val="00090510"/>
    <w:rsid w:val="000917AE"/>
    <w:rsid w:val="00094026"/>
    <w:rsid w:val="00094943"/>
    <w:rsid w:val="00094B81"/>
    <w:rsid w:val="00095C6A"/>
    <w:rsid w:val="000975AA"/>
    <w:rsid w:val="000A10C0"/>
    <w:rsid w:val="000A7209"/>
    <w:rsid w:val="000B29E7"/>
    <w:rsid w:val="000B6B15"/>
    <w:rsid w:val="000C25A7"/>
    <w:rsid w:val="000C369C"/>
    <w:rsid w:val="000C63D6"/>
    <w:rsid w:val="000D30EA"/>
    <w:rsid w:val="000D78EC"/>
    <w:rsid w:val="000D7934"/>
    <w:rsid w:val="000E03EA"/>
    <w:rsid w:val="000E186D"/>
    <w:rsid w:val="000E2434"/>
    <w:rsid w:val="000E2597"/>
    <w:rsid w:val="000E3D07"/>
    <w:rsid w:val="000E3FF7"/>
    <w:rsid w:val="000E458E"/>
    <w:rsid w:val="000E504E"/>
    <w:rsid w:val="000E5421"/>
    <w:rsid w:val="000E6746"/>
    <w:rsid w:val="000E768E"/>
    <w:rsid w:val="000F079E"/>
    <w:rsid w:val="000F1893"/>
    <w:rsid w:val="000F331A"/>
    <w:rsid w:val="000F4881"/>
    <w:rsid w:val="000F4D21"/>
    <w:rsid w:val="000F649A"/>
    <w:rsid w:val="000F7687"/>
    <w:rsid w:val="000F7B51"/>
    <w:rsid w:val="00100947"/>
    <w:rsid w:val="00101BEE"/>
    <w:rsid w:val="00101CE6"/>
    <w:rsid w:val="00101FB1"/>
    <w:rsid w:val="00104DB0"/>
    <w:rsid w:val="0010558A"/>
    <w:rsid w:val="00106A30"/>
    <w:rsid w:val="00106CA4"/>
    <w:rsid w:val="001101FF"/>
    <w:rsid w:val="00111034"/>
    <w:rsid w:val="00111989"/>
    <w:rsid w:val="00113D94"/>
    <w:rsid w:val="00113F9F"/>
    <w:rsid w:val="00114025"/>
    <w:rsid w:val="00123B95"/>
    <w:rsid w:val="001244E7"/>
    <w:rsid w:val="0012473C"/>
    <w:rsid w:val="00124DA9"/>
    <w:rsid w:val="00126C8B"/>
    <w:rsid w:val="00127371"/>
    <w:rsid w:val="00127A74"/>
    <w:rsid w:val="001310C1"/>
    <w:rsid w:val="0013132F"/>
    <w:rsid w:val="00131B1B"/>
    <w:rsid w:val="0013306D"/>
    <w:rsid w:val="0013370D"/>
    <w:rsid w:val="0013528C"/>
    <w:rsid w:val="00142052"/>
    <w:rsid w:val="0014264C"/>
    <w:rsid w:val="001442A2"/>
    <w:rsid w:val="001468CA"/>
    <w:rsid w:val="001500A8"/>
    <w:rsid w:val="00151DB9"/>
    <w:rsid w:val="00153433"/>
    <w:rsid w:val="00154C9A"/>
    <w:rsid w:val="001551B6"/>
    <w:rsid w:val="00155D85"/>
    <w:rsid w:val="00155E79"/>
    <w:rsid w:val="00163417"/>
    <w:rsid w:val="00165D28"/>
    <w:rsid w:val="0017005C"/>
    <w:rsid w:val="0017057A"/>
    <w:rsid w:val="00170A63"/>
    <w:rsid w:val="00171783"/>
    <w:rsid w:val="0017279D"/>
    <w:rsid w:val="00172A01"/>
    <w:rsid w:val="001741DF"/>
    <w:rsid w:val="00175570"/>
    <w:rsid w:val="00175CD8"/>
    <w:rsid w:val="00180F23"/>
    <w:rsid w:val="00181321"/>
    <w:rsid w:val="00182AE8"/>
    <w:rsid w:val="00182BD8"/>
    <w:rsid w:val="00183C66"/>
    <w:rsid w:val="00190853"/>
    <w:rsid w:val="001A4307"/>
    <w:rsid w:val="001A76F9"/>
    <w:rsid w:val="001B06FF"/>
    <w:rsid w:val="001B0C7E"/>
    <w:rsid w:val="001B1703"/>
    <w:rsid w:val="001B443B"/>
    <w:rsid w:val="001B6653"/>
    <w:rsid w:val="001C1C2E"/>
    <w:rsid w:val="001C31A1"/>
    <w:rsid w:val="001C3FA2"/>
    <w:rsid w:val="001C5C46"/>
    <w:rsid w:val="001C5EE2"/>
    <w:rsid w:val="001C69F3"/>
    <w:rsid w:val="001D0077"/>
    <w:rsid w:val="001D2E83"/>
    <w:rsid w:val="001D5D68"/>
    <w:rsid w:val="001D69EF"/>
    <w:rsid w:val="001E1050"/>
    <w:rsid w:val="001E407B"/>
    <w:rsid w:val="001E7FC6"/>
    <w:rsid w:val="001F190E"/>
    <w:rsid w:val="001F22FB"/>
    <w:rsid w:val="001F2502"/>
    <w:rsid w:val="001F5110"/>
    <w:rsid w:val="001F70A5"/>
    <w:rsid w:val="0020050C"/>
    <w:rsid w:val="0020235D"/>
    <w:rsid w:val="0020369B"/>
    <w:rsid w:val="0020646C"/>
    <w:rsid w:val="0020786B"/>
    <w:rsid w:val="00207B4D"/>
    <w:rsid w:val="00210AD4"/>
    <w:rsid w:val="00210F9B"/>
    <w:rsid w:val="002117B1"/>
    <w:rsid w:val="00217CCE"/>
    <w:rsid w:val="00217DF4"/>
    <w:rsid w:val="002203B1"/>
    <w:rsid w:val="00222800"/>
    <w:rsid w:val="0022298A"/>
    <w:rsid w:val="00226F39"/>
    <w:rsid w:val="002309AF"/>
    <w:rsid w:val="002334AD"/>
    <w:rsid w:val="00235900"/>
    <w:rsid w:val="00240A3C"/>
    <w:rsid w:val="00240D49"/>
    <w:rsid w:val="00241328"/>
    <w:rsid w:val="00241A5C"/>
    <w:rsid w:val="00241B60"/>
    <w:rsid w:val="002448B2"/>
    <w:rsid w:val="002514F8"/>
    <w:rsid w:val="002527F9"/>
    <w:rsid w:val="0025785B"/>
    <w:rsid w:val="00257969"/>
    <w:rsid w:val="00262C20"/>
    <w:rsid w:val="00265CD1"/>
    <w:rsid w:val="0026641B"/>
    <w:rsid w:val="00280048"/>
    <w:rsid w:val="00282A2E"/>
    <w:rsid w:val="0028489E"/>
    <w:rsid w:val="002848DE"/>
    <w:rsid w:val="0028623D"/>
    <w:rsid w:val="0028794E"/>
    <w:rsid w:val="00287D53"/>
    <w:rsid w:val="002918A6"/>
    <w:rsid w:val="002943C8"/>
    <w:rsid w:val="0029733B"/>
    <w:rsid w:val="002976B8"/>
    <w:rsid w:val="002A206C"/>
    <w:rsid w:val="002A2F98"/>
    <w:rsid w:val="002A5841"/>
    <w:rsid w:val="002A6752"/>
    <w:rsid w:val="002B1EDF"/>
    <w:rsid w:val="002B1F70"/>
    <w:rsid w:val="002B2061"/>
    <w:rsid w:val="002B33C3"/>
    <w:rsid w:val="002B40C4"/>
    <w:rsid w:val="002B53A7"/>
    <w:rsid w:val="002C021D"/>
    <w:rsid w:val="002C1232"/>
    <w:rsid w:val="002C1E44"/>
    <w:rsid w:val="002C5811"/>
    <w:rsid w:val="002C5C92"/>
    <w:rsid w:val="002C5E29"/>
    <w:rsid w:val="002C61AC"/>
    <w:rsid w:val="002C771A"/>
    <w:rsid w:val="002D0478"/>
    <w:rsid w:val="002D1050"/>
    <w:rsid w:val="002D6510"/>
    <w:rsid w:val="002D7127"/>
    <w:rsid w:val="002E07F8"/>
    <w:rsid w:val="002E1C9C"/>
    <w:rsid w:val="002E6DC0"/>
    <w:rsid w:val="002F007D"/>
    <w:rsid w:val="002F34F9"/>
    <w:rsid w:val="002F3FF9"/>
    <w:rsid w:val="002F599E"/>
    <w:rsid w:val="003008D8"/>
    <w:rsid w:val="0030172A"/>
    <w:rsid w:val="00301825"/>
    <w:rsid w:val="00301D9A"/>
    <w:rsid w:val="00303959"/>
    <w:rsid w:val="00304196"/>
    <w:rsid w:val="00305B19"/>
    <w:rsid w:val="00306E72"/>
    <w:rsid w:val="0031011F"/>
    <w:rsid w:val="00312AC3"/>
    <w:rsid w:val="00314430"/>
    <w:rsid w:val="0031495B"/>
    <w:rsid w:val="003163BC"/>
    <w:rsid w:val="00316ECD"/>
    <w:rsid w:val="003212D9"/>
    <w:rsid w:val="00322072"/>
    <w:rsid w:val="0032351A"/>
    <w:rsid w:val="00323578"/>
    <w:rsid w:val="00324B33"/>
    <w:rsid w:val="003268D4"/>
    <w:rsid w:val="00327488"/>
    <w:rsid w:val="00332AB8"/>
    <w:rsid w:val="0033407C"/>
    <w:rsid w:val="00334E0F"/>
    <w:rsid w:val="00335BD9"/>
    <w:rsid w:val="00335F90"/>
    <w:rsid w:val="00336FE1"/>
    <w:rsid w:val="003371BB"/>
    <w:rsid w:val="00337BD8"/>
    <w:rsid w:val="00342D56"/>
    <w:rsid w:val="00344EDC"/>
    <w:rsid w:val="003456E7"/>
    <w:rsid w:val="003461BD"/>
    <w:rsid w:val="00346EC2"/>
    <w:rsid w:val="003477F9"/>
    <w:rsid w:val="00350CE3"/>
    <w:rsid w:val="00351469"/>
    <w:rsid w:val="00352DF3"/>
    <w:rsid w:val="0035444D"/>
    <w:rsid w:val="00356D62"/>
    <w:rsid w:val="0036298F"/>
    <w:rsid w:val="00363EE3"/>
    <w:rsid w:val="0037014C"/>
    <w:rsid w:val="00373016"/>
    <w:rsid w:val="003735F3"/>
    <w:rsid w:val="00374729"/>
    <w:rsid w:val="0037751F"/>
    <w:rsid w:val="00380FC2"/>
    <w:rsid w:val="00387298"/>
    <w:rsid w:val="00387984"/>
    <w:rsid w:val="003923DE"/>
    <w:rsid w:val="00392C06"/>
    <w:rsid w:val="00393835"/>
    <w:rsid w:val="00395140"/>
    <w:rsid w:val="003A2422"/>
    <w:rsid w:val="003A27DF"/>
    <w:rsid w:val="003B0AF3"/>
    <w:rsid w:val="003B149C"/>
    <w:rsid w:val="003B2154"/>
    <w:rsid w:val="003B3331"/>
    <w:rsid w:val="003B7094"/>
    <w:rsid w:val="003C0CA0"/>
    <w:rsid w:val="003C0FDB"/>
    <w:rsid w:val="003C1192"/>
    <w:rsid w:val="003C2E38"/>
    <w:rsid w:val="003C4513"/>
    <w:rsid w:val="003C4B0C"/>
    <w:rsid w:val="003C55E2"/>
    <w:rsid w:val="003C5989"/>
    <w:rsid w:val="003C63D5"/>
    <w:rsid w:val="003C6700"/>
    <w:rsid w:val="003C713F"/>
    <w:rsid w:val="003C7AA8"/>
    <w:rsid w:val="003D4B2F"/>
    <w:rsid w:val="003D4FFA"/>
    <w:rsid w:val="003D71A1"/>
    <w:rsid w:val="003D7C93"/>
    <w:rsid w:val="003E0AEF"/>
    <w:rsid w:val="003E1741"/>
    <w:rsid w:val="003E33B0"/>
    <w:rsid w:val="003E7AEF"/>
    <w:rsid w:val="003F1161"/>
    <w:rsid w:val="003F1A8F"/>
    <w:rsid w:val="0040116A"/>
    <w:rsid w:val="004021D6"/>
    <w:rsid w:val="004108A1"/>
    <w:rsid w:val="00410DBF"/>
    <w:rsid w:val="004115F8"/>
    <w:rsid w:val="00413263"/>
    <w:rsid w:val="00415315"/>
    <w:rsid w:val="0041688A"/>
    <w:rsid w:val="0041688F"/>
    <w:rsid w:val="0042228E"/>
    <w:rsid w:val="0042376F"/>
    <w:rsid w:val="004246B8"/>
    <w:rsid w:val="004248F1"/>
    <w:rsid w:val="0042686B"/>
    <w:rsid w:val="0043231B"/>
    <w:rsid w:val="00433318"/>
    <w:rsid w:val="004347CE"/>
    <w:rsid w:val="00436CBF"/>
    <w:rsid w:val="00440D92"/>
    <w:rsid w:val="004411D9"/>
    <w:rsid w:val="00442A56"/>
    <w:rsid w:val="00443FBB"/>
    <w:rsid w:val="004441A1"/>
    <w:rsid w:val="004444B0"/>
    <w:rsid w:val="0045060B"/>
    <w:rsid w:val="00450DEB"/>
    <w:rsid w:val="00453A41"/>
    <w:rsid w:val="004543F1"/>
    <w:rsid w:val="00457038"/>
    <w:rsid w:val="004573D3"/>
    <w:rsid w:val="004626FF"/>
    <w:rsid w:val="0046285C"/>
    <w:rsid w:val="00464C05"/>
    <w:rsid w:val="00466424"/>
    <w:rsid w:val="00470A52"/>
    <w:rsid w:val="004716BE"/>
    <w:rsid w:val="004716EA"/>
    <w:rsid w:val="00471BD5"/>
    <w:rsid w:val="00474BDD"/>
    <w:rsid w:val="004754DC"/>
    <w:rsid w:val="00477C4E"/>
    <w:rsid w:val="00477F07"/>
    <w:rsid w:val="004803D6"/>
    <w:rsid w:val="00481503"/>
    <w:rsid w:val="00481D12"/>
    <w:rsid w:val="004854A6"/>
    <w:rsid w:val="004906FA"/>
    <w:rsid w:val="00491A55"/>
    <w:rsid w:val="00494C3E"/>
    <w:rsid w:val="00495824"/>
    <w:rsid w:val="00497DF1"/>
    <w:rsid w:val="004A318E"/>
    <w:rsid w:val="004A45D4"/>
    <w:rsid w:val="004A529D"/>
    <w:rsid w:val="004A57E8"/>
    <w:rsid w:val="004A6E9A"/>
    <w:rsid w:val="004B0650"/>
    <w:rsid w:val="004B0AF8"/>
    <w:rsid w:val="004B112C"/>
    <w:rsid w:val="004B3081"/>
    <w:rsid w:val="004B4A09"/>
    <w:rsid w:val="004B4B6C"/>
    <w:rsid w:val="004C0EF6"/>
    <w:rsid w:val="004C35B7"/>
    <w:rsid w:val="004C41CE"/>
    <w:rsid w:val="004C60C1"/>
    <w:rsid w:val="004C631B"/>
    <w:rsid w:val="004D0583"/>
    <w:rsid w:val="004D0933"/>
    <w:rsid w:val="004D13E9"/>
    <w:rsid w:val="004D2F00"/>
    <w:rsid w:val="004D31D8"/>
    <w:rsid w:val="004D35D1"/>
    <w:rsid w:val="004D4AD5"/>
    <w:rsid w:val="004D5388"/>
    <w:rsid w:val="004D64CC"/>
    <w:rsid w:val="004E695D"/>
    <w:rsid w:val="004E6D7D"/>
    <w:rsid w:val="004E7F16"/>
    <w:rsid w:val="004F18EC"/>
    <w:rsid w:val="004F6FDE"/>
    <w:rsid w:val="004F7ACF"/>
    <w:rsid w:val="00500D68"/>
    <w:rsid w:val="00505A22"/>
    <w:rsid w:val="005078FE"/>
    <w:rsid w:val="005146A8"/>
    <w:rsid w:val="00515909"/>
    <w:rsid w:val="00522C5F"/>
    <w:rsid w:val="00523EF8"/>
    <w:rsid w:val="0052445F"/>
    <w:rsid w:val="0053377D"/>
    <w:rsid w:val="00535DFE"/>
    <w:rsid w:val="005373B5"/>
    <w:rsid w:val="00537AB7"/>
    <w:rsid w:val="00540028"/>
    <w:rsid w:val="005415FC"/>
    <w:rsid w:val="0054330E"/>
    <w:rsid w:val="0054472C"/>
    <w:rsid w:val="00544D2C"/>
    <w:rsid w:val="00545EA8"/>
    <w:rsid w:val="0054669B"/>
    <w:rsid w:val="00551D62"/>
    <w:rsid w:val="005539BE"/>
    <w:rsid w:val="00554F6F"/>
    <w:rsid w:val="00557684"/>
    <w:rsid w:val="005609F7"/>
    <w:rsid w:val="00560EC1"/>
    <w:rsid w:val="005610D1"/>
    <w:rsid w:val="00562F42"/>
    <w:rsid w:val="00563957"/>
    <w:rsid w:val="00564B04"/>
    <w:rsid w:val="00565739"/>
    <w:rsid w:val="00566037"/>
    <w:rsid w:val="0056766D"/>
    <w:rsid w:val="00575215"/>
    <w:rsid w:val="00575C8E"/>
    <w:rsid w:val="00576DA6"/>
    <w:rsid w:val="005775D0"/>
    <w:rsid w:val="005801C1"/>
    <w:rsid w:val="00581138"/>
    <w:rsid w:val="0058575E"/>
    <w:rsid w:val="0058783C"/>
    <w:rsid w:val="00587B33"/>
    <w:rsid w:val="00590310"/>
    <w:rsid w:val="00590A2E"/>
    <w:rsid w:val="005911AE"/>
    <w:rsid w:val="005926E2"/>
    <w:rsid w:val="0059313A"/>
    <w:rsid w:val="00594D7F"/>
    <w:rsid w:val="00596F8B"/>
    <w:rsid w:val="005A0F5A"/>
    <w:rsid w:val="005A28B8"/>
    <w:rsid w:val="005A2A04"/>
    <w:rsid w:val="005A3EB0"/>
    <w:rsid w:val="005A4E9F"/>
    <w:rsid w:val="005A54EA"/>
    <w:rsid w:val="005A59A4"/>
    <w:rsid w:val="005B023F"/>
    <w:rsid w:val="005B02A2"/>
    <w:rsid w:val="005B0728"/>
    <w:rsid w:val="005B1417"/>
    <w:rsid w:val="005B1888"/>
    <w:rsid w:val="005B69CF"/>
    <w:rsid w:val="005C24D0"/>
    <w:rsid w:val="005C3F07"/>
    <w:rsid w:val="005C4B46"/>
    <w:rsid w:val="005C5DC5"/>
    <w:rsid w:val="005D00EF"/>
    <w:rsid w:val="005D0E1E"/>
    <w:rsid w:val="005D14B3"/>
    <w:rsid w:val="005D2089"/>
    <w:rsid w:val="005D5AC5"/>
    <w:rsid w:val="005D7514"/>
    <w:rsid w:val="005E05E9"/>
    <w:rsid w:val="005E0FC6"/>
    <w:rsid w:val="005E1A7B"/>
    <w:rsid w:val="005E231F"/>
    <w:rsid w:val="005E2DED"/>
    <w:rsid w:val="005E3142"/>
    <w:rsid w:val="005E3DBC"/>
    <w:rsid w:val="005E4544"/>
    <w:rsid w:val="005F0D70"/>
    <w:rsid w:val="005F2426"/>
    <w:rsid w:val="005F5EFF"/>
    <w:rsid w:val="005F75F2"/>
    <w:rsid w:val="00602D6E"/>
    <w:rsid w:val="00602ED7"/>
    <w:rsid w:val="0060324D"/>
    <w:rsid w:val="00605C05"/>
    <w:rsid w:val="00610775"/>
    <w:rsid w:val="00611351"/>
    <w:rsid w:val="0061217D"/>
    <w:rsid w:val="006129AE"/>
    <w:rsid w:val="00615238"/>
    <w:rsid w:val="006212CF"/>
    <w:rsid w:val="006219A2"/>
    <w:rsid w:val="0062254C"/>
    <w:rsid w:val="006277A1"/>
    <w:rsid w:val="006305DD"/>
    <w:rsid w:val="00631127"/>
    <w:rsid w:val="0063369F"/>
    <w:rsid w:val="00633BD7"/>
    <w:rsid w:val="00634580"/>
    <w:rsid w:val="00634884"/>
    <w:rsid w:val="006351D9"/>
    <w:rsid w:val="00637130"/>
    <w:rsid w:val="00637F0E"/>
    <w:rsid w:val="006423F2"/>
    <w:rsid w:val="006428C5"/>
    <w:rsid w:val="00645014"/>
    <w:rsid w:val="00646554"/>
    <w:rsid w:val="00650234"/>
    <w:rsid w:val="006508D8"/>
    <w:rsid w:val="00651BB3"/>
    <w:rsid w:val="00657B30"/>
    <w:rsid w:val="0066044B"/>
    <w:rsid w:val="0066115D"/>
    <w:rsid w:val="006630AA"/>
    <w:rsid w:val="00663544"/>
    <w:rsid w:val="00666539"/>
    <w:rsid w:val="00666911"/>
    <w:rsid w:val="0067194A"/>
    <w:rsid w:val="00673B3C"/>
    <w:rsid w:val="00675F81"/>
    <w:rsid w:val="0068143E"/>
    <w:rsid w:val="00682176"/>
    <w:rsid w:val="006828EA"/>
    <w:rsid w:val="00682F3F"/>
    <w:rsid w:val="0068507D"/>
    <w:rsid w:val="00687889"/>
    <w:rsid w:val="00691AF2"/>
    <w:rsid w:val="00692B80"/>
    <w:rsid w:val="00692CCD"/>
    <w:rsid w:val="00692D51"/>
    <w:rsid w:val="00693BA4"/>
    <w:rsid w:val="0069414B"/>
    <w:rsid w:val="00694DD7"/>
    <w:rsid w:val="0069636B"/>
    <w:rsid w:val="00696660"/>
    <w:rsid w:val="006A1762"/>
    <w:rsid w:val="006A19CE"/>
    <w:rsid w:val="006A1C7D"/>
    <w:rsid w:val="006A1F0B"/>
    <w:rsid w:val="006A277A"/>
    <w:rsid w:val="006A46C2"/>
    <w:rsid w:val="006A5973"/>
    <w:rsid w:val="006A65C8"/>
    <w:rsid w:val="006B04F3"/>
    <w:rsid w:val="006B1EF2"/>
    <w:rsid w:val="006B5E64"/>
    <w:rsid w:val="006B64B4"/>
    <w:rsid w:val="006B6830"/>
    <w:rsid w:val="006B7126"/>
    <w:rsid w:val="006C137C"/>
    <w:rsid w:val="006C4604"/>
    <w:rsid w:val="006C56E5"/>
    <w:rsid w:val="006C6B86"/>
    <w:rsid w:val="006D2B85"/>
    <w:rsid w:val="006D4553"/>
    <w:rsid w:val="006D4A35"/>
    <w:rsid w:val="006D6B44"/>
    <w:rsid w:val="006D6BD4"/>
    <w:rsid w:val="006E038B"/>
    <w:rsid w:val="006E0F71"/>
    <w:rsid w:val="006E12B6"/>
    <w:rsid w:val="006E27FE"/>
    <w:rsid w:val="006F0722"/>
    <w:rsid w:val="006F1F38"/>
    <w:rsid w:val="006F7FF5"/>
    <w:rsid w:val="00701110"/>
    <w:rsid w:val="0070205E"/>
    <w:rsid w:val="00702E91"/>
    <w:rsid w:val="0070330F"/>
    <w:rsid w:val="00703624"/>
    <w:rsid w:val="007046ED"/>
    <w:rsid w:val="00704BCB"/>
    <w:rsid w:val="0070541F"/>
    <w:rsid w:val="007072A1"/>
    <w:rsid w:val="0070782C"/>
    <w:rsid w:val="0071060C"/>
    <w:rsid w:val="00710BC5"/>
    <w:rsid w:val="007121CA"/>
    <w:rsid w:val="00713FF5"/>
    <w:rsid w:val="00714E77"/>
    <w:rsid w:val="00717D6E"/>
    <w:rsid w:val="0072003B"/>
    <w:rsid w:val="00720617"/>
    <w:rsid w:val="00721059"/>
    <w:rsid w:val="007211E6"/>
    <w:rsid w:val="007220C4"/>
    <w:rsid w:val="0072225A"/>
    <w:rsid w:val="00724557"/>
    <w:rsid w:val="007305ED"/>
    <w:rsid w:val="007311B9"/>
    <w:rsid w:val="00732361"/>
    <w:rsid w:val="007357B9"/>
    <w:rsid w:val="00735FC0"/>
    <w:rsid w:val="00741AB9"/>
    <w:rsid w:val="007429B8"/>
    <w:rsid w:val="00742D03"/>
    <w:rsid w:val="007433AB"/>
    <w:rsid w:val="00743A0D"/>
    <w:rsid w:val="00744216"/>
    <w:rsid w:val="007452E8"/>
    <w:rsid w:val="00746427"/>
    <w:rsid w:val="00746990"/>
    <w:rsid w:val="00747093"/>
    <w:rsid w:val="00750D70"/>
    <w:rsid w:val="0075139C"/>
    <w:rsid w:val="00752128"/>
    <w:rsid w:val="007564E7"/>
    <w:rsid w:val="007575D0"/>
    <w:rsid w:val="007611E7"/>
    <w:rsid w:val="00762231"/>
    <w:rsid w:val="007641FF"/>
    <w:rsid w:val="00764DC9"/>
    <w:rsid w:val="007662E0"/>
    <w:rsid w:val="00773788"/>
    <w:rsid w:val="00773A2F"/>
    <w:rsid w:val="00776581"/>
    <w:rsid w:val="00776E9C"/>
    <w:rsid w:val="007816D8"/>
    <w:rsid w:val="00784150"/>
    <w:rsid w:val="007864DA"/>
    <w:rsid w:val="007923DC"/>
    <w:rsid w:val="0079287A"/>
    <w:rsid w:val="00792B43"/>
    <w:rsid w:val="00793272"/>
    <w:rsid w:val="0079499A"/>
    <w:rsid w:val="00794B64"/>
    <w:rsid w:val="007967C3"/>
    <w:rsid w:val="00797A40"/>
    <w:rsid w:val="007A04C6"/>
    <w:rsid w:val="007A0A33"/>
    <w:rsid w:val="007A4162"/>
    <w:rsid w:val="007A53AC"/>
    <w:rsid w:val="007A553F"/>
    <w:rsid w:val="007B04DE"/>
    <w:rsid w:val="007B0AE6"/>
    <w:rsid w:val="007B215F"/>
    <w:rsid w:val="007B35DC"/>
    <w:rsid w:val="007B6513"/>
    <w:rsid w:val="007B78BF"/>
    <w:rsid w:val="007C0811"/>
    <w:rsid w:val="007C0F0B"/>
    <w:rsid w:val="007C1526"/>
    <w:rsid w:val="007C2B01"/>
    <w:rsid w:val="007C57BC"/>
    <w:rsid w:val="007C6C79"/>
    <w:rsid w:val="007D04CA"/>
    <w:rsid w:val="007D0A2B"/>
    <w:rsid w:val="007D12A1"/>
    <w:rsid w:val="007D40E5"/>
    <w:rsid w:val="007D4138"/>
    <w:rsid w:val="007D48C1"/>
    <w:rsid w:val="007D767C"/>
    <w:rsid w:val="007E1580"/>
    <w:rsid w:val="007E2569"/>
    <w:rsid w:val="007E3438"/>
    <w:rsid w:val="007E4178"/>
    <w:rsid w:val="007E6443"/>
    <w:rsid w:val="007F0A77"/>
    <w:rsid w:val="007F1DB1"/>
    <w:rsid w:val="007F1E37"/>
    <w:rsid w:val="007F50D3"/>
    <w:rsid w:val="007F6B1F"/>
    <w:rsid w:val="00800F08"/>
    <w:rsid w:val="008013F0"/>
    <w:rsid w:val="00801800"/>
    <w:rsid w:val="0080309B"/>
    <w:rsid w:val="00803189"/>
    <w:rsid w:val="00803926"/>
    <w:rsid w:val="00804897"/>
    <w:rsid w:val="00805518"/>
    <w:rsid w:val="008170BA"/>
    <w:rsid w:val="00817D86"/>
    <w:rsid w:val="008215CC"/>
    <w:rsid w:val="00823EFE"/>
    <w:rsid w:val="00824F40"/>
    <w:rsid w:val="008265AE"/>
    <w:rsid w:val="008329DB"/>
    <w:rsid w:val="0083495F"/>
    <w:rsid w:val="008361C5"/>
    <w:rsid w:val="0083628F"/>
    <w:rsid w:val="00836929"/>
    <w:rsid w:val="00837AB9"/>
    <w:rsid w:val="008403FD"/>
    <w:rsid w:val="008405DC"/>
    <w:rsid w:val="00844D00"/>
    <w:rsid w:val="00845165"/>
    <w:rsid w:val="00850637"/>
    <w:rsid w:val="008531DC"/>
    <w:rsid w:val="00854D98"/>
    <w:rsid w:val="00854E48"/>
    <w:rsid w:val="0085751E"/>
    <w:rsid w:val="00857DAA"/>
    <w:rsid w:val="00860B29"/>
    <w:rsid w:val="00861B36"/>
    <w:rsid w:val="00861BA0"/>
    <w:rsid w:val="008622E8"/>
    <w:rsid w:val="00863132"/>
    <w:rsid w:val="008645EE"/>
    <w:rsid w:val="00870144"/>
    <w:rsid w:val="008703C8"/>
    <w:rsid w:val="0087072C"/>
    <w:rsid w:val="00871312"/>
    <w:rsid w:val="008736F9"/>
    <w:rsid w:val="00873D7A"/>
    <w:rsid w:val="0087472A"/>
    <w:rsid w:val="00875788"/>
    <w:rsid w:val="00877CB3"/>
    <w:rsid w:val="008804CF"/>
    <w:rsid w:val="00882D58"/>
    <w:rsid w:val="00882F19"/>
    <w:rsid w:val="00883D35"/>
    <w:rsid w:val="00884569"/>
    <w:rsid w:val="00885256"/>
    <w:rsid w:val="00887A51"/>
    <w:rsid w:val="0089038A"/>
    <w:rsid w:val="00890474"/>
    <w:rsid w:val="00890A8B"/>
    <w:rsid w:val="00890D9B"/>
    <w:rsid w:val="00890E59"/>
    <w:rsid w:val="00891C6C"/>
    <w:rsid w:val="00893CCD"/>
    <w:rsid w:val="00894405"/>
    <w:rsid w:val="0089579A"/>
    <w:rsid w:val="008964B3"/>
    <w:rsid w:val="00896B19"/>
    <w:rsid w:val="008A2522"/>
    <w:rsid w:val="008A56FE"/>
    <w:rsid w:val="008A68DC"/>
    <w:rsid w:val="008A72C6"/>
    <w:rsid w:val="008A75A2"/>
    <w:rsid w:val="008A76EA"/>
    <w:rsid w:val="008B1CB5"/>
    <w:rsid w:val="008B4026"/>
    <w:rsid w:val="008B5FA6"/>
    <w:rsid w:val="008B6223"/>
    <w:rsid w:val="008B7144"/>
    <w:rsid w:val="008C07DC"/>
    <w:rsid w:val="008C1E0D"/>
    <w:rsid w:val="008C2D69"/>
    <w:rsid w:val="008C4579"/>
    <w:rsid w:val="008C49C6"/>
    <w:rsid w:val="008C754C"/>
    <w:rsid w:val="008D01B5"/>
    <w:rsid w:val="008D0302"/>
    <w:rsid w:val="008D24F5"/>
    <w:rsid w:val="008D497C"/>
    <w:rsid w:val="008D56C9"/>
    <w:rsid w:val="008D56CA"/>
    <w:rsid w:val="008D6A54"/>
    <w:rsid w:val="008D7CBA"/>
    <w:rsid w:val="008E2585"/>
    <w:rsid w:val="008E2D7A"/>
    <w:rsid w:val="008E4C52"/>
    <w:rsid w:val="008F0769"/>
    <w:rsid w:val="008F0D25"/>
    <w:rsid w:val="008F3215"/>
    <w:rsid w:val="008F3232"/>
    <w:rsid w:val="008F4A62"/>
    <w:rsid w:val="008F6CC1"/>
    <w:rsid w:val="008F7256"/>
    <w:rsid w:val="00901001"/>
    <w:rsid w:val="00901A36"/>
    <w:rsid w:val="00902FB4"/>
    <w:rsid w:val="0090424C"/>
    <w:rsid w:val="00905E5A"/>
    <w:rsid w:val="0090605E"/>
    <w:rsid w:val="0090644D"/>
    <w:rsid w:val="00906C74"/>
    <w:rsid w:val="009108CE"/>
    <w:rsid w:val="00910D85"/>
    <w:rsid w:val="00915563"/>
    <w:rsid w:val="00915A9F"/>
    <w:rsid w:val="00920924"/>
    <w:rsid w:val="009215C9"/>
    <w:rsid w:val="00925F62"/>
    <w:rsid w:val="00930D58"/>
    <w:rsid w:val="00934F1C"/>
    <w:rsid w:val="00935AAA"/>
    <w:rsid w:val="00944984"/>
    <w:rsid w:val="00944D1F"/>
    <w:rsid w:val="0095031E"/>
    <w:rsid w:val="0095145E"/>
    <w:rsid w:val="00954297"/>
    <w:rsid w:val="009568CC"/>
    <w:rsid w:val="00957C21"/>
    <w:rsid w:val="00960A56"/>
    <w:rsid w:val="00961863"/>
    <w:rsid w:val="0096662E"/>
    <w:rsid w:val="00966CD1"/>
    <w:rsid w:val="00966EF1"/>
    <w:rsid w:val="00967223"/>
    <w:rsid w:val="00970FDF"/>
    <w:rsid w:val="009749E7"/>
    <w:rsid w:val="009751F7"/>
    <w:rsid w:val="00980A2E"/>
    <w:rsid w:val="0098168B"/>
    <w:rsid w:val="0098350E"/>
    <w:rsid w:val="00986AF4"/>
    <w:rsid w:val="009873AB"/>
    <w:rsid w:val="00987FDC"/>
    <w:rsid w:val="00990C12"/>
    <w:rsid w:val="0099404F"/>
    <w:rsid w:val="00996FA5"/>
    <w:rsid w:val="009B0D39"/>
    <w:rsid w:val="009B0D5D"/>
    <w:rsid w:val="009B2147"/>
    <w:rsid w:val="009B5662"/>
    <w:rsid w:val="009C19BD"/>
    <w:rsid w:val="009C2211"/>
    <w:rsid w:val="009C384B"/>
    <w:rsid w:val="009C40E8"/>
    <w:rsid w:val="009C45C5"/>
    <w:rsid w:val="009C4D75"/>
    <w:rsid w:val="009C5D09"/>
    <w:rsid w:val="009C633D"/>
    <w:rsid w:val="009C6CA0"/>
    <w:rsid w:val="009D11AD"/>
    <w:rsid w:val="009D5501"/>
    <w:rsid w:val="009E10D7"/>
    <w:rsid w:val="009E45C2"/>
    <w:rsid w:val="009E6858"/>
    <w:rsid w:val="009E6E64"/>
    <w:rsid w:val="009E6F8C"/>
    <w:rsid w:val="009F4041"/>
    <w:rsid w:val="009F405F"/>
    <w:rsid w:val="00A00C57"/>
    <w:rsid w:val="00A01C56"/>
    <w:rsid w:val="00A049C1"/>
    <w:rsid w:val="00A06638"/>
    <w:rsid w:val="00A100BB"/>
    <w:rsid w:val="00A118AF"/>
    <w:rsid w:val="00A173B8"/>
    <w:rsid w:val="00A224C6"/>
    <w:rsid w:val="00A26D9E"/>
    <w:rsid w:val="00A27FE2"/>
    <w:rsid w:val="00A32C50"/>
    <w:rsid w:val="00A353C7"/>
    <w:rsid w:val="00A358E7"/>
    <w:rsid w:val="00A370D8"/>
    <w:rsid w:val="00A40C3C"/>
    <w:rsid w:val="00A4380B"/>
    <w:rsid w:val="00A44666"/>
    <w:rsid w:val="00A46062"/>
    <w:rsid w:val="00A51162"/>
    <w:rsid w:val="00A51A2D"/>
    <w:rsid w:val="00A51CE0"/>
    <w:rsid w:val="00A54391"/>
    <w:rsid w:val="00A5596B"/>
    <w:rsid w:val="00A63C07"/>
    <w:rsid w:val="00A63CDF"/>
    <w:rsid w:val="00A63D9B"/>
    <w:rsid w:val="00A65D3E"/>
    <w:rsid w:val="00A66508"/>
    <w:rsid w:val="00A66B9D"/>
    <w:rsid w:val="00A67270"/>
    <w:rsid w:val="00A704DC"/>
    <w:rsid w:val="00A72FCE"/>
    <w:rsid w:val="00A739BA"/>
    <w:rsid w:val="00A75483"/>
    <w:rsid w:val="00A77C96"/>
    <w:rsid w:val="00A87674"/>
    <w:rsid w:val="00A92CBF"/>
    <w:rsid w:val="00A93DC6"/>
    <w:rsid w:val="00A9411A"/>
    <w:rsid w:val="00A9550D"/>
    <w:rsid w:val="00A96887"/>
    <w:rsid w:val="00AA0F1F"/>
    <w:rsid w:val="00AA4A4B"/>
    <w:rsid w:val="00AA541B"/>
    <w:rsid w:val="00AA5F51"/>
    <w:rsid w:val="00AA6080"/>
    <w:rsid w:val="00AA6682"/>
    <w:rsid w:val="00AA7186"/>
    <w:rsid w:val="00AB0613"/>
    <w:rsid w:val="00AB466D"/>
    <w:rsid w:val="00AB5E71"/>
    <w:rsid w:val="00AB7C5C"/>
    <w:rsid w:val="00AB7CBF"/>
    <w:rsid w:val="00AC4DB7"/>
    <w:rsid w:val="00AD0111"/>
    <w:rsid w:val="00AD0A31"/>
    <w:rsid w:val="00AD0B68"/>
    <w:rsid w:val="00AD204C"/>
    <w:rsid w:val="00AD40C3"/>
    <w:rsid w:val="00AD4C72"/>
    <w:rsid w:val="00AD5451"/>
    <w:rsid w:val="00AE12F4"/>
    <w:rsid w:val="00AE1947"/>
    <w:rsid w:val="00AE250F"/>
    <w:rsid w:val="00AF0482"/>
    <w:rsid w:val="00AF1830"/>
    <w:rsid w:val="00AF1C8B"/>
    <w:rsid w:val="00AF299B"/>
    <w:rsid w:val="00AF2C88"/>
    <w:rsid w:val="00AF7E43"/>
    <w:rsid w:val="00B00A0C"/>
    <w:rsid w:val="00B01F1B"/>
    <w:rsid w:val="00B02AE0"/>
    <w:rsid w:val="00B03F25"/>
    <w:rsid w:val="00B04230"/>
    <w:rsid w:val="00B05326"/>
    <w:rsid w:val="00B05735"/>
    <w:rsid w:val="00B14545"/>
    <w:rsid w:val="00B14E60"/>
    <w:rsid w:val="00B17BA2"/>
    <w:rsid w:val="00B2559F"/>
    <w:rsid w:val="00B26DC3"/>
    <w:rsid w:val="00B306B6"/>
    <w:rsid w:val="00B30B9D"/>
    <w:rsid w:val="00B4574D"/>
    <w:rsid w:val="00B46159"/>
    <w:rsid w:val="00B468E1"/>
    <w:rsid w:val="00B46BC0"/>
    <w:rsid w:val="00B46DFB"/>
    <w:rsid w:val="00B50856"/>
    <w:rsid w:val="00B5141B"/>
    <w:rsid w:val="00B519A0"/>
    <w:rsid w:val="00B51E4E"/>
    <w:rsid w:val="00B54BA4"/>
    <w:rsid w:val="00B55681"/>
    <w:rsid w:val="00B57A2C"/>
    <w:rsid w:val="00B57AAD"/>
    <w:rsid w:val="00B60F3C"/>
    <w:rsid w:val="00B63227"/>
    <w:rsid w:val="00B634B8"/>
    <w:rsid w:val="00B6374E"/>
    <w:rsid w:val="00B6411C"/>
    <w:rsid w:val="00B649C9"/>
    <w:rsid w:val="00B65D3C"/>
    <w:rsid w:val="00B660B1"/>
    <w:rsid w:val="00B72B16"/>
    <w:rsid w:val="00B76041"/>
    <w:rsid w:val="00B80408"/>
    <w:rsid w:val="00B81397"/>
    <w:rsid w:val="00B8472B"/>
    <w:rsid w:val="00B85080"/>
    <w:rsid w:val="00B9190F"/>
    <w:rsid w:val="00B925DB"/>
    <w:rsid w:val="00B967FF"/>
    <w:rsid w:val="00B97145"/>
    <w:rsid w:val="00B974B9"/>
    <w:rsid w:val="00BA1A9A"/>
    <w:rsid w:val="00BA2FBE"/>
    <w:rsid w:val="00BA3F6D"/>
    <w:rsid w:val="00BA404E"/>
    <w:rsid w:val="00BA4BE6"/>
    <w:rsid w:val="00BA4FC0"/>
    <w:rsid w:val="00BA54E8"/>
    <w:rsid w:val="00BA61E0"/>
    <w:rsid w:val="00BA657C"/>
    <w:rsid w:val="00BA7F7D"/>
    <w:rsid w:val="00BB1582"/>
    <w:rsid w:val="00BB1C14"/>
    <w:rsid w:val="00BB4EC0"/>
    <w:rsid w:val="00BB61CC"/>
    <w:rsid w:val="00BB6847"/>
    <w:rsid w:val="00BB6A49"/>
    <w:rsid w:val="00BB7DA9"/>
    <w:rsid w:val="00BB7F8F"/>
    <w:rsid w:val="00BC3AC3"/>
    <w:rsid w:val="00BC55E0"/>
    <w:rsid w:val="00BC716A"/>
    <w:rsid w:val="00BC7DF6"/>
    <w:rsid w:val="00BD07DF"/>
    <w:rsid w:val="00BD26F4"/>
    <w:rsid w:val="00BD5DBD"/>
    <w:rsid w:val="00BD5DF6"/>
    <w:rsid w:val="00BD6F83"/>
    <w:rsid w:val="00BE0041"/>
    <w:rsid w:val="00BE05F8"/>
    <w:rsid w:val="00BE2C54"/>
    <w:rsid w:val="00BE5BD6"/>
    <w:rsid w:val="00BE640F"/>
    <w:rsid w:val="00BE6D2A"/>
    <w:rsid w:val="00BE793C"/>
    <w:rsid w:val="00BF07D9"/>
    <w:rsid w:val="00BF1681"/>
    <w:rsid w:val="00BF27F9"/>
    <w:rsid w:val="00BF4638"/>
    <w:rsid w:val="00BF5130"/>
    <w:rsid w:val="00BF6830"/>
    <w:rsid w:val="00C00844"/>
    <w:rsid w:val="00C01249"/>
    <w:rsid w:val="00C0154F"/>
    <w:rsid w:val="00C043F8"/>
    <w:rsid w:val="00C048A7"/>
    <w:rsid w:val="00C055C7"/>
    <w:rsid w:val="00C059D0"/>
    <w:rsid w:val="00C07551"/>
    <w:rsid w:val="00C1109F"/>
    <w:rsid w:val="00C12D65"/>
    <w:rsid w:val="00C133AB"/>
    <w:rsid w:val="00C17B5C"/>
    <w:rsid w:val="00C20B56"/>
    <w:rsid w:val="00C20C63"/>
    <w:rsid w:val="00C22214"/>
    <w:rsid w:val="00C26F72"/>
    <w:rsid w:val="00C309A7"/>
    <w:rsid w:val="00C31160"/>
    <w:rsid w:val="00C335AB"/>
    <w:rsid w:val="00C36B4C"/>
    <w:rsid w:val="00C407AB"/>
    <w:rsid w:val="00C40AFC"/>
    <w:rsid w:val="00C47599"/>
    <w:rsid w:val="00C518E7"/>
    <w:rsid w:val="00C52B7B"/>
    <w:rsid w:val="00C545FE"/>
    <w:rsid w:val="00C547CD"/>
    <w:rsid w:val="00C570FF"/>
    <w:rsid w:val="00C57CEA"/>
    <w:rsid w:val="00C60FEC"/>
    <w:rsid w:val="00C616AF"/>
    <w:rsid w:val="00C62B1C"/>
    <w:rsid w:val="00C63BFF"/>
    <w:rsid w:val="00C6574E"/>
    <w:rsid w:val="00C663D1"/>
    <w:rsid w:val="00C6661F"/>
    <w:rsid w:val="00C66A68"/>
    <w:rsid w:val="00C66E2C"/>
    <w:rsid w:val="00C707FD"/>
    <w:rsid w:val="00C72EE2"/>
    <w:rsid w:val="00C74B2B"/>
    <w:rsid w:val="00C7555A"/>
    <w:rsid w:val="00C76DEB"/>
    <w:rsid w:val="00C76F48"/>
    <w:rsid w:val="00C811D8"/>
    <w:rsid w:val="00C816C6"/>
    <w:rsid w:val="00C863A7"/>
    <w:rsid w:val="00C90D0A"/>
    <w:rsid w:val="00C91121"/>
    <w:rsid w:val="00C912F4"/>
    <w:rsid w:val="00C9156F"/>
    <w:rsid w:val="00C91ED0"/>
    <w:rsid w:val="00C92CC7"/>
    <w:rsid w:val="00C9581A"/>
    <w:rsid w:val="00C97D29"/>
    <w:rsid w:val="00CA51AD"/>
    <w:rsid w:val="00CA7076"/>
    <w:rsid w:val="00CA7F43"/>
    <w:rsid w:val="00CB0550"/>
    <w:rsid w:val="00CB3285"/>
    <w:rsid w:val="00CB605C"/>
    <w:rsid w:val="00CB6813"/>
    <w:rsid w:val="00CC6B1A"/>
    <w:rsid w:val="00CC6DA3"/>
    <w:rsid w:val="00CD1C6F"/>
    <w:rsid w:val="00CD2556"/>
    <w:rsid w:val="00CD2639"/>
    <w:rsid w:val="00CD3868"/>
    <w:rsid w:val="00CD3958"/>
    <w:rsid w:val="00CD46AC"/>
    <w:rsid w:val="00CD5E80"/>
    <w:rsid w:val="00CE1304"/>
    <w:rsid w:val="00CE2505"/>
    <w:rsid w:val="00CE35BD"/>
    <w:rsid w:val="00CF2B48"/>
    <w:rsid w:val="00CF4E9E"/>
    <w:rsid w:val="00CF59B1"/>
    <w:rsid w:val="00CF6A55"/>
    <w:rsid w:val="00CF6DC6"/>
    <w:rsid w:val="00CF6DCF"/>
    <w:rsid w:val="00D015B4"/>
    <w:rsid w:val="00D01DDB"/>
    <w:rsid w:val="00D04797"/>
    <w:rsid w:val="00D04AA9"/>
    <w:rsid w:val="00D05C3B"/>
    <w:rsid w:val="00D06467"/>
    <w:rsid w:val="00D078BE"/>
    <w:rsid w:val="00D078D5"/>
    <w:rsid w:val="00D13F8A"/>
    <w:rsid w:val="00D15251"/>
    <w:rsid w:val="00D16F60"/>
    <w:rsid w:val="00D16FC9"/>
    <w:rsid w:val="00D20D08"/>
    <w:rsid w:val="00D2112E"/>
    <w:rsid w:val="00D22981"/>
    <w:rsid w:val="00D23906"/>
    <w:rsid w:val="00D2549C"/>
    <w:rsid w:val="00D3013C"/>
    <w:rsid w:val="00D3349B"/>
    <w:rsid w:val="00D340D2"/>
    <w:rsid w:val="00D3755B"/>
    <w:rsid w:val="00D37FE6"/>
    <w:rsid w:val="00D4017B"/>
    <w:rsid w:val="00D41530"/>
    <w:rsid w:val="00D424A8"/>
    <w:rsid w:val="00D42A26"/>
    <w:rsid w:val="00D50610"/>
    <w:rsid w:val="00D555E4"/>
    <w:rsid w:val="00D55AF9"/>
    <w:rsid w:val="00D57565"/>
    <w:rsid w:val="00D6036F"/>
    <w:rsid w:val="00D60663"/>
    <w:rsid w:val="00D62877"/>
    <w:rsid w:val="00D63760"/>
    <w:rsid w:val="00D6703F"/>
    <w:rsid w:val="00D7091A"/>
    <w:rsid w:val="00D72A83"/>
    <w:rsid w:val="00D734EB"/>
    <w:rsid w:val="00D73560"/>
    <w:rsid w:val="00D74F07"/>
    <w:rsid w:val="00D80D8A"/>
    <w:rsid w:val="00D818C0"/>
    <w:rsid w:val="00D82028"/>
    <w:rsid w:val="00D82713"/>
    <w:rsid w:val="00D86F00"/>
    <w:rsid w:val="00D908D5"/>
    <w:rsid w:val="00D90DEB"/>
    <w:rsid w:val="00D918D5"/>
    <w:rsid w:val="00D93463"/>
    <w:rsid w:val="00D94C8E"/>
    <w:rsid w:val="00D94E44"/>
    <w:rsid w:val="00D95BF3"/>
    <w:rsid w:val="00D97EC8"/>
    <w:rsid w:val="00D97FAD"/>
    <w:rsid w:val="00DA0AE6"/>
    <w:rsid w:val="00DA3825"/>
    <w:rsid w:val="00DA38A4"/>
    <w:rsid w:val="00DA44FF"/>
    <w:rsid w:val="00DB02ED"/>
    <w:rsid w:val="00DB1372"/>
    <w:rsid w:val="00DB13C0"/>
    <w:rsid w:val="00DB192C"/>
    <w:rsid w:val="00DB1CF3"/>
    <w:rsid w:val="00DB2DE6"/>
    <w:rsid w:val="00DB32BF"/>
    <w:rsid w:val="00DB5425"/>
    <w:rsid w:val="00DB72A6"/>
    <w:rsid w:val="00DB74E2"/>
    <w:rsid w:val="00DC33AF"/>
    <w:rsid w:val="00DC3F49"/>
    <w:rsid w:val="00DC4DF6"/>
    <w:rsid w:val="00DC5F76"/>
    <w:rsid w:val="00DC6611"/>
    <w:rsid w:val="00DD278C"/>
    <w:rsid w:val="00DD5A3B"/>
    <w:rsid w:val="00DD5AFB"/>
    <w:rsid w:val="00DE1344"/>
    <w:rsid w:val="00DE2774"/>
    <w:rsid w:val="00DF1CFD"/>
    <w:rsid w:val="00DF2368"/>
    <w:rsid w:val="00DF30BF"/>
    <w:rsid w:val="00DF46AD"/>
    <w:rsid w:val="00DF5BFE"/>
    <w:rsid w:val="00E01BBC"/>
    <w:rsid w:val="00E0523F"/>
    <w:rsid w:val="00E15ACA"/>
    <w:rsid w:val="00E15CCC"/>
    <w:rsid w:val="00E17194"/>
    <w:rsid w:val="00E23E50"/>
    <w:rsid w:val="00E26213"/>
    <w:rsid w:val="00E267B4"/>
    <w:rsid w:val="00E274DF"/>
    <w:rsid w:val="00E277A5"/>
    <w:rsid w:val="00E34D66"/>
    <w:rsid w:val="00E362C4"/>
    <w:rsid w:val="00E4570A"/>
    <w:rsid w:val="00E46CC2"/>
    <w:rsid w:val="00E47E0C"/>
    <w:rsid w:val="00E502B3"/>
    <w:rsid w:val="00E51423"/>
    <w:rsid w:val="00E51813"/>
    <w:rsid w:val="00E52C0B"/>
    <w:rsid w:val="00E53D3F"/>
    <w:rsid w:val="00E5579B"/>
    <w:rsid w:val="00E572BE"/>
    <w:rsid w:val="00E57FF4"/>
    <w:rsid w:val="00E62000"/>
    <w:rsid w:val="00E662E9"/>
    <w:rsid w:val="00E679D1"/>
    <w:rsid w:val="00E67C1C"/>
    <w:rsid w:val="00E711AA"/>
    <w:rsid w:val="00E766C9"/>
    <w:rsid w:val="00E8017F"/>
    <w:rsid w:val="00E83A0B"/>
    <w:rsid w:val="00E85131"/>
    <w:rsid w:val="00E91736"/>
    <w:rsid w:val="00E91F11"/>
    <w:rsid w:val="00E9296C"/>
    <w:rsid w:val="00E952C4"/>
    <w:rsid w:val="00E9706D"/>
    <w:rsid w:val="00E97743"/>
    <w:rsid w:val="00EA02DC"/>
    <w:rsid w:val="00EA1576"/>
    <w:rsid w:val="00EA1E81"/>
    <w:rsid w:val="00EA2EE5"/>
    <w:rsid w:val="00EA3AF4"/>
    <w:rsid w:val="00EA477D"/>
    <w:rsid w:val="00EA5466"/>
    <w:rsid w:val="00EB4B6C"/>
    <w:rsid w:val="00EB62C3"/>
    <w:rsid w:val="00EB6D1C"/>
    <w:rsid w:val="00EB7BC4"/>
    <w:rsid w:val="00EC31BB"/>
    <w:rsid w:val="00EC3469"/>
    <w:rsid w:val="00EC6C35"/>
    <w:rsid w:val="00EC7A92"/>
    <w:rsid w:val="00ED2E20"/>
    <w:rsid w:val="00EE1113"/>
    <w:rsid w:val="00EE2CBC"/>
    <w:rsid w:val="00EE3E54"/>
    <w:rsid w:val="00EE4B01"/>
    <w:rsid w:val="00EF3F0B"/>
    <w:rsid w:val="00EF4541"/>
    <w:rsid w:val="00EF4BF4"/>
    <w:rsid w:val="00EF5511"/>
    <w:rsid w:val="00EF5583"/>
    <w:rsid w:val="00EF5B65"/>
    <w:rsid w:val="00F0257F"/>
    <w:rsid w:val="00F0289D"/>
    <w:rsid w:val="00F02AEC"/>
    <w:rsid w:val="00F032B2"/>
    <w:rsid w:val="00F03500"/>
    <w:rsid w:val="00F07572"/>
    <w:rsid w:val="00F100FD"/>
    <w:rsid w:val="00F153A9"/>
    <w:rsid w:val="00F157FC"/>
    <w:rsid w:val="00F17ADB"/>
    <w:rsid w:val="00F22825"/>
    <w:rsid w:val="00F27B66"/>
    <w:rsid w:val="00F30AF3"/>
    <w:rsid w:val="00F32A58"/>
    <w:rsid w:val="00F33065"/>
    <w:rsid w:val="00F34482"/>
    <w:rsid w:val="00F36964"/>
    <w:rsid w:val="00F36ABE"/>
    <w:rsid w:val="00F402BD"/>
    <w:rsid w:val="00F43182"/>
    <w:rsid w:val="00F43CD1"/>
    <w:rsid w:val="00F43D3C"/>
    <w:rsid w:val="00F45AE0"/>
    <w:rsid w:val="00F50116"/>
    <w:rsid w:val="00F518BC"/>
    <w:rsid w:val="00F51EBB"/>
    <w:rsid w:val="00F54F98"/>
    <w:rsid w:val="00F60CF2"/>
    <w:rsid w:val="00F61392"/>
    <w:rsid w:val="00F657B4"/>
    <w:rsid w:val="00F66353"/>
    <w:rsid w:val="00F67B6F"/>
    <w:rsid w:val="00F67BE1"/>
    <w:rsid w:val="00F70E28"/>
    <w:rsid w:val="00F72725"/>
    <w:rsid w:val="00F732E9"/>
    <w:rsid w:val="00F7649F"/>
    <w:rsid w:val="00F76D03"/>
    <w:rsid w:val="00F76DD5"/>
    <w:rsid w:val="00F772C7"/>
    <w:rsid w:val="00F8083B"/>
    <w:rsid w:val="00F81F79"/>
    <w:rsid w:val="00F82C2D"/>
    <w:rsid w:val="00F82D1B"/>
    <w:rsid w:val="00F8429D"/>
    <w:rsid w:val="00F842D7"/>
    <w:rsid w:val="00F84A27"/>
    <w:rsid w:val="00F8568E"/>
    <w:rsid w:val="00F865A7"/>
    <w:rsid w:val="00F915F1"/>
    <w:rsid w:val="00F96250"/>
    <w:rsid w:val="00FA0754"/>
    <w:rsid w:val="00FA1BC9"/>
    <w:rsid w:val="00FA49C3"/>
    <w:rsid w:val="00FA74B9"/>
    <w:rsid w:val="00FB220F"/>
    <w:rsid w:val="00FB236E"/>
    <w:rsid w:val="00FB3232"/>
    <w:rsid w:val="00FB3F7B"/>
    <w:rsid w:val="00FB4C2A"/>
    <w:rsid w:val="00FB7C0B"/>
    <w:rsid w:val="00FC14A1"/>
    <w:rsid w:val="00FC2107"/>
    <w:rsid w:val="00FC3242"/>
    <w:rsid w:val="00FC4512"/>
    <w:rsid w:val="00FC48FE"/>
    <w:rsid w:val="00FC6F56"/>
    <w:rsid w:val="00FD29B5"/>
    <w:rsid w:val="00FD4D16"/>
    <w:rsid w:val="00FE087C"/>
    <w:rsid w:val="00FE5216"/>
    <w:rsid w:val="00FE6BAA"/>
    <w:rsid w:val="00FE79A0"/>
    <w:rsid w:val="00FF0939"/>
    <w:rsid w:val="00FF1189"/>
    <w:rsid w:val="00FF424D"/>
    <w:rsid w:val="00FF5843"/>
    <w:rsid w:val="00FF6631"/>
    <w:rsid w:val="30DEF65A"/>
    <w:rsid w:val="5571D9ED"/>
    <w:rsid w:val="76AD328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DB9E8EF6-6B44-41A7-B48D-B1EAD8FD0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4B112C"/>
    <w:pPr>
      <w:keepNext/>
      <w:keepLines/>
      <w:spacing w:before="40" w:after="80" w:line="240"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9C4D7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EndnoteText">
    <w:name w:val="endnote text"/>
    <w:basedOn w:val="Normal"/>
    <w:link w:val="EndnoteTextChar"/>
    <w:uiPriority w:val="99"/>
    <w:semiHidden/>
    <w:unhideWhenUsed/>
    <w:rsid w:val="003268D4"/>
    <w:pPr>
      <w:spacing w:after="0" w:line="240" w:lineRule="auto"/>
    </w:pPr>
    <w:rPr>
      <w:sz w:val="20"/>
    </w:rPr>
  </w:style>
  <w:style w:type="character" w:customStyle="1" w:styleId="EndnoteTextChar">
    <w:name w:val="Endnote Text Char"/>
    <w:basedOn w:val="DefaultParagraphFont"/>
    <w:link w:val="EndnoteText"/>
    <w:uiPriority w:val="99"/>
    <w:semiHidden/>
    <w:rsid w:val="003268D4"/>
    <w:rPr>
      <w:rFonts w:ascii="Cambria" w:hAnsi="Cambria"/>
    </w:rPr>
  </w:style>
  <w:style w:type="character" w:styleId="EndnoteReference">
    <w:name w:val="endnote reference"/>
    <w:basedOn w:val="DefaultParagraphFont"/>
    <w:uiPriority w:val="99"/>
    <w:semiHidden/>
    <w:unhideWhenUsed/>
    <w:rsid w:val="003268D4"/>
    <w:rPr>
      <w:vertAlign w:val="superscript"/>
    </w:rPr>
  </w:style>
  <w:style w:type="paragraph" w:customStyle="1" w:styleId="Default">
    <w:name w:val="Default"/>
    <w:rsid w:val="000710B8"/>
    <w:pPr>
      <w:autoSpaceDE w:val="0"/>
      <w:autoSpaceDN w:val="0"/>
      <w:adjustRightInd w:val="0"/>
      <w:spacing w:after="0" w:line="240" w:lineRule="auto"/>
    </w:pPr>
    <w:rPr>
      <w:rFonts w:ascii="Cambria" w:hAnsi="Cambria" w:cs="Cambria"/>
      <w:color w:val="000000"/>
      <w:sz w:val="24"/>
      <w:szCs w:val="24"/>
    </w:rPr>
  </w:style>
  <w:style w:type="character" w:customStyle="1" w:styleId="Heading7Char">
    <w:name w:val="Heading 7 Char"/>
    <w:basedOn w:val="DefaultParagraphFont"/>
    <w:link w:val="Heading7"/>
    <w:uiPriority w:val="9"/>
    <w:rsid w:val="004B112C"/>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9C4D75"/>
    <w:rPr>
      <w:rFonts w:asciiTheme="majorHAnsi" w:eastAsiaTheme="majorEastAsia" w:hAnsiTheme="majorHAnsi" w:cstheme="majorBidi"/>
      <w:color w:val="272727" w:themeColor="text1" w:themeTint="D8"/>
      <w:sz w:val="21"/>
      <w:szCs w:val="21"/>
    </w:rPr>
  </w:style>
  <w:style w:type="character" w:styleId="PageNumber">
    <w:name w:val="page number"/>
    <w:basedOn w:val="DefaultParagraphFont"/>
    <w:uiPriority w:val="99"/>
    <w:semiHidden/>
    <w:unhideWhenUsed/>
    <w:rsid w:val="004906FA"/>
  </w:style>
  <w:style w:type="paragraph" w:customStyle="1" w:styleId="Bulletlist">
    <w:name w:val="Bullet list"/>
    <w:basedOn w:val="Normal"/>
    <w:link w:val="BulletlistChar"/>
    <w:qFormat/>
    <w:rsid w:val="00301825"/>
    <w:pPr>
      <w:numPr>
        <w:numId w:val="28"/>
      </w:numPr>
      <w:spacing w:after="180" w:line="252" w:lineRule="auto"/>
      <w:ind w:left="426" w:hanging="284"/>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301825"/>
    <w:rPr>
      <w:rFonts w:ascii="Cambria" w:eastAsia="Times New Roman" w:hAnsi="Cambria" w:cs="Times New Roman"/>
      <w:snapToGrid w:val="0"/>
      <w:kern w:val="2"/>
      <w:sz w:val="23"/>
      <w:szCs w:val="22"/>
    </w:rPr>
  </w:style>
  <w:style w:type="paragraph" w:customStyle="1" w:styleId="Standard">
    <w:name w:val="Standard"/>
    <w:basedOn w:val="Normal"/>
    <w:link w:val="StandardChar"/>
    <w:qFormat/>
    <w:rsid w:val="00863132"/>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863132"/>
    <w:rPr>
      <w:rFonts w:ascii="Cambria" w:eastAsia="Times New Roman" w:hAnsi="Cambria" w:cs="Times New Roman"/>
      <w:snapToGrid w:val="0"/>
      <w:kern w:val="16"/>
      <w:sz w:val="23"/>
      <w:szCs w:val="24"/>
    </w:rPr>
  </w:style>
  <w:style w:type="paragraph" w:customStyle="1" w:styleId="Tabletext0">
    <w:name w:val="Table text"/>
    <w:basedOn w:val="Standard"/>
    <w:link w:val="TabletextChar"/>
    <w:qFormat/>
    <w:rsid w:val="00863132"/>
    <w:pPr>
      <w:spacing w:before="20" w:after="20"/>
    </w:pPr>
  </w:style>
  <w:style w:type="character" w:customStyle="1" w:styleId="TabletextChar">
    <w:name w:val="Table text Char"/>
    <w:basedOn w:val="StandardChar"/>
    <w:link w:val="Tabletext0"/>
    <w:rsid w:val="00863132"/>
    <w:rPr>
      <w:rFonts w:ascii="Cambria" w:eastAsia="Times New Roman" w:hAnsi="Cambria" w:cs="Times New Roman"/>
      <w:snapToGrid w:val="0"/>
      <w:kern w:val="16"/>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003631">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image" Target="media/image5.png"/><Relationship Id="rId39" Type="http://schemas.openxmlformats.org/officeDocument/2006/relationships/hyperlink" Target="https://www.ebs.tga.gov.au/" TargetMode="External"/><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image" Target="media/image13.png"/><Relationship Id="rId42" Type="http://schemas.openxmlformats.org/officeDocument/2006/relationships/hyperlink" Target="mailto:info@tga.gov.au"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how-we-regulate/supply-therapeutic-good-0/supply-prescription-medicine/application-process/prescription-medicines-registration-process" TargetMode="External"/><Relationship Id="rId32" Type="http://schemas.openxmlformats.org/officeDocument/2006/relationships/image" Target="media/image11.png"/><Relationship Id="rId37" Type="http://schemas.openxmlformats.org/officeDocument/2006/relationships/hyperlink" Target="https://www.tga.gov.au/resources/resources/forms/certified-product-details-cpd-biological-prescription-medicines" TargetMode="External"/><Relationship Id="rId40" Type="http://schemas.openxmlformats.org/officeDocument/2006/relationships/header" Target="header4.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tga.gov.au/project-orbis"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openxmlformats.org/officeDocument/2006/relationships/image" Target="media/image10.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obstetric-drug-information-service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tga.gov.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tga.gov.au/resources/guidance/submitting-certified-product-details-cpd-biological-prescription-medicines" TargetMode="External"/><Relationship Id="rId46" Type="http://schemas.openxmlformats.org/officeDocument/2006/relationships/fontTable" Target="fontTable.xml"/><Relationship Id="rId20" Type="http://schemas.openxmlformats.org/officeDocument/2006/relationships/hyperlink" Target="https://www.tga.gov.au/black-triangle-scheme" TargetMode="External"/><Relationship Id="rId41" Type="http://schemas.openxmlformats.org/officeDocument/2006/relationships/footer" Target="footer4.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AEEAB94B6E7BF4D82CC7AB5837C7E12" ma:contentTypeVersion="18" ma:contentTypeDescription="Create a new document." ma:contentTypeScope="" ma:versionID="7c0f7842f043eac1785a208a41fe102a">
  <xsd:schema xmlns:xsd="http://www.w3.org/2001/XMLSchema" xmlns:xs="http://www.w3.org/2001/XMLSchema" xmlns:p="http://schemas.microsoft.com/office/2006/metadata/properties" xmlns:ns2="218427f7-0fac-499f-a9bd-c5aaaef62773" xmlns:ns3="a8645b62-c0be-40bd-a6a9-e69793bf1150" targetNamespace="http://schemas.microsoft.com/office/2006/metadata/properties" ma:root="true" ma:fieldsID="3a8f3d556d9d705056eb63fce675bb21" ns2:_="" ns3:_="">
    <xsd:import namespace="218427f7-0fac-499f-a9bd-c5aaaef62773"/>
    <xsd:import namespace="a8645b62-c0be-40bd-a6a9-e69793bf11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427f7-0fac-499f-a9bd-c5aaaef62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13d6e60-30ef-4734-8f61-aafe6c6dec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645b62-c0be-40bd-a6a9-e69793bf11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0500d12-5890-4896-9c88-c48492663dc9}" ma:internalName="TaxCatchAll" ma:showField="CatchAllData" ma:web="a8645b62-c0be-40bd-a6a9-e69793bf11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8427f7-0fac-499f-a9bd-c5aaaef62773">
      <Terms xmlns="http://schemas.microsoft.com/office/infopath/2007/PartnerControls"/>
    </lcf76f155ced4ddcb4097134ff3c332f>
    <Comments xmlns="218427f7-0fac-499f-a9bd-c5aaaef62773" xsi:nil="true"/>
    <TaxCatchAll xmlns="a8645b62-c0be-40bd-a6a9-e69793bf1150" xsi:nil="true"/>
  </documentManagement>
</p:properties>
</file>

<file path=customXml/itemProps1.xml><?xml version="1.0" encoding="utf-8"?>
<ds:datastoreItem xmlns:ds="http://schemas.openxmlformats.org/officeDocument/2006/customXml" ds:itemID="{6F239904-B1F9-4C57-8775-FA0FFEE215F2}">
  <ds:schemaRefs>
    <ds:schemaRef ds:uri="http://schemas.microsoft.com/sharepoint/v3/contenttype/forms"/>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DDC749C0-DA63-4D11-8B27-01FD40195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427f7-0fac-499f-a9bd-c5aaaef62773"/>
    <ds:schemaRef ds:uri="a8645b62-c0be-40bd-a6a9-e69793bf11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F4F244-B7E8-4765-8405-8A9EE029B38A}">
  <ds:schemaRefs>
    <ds:schemaRef ds:uri="http://schemas.microsoft.com/office/2006/metadata/properties"/>
    <ds:schemaRef ds:uri="http://schemas.microsoft.com/office/infopath/2007/PartnerControls"/>
    <ds:schemaRef ds:uri="218427f7-0fac-499f-a9bd-c5aaaef62773"/>
    <ds:schemaRef ds:uri="a8645b62-c0be-40bd-a6a9-e69793bf1150"/>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11875</Words>
  <Characters>67693</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79410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Tuoyi (Zytorvi)</dc:title>
  <dc:subject>Prescription medicines</dc:subject>
  <dc:creator>Therapeutic Goods Administration</dc:creator>
  <cp:keywords/>
  <dc:description/>
  <cp:lastModifiedBy>LACK, Janet</cp:lastModifiedBy>
  <cp:revision>3</cp:revision>
  <dcterms:created xsi:type="dcterms:W3CDTF">2026-07-05T22:55:00Z</dcterms:created>
  <dcterms:modified xsi:type="dcterms:W3CDTF">2026-07-05T23:06:00Z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48c0e39b,60f1b3bd,33dae6e1,7507f474,575bd30</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7e282a4a,994c871,4c0439f0,615ee556,285eda09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2026-02-24T05:09:39Z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e6c271ff-d1d0-47ed-8240-a1a1720452d2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0x0101004AEEAB94B6E7BF4D82CC7AB5837C7E12</vt:lpwstr>
  </property>
  <property fmtid="{D5CDD505-2E9C-101B-9397-08002B2CF9AE}" pid="17" name="docLang">
    <vt:lpwstr>en</vt:lpwstr>
  </property>
  <property fmtid="{D5CDD505-2E9C-101B-9397-08002B2CF9AE}" pid="18" name="MediaServiceImageTags">
    <vt:lpwstr/>
  </property>
</Properties>
</file>