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47BDFA76" w:rsidR="00F02AEC" w:rsidRPr="00215D48" w:rsidRDefault="00346EC2" w:rsidP="00532E25">
            <w:pPr>
              <w:pStyle w:val="Title"/>
            </w:pPr>
            <w:r w:rsidRPr="00346EC2">
              <w:t>Australian Public Assessment Report for</w:t>
            </w:r>
            <w:r w:rsidR="006C1ED7">
              <w:t xml:space="preserve"> </w:t>
            </w:r>
            <w:r w:rsidR="003C3D80">
              <w:t>Tabrecta</w:t>
            </w:r>
          </w:p>
        </w:tc>
      </w:tr>
      <w:tr w:rsidR="00F02AEC" w:rsidRPr="00215D48" w14:paraId="318A40A3" w14:textId="77777777" w:rsidTr="00346EC2">
        <w:trPr>
          <w:trHeight w:val="995"/>
        </w:trPr>
        <w:tc>
          <w:tcPr>
            <w:tcW w:w="8720" w:type="dxa"/>
          </w:tcPr>
          <w:p w14:paraId="1AA7C701" w14:textId="7A3EF90D" w:rsidR="00F02AEC" w:rsidRPr="00215D48" w:rsidRDefault="00346EC2" w:rsidP="007452E8">
            <w:pPr>
              <w:pStyle w:val="Subtitle"/>
              <w:ind w:left="0"/>
            </w:pPr>
            <w:r w:rsidRPr="00346EC2">
              <w:t xml:space="preserve">Active ingredient: </w:t>
            </w:r>
            <w:r w:rsidR="008E4E81">
              <w:t>C</w:t>
            </w:r>
            <w:r w:rsidR="008E4E81" w:rsidRPr="008E4E81">
              <w:t>apmatinib</w:t>
            </w:r>
          </w:p>
        </w:tc>
      </w:tr>
      <w:tr w:rsidR="00346EC2" w:rsidRPr="00215D48" w14:paraId="362CCAE4" w14:textId="77777777" w:rsidTr="007452E8">
        <w:trPr>
          <w:trHeight w:val="1916"/>
        </w:trPr>
        <w:tc>
          <w:tcPr>
            <w:tcW w:w="8720" w:type="dxa"/>
          </w:tcPr>
          <w:p w14:paraId="709C45C0" w14:textId="3EBC639D" w:rsidR="00346EC2" w:rsidRPr="00215D48" w:rsidRDefault="00346EC2" w:rsidP="007452E8">
            <w:pPr>
              <w:pStyle w:val="Subtitle"/>
              <w:ind w:left="0"/>
            </w:pPr>
            <w:r w:rsidRPr="00346EC2">
              <w:t xml:space="preserve">Sponsor: </w:t>
            </w:r>
            <w:r w:rsidR="00875111">
              <w:t xml:space="preserve"> </w:t>
            </w:r>
            <w:r w:rsidR="00875111" w:rsidRPr="00875111">
              <w:t>Novartis Pharmaceuticals Australia</w:t>
            </w:r>
            <w:r w:rsidR="00875111">
              <w:t xml:space="preserve"> Pty Ltd</w:t>
            </w:r>
          </w:p>
        </w:tc>
      </w:tr>
      <w:tr w:rsidR="00F02AEC" w:rsidRPr="00215D48" w14:paraId="37F2AA1F" w14:textId="77777777" w:rsidTr="007452E8">
        <w:tc>
          <w:tcPr>
            <w:tcW w:w="8720" w:type="dxa"/>
          </w:tcPr>
          <w:p w14:paraId="1FDE8DCD" w14:textId="1DA0F321" w:rsidR="00F02AEC" w:rsidRPr="00215D48" w:rsidRDefault="00C90396" w:rsidP="007452E8">
            <w:pPr>
              <w:pStyle w:val="Date"/>
            </w:pPr>
            <w:r>
              <w:t>July</w:t>
            </w:r>
            <w:r w:rsidR="00875111">
              <w:t xml:space="preserve"> 2026</w:t>
            </w:r>
          </w:p>
        </w:tc>
      </w:tr>
    </w:tbl>
    <w:p w14:paraId="73752706" w14:textId="77777777" w:rsidR="00F02AEC" w:rsidRPr="00215D48" w:rsidRDefault="00F02AEC" w:rsidP="007452E8">
      <w:pPr>
        <w:pStyle w:val="ListBullet"/>
        <w:numPr>
          <w:ilvl w:val="0"/>
          <w:numId w:val="0"/>
        </w:numPr>
        <w:sectPr w:rsidR="00F02AEC" w:rsidRPr="00215D48" w:rsidSect="00CB0550">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038D0DA4" w:rsidR="00346EC2" w:rsidRPr="00391B0C" w:rsidRDefault="00346EC2" w:rsidP="0056766D">
      <w:pPr>
        <w:pStyle w:val="ListBullet"/>
      </w:pPr>
      <w:r w:rsidRPr="00391B0C">
        <w:t xml:space="preserve">The Therapeutic Goods Administration (TGA) is part of the Australian Government </w:t>
      </w:r>
      <w:r w:rsidRPr="00C22214">
        <w:t>Department of Health</w:t>
      </w:r>
      <w:r w:rsidR="0006693A">
        <w:t>, Disability</w:t>
      </w:r>
      <w:r w:rsidRPr="00C22214">
        <w:t xml:space="preserve"> and Ag</w:t>
      </w:r>
      <w:r w:rsidR="0006693A">
        <w:t>eing</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7"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8"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70D16D24" w:rsidR="00175CD8" w:rsidRPr="00346EC2" w:rsidRDefault="00F02AEC" w:rsidP="00346EC2">
      <w:pPr>
        <w:pStyle w:val="LegalCopy"/>
        <w:rPr>
          <w:rFonts w:cs="Arial"/>
        </w:rPr>
      </w:pPr>
      <w:r w:rsidRPr="00215D48">
        <w:rPr>
          <w:rFonts w:cs="Arial"/>
        </w:rPr>
        <w:t>© Commonwealth of Australia 20</w:t>
      </w:r>
      <w:r>
        <w:rPr>
          <w:rFonts w:cs="Arial"/>
        </w:rPr>
        <w:t>2</w:t>
      </w:r>
      <w:r w:rsidR="0009023D">
        <w:rPr>
          <w:rFonts w:cs="Arial"/>
        </w:rPr>
        <w:t>6</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9" w:history="1">
        <w:r w:rsidRPr="00215D48">
          <w:rPr>
            <w:rStyle w:val="Hyperlink"/>
            <w:rFonts w:cs="Arial"/>
          </w:rPr>
          <w:t>tga.copyright@tga.gov.au</w:t>
        </w:r>
      </w:hyperlink>
      <w:r w:rsidRPr="00215D48">
        <w:rPr>
          <w:rFonts w:cs="Arial"/>
        </w:rPr>
        <w:t>&gt;.</w:t>
      </w:r>
    </w:p>
    <w:sdt>
      <w:sdtPr>
        <w:rPr>
          <w:rFonts w:ascii="Cambria" w:eastAsiaTheme="minorEastAsia" w:hAnsi="Cambria" w:cstheme="minorBidi"/>
          <w:b w:val="0"/>
          <w:color w:val="auto"/>
          <w:sz w:val="22"/>
          <w:szCs w:val="22"/>
        </w:rPr>
        <w:id w:val="21514769"/>
        <w:docPartObj>
          <w:docPartGallery w:val="Table of Contents"/>
          <w:docPartUnique/>
        </w:docPartObj>
      </w:sdtPr>
      <w:sdtEndPr/>
      <w:sdtContent>
        <w:p w14:paraId="0A6ADA2B" w14:textId="77777777" w:rsidR="00F02AEC" w:rsidRPr="00215D48" w:rsidRDefault="00F02AEC" w:rsidP="007452E8">
          <w:pPr>
            <w:pStyle w:val="NonTOCheading2"/>
          </w:pPr>
          <w:r w:rsidRPr="00215D48">
            <w:t>Contents</w:t>
          </w:r>
        </w:p>
        <w:p w14:paraId="69F06411" w14:textId="52346890" w:rsidR="00CF513B"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234928938" w:history="1">
            <w:r w:rsidR="00CF513B" w:rsidRPr="00B745E7">
              <w:rPr>
                <w:rStyle w:val="Hyperlink"/>
                <w:noProof/>
              </w:rPr>
              <w:t>List of abbreviations</w:t>
            </w:r>
            <w:r w:rsidR="00CF513B">
              <w:rPr>
                <w:noProof/>
                <w:webHidden/>
              </w:rPr>
              <w:tab/>
            </w:r>
            <w:r w:rsidR="00CF513B">
              <w:rPr>
                <w:noProof/>
                <w:webHidden/>
              </w:rPr>
              <w:fldChar w:fldCharType="begin"/>
            </w:r>
            <w:r w:rsidR="00CF513B">
              <w:rPr>
                <w:noProof/>
                <w:webHidden/>
              </w:rPr>
              <w:instrText xml:space="preserve"> PAGEREF _Toc234928938 \h </w:instrText>
            </w:r>
            <w:r w:rsidR="00CF513B">
              <w:rPr>
                <w:noProof/>
                <w:webHidden/>
              </w:rPr>
            </w:r>
            <w:r w:rsidR="00CF513B">
              <w:rPr>
                <w:noProof/>
                <w:webHidden/>
              </w:rPr>
              <w:fldChar w:fldCharType="separate"/>
            </w:r>
            <w:r w:rsidR="00CF513B">
              <w:rPr>
                <w:noProof/>
                <w:webHidden/>
              </w:rPr>
              <w:t>4</w:t>
            </w:r>
            <w:r w:rsidR="00CF513B">
              <w:rPr>
                <w:noProof/>
                <w:webHidden/>
              </w:rPr>
              <w:fldChar w:fldCharType="end"/>
            </w:r>
          </w:hyperlink>
        </w:p>
        <w:p w14:paraId="463BE207" w14:textId="69DA1513" w:rsidR="00CF513B" w:rsidRDefault="00CF513B">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34928939" w:history="1">
            <w:r w:rsidRPr="00B745E7">
              <w:rPr>
                <w:rStyle w:val="Hyperlink"/>
                <w:noProof/>
              </w:rPr>
              <w:t>Product submission</w:t>
            </w:r>
            <w:r>
              <w:rPr>
                <w:noProof/>
                <w:webHidden/>
              </w:rPr>
              <w:tab/>
            </w:r>
            <w:r>
              <w:rPr>
                <w:noProof/>
                <w:webHidden/>
              </w:rPr>
              <w:fldChar w:fldCharType="begin"/>
            </w:r>
            <w:r>
              <w:rPr>
                <w:noProof/>
                <w:webHidden/>
              </w:rPr>
              <w:instrText xml:space="preserve"> PAGEREF _Toc234928939 \h </w:instrText>
            </w:r>
            <w:r>
              <w:rPr>
                <w:noProof/>
                <w:webHidden/>
              </w:rPr>
            </w:r>
            <w:r>
              <w:rPr>
                <w:noProof/>
                <w:webHidden/>
              </w:rPr>
              <w:fldChar w:fldCharType="separate"/>
            </w:r>
            <w:r>
              <w:rPr>
                <w:noProof/>
                <w:webHidden/>
              </w:rPr>
              <w:t>5</w:t>
            </w:r>
            <w:r>
              <w:rPr>
                <w:noProof/>
                <w:webHidden/>
              </w:rPr>
              <w:fldChar w:fldCharType="end"/>
            </w:r>
          </w:hyperlink>
        </w:p>
        <w:p w14:paraId="025AF812" w14:textId="1314ABDD" w:rsidR="00CF513B" w:rsidRDefault="00CF513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4928940" w:history="1">
            <w:r w:rsidRPr="00B745E7">
              <w:rPr>
                <w:rStyle w:val="Hyperlink"/>
                <w:noProof/>
                <w:lang w:eastAsia="en-AU"/>
              </w:rPr>
              <w:t>Submission details</w:t>
            </w:r>
            <w:r>
              <w:rPr>
                <w:noProof/>
                <w:webHidden/>
              </w:rPr>
              <w:tab/>
            </w:r>
            <w:r>
              <w:rPr>
                <w:noProof/>
                <w:webHidden/>
              </w:rPr>
              <w:fldChar w:fldCharType="begin"/>
            </w:r>
            <w:r>
              <w:rPr>
                <w:noProof/>
                <w:webHidden/>
              </w:rPr>
              <w:instrText xml:space="preserve"> PAGEREF _Toc234928940 \h </w:instrText>
            </w:r>
            <w:r>
              <w:rPr>
                <w:noProof/>
                <w:webHidden/>
              </w:rPr>
            </w:r>
            <w:r>
              <w:rPr>
                <w:noProof/>
                <w:webHidden/>
              </w:rPr>
              <w:fldChar w:fldCharType="separate"/>
            </w:r>
            <w:r>
              <w:rPr>
                <w:noProof/>
                <w:webHidden/>
              </w:rPr>
              <w:t>5</w:t>
            </w:r>
            <w:r>
              <w:rPr>
                <w:noProof/>
                <w:webHidden/>
              </w:rPr>
              <w:fldChar w:fldCharType="end"/>
            </w:r>
          </w:hyperlink>
        </w:p>
        <w:p w14:paraId="76EB6FA0" w14:textId="1A373B8D" w:rsidR="00CF513B" w:rsidRDefault="00CF513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4928941" w:history="1">
            <w:r w:rsidRPr="00B745E7">
              <w:rPr>
                <w:rStyle w:val="Hyperlink"/>
                <w:noProof/>
              </w:rPr>
              <w:t>Product background</w:t>
            </w:r>
            <w:r>
              <w:rPr>
                <w:noProof/>
                <w:webHidden/>
              </w:rPr>
              <w:tab/>
            </w:r>
            <w:r>
              <w:rPr>
                <w:noProof/>
                <w:webHidden/>
              </w:rPr>
              <w:fldChar w:fldCharType="begin"/>
            </w:r>
            <w:r>
              <w:rPr>
                <w:noProof/>
                <w:webHidden/>
              </w:rPr>
              <w:instrText xml:space="preserve"> PAGEREF _Toc234928941 \h </w:instrText>
            </w:r>
            <w:r>
              <w:rPr>
                <w:noProof/>
                <w:webHidden/>
              </w:rPr>
            </w:r>
            <w:r>
              <w:rPr>
                <w:noProof/>
                <w:webHidden/>
              </w:rPr>
              <w:fldChar w:fldCharType="separate"/>
            </w:r>
            <w:r>
              <w:rPr>
                <w:noProof/>
                <w:webHidden/>
              </w:rPr>
              <w:t>6</w:t>
            </w:r>
            <w:r>
              <w:rPr>
                <w:noProof/>
                <w:webHidden/>
              </w:rPr>
              <w:fldChar w:fldCharType="end"/>
            </w:r>
          </w:hyperlink>
        </w:p>
        <w:p w14:paraId="412649F5" w14:textId="5BF5C5C9" w:rsidR="00CF513B" w:rsidRDefault="00CF513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4928942" w:history="1">
            <w:r w:rsidRPr="00B745E7">
              <w:rPr>
                <w:rStyle w:val="Hyperlink"/>
                <w:noProof/>
              </w:rPr>
              <w:t>Disease or condition</w:t>
            </w:r>
            <w:r>
              <w:rPr>
                <w:noProof/>
                <w:webHidden/>
              </w:rPr>
              <w:tab/>
            </w:r>
            <w:r>
              <w:rPr>
                <w:noProof/>
                <w:webHidden/>
              </w:rPr>
              <w:fldChar w:fldCharType="begin"/>
            </w:r>
            <w:r>
              <w:rPr>
                <w:noProof/>
                <w:webHidden/>
              </w:rPr>
              <w:instrText xml:space="preserve"> PAGEREF _Toc234928942 \h </w:instrText>
            </w:r>
            <w:r>
              <w:rPr>
                <w:noProof/>
                <w:webHidden/>
              </w:rPr>
            </w:r>
            <w:r>
              <w:rPr>
                <w:noProof/>
                <w:webHidden/>
              </w:rPr>
              <w:fldChar w:fldCharType="separate"/>
            </w:r>
            <w:r>
              <w:rPr>
                <w:noProof/>
                <w:webHidden/>
              </w:rPr>
              <w:t>6</w:t>
            </w:r>
            <w:r>
              <w:rPr>
                <w:noProof/>
                <w:webHidden/>
              </w:rPr>
              <w:fldChar w:fldCharType="end"/>
            </w:r>
          </w:hyperlink>
        </w:p>
        <w:p w14:paraId="74F01E15" w14:textId="7E1EF647" w:rsidR="00CF513B" w:rsidRDefault="00CF513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4928943" w:history="1">
            <w:r w:rsidRPr="00B745E7">
              <w:rPr>
                <w:rStyle w:val="Hyperlink"/>
                <w:noProof/>
              </w:rPr>
              <w:t>Current treatment options</w:t>
            </w:r>
            <w:r>
              <w:rPr>
                <w:noProof/>
                <w:webHidden/>
              </w:rPr>
              <w:tab/>
            </w:r>
            <w:r>
              <w:rPr>
                <w:noProof/>
                <w:webHidden/>
              </w:rPr>
              <w:fldChar w:fldCharType="begin"/>
            </w:r>
            <w:r>
              <w:rPr>
                <w:noProof/>
                <w:webHidden/>
              </w:rPr>
              <w:instrText xml:space="preserve"> PAGEREF _Toc234928943 \h </w:instrText>
            </w:r>
            <w:r>
              <w:rPr>
                <w:noProof/>
                <w:webHidden/>
              </w:rPr>
            </w:r>
            <w:r>
              <w:rPr>
                <w:noProof/>
                <w:webHidden/>
              </w:rPr>
              <w:fldChar w:fldCharType="separate"/>
            </w:r>
            <w:r>
              <w:rPr>
                <w:noProof/>
                <w:webHidden/>
              </w:rPr>
              <w:t>7</w:t>
            </w:r>
            <w:r>
              <w:rPr>
                <w:noProof/>
                <w:webHidden/>
              </w:rPr>
              <w:fldChar w:fldCharType="end"/>
            </w:r>
          </w:hyperlink>
        </w:p>
        <w:p w14:paraId="3ABF02EA" w14:textId="5FBD72D5" w:rsidR="00CF513B" w:rsidRDefault="00CF513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4928944" w:history="1">
            <w:r w:rsidRPr="00B745E7">
              <w:rPr>
                <w:rStyle w:val="Hyperlink"/>
                <w:noProof/>
              </w:rPr>
              <w:t>Clinical rationale</w:t>
            </w:r>
            <w:r>
              <w:rPr>
                <w:noProof/>
                <w:webHidden/>
              </w:rPr>
              <w:tab/>
            </w:r>
            <w:r>
              <w:rPr>
                <w:noProof/>
                <w:webHidden/>
              </w:rPr>
              <w:fldChar w:fldCharType="begin"/>
            </w:r>
            <w:r>
              <w:rPr>
                <w:noProof/>
                <w:webHidden/>
              </w:rPr>
              <w:instrText xml:space="preserve"> PAGEREF _Toc234928944 \h </w:instrText>
            </w:r>
            <w:r>
              <w:rPr>
                <w:noProof/>
                <w:webHidden/>
              </w:rPr>
            </w:r>
            <w:r>
              <w:rPr>
                <w:noProof/>
                <w:webHidden/>
              </w:rPr>
              <w:fldChar w:fldCharType="separate"/>
            </w:r>
            <w:r>
              <w:rPr>
                <w:noProof/>
                <w:webHidden/>
              </w:rPr>
              <w:t>7</w:t>
            </w:r>
            <w:r>
              <w:rPr>
                <w:noProof/>
                <w:webHidden/>
              </w:rPr>
              <w:fldChar w:fldCharType="end"/>
            </w:r>
          </w:hyperlink>
        </w:p>
        <w:p w14:paraId="4CDFAB71" w14:textId="38765262" w:rsidR="00CF513B" w:rsidRDefault="00CF513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4928945" w:history="1">
            <w:r w:rsidRPr="00B745E7">
              <w:rPr>
                <w:rStyle w:val="Hyperlink"/>
                <w:noProof/>
              </w:rPr>
              <w:t>Regulatory status</w:t>
            </w:r>
            <w:r>
              <w:rPr>
                <w:noProof/>
                <w:webHidden/>
              </w:rPr>
              <w:tab/>
            </w:r>
            <w:r>
              <w:rPr>
                <w:noProof/>
                <w:webHidden/>
              </w:rPr>
              <w:fldChar w:fldCharType="begin"/>
            </w:r>
            <w:r>
              <w:rPr>
                <w:noProof/>
                <w:webHidden/>
              </w:rPr>
              <w:instrText xml:space="preserve"> PAGEREF _Toc234928945 \h </w:instrText>
            </w:r>
            <w:r>
              <w:rPr>
                <w:noProof/>
                <w:webHidden/>
              </w:rPr>
            </w:r>
            <w:r>
              <w:rPr>
                <w:noProof/>
                <w:webHidden/>
              </w:rPr>
              <w:fldChar w:fldCharType="separate"/>
            </w:r>
            <w:r>
              <w:rPr>
                <w:noProof/>
                <w:webHidden/>
              </w:rPr>
              <w:t>8</w:t>
            </w:r>
            <w:r>
              <w:rPr>
                <w:noProof/>
                <w:webHidden/>
              </w:rPr>
              <w:fldChar w:fldCharType="end"/>
            </w:r>
          </w:hyperlink>
        </w:p>
        <w:p w14:paraId="3BC0DF20" w14:textId="68FBD22E" w:rsidR="00CF513B" w:rsidRDefault="00CF513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4928946" w:history="1">
            <w:r w:rsidRPr="00B745E7">
              <w:rPr>
                <w:rStyle w:val="Hyperlink"/>
                <w:noProof/>
              </w:rPr>
              <w:t>Australian regulatory status</w:t>
            </w:r>
            <w:r>
              <w:rPr>
                <w:noProof/>
                <w:webHidden/>
              </w:rPr>
              <w:tab/>
            </w:r>
            <w:r>
              <w:rPr>
                <w:noProof/>
                <w:webHidden/>
              </w:rPr>
              <w:fldChar w:fldCharType="begin"/>
            </w:r>
            <w:r>
              <w:rPr>
                <w:noProof/>
                <w:webHidden/>
              </w:rPr>
              <w:instrText xml:space="preserve"> PAGEREF _Toc234928946 \h </w:instrText>
            </w:r>
            <w:r>
              <w:rPr>
                <w:noProof/>
                <w:webHidden/>
              </w:rPr>
            </w:r>
            <w:r>
              <w:rPr>
                <w:noProof/>
                <w:webHidden/>
              </w:rPr>
              <w:fldChar w:fldCharType="separate"/>
            </w:r>
            <w:r>
              <w:rPr>
                <w:noProof/>
                <w:webHidden/>
              </w:rPr>
              <w:t>8</w:t>
            </w:r>
            <w:r>
              <w:rPr>
                <w:noProof/>
                <w:webHidden/>
              </w:rPr>
              <w:fldChar w:fldCharType="end"/>
            </w:r>
          </w:hyperlink>
        </w:p>
        <w:p w14:paraId="713C96A1" w14:textId="672C84E8" w:rsidR="00CF513B" w:rsidRDefault="00CF513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4928947" w:history="1">
            <w:r w:rsidRPr="00B745E7">
              <w:rPr>
                <w:rStyle w:val="Hyperlink"/>
                <w:noProof/>
              </w:rPr>
              <w:t>International regulatory status</w:t>
            </w:r>
            <w:r>
              <w:rPr>
                <w:noProof/>
                <w:webHidden/>
              </w:rPr>
              <w:tab/>
            </w:r>
            <w:r>
              <w:rPr>
                <w:noProof/>
                <w:webHidden/>
              </w:rPr>
              <w:fldChar w:fldCharType="begin"/>
            </w:r>
            <w:r>
              <w:rPr>
                <w:noProof/>
                <w:webHidden/>
              </w:rPr>
              <w:instrText xml:space="preserve"> PAGEREF _Toc234928947 \h </w:instrText>
            </w:r>
            <w:r>
              <w:rPr>
                <w:noProof/>
                <w:webHidden/>
              </w:rPr>
            </w:r>
            <w:r>
              <w:rPr>
                <w:noProof/>
                <w:webHidden/>
              </w:rPr>
              <w:fldChar w:fldCharType="separate"/>
            </w:r>
            <w:r>
              <w:rPr>
                <w:noProof/>
                <w:webHidden/>
              </w:rPr>
              <w:t>9</w:t>
            </w:r>
            <w:r>
              <w:rPr>
                <w:noProof/>
                <w:webHidden/>
              </w:rPr>
              <w:fldChar w:fldCharType="end"/>
            </w:r>
          </w:hyperlink>
        </w:p>
        <w:p w14:paraId="3C6B8DAF" w14:textId="6C66D0D2" w:rsidR="00CF513B" w:rsidRDefault="00CF513B">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34928948" w:history="1">
            <w:r w:rsidRPr="00B745E7">
              <w:rPr>
                <w:rStyle w:val="Hyperlink"/>
                <w:noProof/>
              </w:rPr>
              <w:t>Registration timeline</w:t>
            </w:r>
            <w:r>
              <w:rPr>
                <w:noProof/>
                <w:webHidden/>
              </w:rPr>
              <w:tab/>
            </w:r>
            <w:r>
              <w:rPr>
                <w:noProof/>
                <w:webHidden/>
              </w:rPr>
              <w:fldChar w:fldCharType="begin"/>
            </w:r>
            <w:r>
              <w:rPr>
                <w:noProof/>
                <w:webHidden/>
              </w:rPr>
              <w:instrText xml:space="preserve"> PAGEREF _Toc234928948 \h </w:instrText>
            </w:r>
            <w:r>
              <w:rPr>
                <w:noProof/>
                <w:webHidden/>
              </w:rPr>
            </w:r>
            <w:r>
              <w:rPr>
                <w:noProof/>
                <w:webHidden/>
              </w:rPr>
              <w:fldChar w:fldCharType="separate"/>
            </w:r>
            <w:r>
              <w:rPr>
                <w:noProof/>
                <w:webHidden/>
              </w:rPr>
              <w:t>10</w:t>
            </w:r>
            <w:r>
              <w:rPr>
                <w:noProof/>
                <w:webHidden/>
              </w:rPr>
              <w:fldChar w:fldCharType="end"/>
            </w:r>
          </w:hyperlink>
        </w:p>
        <w:p w14:paraId="05273B55" w14:textId="4888D9B6" w:rsidR="00CF513B" w:rsidRDefault="00CF513B">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34928949" w:history="1">
            <w:r w:rsidRPr="00B745E7">
              <w:rPr>
                <w:rStyle w:val="Hyperlink"/>
                <w:noProof/>
              </w:rPr>
              <w:t>Assessment overview</w:t>
            </w:r>
            <w:r>
              <w:rPr>
                <w:noProof/>
                <w:webHidden/>
              </w:rPr>
              <w:tab/>
            </w:r>
            <w:r>
              <w:rPr>
                <w:noProof/>
                <w:webHidden/>
              </w:rPr>
              <w:fldChar w:fldCharType="begin"/>
            </w:r>
            <w:r>
              <w:rPr>
                <w:noProof/>
                <w:webHidden/>
              </w:rPr>
              <w:instrText xml:space="preserve"> PAGEREF _Toc234928949 \h </w:instrText>
            </w:r>
            <w:r>
              <w:rPr>
                <w:noProof/>
                <w:webHidden/>
              </w:rPr>
            </w:r>
            <w:r>
              <w:rPr>
                <w:noProof/>
                <w:webHidden/>
              </w:rPr>
              <w:fldChar w:fldCharType="separate"/>
            </w:r>
            <w:r>
              <w:rPr>
                <w:noProof/>
                <w:webHidden/>
              </w:rPr>
              <w:t>10</w:t>
            </w:r>
            <w:r>
              <w:rPr>
                <w:noProof/>
                <w:webHidden/>
              </w:rPr>
              <w:fldChar w:fldCharType="end"/>
            </w:r>
          </w:hyperlink>
        </w:p>
        <w:p w14:paraId="4D1BEDAA" w14:textId="4E1AA2CA" w:rsidR="00CF513B" w:rsidRDefault="00CF513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4928950" w:history="1">
            <w:r w:rsidRPr="00B745E7">
              <w:rPr>
                <w:rStyle w:val="Hyperlink"/>
                <w:noProof/>
              </w:rPr>
              <w:t>Quality evaluation summary</w:t>
            </w:r>
            <w:r>
              <w:rPr>
                <w:noProof/>
                <w:webHidden/>
              </w:rPr>
              <w:tab/>
            </w:r>
            <w:r>
              <w:rPr>
                <w:noProof/>
                <w:webHidden/>
              </w:rPr>
              <w:fldChar w:fldCharType="begin"/>
            </w:r>
            <w:r>
              <w:rPr>
                <w:noProof/>
                <w:webHidden/>
              </w:rPr>
              <w:instrText xml:space="preserve"> PAGEREF _Toc234928950 \h </w:instrText>
            </w:r>
            <w:r>
              <w:rPr>
                <w:noProof/>
                <w:webHidden/>
              </w:rPr>
            </w:r>
            <w:r>
              <w:rPr>
                <w:noProof/>
                <w:webHidden/>
              </w:rPr>
              <w:fldChar w:fldCharType="separate"/>
            </w:r>
            <w:r>
              <w:rPr>
                <w:noProof/>
                <w:webHidden/>
              </w:rPr>
              <w:t>10</w:t>
            </w:r>
            <w:r>
              <w:rPr>
                <w:noProof/>
                <w:webHidden/>
              </w:rPr>
              <w:fldChar w:fldCharType="end"/>
            </w:r>
          </w:hyperlink>
        </w:p>
        <w:p w14:paraId="43797F08" w14:textId="3CEAD9B6" w:rsidR="00CF513B" w:rsidRDefault="00CF513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4928951" w:history="1">
            <w:r w:rsidRPr="00B745E7">
              <w:rPr>
                <w:rStyle w:val="Hyperlink"/>
                <w:noProof/>
              </w:rPr>
              <w:t>Nonclinical evaluation summary</w:t>
            </w:r>
            <w:r>
              <w:rPr>
                <w:noProof/>
                <w:webHidden/>
              </w:rPr>
              <w:tab/>
            </w:r>
            <w:r>
              <w:rPr>
                <w:noProof/>
                <w:webHidden/>
              </w:rPr>
              <w:fldChar w:fldCharType="begin"/>
            </w:r>
            <w:r>
              <w:rPr>
                <w:noProof/>
                <w:webHidden/>
              </w:rPr>
              <w:instrText xml:space="preserve"> PAGEREF _Toc234928951 \h </w:instrText>
            </w:r>
            <w:r>
              <w:rPr>
                <w:noProof/>
                <w:webHidden/>
              </w:rPr>
            </w:r>
            <w:r>
              <w:rPr>
                <w:noProof/>
                <w:webHidden/>
              </w:rPr>
              <w:fldChar w:fldCharType="separate"/>
            </w:r>
            <w:r>
              <w:rPr>
                <w:noProof/>
                <w:webHidden/>
              </w:rPr>
              <w:t>11</w:t>
            </w:r>
            <w:r>
              <w:rPr>
                <w:noProof/>
                <w:webHidden/>
              </w:rPr>
              <w:fldChar w:fldCharType="end"/>
            </w:r>
          </w:hyperlink>
        </w:p>
        <w:p w14:paraId="270B1B71" w14:textId="0CE0D6B2" w:rsidR="00CF513B" w:rsidRDefault="00CF513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4928952" w:history="1">
            <w:r w:rsidRPr="00B745E7">
              <w:rPr>
                <w:rStyle w:val="Hyperlink"/>
                <w:noProof/>
              </w:rPr>
              <w:t>Clinical evaluation summary</w:t>
            </w:r>
            <w:r>
              <w:rPr>
                <w:noProof/>
                <w:webHidden/>
              </w:rPr>
              <w:tab/>
            </w:r>
            <w:r>
              <w:rPr>
                <w:noProof/>
                <w:webHidden/>
              </w:rPr>
              <w:fldChar w:fldCharType="begin"/>
            </w:r>
            <w:r>
              <w:rPr>
                <w:noProof/>
                <w:webHidden/>
              </w:rPr>
              <w:instrText xml:space="preserve"> PAGEREF _Toc234928952 \h </w:instrText>
            </w:r>
            <w:r>
              <w:rPr>
                <w:noProof/>
                <w:webHidden/>
              </w:rPr>
            </w:r>
            <w:r>
              <w:rPr>
                <w:noProof/>
                <w:webHidden/>
              </w:rPr>
              <w:fldChar w:fldCharType="separate"/>
            </w:r>
            <w:r>
              <w:rPr>
                <w:noProof/>
                <w:webHidden/>
              </w:rPr>
              <w:t>12</w:t>
            </w:r>
            <w:r>
              <w:rPr>
                <w:noProof/>
                <w:webHidden/>
              </w:rPr>
              <w:fldChar w:fldCharType="end"/>
            </w:r>
          </w:hyperlink>
        </w:p>
        <w:p w14:paraId="7028871A" w14:textId="1393AEDC" w:rsidR="00CF513B" w:rsidRDefault="00CF513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4928953" w:history="1">
            <w:r w:rsidRPr="00B745E7">
              <w:rPr>
                <w:rStyle w:val="Hyperlink"/>
                <w:noProof/>
              </w:rPr>
              <w:t>Pharmacology</w:t>
            </w:r>
            <w:r>
              <w:rPr>
                <w:noProof/>
                <w:webHidden/>
              </w:rPr>
              <w:tab/>
            </w:r>
            <w:r>
              <w:rPr>
                <w:noProof/>
                <w:webHidden/>
              </w:rPr>
              <w:fldChar w:fldCharType="begin"/>
            </w:r>
            <w:r>
              <w:rPr>
                <w:noProof/>
                <w:webHidden/>
              </w:rPr>
              <w:instrText xml:space="preserve"> PAGEREF _Toc234928953 \h </w:instrText>
            </w:r>
            <w:r>
              <w:rPr>
                <w:noProof/>
                <w:webHidden/>
              </w:rPr>
            </w:r>
            <w:r>
              <w:rPr>
                <w:noProof/>
                <w:webHidden/>
              </w:rPr>
              <w:fldChar w:fldCharType="separate"/>
            </w:r>
            <w:r>
              <w:rPr>
                <w:noProof/>
                <w:webHidden/>
              </w:rPr>
              <w:t>12</w:t>
            </w:r>
            <w:r>
              <w:rPr>
                <w:noProof/>
                <w:webHidden/>
              </w:rPr>
              <w:fldChar w:fldCharType="end"/>
            </w:r>
          </w:hyperlink>
        </w:p>
        <w:p w14:paraId="5DD3F478" w14:textId="7AA715EA" w:rsidR="00CF513B" w:rsidRDefault="00CF513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4928954" w:history="1">
            <w:r w:rsidRPr="00B745E7">
              <w:rPr>
                <w:rStyle w:val="Hyperlink"/>
                <w:noProof/>
              </w:rPr>
              <w:t>Efficacy</w:t>
            </w:r>
            <w:r>
              <w:rPr>
                <w:noProof/>
                <w:webHidden/>
              </w:rPr>
              <w:tab/>
            </w:r>
            <w:r>
              <w:rPr>
                <w:noProof/>
                <w:webHidden/>
              </w:rPr>
              <w:fldChar w:fldCharType="begin"/>
            </w:r>
            <w:r>
              <w:rPr>
                <w:noProof/>
                <w:webHidden/>
              </w:rPr>
              <w:instrText xml:space="preserve"> PAGEREF _Toc234928954 \h </w:instrText>
            </w:r>
            <w:r>
              <w:rPr>
                <w:noProof/>
                <w:webHidden/>
              </w:rPr>
            </w:r>
            <w:r>
              <w:rPr>
                <w:noProof/>
                <w:webHidden/>
              </w:rPr>
              <w:fldChar w:fldCharType="separate"/>
            </w:r>
            <w:r>
              <w:rPr>
                <w:noProof/>
                <w:webHidden/>
              </w:rPr>
              <w:t>13</w:t>
            </w:r>
            <w:r>
              <w:rPr>
                <w:noProof/>
                <w:webHidden/>
              </w:rPr>
              <w:fldChar w:fldCharType="end"/>
            </w:r>
          </w:hyperlink>
        </w:p>
        <w:p w14:paraId="27567B88" w14:textId="6DCAB581" w:rsidR="00CF513B" w:rsidRDefault="00CF513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4928955" w:history="1">
            <w:r w:rsidRPr="00B745E7">
              <w:rPr>
                <w:rStyle w:val="Hyperlink"/>
                <w:noProof/>
              </w:rPr>
              <w:t>Safety</w:t>
            </w:r>
            <w:r>
              <w:rPr>
                <w:noProof/>
                <w:webHidden/>
              </w:rPr>
              <w:tab/>
            </w:r>
            <w:r>
              <w:rPr>
                <w:noProof/>
                <w:webHidden/>
              </w:rPr>
              <w:fldChar w:fldCharType="begin"/>
            </w:r>
            <w:r>
              <w:rPr>
                <w:noProof/>
                <w:webHidden/>
              </w:rPr>
              <w:instrText xml:space="preserve"> PAGEREF _Toc234928955 \h </w:instrText>
            </w:r>
            <w:r>
              <w:rPr>
                <w:noProof/>
                <w:webHidden/>
              </w:rPr>
            </w:r>
            <w:r>
              <w:rPr>
                <w:noProof/>
                <w:webHidden/>
              </w:rPr>
              <w:fldChar w:fldCharType="separate"/>
            </w:r>
            <w:r>
              <w:rPr>
                <w:noProof/>
                <w:webHidden/>
              </w:rPr>
              <w:t>18</w:t>
            </w:r>
            <w:r>
              <w:rPr>
                <w:noProof/>
                <w:webHidden/>
              </w:rPr>
              <w:fldChar w:fldCharType="end"/>
            </w:r>
          </w:hyperlink>
        </w:p>
        <w:p w14:paraId="3BCDE560" w14:textId="26837AF6" w:rsidR="00CF513B" w:rsidRDefault="00CF513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4928956" w:history="1">
            <w:r w:rsidRPr="00B745E7">
              <w:rPr>
                <w:rStyle w:val="Hyperlink"/>
                <w:noProof/>
                <w:lang w:eastAsia="en-AU"/>
              </w:rPr>
              <w:t>Risk management plan</w:t>
            </w:r>
            <w:r>
              <w:rPr>
                <w:noProof/>
                <w:webHidden/>
              </w:rPr>
              <w:tab/>
            </w:r>
            <w:r>
              <w:rPr>
                <w:noProof/>
                <w:webHidden/>
              </w:rPr>
              <w:fldChar w:fldCharType="begin"/>
            </w:r>
            <w:r>
              <w:rPr>
                <w:noProof/>
                <w:webHidden/>
              </w:rPr>
              <w:instrText xml:space="preserve"> PAGEREF _Toc234928956 \h </w:instrText>
            </w:r>
            <w:r>
              <w:rPr>
                <w:noProof/>
                <w:webHidden/>
              </w:rPr>
            </w:r>
            <w:r>
              <w:rPr>
                <w:noProof/>
                <w:webHidden/>
              </w:rPr>
              <w:fldChar w:fldCharType="separate"/>
            </w:r>
            <w:r>
              <w:rPr>
                <w:noProof/>
                <w:webHidden/>
              </w:rPr>
              <w:t>21</w:t>
            </w:r>
            <w:r>
              <w:rPr>
                <w:noProof/>
                <w:webHidden/>
              </w:rPr>
              <w:fldChar w:fldCharType="end"/>
            </w:r>
          </w:hyperlink>
        </w:p>
        <w:p w14:paraId="64E56CF6" w14:textId="31532B29" w:rsidR="00CF513B" w:rsidRDefault="00CF513B">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4928957" w:history="1">
            <w:r w:rsidRPr="00B745E7">
              <w:rPr>
                <w:rStyle w:val="Hyperlink"/>
                <w:noProof/>
              </w:rPr>
              <w:t>Risk-benefit analysis</w:t>
            </w:r>
            <w:r>
              <w:rPr>
                <w:noProof/>
                <w:webHidden/>
              </w:rPr>
              <w:tab/>
            </w:r>
            <w:r>
              <w:rPr>
                <w:noProof/>
                <w:webHidden/>
              </w:rPr>
              <w:fldChar w:fldCharType="begin"/>
            </w:r>
            <w:r>
              <w:rPr>
                <w:noProof/>
                <w:webHidden/>
              </w:rPr>
              <w:instrText xml:space="preserve"> PAGEREF _Toc234928957 \h </w:instrText>
            </w:r>
            <w:r>
              <w:rPr>
                <w:noProof/>
                <w:webHidden/>
              </w:rPr>
            </w:r>
            <w:r>
              <w:rPr>
                <w:noProof/>
                <w:webHidden/>
              </w:rPr>
              <w:fldChar w:fldCharType="separate"/>
            </w:r>
            <w:r>
              <w:rPr>
                <w:noProof/>
                <w:webHidden/>
              </w:rPr>
              <w:t>21</w:t>
            </w:r>
            <w:r>
              <w:rPr>
                <w:noProof/>
                <w:webHidden/>
              </w:rPr>
              <w:fldChar w:fldCharType="end"/>
            </w:r>
          </w:hyperlink>
        </w:p>
        <w:p w14:paraId="50921872" w14:textId="76EEFC90" w:rsidR="00CF513B" w:rsidRDefault="00CF513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4928958" w:history="1">
            <w:r w:rsidRPr="00B745E7">
              <w:rPr>
                <w:rStyle w:val="Hyperlink"/>
                <w:noProof/>
              </w:rPr>
              <w:t>Clinical evidence</w:t>
            </w:r>
            <w:r>
              <w:rPr>
                <w:noProof/>
                <w:webHidden/>
              </w:rPr>
              <w:tab/>
            </w:r>
            <w:r>
              <w:rPr>
                <w:noProof/>
                <w:webHidden/>
              </w:rPr>
              <w:fldChar w:fldCharType="begin"/>
            </w:r>
            <w:r>
              <w:rPr>
                <w:noProof/>
                <w:webHidden/>
              </w:rPr>
              <w:instrText xml:space="preserve"> PAGEREF _Toc234928958 \h </w:instrText>
            </w:r>
            <w:r>
              <w:rPr>
                <w:noProof/>
                <w:webHidden/>
              </w:rPr>
            </w:r>
            <w:r>
              <w:rPr>
                <w:noProof/>
                <w:webHidden/>
              </w:rPr>
              <w:fldChar w:fldCharType="separate"/>
            </w:r>
            <w:r>
              <w:rPr>
                <w:noProof/>
                <w:webHidden/>
              </w:rPr>
              <w:t>22</w:t>
            </w:r>
            <w:r>
              <w:rPr>
                <w:noProof/>
                <w:webHidden/>
              </w:rPr>
              <w:fldChar w:fldCharType="end"/>
            </w:r>
          </w:hyperlink>
        </w:p>
        <w:p w14:paraId="0FC0A9A7" w14:textId="6DEDDE8F" w:rsidR="00CF513B" w:rsidRDefault="00CF513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4928959" w:history="1">
            <w:r w:rsidRPr="00B745E7">
              <w:rPr>
                <w:rStyle w:val="Hyperlink"/>
                <w:noProof/>
              </w:rPr>
              <w:t>Companion diagnostic testing</w:t>
            </w:r>
            <w:r>
              <w:rPr>
                <w:noProof/>
                <w:webHidden/>
              </w:rPr>
              <w:tab/>
            </w:r>
            <w:r>
              <w:rPr>
                <w:noProof/>
                <w:webHidden/>
              </w:rPr>
              <w:fldChar w:fldCharType="begin"/>
            </w:r>
            <w:r>
              <w:rPr>
                <w:noProof/>
                <w:webHidden/>
              </w:rPr>
              <w:instrText xml:space="preserve"> PAGEREF _Toc234928959 \h </w:instrText>
            </w:r>
            <w:r>
              <w:rPr>
                <w:noProof/>
                <w:webHidden/>
              </w:rPr>
            </w:r>
            <w:r>
              <w:rPr>
                <w:noProof/>
                <w:webHidden/>
              </w:rPr>
              <w:fldChar w:fldCharType="separate"/>
            </w:r>
            <w:r>
              <w:rPr>
                <w:noProof/>
                <w:webHidden/>
              </w:rPr>
              <w:t>22</w:t>
            </w:r>
            <w:r>
              <w:rPr>
                <w:noProof/>
                <w:webHidden/>
              </w:rPr>
              <w:fldChar w:fldCharType="end"/>
            </w:r>
          </w:hyperlink>
        </w:p>
        <w:p w14:paraId="6D393625" w14:textId="1DB23A9C" w:rsidR="00CF513B" w:rsidRDefault="00CF513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4928960" w:history="1">
            <w:r w:rsidRPr="00B745E7">
              <w:rPr>
                <w:rStyle w:val="Hyperlink"/>
                <w:noProof/>
              </w:rPr>
              <w:t>Uncertainties</w:t>
            </w:r>
            <w:r>
              <w:rPr>
                <w:noProof/>
                <w:webHidden/>
              </w:rPr>
              <w:tab/>
            </w:r>
            <w:r>
              <w:rPr>
                <w:noProof/>
                <w:webHidden/>
              </w:rPr>
              <w:fldChar w:fldCharType="begin"/>
            </w:r>
            <w:r>
              <w:rPr>
                <w:noProof/>
                <w:webHidden/>
              </w:rPr>
              <w:instrText xml:space="preserve"> PAGEREF _Toc234928960 \h </w:instrText>
            </w:r>
            <w:r>
              <w:rPr>
                <w:noProof/>
                <w:webHidden/>
              </w:rPr>
            </w:r>
            <w:r>
              <w:rPr>
                <w:noProof/>
                <w:webHidden/>
              </w:rPr>
              <w:fldChar w:fldCharType="separate"/>
            </w:r>
            <w:r>
              <w:rPr>
                <w:noProof/>
                <w:webHidden/>
              </w:rPr>
              <w:t>23</w:t>
            </w:r>
            <w:r>
              <w:rPr>
                <w:noProof/>
                <w:webHidden/>
              </w:rPr>
              <w:fldChar w:fldCharType="end"/>
            </w:r>
          </w:hyperlink>
        </w:p>
        <w:p w14:paraId="46DF1869" w14:textId="0045D631" w:rsidR="00CF513B" w:rsidRDefault="00CF513B">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34928961" w:history="1">
            <w:r w:rsidRPr="00B745E7">
              <w:rPr>
                <w:rStyle w:val="Hyperlink"/>
                <w:noProof/>
              </w:rPr>
              <w:t>Assessment outcome</w:t>
            </w:r>
            <w:r>
              <w:rPr>
                <w:noProof/>
                <w:webHidden/>
              </w:rPr>
              <w:tab/>
            </w:r>
            <w:r>
              <w:rPr>
                <w:noProof/>
                <w:webHidden/>
              </w:rPr>
              <w:fldChar w:fldCharType="begin"/>
            </w:r>
            <w:r>
              <w:rPr>
                <w:noProof/>
                <w:webHidden/>
              </w:rPr>
              <w:instrText xml:space="preserve"> PAGEREF _Toc234928961 \h </w:instrText>
            </w:r>
            <w:r>
              <w:rPr>
                <w:noProof/>
                <w:webHidden/>
              </w:rPr>
            </w:r>
            <w:r>
              <w:rPr>
                <w:noProof/>
                <w:webHidden/>
              </w:rPr>
              <w:fldChar w:fldCharType="separate"/>
            </w:r>
            <w:r>
              <w:rPr>
                <w:noProof/>
                <w:webHidden/>
              </w:rPr>
              <w:t>23</w:t>
            </w:r>
            <w:r>
              <w:rPr>
                <w:noProof/>
                <w:webHidden/>
              </w:rPr>
              <w:fldChar w:fldCharType="end"/>
            </w:r>
          </w:hyperlink>
        </w:p>
        <w:p w14:paraId="77B84E6E" w14:textId="5CAEC520" w:rsidR="00CF513B" w:rsidRDefault="00CF513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4928962" w:history="1">
            <w:r w:rsidRPr="00B745E7">
              <w:rPr>
                <w:rStyle w:val="Hyperlink"/>
                <w:noProof/>
              </w:rPr>
              <w:t>Specific conditions of registration</w:t>
            </w:r>
            <w:r>
              <w:rPr>
                <w:noProof/>
                <w:webHidden/>
              </w:rPr>
              <w:tab/>
            </w:r>
            <w:r>
              <w:rPr>
                <w:noProof/>
                <w:webHidden/>
              </w:rPr>
              <w:fldChar w:fldCharType="begin"/>
            </w:r>
            <w:r>
              <w:rPr>
                <w:noProof/>
                <w:webHidden/>
              </w:rPr>
              <w:instrText xml:space="preserve"> PAGEREF _Toc234928962 \h </w:instrText>
            </w:r>
            <w:r>
              <w:rPr>
                <w:noProof/>
                <w:webHidden/>
              </w:rPr>
            </w:r>
            <w:r>
              <w:rPr>
                <w:noProof/>
                <w:webHidden/>
              </w:rPr>
              <w:fldChar w:fldCharType="separate"/>
            </w:r>
            <w:r>
              <w:rPr>
                <w:noProof/>
                <w:webHidden/>
              </w:rPr>
              <w:t>23</w:t>
            </w:r>
            <w:r>
              <w:rPr>
                <w:noProof/>
                <w:webHidden/>
              </w:rPr>
              <w:fldChar w:fldCharType="end"/>
            </w:r>
          </w:hyperlink>
        </w:p>
        <w:p w14:paraId="74A5CD71" w14:textId="5A5A82AA" w:rsidR="00CF513B" w:rsidRDefault="00CF513B">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4928963" w:history="1">
            <w:r w:rsidRPr="00B745E7">
              <w:rPr>
                <w:rStyle w:val="Hyperlink"/>
                <w:noProof/>
              </w:rPr>
              <w:t>Product Information and Consumer Medicine Information</w:t>
            </w:r>
            <w:r>
              <w:rPr>
                <w:noProof/>
                <w:webHidden/>
              </w:rPr>
              <w:tab/>
            </w:r>
            <w:r>
              <w:rPr>
                <w:noProof/>
                <w:webHidden/>
              </w:rPr>
              <w:fldChar w:fldCharType="begin"/>
            </w:r>
            <w:r>
              <w:rPr>
                <w:noProof/>
                <w:webHidden/>
              </w:rPr>
              <w:instrText xml:space="preserve"> PAGEREF _Toc234928963 \h </w:instrText>
            </w:r>
            <w:r>
              <w:rPr>
                <w:noProof/>
                <w:webHidden/>
              </w:rPr>
            </w:r>
            <w:r>
              <w:rPr>
                <w:noProof/>
                <w:webHidden/>
              </w:rPr>
              <w:fldChar w:fldCharType="separate"/>
            </w:r>
            <w:r>
              <w:rPr>
                <w:noProof/>
                <w:webHidden/>
              </w:rPr>
              <w:t>24</w:t>
            </w:r>
            <w:r>
              <w:rPr>
                <w:noProof/>
                <w:webHidden/>
              </w:rPr>
              <w:fldChar w:fldCharType="end"/>
            </w:r>
          </w:hyperlink>
        </w:p>
        <w:p w14:paraId="77659F2D" w14:textId="17C74F14"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0" w:name="_Toc98931917"/>
      <w:bookmarkStart w:id="1" w:name="_Toc103679287"/>
      <w:bookmarkStart w:id="2" w:name="_Toc234928938"/>
      <w:bookmarkStart w:id="3" w:name="_Toc323739589"/>
      <w:bookmarkStart w:id="4" w:name="_Toc356305216"/>
      <w:r>
        <w:lastRenderedPageBreak/>
        <w:t>List of abbreviations</w:t>
      </w:r>
      <w:bookmarkEnd w:id="0"/>
      <w:bookmarkEnd w:id="1"/>
      <w:bookmarkEnd w:id="2"/>
    </w:p>
    <w:tbl>
      <w:tblPr>
        <w:tblStyle w:val="TableTGAblue2023"/>
        <w:tblW w:w="5000" w:type="pct"/>
        <w:tblLook w:val="04A0" w:firstRow="1" w:lastRow="0" w:firstColumn="1" w:lastColumn="0" w:noHBand="0" w:noVBand="1"/>
      </w:tblPr>
      <w:tblGrid>
        <w:gridCol w:w="2174"/>
        <w:gridCol w:w="6886"/>
      </w:tblGrid>
      <w:tr w:rsidR="00711C19" w:rsidRPr="00D01DDB" w14:paraId="51829CF2" w14:textId="77777777" w:rsidTr="00FA13A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3094D20D" w14:textId="77777777" w:rsidR="00711C19" w:rsidRPr="00D01DDB" w:rsidRDefault="00711C19" w:rsidP="00FA13AD">
            <w:pPr>
              <w:rPr>
                <w:szCs w:val="22"/>
              </w:rPr>
            </w:pPr>
            <w:bookmarkStart w:id="5" w:name="_Toc103679288"/>
            <w:r w:rsidRPr="00D01DDB">
              <w:rPr>
                <w:szCs w:val="22"/>
              </w:rPr>
              <w:t>Abbreviation</w:t>
            </w:r>
          </w:p>
        </w:tc>
        <w:tc>
          <w:tcPr>
            <w:tcW w:w="3800" w:type="pct"/>
          </w:tcPr>
          <w:p w14:paraId="584B0819" w14:textId="77777777" w:rsidR="00711C19" w:rsidRPr="00D01DDB" w:rsidRDefault="00711C19" w:rsidP="00FA13AD">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711C19" w:rsidRPr="00D01DDB" w14:paraId="06734C0C" w14:textId="77777777" w:rsidTr="00FA13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ACBBF0A" w14:textId="77777777" w:rsidR="00711C19" w:rsidRPr="00D01DDB" w:rsidRDefault="00711C19" w:rsidP="00FA13AD">
            <w:pPr>
              <w:rPr>
                <w:szCs w:val="22"/>
              </w:rPr>
            </w:pPr>
            <w:r w:rsidRPr="000F495B">
              <w:t>AEs</w:t>
            </w:r>
          </w:p>
        </w:tc>
        <w:tc>
          <w:tcPr>
            <w:tcW w:w="3800" w:type="pct"/>
          </w:tcPr>
          <w:p w14:paraId="156CB548" w14:textId="77777777" w:rsidR="00711C19" w:rsidRPr="00D01DDB" w:rsidRDefault="00711C19" w:rsidP="00FA13AD">
            <w:pPr>
              <w:cnfStyle w:val="000000000000" w:firstRow="0" w:lastRow="0" w:firstColumn="0" w:lastColumn="0" w:oddVBand="0" w:evenVBand="0" w:oddHBand="0" w:evenHBand="0" w:firstRowFirstColumn="0" w:firstRowLastColumn="0" w:lastRowFirstColumn="0" w:lastRowLastColumn="0"/>
              <w:rPr>
                <w:szCs w:val="22"/>
              </w:rPr>
            </w:pPr>
            <w:r>
              <w:t>A</w:t>
            </w:r>
            <w:r w:rsidRPr="000F495B">
              <w:t>dverse event</w:t>
            </w:r>
            <w:r>
              <w:t>(</w:t>
            </w:r>
            <w:r w:rsidRPr="000F495B">
              <w:t>s</w:t>
            </w:r>
            <w:r>
              <w:t>)</w:t>
            </w:r>
            <w:r w:rsidRPr="000F495B">
              <w:t xml:space="preserve"> </w:t>
            </w:r>
          </w:p>
        </w:tc>
      </w:tr>
      <w:tr w:rsidR="00711C19" w:rsidRPr="00D01DDB" w14:paraId="053E1910" w14:textId="77777777" w:rsidTr="00FA13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0392761" w14:textId="77777777" w:rsidR="00711C19" w:rsidRPr="000F495B" w:rsidRDefault="00711C19" w:rsidP="00FA13AD">
            <w:r w:rsidRPr="006E46B8">
              <w:t>AESI</w:t>
            </w:r>
          </w:p>
        </w:tc>
        <w:tc>
          <w:tcPr>
            <w:tcW w:w="3800" w:type="pct"/>
          </w:tcPr>
          <w:p w14:paraId="7BA85E7F" w14:textId="77777777" w:rsidR="00711C19" w:rsidRDefault="00711C19" w:rsidP="00FA13AD">
            <w:pPr>
              <w:cnfStyle w:val="000000000000" w:firstRow="0" w:lastRow="0" w:firstColumn="0" w:lastColumn="0" w:oddVBand="0" w:evenVBand="0" w:oddHBand="0" w:evenHBand="0" w:firstRowFirstColumn="0" w:firstRowLastColumn="0" w:lastRowFirstColumn="0" w:lastRowLastColumn="0"/>
            </w:pPr>
            <w:r w:rsidRPr="00807EB1">
              <w:t xml:space="preserve">Adverse event(s) </w:t>
            </w:r>
            <w:r w:rsidRPr="006E46B8">
              <w:t>of special interest</w:t>
            </w:r>
          </w:p>
        </w:tc>
      </w:tr>
      <w:tr w:rsidR="00711C19" w:rsidRPr="00D01DDB" w14:paraId="0FEA8B9C" w14:textId="77777777" w:rsidTr="00FA13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A543615" w14:textId="77777777" w:rsidR="00711C19" w:rsidRPr="00D01DDB" w:rsidRDefault="00711C19" w:rsidP="00FA13AD">
            <w:pPr>
              <w:rPr>
                <w:szCs w:val="22"/>
              </w:rPr>
            </w:pPr>
            <w:r w:rsidRPr="00D01DDB">
              <w:rPr>
                <w:szCs w:val="22"/>
              </w:rPr>
              <w:t>ARTG</w:t>
            </w:r>
          </w:p>
        </w:tc>
        <w:tc>
          <w:tcPr>
            <w:tcW w:w="3800" w:type="pct"/>
          </w:tcPr>
          <w:p w14:paraId="4BAB911B" w14:textId="77777777" w:rsidR="00711C19" w:rsidRPr="00D01DDB" w:rsidRDefault="00711C19" w:rsidP="00FA13AD">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711C19" w:rsidRPr="00D01DDB" w14:paraId="592055C8" w14:textId="77777777" w:rsidTr="00FA13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3FA8822" w14:textId="77777777" w:rsidR="00711C19" w:rsidRPr="00D01DDB" w:rsidRDefault="00711C19" w:rsidP="00FA13AD">
            <w:pPr>
              <w:rPr>
                <w:szCs w:val="22"/>
              </w:rPr>
            </w:pPr>
            <w:r>
              <w:rPr>
                <w:szCs w:val="22"/>
              </w:rPr>
              <w:t>AUC</w:t>
            </w:r>
          </w:p>
        </w:tc>
        <w:tc>
          <w:tcPr>
            <w:tcW w:w="3800" w:type="pct"/>
          </w:tcPr>
          <w:p w14:paraId="2D455D7D" w14:textId="77777777" w:rsidR="00711C19" w:rsidRPr="00D01DDB" w:rsidRDefault="00711C19" w:rsidP="00FA13AD">
            <w:pPr>
              <w:cnfStyle w:val="000000000000" w:firstRow="0" w:lastRow="0" w:firstColumn="0" w:lastColumn="0" w:oddVBand="0" w:evenVBand="0" w:oddHBand="0" w:evenHBand="0" w:firstRowFirstColumn="0" w:firstRowLastColumn="0" w:lastRowFirstColumn="0" w:lastRowLastColumn="0"/>
              <w:rPr>
                <w:szCs w:val="22"/>
              </w:rPr>
            </w:pPr>
            <w:r w:rsidRPr="0047117B">
              <w:rPr>
                <w:szCs w:val="22"/>
              </w:rPr>
              <w:t>Area under the concentration-time curve</w:t>
            </w:r>
          </w:p>
        </w:tc>
      </w:tr>
      <w:tr w:rsidR="00711C19" w:rsidRPr="00D01DDB" w14:paraId="1781ABF1" w14:textId="77777777" w:rsidTr="00FA13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887BD89" w14:textId="77777777" w:rsidR="00711C19" w:rsidRDefault="00711C19" w:rsidP="00FA13AD">
            <w:pPr>
              <w:rPr>
                <w:szCs w:val="22"/>
              </w:rPr>
            </w:pPr>
            <w:r w:rsidRPr="0047117B">
              <w:rPr>
                <w:szCs w:val="22"/>
              </w:rPr>
              <w:t>AUC</w:t>
            </w:r>
            <w:r w:rsidRPr="0047117B">
              <w:rPr>
                <w:szCs w:val="22"/>
                <w:vertAlign w:val="subscript"/>
              </w:rPr>
              <w:t>ss</w:t>
            </w:r>
          </w:p>
        </w:tc>
        <w:tc>
          <w:tcPr>
            <w:tcW w:w="3800" w:type="pct"/>
          </w:tcPr>
          <w:p w14:paraId="1A7F0F7B" w14:textId="77777777" w:rsidR="00711C19" w:rsidRDefault="00711C19" w:rsidP="00FA13AD">
            <w:pPr>
              <w:cnfStyle w:val="000000000000" w:firstRow="0" w:lastRow="0" w:firstColumn="0" w:lastColumn="0" w:oddVBand="0" w:evenVBand="0" w:oddHBand="0" w:evenHBand="0" w:firstRowFirstColumn="0" w:firstRowLastColumn="0" w:lastRowFirstColumn="0" w:lastRowLastColumn="0"/>
              <w:rPr>
                <w:szCs w:val="22"/>
              </w:rPr>
            </w:pPr>
            <w:r w:rsidRPr="0047117B">
              <w:rPr>
                <w:szCs w:val="22"/>
              </w:rPr>
              <w:t>Area under the concentration-time curve</w:t>
            </w:r>
            <w:r>
              <w:rPr>
                <w:szCs w:val="22"/>
              </w:rPr>
              <w:t xml:space="preserve"> at steady state</w:t>
            </w:r>
          </w:p>
        </w:tc>
      </w:tr>
      <w:tr w:rsidR="00711C19" w:rsidRPr="00D01DDB" w14:paraId="4FA76B0B" w14:textId="77777777" w:rsidTr="00FA13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4ADF040" w14:textId="77777777" w:rsidR="00711C19" w:rsidRDefault="00711C19" w:rsidP="00FA13AD">
            <w:pPr>
              <w:rPr>
                <w:szCs w:val="22"/>
              </w:rPr>
            </w:pPr>
            <w:r w:rsidRPr="00AB524E">
              <w:t>BD</w:t>
            </w:r>
          </w:p>
        </w:tc>
        <w:tc>
          <w:tcPr>
            <w:tcW w:w="3800" w:type="pct"/>
          </w:tcPr>
          <w:p w14:paraId="7FE6ADD3" w14:textId="77777777" w:rsidR="00711C19" w:rsidRDefault="00711C19" w:rsidP="00FA13AD">
            <w:pPr>
              <w:cnfStyle w:val="000000000000" w:firstRow="0" w:lastRow="0" w:firstColumn="0" w:lastColumn="0" w:oddVBand="0" w:evenVBand="0" w:oddHBand="0" w:evenHBand="0" w:firstRowFirstColumn="0" w:firstRowLastColumn="0" w:lastRowFirstColumn="0" w:lastRowLastColumn="0"/>
              <w:rPr>
                <w:szCs w:val="22"/>
              </w:rPr>
            </w:pPr>
            <w:r>
              <w:t>T</w:t>
            </w:r>
            <w:r w:rsidRPr="00AB524E">
              <w:t xml:space="preserve">wice daily dosing </w:t>
            </w:r>
          </w:p>
        </w:tc>
      </w:tr>
      <w:tr w:rsidR="00711C19" w:rsidRPr="00D01DDB" w14:paraId="139D1835" w14:textId="77777777" w:rsidTr="00FA13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4C25458" w14:textId="77777777" w:rsidR="00711C19" w:rsidRPr="00D01DDB" w:rsidRDefault="00711C19" w:rsidP="00FA13AD">
            <w:pPr>
              <w:rPr>
                <w:szCs w:val="22"/>
              </w:rPr>
            </w:pPr>
            <w:r w:rsidRPr="00D01DDB">
              <w:rPr>
                <w:szCs w:val="22"/>
              </w:rPr>
              <w:t>CMI</w:t>
            </w:r>
          </w:p>
        </w:tc>
        <w:tc>
          <w:tcPr>
            <w:tcW w:w="3800" w:type="pct"/>
          </w:tcPr>
          <w:p w14:paraId="0E2A9B86" w14:textId="77777777" w:rsidR="00711C19" w:rsidRPr="00D01DDB" w:rsidRDefault="00711C19" w:rsidP="00FA13AD">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711C19" w:rsidRPr="00D01DDB" w14:paraId="167A5239" w14:textId="77777777" w:rsidTr="00FA13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CB66965" w14:textId="77777777" w:rsidR="00711C19" w:rsidRPr="00D01DDB" w:rsidRDefault="00711C19" w:rsidP="00FA13AD">
            <w:pPr>
              <w:rPr>
                <w:szCs w:val="22"/>
              </w:rPr>
            </w:pPr>
            <w:r w:rsidRPr="0007383A">
              <w:rPr>
                <w:szCs w:val="22"/>
              </w:rPr>
              <w:t>C</w:t>
            </w:r>
            <w:r w:rsidRPr="0007383A">
              <w:rPr>
                <w:szCs w:val="22"/>
                <w:vertAlign w:val="subscript"/>
              </w:rPr>
              <w:t>avg</w:t>
            </w:r>
          </w:p>
        </w:tc>
        <w:tc>
          <w:tcPr>
            <w:tcW w:w="3800" w:type="pct"/>
          </w:tcPr>
          <w:p w14:paraId="4CF60DC0" w14:textId="77777777" w:rsidR="00711C19" w:rsidRPr="00D01DDB" w:rsidRDefault="00711C19" w:rsidP="00FA13AD">
            <w:pPr>
              <w:tabs>
                <w:tab w:val="center" w:pos="3374"/>
              </w:tabs>
              <w:cnfStyle w:val="000000000000" w:firstRow="0" w:lastRow="0" w:firstColumn="0" w:lastColumn="0" w:oddVBand="0" w:evenVBand="0" w:oddHBand="0" w:evenHBand="0" w:firstRowFirstColumn="0" w:firstRowLastColumn="0" w:lastRowFirstColumn="0" w:lastRowLastColumn="0"/>
              <w:rPr>
                <w:szCs w:val="22"/>
              </w:rPr>
            </w:pPr>
            <w:r>
              <w:rPr>
                <w:szCs w:val="22"/>
              </w:rPr>
              <w:t>Average concentration</w:t>
            </w:r>
            <w:r>
              <w:rPr>
                <w:szCs w:val="22"/>
              </w:rPr>
              <w:tab/>
            </w:r>
          </w:p>
        </w:tc>
      </w:tr>
      <w:tr w:rsidR="00711C19" w:rsidRPr="00D01DDB" w14:paraId="5BE54D50" w14:textId="77777777" w:rsidTr="00FA13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DB11584" w14:textId="77777777" w:rsidR="00711C19" w:rsidRPr="0007383A" w:rsidRDefault="00711C19" w:rsidP="00FA13AD">
            <w:pPr>
              <w:rPr>
                <w:szCs w:val="22"/>
              </w:rPr>
            </w:pPr>
            <w:r w:rsidRPr="00237011">
              <w:t>CDx</w:t>
            </w:r>
          </w:p>
        </w:tc>
        <w:tc>
          <w:tcPr>
            <w:tcW w:w="3800" w:type="pct"/>
          </w:tcPr>
          <w:p w14:paraId="3D936DBA" w14:textId="77777777" w:rsidR="00711C19" w:rsidRDefault="00711C19" w:rsidP="00FA13AD">
            <w:pPr>
              <w:tabs>
                <w:tab w:val="center" w:pos="3374"/>
              </w:tabs>
              <w:cnfStyle w:val="000000000000" w:firstRow="0" w:lastRow="0" w:firstColumn="0" w:lastColumn="0" w:oddVBand="0" w:evenVBand="0" w:oddHBand="0" w:evenHBand="0" w:firstRowFirstColumn="0" w:firstRowLastColumn="0" w:lastRowFirstColumn="0" w:lastRowLastColumn="0"/>
              <w:rPr>
                <w:szCs w:val="22"/>
              </w:rPr>
            </w:pPr>
            <w:r>
              <w:t>C</w:t>
            </w:r>
            <w:r w:rsidRPr="00237011">
              <w:t>ompanion diagnosti</w:t>
            </w:r>
            <w:r>
              <w:t>c</w:t>
            </w:r>
          </w:p>
        </w:tc>
      </w:tr>
      <w:tr w:rsidR="00711C19" w:rsidRPr="00D01DDB" w14:paraId="424F91DD" w14:textId="77777777" w:rsidTr="00FA13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6D3E09D" w14:textId="77777777" w:rsidR="00711C19" w:rsidRPr="00D01DDB" w:rsidRDefault="00711C19" w:rsidP="00FA13AD">
            <w:pPr>
              <w:rPr>
                <w:szCs w:val="22"/>
              </w:rPr>
            </w:pPr>
            <w:r w:rsidRPr="007339F2">
              <w:rPr>
                <w:lang w:val="en-US"/>
              </w:rPr>
              <w:t>C</w:t>
            </w:r>
            <w:r w:rsidRPr="007339F2">
              <w:rPr>
                <w:vertAlign w:val="subscript"/>
                <w:lang w:val="en-US"/>
              </w:rPr>
              <w:t>max</w:t>
            </w:r>
          </w:p>
        </w:tc>
        <w:tc>
          <w:tcPr>
            <w:tcW w:w="3800" w:type="pct"/>
          </w:tcPr>
          <w:p w14:paraId="095CA5C1" w14:textId="77777777" w:rsidR="00711C19" w:rsidRPr="00D01DDB" w:rsidRDefault="00711C19" w:rsidP="00FA13AD">
            <w:pPr>
              <w:cnfStyle w:val="000000000000" w:firstRow="0" w:lastRow="0" w:firstColumn="0" w:lastColumn="0" w:oddVBand="0" w:evenVBand="0" w:oddHBand="0" w:evenHBand="0" w:firstRowFirstColumn="0" w:firstRowLastColumn="0" w:lastRowFirstColumn="0" w:lastRowLastColumn="0"/>
              <w:rPr>
                <w:szCs w:val="22"/>
              </w:rPr>
            </w:pPr>
            <w:r>
              <w:rPr>
                <w:lang w:val="en-US"/>
              </w:rPr>
              <w:t>M</w:t>
            </w:r>
            <w:r w:rsidRPr="00882D34">
              <w:rPr>
                <w:lang w:val="en-US"/>
              </w:rPr>
              <w:t>aximum concentration</w:t>
            </w:r>
          </w:p>
        </w:tc>
      </w:tr>
      <w:tr w:rsidR="00711C19" w:rsidRPr="00D01DDB" w14:paraId="433759FF" w14:textId="77777777" w:rsidTr="00FA13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19BA055" w14:textId="77777777" w:rsidR="00711C19" w:rsidRPr="007339F2" w:rsidRDefault="00711C19" w:rsidP="00FA13AD">
            <w:pPr>
              <w:rPr>
                <w:lang w:val="en-US"/>
              </w:rPr>
            </w:pPr>
            <w:r w:rsidRPr="00E9414A">
              <w:t>DOR</w:t>
            </w:r>
          </w:p>
        </w:tc>
        <w:tc>
          <w:tcPr>
            <w:tcW w:w="3800" w:type="pct"/>
          </w:tcPr>
          <w:p w14:paraId="4A629693" w14:textId="77777777" w:rsidR="00711C19" w:rsidRDefault="00711C19" w:rsidP="00FA13AD">
            <w:pPr>
              <w:cnfStyle w:val="000000000000" w:firstRow="0" w:lastRow="0" w:firstColumn="0" w:lastColumn="0" w:oddVBand="0" w:evenVBand="0" w:oddHBand="0" w:evenHBand="0" w:firstRowFirstColumn="0" w:firstRowLastColumn="0" w:lastRowFirstColumn="0" w:lastRowLastColumn="0"/>
              <w:rPr>
                <w:lang w:val="en-US"/>
              </w:rPr>
            </w:pPr>
            <w:r>
              <w:t>D</w:t>
            </w:r>
            <w:r w:rsidRPr="00E9414A">
              <w:t>uration of response</w:t>
            </w:r>
          </w:p>
        </w:tc>
      </w:tr>
      <w:tr w:rsidR="00711C19" w:rsidRPr="00D01DDB" w14:paraId="51FBE2E3" w14:textId="77777777" w:rsidTr="00FA13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D8473B6" w14:textId="77777777" w:rsidR="00711C19" w:rsidRPr="00A64A70" w:rsidRDefault="00711C19" w:rsidP="00FA13AD">
            <w:r w:rsidRPr="00CC3330">
              <w:t xml:space="preserve">MET </w:t>
            </w:r>
          </w:p>
        </w:tc>
        <w:tc>
          <w:tcPr>
            <w:tcW w:w="3800" w:type="pct"/>
          </w:tcPr>
          <w:p w14:paraId="1D57F26C" w14:textId="77777777" w:rsidR="00711C19" w:rsidRDefault="00711C19" w:rsidP="00FA13AD">
            <w:pPr>
              <w:tabs>
                <w:tab w:val="left" w:pos="1756"/>
              </w:tabs>
              <w:cnfStyle w:val="000000000000" w:firstRow="0" w:lastRow="0" w:firstColumn="0" w:lastColumn="0" w:oddVBand="0" w:evenVBand="0" w:oddHBand="0" w:evenHBand="0" w:firstRowFirstColumn="0" w:firstRowLastColumn="0" w:lastRowFirstColumn="0" w:lastRowLastColumn="0"/>
            </w:pPr>
            <w:r w:rsidRPr="00CC3330">
              <w:t>mesenchymal-epithelial transition factor</w:t>
            </w:r>
          </w:p>
        </w:tc>
      </w:tr>
      <w:tr w:rsidR="00711C19" w:rsidRPr="00D01DDB" w14:paraId="3A45272D" w14:textId="77777777" w:rsidTr="00FA13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73C0D82" w14:textId="77777777" w:rsidR="00711C19" w:rsidRPr="00CC3330" w:rsidRDefault="00711C19" w:rsidP="00FA13AD">
            <w:r w:rsidRPr="00937A97">
              <w:rPr>
                <w:iCs/>
              </w:rPr>
              <w:t>MET∆ex14</w:t>
            </w:r>
          </w:p>
        </w:tc>
        <w:tc>
          <w:tcPr>
            <w:tcW w:w="3800" w:type="pct"/>
          </w:tcPr>
          <w:p w14:paraId="65DF1568" w14:textId="77777777" w:rsidR="00711C19" w:rsidRPr="00CC3330" w:rsidRDefault="00711C19" w:rsidP="00FA13AD">
            <w:pPr>
              <w:tabs>
                <w:tab w:val="left" w:pos="1756"/>
              </w:tabs>
              <w:cnfStyle w:val="000000000000" w:firstRow="0" w:lastRow="0" w:firstColumn="0" w:lastColumn="0" w:oddVBand="0" w:evenVBand="0" w:oddHBand="0" w:evenHBand="0" w:firstRowFirstColumn="0" w:firstRowLastColumn="0" w:lastRowFirstColumn="0" w:lastRowLastColumn="0"/>
            </w:pPr>
            <w:r w:rsidRPr="00937A97">
              <w:t>MET exon 14 skipping mutat</w:t>
            </w:r>
            <w:r>
              <w:t>ion</w:t>
            </w:r>
          </w:p>
        </w:tc>
      </w:tr>
      <w:tr w:rsidR="00711C19" w:rsidRPr="00D01DDB" w14:paraId="764A13BC" w14:textId="77777777" w:rsidTr="00FA13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9FCAE83" w14:textId="77777777" w:rsidR="00711C19" w:rsidRPr="00A64A70" w:rsidRDefault="00711C19" w:rsidP="00FA13AD">
            <w:r w:rsidRPr="00294621">
              <w:rPr>
                <w:szCs w:val="22"/>
              </w:rPr>
              <w:t>NSCLC</w:t>
            </w:r>
          </w:p>
        </w:tc>
        <w:tc>
          <w:tcPr>
            <w:tcW w:w="3800" w:type="pct"/>
          </w:tcPr>
          <w:p w14:paraId="3DBF7DCE" w14:textId="77777777" w:rsidR="00711C19" w:rsidRDefault="00711C19" w:rsidP="00FA13AD">
            <w:pPr>
              <w:cnfStyle w:val="000000000000" w:firstRow="0" w:lastRow="0" w:firstColumn="0" w:lastColumn="0" w:oddVBand="0" w:evenVBand="0" w:oddHBand="0" w:evenHBand="0" w:firstRowFirstColumn="0" w:firstRowLastColumn="0" w:lastRowFirstColumn="0" w:lastRowLastColumn="0"/>
            </w:pPr>
            <w:r>
              <w:rPr>
                <w:szCs w:val="22"/>
              </w:rPr>
              <w:t>N</w:t>
            </w:r>
            <w:r w:rsidRPr="00294621">
              <w:rPr>
                <w:szCs w:val="22"/>
              </w:rPr>
              <w:t>on-small cell lung cancer</w:t>
            </w:r>
          </w:p>
        </w:tc>
      </w:tr>
      <w:tr w:rsidR="00711C19" w:rsidRPr="00D01DDB" w14:paraId="0813C645" w14:textId="77777777" w:rsidTr="00FA13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E41394" w14:textId="77777777" w:rsidR="00711C19" w:rsidRPr="00294621" w:rsidRDefault="00711C19" w:rsidP="00FA13AD">
            <w:pPr>
              <w:rPr>
                <w:szCs w:val="22"/>
              </w:rPr>
            </w:pPr>
            <w:r w:rsidRPr="00E0002B">
              <w:t>ORs</w:t>
            </w:r>
          </w:p>
        </w:tc>
        <w:tc>
          <w:tcPr>
            <w:tcW w:w="3800" w:type="pct"/>
          </w:tcPr>
          <w:p w14:paraId="52CFC70B" w14:textId="77777777" w:rsidR="00711C19" w:rsidRPr="00294621" w:rsidRDefault="00711C19" w:rsidP="00FA13AD">
            <w:pPr>
              <w:cnfStyle w:val="000000000000" w:firstRow="0" w:lastRow="0" w:firstColumn="0" w:lastColumn="0" w:oddVBand="0" w:evenVBand="0" w:oddHBand="0" w:evenHBand="0" w:firstRowFirstColumn="0" w:firstRowLastColumn="0" w:lastRowFirstColumn="0" w:lastRowLastColumn="0"/>
              <w:rPr>
                <w:szCs w:val="22"/>
              </w:rPr>
            </w:pPr>
            <w:r>
              <w:t>O</w:t>
            </w:r>
            <w:r w:rsidRPr="00E0002B">
              <w:t>dds ratio</w:t>
            </w:r>
            <w:r>
              <w:t>(</w:t>
            </w:r>
            <w:r w:rsidRPr="00E0002B">
              <w:t>s</w:t>
            </w:r>
            <w:r>
              <w:t>)</w:t>
            </w:r>
          </w:p>
        </w:tc>
      </w:tr>
      <w:tr w:rsidR="00711C19" w:rsidRPr="00D01DDB" w14:paraId="623A4569" w14:textId="77777777" w:rsidTr="00FA13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9A9ED4D" w14:textId="77777777" w:rsidR="00711C19" w:rsidRPr="00294621" w:rsidRDefault="00711C19" w:rsidP="00FA13AD">
            <w:pPr>
              <w:rPr>
                <w:szCs w:val="22"/>
              </w:rPr>
            </w:pPr>
            <w:r w:rsidRPr="00F65164">
              <w:t>ORR</w:t>
            </w:r>
          </w:p>
        </w:tc>
        <w:tc>
          <w:tcPr>
            <w:tcW w:w="3800" w:type="pct"/>
          </w:tcPr>
          <w:p w14:paraId="07019192" w14:textId="77777777" w:rsidR="00711C19" w:rsidRPr="00294621" w:rsidRDefault="00711C19" w:rsidP="00FA13AD">
            <w:pPr>
              <w:cnfStyle w:val="000000000000" w:firstRow="0" w:lastRow="0" w:firstColumn="0" w:lastColumn="0" w:oddVBand="0" w:evenVBand="0" w:oddHBand="0" w:evenHBand="0" w:firstRowFirstColumn="0" w:firstRowLastColumn="0" w:lastRowFirstColumn="0" w:lastRowLastColumn="0"/>
              <w:rPr>
                <w:szCs w:val="22"/>
              </w:rPr>
            </w:pPr>
            <w:r>
              <w:t>O</w:t>
            </w:r>
            <w:r w:rsidRPr="00F65164">
              <w:t>verall response rate</w:t>
            </w:r>
            <w:r>
              <w:t>(s)</w:t>
            </w:r>
          </w:p>
        </w:tc>
      </w:tr>
      <w:tr w:rsidR="00711C19" w:rsidRPr="00D01DDB" w14:paraId="1FCBEDCD" w14:textId="77777777" w:rsidTr="00FA13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085AFE6" w14:textId="77777777" w:rsidR="00711C19" w:rsidRPr="00294621" w:rsidRDefault="00711C19" w:rsidP="00FA13AD">
            <w:pPr>
              <w:rPr>
                <w:szCs w:val="22"/>
              </w:rPr>
            </w:pPr>
            <w:r w:rsidRPr="00CA6C3B">
              <w:t>OS</w:t>
            </w:r>
          </w:p>
        </w:tc>
        <w:tc>
          <w:tcPr>
            <w:tcW w:w="3800" w:type="pct"/>
          </w:tcPr>
          <w:p w14:paraId="53B9F3D4" w14:textId="77777777" w:rsidR="00711C19" w:rsidRPr="00294621" w:rsidRDefault="00711C19" w:rsidP="00FA13AD">
            <w:pPr>
              <w:cnfStyle w:val="000000000000" w:firstRow="0" w:lastRow="0" w:firstColumn="0" w:lastColumn="0" w:oddVBand="0" w:evenVBand="0" w:oddHBand="0" w:evenHBand="0" w:firstRowFirstColumn="0" w:firstRowLastColumn="0" w:lastRowFirstColumn="0" w:lastRowLastColumn="0"/>
              <w:rPr>
                <w:szCs w:val="22"/>
              </w:rPr>
            </w:pPr>
            <w:r>
              <w:t>O</w:t>
            </w:r>
            <w:r w:rsidRPr="00CA6C3B">
              <w:t>verall survival</w:t>
            </w:r>
          </w:p>
        </w:tc>
      </w:tr>
      <w:tr w:rsidR="00711C19" w:rsidRPr="00D01DDB" w14:paraId="55D60672" w14:textId="77777777" w:rsidTr="00FA13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D6E8685" w14:textId="77777777" w:rsidR="00711C19" w:rsidRPr="00CA6C3B" w:rsidRDefault="00711C19" w:rsidP="00FA13AD">
            <w:r w:rsidRPr="001F51DD">
              <w:t>popPK</w:t>
            </w:r>
          </w:p>
        </w:tc>
        <w:tc>
          <w:tcPr>
            <w:tcW w:w="3800" w:type="pct"/>
          </w:tcPr>
          <w:p w14:paraId="442B8D3C" w14:textId="77777777" w:rsidR="00711C19" w:rsidRPr="00CA6C3B" w:rsidRDefault="00711C19" w:rsidP="00FA13AD">
            <w:pPr>
              <w:cnfStyle w:val="000000000000" w:firstRow="0" w:lastRow="0" w:firstColumn="0" w:lastColumn="0" w:oddVBand="0" w:evenVBand="0" w:oddHBand="0" w:evenHBand="0" w:firstRowFirstColumn="0" w:firstRowLastColumn="0" w:lastRowFirstColumn="0" w:lastRowLastColumn="0"/>
            </w:pPr>
            <w:r>
              <w:t>P</w:t>
            </w:r>
            <w:r w:rsidRPr="005B523C">
              <w:t>opulation pharmacokinetic</w:t>
            </w:r>
            <w:r>
              <w:t>(</w:t>
            </w:r>
            <w:r w:rsidRPr="005B523C">
              <w:t>s</w:t>
            </w:r>
            <w:r>
              <w:t>)</w:t>
            </w:r>
          </w:p>
        </w:tc>
      </w:tr>
      <w:tr w:rsidR="00711C19" w:rsidRPr="00D01DDB" w14:paraId="5A294B35" w14:textId="77777777" w:rsidTr="00FA13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EC2207A" w14:textId="77777777" w:rsidR="00711C19" w:rsidRPr="00CA6C3B" w:rsidRDefault="00711C19" w:rsidP="00FA13AD">
            <w:r w:rsidRPr="0071001E">
              <w:t xml:space="preserve">PFS </w:t>
            </w:r>
          </w:p>
        </w:tc>
        <w:tc>
          <w:tcPr>
            <w:tcW w:w="3800" w:type="pct"/>
          </w:tcPr>
          <w:p w14:paraId="4864B2B9" w14:textId="77777777" w:rsidR="00711C19" w:rsidRPr="00CA6C3B" w:rsidRDefault="00711C19" w:rsidP="00FA13AD">
            <w:pPr>
              <w:cnfStyle w:val="000000000000" w:firstRow="0" w:lastRow="0" w:firstColumn="0" w:lastColumn="0" w:oddVBand="0" w:evenVBand="0" w:oddHBand="0" w:evenHBand="0" w:firstRowFirstColumn="0" w:firstRowLastColumn="0" w:lastRowFirstColumn="0" w:lastRowLastColumn="0"/>
            </w:pPr>
            <w:r>
              <w:t>P</w:t>
            </w:r>
            <w:r w:rsidRPr="0071001E">
              <w:t>rogression-free survival</w:t>
            </w:r>
          </w:p>
        </w:tc>
      </w:tr>
      <w:tr w:rsidR="00711C19" w:rsidRPr="00D01DDB" w14:paraId="20E8034F" w14:textId="77777777" w:rsidTr="00FA13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D370E96" w14:textId="77777777" w:rsidR="00711C19" w:rsidRPr="00D01DDB" w:rsidRDefault="00711C19" w:rsidP="00FA13AD">
            <w:pPr>
              <w:rPr>
                <w:szCs w:val="22"/>
              </w:rPr>
            </w:pPr>
            <w:r w:rsidRPr="00D01DDB">
              <w:rPr>
                <w:szCs w:val="22"/>
              </w:rPr>
              <w:t>PI</w:t>
            </w:r>
          </w:p>
        </w:tc>
        <w:tc>
          <w:tcPr>
            <w:tcW w:w="3800" w:type="pct"/>
          </w:tcPr>
          <w:p w14:paraId="443784A2" w14:textId="77777777" w:rsidR="00711C19" w:rsidRPr="00D01DDB" w:rsidRDefault="00711C19" w:rsidP="00FA13AD">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Product Information</w:t>
            </w:r>
          </w:p>
        </w:tc>
      </w:tr>
      <w:tr w:rsidR="00711C19" w:rsidRPr="00D01DDB" w14:paraId="279A3C18" w14:textId="77777777" w:rsidTr="00FA13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FD3B9F9" w14:textId="77777777" w:rsidR="00711C19" w:rsidRPr="00D01DDB" w:rsidRDefault="00711C19" w:rsidP="00FA13AD">
            <w:pPr>
              <w:rPr>
                <w:szCs w:val="22"/>
              </w:rPr>
            </w:pPr>
            <w:r w:rsidRPr="000E0F25">
              <w:t>PK</w:t>
            </w:r>
          </w:p>
        </w:tc>
        <w:tc>
          <w:tcPr>
            <w:tcW w:w="3800" w:type="pct"/>
          </w:tcPr>
          <w:p w14:paraId="78928236" w14:textId="77777777" w:rsidR="00711C19" w:rsidRPr="00D01DDB" w:rsidRDefault="00711C19" w:rsidP="00FA13AD">
            <w:pPr>
              <w:cnfStyle w:val="000000000000" w:firstRow="0" w:lastRow="0" w:firstColumn="0" w:lastColumn="0" w:oddVBand="0" w:evenVBand="0" w:oddHBand="0" w:evenHBand="0" w:firstRowFirstColumn="0" w:firstRowLastColumn="0" w:lastRowFirstColumn="0" w:lastRowLastColumn="0"/>
              <w:rPr>
                <w:szCs w:val="22"/>
              </w:rPr>
            </w:pPr>
            <w:r>
              <w:t>P</w:t>
            </w:r>
            <w:r w:rsidRPr="000E0F25">
              <w:t>harmacokinetic</w:t>
            </w:r>
            <w:r>
              <w:t>(</w:t>
            </w:r>
            <w:r w:rsidRPr="000E0F25">
              <w:t>s</w:t>
            </w:r>
            <w:r>
              <w:t>)</w:t>
            </w:r>
          </w:p>
        </w:tc>
      </w:tr>
      <w:tr w:rsidR="00711C19" w:rsidRPr="00D01DDB" w14:paraId="260673CB" w14:textId="77777777" w:rsidTr="00FA13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3001C8A" w14:textId="77777777" w:rsidR="00711C19" w:rsidRPr="000E0F25" w:rsidRDefault="00711C19" w:rsidP="00FA13AD">
            <w:r>
              <w:t>PD</w:t>
            </w:r>
          </w:p>
        </w:tc>
        <w:tc>
          <w:tcPr>
            <w:tcW w:w="3800" w:type="pct"/>
          </w:tcPr>
          <w:p w14:paraId="1653C056" w14:textId="77777777" w:rsidR="00711C19" w:rsidRDefault="00711C19" w:rsidP="00FA13AD">
            <w:pPr>
              <w:cnfStyle w:val="000000000000" w:firstRow="0" w:lastRow="0" w:firstColumn="0" w:lastColumn="0" w:oddVBand="0" w:evenVBand="0" w:oddHBand="0" w:evenHBand="0" w:firstRowFirstColumn="0" w:firstRowLastColumn="0" w:lastRowFirstColumn="0" w:lastRowLastColumn="0"/>
            </w:pPr>
            <w:r>
              <w:t>Pharmacodynamic(s)</w:t>
            </w:r>
          </w:p>
        </w:tc>
      </w:tr>
      <w:tr w:rsidR="00711C19" w:rsidRPr="00D01DDB" w14:paraId="215E3BDF" w14:textId="77777777" w:rsidTr="00FA13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094F056" w14:textId="77777777" w:rsidR="00711C19" w:rsidRPr="00D01DDB" w:rsidRDefault="00711C19" w:rsidP="00FA13AD">
            <w:pPr>
              <w:rPr>
                <w:szCs w:val="22"/>
              </w:rPr>
            </w:pPr>
            <w:r w:rsidRPr="00D01DDB">
              <w:rPr>
                <w:szCs w:val="22"/>
              </w:rPr>
              <w:t>PSUR</w:t>
            </w:r>
          </w:p>
        </w:tc>
        <w:tc>
          <w:tcPr>
            <w:tcW w:w="3800" w:type="pct"/>
          </w:tcPr>
          <w:p w14:paraId="4CD4F8EB" w14:textId="77777777" w:rsidR="00711C19" w:rsidRPr="00D01DDB" w:rsidRDefault="00711C19" w:rsidP="00FA13AD">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Periodic safety update report</w:t>
            </w:r>
          </w:p>
        </w:tc>
      </w:tr>
      <w:tr w:rsidR="00711C19" w:rsidRPr="00D01DDB" w14:paraId="41F23C25" w14:textId="77777777" w:rsidTr="00FA13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72B8E16" w14:textId="77777777" w:rsidR="00711C19" w:rsidRPr="00D01DDB" w:rsidRDefault="00711C19" w:rsidP="00FA13AD">
            <w:pPr>
              <w:rPr>
                <w:szCs w:val="22"/>
              </w:rPr>
            </w:pPr>
            <w:r w:rsidRPr="00D01DDB">
              <w:rPr>
                <w:szCs w:val="22"/>
              </w:rPr>
              <w:t>RMP</w:t>
            </w:r>
          </w:p>
        </w:tc>
        <w:tc>
          <w:tcPr>
            <w:tcW w:w="3800" w:type="pct"/>
          </w:tcPr>
          <w:p w14:paraId="1CF6C50D" w14:textId="77777777" w:rsidR="00711C19" w:rsidRPr="00D01DDB" w:rsidRDefault="00711C19" w:rsidP="00FA13AD">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711C19" w:rsidRPr="00D01DDB" w14:paraId="17BDD4FB" w14:textId="77777777" w:rsidTr="00FA13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4FA28AB" w14:textId="77777777" w:rsidR="00711C19" w:rsidRPr="00D01DDB" w:rsidRDefault="00711C19" w:rsidP="00FA13AD">
            <w:pPr>
              <w:rPr>
                <w:szCs w:val="22"/>
              </w:rPr>
            </w:pPr>
            <w:r w:rsidRPr="00DA4ED5">
              <w:t>TEAEs</w:t>
            </w:r>
          </w:p>
        </w:tc>
        <w:tc>
          <w:tcPr>
            <w:tcW w:w="3800" w:type="pct"/>
          </w:tcPr>
          <w:p w14:paraId="0BF6D7B4" w14:textId="77777777" w:rsidR="00711C19" w:rsidRPr="00D01DDB" w:rsidRDefault="00711C19" w:rsidP="00FA13AD">
            <w:pPr>
              <w:cnfStyle w:val="000000000000" w:firstRow="0" w:lastRow="0" w:firstColumn="0" w:lastColumn="0" w:oddVBand="0" w:evenVBand="0" w:oddHBand="0" w:evenHBand="0" w:firstRowFirstColumn="0" w:firstRowLastColumn="0" w:lastRowFirstColumn="0" w:lastRowLastColumn="0"/>
              <w:rPr>
                <w:szCs w:val="22"/>
              </w:rPr>
            </w:pPr>
            <w:r>
              <w:t>T</w:t>
            </w:r>
            <w:r w:rsidRPr="00DA4ED5">
              <w:t>reatment emergent adverse event</w:t>
            </w:r>
            <w:r>
              <w:t>(</w:t>
            </w:r>
            <w:r w:rsidRPr="00DA4ED5">
              <w:t>s</w:t>
            </w:r>
            <w:r>
              <w:t>)</w:t>
            </w:r>
          </w:p>
        </w:tc>
      </w:tr>
      <w:tr w:rsidR="00711C19" w:rsidRPr="00D01DDB" w14:paraId="762C666B" w14:textId="77777777" w:rsidTr="00FA13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8A06AB0" w14:textId="77777777" w:rsidR="00711C19" w:rsidRPr="00D01DDB" w:rsidRDefault="00711C19" w:rsidP="00FA13AD">
            <w:pPr>
              <w:rPr>
                <w:szCs w:val="22"/>
              </w:rPr>
            </w:pPr>
            <w:r w:rsidRPr="00D01DDB">
              <w:rPr>
                <w:szCs w:val="22"/>
              </w:rPr>
              <w:t>TGA</w:t>
            </w:r>
          </w:p>
        </w:tc>
        <w:tc>
          <w:tcPr>
            <w:tcW w:w="3800" w:type="pct"/>
          </w:tcPr>
          <w:p w14:paraId="6D29C30B" w14:textId="77777777" w:rsidR="00711C19" w:rsidRPr="00D01DDB" w:rsidRDefault="00711C19" w:rsidP="00FA13AD">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bl>
    <w:p w14:paraId="6B4B517D" w14:textId="77777777" w:rsidR="008B4302" w:rsidRDefault="008B4302">
      <w:pPr>
        <w:rPr>
          <w:rFonts w:ascii="Arial" w:eastAsia="Times New Roman" w:hAnsi="Arial" w:cs="Times New Roman"/>
          <w:b/>
          <w:bCs/>
          <w:color w:val="001871"/>
          <w:sz w:val="38"/>
          <w:szCs w:val="38"/>
        </w:rPr>
      </w:pPr>
      <w:r>
        <w:br w:type="page"/>
      </w:r>
    </w:p>
    <w:p w14:paraId="44C2A39C" w14:textId="6FCECAE9" w:rsidR="00324B33" w:rsidRDefault="00324B33" w:rsidP="00324B33">
      <w:pPr>
        <w:pStyle w:val="Heading2"/>
      </w:pPr>
      <w:bookmarkStart w:id="6" w:name="_Toc234928939"/>
      <w:r>
        <w:lastRenderedPageBreak/>
        <w:t>Product submission</w:t>
      </w:r>
      <w:bookmarkEnd w:id="5"/>
      <w:bookmarkEnd w:id="6"/>
    </w:p>
    <w:p w14:paraId="21D559DF" w14:textId="77777777" w:rsidR="00324B33" w:rsidRDefault="00324B33" w:rsidP="00324B33">
      <w:pPr>
        <w:pStyle w:val="Heading3"/>
        <w:rPr>
          <w:lang w:eastAsia="en-AU"/>
        </w:rPr>
      </w:pPr>
      <w:bookmarkStart w:id="7" w:name="_Toc247691502"/>
      <w:bookmarkStart w:id="8" w:name="_Toc314842483"/>
      <w:bookmarkStart w:id="9" w:name="_Toc103679289"/>
      <w:bookmarkStart w:id="10" w:name="_Toc234928940"/>
      <w:r>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13728BD6" w:rsidR="00324B33" w:rsidRPr="00BD5DBD" w:rsidRDefault="00324B33" w:rsidP="007452E8">
            <w:pPr>
              <w:rPr>
                <w:i/>
                <w:szCs w:val="22"/>
              </w:rPr>
            </w:pPr>
            <w:r w:rsidRPr="00BD5DBD">
              <w:rPr>
                <w:i/>
                <w:szCs w:val="22"/>
              </w:rPr>
              <w:t>Type of submission:</w:t>
            </w:r>
          </w:p>
        </w:tc>
        <w:tc>
          <w:tcPr>
            <w:tcW w:w="3423" w:type="pct"/>
          </w:tcPr>
          <w:p w14:paraId="4F07C303" w14:textId="38B62425" w:rsidR="00324B33" w:rsidRPr="00BD5DBD" w:rsidRDefault="00324B33" w:rsidP="007452E8">
            <w:pPr>
              <w:rPr>
                <w:szCs w:val="22"/>
              </w:rPr>
            </w:pPr>
            <w:r w:rsidRPr="00BD5DBD">
              <w:rPr>
                <w:szCs w:val="22"/>
              </w:rPr>
              <w:t>New chemical entity</w:t>
            </w:r>
          </w:p>
        </w:tc>
      </w:tr>
      <w:tr w:rsidR="00324B33" w:rsidRPr="00BD5DBD" w14:paraId="13482B61" w14:textId="77777777" w:rsidTr="00F865A7">
        <w:tc>
          <w:tcPr>
            <w:tcW w:w="1577" w:type="pct"/>
          </w:tcPr>
          <w:p w14:paraId="2C427FCF" w14:textId="65BFD728" w:rsidR="00324B33" w:rsidRPr="00BD5DBD" w:rsidRDefault="00324B33" w:rsidP="007452E8">
            <w:pPr>
              <w:rPr>
                <w:i/>
                <w:szCs w:val="22"/>
              </w:rPr>
            </w:pPr>
            <w:r w:rsidRPr="00BD5DBD">
              <w:rPr>
                <w:i/>
                <w:szCs w:val="22"/>
              </w:rPr>
              <w:t>Product name:</w:t>
            </w:r>
          </w:p>
        </w:tc>
        <w:tc>
          <w:tcPr>
            <w:tcW w:w="3423" w:type="pct"/>
          </w:tcPr>
          <w:p w14:paraId="0E2DEF76" w14:textId="52E68C41" w:rsidR="00324B33" w:rsidRPr="00BD5DBD" w:rsidRDefault="003C3D80" w:rsidP="007452E8">
            <w:pPr>
              <w:rPr>
                <w:szCs w:val="22"/>
              </w:rPr>
            </w:pPr>
            <w:r>
              <w:rPr>
                <w:szCs w:val="22"/>
              </w:rPr>
              <w:t>Tabrecta</w:t>
            </w:r>
          </w:p>
        </w:tc>
      </w:tr>
      <w:tr w:rsidR="00324B33" w:rsidRPr="00BD5DBD" w14:paraId="01255B5B" w14:textId="77777777" w:rsidTr="00F865A7">
        <w:tc>
          <w:tcPr>
            <w:tcW w:w="1577" w:type="pct"/>
          </w:tcPr>
          <w:p w14:paraId="52B4F3D7" w14:textId="3F7DAA91" w:rsidR="00324B33" w:rsidRPr="00BD5DBD" w:rsidRDefault="00324B33" w:rsidP="007452E8">
            <w:pPr>
              <w:rPr>
                <w:i/>
                <w:szCs w:val="22"/>
              </w:rPr>
            </w:pPr>
            <w:r w:rsidRPr="00BD5DBD">
              <w:rPr>
                <w:i/>
                <w:szCs w:val="22"/>
              </w:rPr>
              <w:t>Active ingredient:</w:t>
            </w:r>
          </w:p>
        </w:tc>
        <w:tc>
          <w:tcPr>
            <w:tcW w:w="3423" w:type="pct"/>
          </w:tcPr>
          <w:p w14:paraId="02FB6383" w14:textId="72AA4AD1" w:rsidR="00324B33" w:rsidRPr="00BD5DBD" w:rsidRDefault="00BC09FC" w:rsidP="007452E8">
            <w:pPr>
              <w:rPr>
                <w:szCs w:val="22"/>
              </w:rPr>
            </w:pPr>
            <w:r>
              <w:rPr>
                <w:szCs w:val="22"/>
              </w:rPr>
              <w:t>C</w:t>
            </w:r>
            <w:r w:rsidRPr="00BC09FC">
              <w:rPr>
                <w:szCs w:val="22"/>
              </w:rPr>
              <w:t>apmatinib</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7BB0B16A" w:rsidR="00324B33" w:rsidRPr="00BD5DBD" w:rsidRDefault="00324B33" w:rsidP="007452E8">
            <w:pPr>
              <w:rPr>
                <w:szCs w:val="22"/>
              </w:rPr>
            </w:pPr>
            <w:r w:rsidRPr="00BD5DBD">
              <w:rPr>
                <w:szCs w:val="22"/>
              </w:rPr>
              <w:t>Approved</w:t>
            </w:r>
          </w:p>
        </w:tc>
      </w:tr>
      <w:tr w:rsidR="00AE1947" w:rsidRPr="00BD5DBD" w14:paraId="32B72632" w14:textId="77777777" w:rsidTr="00F865A7">
        <w:tc>
          <w:tcPr>
            <w:tcW w:w="1577" w:type="pct"/>
          </w:tcPr>
          <w:p w14:paraId="332A5CD5" w14:textId="65682B5F" w:rsidR="00AE1947" w:rsidRPr="00BD5DBD" w:rsidRDefault="00AE1947" w:rsidP="007F1E37">
            <w:r w:rsidRPr="00BD5DBD">
              <w:rPr>
                <w:i/>
                <w:szCs w:val="22"/>
              </w:rPr>
              <w:t>Date of decision:</w:t>
            </w:r>
          </w:p>
        </w:tc>
        <w:tc>
          <w:tcPr>
            <w:tcW w:w="3423" w:type="pct"/>
          </w:tcPr>
          <w:p w14:paraId="7B381CD6" w14:textId="484DB2B9" w:rsidR="00AE1947" w:rsidRPr="00BD5DBD" w:rsidRDefault="00BE2806" w:rsidP="00FA13AD">
            <w:pPr>
              <w:rPr>
                <w:szCs w:val="22"/>
              </w:rPr>
            </w:pPr>
            <w:r>
              <w:rPr>
                <w:szCs w:val="22"/>
              </w:rPr>
              <w:t>4 June 2026</w:t>
            </w:r>
          </w:p>
        </w:tc>
      </w:tr>
      <w:tr w:rsidR="004A20BC" w:rsidRPr="00BD5DBD" w14:paraId="1BD35D08" w14:textId="77777777" w:rsidTr="00F865A7">
        <w:tc>
          <w:tcPr>
            <w:tcW w:w="1577" w:type="pct"/>
          </w:tcPr>
          <w:p w14:paraId="33570637" w14:textId="296FA222" w:rsidR="004A20BC" w:rsidRPr="00BD5DBD" w:rsidRDefault="004A20BC" w:rsidP="007F1E37">
            <w:pPr>
              <w:rPr>
                <w:i/>
                <w:szCs w:val="22"/>
              </w:rPr>
            </w:pPr>
            <w:r w:rsidRPr="004A20BC">
              <w:rPr>
                <w:i/>
                <w:szCs w:val="22"/>
              </w:rPr>
              <w:t>Approved therapeutic use for the current submission:</w:t>
            </w:r>
          </w:p>
        </w:tc>
        <w:tc>
          <w:tcPr>
            <w:tcW w:w="3423" w:type="pct"/>
          </w:tcPr>
          <w:p w14:paraId="2C96449F" w14:textId="10C610A8" w:rsidR="004A20BC" w:rsidRPr="00BD5DBD" w:rsidRDefault="003C3D80" w:rsidP="00FA13AD">
            <w:pPr>
              <w:rPr>
                <w:szCs w:val="22"/>
              </w:rPr>
            </w:pPr>
            <w:r>
              <w:rPr>
                <w:szCs w:val="22"/>
              </w:rPr>
              <w:t>Tabrecta</w:t>
            </w:r>
            <w:r w:rsidR="00D76686" w:rsidRPr="00D76686">
              <w:rPr>
                <w:szCs w:val="22"/>
              </w:rPr>
              <w:t xml:space="preserve"> is indicated for the treatment of adult patients with locally advanced or metastatic non-small cell lung cancer (NSCLC) with a MET exon 14 skipping mutation</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37F70922" w:rsidR="00324B33" w:rsidRPr="00BD5DBD" w:rsidRDefault="007C729C" w:rsidP="007452E8">
            <w:pPr>
              <w:rPr>
                <w:szCs w:val="22"/>
              </w:rPr>
            </w:pPr>
            <w:r>
              <w:rPr>
                <w:szCs w:val="22"/>
              </w:rPr>
              <w:t>5 June 2026</w:t>
            </w:r>
          </w:p>
        </w:tc>
      </w:tr>
      <w:tr w:rsidR="00324B33" w:rsidRPr="00BD5DBD" w14:paraId="547E08D7" w14:textId="77777777" w:rsidTr="00F865A7">
        <w:tc>
          <w:tcPr>
            <w:tcW w:w="1577" w:type="pct"/>
          </w:tcPr>
          <w:p w14:paraId="5030EF30" w14:textId="1B2638EB" w:rsidR="00324B33" w:rsidRPr="00BD5DBD" w:rsidRDefault="00324B33" w:rsidP="007452E8">
            <w:pPr>
              <w:rPr>
                <w:i/>
                <w:szCs w:val="22"/>
              </w:rPr>
            </w:pPr>
            <w:r w:rsidRPr="00BD5DBD">
              <w:rPr>
                <w:i/>
                <w:szCs w:val="22"/>
              </w:rPr>
              <w:t>ARTG number</w:t>
            </w:r>
            <w:r w:rsidR="007C729C">
              <w:rPr>
                <w:i/>
                <w:szCs w:val="22"/>
              </w:rPr>
              <w:t>s</w:t>
            </w:r>
            <w:r w:rsidRPr="00BD5DBD">
              <w:rPr>
                <w:i/>
                <w:szCs w:val="22"/>
              </w:rPr>
              <w:t>:</w:t>
            </w:r>
          </w:p>
        </w:tc>
        <w:tc>
          <w:tcPr>
            <w:tcW w:w="3423" w:type="pct"/>
          </w:tcPr>
          <w:p w14:paraId="0054E912" w14:textId="33FDDD64" w:rsidR="00324B33" w:rsidRPr="00BD5DBD" w:rsidRDefault="004D7AD9" w:rsidP="007452E8">
            <w:pPr>
              <w:rPr>
                <w:szCs w:val="22"/>
              </w:rPr>
            </w:pPr>
            <w:hyperlink r:id="rId20" w:history="1">
              <w:r w:rsidRPr="00827C0C">
                <w:rPr>
                  <w:rStyle w:val="Hyperlink"/>
                  <w:szCs w:val="22"/>
                </w:rPr>
                <w:t>489645</w:t>
              </w:r>
            </w:hyperlink>
            <w:r w:rsidR="00827C0C">
              <w:rPr>
                <w:szCs w:val="22"/>
              </w:rPr>
              <w:t xml:space="preserve">, </w:t>
            </w:r>
            <w:hyperlink r:id="rId21" w:history="1">
              <w:r w:rsidR="002C1577" w:rsidRPr="0022359C">
                <w:rPr>
                  <w:rStyle w:val="Hyperlink"/>
                  <w:szCs w:val="22"/>
                </w:rPr>
                <w:t>489646</w:t>
              </w:r>
            </w:hyperlink>
          </w:p>
        </w:tc>
      </w:tr>
      <w:tr w:rsidR="00324B33" w:rsidRPr="00BD5DBD" w14:paraId="7618393F" w14:textId="77777777" w:rsidTr="00F865A7">
        <w:tc>
          <w:tcPr>
            <w:tcW w:w="1577" w:type="pct"/>
          </w:tcPr>
          <w:p w14:paraId="02260DE2" w14:textId="193007BD" w:rsidR="00324B33" w:rsidRPr="00BD5DBD" w:rsidRDefault="00324B33" w:rsidP="007E4FF8">
            <w:pPr>
              <w:rPr>
                <w:i/>
                <w:szCs w:val="22"/>
              </w:rPr>
            </w:pPr>
            <w:r w:rsidRPr="00BD5DBD">
              <w:rPr>
                <w:rFonts w:ascii="Wingdings 3" w:hAnsi="Wingdings 3"/>
                <w:szCs w:val="22"/>
                <w:lang w:eastAsia="en-AU"/>
              </w:rPr>
              <w:t></w:t>
            </w:r>
            <w:hyperlink r:id="rId22" w:history="1">
              <w:r w:rsidRPr="00BD5DBD">
                <w:rPr>
                  <w:rStyle w:val="Hyperlink"/>
                  <w:i/>
                  <w:szCs w:val="22"/>
                </w:rPr>
                <w:t>Black Triangle Scheme</w:t>
              </w:r>
            </w:hyperlink>
          </w:p>
        </w:tc>
        <w:tc>
          <w:tcPr>
            <w:tcW w:w="3423" w:type="pct"/>
          </w:tcPr>
          <w:p w14:paraId="6FF3C6A2" w14:textId="1A2710CF" w:rsidR="00324B33" w:rsidRPr="00BD5DBD" w:rsidRDefault="00324B33" w:rsidP="007452E8">
            <w:pPr>
              <w:rPr>
                <w:szCs w:val="22"/>
              </w:rPr>
            </w:pPr>
            <w:r w:rsidRPr="00BD5DBD">
              <w:rPr>
                <w:szCs w:val="22"/>
              </w:rPr>
              <w:t>Yes</w:t>
            </w:r>
          </w:p>
        </w:tc>
      </w:tr>
      <w:tr w:rsidR="00324B33" w:rsidRPr="00BD5DBD" w14:paraId="179E09FE" w14:textId="77777777" w:rsidTr="00F865A7">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68DD94B0" w14:textId="1FB3EA6C" w:rsidR="00324B33" w:rsidRPr="00BD5DBD" w:rsidRDefault="00035996" w:rsidP="00B97E79">
            <w:pPr>
              <w:rPr>
                <w:szCs w:val="22"/>
              </w:rPr>
            </w:pPr>
            <w:r w:rsidRPr="00035996">
              <w:rPr>
                <w:szCs w:val="22"/>
              </w:rPr>
              <w:t>Novartis Pharmaceuticals Australia Pty Limited</w:t>
            </w:r>
            <w:r w:rsidR="00B97E79">
              <w:rPr>
                <w:szCs w:val="22"/>
              </w:rPr>
              <w:t xml:space="preserve"> </w:t>
            </w:r>
            <w:r w:rsidRPr="00035996">
              <w:rPr>
                <w:szCs w:val="22"/>
              </w:rPr>
              <w:t>Level 25,</w:t>
            </w:r>
            <w:r w:rsidR="00BD6F8B">
              <w:rPr>
                <w:szCs w:val="22"/>
              </w:rPr>
              <w:t xml:space="preserve"> </w:t>
            </w:r>
            <w:r w:rsidRPr="00035996">
              <w:rPr>
                <w:szCs w:val="22"/>
              </w:rPr>
              <w:t>Victoria Cross Tower</w:t>
            </w:r>
            <w:r w:rsidR="00B97E79">
              <w:rPr>
                <w:szCs w:val="22"/>
              </w:rPr>
              <w:t xml:space="preserve"> </w:t>
            </w:r>
            <w:r w:rsidRPr="00035996">
              <w:rPr>
                <w:szCs w:val="22"/>
              </w:rPr>
              <w:t>155 Miller Street</w:t>
            </w:r>
            <w:r w:rsidR="00B97E79">
              <w:rPr>
                <w:szCs w:val="22"/>
              </w:rPr>
              <w:br/>
            </w:r>
            <w:r w:rsidRPr="00035996">
              <w:rPr>
                <w:szCs w:val="22"/>
              </w:rPr>
              <w:t>North Sydney NSW 2060</w:t>
            </w:r>
          </w:p>
        </w:tc>
      </w:tr>
      <w:tr w:rsidR="00324B33" w:rsidRPr="00BD5DBD" w14:paraId="5322B989" w14:textId="77777777" w:rsidTr="00F865A7">
        <w:tc>
          <w:tcPr>
            <w:tcW w:w="1577" w:type="pct"/>
          </w:tcPr>
          <w:p w14:paraId="24F217E3" w14:textId="4AF09732" w:rsidR="00324B33" w:rsidRPr="00BD5DBD" w:rsidRDefault="00324B33" w:rsidP="007452E8">
            <w:pPr>
              <w:rPr>
                <w:i/>
                <w:szCs w:val="22"/>
              </w:rPr>
            </w:pPr>
            <w:r w:rsidRPr="00BD5DBD">
              <w:rPr>
                <w:i/>
                <w:szCs w:val="22"/>
              </w:rPr>
              <w:t>Dose form:</w:t>
            </w:r>
          </w:p>
        </w:tc>
        <w:tc>
          <w:tcPr>
            <w:tcW w:w="3423" w:type="pct"/>
          </w:tcPr>
          <w:p w14:paraId="768B254C" w14:textId="47E1E016" w:rsidR="00324B33" w:rsidRPr="00BD5DBD" w:rsidRDefault="0068254C" w:rsidP="007452E8">
            <w:pPr>
              <w:rPr>
                <w:szCs w:val="22"/>
              </w:rPr>
            </w:pPr>
            <w:r w:rsidRPr="0068254C">
              <w:rPr>
                <w:szCs w:val="22"/>
              </w:rPr>
              <w:t>Film-coated tablet</w:t>
            </w:r>
          </w:p>
        </w:tc>
      </w:tr>
      <w:tr w:rsidR="00324B33" w:rsidRPr="00BD5DBD" w14:paraId="115243E6" w14:textId="77777777" w:rsidTr="00F865A7">
        <w:tc>
          <w:tcPr>
            <w:tcW w:w="1577" w:type="pct"/>
          </w:tcPr>
          <w:p w14:paraId="7634B062" w14:textId="41CF5BF7" w:rsidR="00324B33" w:rsidRPr="00BD5DBD" w:rsidRDefault="00324B33" w:rsidP="007452E8">
            <w:pPr>
              <w:rPr>
                <w:i/>
                <w:szCs w:val="22"/>
              </w:rPr>
            </w:pPr>
            <w:r w:rsidRPr="00BD5DBD">
              <w:rPr>
                <w:i/>
                <w:szCs w:val="22"/>
              </w:rPr>
              <w:t>Strength</w:t>
            </w:r>
            <w:r w:rsidR="00FE3F80">
              <w:rPr>
                <w:i/>
                <w:szCs w:val="22"/>
              </w:rPr>
              <w:t>s</w:t>
            </w:r>
            <w:r w:rsidRPr="00BD5DBD">
              <w:rPr>
                <w:i/>
                <w:szCs w:val="22"/>
              </w:rPr>
              <w:t>:</w:t>
            </w:r>
          </w:p>
        </w:tc>
        <w:tc>
          <w:tcPr>
            <w:tcW w:w="3423" w:type="pct"/>
          </w:tcPr>
          <w:p w14:paraId="5E5F83DB" w14:textId="5235D69E" w:rsidR="00324B33" w:rsidRPr="00BD5DBD" w:rsidRDefault="00FE3F80" w:rsidP="007452E8">
            <w:pPr>
              <w:rPr>
                <w:szCs w:val="22"/>
              </w:rPr>
            </w:pPr>
            <w:r>
              <w:rPr>
                <w:szCs w:val="22"/>
              </w:rPr>
              <w:t>150 mg, 200 mg</w:t>
            </w:r>
          </w:p>
        </w:tc>
      </w:tr>
      <w:tr w:rsidR="00324B33" w:rsidRPr="00BD5DBD" w14:paraId="34B07BA6" w14:textId="77777777" w:rsidTr="00F865A7">
        <w:tc>
          <w:tcPr>
            <w:tcW w:w="1577" w:type="pct"/>
          </w:tcPr>
          <w:p w14:paraId="1C039224" w14:textId="186F01AE" w:rsidR="00324B33" w:rsidRPr="00BD5DBD" w:rsidRDefault="00324B33" w:rsidP="007452E8">
            <w:pPr>
              <w:rPr>
                <w:i/>
                <w:szCs w:val="22"/>
              </w:rPr>
            </w:pPr>
            <w:r w:rsidRPr="00BD5DBD">
              <w:rPr>
                <w:i/>
                <w:szCs w:val="22"/>
              </w:rPr>
              <w:t>Container:</w:t>
            </w:r>
          </w:p>
        </w:tc>
        <w:tc>
          <w:tcPr>
            <w:tcW w:w="3423" w:type="pct"/>
          </w:tcPr>
          <w:p w14:paraId="500A42C6" w14:textId="7358690B" w:rsidR="00324B33" w:rsidRPr="00BD5DBD" w:rsidRDefault="00800BDE" w:rsidP="007452E8">
            <w:r>
              <w:t xml:space="preserve">PCTFE/PVC (polychlorotrifluoroethylene/polyvinyl chloride) </w:t>
            </w:r>
            <w:r w:rsidR="265A712C">
              <w:t xml:space="preserve">or PVC/PE/PVDC </w:t>
            </w:r>
            <w:r w:rsidR="377AC728">
              <w:t>(polyvinyl</w:t>
            </w:r>
            <w:r w:rsidR="00CC4A40">
              <w:t xml:space="preserve"> </w:t>
            </w:r>
            <w:r w:rsidR="377AC728">
              <w:t>chloride/polyethylene/polyvinylidene chloride</w:t>
            </w:r>
            <w:r w:rsidR="12C6E4B2">
              <w:t xml:space="preserve"> </w:t>
            </w:r>
            <w:r>
              <w:t>blisters backed with an aluminium lidding foil.</w:t>
            </w:r>
          </w:p>
        </w:tc>
      </w:tr>
      <w:tr w:rsidR="00324B33" w:rsidRPr="00BD5DBD" w14:paraId="176B6773" w14:textId="77777777" w:rsidTr="00F865A7">
        <w:tc>
          <w:tcPr>
            <w:tcW w:w="1577" w:type="pct"/>
          </w:tcPr>
          <w:p w14:paraId="71846159" w14:textId="75A03AD6" w:rsidR="00324B33" w:rsidRPr="00BD5DBD" w:rsidRDefault="00324B33" w:rsidP="007452E8">
            <w:pPr>
              <w:rPr>
                <w:i/>
                <w:szCs w:val="22"/>
              </w:rPr>
            </w:pPr>
            <w:r w:rsidRPr="00BD5DBD">
              <w:rPr>
                <w:i/>
                <w:szCs w:val="22"/>
              </w:rPr>
              <w:t>Pack size:</w:t>
            </w:r>
          </w:p>
        </w:tc>
        <w:tc>
          <w:tcPr>
            <w:tcW w:w="3423" w:type="pct"/>
          </w:tcPr>
          <w:p w14:paraId="7E978F8F" w14:textId="3D7E3DC2" w:rsidR="00324B33" w:rsidRPr="00BD5DBD" w:rsidRDefault="007947A0" w:rsidP="007452E8">
            <w:pPr>
              <w:rPr>
                <w:szCs w:val="22"/>
              </w:rPr>
            </w:pPr>
            <w:r w:rsidRPr="007947A0">
              <w:rPr>
                <w:szCs w:val="22"/>
              </w:rPr>
              <w:t>60 or 120 film-coated tablets</w:t>
            </w:r>
          </w:p>
        </w:tc>
      </w:tr>
      <w:tr w:rsidR="00324B33" w:rsidRPr="00BD5DBD" w14:paraId="5AFDEED3" w14:textId="77777777" w:rsidTr="00F865A7">
        <w:tc>
          <w:tcPr>
            <w:tcW w:w="1577" w:type="pct"/>
          </w:tcPr>
          <w:p w14:paraId="03884BD1" w14:textId="635F1C90" w:rsidR="00324B33" w:rsidRPr="00BD5DBD" w:rsidRDefault="00324B33" w:rsidP="007452E8">
            <w:pPr>
              <w:rPr>
                <w:i/>
                <w:szCs w:val="22"/>
              </w:rPr>
            </w:pPr>
            <w:r w:rsidRPr="00BD5DBD">
              <w:rPr>
                <w:i/>
                <w:szCs w:val="22"/>
              </w:rPr>
              <w:t>Route of administration:</w:t>
            </w:r>
          </w:p>
        </w:tc>
        <w:tc>
          <w:tcPr>
            <w:tcW w:w="3423" w:type="pct"/>
          </w:tcPr>
          <w:p w14:paraId="1ED1357E" w14:textId="6C29DF64" w:rsidR="00324B33" w:rsidRPr="00BD5DBD" w:rsidRDefault="007947A0" w:rsidP="007452E8">
            <w:pPr>
              <w:rPr>
                <w:szCs w:val="22"/>
              </w:rPr>
            </w:pPr>
            <w:r>
              <w:rPr>
                <w:szCs w:val="22"/>
              </w:rPr>
              <w:t>Oral</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3D0B2D5C" w14:textId="0FE5C160" w:rsidR="00324B33" w:rsidRPr="00BD5DBD" w:rsidRDefault="007A5365" w:rsidP="00B97E79">
            <w:pPr>
              <w:rPr>
                <w:szCs w:val="22"/>
              </w:rPr>
            </w:pPr>
            <w:r w:rsidRPr="007A5365">
              <w:rPr>
                <w:szCs w:val="22"/>
              </w:rPr>
              <w:t>400 mg</w:t>
            </w:r>
            <w:r>
              <w:rPr>
                <w:szCs w:val="22"/>
              </w:rPr>
              <w:t xml:space="preserve"> </w:t>
            </w:r>
            <w:r w:rsidRPr="007A5365">
              <w:rPr>
                <w:szCs w:val="22"/>
              </w:rPr>
              <w:t>twice daily</w:t>
            </w:r>
            <w:r w:rsidR="00B97E79">
              <w:rPr>
                <w:szCs w:val="22"/>
              </w:rPr>
              <w:br/>
            </w:r>
            <w:r w:rsidR="00324B33" w:rsidRPr="00BD5DBD">
              <w:rPr>
                <w:szCs w:val="22"/>
              </w:rPr>
              <w:t xml:space="preserve">For further information regarding dosage, refer to the </w:t>
            </w:r>
            <w:hyperlink r:id="rId23" w:history="1">
              <w:r w:rsidR="00324B33" w:rsidRPr="000A1A6D">
                <w:rPr>
                  <w:rStyle w:val="Hyperlink"/>
                  <w:szCs w:val="22"/>
                </w:rPr>
                <w:t>Product Information</w:t>
              </w:r>
            </w:hyperlink>
            <w:r w:rsidR="00324B33" w:rsidRPr="00BD5DBD">
              <w:rPr>
                <w:szCs w:val="22"/>
              </w:rPr>
              <w:t>.</w:t>
            </w:r>
          </w:p>
        </w:tc>
      </w:tr>
      <w:tr w:rsidR="0017005C" w:rsidRPr="00BD5DBD" w14:paraId="7B7BB6AE" w14:textId="77777777" w:rsidTr="00F865A7">
        <w:tc>
          <w:tcPr>
            <w:tcW w:w="1577" w:type="pct"/>
          </w:tcPr>
          <w:p w14:paraId="3A76AFF7" w14:textId="77777777" w:rsidR="0017005C" w:rsidRPr="00F8083B" w:rsidRDefault="0070330F" w:rsidP="0017005C">
            <w:r w:rsidRPr="00BD5DBD">
              <w:rPr>
                <w:i/>
                <w:szCs w:val="22"/>
              </w:rPr>
              <w:t>Pregnancy category:</w:t>
            </w:r>
          </w:p>
        </w:tc>
        <w:tc>
          <w:tcPr>
            <w:tcW w:w="3423" w:type="pct"/>
          </w:tcPr>
          <w:p w14:paraId="35E401AF" w14:textId="77777777" w:rsidR="007E4FF8" w:rsidRPr="007E4FF8" w:rsidRDefault="007E4FF8" w:rsidP="007E4FF8">
            <w:pPr>
              <w:rPr>
                <w:b/>
                <w:bCs/>
              </w:rPr>
            </w:pPr>
            <w:r w:rsidRPr="007E4FF8">
              <w:rPr>
                <w:b/>
                <w:bCs/>
              </w:rPr>
              <w:t>Category D</w:t>
            </w:r>
          </w:p>
          <w:p w14:paraId="76497789" w14:textId="07AE0D7B" w:rsidR="0017005C" w:rsidRPr="00BD5DBD" w:rsidRDefault="007E4FF8" w:rsidP="00B97E79">
            <w:pPr>
              <w:rPr>
                <w:szCs w:val="22"/>
              </w:rPr>
            </w:pPr>
            <w:r w:rsidRPr="007E4FF8">
              <w:t>Drugs which have caused, are suspected to have caused or may be expected to cause, an increased incidence of human fetal malformations or irreversible damage. These drugs may also have adverse pharmacological effects.</w:t>
            </w:r>
            <w:r w:rsidR="00B97E79">
              <w:br/>
            </w:r>
            <w:r w:rsidR="0070330F" w:rsidRPr="00BD5DBD">
              <w:rPr>
                <w:szCs w:val="22"/>
              </w:rPr>
              <w:t xml:space="preserve">The use of any medicine during pregnancy requires careful consideration of both risks and benefits by the treating health professional. </w:t>
            </w:r>
            <w:r w:rsidR="00721059">
              <w:rPr>
                <w:szCs w:val="22"/>
              </w:rPr>
              <w:t xml:space="preserve">The </w:t>
            </w:r>
            <w:hyperlink r:id="rId24" w:history="1">
              <w:r w:rsidR="00721059" w:rsidRPr="00065FDF">
                <w:rPr>
                  <w:rStyle w:val="Hyperlink"/>
                  <w:szCs w:val="22"/>
                </w:rPr>
                <w:t>pregnancy database</w:t>
              </w:r>
            </w:hyperlink>
            <w:r w:rsidR="00387984">
              <w:t xml:space="preserve"> </w:t>
            </w:r>
            <w:r w:rsidR="0070330F" w:rsidRPr="00BD5DBD">
              <w:rPr>
                <w:szCs w:val="22"/>
              </w:rPr>
              <w:t>must not be used as the sole basis of decision making in the use of medicines during pregnancy.</w:t>
            </w:r>
            <w:r w:rsidR="00B97E79">
              <w:rPr>
                <w:szCs w:val="22"/>
              </w:rPr>
              <w:t xml:space="preserve"> </w:t>
            </w:r>
            <w:r w:rsidR="0070330F" w:rsidRPr="00BD5DBD">
              <w:rPr>
                <w:szCs w:val="22"/>
              </w:rPr>
              <w:t xml:space="preserve">The TGA does not provide advice on the use of medicines in pregnancy for specific cases. More information is available from </w:t>
            </w:r>
            <w:hyperlink r:id="rId25" w:history="1">
              <w:r w:rsidR="0070330F" w:rsidRPr="00C059D0">
                <w:rPr>
                  <w:rStyle w:val="Hyperlink"/>
                  <w:szCs w:val="22"/>
                </w:rPr>
                <w:t>obstetric drug information services</w:t>
              </w:r>
            </w:hyperlink>
            <w:r w:rsidR="0070330F" w:rsidRPr="00BD5DBD">
              <w:rPr>
                <w:szCs w:val="22"/>
              </w:rPr>
              <w:t xml:space="preserve"> in your </w:t>
            </w:r>
            <w:r w:rsidR="00306E72">
              <w:rPr>
                <w:szCs w:val="22"/>
              </w:rPr>
              <w:t>s</w:t>
            </w:r>
            <w:r w:rsidR="0070330F" w:rsidRPr="00BD5DBD">
              <w:rPr>
                <w:szCs w:val="22"/>
              </w:rPr>
              <w:t xml:space="preserve">tate or </w:t>
            </w:r>
            <w:r w:rsidR="00306E72">
              <w:rPr>
                <w:szCs w:val="22"/>
              </w:rPr>
              <w:t>t</w:t>
            </w:r>
            <w:r w:rsidR="0070330F" w:rsidRPr="00BD5DBD">
              <w:rPr>
                <w:szCs w:val="22"/>
              </w:rPr>
              <w:t>erritory.</w:t>
            </w:r>
          </w:p>
        </w:tc>
      </w:tr>
    </w:tbl>
    <w:p w14:paraId="51F2479F" w14:textId="1E34B277" w:rsidR="00324B33" w:rsidRDefault="00324B33" w:rsidP="00324B33">
      <w:pPr>
        <w:pStyle w:val="Heading3"/>
      </w:pPr>
      <w:bookmarkStart w:id="11" w:name="_Toc247691503"/>
      <w:bookmarkStart w:id="12" w:name="_Toc314842484"/>
      <w:bookmarkStart w:id="13" w:name="_Toc103679290"/>
      <w:bookmarkStart w:id="14" w:name="_Toc234928941"/>
      <w:r>
        <w:lastRenderedPageBreak/>
        <w:t>Product background</w:t>
      </w:r>
      <w:bookmarkEnd w:id="11"/>
      <w:bookmarkEnd w:id="12"/>
      <w:bookmarkEnd w:id="13"/>
      <w:bookmarkEnd w:id="14"/>
    </w:p>
    <w:p w14:paraId="59BF31D1" w14:textId="6C473EF7" w:rsidR="001500A8" w:rsidRDefault="00324B33" w:rsidP="00065839">
      <w:r w:rsidRPr="00065839">
        <w:t xml:space="preserve">This AusPAR describes the submission by </w:t>
      </w:r>
      <w:r w:rsidR="00E7418F" w:rsidRPr="00E7418F">
        <w:t>Novartis Pharmaceuticals Australia Pty Ltd</w:t>
      </w:r>
      <w:r w:rsidRPr="00065839">
        <w:t xml:space="preserve"> (the sponsor) to register </w:t>
      </w:r>
      <w:r w:rsidR="003C3D80">
        <w:t>Tabrecta</w:t>
      </w:r>
      <w:r w:rsidR="00E7418F" w:rsidRPr="00E7418F">
        <w:t xml:space="preserve"> </w:t>
      </w:r>
      <w:r w:rsidRPr="00065839">
        <w:t>(</w:t>
      </w:r>
      <w:r w:rsidR="00E7418F">
        <w:t>c</w:t>
      </w:r>
      <w:r w:rsidR="00E7418F" w:rsidRPr="00E7418F">
        <w:t>apmatinib</w:t>
      </w:r>
      <w:r w:rsidRPr="00065839">
        <w:t>) for the following proposed indication:</w:t>
      </w:r>
      <w:r w:rsidR="00D63760" w:rsidRPr="00065839">
        <w:rPr>
          <w:vertAlign w:val="superscript"/>
        </w:rPr>
        <w:footnoteReference w:id="1"/>
      </w:r>
    </w:p>
    <w:p w14:paraId="78DC08C8" w14:textId="69A8BC2B" w:rsidR="00EF6F9F" w:rsidRPr="00065839" w:rsidRDefault="00EF6F9F" w:rsidP="00EF6F9F">
      <w:pPr>
        <w:pStyle w:val="Indication"/>
      </w:pPr>
      <w:r>
        <w:t>T</w:t>
      </w:r>
      <w:r w:rsidRPr="00EF6F9F">
        <w:t>he treatment of adult patients with locally advanced or metastatic non-small cell lung cancer (NSCLC) with a MET exon 14 skipping mutation</w:t>
      </w:r>
    </w:p>
    <w:p w14:paraId="1E63A2AE" w14:textId="5FCD6C6F" w:rsidR="00CB6813" w:rsidRDefault="00005DFC" w:rsidP="00CB6813">
      <w:pPr>
        <w:pStyle w:val="Heading4"/>
      </w:pPr>
      <w:bookmarkStart w:id="15" w:name="_Toc234928942"/>
      <w:bookmarkStart w:id="16" w:name="_Toc314842485"/>
      <w:bookmarkStart w:id="17" w:name="_Toc247691504"/>
      <w:r>
        <w:t>D</w:t>
      </w:r>
      <w:r w:rsidR="00CB6813" w:rsidRPr="00C12D65">
        <w:t>isease</w:t>
      </w:r>
      <w:r w:rsidR="006428C5">
        <w:t xml:space="preserve"> or condition</w:t>
      </w:r>
      <w:bookmarkEnd w:id="15"/>
    </w:p>
    <w:p w14:paraId="1EF6A018" w14:textId="244067C4" w:rsidR="000C65E8" w:rsidRDefault="00A10C1A" w:rsidP="000C65E8">
      <w:r w:rsidRPr="00A10C1A">
        <w:t>Lung cancer is the leading cause of cancer deaths worldwide with an estimated 1.8 million deaths globally. It was the most common cause of cancer death in Australia in 2023, causing 8,976 deaths.</w:t>
      </w:r>
      <w:bookmarkStart w:id="18" w:name="_Ref233205001"/>
      <w:r w:rsidR="00F8368D">
        <w:rPr>
          <w:rStyle w:val="FootnoteReference"/>
        </w:rPr>
        <w:footnoteReference w:id="2"/>
      </w:r>
      <w:bookmarkEnd w:id="18"/>
      <w:r w:rsidRPr="00A10C1A">
        <w:t xml:space="preserve"> Estimated lung cancer statistics for 2025 in Australia are presented in</w:t>
      </w:r>
      <w:r w:rsidR="003E461F">
        <w:t xml:space="preserve"> Figure </w:t>
      </w:r>
      <w:r w:rsidR="00057194">
        <w:t>1</w:t>
      </w:r>
      <w:r w:rsidRPr="00A10C1A">
        <w:t>.</w:t>
      </w:r>
    </w:p>
    <w:p w14:paraId="2C1CE9BC" w14:textId="20B9F633" w:rsidR="005126C8" w:rsidRDefault="00B64937" w:rsidP="00057194">
      <w:pPr>
        <w:pStyle w:val="FigureTitle"/>
      </w:pPr>
      <w:bookmarkStart w:id="19" w:name="_Ref233121112"/>
      <w:r>
        <w:t>Figure</w:t>
      </w:r>
      <w:bookmarkEnd w:id="19"/>
      <w:r w:rsidR="00057194">
        <w:t xml:space="preserve"> 1</w:t>
      </w:r>
      <w:r>
        <w:t>.</w:t>
      </w:r>
      <w:r w:rsidR="003E461F">
        <w:t xml:space="preserve"> </w:t>
      </w:r>
      <w:r w:rsidRPr="003E461F">
        <w:t>Estimated</w:t>
      </w:r>
      <w:r w:rsidRPr="0079744A">
        <w:t xml:space="preserve"> lung cancer statistics for 2025 in Australia</w:t>
      </w:r>
      <w:r w:rsidR="00EC67B3">
        <w:fldChar w:fldCharType="begin"/>
      </w:r>
      <w:r w:rsidR="00EC67B3">
        <w:instrText xml:space="preserve"> NOTEREF _Ref233205001 \f \h </w:instrText>
      </w:r>
      <w:r w:rsidR="00EC67B3">
        <w:fldChar w:fldCharType="separate"/>
      </w:r>
      <w:r w:rsidR="00EC67B3" w:rsidRPr="00EC67B3">
        <w:rPr>
          <w:rStyle w:val="FootnoteReference"/>
        </w:rPr>
        <w:t>2</w:t>
      </w:r>
      <w:r w:rsidR="00EC67B3">
        <w:fldChar w:fldCharType="end"/>
      </w:r>
    </w:p>
    <w:p w14:paraId="4313A02D" w14:textId="0911159E" w:rsidR="005126C8" w:rsidRDefault="005126C8" w:rsidP="00B97E79">
      <w:r w:rsidRPr="00E213DE">
        <w:rPr>
          <w:noProof/>
        </w:rPr>
        <w:drawing>
          <wp:inline distT="0" distB="0" distL="0" distR="0" wp14:anchorId="6F770D09" wp14:editId="54D55DA3">
            <wp:extent cx="4044067" cy="3437860"/>
            <wp:effectExtent l="19050" t="19050" r="13970" b="10795"/>
            <wp:docPr id="1237613401" name="Picture 1" descr="Figure 1. Estimated lung cancer statistics for 2025 in Australi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613401" name="Picture 1" descr="Figure 1. Estimated lung cancer statistics for 2025 in Australia2"/>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Lst>
                    </a:blip>
                    <a:stretch>
                      <a:fillRect/>
                    </a:stretch>
                  </pic:blipFill>
                  <pic:spPr>
                    <a:xfrm>
                      <a:off x="0" y="0"/>
                      <a:ext cx="4114295" cy="3497561"/>
                    </a:xfrm>
                    <a:prstGeom prst="rect">
                      <a:avLst/>
                    </a:prstGeom>
                    <a:ln>
                      <a:solidFill>
                        <a:schemeClr val="accent1"/>
                      </a:solidFill>
                    </a:ln>
                  </pic:spPr>
                </pic:pic>
              </a:graphicData>
            </a:graphic>
          </wp:inline>
        </w:drawing>
      </w:r>
    </w:p>
    <w:p w14:paraId="01A18FB6" w14:textId="77777777" w:rsidR="00F17807" w:rsidRDefault="00F17807" w:rsidP="00F17807">
      <w:r>
        <w:t>Non-small cell lung cancer (NSCLC) accounts for approximately 85% of all lung cancers. MET mutations leading to exon 14 skipping have been reported in approximately 2% to 4% of cases of NSCLC.</w:t>
      </w:r>
    </w:p>
    <w:p w14:paraId="2E12F37D" w14:textId="5A97EC1D" w:rsidR="00F17807" w:rsidRDefault="00F17807" w:rsidP="00F17807">
      <w:r>
        <w:t xml:space="preserve">Patients with tumours that have </w:t>
      </w:r>
      <w:r w:rsidR="0002377B" w:rsidRPr="0002377B">
        <w:t>mesenchymal-epithelial transition factor</w:t>
      </w:r>
      <w:r w:rsidR="0002377B">
        <w:t xml:space="preserve"> (</w:t>
      </w:r>
      <w:r>
        <w:t>MET</w:t>
      </w:r>
      <w:r w:rsidR="0002377B">
        <w:t>)</w:t>
      </w:r>
      <w:r>
        <w:t xml:space="preserve"> dysregulation (MET mutation and/or MET amplification) have poor prognosis compared to the unselected NSCLC patient population. In the most recent series of advanced MET-mutated NSCLC, overall survival (OS) from diagnosis of stage IV was only 8.1 months for patients not treated with a therapy targeting MET. Such patients tend to be elderly (median age &gt; 70 years; ~more than 10 years older than other subpopulations of patients with NSCLC), making this population clinically challenging, primarily due to comorbidities and overall frailty, which limits the use of currently available treatment options, ultimately impacting on the prognosis of this subset of patients.</w:t>
      </w:r>
    </w:p>
    <w:p w14:paraId="421DAD33" w14:textId="51D9B5BB" w:rsidR="00D3234A" w:rsidRDefault="00D3234A" w:rsidP="00940525">
      <w:pPr>
        <w:pStyle w:val="Heading4"/>
      </w:pPr>
      <w:bookmarkStart w:id="20" w:name="_Toc234928943"/>
      <w:r>
        <w:lastRenderedPageBreak/>
        <w:t>Current treatment options</w:t>
      </w:r>
      <w:bookmarkEnd w:id="20"/>
      <w:r>
        <w:t xml:space="preserve"> </w:t>
      </w:r>
    </w:p>
    <w:p w14:paraId="405F1D03" w14:textId="0AB2AA52" w:rsidR="00F17807" w:rsidRDefault="00F17807" w:rsidP="00F17807">
      <w:r>
        <w:t xml:space="preserve">Most patients with NSCLC have locally advanced or metastatic disease at the time of diagnosis and are not candidates for potentially curative surgery. Current treatment options for advanced NSCLC are systemic chemotherapy and immunotherapy, unless a patient has targetable molecular drivers (e.g. </w:t>
      </w:r>
      <w:r w:rsidR="009E7682" w:rsidRPr="009E7682">
        <w:t xml:space="preserve">Anaplastic Lymphoma Kinase </w:t>
      </w:r>
      <w:r w:rsidR="009E7682">
        <w:t xml:space="preserve">[ALK] </w:t>
      </w:r>
      <w:r>
        <w:t xml:space="preserve">gene rearrangements, ROS1 rearrangements, sensitising </w:t>
      </w:r>
      <w:r w:rsidR="009E7682">
        <w:t>E</w:t>
      </w:r>
      <w:r w:rsidR="00F60858">
        <w:t xml:space="preserve">pidermal </w:t>
      </w:r>
      <w:r w:rsidR="009E7682">
        <w:t>G</w:t>
      </w:r>
      <w:r w:rsidR="00F60858">
        <w:t xml:space="preserve">rowth </w:t>
      </w:r>
      <w:r w:rsidR="009E7682">
        <w:t>F</w:t>
      </w:r>
      <w:r w:rsidR="00F60858">
        <w:t xml:space="preserve">actor </w:t>
      </w:r>
      <w:r w:rsidR="009E7682">
        <w:t>R</w:t>
      </w:r>
      <w:r w:rsidR="00F60858">
        <w:t>eceptor (</w:t>
      </w:r>
      <w:r>
        <w:t>EGFR</w:t>
      </w:r>
      <w:r w:rsidR="00F60858">
        <w:t>)</w:t>
      </w:r>
      <w:r>
        <w:t xml:space="preserve"> mutations, </w:t>
      </w:r>
      <w:r w:rsidR="00ED017D" w:rsidRPr="00ED017D">
        <w:t xml:space="preserve">B-Raf proto-oncogene </w:t>
      </w:r>
      <w:r w:rsidR="00ED017D">
        <w:t>[</w:t>
      </w:r>
      <w:r>
        <w:t>BRAF</w:t>
      </w:r>
      <w:r w:rsidR="00ED017D">
        <w:t>]</w:t>
      </w:r>
      <w:r>
        <w:t xml:space="preserve"> V600E point mutations, etc.).</w:t>
      </w:r>
    </w:p>
    <w:p w14:paraId="1AAF9C71" w14:textId="77777777" w:rsidR="00C04520" w:rsidRPr="00C04520" w:rsidRDefault="00C04520" w:rsidP="00C04520">
      <w:r w:rsidRPr="00C04520">
        <w:t xml:space="preserve">First-line treatment options for patients with advanced NSCLC with no established molecular driver include single-agent immunotherapy in patients whose tumours have programmed death-ligand-1 (PD-L1) expression &gt;50%, or combined immunotherapy and chemotherapy (platinum doublets) irrespective of tumour PD-L1 expression, in patients fit for these therapies. </w:t>
      </w:r>
    </w:p>
    <w:p w14:paraId="5E116681" w14:textId="61D32BB2" w:rsidR="00C04520" w:rsidRPr="00C04520" w:rsidRDefault="00C04520" w:rsidP="00C04520">
      <w:r w:rsidRPr="00C04520">
        <w:t>Compared to systemic chemotherapy, targeted therapies are associated with improved progression-free survival (PFS) and quality of life in advanced NSCLC. Patients with NSCLC tumours harbouring molecular drivers gain limited benefit from immunotherapy and should only receive this after exhausting the benefit from direct targeted therapy. This appears to hold true for patients with MET exon 14 skipping mutated (</w:t>
      </w:r>
      <w:r w:rsidRPr="00C04520">
        <w:rPr>
          <w:iCs/>
        </w:rPr>
        <w:t>MET∆ex14</w:t>
      </w:r>
      <w:r w:rsidRPr="00C04520">
        <w:t>) NSCLC who seem to gain limited benefit from immunotherapy with overall response rate (ORR) 6-20% and median PFS &lt;2 months, irrespective of PD-L1 expression or tumour mutation burden.</w:t>
      </w:r>
    </w:p>
    <w:p w14:paraId="5C963954" w14:textId="0801AD4F" w:rsidR="00C04520" w:rsidRPr="00C04520" w:rsidRDefault="00C04520" w:rsidP="00C04520">
      <w:r w:rsidRPr="00C04520">
        <w:t xml:space="preserve">There is one targeted therapy for </w:t>
      </w:r>
      <w:r w:rsidRPr="00C04520">
        <w:rPr>
          <w:iCs/>
        </w:rPr>
        <w:t>MET∆ex14</w:t>
      </w:r>
      <w:r w:rsidRPr="00C04520">
        <w:t xml:space="preserve"> NSCLC available in Australia – </w:t>
      </w:r>
      <w:proofErr w:type="spellStart"/>
      <w:r w:rsidRPr="00C04520">
        <w:t>tepotinib</w:t>
      </w:r>
      <w:proofErr w:type="spellEnd"/>
      <w:r w:rsidRPr="00C04520">
        <w:t>, approved 17 Jan</w:t>
      </w:r>
      <w:r w:rsidR="004A66AA">
        <w:t>uary</w:t>
      </w:r>
      <w:r w:rsidRPr="00C04520">
        <w:t xml:space="preserve"> 2022.</w:t>
      </w:r>
      <w:r w:rsidR="004A66AA">
        <w:rPr>
          <w:rStyle w:val="FootnoteReference"/>
        </w:rPr>
        <w:footnoteReference w:id="3"/>
      </w:r>
      <w:r w:rsidR="006E4338" w:rsidRPr="0014553F">
        <w:rPr>
          <w:vertAlign w:val="superscript"/>
        </w:rPr>
        <w:t>,</w:t>
      </w:r>
      <w:r w:rsidR="006E4338">
        <w:rPr>
          <w:rStyle w:val="FootnoteReference"/>
        </w:rPr>
        <w:footnoteReference w:id="4"/>
      </w:r>
      <w:r w:rsidRPr="00C04520">
        <w:t xml:space="preserve"> </w:t>
      </w:r>
    </w:p>
    <w:p w14:paraId="3AB2FF88" w14:textId="1EF5C420" w:rsidR="00C04520" w:rsidRDefault="00C04520" w:rsidP="00C04520">
      <w:r w:rsidRPr="00C04520">
        <w:t xml:space="preserve">International guidelines for </w:t>
      </w:r>
      <w:r w:rsidRPr="00C04520">
        <w:rPr>
          <w:iCs/>
        </w:rPr>
        <w:t>MET∆ex14</w:t>
      </w:r>
      <w:r w:rsidRPr="00C04520">
        <w:t xml:space="preserve"> NSCLC recommend targeted treatment with </w:t>
      </w:r>
      <w:proofErr w:type="spellStart"/>
      <w:r w:rsidRPr="00C04520">
        <w:t>tepotinib</w:t>
      </w:r>
      <w:proofErr w:type="spellEnd"/>
      <w:r w:rsidRPr="00C04520">
        <w:t xml:space="preserve"> or capmatinib as preferred therapy.</w:t>
      </w:r>
    </w:p>
    <w:p w14:paraId="37C47E09" w14:textId="14D3762D" w:rsidR="00CB6813" w:rsidRDefault="00CB6813" w:rsidP="00CB6813">
      <w:pPr>
        <w:pStyle w:val="Heading4"/>
      </w:pPr>
      <w:bookmarkStart w:id="21" w:name="_Toc234928944"/>
      <w:r>
        <w:t>C</w:t>
      </w:r>
      <w:r w:rsidRPr="00DE1344">
        <w:t>linical rational</w:t>
      </w:r>
      <w:r w:rsidR="0025785B">
        <w:t>e</w:t>
      </w:r>
      <w:bookmarkEnd w:id="21"/>
    </w:p>
    <w:p w14:paraId="55B86D98" w14:textId="0F39D954" w:rsidR="00634F6C" w:rsidRDefault="00634F6C" w:rsidP="00634F6C">
      <w:r>
        <w:t xml:space="preserve">MET, a proto-oncogene, encodes a receptor tyrosine kinase and is activated by </w:t>
      </w:r>
      <w:r w:rsidR="005E0B51">
        <w:t>the</w:t>
      </w:r>
      <w:r>
        <w:t xml:space="preserve"> endogenous ligand, hepatocyte growth factor. MET regulates the cellular processes of differentiation, proliferation, cell cycle, motility, and apoptosis. In NSCLC, aberrant activation of the MET pathway occurs through a variety of mechanisms each of which leads to prolonged signaling and oncogenic capacity:</w:t>
      </w:r>
      <w:r w:rsidR="005A39B7" w:rsidRPr="004D2417">
        <w:rPr>
          <w:rStyle w:val="FootnoteReference"/>
        </w:rPr>
        <w:footnoteReference w:id="5"/>
      </w:r>
      <w:r w:rsidR="005A39B7" w:rsidRPr="004D2417">
        <w:rPr>
          <w:vertAlign w:val="superscript"/>
        </w:rPr>
        <w:t>,</w:t>
      </w:r>
      <w:r w:rsidR="004D4EFA" w:rsidRPr="004D2417">
        <w:rPr>
          <w:rStyle w:val="FootnoteReference"/>
        </w:rPr>
        <w:footnoteReference w:id="6"/>
      </w:r>
      <w:r w:rsidR="00E97F85" w:rsidRPr="004D2417">
        <w:rPr>
          <w:vertAlign w:val="superscript"/>
        </w:rPr>
        <w:t>,</w:t>
      </w:r>
      <w:r w:rsidR="00E97F85" w:rsidRPr="004D2417">
        <w:rPr>
          <w:rStyle w:val="FootnoteReference"/>
        </w:rPr>
        <w:footnoteReference w:id="7"/>
      </w:r>
    </w:p>
    <w:p w14:paraId="1F514F6A" w14:textId="341BF381" w:rsidR="00634F6C" w:rsidRDefault="00634F6C" w:rsidP="00E97F85">
      <w:pPr>
        <w:pStyle w:val="ListBullet"/>
      </w:pPr>
      <w:r>
        <w:t>MET splice mutation leading to skipping of exon 14,</w:t>
      </w:r>
    </w:p>
    <w:p w14:paraId="0D605E44" w14:textId="009FA068" w:rsidR="00634F6C" w:rsidRDefault="00634F6C" w:rsidP="00E97F85">
      <w:pPr>
        <w:pStyle w:val="ListBullet"/>
      </w:pPr>
      <w:r>
        <w:t>MET gene amplification, and</w:t>
      </w:r>
    </w:p>
    <w:p w14:paraId="450D187D" w14:textId="5D4EBEA8" w:rsidR="00634F6C" w:rsidRDefault="00634F6C" w:rsidP="00E97F85">
      <w:pPr>
        <w:pStyle w:val="ListBullet"/>
      </w:pPr>
      <w:r>
        <w:t>Overexpression of the MET protein.</w:t>
      </w:r>
    </w:p>
    <w:p w14:paraId="44F97410" w14:textId="77777777" w:rsidR="006D4E29" w:rsidRDefault="00634F6C" w:rsidP="00426847">
      <w:r>
        <w:lastRenderedPageBreak/>
        <w:t>MET</w:t>
      </w:r>
      <w:r w:rsidR="0080221D">
        <w:t xml:space="preserve"> </w:t>
      </w:r>
      <w:r>
        <w:t>mutations</w:t>
      </w:r>
      <w:r w:rsidR="0080221D">
        <w:t xml:space="preserve"> </w:t>
      </w:r>
      <w:r>
        <w:t>leading to exon 14 skipping have been identified as an actionable target in NSCLC</w:t>
      </w:r>
      <w:r w:rsidR="001E73DA">
        <w:t>.</w:t>
      </w:r>
      <w:r w:rsidR="004D2417" w:rsidRPr="001E73DA">
        <w:rPr>
          <w:rStyle w:val="FootnoteReference"/>
        </w:rPr>
        <w:footnoteReference w:id="8"/>
      </w:r>
      <w:r w:rsidR="004D2417" w:rsidRPr="001E73DA">
        <w:rPr>
          <w:vertAlign w:val="superscript"/>
        </w:rPr>
        <w:t>,</w:t>
      </w:r>
      <w:r w:rsidR="00F35E16" w:rsidRPr="001E73DA">
        <w:rPr>
          <w:rStyle w:val="FootnoteReference"/>
        </w:rPr>
        <w:footnoteReference w:id="9"/>
      </w:r>
      <w:r w:rsidR="00F35E16">
        <w:t xml:space="preserve"> </w:t>
      </w:r>
    </w:p>
    <w:p w14:paraId="5CF4F9AF" w14:textId="6B11D808" w:rsidR="00940525" w:rsidRPr="00940525" w:rsidRDefault="006D4E29" w:rsidP="002B5C4D">
      <w:r>
        <w:t>Capmatinib is an oral inhibitor of MET receptor tyrosine kinase</w:t>
      </w:r>
      <w:r w:rsidR="00EB7190">
        <w:t xml:space="preserve">. </w:t>
      </w:r>
      <w:r w:rsidR="00DF3C9B" w:rsidRPr="00DF3C9B">
        <w:t>Promising efficacy data have been published with MET inhibitors</w:t>
      </w:r>
      <w:r w:rsidR="00630A0D">
        <w:t xml:space="preserve"> such as </w:t>
      </w:r>
      <w:r w:rsidR="00DF3C9B" w:rsidRPr="00DF3C9B">
        <w:t>capmatinib, in</w:t>
      </w:r>
      <w:r w:rsidR="00EB7190">
        <w:t xml:space="preserve"> </w:t>
      </w:r>
      <w:r w:rsidR="00DF3C9B" w:rsidRPr="00DF3C9B">
        <w:t>patients whose tumors harbor MET mutations</w:t>
      </w:r>
      <w:r w:rsidR="00630A0D">
        <w:t>, including those</w:t>
      </w:r>
      <w:r w:rsidR="00DF3C9B" w:rsidRPr="00DF3C9B">
        <w:t xml:space="preserve"> that lead to exon 14 skipping</w:t>
      </w:r>
      <w:r w:rsidR="0072474F">
        <w:t>.</w:t>
      </w:r>
      <w:r w:rsidR="00734710">
        <w:rPr>
          <w:rStyle w:val="FootnoteReference"/>
        </w:rPr>
        <w:footnoteReference w:id="10"/>
      </w:r>
      <w:r w:rsidR="000D599A" w:rsidRPr="0072474F">
        <w:rPr>
          <w:vertAlign w:val="superscript"/>
        </w:rPr>
        <w:t>,</w:t>
      </w:r>
      <w:r w:rsidR="000D599A">
        <w:rPr>
          <w:rStyle w:val="FootnoteReference"/>
        </w:rPr>
        <w:footnoteReference w:id="11"/>
      </w:r>
      <w:r w:rsidR="003237C1">
        <w:rPr>
          <w:vertAlign w:val="superscript"/>
        </w:rPr>
        <w:t>,</w:t>
      </w:r>
      <w:r w:rsidR="003237C1">
        <w:rPr>
          <w:rStyle w:val="FootnoteReference"/>
        </w:rPr>
        <w:footnoteReference w:id="12"/>
      </w:r>
      <w:r w:rsidR="006D3994">
        <w:rPr>
          <w:vertAlign w:val="superscript"/>
        </w:rPr>
        <w:t>,</w:t>
      </w:r>
      <w:r w:rsidR="006D3994">
        <w:rPr>
          <w:rStyle w:val="FootnoteReference"/>
        </w:rPr>
        <w:footnoteReference w:id="13"/>
      </w:r>
      <w:r w:rsidR="0031072D">
        <w:rPr>
          <w:vertAlign w:val="superscript"/>
        </w:rPr>
        <w:t xml:space="preserve"> </w:t>
      </w:r>
      <w:r w:rsidR="00DF3C9B" w:rsidRPr="00DF3C9B">
        <w:t>Collectively, the data suggest that capmatinib possesses in vitro and in vivo biological</w:t>
      </w:r>
      <w:r w:rsidR="0072474F">
        <w:t xml:space="preserve"> </w:t>
      </w:r>
      <w:r w:rsidR="00DF3C9B" w:rsidRPr="00DF3C9B">
        <w:t>and pharmacologic activities</w:t>
      </w:r>
      <w:r w:rsidR="00C05AF8">
        <w:t xml:space="preserve"> that </w:t>
      </w:r>
      <w:r w:rsidR="00DF3C9B" w:rsidRPr="00DF3C9B">
        <w:t xml:space="preserve">support its </w:t>
      </w:r>
      <w:r w:rsidR="00C05AF8">
        <w:t xml:space="preserve">efficacy </w:t>
      </w:r>
      <w:r w:rsidR="006A7AEE">
        <w:t>for</w:t>
      </w:r>
      <w:r w:rsidR="002B5C4D">
        <w:t xml:space="preserve"> targeted oral treatment for human cancers with MET-dysregulation (either MET-mutated or amplified).</w:t>
      </w:r>
    </w:p>
    <w:p w14:paraId="0D615854" w14:textId="77777777" w:rsidR="00324B33" w:rsidRPr="003F31A2" w:rsidRDefault="00324B33" w:rsidP="00324B33">
      <w:pPr>
        <w:pStyle w:val="Heading3"/>
      </w:pPr>
      <w:bookmarkStart w:id="22" w:name="_Toc103679291"/>
      <w:bookmarkStart w:id="23" w:name="_Toc234928945"/>
      <w:r>
        <w:t>Regulatory status</w:t>
      </w:r>
      <w:bookmarkEnd w:id="16"/>
      <w:bookmarkEnd w:id="17"/>
      <w:bookmarkEnd w:id="22"/>
      <w:bookmarkEnd w:id="23"/>
    </w:p>
    <w:p w14:paraId="72C889D6" w14:textId="7E200950" w:rsidR="0017005C" w:rsidRPr="00BD5DBD" w:rsidRDefault="0017005C" w:rsidP="00741AB9">
      <w:pPr>
        <w:pStyle w:val="Heading4"/>
      </w:pPr>
      <w:bookmarkStart w:id="24" w:name="_Australian_regulatory_status"/>
      <w:bookmarkStart w:id="25" w:name="_Toc234928946"/>
      <w:bookmarkEnd w:id="24"/>
      <w:r w:rsidRPr="00BD5DBD">
        <w:t>Australian regulatory</w:t>
      </w:r>
      <w:r>
        <w:t xml:space="preserve"> sta</w:t>
      </w:r>
      <w:r w:rsidR="0025785B">
        <w:t>t</w:t>
      </w:r>
      <w:r>
        <w:t>us</w:t>
      </w:r>
      <w:bookmarkEnd w:id="25"/>
    </w:p>
    <w:p w14:paraId="6A8633FA" w14:textId="2651C198" w:rsidR="00324B33" w:rsidRDefault="00324B33" w:rsidP="00324B33">
      <w:pPr>
        <w:rPr>
          <w:szCs w:val="22"/>
        </w:rPr>
      </w:pPr>
      <w:r w:rsidRPr="00BD5DBD">
        <w:rPr>
          <w:szCs w:val="22"/>
        </w:rPr>
        <w:t>This product is considered a new chemical</w:t>
      </w:r>
      <w:r w:rsidR="008C754C" w:rsidRPr="00BD5DBD">
        <w:rPr>
          <w:szCs w:val="22"/>
        </w:rPr>
        <w:t xml:space="preserve"> entity</w:t>
      </w:r>
      <w:r w:rsidRPr="00BD5DBD">
        <w:rPr>
          <w:szCs w:val="22"/>
        </w:rPr>
        <w:t xml:space="preserve"> for Australian regulatory purposes.</w:t>
      </w:r>
    </w:p>
    <w:p w14:paraId="1F3860B4" w14:textId="68E75EC1" w:rsidR="004D551B" w:rsidRPr="004D551B" w:rsidRDefault="004D551B" w:rsidP="004D551B">
      <w:pPr>
        <w:rPr>
          <w:szCs w:val="22"/>
        </w:rPr>
      </w:pPr>
      <w:r w:rsidRPr="004D551B">
        <w:rPr>
          <w:szCs w:val="22"/>
        </w:rPr>
        <w:t xml:space="preserve">An application to register capmatinib for the treatment of MET∆ex14 NSCLC was previously submitted to the TGA in May 2022 (Category 1, Type A) under </w:t>
      </w:r>
      <w:hyperlink r:id="rId28" w:history="1">
        <w:r w:rsidRPr="000D4C3B">
          <w:rPr>
            <w:rStyle w:val="Hyperlink"/>
            <w:szCs w:val="22"/>
          </w:rPr>
          <w:t>Project Orbis</w:t>
        </w:r>
      </w:hyperlink>
      <w:r w:rsidRPr="004D551B">
        <w:rPr>
          <w:szCs w:val="22"/>
        </w:rPr>
        <w:t xml:space="preserve">. The preliminary view was to approve capmatinib for the proposed indication. However, </w:t>
      </w:r>
      <w:r w:rsidR="00A97D76">
        <w:rPr>
          <w:szCs w:val="22"/>
        </w:rPr>
        <w:t xml:space="preserve">the </w:t>
      </w:r>
      <w:r w:rsidR="002F1C57" w:rsidRPr="002F1C57">
        <w:rPr>
          <w:szCs w:val="22"/>
        </w:rPr>
        <w:t xml:space="preserve">Advisory Committee on Medicines (ACM) </w:t>
      </w:r>
      <w:proofErr w:type="gramStart"/>
      <w:r w:rsidRPr="004D551B">
        <w:rPr>
          <w:szCs w:val="22"/>
        </w:rPr>
        <w:t>was of the opinion that</w:t>
      </w:r>
      <w:proofErr w:type="gramEnd"/>
      <w:r w:rsidRPr="004D551B">
        <w:rPr>
          <w:szCs w:val="22"/>
        </w:rPr>
        <w:t xml:space="preserve"> the efficacy data were insufficient to support full registration at that time. Whilst the application may have met the standard of evidence for </w:t>
      </w:r>
      <w:hyperlink r:id="rId29" w:history="1">
        <w:r w:rsidRPr="003E5524">
          <w:rPr>
            <w:rStyle w:val="Hyperlink"/>
            <w:szCs w:val="22"/>
          </w:rPr>
          <w:t>provisional registration</w:t>
        </w:r>
      </w:hyperlink>
      <w:r w:rsidRPr="004D551B">
        <w:rPr>
          <w:szCs w:val="22"/>
        </w:rPr>
        <w:t>, it could not be converted because provisional designation was not sought prior to submission. The submission was subsequently withdrawn by the sponsor prior to the delegate’s decision.</w:t>
      </w:r>
    </w:p>
    <w:p w14:paraId="50E28DB1" w14:textId="0D5AF0BC" w:rsidR="004D551B" w:rsidRPr="004D551B" w:rsidRDefault="004D551B" w:rsidP="004D551B">
      <w:pPr>
        <w:rPr>
          <w:szCs w:val="22"/>
        </w:rPr>
      </w:pPr>
      <w:proofErr w:type="gramStart"/>
      <w:r w:rsidRPr="004D551B">
        <w:rPr>
          <w:szCs w:val="22"/>
        </w:rPr>
        <w:t>In light of</w:t>
      </w:r>
      <w:proofErr w:type="gramEnd"/>
      <w:r w:rsidRPr="004D551B">
        <w:rPr>
          <w:szCs w:val="22"/>
        </w:rPr>
        <w:t xml:space="preserve"> the above, the sponsor requested a pre-submission meeting prior to the current application. The meeting was held on 22 Jan</w:t>
      </w:r>
      <w:r w:rsidR="00106819">
        <w:rPr>
          <w:szCs w:val="22"/>
        </w:rPr>
        <w:t>uary</w:t>
      </w:r>
      <w:r w:rsidRPr="004D551B">
        <w:rPr>
          <w:szCs w:val="22"/>
        </w:rPr>
        <w:t xml:space="preserve"> 2025 and the discussion points included:</w:t>
      </w:r>
    </w:p>
    <w:p w14:paraId="1E6290E6" w14:textId="46B9A540" w:rsidR="004D551B" w:rsidRPr="004D551B" w:rsidRDefault="004D551B" w:rsidP="002F1C57">
      <w:pPr>
        <w:pStyle w:val="ListBullet"/>
      </w:pPr>
      <w:r w:rsidRPr="004D551B">
        <w:t>Reasons the sponsor was considering potential re-submission</w:t>
      </w:r>
    </w:p>
    <w:p w14:paraId="465D99FA" w14:textId="79B8F0B4" w:rsidR="004D551B" w:rsidRPr="004D551B" w:rsidRDefault="004D551B" w:rsidP="002F1C57">
      <w:pPr>
        <w:pStyle w:val="ListBullet2"/>
      </w:pPr>
      <w:r w:rsidRPr="004D551B">
        <w:t>Patients with MET∆ex14 NSCLC are a small population with only one targeted product available in Australia and registration of capmatinib would offer physicians another treatment choice for their patients</w:t>
      </w:r>
    </w:p>
    <w:p w14:paraId="0FE8DE2B" w14:textId="129362F0" w:rsidR="004D551B" w:rsidRPr="004D551B" w:rsidRDefault="004D551B" w:rsidP="002F1C57">
      <w:pPr>
        <w:pStyle w:val="ListBullet2"/>
      </w:pPr>
      <w:r w:rsidRPr="004D551B">
        <w:t xml:space="preserve">Alignment with other major markets where both capmatinib and </w:t>
      </w:r>
      <w:proofErr w:type="spellStart"/>
      <w:r w:rsidRPr="004D551B">
        <w:t>tepotinib</w:t>
      </w:r>
      <w:proofErr w:type="spellEnd"/>
      <w:r w:rsidRPr="004D551B">
        <w:t xml:space="preserve"> are available</w:t>
      </w:r>
    </w:p>
    <w:p w14:paraId="739FE2FF" w14:textId="392793A9" w:rsidR="004D551B" w:rsidRPr="004D551B" w:rsidRDefault="004D551B" w:rsidP="002F1C57">
      <w:pPr>
        <w:pStyle w:val="ListBullet"/>
      </w:pPr>
      <w:r w:rsidRPr="004D551B">
        <w:t>Altered regulatory landscape since the previous submission</w:t>
      </w:r>
    </w:p>
    <w:p w14:paraId="57D4467F" w14:textId="6874E55F" w:rsidR="004D551B" w:rsidRPr="004D551B" w:rsidRDefault="004D551B" w:rsidP="002F1C57">
      <w:pPr>
        <w:pStyle w:val="ListBullet2"/>
      </w:pPr>
      <w:r w:rsidRPr="004D551B">
        <w:t>The TGA acknowledged the previous advice of the ACM, however also that some uncertainties from that time have since changed</w:t>
      </w:r>
    </w:p>
    <w:p w14:paraId="05A16BB4" w14:textId="26A926E0" w:rsidR="004D551B" w:rsidRPr="004D551B" w:rsidRDefault="004D551B" w:rsidP="002F1C57">
      <w:pPr>
        <w:pStyle w:val="ListBullet2"/>
      </w:pPr>
      <w:r w:rsidRPr="004D551B">
        <w:t>Further post-marketing data is now available for capmatinib</w:t>
      </w:r>
    </w:p>
    <w:p w14:paraId="1CAD8BA5" w14:textId="4809B2D6" w:rsidR="004D551B" w:rsidRPr="004D551B" w:rsidRDefault="004D551B" w:rsidP="002F1C57">
      <w:pPr>
        <w:pStyle w:val="ListBullet2"/>
      </w:pPr>
      <w:r w:rsidRPr="004D551B">
        <w:lastRenderedPageBreak/>
        <w:t xml:space="preserve">Availability of final clinical study reports for the pivotal phase 2 study (GEOMETRY mono-1) and the </w:t>
      </w:r>
      <w:proofErr w:type="spellStart"/>
      <w:proofErr w:type="gramStart"/>
      <w:r w:rsidRPr="004D551B">
        <w:t>GeoMETry</w:t>
      </w:r>
      <w:proofErr w:type="spellEnd"/>
      <w:proofErr w:type="gramEnd"/>
      <w:r w:rsidRPr="004D551B">
        <w:t>-III trial</w:t>
      </w:r>
    </w:p>
    <w:p w14:paraId="7C9B77F7" w14:textId="2C20BE02" w:rsidR="004D551B" w:rsidRDefault="004D551B" w:rsidP="002F1C57">
      <w:pPr>
        <w:pStyle w:val="ListBullet2"/>
      </w:pPr>
      <w:r w:rsidRPr="004D551B">
        <w:t>Capmatinib has been granted full approval by major regulators based on objective response rates and the durability of these responses.</w:t>
      </w:r>
    </w:p>
    <w:p w14:paraId="546C1031" w14:textId="4EF98FA1" w:rsidR="0017005C" w:rsidRDefault="00131B1B" w:rsidP="0017005C">
      <w:pPr>
        <w:pStyle w:val="Heading4"/>
      </w:pPr>
      <w:bookmarkStart w:id="26" w:name="_Toc234928947"/>
      <w:r>
        <w:t xml:space="preserve">International </w:t>
      </w:r>
      <w:r w:rsidR="0017005C" w:rsidRPr="00BD5DBD">
        <w:t>regulatory</w:t>
      </w:r>
      <w:r w:rsidR="0017005C">
        <w:t xml:space="preserve"> status</w:t>
      </w:r>
      <w:bookmarkEnd w:id="26"/>
    </w:p>
    <w:p w14:paraId="7FDF4A0B" w14:textId="6C6A991F" w:rsidR="008F4A62" w:rsidRPr="0017005C" w:rsidRDefault="008F4A62" w:rsidP="008F4A62">
      <w:r w:rsidRPr="00BD5DBD">
        <w:rPr>
          <w:szCs w:val="22"/>
        </w:rPr>
        <w:t xml:space="preserve">At the time the TGA considered this submission, a similar submission had been </w:t>
      </w:r>
      <w:r>
        <w:rPr>
          <w:szCs w:val="22"/>
        </w:rPr>
        <w:t xml:space="preserve">considered by other regulatory agencies. </w:t>
      </w:r>
      <w:r w:rsidR="00617341">
        <w:rPr>
          <w:szCs w:val="22"/>
        </w:rPr>
        <w:t xml:space="preserve">Table </w:t>
      </w:r>
      <w:r w:rsidR="00517BCC">
        <w:rPr>
          <w:szCs w:val="22"/>
        </w:rPr>
        <w:t>1</w:t>
      </w:r>
      <w:r w:rsidRPr="00BD5DBD">
        <w:rPr>
          <w:szCs w:val="22"/>
        </w:rPr>
        <w:t xml:space="preserve"> summarises these submissions and provides the indications where approved.</w:t>
      </w:r>
      <w:r>
        <w:rPr>
          <w:szCs w:val="22"/>
        </w:rPr>
        <w:t xml:space="preserve"> </w:t>
      </w:r>
    </w:p>
    <w:p w14:paraId="19B9E0AC" w14:textId="34BC00BA" w:rsidR="00324B33" w:rsidRDefault="00324B33" w:rsidP="00057194">
      <w:pPr>
        <w:pStyle w:val="TableTitle"/>
      </w:pPr>
      <w:bookmarkStart w:id="27" w:name="_Ref99705479"/>
      <w:r>
        <w:t>Table</w:t>
      </w:r>
      <w:bookmarkEnd w:id="27"/>
      <w:r w:rsidR="00517BCC">
        <w:t xml:space="preserve"> 1</w:t>
      </w:r>
      <w:r w:rsidR="003302FF">
        <w:rPr>
          <w:noProof/>
        </w:rPr>
        <w:t>.</w:t>
      </w:r>
      <w:r>
        <w:t xml:space="preserve"> International regulatory status</w:t>
      </w:r>
      <w:r w:rsidR="00BF502D">
        <w:t xml:space="preserve"> a</w:t>
      </w:r>
      <w:r w:rsidR="00BF502D" w:rsidRPr="00BF502D">
        <w:t>t the time the TGA considered this submission</w:t>
      </w:r>
    </w:p>
    <w:tbl>
      <w:tblPr>
        <w:tblW w:w="8784" w:type="dxa"/>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CellMar>
          <w:top w:w="15" w:type="dxa"/>
          <w:left w:w="15" w:type="dxa"/>
          <w:bottom w:w="15" w:type="dxa"/>
          <w:right w:w="15" w:type="dxa"/>
        </w:tblCellMar>
        <w:tblLook w:val="04A0" w:firstRow="1" w:lastRow="0" w:firstColumn="1" w:lastColumn="0" w:noHBand="0" w:noVBand="1"/>
        <w:tblCaption w:val="Table 1. International regulatory status at the time the TGA considered this submission"/>
      </w:tblPr>
      <w:tblGrid>
        <w:gridCol w:w="1616"/>
        <w:gridCol w:w="1214"/>
        <w:gridCol w:w="1011"/>
        <w:gridCol w:w="3242"/>
        <w:gridCol w:w="1701"/>
      </w:tblGrid>
      <w:tr w:rsidR="00647C03" w:rsidRPr="009A025C" w14:paraId="4516BE8D" w14:textId="77777777" w:rsidTr="00A41E4F">
        <w:trPr>
          <w:tblHeader/>
        </w:trPr>
        <w:tc>
          <w:tcPr>
            <w:tcW w:w="1616" w:type="dxa"/>
            <w:shd w:val="clear" w:color="auto" w:fill="DEEAF6"/>
            <w:vAlign w:val="center"/>
            <w:hideMark/>
          </w:tcPr>
          <w:p w14:paraId="420BD2A5" w14:textId="77777777" w:rsidR="00647C03" w:rsidRPr="009A025C" w:rsidRDefault="00647C03" w:rsidP="002F1C57">
            <w:pPr>
              <w:spacing w:after="0" w:line="240" w:lineRule="auto"/>
              <w:rPr>
                <w:rFonts w:eastAsia="Times New Roman" w:cs="Times New Roman"/>
                <w:b/>
                <w:bCs/>
                <w:color w:val="263287"/>
                <w:szCs w:val="22"/>
                <w:lang w:eastAsia="en-AU"/>
              </w:rPr>
            </w:pPr>
            <w:r w:rsidRPr="009A025C">
              <w:rPr>
                <w:rFonts w:eastAsia="Times New Roman" w:cs="Times New Roman"/>
                <w:b/>
                <w:bCs/>
                <w:color w:val="263287"/>
                <w:szCs w:val="22"/>
                <w:lang w:eastAsia="en-AU"/>
              </w:rPr>
              <w:t>Country/region</w:t>
            </w:r>
          </w:p>
        </w:tc>
        <w:tc>
          <w:tcPr>
            <w:tcW w:w="1214" w:type="dxa"/>
            <w:shd w:val="clear" w:color="auto" w:fill="DEEAF6"/>
            <w:vAlign w:val="center"/>
            <w:hideMark/>
          </w:tcPr>
          <w:p w14:paraId="5A9CDCE1" w14:textId="77777777" w:rsidR="00647C03" w:rsidRPr="009A025C" w:rsidRDefault="00647C03" w:rsidP="002F1C57">
            <w:pPr>
              <w:spacing w:after="0" w:line="240" w:lineRule="auto"/>
              <w:rPr>
                <w:rFonts w:eastAsia="Times New Roman" w:cs="Times New Roman"/>
                <w:b/>
                <w:bCs/>
                <w:color w:val="263287"/>
                <w:szCs w:val="22"/>
                <w:lang w:eastAsia="en-AU"/>
              </w:rPr>
            </w:pPr>
            <w:r w:rsidRPr="009A025C">
              <w:rPr>
                <w:rFonts w:eastAsia="Times New Roman" w:cs="Times New Roman"/>
                <w:b/>
                <w:bCs/>
                <w:color w:val="263287"/>
                <w:szCs w:val="22"/>
                <w:lang w:eastAsia="en-AU"/>
              </w:rPr>
              <w:t>Submission date</w:t>
            </w:r>
          </w:p>
        </w:tc>
        <w:tc>
          <w:tcPr>
            <w:tcW w:w="0" w:type="auto"/>
            <w:shd w:val="clear" w:color="auto" w:fill="DEEAF6"/>
            <w:vAlign w:val="center"/>
            <w:hideMark/>
          </w:tcPr>
          <w:p w14:paraId="4ED294E1" w14:textId="77777777" w:rsidR="00647C03" w:rsidRPr="009A025C" w:rsidRDefault="00647C03" w:rsidP="002F1C57">
            <w:pPr>
              <w:spacing w:after="0" w:line="240" w:lineRule="auto"/>
              <w:rPr>
                <w:rFonts w:eastAsia="Times New Roman" w:cs="Times New Roman"/>
                <w:b/>
                <w:bCs/>
                <w:color w:val="263287"/>
                <w:szCs w:val="22"/>
                <w:lang w:eastAsia="en-AU"/>
              </w:rPr>
            </w:pPr>
            <w:r w:rsidRPr="009A025C">
              <w:rPr>
                <w:rFonts w:eastAsia="Times New Roman" w:cs="Times New Roman"/>
                <w:b/>
                <w:bCs/>
                <w:color w:val="263287"/>
                <w:szCs w:val="22"/>
                <w:lang w:eastAsia="en-AU"/>
              </w:rPr>
              <w:t>Status</w:t>
            </w:r>
          </w:p>
        </w:tc>
        <w:tc>
          <w:tcPr>
            <w:tcW w:w="3242" w:type="dxa"/>
            <w:shd w:val="clear" w:color="auto" w:fill="DEEAF6"/>
            <w:vAlign w:val="center"/>
            <w:hideMark/>
          </w:tcPr>
          <w:p w14:paraId="7FA66037" w14:textId="77777777" w:rsidR="00647C03" w:rsidRPr="009A025C" w:rsidRDefault="00647C03" w:rsidP="002F1C57">
            <w:pPr>
              <w:spacing w:after="0" w:line="240" w:lineRule="auto"/>
              <w:rPr>
                <w:rFonts w:eastAsia="Times New Roman" w:cs="Times New Roman"/>
                <w:b/>
                <w:bCs/>
                <w:color w:val="263287"/>
                <w:szCs w:val="22"/>
                <w:lang w:eastAsia="en-AU"/>
              </w:rPr>
            </w:pPr>
            <w:r w:rsidRPr="009A025C">
              <w:rPr>
                <w:rFonts w:eastAsia="Times New Roman" w:cs="Times New Roman"/>
                <w:b/>
                <w:bCs/>
                <w:color w:val="263287"/>
                <w:szCs w:val="22"/>
                <w:lang w:eastAsia="en-AU"/>
              </w:rPr>
              <w:t>Indications (approved or requested)</w:t>
            </w:r>
          </w:p>
        </w:tc>
        <w:tc>
          <w:tcPr>
            <w:tcW w:w="1701" w:type="dxa"/>
            <w:shd w:val="clear" w:color="auto" w:fill="DEEAF6"/>
            <w:vAlign w:val="center"/>
            <w:hideMark/>
          </w:tcPr>
          <w:p w14:paraId="2CC60E13" w14:textId="77777777" w:rsidR="00647C03" w:rsidRPr="009A025C" w:rsidRDefault="00647C03" w:rsidP="002F1C57">
            <w:pPr>
              <w:spacing w:after="0" w:line="240" w:lineRule="auto"/>
              <w:rPr>
                <w:rFonts w:eastAsia="Times New Roman" w:cs="Times New Roman"/>
                <w:b/>
                <w:bCs/>
                <w:color w:val="263287"/>
                <w:szCs w:val="22"/>
                <w:lang w:eastAsia="en-AU"/>
              </w:rPr>
            </w:pPr>
            <w:r w:rsidRPr="009A025C">
              <w:rPr>
                <w:rFonts w:eastAsia="Times New Roman" w:cs="Times New Roman"/>
                <w:b/>
                <w:bCs/>
                <w:color w:val="263287"/>
                <w:szCs w:val="22"/>
                <w:lang w:eastAsia="en-AU"/>
              </w:rPr>
              <w:t>Other relevant information</w:t>
            </w:r>
          </w:p>
        </w:tc>
      </w:tr>
      <w:tr w:rsidR="00647C03" w:rsidRPr="009A025C" w14:paraId="3DD6EDF2" w14:textId="77777777" w:rsidTr="00A41E4F">
        <w:tc>
          <w:tcPr>
            <w:tcW w:w="1616" w:type="dxa"/>
            <w:vAlign w:val="center"/>
            <w:hideMark/>
          </w:tcPr>
          <w:p w14:paraId="14990449" w14:textId="77777777" w:rsidR="00647C03" w:rsidRPr="009A025C" w:rsidRDefault="00647C03" w:rsidP="00647C03">
            <w:pPr>
              <w:spacing w:after="0" w:line="240" w:lineRule="auto"/>
              <w:rPr>
                <w:rFonts w:eastAsia="Times New Roman" w:cs="Times New Roman"/>
                <w:szCs w:val="22"/>
                <w:lang w:eastAsia="en-AU"/>
              </w:rPr>
            </w:pPr>
            <w:r w:rsidRPr="009A025C">
              <w:rPr>
                <w:rFonts w:eastAsia="Times New Roman" w:cs="Times New Roman"/>
                <w:szCs w:val="22"/>
                <w:lang w:eastAsia="en-AU"/>
              </w:rPr>
              <w:t>European Union (Centralised)</w:t>
            </w:r>
          </w:p>
        </w:tc>
        <w:tc>
          <w:tcPr>
            <w:tcW w:w="1214" w:type="dxa"/>
            <w:vAlign w:val="center"/>
            <w:hideMark/>
          </w:tcPr>
          <w:p w14:paraId="4D462EEC" w14:textId="77777777" w:rsidR="00647C03" w:rsidRPr="009A025C" w:rsidRDefault="00647C03" w:rsidP="00647C03">
            <w:pPr>
              <w:spacing w:after="0" w:line="240" w:lineRule="auto"/>
              <w:rPr>
                <w:rFonts w:eastAsia="Times New Roman" w:cs="Times New Roman"/>
                <w:szCs w:val="22"/>
                <w:lang w:eastAsia="en-AU"/>
              </w:rPr>
            </w:pPr>
            <w:r w:rsidRPr="009A025C">
              <w:rPr>
                <w:rFonts w:eastAsia="Times New Roman" w:cs="Times New Roman"/>
                <w:szCs w:val="22"/>
                <w:lang w:eastAsia="en-AU"/>
              </w:rPr>
              <w:t>15 April 2021</w:t>
            </w:r>
          </w:p>
        </w:tc>
        <w:tc>
          <w:tcPr>
            <w:tcW w:w="0" w:type="auto"/>
            <w:vAlign w:val="center"/>
            <w:hideMark/>
          </w:tcPr>
          <w:p w14:paraId="1882FBBD" w14:textId="77777777" w:rsidR="00647C03" w:rsidRPr="00617341" w:rsidRDefault="00647C03" w:rsidP="00647C03">
            <w:pPr>
              <w:spacing w:after="0" w:line="240" w:lineRule="auto"/>
              <w:rPr>
                <w:rFonts w:eastAsia="Times New Roman" w:cs="Times New Roman"/>
                <w:szCs w:val="22"/>
                <w:lang w:eastAsia="en-AU"/>
              </w:rPr>
            </w:pPr>
            <w:r w:rsidRPr="00617341">
              <w:rPr>
                <w:rFonts w:eastAsia="Times New Roman" w:cs="Times New Roman"/>
                <w:szCs w:val="22"/>
                <w:lang w:eastAsia="en-AU"/>
              </w:rPr>
              <w:t>Approved (20 June 2022)</w:t>
            </w:r>
          </w:p>
        </w:tc>
        <w:tc>
          <w:tcPr>
            <w:tcW w:w="3242" w:type="dxa"/>
            <w:vAlign w:val="center"/>
            <w:hideMark/>
          </w:tcPr>
          <w:p w14:paraId="740039A1" w14:textId="45D43AF8" w:rsidR="00647C03" w:rsidRPr="009A025C" w:rsidRDefault="003C3D80" w:rsidP="00647C03">
            <w:pPr>
              <w:spacing w:after="0" w:line="240" w:lineRule="auto"/>
              <w:rPr>
                <w:rFonts w:eastAsia="Times New Roman" w:cs="Times New Roman"/>
                <w:szCs w:val="22"/>
                <w:lang w:eastAsia="en-AU"/>
              </w:rPr>
            </w:pPr>
            <w:r>
              <w:rPr>
                <w:rFonts w:eastAsia="Times New Roman" w:cs="Times New Roman"/>
                <w:szCs w:val="22"/>
                <w:lang w:eastAsia="en-AU"/>
              </w:rPr>
              <w:t>Tabrecta</w:t>
            </w:r>
            <w:r w:rsidR="00647C03" w:rsidRPr="009A025C">
              <w:rPr>
                <w:rFonts w:eastAsia="Times New Roman" w:cs="Times New Roman"/>
                <w:szCs w:val="22"/>
                <w:lang w:eastAsia="en-AU"/>
              </w:rPr>
              <w:t xml:space="preserve"> as monotherapy is indicated for the treatment of adult patients with advanced non-small cell lung cancer (NSCLC) harbouring alterations leading to mesenchymal epithelial transition factor gene exon 14 (METex14) skipping, who require systemic therapy following prior treatment with immunotherapy and/or platinum-based chemotherapy.</w:t>
            </w:r>
          </w:p>
        </w:tc>
        <w:tc>
          <w:tcPr>
            <w:tcW w:w="1701" w:type="dxa"/>
            <w:vAlign w:val="center"/>
            <w:hideMark/>
          </w:tcPr>
          <w:p w14:paraId="47AFC9A1" w14:textId="77777777" w:rsidR="00647C03" w:rsidRPr="009A025C" w:rsidRDefault="00647C03" w:rsidP="00647C03">
            <w:pPr>
              <w:spacing w:after="0" w:line="240" w:lineRule="auto"/>
              <w:rPr>
                <w:rFonts w:eastAsia="Times New Roman" w:cs="Times New Roman"/>
                <w:szCs w:val="22"/>
                <w:lang w:eastAsia="en-AU"/>
              </w:rPr>
            </w:pPr>
            <w:r w:rsidRPr="009A025C">
              <w:rPr>
                <w:rFonts w:eastAsia="Times New Roman" w:cs="Times New Roman"/>
                <w:szCs w:val="22"/>
                <w:lang w:eastAsia="en-AU"/>
              </w:rPr>
              <w:t>Standard evaluation, full approval.</w:t>
            </w:r>
          </w:p>
        </w:tc>
      </w:tr>
      <w:tr w:rsidR="00647C03" w:rsidRPr="009A025C" w14:paraId="746863D1" w14:textId="77777777" w:rsidTr="00A41E4F">
        <w:tc>
          <w:tcPr>
            <w:tcW w:w="1616" w:type="dxa"/>
            <w:vAlign w:val="center"/>
            <w:hideMark/>
          </w:tcPr>
          <w:p w14:paraId="79732930" w14:textId="77777777" w:rsidR="00647C03" w:rsidRPr="009A025C" w:rsidRDefault="00647C03" w:rsidP="00647C03">
            <w:pPr>
              <w:spacing w:after="0" w:line="240" w:lineRule="auto"/>
              <w:rPr>
                <w:rFonts w:eastAsia="Times New Roman" w:cs="Times New Roman"/>
                <w:szCs w:val="22"/>
                <w:lang w:eastAsia="en-AU"/>
              </w:rPr>
            </w:pPr>
            <w:r w:rsidRPr="009A025C">
              <w:rPr>
                <w:rFonts w:eastAsia="Times New Roman" w:cs="Times New Roman"/>
                <w:szCs w:val="22"/>
                <w:lang w:eastAsia="en-AU"/>
              </w:rPr>
              <w:t>USA</w:t>
            </w:r>
          </w:p>
        </w:tc>
        <w:tc>
          <w:tcPr>
            <w:tcW w:w="1214" w:type="dxa"/>
            <w:vAlign w:val="center"/>
            <w:hideMark/>
          </w:tcPr>
          <w:p w14:paraId="52001331" w14:textId="77777777" w:rsidR="00647C03" w:rsidRPr="009A025C" w:rsidRDefault="00647C03" w:rsidP="00647C03">
            <w:pPr>
              <w:spacing w:after="0" w:line="240" w:lineRule="auto"/>
              <w:rPr>
                <w:rFonts w:eastAsia="Times New Roman" w:cs="Times New Roman"/>
                <w:szCs w:val="22"/>
                <w:lang w:eastAsia="en-AU"/>
              </w:rPr>
            </w:pPr>
            <w:r w:rsidRPr="009A025C">
              <w:rPr>
                <w:rFonts w:eastAsia="Times New Roman" w:cs="Times New Roman"/>
                <w:szCs w:val="22"/>
                <w:lang w:eastAsia="en-AU"/>
              </w:rPr>
              <w:t>10 December 2019</w:t>
            </w:r>
          </w:p>
        </w:tc>
        <w:tc>
          <w:tcPr>
            <w:tcW w:w="0" w:type="auto"/>
            <w:vAlign w:val="center"/>
            <w:hideMark/>
          </w:tcPr>
          <w:p w14:paraId="67ED2946" w14:textId="77777777" w:rsidR="00647C03" w:rsidRPr="00617341" w:rsidRDefault="00647C03" w:rsidP="00647C03">
            <w:pPr>
              <w:spacing w:after="0" w:line="240" w:lineRule="auto"/>
              <w:rPr>
                <w:rFonts w:eastAsia="Times New Roman" w:cs="Times New Roman"/>
                <w:szCs w:val="22"/>
                <w:lang w:eastAsia="en-AU"/>
              </w:rPr>
            </w:pPr>
            <w:r w:rsidRPr="00617341">
              <w:rPr>
                <w:rFonts w:eastAsia="Times New Roman" w:cs="Times New Roman"/>
                <w:szCs w:val="22"/>
                <w:lang w:eastAsia="en-AU"/>
              </w:rPr>
              <w:t>Approved (6 May 2020)</w:t>
            </w:r>
          </w:p>
        </w:tc>
        <w:tc>
          <w:tcPr>
            <w:tcW w:w="3242" w:type="dxa"/>
            <w:vAlign w:val="center"/>
            <w:hideMark/>
          </w:tcPr>
          <w:p w14:paraId="1055408B" w14:textId="168CE190" w:rsidR="00647C03" w:rsidRPr="009A025C" w:rsidRDefault="003C3D80" w:rsidP="00647C03">
            <w:pPr>
              <w:spacing w:after="0" w:line="240" w:lineRule="auto"/>
              <w:rPr>
                <w:rFonts w:eastAsia="Times New Roman" w:cs="Times New Roman"/>
                <w:szCs w:val="22"/>
                <w:lang w:eastAsia="en-AU"/>
              </w:rPr>
            </w:pPr>
            <w:r>
              <w:rPr>
                <w:rFonts w:eastAsia="Times New Roman" w:cs="Times New Roman"/>
                <w:szCs w:val="22"/>
                <w:lang w:eastAsia="en-AU"/>
              </w:rPr>
              <w:t>Tabrecta</w:t>
            </w:r>
            <w:r w:rsidR="00647C03" w:rsidRPr="009A025C">
              <w:rPr>
                <w:rFonts w:eastAsia="Times New Roman" w:cs="Times New Roman"/>
                <w:szCs w:val="22"/>
                <w:lang w:eastAsia="en-AU"/>
              </w:rPr>
              <w:t xml:space="preserve"> is indicated for the treatment of adult patients with metastatic non-small cell lung cancer (NSCLC) whose tumors have a mutation that leads to mesenchymal-epithelial transition (MET) exon 14 skipping as detected by an FDA-approved test.</w:t>
            </w:r>
          </w:p>
        </w:tc>
        <w:tc>
          <w:tcPr>
            <w:tcW w:w="1701" w:type="dxa"/>
            <w:vAlign w:val="center"/>
            <w:hideMark/>
          </w:tcPr>
          <w:p w14:paraId="3199CD5E" w14:textId="77777777" w:rsidR="00647C03" w:rsidRPr="009A025C" w:rsidRDefault="00647C03" w:rsidP="00647C03">
            <w:pPr>
              <w:spacing w:after="0" w:line="240" w:lineRule="auto"/>
              <w:rPr>
                <w:rFonts w:eastAsia="Times New Roman" w:cs="Times New Roman"/>
                <w:szCs w:val="22"/>
                <w:lang w:eastAsia="en-AU"/>
              </w:rPr>
            </w:pPr>
            <w:r w:rsidRPr="009A025C">
              <w:rPr>
                <w:rFonts w:eastAsia="Times New Roman" w:cs="Times New Roman"/>
                <w:szCs w:val="22"/>
                <w:lang w:eastAsia="en-AU"/>
              </w:rPr>
              <w:t>Accelerated approval by the FDA was granted on 6 May 2020. Breakthrough designation as well as Orphan drug designation was granted in 2019. Regular approval granted in August 2022.</w:t>
            </w:r>
          </w:p>
        </w:tc>
      </w:tr>
      <w:tr w:rsidR="00647C03" w:rsidRPr="009A025C" w14:paraId="60CCE5AA" w14:textId="77777777" w:rsidTr="00A41E4F">
        <w:tc>
          <w:tcPr>
            <w:tcW w:w="1616" w:type="dxa"/>
            <w:vAlign w:val="center"/>
            <w:hideMark/>
          </w:tcPr>
          <w:p w14:paraId="63CA2C81" w14:textId="77777777" w:rsidR="00647C03" w:rsidRPr="009A025C" w:rsidRDefault="00647C03" w:rsidP="00647C03">
            <w:pPr>
              <w:spacing w:after="0" w:line="240" w:lineRule="auto"/>
              <w:rPr>
                <w:rFonts w:eastAsia="Times New Roman" w:cs="Times New Roman"/>
                <w:szCs w:val="22"/>
                <w:lang w:eastAsia="en-AU"/>
              </w:rPr>
            </w:pPr>
            <w:r w:rsidRPr="009A025C">
              <w:rPr>
                <w:rFonts w:eastAsia="Times New Roman" w:cs="Times New Roman"/>
                <w:szCs w:val="22"/>
                <w:lang w:eastAsia="en-AU"/>
              </w:rPr>
              <w:t>Canada</w:t>
            </w:r>
          </w:p>
        </w:tc>
        <w:tc>
          <w:tcPr>
            <w:tcW w:w="1214" w:type="dxa"/>
            <w:vAlign w:val="center"/>
            <w:hideMark/>
          </w:tcPr>
          <w:p w14:paraId="5E1A3A23" w14:textId="77777777" w:rsidR="00647C03" w:rsidRPr="009A025C" w:rsidRDefault="00647C03" w:rsidP="00647C03">
            <w:pPr>
              <w:spacing w:after="0" w:line="240" w:lineRule="auto"/>
              <w:rPr>
                <w:rFonts w:eastAsia="Times New Roman" w:cs="Times New Roman"/>
                <w:szCs w:val="22"/>
                <w:lang w:eastAsia="en-AU"/>
              </w:rPr>
            </w:pPr>
            <w:r w:rsidRPr="009A025C">
              <w:rPr>
                <w:rFonts w:eastAsia="Times New Roman" w:cs="Times New Roman"/>
                <w:szCs w:val="22"/>
                <w:lang w:eastAsia="en-AU"/>
              </w:rPr>
              <w:t>19 August 2021</w:t>
            </w:r>
          </w:p>
        </w:tc>
        <w:tc>
          <w:tcPr>
            <w:tcW w:w="0" w:type="auto"/>
            <w:vAlign w:val="center"/>
            <w:hideMark/>
          </w:tcPr>
          <w:p w14:paraId="2F35326C" w14:textId="77777777" w:rsidR="00647C03" w:rsidRPr="00617341" w:rsidRDefault="00647C03" w:rsidP="00647C03">
            <w:pPr>
              <w:spacing w:after="0" w:line="240" w:lineRule="auto"/>
              <w:rPr>
                <w:rFonts w:eastAsia="Times New Roman" w:cs="Times New Roman"/>
                <w:szCs w:val="22"/>
                <w:lang w:eastAsia="en-AU"/>
              </w:rPr>
            </w:pPr>
            <w:r w:rsidRPr="00617341">
              <w:rPr>
                <w:rFonts w:eastAsia="Times New Roman" w:cs="Times New Roman"/>
                <w:szCs w:val="22"/>
                <w:lang w:eastAsia="en-AU"/>
              </w:rPr>
              <w:t>Approved (26 May 2022)</w:t>
            </w:r>
          </w:p>
        </w:tc>
        <w:tc>
          <w:tcPr>
            <w:tcW w:w="3242" w:type="dxa"/>
            <w:vAlign w:val="center"/>
            <w:hideMark/>
          </w:tcPr>
          <w:p w14:paraId="26DC2DAE" w14:textId="22FC69E5" w:rsidR="00647C03" w:rsidRPr="009A025C" w:rsidRDefault="003C3D80" w:rsidP="00647C03">
            <w:pPr>
              <w:spacing w:after="0" w:line="240" w:lineRule="auto"/>
              <w:rPr>
                <w:rFonts w:eastAsia="Times New Roman" w:cs="Times New Roman"/>
                <w:szCs w:val="22"/>
                <w:lang w:eastAsia="en-AU"/>
              </w:rPr>
            </w:pPr>
            <w:r>
              <w:rPr>
                <w:rFonts w:eastAsia="Times New Roman" w:cs="Times New Roman"/>
                <w:szCs w:val="22"/>
                <w:lang w:eastAsia="en-AU"/>
              </w:rPr>
              <w:t>Tabrecta</w:t>
            </w:r>
            <w:r w:rsidR="00647C03" w:rsidRPr="009A025C">
              <w:rPr>
                <w:rFonts w:eastAsia="Times New Roman" w:cs="Times New Roman"/>
                <w:szCs w:val="22"/>
                <w:lang w:eastAsia="en-AU"/>
              </w:rPr>
              <w:t xml:space="preserve"> is indicated for the treatment of adult patients with locally advanced or metastatic non-small cell lung cancer (NSCLC) with a MET exon 14 skipping mutation.</w:t>
            </w:r>
          </w:p>
        </w:tc>
        <w:tc>
          <w:tcPr>
            <w:tcW w:w="1701" w:type="dxa"/>
            <w:vAlign w:val="center"/>
            <w:hideMark/>
          </w:tcPr>
          <w:p w14:paraId="67D13AE2" w14:textId="42A3A039" w:rsidR="00647C03" w:rsidRPr="009A025C" w:rsidRDefault="00647C03" w:rsidP="00647C03">
            <w:pPr>
              <w:spacing w:after="0" w:line="240" w:lineRule="auto"/>
              <w:rPr>
                <w:rFonts w:eastAsia="Times New Roman" w:cs="Times New Roman"/>
                <w:szCs w:val="22"/>
                <w:lang w:eastAsia="en-AU"/>
              </w:rPr>
            </w:pPr>
            <w:r w:rsidRPr="009A025C">
              <w:rPr>
                <w:rFonts w:eastAsia="Times New Roman" w:cs="Times New Roman"/>
                <w:szCs w:val="22"/>
                <w:lang w:eastAsia="en-AU"/>
              </w:rPr>
              <w:t xml:space="preserve">Granted </w:t>
            </w:r>
            <w:r w:rsidR="009A025C" w:rsidRPr="009A025C">
              <w:rPr>
                <w:rFonts w:eastAsia="Times New Roman" w:cs="Times New Roman"/>
                <w:szCs w:val="22"/>
                <w:lang w:eastAsia="en-AU"/>
              </w:rPr>
              <w:t xml:space="preserve">Notice of Compliance with conditions </w:t>
            </w:r>
            <w:r w:rsidRPr="009A025C">
              <w:rPr>
                <w:rFonts w:eastAsia="Times New Roman" w:cs="Times New Roman"/>
                <w:szCs w:val="22"/>
                <w:lang w:eastAsia="en-AU"/>
              </w:rPr>
              <w:t>status on August 9, 2021.</w:t>
            </w:r>
          </w:p>
        </w:tc>
      </w:tr>
      <w:tr w:rsidR="005E6ADE" w:rsidRPr="009A025C" w14:paraId="1327D114" w14:textId="77777777" w:rsidTr="00A41E4F">
        <w:tc>
          <w:tcPr>
            <w:tcW w:w="1616" w:type="dxa"/>
            <w:vAlign w:val="center"/>
          </w:tcPr>
          <w:p w14:paraId="489C8CFD" w14:textId="29BB7E64" w:rsidR="005E6ADE" w:rsidRPr="009A025C" w:rsidRDefault="005E6ADE" w:rsidP="005E6ADE">
            <w:pPr>
              <w:spacing w:after="0" w:line="240" w:lineRule="auto"/>
              <w:rPr>
                <w:rFonts w:eastAsia="Times New Roman" w:cs="Times New Roman"/>
                <w:szCs w:val="22"/>
                <w:lang w:eastAsia="en-AU"/>
              </w:rPr>
            </w:pPr>
            <w:r w:rsidRPr="009A025C">
              <w:rPr>
                <w:rFonts w:eastAsia="Times New Roman" w:cs="Times New Roman"/>
                <w:szCs w:val="22"/>
                <w:lang w:eastAsia="en-AU"/>
              </w:rPr>
              <w:t>Singapore</w:t>
            </w:r>
          </w:p>
        </w:tc>
        <w:tc>
          <w:tcPr>
            <w:tcW w:w="1214" w:type="dxa"/>
            <w:vAlign w:val="center"/>
          </w:tcPr>
          <w:p w14:paraId="38D991AA" w14:textId="18EC9547" w:rsidR="005E6ADE" w:rsidRPr="009A025C" w:rsidRDefault="005E6ADE" w:rsidP="005E6ADE">
            <w:pPr>
              <w:spacing w:after="0" w:line="240" w:lineRule="auto"/>
              <w:rPr>
                <w:rFonts w:eastAsia="Times New Roman" w:cs="Times New Roman"/>
                <w:szCs w:val="22"/>
                <w:lang w:eastAsia="en-AU"/>
              </w:rPr>
            </w:pPr>
            <w:r w:rsidRPr="009A025C">
              <w:rPr>
                <w:rFonts w:eastAsia="Times New Roman" w:cs="Times New Roman"/>
                <w:szCs w:val="22"/>
                <w:lang w:eastAsia="en-AU"/>
              </w:rPr>
              <w:t>30 July 2020</w:t>
            </w:r>
          </w:p>
        </w:tc>
        <w:tc>
          <w:tcPr>
            <w:tcW w:w="0" w:type="auto"/>
            <w:vAlign w:val="center"/>
          </w:tcPr>
          <w:p w14:paraId="0DB5F2BD" w14:textId="47277B31" w:rsidR="005E6ADE" w:rsidRPr="00617341" w:rsidRDefault="005E6ADE" w:rsidP="005E6ADE">
            <w:pPr>
              <w:spacing w:after="0" w:line="240" w:lineRule="auto"/>
              <w:rPr>
                <w:rFonts w:eastAsia="Times New Roman" w:cs="Times New Roman"/>
                <w:szCs w:val="22"/>
                <w:lang w:eastAsia="en-AU"/>
              </w:rPr>
            </w:pPr>
            <w:r w:rsidRPr="00617341">
              <w:rPr>
                <w:rFonts w:eastAsia="Times New Roman" w:cs="Times New Roman"/>
                <w:szCs w:val="22"/>
                <w:lang w:eastAsia="en-AU"/>
              </w:rPr>
              <w:t>Approved (22 October 2021)</w:t>
            </w:r>
          </w:p>
        </w:tc>
        <w:tc>
          <w:tcPr>
            <w:tcW w:w="3242" w:type="dxa"/>
            <w:vAlign w:val="center"/>
          </w:tcPr>
          <w:p w14:paraId="182DF72F" w14:textId="0910FCE8" w:rsidR="005E6ADE" w:rsidRPr="009A025C" w:rsidRDefault="003C3D80" w:rsidP="005E6ADE">
            <w:pPr>
              <w:spacing w:after="0" w:line="240" w:lineRule="auto"/>
              <w:rPr>
                <w:rFonts w:eastAsia="Times New Roman" w:cs="Times New Roman"/>
                <w:szCs w:val="22"/>
                <w:lang w:eastAsia="en-AU"/>
              </w:rPr>
            </w:pPr>
            <w:r>
              <w:rPr>
                <w:rFonts w:eastAsia="Times New Roman" w:cs="Times New Roman"/>
                <w:szCs w:val="22"/>
                <w:lang w:eastAsia="en-AU"/>
              </w:rPr>
              <w:t>Tabrecta</w:t>
            </w:r>
            <w:r w:rsidR="005E6ADE" w:rsidRPr="009A025C">
              <w:rPr>
                <w:rFonts w:eastAsia="Times New Roman" w:cs="Times New Roman"/>
                <w:szCs w:val="22"/>
                <w:lang w:eastAsia="en-AU"/>
              </w:rPr>
              <w:t xml:space="preserve"> is indicated for the treatment of adult patients with metastatic non-small cell lung cancer (NSCLC) with a MET exon 14 skipping mutation.</w:t>
            </w:r>
          </w:p>
        </w:tc>
        <w:tc>
          <w:tcPr>
            <w:tcW w:w="1701" w:type="dxa"/>
            <w:vAlign w:val="center"/>
          </w:tcPr>
          <w:p w14:paraId="3670743B" w14:textId="38D20DC9" w:rsidR="005E6ADE" w:rsidRPr="009A025C" w:rsidRDefault="005E6ADE" w:rsidP="005E6ADE">
            <w:pPr>
              <w:spacing w:after="0" w:line="240" w:lineRule="auto"/>
              <w:rPr>
                <w:rFonts w:eastAsia="Times New Roman" w:cs="Times New Roman"/>
                <w:szCs w:val="22"/>
                <w:lang w:eastAsia="en-AU"/>
              </w:rPr>
            </w:pPr>
            <w:r w:rsidRPr="009A025C">
              <w:rPr>
                <w:rFonts w:eastAsia="Times New Roman" w:cs="Times New Roman"/>
                <w:szCs w:val="22"/>
                <w:lang w:eastAsia="en-AU"/>
              </w:rPr>
              <w:t>Type C Project Orbis.</w:t>
            </w:r>
          </w:p>
        </w:tc>
      </w:tr>
      <w:tr w:rsidR="005E6ADE" w:rsidRPr="009A025C" w14:paraId="324D9480" w14:textId="77777777" w:rsidTr="00A41E4F">
        <w:tc>
          <w:tcPr>
            <w:tcW w:w="1616" w:type="dxa"/>
            <w:vAlign w:val="center"/>
          </w:tcPr>
          <w:p w14:paraId="142003A3" w14:textId="3A5BBE18" w:rsidR="005E6ADE" w:rsidRPr="009A025C" w:rsidRDefault="005E6ADE" w:rsidP="005E6ADE">
            <w:pPr>
              <w:spacing w:after="0" w:line="240" w:lineRule="auto"/>
              <w:rPr>
                <w:rFonts w:eastAsia="Times New Roman" w:cs="Times New Roman"/>
                <w:szCs w:val="22"/>
                <w:lang w:eastAsia="en-AU"/>
              </w:rPr>
            </w:pPr>
            <w:r w:rsidRPr="009A025C">
              <w:rPr>
                <w:rFonts w:eastAsia="Times New Roman" w:cs="Times New Roman"/>
                <w:szCs w:val="22"/>
                <w:lang w:eastAsia="en-AU"/>
              </w:rPr>
              <w:t>Switzerland</w:t>
            </w:r>
          </w:p>
        </w:tc>
        <w:tc>
          <w:tcPr>
            <w:tcW w:w="1214" w:type="dxa"/>
            <w:vAlign w:val="center"/>
          </w:tcPr>
          <w:p w14:paraId="2B3849D3" w14:textId="6C986E71" w:rsidR="005E6ADE" w:rsidRPr="009A025C" w:rsidRDefault="005E6ADE" w:rsidP="005E6ADE">
            <w:pPr>
              <w:spacing w:after="0" w:line="240" w:lineRule="auto"/>
              <w:rPr>
                <w:rFonts w:eastAsia="Times New Roman" w:cs="Times New Roman"/>
                <w:szCs w:val="22"/>
                <w:lang w:eastAsia="en-AU"/>
              </w:rPr>
            </w:pPr>
            <w:r w:rsidRPr="009A025C">
              <w:rPr>
                <w:rFonts w:eastAsia="Times New Roman" w:cs="Times New Roman"/>
                <w:szCs w:val="22"/>
                <w:lang w:eastAsia="en-AU"/>
              </w:rPr>
              <w:t>16 July 2020</w:t>
            </w:r>
          </w:p>
        </w:tc>
        <w:tc>
          <w:tcPr>
            <w:tcW w:w="0" w:type="auto"/>
            <w:vAlign w:val="center"/>
          </w:tcPr>
          <w:p w14:paraId="2974F3AD" w14:textId="2ED1C915" w:rsidR="005E6ADE" w:rsidRPr="00617341" w:rsidRDefault="005E6ADE" w:rsidP="005E6ADE">
            <w:pPr>
              <w:spacing w:after="0" w:line="240" w:lineRule="auto"/>
              <w:rPr>
                <w:rFonts w:eastAsia="Times New Roman" w:cs="Times New Roman"/>
                <w:szCs w:val="22"/>
                <w:lang w:eastAsia="en-AU"/>
              </w:rPr>
            </w:pPr>
            <w:r w:rsidRPr="00617341">
              <w:rPr>
                <w:rFonts w:eastAsia="Times New Roman" w:cs="Times New Roman"/>
                <w:szCs w:val="22"/>
                <w:lang w:eastAsia="en-AU"/>
              </w:rPr>
              <w:t>Approved (26 April 2021)</w:t>
            </w:r>
          </w:p>
        </w:tc>
        <w:tc>
          <w:tcPr>
            <w:tcW w:w="3242" w:type="dxa"/>
            <w:vAlign w:val="center"/>
          </w:tcPr>
          <w:p w14:paraId="06B50D64" w14:textId="3470EFC5" w:rsidR="005E6ADE" w:rsidRPr="009A025C" w:rsidRDefault="003C3D80" w:rsidP="005E6ADE">
            <w:pPr>
              <w:spacing w:after="0" w:line="240" w:lineRule="auto"/>
              <w:rPr>
                <w:rFonts w:eastAsia="Times New Roman" w:cs="Times New Roman"/>
                <w:szCs w:val="22"/>
                <w:lang w:eastAsia="en-AU"/>
              </w:rPr>
            </w:pPr>
            <w:r>
              <w:rPr>
                <w:rFonts w:eastAsia="Times New Roman" w:cs="Times New Roman"/>
                <w:szCs w:val="22"/>
                <w:lang w:eastAsia="en-AU"/>
              </w:rPr>
              <w:t>Tabrecta</w:t>
            </w:r>
            <w:r w:rsidR="005E6ADE" w:rsidRPr="009A025C">
              <w:rPr>
                <w:rFonts w:eastAsia="Times New Roman" w:cs="Times New Roman"/>
                <w:szCs w:val="22"/>
                <w:lang w:eastAsia="en-AU"/>
              </w:rPr>
              <w:t xml:space="preserve"> is indicated for the treatment of adult patients with metastatic non-small cell lung cancer (NSCLC) with a MET exon 14 skipping mutation.</w:t>
            </w:r>
          </w:p>
        </w:tc>
        <w:tc>
          <w:tcPr>
            <w:tcW w:w="1701" w:type="dxa"/>
            <w:vAlign w:val="center"/>
          </w:tcPr>
          <w:p w14:paraId="6ACF6B20" w14:textId="67F8E2E3" w:rsidR="005E6ADE" w:rsidRPr="009A025C" w:rsidRDefault="005E6ADE" w:rsidP="005E6ADE">
            <w:pPr>
              <w:spacing w:after="0" w:line="240" w:lineRule="auto"/>
              <w:rPr>
                <w:rFonts w:eastAsia="Times New Roman" w:cs="Times New Roman"/>
                <w:szCs w:val="22"/>
                <w:lang w:eastAsia="en-AU"/>
              </w:rPr>
            </w:pPr>
            <w:r w:rsidRPr="009A025C">
              <w:rPr>
                <w:rFonts w:eastAsia="Times New Roman" w:cs="Times New Roman"/>
                <w:szCs w:val="22"/>
                <w:lang w:eastAsia="en-AU"/>
              </w:rPr>
              <w:t>Evaluated through modified Type C project Orbis.</w:t>
            </w:r>
          </w:p>
        </w:tc>
      </w:tr>
      <w:tr w:rsidR="005E6ADE" w:rsidRPr="009A025C" w14:paraId="2032552B" w14:textId="77777777" w:rsidTr="00A41E4F">
        <w:tc>
          <w:tcPr>
            <w:tcW w:w="1616" w:type="dxa"/>
            <w:vAlign w:val="center"/>
          </w:tcPr>
          <w:p w14:paraId="18B0069C" w14:textId="49CC7C19" w:rsidR="005E6ADE" w:rsidRPr="009A025C" w:rsidRDefault="005E6ADE" w:rsidP="005E6ADE">
            <w:pPr>
              <w:spacing w:after="0" w:line="240" w:lineRule="auto"/>
              <w:rPr>
                <w:rFonts w:eastAsia="Times New Roman" w:cs="Times New Roman"/>
                <w:szCs w:val="22"/>
                <w:lang w:eastAsia="en-AU"/>
              </w:rPr>
            </w:pPr>
            <w:r w:rsidRPr="009A025C">
              <w:rPr>
                <w:rFonts w:eastAsia="Times New Roman" w:cs="Times New Roman"/>
                <w:szCs w:val="22"/>
                <w:lang w:eastAsia="en-AU"/>
              </w:rPr>
              <w:lastRenderedPageBreak/>
              <w:t>United Kingdom</w:t>
            </w:r>
          </w:p>
        </w:tc>
        <w:tc>
          <w:tcPr>
            <w:tcW w:w="1214" w:type="dxa"/>
            <w:vAlign w:val="center"/>
          </w:tcPr>
          <w:p w14:paraId="33FA4C30" w14:textId="44C19ABB" w:rsidR="005E6ADE" w:rsidRPr="009A025C" w:rsidRDefault="005E6ADE" w:rsidP="005E6ADE">
            <w:pPr>
              <w:spacing w:after="0" w:line="240" w:lineRule="auto"/>
              <w:rPr>
                <w:rFonts w:eastAsia="Times New Roman" w:cs="Times New Roman"/>
                <w:szCs w:val="22"/>
                <w:lang w:eastAsia="en-AU"/>
              </w:rPr>
            </w:pPr>
            <w:r w:rsidRPr="009A025C">
              <w:rPr>
                <w:rFonts w:eastAsia="Times New Roman" w:cs="Times New Roman"/>
                <w:szCs w:val="22"/>
                <w:lang w:eastAsia="en-AU"/>
              </w:rPr>
              <w:t>26 June 2022</w:t>
            </w:r>
          </w:p>
        </w:tc>
        <w:tc>
          <w:tcPr>
            <w:tcW w:w="0" w:type="auto"/>
            <w:vAlign w:val="center"/>
          </w:tcPr>
          <w:p w14:paraId="2449AC26" w14:textId="5259D4FE" w:rsidR="005E6ADE" w:rsidRPr="00617341" w:rsidRDefault="005E6ADE" w:rsidP="005E6ADE">
            <w:pPr>
              <w:spacing w:after="0" w:line="240" w:lineRule="auto"/>
              <w:rPr>
                <w:rFonts w:eastAsia="Times New Roman" w:cs="Times New Roman"/>
                <w:szCs w:val="22"/>
                <w:lang w:eastAsia="en-AU"/>
              </w:rPr>
            </w:pPr>
            <w:r w:rsidRPr="00617341">
              <w:rPr>
                <w:rFonts w:eastAsia="Times New Roman" w:cs="Times New Roman"/>
                <w:szCs w:val="22"/>
                <w:lang w:eastAsia="en-AU"/>
              </w:rPr>
              <w:t>Approved (27 March 2023)</w:t>
            </w:r>
          </w:p>
        </w:tc>
        <w:tc>
          <w:tcPr>
            <w:tcW w:w="3242" w:type="dxa"/>
            <w:vAlign w:val="center"/>
          </w:tcPr>
          <w:p w14:paraId="395DF80F" w14:textId="1F132FFA" w:rsidR="005E6ADE" w:rsidRPr="009A025C" w:rsidRDefault="003C3D80" w:rsidP="005E6ADE">
            <w:pPr>
              <w:spacing w:after="0" w:line="240" w:lineRule="auto"/>
              <w:rPr>
                <w:rFonts w:eastAsia="Times New Roman" w:cs="Times New Roman"/>
                <w:szCs w:val="22"/>
                <w:lang w:eastAsia="en-AU"/>
              </w:rPr>
            </w:pPr>
            <w:r>
              <w:rPr>
                <w:rFonts w:eastAsia="Times New Roman" w:cs="Times New Roman"/>
                <w:szCs w:val="22"/>
                <w:lang w:eastAsia="en-AU"/>
              </w:rPr>
              <w:t>Tabrecta</w:t>
            </w:r>
            <w:r w:rsidR="005E6ADE" w:rsidRPr="009A025C">
              <w:rPr>
                <w:rFonts w:eastAsia="Times New Roman" w:cs="Times New Roman"/>
                <w:szCs w:val="22"/>
                <w:lang w:eastAsia="en-AU"/>
              </w:rPr>
              <w:t>, as monotherapy, is indicated for the treatment of adult patients with unresectable locally advanced or metastatic non-small cell lung cancer (NSCLC) with a MET exon 14 skipping mutation.</w:t>
            </w:r>
          </w:p>
        </w:tc>
        <w:tc>
          <w:tcPr>
            <w:tcW w:w="1701" w:type="dxa"/>
            <w:vAlign w:val="center"/>
          </w:tcPr>
          <w:p w14:paraId="65023183" w14:textId="34C738A2" w:rsidR="005E6ADE" w:rsidRPr="009A025C" w:rsidRDefault="005E6ADE" w:rsidP="005E6ADE">
            <w:pPr>
              <w:spacing w:after="0" w:line="240" w:lineRule="auto"/>
              <w:rPr>
                <w:rFonts w:eastAsia="Times New Roman" w:cs="Times New Roman"/>
                <w:szCs w:val="22"/>
                <w:lang w:eastAsia="en-AU"/>
              </w:rPr>
            </w:pPr>
            <w:r w:rsidRPr="009A025C">
              <w:rPr>
                <w:rFonts w:eastAsia="Times New Roman" w:cs="Times New Roman"/>
                <w:szCs w:val="22"/>
                <w:lang w:eastAsia="en-AU"/>
              </w:rPr>
              <w:t>Evaluated under Project Orbis.</w:t>
            </w:r>
          </w:p>
        </w:tc>
      </w:tr>
      <w:tr w:rsidR="005E6ADE" w:rsidRPr="009A025C" w14:paraId="76FF5775" w14:textId="77777777" w:rsidTr="00A41E4F">
        <w:tc>
          <w:tcPr>
            <w:tcW w:w="1616" w:type="dxa"/>
            <w:vAlign w:val="center"/>
          </w:tcPr>
          <w:p w14:paraId="3CC3D208" w14:textId="2B3633E4" w:rsidR="005E6ADE" w:rsidRPr="009A025C" w:rsidRDefault="005E6ADE" w:rsidP="005E6ADE">
            <w:pPr>
              <w:spacing w:after="0" w:line="240" w:lineRule="auto"/>
              <w:rPr>
                <w:rFonts w:eastAsia="Times New Roman" w:cs="Times New Roman"/>
                <w:szCs w:val="22"/>
                <w:lang w:eastAsia="en-AU"/>
              </w:rPr>
            </w:pPr>
            <w:r w:rsidRPr="009A025C">
              <w:rPr>
                <w:rFonts w:eastAsia="Times New Roman" w:cs="Times New Roman"/>
                <w:szCs w:val="22"/>
                <w:lang w:eastAsia="en-AU"/>
              </w:rPr>
              <w:t>Brazil</w:t>
            </w:r>
          </w:p>
        </w:tc>
        <w:tc>
          <w:tcPr>
            <w:tcW w:w="1214" w:type="dxa"/>
            <w:vAlign w:val="center"/>
          </w:tcPr>
          <w:p w14:paraId="3F5D5519" w14:textId="5971867F" w:rsidR="005E6ADE" w:rsidRPr="009A025C" w:rsidRDefault="005E6ADE" w:rsidP="005E6ADE">
            <w:pPr>
              <w:spacing w:after="0" w:line="240" w:lineRule="auto"/>
              <w:rPr>
                <w:rFonts w:eastAsia="Times New Roman" w:cs="Times New Roman"/>
                <w:szCs w:val="22"/>
                <w:lang w:eastAsia="en-AU"/>
              </w:rPr>
            </w:pPr>
            <w:r w:rsidRPr="009A025C">
              <w:rPr>
                <w:rFonts w:eastAsia="Times New Roman" w:cs="Times New Roman"/>
                <w:szCs w:val="22"/>
                <w:lang w:eastAsia="en-AU"/>
              </w:rPr>
              <w:t>19 August 2020</w:t>
            </w:r>
          </w:p>
        </w:tc>
        <w:tc>
          <w:tcPr>
            <w:tcW w:w="0" w:type="auto"/>
            <w:vAlign w:val="center"/>
          </w:tcPr>
          <w:p w14:paraId="7A9671E7" w14:textId="734199B7" w:rsidR="005E6ADE" w:rsidRPr="00617341" w:rsidRDefault="005E6ADE" w:rsidP="005E6ADE">
            <w:pPr>
              <w:spacing w:after="0" w:line="240" w:lineRule="auto"/>
              <w:rPr>
                <w:rFonts w:eastAsia="Times New Roman" w:cs="Times New Roman"/>
                <w:szCs w:val="22"/>
                <w:lang w:eastAsia="en-AU"/>
              </w:rPr>
            </w:pPr>
            <w:r w:rsidRPr="00617341">
              <w:rPr>
                <w:rFonts w:eastAsia="Times New Roman" w:cs="Times New Roman"/>
                <w:szCs w:val="22"/>
                <w:lang w:eastAsia="en-AU"/>
              </w:rPr>
              <w:t>Approved (07 June 2021)</w:t>
            </w:r>
          </w:p>
        </w:tc>
        <w:tc>
          <w:tcPr>
            <w:tcW w:w="3242" w:type="dxa"/>
            <w:vAlign w:val="center"/>
          </w:tcPr>
          <w:p w14:paraId="789C923E" w14:textId="114A4786" w:rsidR="005E6ADE" w:rsidRPr="009A025C" w:rsidRDefault="003C3D80" w:rsidP="005E6ADE">
            <w:pPr>
              <w:spacing w:after="0" w:line="240" w:lineRule="auto"/>
              <w:rPr>
                <w:rFonts w:eastAsia="Times New Roman" w:cs="Times New Roman"/>
                <w:szCs w:val="22"/>
                <w:lang w:eastAsia="en-AU"/>
              </w:rPr>
            </w:pPr>
            <w:r>
              <w:rPr>
                <w:rFonts w:eastAsia="Times New Roman" w:cs="Times New Roman"/>
                <w:szCs w:val="22"/>
                <w:lang w:eastAsia="en-AU"/>
              </w:rPr>
              <w:t>Tabrecta</w:t>
            </w:r>
            <w:r w:rsidR="005E6ADE" w:rsidRPr="009A025C">
              <w:rPr>
                <w:rFonts w:eastAsia="Times New Roman" w:cs="Times New Roman"/>
                <w:szCs w:val="22"/>
                <w:lang w:eastAsia="en-AU"/>
              </w:rPr>
              <w:t xml:space="preserve"> is indicated for the treatment of patients with locally advanced or metastatic non-small cell lung cancer (NSCLC) with a MET exon 14 skipping mutation.</w:t>
            </w:r>
          </w:p>
        </w:tc>
        <w:tc>
          <w:tcPr>
            <w:tcW w:w="1701" w:type="dxa"/>
            <w:vAlign w:val="center"/>
          </w:tcPr>
          <w:p w14:paraId="29A340F2" w14:textId="08E1EFF4" w:rsidR="005E6ADE" w:rsidRPr="009A025C" w:rsidRDefault="005E6ADE" w:rsidP="005E6ADE">
            <w:pPr>
              <w:spacing w:after="0" w:line="240" w:lineRule="auto"/>
              <w:rPr>
                <w:rFonts w:eastAsia="Times New Roman" w:cs="Times New Roman"/>
                <w:szCs w:val="22"/>
                <w:lang w:eastAsia="en-AU"/>
              </w:rPr>
            </w:pPr>
            <w:r w:rsidRPr="009A025C">
              <w:rPr>
                <w:rFonts w:eastAsia="Times New Roman" w:cs="Times New Roman"/>
                <w:szCs w:val="22"/>
                <w:lang w:eastAsia="en-AU"/>
              </w:rPr>
              <w:t>Evaluated through modified Type C project Orbis.</w:t>
            </w:r>
          </w:p>
        </w:tc>
      </w:tr>
    </w:tbl>
    <w:p w14:paraId="6D92589C" w14:textId="09786CEF" w:rsidR="00324B33" w:rsidRDefault="00324B33" w:rsidP="00324B33">
      <w:pPr>
        <w:pStyle w:val="Heading2"/>
      </w:pPr>
      <w:bookmarkStart w:id="28" w:name="_Toc504480011"/>
      <w:bookmarkStart w:id="29" w:name="_Toc103679293"/>
      <w:bookmarkStart w:id="30" w:name="_Toc234928948"/>
      <w:r>
        <w:t>Registration timeline</w:t>
      </w:r>
      <w:bookmarkEnd w:id="28"/>
      <w:bookmarkEnd w:id="29"/>
      <w:bookmarkEnd w:id="30"/>
    </w:p>
    <w:p w14:paraId="225E3D87" w14:textId="2DD6A040" w:rsidR="00324B33" w:rsidRPr="00BD5DBD" w:rsidRDefault="00236F91" w:rsidP="00324B33">
      <w:pPr>
        <w:rPr>
          <w:szCs w:val="22"/>
        </w:rPr>
      </w:pPr>
      <w:r>
        <w:rPr>
          <w:szCs w:val="22"/>
        </w:rPr>
        <w:t>Table 2</w:t>
      </w:r>
      <w:r w:rsidR="00324B33" w:rsidRPr="00BD5DBD">
        <w:rPr>
          <w:szCs w:val="22"/>
        </w:rPr>
        <w:t xml:space="preserve"> captures the key steps and dates for this submission.</w:t>
      </w:r>
    </w:p>
    <w:p w14:paraId="6BB76942" w14:textId="49C62989" w:rsidR="00477C4E" w:rsidRPr="00BD5DBD" w:rsidRDefault="00477C4E" w:rsidP="00324B33">
      <w:pPr>
        <w:rPr>
          <w:szCs w:val="22"/>
        </w:rPr>
      </w:pPr>
      <w:r w:rsidRPr="00BD5DBD">
        <w:rPr>
          <w:szCs w:val="22"/>
        </w:rPr>
        <w:t xml:space="preserve">This submission was evaluated under the </w:t>
      </w:r>
      <w:hyperlink r:id="rId30" w:history="1">
        <w:r w:rsidRPr="00BD5DBD">
          <w:rPr>
            <w:rStyle w:val="Hyperlink"/>
            <w:szCs w:val="22"/>
          </w:rPr>
          <w:t>standard prescription medicines registration process</w:t>
        </w:r>
      </w:hyperlink>
      <w:r w:rsidRPr="00BD5DBD">
        <w:rPr>
          <w:szCs w:val="22"/>
        </w:rPr>
        <w:t>.</w:t>
      </w:r>
    </w:p>
    <w:p w14:paraId="44628C5F" w14:textId="36E0F1C6" w:rsidR="00324B33" w:rsidRDefault="00324B33" w:rsidP="00057194">
      <w:pPr>
        <w:pStyle w:val="TableTitle"/>
      </w:pPr>
      <w:r w:rsidRPr="002C1232">
        <w:t xml:space="preserve">Table </w:t>
      </w:r>
      <w:fldSimple w:instr=" SEQ Table \* ARABIC ">
        <w:r w:rsidR="003E461F">
          <w:rPr>
            <w:noProof/>
          </w:rPr>
          <w:t>2</w:t>
        </w:r>
      </w:fldSimple>
      <w:r w:rsidR="003302FF">
        <w:t>.</w:t>
      </w:r>
      <w:r w:rsidRPr="002C1232">
        <w:t xml:space="preserve"> </w:t>
      </w:r>
      <w:r w:rsidR="00A11BCC">
        <w:t>Registration t</w:t>
      </w:r>
      <w:r w:rsidRPr="002C1232">
        <w:t xml:space="preserve">imeline for </w:t>
      </w:r>
      <w:r w:rsidR="003C3D80">
        <w:t>Tabrecta</w:t>
      </w:r>
      <w:r w:rsidR="00004B6E" w:rsidRPr="00004B6E">
        <w:t xml:space="preserve"> </w:t>
      </w:r>
      <w:r w:rsidR="00004B6E">
        <w:t>(c</w:t>
      </w:r>
      <w:r w:rsidR="00004B6E" w:rsidRPr="00004B6E">
        <w:t>apmatinib</w:t>
      </w:r>
      <w:r w:rsidR="00004B6E">
        <w:t>)</w:t>
      </w:r>
      <w:r w:rsidR="00A11BCC">
        <w:t xml:space="preserve">, </w:t>
      </w:r>
      <w:r w:rsidR="006E6059">
        <w:t>s</w:t>
      </w:r>
      <w:r w:rsidRPr="002C1232">
        <w:t xml:space="preserve">ubmission </w:t>
      </w:r>
      <w:r w:rsidR="00A11BCC" w:rsidRPr="00A11BCC">
        <w:t>PM-2025-01762-1-4</w:t>
      </w:r>
    </w:p>
    <w:tbl>
      <w:tblPr>
        <w:tblStyle w:val="TableTGAblue2023"/>
        <w:tblW w:w="8642" w:type="dxa"/>
        <w:tblLook w:val="04A0" w:firstRow="1" w:lastRow="0" w:firstColumn="1" w:lastColumn="0" w:noHBand="0" w:noVBand="1"/>
        <w:tblCaption w:val="Table 2. Registration timeline for Tabrecta (capmatinib), submission PM-2025-01762-1-4"/>
      </w:tblPr>
      <w:tblGrid>
        <w:gridCol w:w="6516"/>
        <w:gridCol w:w="2126"/>
      </w:tblGrid>
      <w:tr w:rsidR="00324B33" w:rsidRPr="00D01DDB" w14:paraId="6C59BE9C" w14:textId="77777777" w:rsidTr="00B97E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16D80E78" w14:textId="3EC0CCAF" w:rsidR="00324B33" w:rsidRPr="00D01DDB" w:rsidRDefault="00324B33" w:rsidP="00324B33">
            <w:pPr>
              <w:rPr>
                <w:szCs w:val="22"/>
              </w:rPr>
            </w:pPr>
            <w:r w:rsidRPr="00D01DDB">
              <w:rPr>
                <w:szCs w:val="22"/>
              </w:rPr>
              <w:t>Description</w:t>
            </w:r>
          </w:p>
        </w:tc>
        <w:tc>
          <w:tcPr>
            <w:tcW w:w="2126"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B97E79">
        <w:tc>
          <w:tcPr>
            <w:cnfStyle w:val="001000000000" w:firstRow="0" w:lastRow="0" w:firstColumn="1" w:lastColumn="0" w:oddVBand="0" w:evenVBand="0" w:oddHBand="0" w:evenHBand="0" w:firstRowFirstColumn="0" w:firstRowLastColumn="0" w:lastRowFirstColumn="0" w:lastRowLastColumn="0"/>
            <w:tcW w:w="6516" w:type="dxa"/>
          </w:tcPr>
          <w:p w14:paraId="759D2A12" w14:textId="4D46D246" w:rsidR="00324B33" w:rsidRPr="00E679D1" w:rsidRDefault="00324B33" w:rsidP="00E679D1">
            <w:r w:rsidRPr="00E679D1">
              <w:t>Submission dossier accepted evaluation commenced</w:t>
            </w:r>
          </w:p>
        </w:tc>
        <w:tc>
          <w:tcPr>
            <w:tcW w:w="2126" w:type="dxa"/>
          </w:tcPr>
          <w:p w14:paraId="2963D9D8" w14:textId="6CD3BFAE" w:rsidR="00324B33" w:rsidRPr="00D01DDB" w:rsidRDefault="00AB158B"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30 June 2025</w:t>
            </w:r>
          </w:p>
        </w:tc>
      </w:tr>
      <w:tr w:rsidR="00803926" w:rsidRPr="00D01DDB" w14:paraId="16D13F79" w14:textId="77777777" w:rsidTr="00B97E79">
        <w:tc>
          <w:tcPr>
            <w:cnfStyle w:val="001000000000" w:firstRow="0" w:lastRow="0" w:firstColumn="1" w:lastColumn="0" w:oddVBand="0" w:evenVBand="0" w:oddHBand="0" w:evenHBand="0" w:firstRowFirstColumn="0" w:firstRowLastColumn="0" w:lastRowFirstColumn="0" w:lastRowLastColumn="0"/>
            <w:tcW w:w="6516" w:type="dxa"/>
          </w:tcPr>
          <w:p w14:paraId="6858B45A" w14:textId="0BB67609" w:rsidR="00803926" w:rsidRPr="00E679D1" w:rsidDel="00C62B1C" w:rsidRDefault="00803926" w:rsidP="00E679D1">
            <w:r>
              <w:t>Evaluation completed</w:t>
            </w:r>
          </w:p>
        </w:tc>
        <w:tc>
          <w:tcPr>
            <w:tcW w:w="2126" w:type="dxa"/>
          </w:tcPr>
          <w:p w14:paraId="2E0BD403" w14:textId="49D230D2" w:rsidR="00803926" w:rsidRPr="00D01DDB" w:rsidRDefault="000555D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11 March 2026</w:t>
            </w:r>
          </w:p>
        </w:tc>
      </w:tr>
      <w:tr w:rsidR="00324B33" w:rsidRPr="00D01DDB" w14:paraId="6E5D32FE" w14:textId="77777777" w:rsidTr="00B97E79">
        <w:tc>
          <w:tcPr>
            <w:cnfStyle w:val="001000000000" w:firstRow="0" w:lastRow="0" w:firstColumn="1" w:lastColumn="0" w:oddVBand="0" w:evenVBand="0" w:oddHBand="0" w:evenHBand="0" w:firstRowFirstColumn="0" w:firstRowLastColumn="0" w:lastRowFirstColumn="0" w:lastRowLastColumn="0"/>
            <w:tcW w:w="6516" w:type="dxa"/>
          </w:tcPr>
          <w:p w14:paraId="4E95C44C" w14:textId="7A91C710" w:rsidR="00324B33" w:rsidRPr="00E679D1" w:rsidRDefault="00324B33" w:rsidP="00E679D1">
            <w:r w:rsidRPr="00E679D1">
              <w:t>Registration decision (Outcome)</w:t>
            </w:r>
          </w:p>
        </w:tc>
        <w:tc>
          <w:tcPr>
            <w:tcW w:w="2126" w:type="dxa"/>
          </w:tcPr>
          <w:p w14:paraId="62987ABD" w14:textId="27DFB879" w:rsidR="00324B33" w:rsidRPr="00D01DDB" w:rsidRDefault="000555D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4 June 2026 </w:t>
            </w:r>
          </w:p>
        </w:tc>
      </w:tr>
      <w:tr w:rsidR="000555DA" w:rsidRPr="00D01DDB" w14:paraId="6DDCDDA4" w14:textId="77777777" w:rsidTr="00B97E79">
        <w:tc>
          <w:tcPr>
            <w:cnfStyle w:val="001000000000" w:firstRow="0" w:lastRow="0" w:firstColumn="1" w:lastColumn="0" w:oddVBand="0" w:evenVBand="0" w:oddHBand="0" w:evenHBand="0" w:firstRowFirstColumn="0" w:firstRowLastColumn="0" w:lastRowFirstColumn="0" w:lastRowLastColumn="0"/>
            <w:tcW w:w="6516" w:type="dxa"/>
          </w:tcPr>
          <w:p w14:paraId="192FD19D" w14:textId="186F3E94" w:rsidR="000555DA" w:rsidRPr="00E679D1" w:rsidRDefault="000555DA" w:rsidP="000555DA">
            <w:pPr>
              <w:ind w:left="0"/>
            </w:pPr>
            <w:r w:rsidRPr="00E679D1">
              <w:t xml:space="preserve"> </w:t>
            </w:r>
            <w:r>
              <w:t xml:space="preserve"> R</w:t>
            </w:r>
            <w:r w:rsidRPr="00E679D1">
              <w:t>egistration in the ARTG completed</w:t>
            </w:r>
          </w:p>
        </w:tc>
        <w:tc>
          <w:tcPr>
            <w:tcW w:w="2126" w:type="dxa"/>
          </w:tcPr>
          <w:p w14:paraId="5A8923FD" w14:textId="7127E6B6" w:rsidR="000555DA" w:rsidRPr="00D01DDB" w:rsidRDefault="000555DA" w:rsidP="000555DA">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5 June 2026 </w:t>
            </w:r>
          </w:p>
        </w:tc>
      </w:tr>
      <w:tr w:rsidR="000555DA" w:rsidRPr="00D01DDB" w14:paraId="56D922E2" w14:textId="77777777" w:rsidTr="00B97E79">
        <w:tc>
          <w:tcPr>
            <w:cnfStyle w:val="001000000000" w:firstRow="0" w:lastRow="0" w:firstColumn="1" w:lastColumn="0" w:oddVBand="0" w:evenVBand="0" w:oddHBand="0" w:evenHBand="0" w:firstRowFirstColumn="0" w:firstRowLastColumn="0" w:lastRowFirstColumn="0" w:lastRowLastColumn="0"/>
            <w:tcW w:w="6516" w:type="dxa"/>
          </w:tcPr>
          <w:p w14:paraId="787FD8DD" w14:textId="0E0CF97F" w:rsidR="000555DA" w:rsidRPr="00E679D1" w:rsidRDefault="000555DA" w:rsidP="000555DA">
            <w:r w:rsidRPr="00E679D1">
              <w:t>Number of working days from submission dossier acceptance to registration decision*</w:t>
            </w:r>
          </w:p>
        </w:tc>
        <w:tc>
          <w:tcPr>
            <w:tcW w:w="2126" w:type="dxa"/>
          </w:tcPr>
          <w:p w14:paraId="5BAF9FA1" w14:textId="03C822E6" w:rsidR="000555DA" w:rsidRPr="00D01DDB" w:rsidRDefault="00C455E9" w:rsidP="000555DA">
            <w:pPr>
              <w:cnfStyle w:val="000000000000" w:firstRow="0" w:lastRow="0" w:firstColumn="0" w:lastColumn="0" w:oddVBand="0" w:evenVBand="0" w:oddHBand="0" w:evenHBand="0" w:firstRowFirstColumn="0" w:firstRowLastColumn="0" w:lastRowFirstColumn="0" w:lastRowLastColumn="0"/>
              <w:rPr>
                <w:szCs w:val="22"/>
              </w:rPr>
            </w:pPr>
            <w:r>
              <w:rPr>
                <w:szCs w:val="22"/>
              </w:rPr>
              <w:t>193</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75C7430A" w:rsidR="00C22214" w:rsidRPr="00792A32" w:rsidRDefault="00083763" w:rsidP="00C22214">
      <w:pPr>
        <w:pStyle w:val="Heading2"/>
      </w:pPr>
      <w:bookmarkStart w:id="31" w:name="_Toc234928949"/>
      <w:bookmarkStart w:id="32" w:name="_Toc196046504"/>
      <w:bookmarkStart w:id="33" w:name="_Toc247691527"/>
      <w:bookmarkStart w:id="34" w:name="_Toc314842510"/>
      <w:bookmarkStart w:id="35" w:name="_Toc103679294"/>
      <w:r>
        <w:t xml:space="preserve">Assessment </w:t>
      </w:r>
      <w:r w:rsidR="00C22214" w:rsidRPr="00006FAB">
        <w:t>overview</w:t>
      </w:r>
      <w:bookmarkEnd w:id="31"/>
      <w:r w:rsidR="00C22214" w:rsidRPr="00006FAB">
        <w:t xml:space="preserve"> </w:t>
      </w:r>
      <w:bookmarkEnd w:id="32"/>
      <w:bookmarkEnd w:id="33"/>
      <w:bookmarkEnd w:id="34"/>
      <w:bookmarkEnd w:id="35"/>
    </w:p>
    <w:p w14:paraId="540151FC" w14:textId="06E096BD" w:rsidR="00C22214" w:rsidRPr="00BD5DBD" w:rsidRDefault="00C22214" w:rsidP="00BD5DBD">
      <w:pPr>
        <w:rPr>
          <w:szCs w:val="22"/>
        </w:rPr>
      </w:pPr>
      <w:bookmarkStart w:id="36" w:name="_Toc247691528"/>
      <w:bookmarkStart w:id="37" w:name="_Toc314842511"/>
      <w:r w:rsidRPr="00BD5DBD">
        <w:rPr>
          <w:szCs w:val="22"/>
        </w:rPr>
        <w:t>A summary of the TGA’s assessment for this submission is provided below.</w:t>
      </w:r>
    </w:p>
    <w:p w14:paraId="37F5A1C0" w14:textId="5D3D5FE0" w:rsidR="00C22214" w:rsidRDefault="00095C6A" w:rsidP="00C22214">
      <w:pPr>
        <w:pStyle w:val="Heading3"/>
      </w:pPr>
      <w:bookmarkStart w:id="38" w:name="_Toc103679295"/>
      <w:bookmarkStart w:id="39" w:name="_Toc234928950"/>
      <w:r>
        <w:t>Q</w:t>
      </w:r>
      <w:r w:rsidR="00C22214">
        <w:t>uality</w:t>
      </w:r>
      <w:bookmarkEnd w:id="36"/>
      <w:bookmarkEnd w:id="37"/>
      <w:bookmarkEnd w:id="38"/>
      <w:r w:rsidR="007E6443">
        <w:t xml:space="preserve"> evaluation</w:t>
      </w:r>
      <w:r>
        <w:t xml:space="preserve"> summary</w:t>
      </w:r>
      <w:bookmarkEnd w:id="39"/>
    </w:p>
    <w:p w14:paraId="29408C9F" w14:textId="12F267D3" w:rsidR="00FA604D" w:rsidRPr="00537C22" w:rsidRDefault="00FA604D" w:rsidP="00FA604D">
      <w:r w:rsidRPr="00537C22">
        <w:t>Capmatinib hydrochloride drug substance is a dihydrochloride salt in monohydrate form. It is a yellow crystalline powder.</w:t>
      </w:r>
      <w:r w:rsidR="00537C22" w:rsidRPr="00537C22">
        <w:rPr>
          <w:rFonts w:eastAsia="Times New Roman" w:cs="Segoe UI"/>
          <w:sz w:val="21"/>
          <w:szCs w:val="21"/>
          <w:lang w:eastAsia="en-AU"/>
        </w:rPr>
        <w:t xml:space="preserve"> The </w:t>
      </w:r>
      <w:r w:rsidR="00537C22" w:rsidRPr="00537C22">
        <w:t xml:space="preserve">drug substance </w:t>
      </w:r>
      <w:r w:rsidR="00537C22">
        <w:t>is a</w:t>
      </w:r>
      <w:r w:rsidR="00537C22" w:rsidRPr="00537C22">
        <w:t xml:space="preserve"> BCS Class II compound with low solubility and high permeability</w:t>
      </w:r>
      <w:r w:rsidR="00537C22">
        <w:t xml:space="preserve">. </w:t>
      </w:r>
      <w:r w:rsidR="00517BCC" w:rsidRPr="00517BCC">
        <w:t xml:space="preserve">The drug substance </w:t>
      </w:r>
      <w:r w:rsidR="00537C22" w:rsidRPr="00537C22">
        <w:t xml:space="preserve">manufacturing process, starting materials, impurity controls, analytical methods, batch data, and stability package </w:t>
      </w:r>
      <w:r w:rsidR="00D1189C">
        <w:t>are</w:t>
      </w:r>
      <w:r w:rsidR="00537C22" w:rsidRPr="00537C22">
        <w:t xml:space="preserve"> acceptable. </w:t>
      </w:r>
      <w:r w:rsidR="00D1189C">
        <w:t>B</w:t>
      </w:r>
      <w:r w:rsidR="00537C22" w:rsidRPr="00537C22">
        <w:t xml:space="preserve">atch analyses from manufacturing sites comply with </w:t>
      </w:r>
      <w:r w:rsidR="00E67658">
        <w:t xml:space="preserve">required </w:t>
      </w:r>
      <w:r w:rsidR="00537C22" w:rsidRPr="00537C22">
        <w:t>specifications, and the proposed re-test period of 18 months when stored below 25°C and protected from light is supported.</w:t>
      </w:r>
    </w:p>
    <w:p w14:paraId="4E1CBB27" w14:textId="77777777" w:rsidR="00B97E79" w:rsidRDefault="00FA604D" w:rsidP="00FA604D">
      <w:r w:rsidRPr="001F5254">
        <w:t xml:space="preserve">Capmatinib hydrochloride has been formulated as an immediate release solid oral dosage form. The composition of the drug product is provided in </w:t>
      </w:r>
      <w:r w:rsidR="001F5254">
        <w:t>Table 3</w:t>
      </w:r>
      <w:r w:rsidRPr="001F5254">
        <w:t>.</w:t>
      </w:r>
      <w:r w:rsidR="00473CB6" w:rsidRPr="001F5254">
        <w:rPr>
          <w:rFonts w:ascii="Segoe UI" w:eastAsia="Times New Roman" w:hAnsi="Segoe UI" w:cs="Segoe UI"/>
          <w:sz w:val="21"/>
          <w:szCs w:val="21"/>
          <w:lang w:eastAsia="en-AU"/>
        </w:rPr>
        <w:t xml:space="preserve"> </w:t>
      </w:r>
      <w:r w:rsidR="00473CB6" w:rsidRPr="001F5254">
        <w:t xml:space="preserve">For the drug product, tablet formulation, manufacturing process, control strategy, process validation, and stability data are acceptable. </w:t>
      </w:r>
    </w:p>
    <w:p w14:paraId="2C5F7A64" w14:textId="1FB717E7" w:rsidR="00FA604D" w:rsidRDefault="00473CB6" w:rsidP="00FA604D">
      <w:r w:rsidRPr="001F5254">
        <w:lastRenderedPageBreak/>
        <w:t>The product uses a wet granulation process, the two strengths are dose proportional, and the dissolution method and release limits are considered appropriate. Batch analyses from product manufacturing sites complied with product specifications, and no new impurities were identified. Stability data support a proposed 24-month shelf life below 30°C</w:t>
      </w:r>
      <w:r w:rsidR="00E46A8E">
        <w:t xml:space="preserve">. </w:t>
      </w:r>
    </w:p>
    <w:p w14:paraId="556F15B5" w14:textId="413777CE" w:rsidR="00E46A8E" w:rsidRPr="001F5254" w:rsidRDefault="00E46A8E" w:rsidP="00FA604D">
      <w:r w:rsidRPr="00E46A8E">
        <w:t xml:space="preserve">The sponsor’s approach to quality control at the manufacturing sites, including testing of incoming active ingredient for identity and reliance on release documentation under Good Manufacturing Practice (GMP) arrangements, is acceptable.  </w:t>
      </w:r>
    </w:p>
    <w:p w14:paraId="6F7E50FB" w14:textId="436E6A23" w:rsidR="00FA604D" w:rsidRDefault="00FA604D" w:rsidP="00C053EF">
      <w:pPr>
        <w:pStyle w:val="TableTitle"/>
      </w:pPr>
      <w:bookmarkStart w:id="40" w:name="_Ref227335460"/>
      <w:r w:rsidRPr="00537C22">
        <w:t xml:space="preserve">Table </w:t>
      </w:r>
      <w:bookmarkEnd w:id="40"/>
      <w:r w:rsidR="001F5254">
        <w:t>3.</w:t>
      </w:r>
      <w:r w:rsidRPr="00537C22">
        <w:t xml:space="preserve"> Composition of </w:t>
      </w:r>
      <w:r w:rsidR="0014195B">
        <w:t>c</w:t>
      </w:r>
      <w:r w:rsidRPr="00537C22">
        <w:t>apmatinib 150 mg and 200 mg film-coated tablets (</w:t>
      </w:r>
      <w:r w:rsidR="0014195B">
        <w:t>t</w:t>
      </w:r>
      <w:r w:rsidRPr="00537C22">
        <w:t>ablet</w:t>
      </w:r>
      <w:r w:rsidR="0014195B">
        <w:t xml:space="preserve"> c</w:t>
      </w:r>
      <w:r w:rsidRPr="00537C22">
        <w:t>ore)</w:t>
      </w:r>
    </w:p>
    <w:p w14:paraId="6F1F115B" w14:textId="15E9CE2A" w:rsidR="00553899" w:rsidRDefault="00553899" w:rsidP="00B97E79">
      <w:r w:rsidRPr="00B059F9">
        <w:rPr>
          <w:noProof/>
        </w:rPr>
        <w:drawing>
          <wp:inline distT="0" distB="0" distL="0" distR="0" wp14:anchorId="4596EFB5" wp14:editId="54B15C90">
            <wp:extent cx="5759450" cy="1789631"/>
            <wp:effectExtent l="0" t="0" r="0" b="1270"/>
            <wp:docPr id="1776162051" name="Picture 1" descr="Table 3. Composition of capmatinib 150 mg and 200 mg film-coated tablets (tablet 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162051" name="Picture 1" descr="Table 3. Composition of capmatinib 150 mg and 200 mg film-coated tablets (tablet core)"/>
                    <pic:cNvPicPr/>
                  </pic:nvPicPr>
                  <pic:blipFill rotWithShape="1">
                    <a:blip r:embed="rId31">
                      <a:extLst>
                        <a:ext uri="{BEBA8EAE-BF5A-486C-A8C5-ECC9F3942E4B}">
                          <a14:imgProps xmlns:a14="http://schemas.microsoft.com/office/drawing/2010/main">
                            <a14:imgLayer r:embed="rId32">
                              <a14:imgEffect>
                                <a14:sharpenSoften amount="25000"/>
                              </a14:imgEffect>
                            </a14:imgLayer>
                          </a14:imgProps>
                        </a:ext>
                      </a:extLst>
                    </a:blip>
                    <a:srcRect r="10590"/>
                    <a:stretch>
                      <a:fillRect/>
                    </a:stretch>
                  </pic:blipFill>
                  <pic:spPr bwMode="auto">
                    <a:xfrm>
                      <a:off x="0" y="0"/>
                      <a:ext cx="5759450" cy="1789631"/>
                    </a:xfrm>
                    <a:prstGeom prst="rect">
                      <a:avLst/>
                    </a:prstGeom>
                    <a:ln>
                      <a:noFill/>
                    </a:ln>
                    <a:extLst>
                      <a:ext uri="{53640926-AAD7-44D8-BBD7-CCE9431645EC}">
                        <a14:shadowObscured xmlns:a14="http://schemas.microsoft.com/office/drawing/2010/main"/>
                      </a:ext>
                    </a:extLst>
                  </pic:spPr>
                </pic:pic>
              </a:graphicData>
            </a:graphic>
          </wp:inline>
        </w:drawing>
      </w:r>
    </w:p>
    <w:p w14:paraId="7869A648" w14:textId="14F1FF3B" w:rsidR="004F4819" w:rsidRDefault="004F4819" w:rsidP="004F4819">
      <w:pPr>
        <w:pStyle w:val="TableDescription"/>
      </w:pPr>
      <w:r>
        <w:t>1. The drug substance content is calculated based on capmatinib dihydrochloride on anhydrous basis. The drug substance quantity is adjusted if the drug substance content is ≤ 99.5%.</w:t>
      </w:r>
    </w:p>
    <w:p w14:paraId="081D0F99" w14:textId="77777777" w:rsidR="004F4819" w:rsidRDefault="004F4819" w:rsidP="004F4819">
      <w:pPr>
        <w:pStyle w:val="TableDescription"/>
      </w:pPr>
      <w:r>
        <w:t>150 mg of capmatinib (free base) corresponds to 183.000 mg capmatinib dihydrochloride monohydrate (salt/base ratio = 1.220) or 176.550 mg of capmatinib dihydrochloride on anhydrous basis (salt/base ratio = 1.177).</w:t>
      </w:r>
    </w:p>
    <w:p w14:paraId="5DEC194D" w14:textId="77777777" w:rsidR="004F4819" w:rsidRDefault="004F4819" w:rsidP="004F4819">
      <w:pPr>
        <w:pStyle w:val="TableDescription"/>
      </w:pPr>
      <w:r>
        <w:t>200 mg of capmatinib (free base) corresponds to 244.000 mg capmatinib dihydrochloride monohydrate (salt/base ratio = 1.220) or 235.400 mg of capmatinib dihydrochloride on anhydrous basis (salt/base ratio = 1.177).</w:t>
      </w:r>
    </w:p>
    <w:p w14:paraId="45938C11" w14:textId="22D941FE" w:rsidR="004F4819" w:rsidRDefault="004F4819" w:rsidP="004F4819">
      <w:pPr>
        <w:pStyle w:val="TableDescription"/>
      </w:pPr>
      <w:r>
        <w:t>2. If the quantity of drug substance is adjusted, a compensation is performed by adjusting the amount of microcrystalline cellulose to maintain the total core tablet weight.</w:t>
      </w:r>
    </w:p>
    <w:p w14:paraId="487153FF" w14:textId="03C572A9" w:rsidR="004F4819" w:rsidRDefault="004F4819" w:rsidP="004F4819">
      <w:pPr>
        <w:pStyle w:val="TableDescription"/>
      </w:pPr>
      <w:r>
        <w:t>3. Vegetable origin</w:t>
      </w:r>
    </w:p>
    <w:p w14:paraId="2DD5F8A3" w14:textId="48CC7883" w:rsidR="0014195B" w:rsidRDefault="004F4819" w:rsidP="004F4819">
      <w:pPr>
        <w:pStyle w:val="TableDescription"/>
      </w:pPr>
      <w:r>
        <w:t>4. Removed during processing</w:t>
      </w:r>
    </w:p>
    <w:p w14:paraId="0A5F46C6" w14:textId="6EBE624F" w:rsidR="004259EB" w:rsidRDefault="008262B7" w:rsidP="00B97E79">
      <w:r w:rsidRPr="008262B7">
        <w:t xml:space="preserve">The product information </w:t>
      </w:r>
      <w:r w:rsidR="00AE3977">
        <w:t>uses</w:t>
      </w:r>
      <w:r w:rsidRPr="008262B7">
        <w:t xml:space="preserve"> the correct Australian Approved Name, capmatinib hydrochloride. </w:t>
      </w:r>
      <w:r w:rsidR="00AE3977">
        <w:t>Product</w:t>
      </w:r>
      <w:r w:rsidRPr="008262B7">
        <w:t xml:space="preserve"> labels </w:t>
      </w:r>
      <w:r w:rsidR="00442A78">
        <w:t xml:space="preserve">have </w:t>
      </w:r>
      <w:r w:rsidRPr="008262B7">
        <w:t xml:space="preserve">consistent </w:t>
      </w:r>
      <w:r w:rsidR="00442A78">
        <w:t xml:space="preserve">naming </w:t>
      </w:r>
      <w:r w:rsidRPr="008262B7">
        <w:t xml:space="preserve">and </w:t>
      </w:r>
      <w:r w:rsidR="0024632F">
        <w:t xml:space="preserve">conform to </w:t>
      </w:r>
      <w:r w:rsidR="00955121" w:rsidRPr="00955121">
        <w:t>Therapeutic Goods Order No. 9</w:t>
      </w:r>
      <w:r w:rsidR="00955121">
        <w:t>1</w:t>
      </w:r>
      <w:r w:rsidR="008B408D">
        <w:t xml:space="preserve">. </w:t>
      </w:r>
    </w:p>
    <w:p w14:paraId="295AD966" w14:textId="097B6187" w:rsidR="004259EB" w:rsidRDefault="001E2B24" w:rsidP="00B97E79">
      <w:r w:rsidRPr="001E2B24">
        <w:t xml:space="preserve">The sponsor </w:t>
      </w:r>
      <w:r w:rsidR="00AE3977">
        <w:t>has</w:t>
      </w:r>
      <w:r w:rsidRPr="001E2B24">
        <w:t xml:space="preserve"> confirmed that the Australian specifications match those approved by comparable overseas regulators, including Switzerland </w:t>
      </w:r>
      <w:r w:rsidR="0035231F">
        <w:t xml:space="preserve">(Swissmedic) </w:t>
      </w:r>
      <w:r w:rsidRPr="001E2B24">
        <w:t>and, with only a minor difference in microbial testing, the United States Food and Drug Administration</w:t>
      </w:r>
      <w:r w:rsidR="0035231F">
        <w:t xml:space="preserve"> (FDA)</w:t>
      </w:r>
      <w:r w:rsidRPr="001E2B24">
        <w:t xml:space="preserve">. </w:t>
      </w:r>
    </w:p>
    <w:p w14:paraId="64C65B95" w14:textId="0C225628" w:rsidR="009F5975" w:rsidRPr="00537C22" w:rsidRDefault="009F5975" w:rsidP="00B97E79">
      <w:r>
        <w:t>T</w:t>
      </w:r>
      <w:r w:rsidRPr="009F5975">
        <w:t xml:space="preserve">he sponsor’s risk assessments for nitrosamine contamination found no significant risk for either the active substance or the finished products. On that basis, no routine additional nitrosamine testing </w:t>
      </w:r>
      <w:r w:rsidR="00044246">
        <w:t>is</w:t>
      </w:r>
      <w:r w:rsidRPr="009F5975">
        <w:t xml:space="preserve"> necessary.</w:t>
      </w:r>
    </w:p>
    <w:p w14:paraId="547A379F" w14:textId="3DE283E6" w:rsidR="00EA5336" w:rsidRPr="00537C22" w:rsidRDefault="001B2185" w:rsidP="00B97E79">
      <w:r>
        <w:t>A</w:t>
      </w:r>
      <w:r w:rsidR="00EA5336" w:rsidRPr="00537C22">
        <w:t xml:space="preserve">pproval </w:t>
      </w:r>
      <w:r>
        <w:t xml:space="preserve">for the registration of </w:t>
      </w:r>
      <w:r w:rsidR="003C3D80">
        <w:t>Tabrecta</w:t>
      </w:r>
      <w:r>
        <w:t xml:space="preserve"> (c</w:t>
      </w:r>
      <w:r w:rsidRPr="001B2185">
        <w:t>apmatinib</w:t>
      </w:r>
      <w:r>
        <w:t xml:space="preserve">) is </w:t>
      </w:r>
      <w:r w:rsidR="00EA5336" w:rsidRPr="00537C22">
        <w:t xml:space="preserve">recommended from </w:t>
      </w:r>
      <w:r w:rsidR="009F5975">
        <w:t xml:space="preserve">a quality </w:t>
      </w:r>
      <w:r w:rsidR="00EA5336" w:rsidRPr="00537C22">
        <w:t>perspective.</w:t>
      </w:r>
    </w:p>
    <w:p w14:paraId="2BE90AAE" w14:textId="35796FD3" w:rsidR="00C22214" w:rsidRDefault="00C22214" w:rsidP="00C22214">
      <w:pPr>
        <w:pStyle w:val="Heading3"/>
      </w:pPr>
      <w:bookmarkStart w:id="41" w:name="_Toc314842512"/>
      <w:bookmarkStart w:id="42" w:name="_Toc103679296"/>
      <w:bookmarkStart w:id="43" w:name="_Toc234928951"/>
      <w:r>
        <w:t>Nonclinical</w:t>
      </w:r>
      <w:bookmarkEnd w:id="41"/>
      <w:bookmarkEnd w:id="42"/>
      <w:r w:rsidR="007E6443">
        <w:t xml:space="preserve"> evaluation</w:t>
      </w:r>
      <w:r w:rsidR="00095C6A">
        <w:t xml:space="preserve"> summary</w:t>
      </w:r>
      <w:bookmarkEnd w:id="43"/>
    </w:p>
    <w:p w14:paraId="15C51A23" w14:textId="0B76AEE9" w:rsidR="008804CF" w:rsidRPr="00BD5DBD" w:rsidRDefault="002476F5" w:rsidP="008804CF">
      <w:pPr>
        <w:rPr>
          <w:b/>
          <w:bCs/>
          <w:szCs w:val="22"/>
        </w:rPr>
      </w:pPr>
      <w:r>
        <w:t xml:space="preserve">There were no objections to </w:t>
      </w:r>
      <w:r w:rsidR="00A66407">
        <w:t xml:space="preserve">the </w:t>
      </w:r>
      <w:r>
        <w:t xml:space="preserve">registration of capmatinib from </w:t>
      </w:r>
      <w:r w:rsidR="006C0966">
        <w:t xml:space="preserve">a nonclinical perspective </w:t>
      </w:r>
      <w:r w:rsidR="00754A42">
        <w:t>following</w:t>
      </w:r>
      <w:r w:rsidR="00A66407">
        <w:t xml:space="preserve"> the </w:t>
      </w:r>
      <w:r>
        <w:t xml:space="preserve">previous </w:t>
      </w:r>
      <w:r w:rsidR="00A8699D">
        <w:t>evaluation of</w:t>
      </w:r>
      <w:r>
        <w:t xml:space="preserve"> capmatinib</w:t>
      </w:r>
      <w:r w:rsidR="00754A42">
        <w:t xml:space="preserve"> (refer to the </w:t>
      </w:r>
      <w:r w:rsidR="006735CD">
        <w:t>‘</w:t>
      </w:r>
      <w:hyperlink w:anchor="_Australian_regulatory_status" w:history="1">
        <w:r w:rsidR="00960485" w:rsidRPr="006735CD">
          <w:rPr>
            <w:rStyle w:val="Hyperlink"/>
          </w:rPr>
          <w:t>Australian regulatory status</w:t>
        </w:r>
      </w:hyperlink>
      <w:r w:rsidR="006735CD">
        <w:t>’</w:t>
      </w:r>
      <w:r w:rsidR="00960485">
        <w:t xml:space="preserve"> section above)</w:t>
      </w:r>
      <w:r>
        <w:t xml:space="preserve">. The sponsor has provided an assurance that all PI and CMI recommendations made during the previous application up to the time of the pre-ACM response, including those from </w:t>
      </w:r>
      <w:r w:rsidR="00B47168">
        <w:t>the nonclinical dossier</w:t>
      </w:r>
      <w:r>
        <w:t>, were incorporated into the product documentation submitted with the current application.</w:t>
      </w:r>
      <w:r w:rsidR="006C0966">
        <w:t xml:space="preserve"> </w:t>
      </w:r>
      <w:bookmarkStart w:id="44" w:name="_Toc247691530"/>
      <w:bookmarkStart w:id="45" w:name="_Toc314842513"/>
      <w:bookmarkStart w:id="46" w:name="_Toc103679297"/>
      <w:r w:rsidR="008804CF" w:rsidRPr="00BD5DBD">
        <w:rPr>
          <w:szCs w:val="22"/>
        </w:rPr>
        <w:t>No new nonclinical data or further nonclinical evaluation were required for this submission.</w:t>
      </w:r>
      <w:r w:rsidR="008C754C" w:rsidRPr="00BD5DBD">
        <w:rPr>
          <w:szCs w:val="22"/>
        </w:rPr>
        <w:t xml:space="preserve"> </w:t>
      </w:r>
      <w:r w:rsidR="008804CF" w:rsidRPr="00BD5DBD">
        <w:rPr>
          <w:szCs w:val="22"/>
        </w:rPr>
        <w:t>The TGA considers that previously submitted and evaluated data satisfactorily address nonclinical aspects of safety/efficacy relating to this submission</w:t>
      </w:r>
      <w:r w:rsidR="00F865A7" w:rsidRPr="00BD5DBD">
        <w:rPr>
          <w:szCs w:val="22"/>
        </w:rPr>
        <w:t>.</w:t>
      </w:r>
    </w:p>
    <w:p w14:paraId="35B580A5" w14:textId="40B226DC" w:rsidR="00C22214" w:rsidRDefault="00C22214" w:rsidP="008804CF">
      <w:pPr>
        <w:pStyle w:val="Heading3"/>
      </w:pPr>
      <w:bookmarkStart w:id="47" w:name="_Toc234928952"/>
      <w:r>
        <w:lastRenderedPageBreak/>
        <w:t>Clinical</w:t>
      </w:r>
      <w:bookmarkEnd w:id="44"/>
      <w:bookmarkEnd w:id="45"/>
      <w:bookmarkEnd w:id="46"/>
      <w:r w:rsidR="00095C6A">
        <w:t xml:space="preserve"> evaluation summary</w:t>
      </w:r>
      <w:bookmarkEnd w:id="47"/>
    </w:p>
    <w:p w14:paraId="3A20ADEF" w14:textId="77777777" w:rsidR="002026EE" w:rsidRPr="002026EE" w:rsidRDefault="002026EE" w:rsidP="002026EE">
      <w:pPr>
        <w:pStyle w:val="Heading4"/>
        <w:rPr>
          <w:i/>
        </w:rPr>
      </w:pPr>
      <w:bookmarkStart w:id="48" w:name="_Toc234928953"/>
      <w:r w:rsidRPr="002026EE">
        <w:t>Pharmacology</w:t>
      </w:r>
      <w:bookmarkEnd w:id="48"/>
      <w:r w:rsidRPr="002026EE">
        <w:rPr>
          <w:i/>
        </w:rPr>
        <w:t xml:space="preserve"> </w:t>
      </w:r>
    </w:p>
    <w:p w14:paraId="12BD8C22" w14:textId="174F9998" w:rsidR="002026EE" w:rsidRPr="002026EE" w:rsidRDefault="002026EE" w:rsidP="002026EE">
      <w:pPr>
        <w:pStyle w:val="Heading5"/>
      </w:pPr>
      <w:r w:rsidRPr="002026EE">
        <w:t>Pharmacokinetics</w:t>
      </w:r>
    </w:p>
    <w:p w14:paraId="0CB5B3D2" w14:textId="77777777" w:rsidR="002026EE" w:rsidRPr="002026EE" w:rsidRDefault="002026EE" w:rsidP="002026EE">
      <w:r w:rsidRPr="002026EE">
        <w:t>The pharmacokinetics (PK) of capmatinib were characterised in 7 phase 1 studies in healthy subjects, and 7 studies in patients with advanced solid tumours including the pivotal phase 2 study in locally advanced or metastatic MET-mutated or MET-amplified NSCLC (Study A2201).</w:t>
      </w:r>
    </w:p>
    <w:p w14:paraId="31C02CFF" w14:textId="77777777" w:rsidR="002026EE" w:rsidRPr="002026EE" w:rsidRDefault="002026EE" w:rsidP="002026EE">
      <w:r w:rsidRPr="002026EE">
        <w:t>A hard-gelatin capsule formulation of capmatinib was initially used during clinical development program prior to switching to film coated tablets. A bioavailability study (X2103) established that the PK characteristics of the capsule and tablet formulations are different and therefore they cannot be considered as bioequivalent. The pivotal phase 2 study (A2201) and this application for registration are limited to the tablet formulation only.</w:t>
      </w:r>
    </w:p>
    <w:p w14:paraId="348B04D6" w14:textId="77777777" w:rsidR="002026EE" w:rsidRPr="002026EE" w:rsidRDefault="002026EE" w:rsidP="002026EE">
      <w:r w:rsidRPr="002026EE">
        <w:t>Food-effect study X2107, using the tablet formulation, established that food did not have a clinically meaningful impact on capmatinib bioavailability in healthy subjects. This remained true for patients with cancer, based on data from studies A2108 and A2201.</w:t>
      </w:r>
    </w:p>
    <w:p w14:paraId="5445432F" w14:textId="77777777" w:rsidR="002026EE" w:rsidRPr="002026EE" w:rsidRDefault="002026EE" w:rsidP="002026EE">
      <w:r w:rsidRPr="002026EE">
        <w:t>Dose proportionality of the PK of tablets was demonstrated in healthy subjects using data from multiple studies. The dose-normalised C</w:t>
      </w:r>
      <w:r w:rsidRPr="002026EE">
        <w:rPr>
          <w:vertAlign w:val="subscript"/>
        </w:rPr>
        <w:t>max</w:t>
      </w:r>
      <w:r w:rsidRPr="002026EE">
        <w:t xml:space="preserve"> and AUC were comparable across the dose range of 200 mg to 600 mg once daily dosing.</w:t>
      </w:r>
    </w:p>
    <w:p w14:paraId="002F39D2" w14:textId="77777777" w:rsidR="002026EE" w:rsidRPr="002026EE" w:rsidRDefault="002026EE" w:rsidP="002026EE">
      <w:pPr>
        <w:pStyle w:val="Heading6"/>
      </w:pPr>
      <w:r w:rsidRPr="002026EE">
        <w:t>Hepatic impairment</w:t>
      </w:r>
    </w:p>
    <w:p w14:paraId="2EC9D54D" w14:textId="2954B5C8" w:rsidR="002026EE" w:rsidRPr="002026EE" w:rsidRDefault="002026EE" w:rsidP="002026EE">
      <w:r w:rsidRPr="002026EE">
        <w:t xml:space="preserve">Study A2106 compared the PK of a single oral dose of 200mg capmatinib (2 x 100mg tablets) in non-cancer subjects with impaired hepatic function to the PK in non-cancer subjects with normal hepatic function. Compared to the normal hepatic function group (n=10), the mild (n=7), moderate (n=8) and severe (n=6) hepatic impairment groups did not show significant change in capmatinib exposure. No significant safety findings were reported in this study. All </w:t>
      </w:r>
      <w:r w:rsidR="002F5D2A">
        <w:t>adverse events (</w:t>
      </w:r>
      <w:r w:rsidRPr="002026EE">
        <w:t>AEs</w:t>
      </w:r>
      <w:r w:rsidR="002F5D2A">
        <w:t>)</w:t>
      </w:r>
      <w:r w:rsidRPr="002026EE">
        <w:t xml:space="preserve"> suspected to be related to study drug were of Grade 1 severity.</w:t>
      </w:r>
    </w:p>
    <w:p w14:paraId="1008C4AB" w14:textId="77777777" w:rsidR="002026EE" w:rsidRPr="002026EE" w:rsidRDefault="002026EE" w:rsidP="002026EE">
      <w:r w:rsidRPr="002026EE">
        <w:t>No dose adjustment is considered necessary in subjects with mild, moderate, or severe hepatic impairment based on the results of Study A2106.</w:t>
      </w:r>
    </w:p>
    <w:p w14:paraId="72CFB792" w14:textId="71843096" w:rsidR="002026EE" w:rsidRPr="002026EE" w:rsidRDefault="002026EE" w:rsidP="002026EE">
      <w:pPr>
        <w:pStyle w:val="Heading6"/>
      </w:pPr>
      <w:r w:rsidRPr="002026EE">
        <w:t>Population pharmacokinetic</w:t>
      </w:r>
      <w:r>
        <w:t xml:space="preserve"> </w:t>
      </w:r>
      <w:r w:rsidRPr="002026EE">
        <w:t>data</w:t>
      </w:r>
    </w:p>
    <w:p w14:paraId="25C25E44" w14:textId="55DA5927" w:rsidR="002026EE" w:rsidRPr="002026EE" w:rsidRDefault="002026EE" w:rsidP="002026EE">
      <w:r w:rsidRPr="002026EE">
        <w:t xml:space="preserve">A </w:t>
      </w:r>
      <w:r>
        <w:t>p</w:t>
      </w:r>
      <w:r w:rsidRPr="002026EE">
        <w:t>opulation pharmacokineti</w:t>
      </w:r>
      <w:r>
        <w:t xml:space="preserve">cs (popPK) </w:t>
      </w:r>
      <w:r w:rsidRPr="002026EE">
        <w:t>report based on studies X1101, X2102, A2108 and A2201 was provided. The popPK analysis dataset included 3,882 PK observations from 501 subjects. Most subjects in this pooled population were treated with 400 mg of the tablet formulation; 600 mg of the capsule formulation was the next most common dose. The commonest dosing frequency was twice daily.</w:t>
      </w:r>
    </w:p>
    <w:p w14:paraId="2CA724DB" w14:textId="77777777" w:rsidR="002026EE" w:rsidRPr="002026EE" w:rsidRDefault="002026EE" w:rsidP="002026EE">
      <w:r w:rsidRPr="002026EE">
        <w:t>Following 400 mg twice daily (BD) dosing with tablets, simulated steady state trough concentrations showed that more than 99% of patients had capmatinib concentration above IC90, and approximately 96% of patients had concentration above IC95.</w:t>
      </w:r>
    </w:p>
    <w:p w14:paraId="233DAA58" w14:textId="77777777" w:rsidR="002026EE" w:rsidRPr="002026EE" w:rsidRDefault="002026EE" w:rsidP="002026EE">
      <w:pPr>
        <w:pStyle w:val="Heading6"/>
      </w:pPr>
      <w:r w:rsidRPr="002026EE">
        <w:t>Age</w:t>
      </w:r>
    </w:p>
    <w:p w14:paraId="0FBCC212" w14:textId="77777777" w:rsidR="002026EE" w:rsidRPr="002026EE" w:rsidRDefault="002026EE" w:rsidP="002026EE">
      <w:r w:rsidRPr="002026EE">
        <w:t>Age had no statistically significant effect on the PK of capmatinib; therefore, no dose adjustment is required based on age. In the popPK analysis, the median age of patients was 63 years (range, 26 to 90 years). The ratios of the C</w:t>
      </w:r>
      <w:r w:rsidRPr="002026EE">
        <w:rPr>
          <w:vertAlign w:val="subscript"/>
        </w:rPr>
        <w:t>max</w:t>
      </w:r>
      <w:r w:rsidRPr="002026EE">
        <w:t xml:space="preserve"> and AUC</w:t>
      </w:r>
      <w:r w:rsidRPr="002026EE">
        <w:rPr>
          <w:vertAlign w:val="subscript"/>
        </w:rPr>
        <w:t>ss</w:t>
      </w:r>
      <w:r w:rsidRPr="002026EE">
        <w:t xml:space="preserve"> for age ≥65 years to &lt;65 years was estimated to be 1.01 (95% CI: 0.92, 1.11) and 1.03 (95% CI: 0.92, 1.15), respectively.</w:t>
      </w:r>
    </w:p>
    <w:p w14:paraId="576DE6AF" w14:textId="77777777" w:rsidR="002026EE" w:rsidRPr="002026EE" w:rsidRDefault="002026EE" w:rsidP="002026EE">
      <w:pPr>
        <w:pStyle w:val="Heading6"/>
      </w:pPr>
      <w:r w:rsidRPr="002026EE">
        <w:lastRenderedPageBreak/>
        <w:t>Sex</w:t>
      </w:r>
    </w:p>
    <w:p w14:paraId="2E379F9E" w14:textId="77777777" w:rsidR="002026EE" w:rsidRPr="002026EE" w:rsidRDefault="002026EE" w:rsidP="002026EE">
      <w:r w:rsidRPr="002026EE">
        <w:t>Sex had no statistically significant effect on the PK of capmatinib; therefore, no dose adjustment based on sex is recommended. The popPK analysis estimated the ratios of C</w:t>
      </w:r>
      <w:r w:rsidRPr="002026EE">
        <w:rPr>
          <w:vertAlign w:val="subscript"/>
        </w:rPr>
        <w:t>max</w:t>
      </w:r>
      <w:r w:rsidRPr="002026EE">
        <w:t xml:space="preserve"> and AUC</w:t>
      </w:r>
      <w:r w:rsidRPr="002026EE">
        <w:rPr>
          <w:vertAlign w:val="subscript"/>
        </w:rPr>
        <w:t>ss</w:t>
      </w:r>
      <w:r w:rsidRPr="002026EE">
        <w:t xml:space="preserve"> for females compared to males were 1.00 (95% CI: 0.92, 1.09) and 1.00 (95% CI: 0.90, 1.12), respectively.</w:t>
      </w:r>
    </w:p>
    <w:p w14:paraId="26F33449" w14:textId="77777777" w:rsidR="002026EE" w:rsidRPr="002026EE" w:rsidRDefault="002026EE" w:rsidP="002026EE">
      <w:pPr>
        <w:pStyle w:val="Heading6"/>
      </w:pPr>
      <w:r w:rsidRPr="002026EE">
        <w:t>Renal impairment</w:t>
      </w:r>
    </w:p>
    <w:p w14:paraId="5B299DB9" w14:textId="77777777" w:rsidR="002026EE" w:rsidRPr="002026EE" w:rsidRDefault="002026EE" w:rsidP="002026EE">
      <w:r w:rsidRPr="002026EE">
        <w:t>The popPK analysis included 501 patients with cancer, of whom 207 had normal renal function (creatinine clearance [CrCl] ≥90 mL/min, 200 had mild renal impairment (CrCl 60 to 89 mL/min), and 94 had moderate renal impairment (CrCl 30 to 59 mL/min). No patients with severe renal impairment (CrCl 15 to 29 mL/min) were included in the analysis as they were excluded from all the studies included in the popPK analysis.</w:t>
      </w:r>
    </w:p>
    <w:p w14:paraId="6694ADCD" w14:textId="77777777" w:rsidR="002026EE" w:rsidRPr="002026EE" w:rsidRDefault="002026EE" w:rsidP="002026EE">
      <w:r w:rsidRPr="002026EE">
        <w:t>Simulations for capmatinib at 400 mg BD in the tablet formulation suggested that there was little variation in PK across the different categories of renal function.</w:t>
      </w:r>
    </w:p>
    <w:p w14:paraId="70DC8B61" w14:textId="77777777" w:rsidR="002026EE" w:rsidRPr="002026EE" w:rsidRDefault="002026EE" w:rsidP="002026EE">
      <w:r w:rsidRPr="002026EE">
        <w:t>Based on the popPK analysis and the limited renal excretion of capmatinib reported for humans, no dose adjustment is recommended in patients with mild to moderate renal impairment.</w:t>
      </w:r>
    </w:p>
    <w:p w14:paraId="2C87E80B" w14:textId="01EFE853" w:rsidR="002026EE" w:rsidRPr="002026EE" w:rsidRDefault="002026EE" w:rsidP="002026EE">
      <w:pPr>
        <w:pStyle w:val="Heading5"/>
      </w:pPr>
      <w:bookmarkStart w:id="49" w:name="_Ref228800643"/>
      <w:r w:rsidRPr="002026EE">
        <w:t xml:space="preserve">Pharmacodynamics </w:t>
      </w:r>
      <w:bookmarkEnd w:id="49"/>
    </w:p>
    <w:p w14:paraId="74DDAAAF" w14:textId="05F958F1" w:rsidR="002026EE" w:rsidRPr="002026EE" w:rsidRDefault="002026EE" w:rsidP="002026EE">
      <w:r w:rsidRPr="002026EE">
        <w:t xml:space="preserve">The only clinical </w:t>
      </w:r>
      <w:r>
        <w:t>p</w:t>
      </w:r>
      <w:r w:rsidRPr="002026EE">
        <w:t>harmacodynamic</w:t>
      </w:r>
      <w:r>
        <w:t xml:space="preserve"> (</w:t>
      </w:r>
      <w:r w:rsidRPr="002026EE">
        <w:t>PD</w:t>
      </w:r>
      <w:r>
        <w:t>)</w:t>
      </w:r>
      <w:r w:rsidRPr="002026EE">
        <w:t xml:space="preserve"> analyses were exposure</w:t>
      </w:r>
      <w:r w:rsidR="00FE00DD">
        <w:t>-</w:t>
      </w:r>
      <w:r w:rsidRPr="002026EE">
        <w:t>response studies. The capmatinib-treated populations assessed were MET-mutated NSCLC patients for the exposure-efficacy analysis (n=94) and patients with solid tumours for the exposure-safety analysis (n=544).</w:t>
      </w:r>
    </w:p>
    <w:p w14:paraId="76EA00B8" w14:textId="77777777" w:rsidR="002026EE" w:rsidRPr="002026EE" w:rsidRDefault="002026EE" w:rsidP="002026EE">
      <w:r w:rsidRPr="002026EE">
        <w:t>In the exposure-efficacy analysis, there was no association between capmatinib exposure (C</w:t>
      </w:r>
      <w:r w:rsidRPr="002026EE">
        <w:rPr>
          <w:vertAlign w:val="subscript"/>
        </w:rPr>
        <w:t>avg</w:t>
      </w:r>
      <w:r w:rsidRPr="002026EE">
        <w:t xml:space="preserve"> and C</w:t>
      </w:r>
      <w:r w:rsidRPr="002026EE">
        <w:rPr>
          <w:vertAlign w:val="subscript"/>
        </w:rPr>
        <w:t>max</w:t>
      </w:r>
      <w:r w:rsidRPr="002026EE">
        <w:t>) and any of ORR, best overall response (BOR), duration of response (DOR) or changes in tumour size. Although there was a trend towards improved PFS with increased exposure, the association was reported as inconclusive.</w:t>
      </w:r>
    </w:p>
    <w:p w14:paraId="0A2A8A82" w14:textId="2DE4F9C3" w:rsidR="002026EE" w:rsidRPr="002026EE" w:rsidRDefault="002026EE" w:rsidP="002026EE">
      <w:r w:rsidRPr="002026EE">
        <w:t>The exposure-safety pooled dataset included data from a wide range of doses and both tablet and capsule formulations. A statistically significant association was observed between capmatinib exposure and occurrence of nausea/vomiting events. The odds ratios (ORs) associated with a 50% increase in exposure to capmatinib (C</w:t>
      </w:r>
      <w:r w:rsidRPr="002026EE">
        <w:rPr>
          <w:vertAlign w:val="subscript"/>
        </w:rPr>
        <w:t>max</w:t>
      </w:r>
      <w:r w:rsidRPr="002026EE">
        <w:t xml:space="preserve"> and C</w:t>
      </w:r>
      <w:r w:rsidRPr="002026EE">
        <w:rPr>
          <w:vertAlign w:val="subscript"/>
        </w:rPr>
        <w:t>avg</w:t>
      </w:r>
      <w:r w:rsidRPr="002026EE">
        <w:t>) were 1.28 and 1.31. No association was observed between capmatinib exposure and hepatic enzyme abnormalities</w:t>
      </w:r>
      <w:r w:rsidR="0078065D">
        <w:t xml:space="preserve">. </w:t>
      </w:r>
      <w:r w:rsidRPr="002026EE">
        <w:t xml:space="preserve"> </w:t>
      </w:r>
      <w:r w:rsidR="008D0ABC" w:rsidRPr="008D0ABC">
        <w:t xml:space="preserve">There was a positive, but weak, association between capmatinib exposure and the occurrence of peripheral </w:t>
      </w:r>
      <w:r w:rsidR="00310AB1">
        <w:t>o</w:t>
      </w:r>
      <w:r w:rsidR="008D0ABC" w:rsidRPr="008D0ABC">
        <w:t>edema (of any CTC grade) events.</w:t>
      </w:r>
    </w:p>
    <w:p w14:paraId="1D1053DA" w14:textId="77777777" w:rsidR="002026EE" w:rsidRPr="002026EE" w:rsidRDefault="002026EE" w:rsidP="002026EE">
      <w:r w:rsidRPr="002026EE">
        <w:t>No meaningful impact of capmatinib concentration on change in QTcF was identified.</w:t>
      </w:r>
    </w:p>
    <w:p w14:paraId="166D95A2" w14:textId="77777777" w:rsidR="002026EE" w:rsidRPr="002026EE" w:rsidRDefault="002026EE" w:rsidP="002026EE">
      <w:r w:rsidRPr="002026EE">
        <w:t>A statistically significant association was observed between capmatinib exposure and pancreatic enzyme abnormalities. For amylase, the ORs associated with a 50% increase in capmatinib exposure (C</w:t>
      </w:r>
      <w:r w:rsidRPr="002026EE">
        <w:rPr>
          <w:vertAlign w:val="subscript"/>
        </w:rPr>
        <w:t>max</w:t>
      </w:r>
      <w:r w:rsidRPr="002026EE">
        <w:t xml:space="preserve"> and C</w:t>
      </w:r>
      <w:r w:rsidRPr="002026EE">
        <w:rPr>
          <w:vertAlign w:val="subscript"/>
        </w:rPr>
        <w:t>avg</w:t>
      </w:r>
      <w:r w:rsidRPr="002026EE">
        <w:t>) were 1.50 and 1.37, respectively. For lipase, the ORs associated with a 50% increase in capmatinib exposure were 1.34 and 1.27, respectively.</w:t>
      </w:r>
    </w:p>
    <w:p w14:paraId="05122D9D" w14:textId="77777777" w:rsidR="002026EE" w:rsidRPr="002026EE" w:rsidRDefault="002026EE" w:rsidP="002026EE">
      <w:pPr>
        <w:pStyle w:val="Heading4"/>
      </w:pPr>
      <w:bookmarkStart w:id="50" w:name="_Toc234928954"/>
      <w:r w:rsidRPr="002026EE">
        <w:t>Efficacy</w:t>
      </w:r>
      <w:bookmarkEnd w:id="50"/>
    </w:p>
    <w:p w14:paraId="256C97A2" w14:textId="77777777" w:rsidR="002026EE" w:rsidRPr="002026EE" w:rsidRDefault="002026EE" w:rsidP="002026EE">
      <w:r w:rsidRPr="002026EE">
        <w:t>The proposed use of capmatinib is supported by efficacy data from the following studies:</w:t>
      </w:r>
    </w:p>
    <w:p w14:paraId="5201F326" w14:textId="77777777" w:rsidR="002026EE" w:rsidRPr="002026EE" w:rsidRDefault="002026EE" w:rsidP="002026EE">
      <w:pPr>
        <w:numPr>
          <w:ilvl w:val="0"/>
          <w:numId w:val="14"/>
        </w:numPr>
      </w:pPr>
      <w:r w:rsidRPr="002026EE">
        <w:t>Phase 2 Study GEOMETRY MONO-1/ CINC280A2201 (Study A2201)</w:t>
      </w:r>
    </w:p>
    <w:p w14:paraId="2FD9D5B8" w14:textId="77777777" w:rsidR="002026EE" w:rsidRPr="002026EE" w:rsidRDefault="002026EE" w:rsidP="002026EE">
      <w:pPr>
        <w:numPr>
          <w:ilvl w:val="0"/>
          <w:numId w:val="14"/>
        </w:numPr>
      </w:pPr>
      <w:r w:rsidRPr="002026EE">
        <w:t xml:space="preserve">Phase 3 study </w:t>
      </w:r>
      <w:proofErr w:type="spellStart"/>
      <w:r w:rsidRPr="002026EE">
        <w:t>GeoMETry</w:t>
      </w:r>
      <w:proofErr w:type="spellEnd"/>
      <w:r w:rsidRPr="002026EE">
        <w:t>-III/ CINC280A2301 (Study A2301).</w:t>
      </w:r>
      <w:r w:rsidRPr="002026EE">
        <w:tab/>
      </w:r>
    </w:p>
    <w:p w14:paraId="52E8B04F" w14:textId="77777777" w:rsidR="002026EE" w:rsidRPr="002026EE" w:rsidRDefault="002026EE" w:rsidP="002026EE">
      <w:pPr>
        <w:numPr>
          <w:ilvl w:val="0"/>
          <w:numId w:val="14"/>
        </w:numPr>
      </w:pPr>
      <w:r w:rsidRPr="002026EE">
        <w:t>Real world evidence (RWE) Study CINC280X2401 (Study X2401)</w:t>
      </w:r>
    </w:p>
    <w:p w14:paraId="43C0B6F1" w14:textId="77777777" w:rsidR="002026EE" w:rsidRPr="002026EE" w:rsidRDefault="002026EE" w:rsidP="002026EE">
      <w:pPr>
        <w:numPr>
          <w:ilvl w:val="0"/>
          <w:numId w:val="14"/>
        </w:numPr>
      </w:pPr>
      <w:r w:rsidRPr="002026EE">
        <w:t>RWE Study CINC280A2405 (Study A2405)</w:t>
      </w:r>
    </w:p>
    <w:p w14:paraId="03CC288A" w14:textId="77777777" w:rsidR="002026EE" w:rsidRPr="002026EE" w:rsidRDefault="002026EE" w:rsidP="002026EE">
      <w:pPr>
        <w:pStyle w:val="Heading5"/>
      </w:pPr>
      <w:r w:rsidRPr="002026EE">
        <w:lastRenderedPageBreak/>
        <w:t>Pivotal trial: Study A2201 (CINC280A2201; GEOMETRY MONO-1)</w:t>
      </w:r>
    </w:p>
    <w:p w14:paraId="4A3BDAEC" w14:textId="7A0E2D7A" w:rsidR="002026EE" w:rsidRPr="002026EE" w:rsidRDefault="002026EE" w:rsidP="002026EE">
      <w:r w:rsidRPr="002026EE">
        <w:t>The pivotal study A2201 (NCT02414139) was a multicentre, open-label, phase 2 study to evaluate the efficacy and safety of single-agent capmatinib in patients with EGFR wild-type (</w:t>
      </w:r>
      <w:proofErr w:type="spellStart"/>
      <w:r w:rsidRPr="002026EE">
        <w:t>wt</w:t>
      </w:r>
      <w:proofErr w:type="spellEnd"/>
      <w:r w:rsidRPr="002026EE">
        <w:t xml:space="preserve">), ALK-negative rearrangement, locally advanced (Stage IIIB) or metastatic (Stage IV) NSCLC with prospective central laboratory confirmation of </w:t>
      </w:r>
      <w:r w:rsidRPr="002026EE">
        <w:rPr>
          <w:iCs/>
        </w:rPr>
        <w:t xml:space="preserve">MET∆ex14 </w:t>
      </w:r>
      <w:r w:rsidRPr="002026EE">
        <w:t xml:space="preserve">by </w:t>
      </w:r>
      <w:r w:rsidR="00A549D0">
        <w:t>reverse transcription polymerase ch</w:t>
      </w:r>
      <w:r w:rsidR="00F60858">
        <w:t>ain reaction</w:t>
      </w:r>
      <w:r w:rsidRPr="002026EE">
        <w:t xml:space="preserve"> and/or MET amplification by </w:t>
      </w:r>
      <w:r w:rsidR="00A549D0">
        <w:t>fluorescence in situ hybridisation</w:t>
      </w:r>
      <w:r w:rsidR="00DF6505">
        <w:rPr>
          <w:rStyle w:val="FootnoteReference"/>
        </w:rPr>
        <w:footnoteReference w:id="14"/>
      </w:r>
      <w:r w:rsidRPr="002026EE">
        <w:t>.</w:t>
      </w:r>
    </w:p>
    <w:p w14:paraId="6D0143FA" w14:textId="77777777" w:rsidR="002026EE" w:rsidRPr="002026EE" w:rsidRDefault="002026EE" w:rsidP="002026EE">
      <w:r w:rsidRPr="002026EE">
        <w:t>Study treatment was open label capmatinib 400 mg BD using the tablet formulation, administered continuously in 21-day cycles. All patients received the same treatment regimen irrespective of the cohort to which they were allocated.</w:t>
      </w:r>
    </w:p>
    <w:p w14:paraId="6499C69A" w14:textId="67260211" w:rsidR="002026EE" w:rsidRPr="002026EE" w:rsidRDefault="002026EE" w:rsidP="002026EE">
      <w:r w:rsidRPr="002026EE">
        <w:t xml:space="preserve">Approximately 456 patients aged ≥18 years were planned to be enrolled in the study in 9 cohorts depending on prior treatment and MET-mutation and/or MET-amplification status. The study cohorts relevant to the proposed indication for treatment of </w:t>
      </w:r>
      <w:r w:rsidRPr="002026EE">
        <w:rPr>
          <w:iCs/>
        </w:rPr>
        <w:t>MET∆ex14 NSCLC</w:t>
      </w:r>
      <w:r w:rsidRPr="002026EE">
        <w:t xml:space="preserve"> are Cohorts 4 and 6 for pre-treated patients (n=100); and Cohorts 5b and 7 for treatment naïve patients (n=60). All other cohorts comprised patients without a confirmed MET</w:t>
      </w:r>
      <w:r w:rsidR="00CE5E3D" w:rsidRPr="00CE5E3D">
        <w:t>∆</w:t>
      </w:r>
      <w:r w:rsidRPr="002026EE">
        <w:t>ex14 mutation.</w:t>
      </w:r>
    </w:p>
    <w:p w14:paraId="7A64FAA7" w14:textId="38BE2AE1" w:rsidR="002026EE" w:rsidRPr="002026EE" w:rsidRDefault="002026EE" w:rsidP="002026EE">
      <w:pPr>
        <w:rPr>
          <w:iCs/>
        </w:rPr>
      </w:pPr>
      <w:r w:rsidRPr="002026EE">
        <w:rPr>
          <w:iCs/>
        </w:rPr>
        <w:t xml:space="preserve">The primary endpoint was ORR by </w:t>
      </w:r>
      <w:r w:rsidR="008B3AD3">
        <w:rPr>
          <w:iCs/>
        </w:rPr>
        <w:t>b</w:t>
      </w:r>
      <w:r w:rsidR="00B13B67" w:rsidRPr="00B13B67">
        <w:rPr>
          <w:iCs/>
        </w:rPr>
        <w:t xml:space="preserve">linded </w:t>
      </w:r>
      <w:r w:rsidR="008B3AD3">
        <w:rPr>
          <w:iCs/>
        </w:rPr>
        <w:t>i</w:t>
      </w:r>
      <w:r w:rsidR="00B13B67" w:rsidRPr="00B13B67">
        <w:rPr>
          <w:iCs/>
        </w:rPr>
        <w:t xml:space="preserve">ndependent </w:t>
      </w:r>
      <w:r w:rsidR="008B3AD3">
        <w:rPr>
          <w:iCs/>
        </w:rPr>
        <w:t>c</w:t>
      </w:r>
      <w:r w:rsidR="00B13B67" w:rsidRPr="00B13B67">
        <w:rPr>
          <w:iCs/>
        </w:rPr>
        <w:t xml:space="preserve">entral </w:t>
      </w:r>
      <w:r w:rsidR="008B3AD3">
        <w:rPr>
          <w:iCs/>
        </w:rPr>
        <w:t>r</w:t>
      </w:r>
      <w:r w:rsidR="00B13B67" w:rsidRPr="00B13B67">
        <w:rPr>
          <w:iCs/>
        </w:rPr>
        <w:t xml:space="preserve">eview </w:t>
      </w:r>
      <w:r w:rsidR="00B13B67">
        <w:rPr>
          <w:iCs/>
        </w:rPr>
        <w:t>(</w:t>
      </w:r>
      <w:r w:rsidRPr="002026EE">
        <w:rPr>
          <w:iCs/>
        </w:rPr>
        <w:t>BIRC</w:t>
      </w:r>
      <w:r w:rsidR="00B13B67">
        <w:rPr>
          <w:iCs/>
        </w:rPr>
        <w:t>)</w:t>
      </w:r>
      <w:r w:rsidRPr="002026EE">
        <w:rPr>
          <w:iCs/>
        </w:rPr>
        <w:t xml:space="preserve"> per </w:t>
      </w:r>
      <w:r w:rsidR="008B3AD3" w:rsidRPr="008B3AD3">
        <w:rPr>
          <w:iCs/>
        </w:rPr>
        <w:t xml:space="preserve">Response Evaluation Criteria in Solid Tumors </w:t>
      </w:r>
      <w:r w:rsidR="008B3AD3">
        <w:rPr>
          <w:iCs/>
        </w:rPr>
        <w:t>(</w:t>
      </w:r>
      <w:r w:rsidRPr="002026EE">
        <w:rPr>
          <w:iCs/>
        </w:rPr>
        <w:t>RECIST</w:t>
      </w:r>
      <w:r w:rsidR="008B3AD3">
        <w:rPr>
          <w:iCs/>
        </w:rPr>
        <w:t>)</w:t>
      </w:r>
      <w:r w:rsidRPr="002026EE">
        <w:rPr>
          <w:iCs/>
        </w:rPr>
        <w:t xml:space="preserve"> 1.1. The key secondary endpoint was DOR by BIRC.</w:t>
      </w:r>
    </w:p>
    <w:p w14:paraId="0EF0CA6A" w14:textId="77777777" w:rsidR="002026EE" w:rsidRPr="002026EE" w:rsidRDefault="002026EE" w:rsidP="002026EE">
      <w:r w:rsidRPr="002026EE">
        <w:t>Treatment with capmatinib was considered to have clinically relevant efficacy in Cohort 4 if an ORR of ≥35% was observed with the lower bound of the 95% CI &gt;25%. In Cohorts 5b and 7, treatment with capmatinib was considered to have clinically relevant efficacy if an ORR of ≥55% was observed with the lower bound of the 95% CI &gt;35%. No hypothesis testing was planned for Cohort 6 as its main purpose was to generate supportive data.</w:t>
      </w:r>
    </w:p>
    <w:p w14:paraId="4691EDCB" w14:textId="77777777" w:rsidR="002026EE" w:rsidRPr="002026EE" w:rsidRDefault="002026EE" w:rsidP="00C01ED9">
      <w:pPr>
        <w:pStyle w:val="Heading6"/>
      </w:pPr>
      <w:r w:rsidRPr="002026EE">
        <w:t>Baseline characteristics</w:t>
      </w:r>
    </w:p>
    <w:p w14:paraId="675C61CE" w14:textId="77777777" w:rsidR="002026EE" w:rsidRPr="002026EE" w:rsidRDefault="002026EE" w:rsidP="002026EE">
      <w:r w:rsidRPr="002026EE">
        <w:t>The baseline demographic and disease characteristics of study patients were consistent with those generally observed in patients with EGFR wild-type, ALK-negative rearrangement, advanced or metastatic NSCLC with MET amplification and/or mutations.</w:t>
      </w:r>
    </w:p>
    <w:p w14:paraId="5E210C9A" w14:textId="77777777" w:rsidR="002026EE" w:rsidRPr="002026EE" w:rsidRDefault="002026EE" w:rsidP="002026EE">
      <w:r w:rsidRPr="002026EE">
        <w:t>Among MET∆ex14 NSCLC patients who were treatment naïve (Cohorts 5b+7), most were female (68.3%) and never smokers (63.3%). The median age was 72.5 years (range: 48, 86). Most had adenocarcinoma (90.0%) and 38.3% had &gt;3 metastatic sites. The most common metastatic sites were lymph nodes (55.0%) and bone (55.0%); brain lesions were reported in 15.0% of patients.</w:t>
      </w:r>
    </w:p>
    <w:p w14:paraId="34ED57F2" w14:textId="77777777" w:rsidR="002026EE" w:rsidRPr="002026EE" w:rsidRDefault="002026EE" w:rsidP="002026EE">
      <w:r w:rsidRPr="002026EE">
        <w:t>Among MET∆ex14 NSCLC patients who were treatment-experienced (Cohorts 4+6), most were female (56.0%) and never smokers (59.0%). Median age was 70 years (range: 49, 90).  Most had adenocarcinoma (78.0%) and 53.0% had &gt;3 metastatic sites. The most common metastatic sites were lymph nodes (68.0%) and bone (62.0%); brain lesions were reported in 17.0% of patients. A single prior line of therapy was reported for 81% of patients, most commonly platinum doublet-based chemotherapy (85%); 32.0% had received immunotherapy, most commonly pembrolizumab (18%).</w:t>
      </w:r>
    </w:p>
    <w:p w14:paraId="77900E06" w14:textId="77777777" w:rsidR="002026EE" w:rsidRPr="002026EE" w:rsidRDefault="002026EE" w:rsidP="00C01ED9">
      <w:pPr>
        <w:pStyle w:val="Heading6"/>
      </w:pPr>
      <w:r w:rsidRPr="002026EE">
        <w:t>Primary endpoint: ORR by BIRC</w:t>
      </w:r>
    </w:p>
    <w:p w14:paraId="6C76EAD9" w14:textId="77777777" w:rsidR="002026EE" w:rsidRPr="002026EE" w:rsidRDefault="002026EE" w:rsidP="002026EE">
      <w:r w:rsidRPr="002026EE">
        <w:t>The median duration of follow-up was 71.5 months (range: 61.4 to 85.2) in Cohort 4, 51.4 months (range: 47.5 to 58.6) in Cohort 6, 65.8 months (range: 59.3 to 73.9) in Cohort 5b, and 41.8 months (range: 38.1 to 47.1) in Cohort 7. Note that enrolment in Cohorts 6 and 7 started only after recruitment was completed in Cohorts 4 and 5b, respectively.</w:t>
      </w:r>
    </w:p>
    <w:p w14:paraId="291C6B9D" w14:textId="05C3F770" w:rsidR="002026EE" w:rsidRDefault="002026EE" w:rsidP="002026EE">
      <w:r w:rsidRPr="002026EE">
        <w:lastRenderedPageBreak/>
        <w:t>The prespecified clinically meaningful thresholds for the primary endpoint in patients with MET∆ex14 NSCLC were met (</w:t>
      </w:r>
      <w:r w:rsidR="006706AB">
        <w:t>Table 4</w:t>
      </w:r>
      <w:r w:rsidRPr="002026EE">
        <w:t>). The ORRs by BIRC were 68.3% (95% CI:55.0, 79.7) in treatment naïve patients (Cohorts 5b + 7), and 44.0% (95% CI: 34.1, 54.3) in pre-treated patients (Cohorts 4 + 6).</w:t>
      </w:r>
    </w:p>
    <w:p w14:paraId="1A998657" w14:textId="293D0BB7" w:rsidR="00D14655" w:rsidRDefault="00D14655" w:rsidP="00C053EF">
      <w:pPr>
        <w:pStyle w:val="TableTitle"/>
      </w:pPr>
      <w:r w:rsidRPr="00D14655">
        <w:t xml:space="preserve">Table </w:t>
      </w:r>
      <w:r>
        <w:t>4</w:t>
      </w:r>
      <w:r w:rsidR="006706AB">
        <w:t>.</w:t>
      </w:r>
      <w:r w:rsidRPr="00D14655">
        <w:t xml:space="preserve"> Best overall response per BIRC by cohort for patients with MET∆ex14 NSCLC (Full analysis set</w:t>
      </w:r>
      <w:r w:rsidR="00C053EF">
        <w:t>)</w:t>
      </w:r>
    </w:p>
    <w:p w14:paraId="7F061A88" w14:textId="2834C97F" w:rsidR="00D41F36" w:rsidRDefault="00D41F36" w:rsidP="002026EE">
      <w:r w:rsidRPr="0036485F">
        <w:rPr>
          <w:noProof/>
        </w:rPr>
        <w:drawing>
          <wp:inline distT="0" distB="0" distL="0" distR="0" wp14:anchorId="0C22CACE" wp14:editId="79321103">
            <wp:extent cx="5662747" cy="4094922"/>
            <wp:effectExtent l="0" t="0" r="0" b="1270"/>
            <wp:docPr id="319008048" name="Picture 1" descr="Table 4. Best overall response per BIRC by cohort for patients with MET∆ex14 NSCLC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008048" name="Picture 1" descr="Table 4. Best overall response per BIRC by cohort for patients with MET∆ex14 NSCLC (Full analysis set)"/>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Lst>
                    </a:blip>
                    <a:stretch>
                      <a:fillRect/>
                    </a:stretch>
                  </pic:blipFill>
                  <pic:spPr>
                    <a:xfrm>
                      <a:off x="0" y="0"/>
                      <a:ext cx="5718203" cy="4135024"/>
                    </a:xfrm>
                    <a:prstGeom prst="rect">
                      <a:avLst/>
                    </a:prstGeom>
                  </pic:spPr>
                </pic:pic>
              </a:graphicData>
            </a:graphic>
          </wp:inline>
        </w:drawing>
      </w:r>
    </w:p>
    <w:p w14:paraId="37B9005C" w14:textId="77777777" w:rsidR="0017151A" w:rsidRDefault="0017151A" w:rsidP="0017151A">
      <w:pPr>
        <w:pStyle w:val="TableDescription"/>
      </w:pPr>
      <w:r>
        <w:t>N: The total number of patients in FAS. It is the denominator for percentage (%) calculation.</w:t>
      </w:r>
    </w:p>
    <w:p w14:paraId="4F4FA462" w14:textId="77777777" w:rsidR="0017151A" w:rsidRDefault="0017151A" w:rsidP="0017151A">
      <w:pPr>
        <w:pStyle w:val="TableDescription"/>
      </w:pPr>
      <w:r>
        <w:t>n: Number of subjects who are at the corresponding category.</w:t>
      </w:r>
    </w:p>
    <w:p w14:paraId="3D623113" w14:textId="77777777" w:rsidR="0017151A" w:rsidRDefault="0017151A" w:rsidP="0017151A">
      <w:pPr>
        <w:pStyle w:val="TableDescription"/>
      </w:pPr>
      <w:r>
        <w:t>[a] Exact binomial 95% Confidence Interval.</w:t>
      </w:r>
    </w:p>
    <w:p w14:paraId="347890ED" w14:textId="7B0167D6" w:rsidR="0017151A" w:rsidRDefault="0017151A" w:rsidP="0017151A">
      <w:pPr>
        <w:pStyle w:val="TableDescription"/>
      </w:pPr>
      <w:r>
        <w:t>[b]: Unknown as per RECIST 1.1 i.e., not qualified for confirmed CR or PR and without SD after &gt; 6 weeks or early progression within the first 12 weeks.</w:t>
      </w:r>
    </w:p>
    <w:p w14:paraId="025D180A" w14:textId="77777777" w:rsidR="00670E78" w:rsidRDefault="00670E78" w:rsidP="00670E78">
      <w:r>
        <w:t>No concerning trends were identified in analyses of ORR per BICR in pre-specified subgroups.</w:t>
      </w:r>
    </w:p>
    <w:p w14:paraId="486FFA8B" w14:textId="77777777" w:rsidR="00670E78" w:rsidRDefault="00670E78" w:rsidP="00670E78">
      <w:pPr>
        <w:pStyle w:val="Heading6"/>
      </w:pPr>
      <w:r>
        <w:t>Key secondary endpoint: DOR by BIRC</w:t>
      </w:r>
    </w:p>
    <w:p w14:paraId="0AEB8835" w14:textId="77777777" w:rsidR="00670E78" w:rsidRDefault="00670E78" w:rsidP="00670E78">
      <w:r>
        <w:t>The median follow-up time for DOR (from the start of response to the date of event/censoring on or prior to the LPLV date) for treatment naïve patients was 11.1 months (range: 2.8 to 60.8) in Cohort 5b, and 11.1 months (range: 2.1 to 42.9) in Cohort 7. For pretreated patients, it was 9.7 months (range: 2.8 to 51.7) for Cohort 4, and 9.1 months (range: 2.8 to 45.6) for Cohort 6.</w:t>
      </w:r>
    </w:p>
    <w:p w14:paraId="08D51E57" w14:textId="110ECDEA" w:rsidR="00670E78" w:rsidRDefault="00670E78" w:rsidP="00670E78">
      <w:r>
        <w:t xml:space="preserve">The median durations of response per BIRC were 16.6 months (95% CI: 8.4, 22.1) in treatment naïve patients (Cohorts 5b + 7) and 9.7 months (95% CI: 5.6, 13.0) in all pretreated patients (Cohorts 4 + 6) (Table </w:t>
      </w:r>
      <w:r w:rsidR="004A3801">
        <w:t>5</w:t>
      </w:r>
      <w:r>
        <w:t>).</w:t>
      </w:r>
    </w:p>
    <w:p w14:paraId="13E87D6D" w14:textId="77777777" w:rsidR="00C90396" w:rsidRDefault="00670E78" w:rsidP="00057194">
      <w:pPr>
        <w:pStyle w:val="TableTitle"/>
      </w:pPr>
      <w:r>
        <w:lastRenderedPageBreak/>
        <w:t xml:space="preserve">Table </w:t>
      </w:r>
      <w:r w:rsidR="004A3801">
        <w:t>5</w:t>
      </w:r>
      <w:r w:rsidR="00054EBB">
        <w:t>.</w:t>
      </w:r>
      <w:r>
        <w:t xml:space="preserve"> Summary of duration of response (CR+PR) per BIRC assessment by cohort for patients with MET∆ex14 NSCLC (Full analysis set)</w:t>
      </w:r>
    </w:p>
    <w:p w14:paraId="544F7FAE" w14:textId="5B238F85" w:rsidR="00670E78" w:rsidRDefault="00C90396" w:rsidP="00670E78">
      <w:r w:rsidRPr="00F31093">
        <w:rPr>
          <w:noProof/>
        </w:rPr>
        <w:drawing>
          <wp:inline distT="0" distB="0" distL="0" distR="0" wp14:anchorId="7E45C5A4" wp14:editId="63A9F512">
            <wp:extent cx="5759450" cy="4751705"/>
            <wp:effectExtent l="0" t="0" r="0" b="0"/>
            <wp:docPr id="1597511389" name="Picture 1" descr="Table 5. Summary of duration of response (CR+PR) per BIRC assessment by cohort for patients with MET∆ex14 NSCLC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511389" name="Picture 1" descr="Table 5. Summary of duration of response (CR+PR) per BIRC assessment by cohort for patients with MET∆ex14 NSCLC (Full analysis set)"/>
                    <pic:cNvPicPr/>
                  </pic:nvPicPr>
                  <pic:blipFill>
                    <a:blip r:embed="rId35"/>
                    <a:stretch>
                      <a:fillRect/>
                    </a:stretch>
                  </pic:blipFill>
                  <pic:spPr>
                    <a:xfrm>
                      <a:off x="0" y="0"/>
                      <a:ext cx="5759450" cy="4751705"/>
                    </a:xfrm>
                    <a:prstGeom prst="rect">
                      <a:avLst/>
                    </a:prstGeom>
                  </pic:spPr>
                </pic:pic>
              </a:graphicData>
            </a:graphic>
          </wp:inline>
        </w:drawing>
      </w:r>
    </w:p>
    <w:p w14:paraId="3E681D71" w14:textId="77777777" w:rsidR="00054EBB" w:rsidRDefault="00054EBB" w:rsidP="00054EBB">
      <w:pPr>
        <w:pStyle w:val="TableDescription"/>
      </w:pPr>
      <w:r>
        <w:t>N: The total number of subjects with confirmed CR or PR in FAS. It is the denominator for percentage (%) calculation.</w:t>
      </w:r>
    </w:p>
    <w:p w14:paraId="3B3E4501" w14:textId="77777777" w:rsidR="00054EBB" w:rsidRDefault="00054EBB" w:rsidP="00054EBB">
      <w:pPr>
        <w:pStyle w:val="TableDescription"/>
      </w:pPr>
      <w:r>
        <w:t>n: Number of subjects who are at the corresponding category.</w:t>
      </w:r>
    </w:p>
    <w:p w14:paraId="5EE9FFBE" w14:textId="77777777" w:rsidR="00054EBB" w:rsidRDefault="00054EBB" w:rsidP="00054EBB">
      <w:pPr>
        <w:pStyle w:val="TableDescription"/>
      </w:pPr>
      <w:r>
        <w:t>[1] Follow-up time for DOR (months) = (Date of event or censoring – Start date of response + 1)/30.4375</w:t>
      </w:r>
    </w:p>
    <w:p w14:paraId="520507B2" w14:textId="77777777" w:rsidR="00054EBB" w:rsidRDefault="00054EBB" w:rsidP="00054EBB">
      <w:pPr>
        <w:pStyle w:val="TableDescription"/>
      </w:pPr>
      <w:r>
        <w:t>*The total number of responders is the denominator for percentage (%) calculation.</w:t>
      </w:r>
    </w:p>
    <w:p w14:paraId="13AF8DF3" w14:textId="77777777" w:rsidR="00336325" w:rsidRPr="00336325" w:rsidRDefault="00336325" w:rsidP="00336325">
      <w:pPr>
        <w:pStyle w:val="Heading5"/>
      </w:pPr>
      <w:r w:rsidRPr="00336325">
        <w:t>Other efficacy studies</w:t>
      </w:r>
    </w:p>
    <w:p w14:paraId="50E5509C" w14:textId="77777777" w:rsidR="00336325" w:rsidRPr="00336325" w:rsidRDefault="00336325" w:rsidP="00336325">
      <w:pPr>
        <w:pStyle w:val="Heading6"/>
        <w:rPr>
          <w:iCs/>
        </w:rPr>
      </w:pPr>
      <w:r w:rsidRPr="00336325">
        <w:rPr>
          <w:iCs/>
        </w:rPr>
        <w:t>Phase 3 study A2301 (</w:t>
      </w:r>
      <w:r w:rsidRPr="00336325">
        <w:t xml:space="preserve">CINC280A2301; </w:t>
      </w:r>
      <w:proofErr w:type="spellStart"/>
      <w:r w:rsidRPr="00336325">
        <w:t>GeoMETry</w:t>
      </w:r>
      <w:proofErr w:type="spellEnd"/>
      <w:r w:rsidRPr="00336325">
        <w:t>-III)</w:t>
      </w:r>
    </w:p>
    <w:p w14:paraId="08524665" w14:textId="77777777" w:rsidR="00336325" w:rsidRPr="00336325" w:rsidRDefault="00336325" w:rsidP="00336325">
      <w:pPr>
        <w:rPr>
          <w:iCs/>
        </w:rPr>
      </w:pPr>
      <w:r w:rsidRPr="00336325">
        <w:rPr>
          <w:iCs/>
        </w:rPr>
        <w:t xml:space="preserve">Study A2301 was a phase 3, randomised, controlled, open-label, multicentre study of capmatinib versus docetaxel (randomised 2:1) in previously treated patients with EGFR </w:t>
      </w:r>
      <w:proofErr w:type="spellStart"/>
      <w:r w:rsidRPr="00336325">
        <w:rPr>
          <w:iCs/>
        </w:rPr>
        <w:t>wt</w:t>
      </w:r>
      <w:proofErr w:type="spellEnd"/>
      <w:r w:rsidRPr="00336325">
        <w:rPr>
          <w:iCs/>
        </w:rPr>
        <w:t>, ALK negative, locally advanced (stage IIIB/IIIC) or metastatic (Stage IV) MET∆ex14 NSCLC (staging per the 8</w:t>
      </w:r>
      <w:r w:rsidRPr="00336325">
        <w:rPr>
          <w:iCs/>
          <w:vertAlign w:val="superscript"/>
        </w:rPr>
        <w:t>th</w:t>
      </w:r>
      <w:r w:rsidRPr="00336325">
        <w:rPr>
          <w:iCs/>
        </w:rPr>
        <w:t xml:space="preserve"> TNM edition). The primary endpoint was PFS by BIRC.</w:t>
      </w:r>
    </w:p>
    <w:p w14:paraId="57633C60" w14:textId="77777777" w:rsidR="00336325" w:rsidRPr="00336325" w:rsidRDefault="00336325" w:rsidP="00336325">
      <w:pPr>
        <w:rPr>
          <w:iCs/>
        </w:rPr>
      </w:pPr>
      <w:r w:rsidRPr="00336325">
        <w:rPr>
          <w:iCs/>
        </w:rPr>
        <w:t>Due to changes in the treatment landscape leading to recruitment difficulties, the sponsor decided to permanently halt recruitment in Sep 2022 with 22 out of the planned 90 participants randomised, and 21 treated (15 with capmatinib and 6 with docetaxel). The early study closure was not driven by any safety concerns.</w:t>
      </w:r>
    </w:p>
    <w:p w14:paraId="151004BF" w14:textId="77777777" w:rsidR="00336325" w:rsidRPr="00336325" w:rsidRDefault="00336325" w:rsidP="00336325">
      <w:pPr>
        <w:rPr>
          <w:iCs/>
        </w:rPr>
      </w:pPr>
      <w:r w:rsidRPr="00336325">
        <w:rPr>
          <w:iCs/>
        </w:rPr>
        <w:t xml:space="preserve">At the primary analysis, PFS by BIRC was not statistically significantly different between the 2 treatment arms (HR: 0.46; 95% CI: 0.16, 1.30; one-sided p = 0.066). Median PFS was 6.1 months (95% CI: 1.6, 11.1) in the capmatinib arm compared to 4.1 months (95% CI: 1.2, NE) with docetaxel. </w:t>
      </w:r>
    </w:p>
    <w:p w14:paraId="2292CD02" w14:textId="77777777" w:rsidR="00336325" w:rsidRPr="00336325" w:rsidRDefault="00336325" w:rsidP="00336325">
      <w:pPr>
        <w:rPr>
          <w:iCs/>
        </w:rPr>
      </w:pPr>
      <w:r w:rsidRPr="00336325">
        <w:rPr>
          <w:iCs/>
        </w:rPr>
        <w:lastRenderedPageBreak/>
        <w:t>ORR per BIRC, the key secondary endpoint, was 53.3% (95% CI: 26.6, 78.7) in the capmatinib arm compared to 0% (95% CI: 0, 41.0) with docetaxel.</w:t>
      </w:r>
    </w:p>
    <w:p w14:paraId="74CF9359" w14:textId="77777777" w:rsidR="00336325" w:rsidRPr="00336325" w:rsidRDefault="00336325" w:rsidP="00336325">
      <w:pPr>
        <w:rPr>
          <w:iCs/>
        </w:rPr>
      </w:pPr>
      <w:r w:rsidRPr="00336325">
        <w:rPr>
          <w:iCs/>
        </w:rPr>
        <w:t>OS results were heavily confounded by crossover from the docetaxel (5/6 participants treated) to capmatinib arm.</w:t>
      </w:r>
    </w:p>
    <w:p w14:paraId="0100769F" w14:textId="77777777" w:rsidR="00336325" w:rsidRPr="00336325" w:rsidRDefault="00336325" w:rsidP="00336325">
      <w:pPr>
        <w:pStyle w:val="Heading6"/>
      </w:pPr>
      <w:r w:rsidRPr="00336325">
        <w:t>RWE Study X2401 (CINC280X2401)</w:t>
      </w:r>
    </w:p>
    <w:p w14:paraId="09D37041" w14:textId="74A417FE" w:rsidR="00336325" w:rsidRPr="00336325" w:rsidRDefault="00336325" w:rsidP="00336325">
      <w:pPr>
        <w:rPr>
          <w:iCs/>
        </w:rPr>
      </w:pPr>
      <w:r w:rsidRPr="00336325">
        <w:rPr>
          <w:iCs/>
        </w:rPr>
        <w:t>A multinational (USA, Germany, Japan, Korea, France) medical record review assessed the natural history of patients with locally advanced or metastatic NSCLC with MET dysregulation (MET∆ex14 and/or MET-amplification), including clinical outcomes from systemic treatment. Outcomes considered were OS, PFS, B</w:t>
      </w:r>
      <w:r w:rsidR="006437E2">
        <w:rPr>
          <w:iCs/>
        </w:rPr>
        <w:t>O</w:t>
      </w:r>
      <w:r w:rsidRPr="00336325">
        <w:rPr>
          <w:iCs/>
        </w:rPr>
        <w:t>R and ORR. The number of patients treated with MET inhibitors was restricted to ≤50% of all medical records collected. MET inhibitors had not been approved at the time of this study and were only available off label or in clinical studies.</w:t>
      </w:r>
    </w:p>
    <w:p w14:paraId="0F8633D3" w14:textId="71E57589" w:rsidR="00336325" w:rsidRPr="00336325" w:rsidRDefault="00336325" w:rsidP="00336325">
      <w:pPr>
        <w:rPr>
          <w:iCs/>
        </w:rPr>
      </w:pPr>
      <w:r w:rsidRPr="00336325">
        <w:rPr>
          <w:iCs/>
        </w:rPr>
        <w:t>Data was included from 157 patients with MET∆ex14 NSLCLC. Their median age was 73 years (range: 31, 94), and approximately 4</w:t>
      </w:r>
      <w:r w:rsidR="001C16E4">
        <w:rPr>
          <w:iCs/>
        </w:rPr>
        <w:t>1</w:t>
      </w:r>
      <w:r w:rsidRPr="00336325">
        <w:rPr>
          <w:iCs/>
        </w:rPr>
        <w:t xml:space="preserve">% were never smokers. Most (68.8%) had Stage IV disease at diagnosis. Median number of lines of therapy was 1 (range: 0, 7). Platinum-based chemotherapy was the most common </w:t>
      </w:r>
      <w:r w:rsidR="006437E2">
        <w:rPr>
          <w:iCs/>
        </w:rPr>
        <w:t>first-line</w:t>
      </w:r>
      <w:r w:rsidRPr="00336325">
        <w:rPr>
          <w:iCs/>
        </w:rPr>
        <w:t xml:space="preserve"> treatment regimen. MET inhibitor treatment had been received by 31.2%.</w:t>
      </w:r>
    </w:p>
    <w:p w14:paraId="2A7EEC33" w14:textId="77777777" w:rsidR="00336325" w:rsidRPr="00336325" w:rsidRDefault="00336325" w:rsidP="00336325">
      <w:pPr>
        <w:rPr>
          <w:iCs/>
        </w:rPr>
      </w:pPr>
      <w:r w:rsidRPr="00336325">
        <w:rPr>
          <w:iCs/>
        </w:rPr>
        <w:t>Biomarker analysis confirmed that a MET mutation was usually mutually exclusive of other established molecular drivers (ALK, ROS1, BRAF, RET) although some co-occurrence with KRAS mutation was observed. Most patients had PD-L1 expression (41/58 tested [70.7%]), with most positive cases (61.0%) having high PDL1 expression (level ≥50%).</w:t>
      </w:r>
    </w:p>
    <w:p w14:paraId="623827BF" w14:textId="77777777" w:rsidR="00336325" w:rsidRDefault="00336325" w:rsidP="00336325">
      <w:pPr>
        <w:rPr>
          <w:iCs/>
        </w:rPr>
      </w:pPr>
      <w:r w:rsidRPr="00336325">
        <w:rPr>
          <w:iCs/>
        </w:rPr>
        <w:t>Median OS from first diagnosis of locally advanced/metastatic disease was 25.4 months (95% CI: 18.8, 40.9) for patients who received MET inhibitor therapy in any treatment line (n=49) versus 10.7 months (95% CI, 7.8, 14.4) without any MET inhibitor therapy (n=108).</w:t>
      </w:r>
    </w:p>
    <w:p w14:paraId="3CEEF262" w14:textId="30D2CAA3" w:rsidR="00597B0B" w:rsidRPr="00336325" w:rsidRDefault="00597B0B" w:rsidP="00336325">
      <w:pPr>
        <w:rPr>
          <w:iCs/>
        </w:rPr>
      </w:pPr>
      <w:r w:rsidRPr="00597B0B">
        <w:rPr>
          <w:iCs/>
        </w:rPr>
        <w:t>This study was not designed to allow comparative assessment of treatment effectiveness. The study authors highlighted several limitations including generalisability to the broader population of NSCLC patients with MET dysregulation, varying criteria used to assess clinical responses, accuracy of timing of progression events as patients were not managed under a strict protocol and potential for confounding by uncontrolled and unobserved factors.</w:t>
      </w:r>
    </w:p>
    <w:p w14:paraId="1740EBAE" w14:textId="77777777" w:rsidR="00336325" w:rsidRPr="00336325" w:rsidRDefault="00336325" w:rsidP="00336325">
      <w:pPr>
        <w:pStyle w:val="Heading6"/>
      </w:pPr>
      <w:r w:rsidRPr="00336325">
        <w:t>RWE Study A2405 (CINC280A2405)</w:t>
      </w:r>
    </w:p>
    <w:p w14:paraId="309E295C" w14:textId="77777777" w:rsidR="00336325" w:rsidRPr="00336325" w:rsidRDefault="00336325" w:rsidP="00336325">
      <w:pPr>
        <w:rPr>
          <w:iCs/>
        </w:rPr>
      </w:pPr>
      <w:r w:rsidRPr="00336325">
        <w:rPr>
          <w:iCs/>
        </w:rPr>
        <w:t xml:space="preserve">This non-interventional, retrospective, cohort study described the outcomes of patients with advanced MET∆ex14 NSCLC in the Flatiron Health Foundation Medicine </w:t>
      </w:r>
      <w:proofErr w:type="spellStart"/>
      <w:r w:rsidRPr="00336325">
        <w:rPr>
          <w:iCs/>
        </w:rPr>
        <w:t>Clinico</w:t>
      </w:r>
      <w:proofErr w:type="spellEnd"/>
      <w:r w:rsidRPr="00336325">
        <w:rPr>
          <w:iCs/>
        </w:rPr>
        <w:t>-Genomic Database (CGDB) compared to (</w:t>
      </w:r>
      <w:proofErr w:type="spellStart"/>
      <w:r w:rsidRPr="00336325">
        <w:rPr>
          <w:iCs/>
        </w:rPr>
        <w:t>i</w:t>
      </w:r>
      <w:proofErr w:type="spellEnd"/>
      <w:r w:rsidRPr="00336325">
        <w:rPr>
          <w:iCs/>
        </w:rPr>
        <w:t>) patients with MET∆ex14 NSCLC treated with capmatinib in cohorts 4 (pre-treated) and 5b (treatment-naive) of Study A2201 and (ii) to a matched cohort of MET-wild type patients in a real-world population.</w:t>
      </w:r>
    </w:p>
    <w:p w14:paraId="3EA57C46" w14:textId="77777777" w:rsidR="00336325" w:rsidRPr="00336325" w:rsidRDefault="00336325" w:rsidP="00336325">
      <w:pPr>
        <w:rPr>
          <w:iCs/>
        </w:rPr>
      </w:pPr>
      <w:r w:rsidRPr="00336325">
        <w:rPr>
          <w:iCs/>
        </w:rPr>
        <w:t>This was an exploratory study with a focus on estimation. No power calculations were carried out. Propensity score methods were used to reduce confounding due to differences in baseline characteristics.</w:t>
      </w:r>
    </w:p>
    <w:p w14:paraId="6D9D58B4" w14:textId="77777777" w:rsidR="00336325" w:rsidRPr="00336325" w:rsidRDefault="00336325" w:rsidP="00336325">
      <w:pPr>
        <w:rPr>
          <w:iCs/>
        </w:rPr>
      </w:pPr>
      <w:r w:rsidRPr="00336325">
        <w:rPr>
          <w:iCs/>
        </w:rPr>
        <w:t>The Real-World Cohorts were subject to survivorship bias due to the inclusion criteria of the CGDB. A lack of common support region between the Trial Cohort 4 and Real-World Cohort 4 resulted in high variability in the results, and these outcomes were not considered reliable.</w:t>
      </w:r>
    </w:p>
    <w:p w14:paraId="4860D1F9" w14:textId="77777777" w:rsidR="00336325" w:rsidRPr="00336325" w:rsidRDefault="00336325" w:rsidP="00336325">
      <w:pPr>
        <w:rPr>
          <w:iCs/>
        </w:rPr>
      </w:pPr>
      <w:r w:rsidRPr="00336325">
        <w:rPr>
          <w:iCs/>
        </w:rPr>
        <w:t>Numerically longer median OS and PFS were observed for Trial Cohort 5b (20.8 months and 12.0 months, respectively) compared with Real-World cohort 5b (14.8 months and 6.2 months, respectively).</w:t>
      </w:r>
    </w:p>
    <w:p w14:paraId="45641C8B" w14:textId="77777777" w:rsidR="00336325" w:rsidRPr="00336325" w:rsidRDefault="00336325" w:rsidP="00336325">
      <w:pPr>
        <w:pStyle w:val="Heading4"/>
      </w:pPr>
      <w:bookmarkStart w:id="51" w:name="_Toc234928955"/>
      <w:r w:rsidRPr="00336325">
        <w:lastRenderedPageBreak/>
        <w:t>Safety</w:t>
      </w:r>
      <w:bookmarkEnd w:id="51"/>
    </w:p>
    <w:p w14:paraId="2CA7C73B" w14:textId="77777777" w:rsidR="00336325" w:rsidRPr="00336325" w:rsidRDefault="00336325" w:rsidP="00336325">
      <w:pPr>
        <w:pStyle w:val="Heading5"/>
      </w:pPr>
      <w:r w:rsidRPr="00336325">
        <w:t>Pivotal trial: Study A2201</w:t>
      </w:r>
    </w:p>
    <w:p w14:paraId="3B92E7E5" w14:textId="4ADF0CE1" w:rsidR="00336325" w:rsidRPr="00336325" w:rsidRDefault="00336325" w:rsidP="00336325">
      <w:pPr>
        <w:rPr>
          <w:iCs/>
        </w:rPr>
      </w:pPr>
      <w:r w:rsidRPr="00336325">
        <w:rPr>
          <w:iCs/>
        </w:rPr>
        <w:t>Exposure to capmatinib in Study A2201 is summarised in</w:t>
      </w:r>
      <w:r w:rsidR="00B64937">
        <w:rPr>
          <w:iCs/>
        </w:rPr>
        <w:t xml:space="preserve"> Table </w:t>
      </w:r>
      <w:r w:rsidR="004A3801">
        <w:rPr>
          <w:iCs/>
        </w:rPr>
        <w:t>6</w:t>
      </w:r>
      <w:r w:rsidRPr="00336325">
        <w:rPr>
          <w:iCs/>
        </w:rPr>
        <w:t xml:space="preserve">, and an overview of AEs is provided in </w:t>
      </w:r>
      <w:r w:rsidR="00BE1D26">
        <w:rPr>
          <w:iCs/>
        </w:rPr>
        <w:t>Table 7</w:t>
      </w:r>
      <w:r w:rsidRPr="00336325">
        <w:rPr>
          <w:iCs/>
        </w:rPr>
        <w:t>.</w:t>
      </w:r>
    </w:p>
    <w:p w14:paraId="6E46667F" w14:textId="6CAA4190" w:rsidR="00336325" w:rsidRDefault="00336325" w:rsidP="00057194">
      <w:pPr>
        <w:pStyle w:val="TableTitle"/>
      </w:pPr>
      <w:bookmarkStart w:id="52" w:name="_Ref227674774"/>
      <w:r w:rsidRPr="00336325">
        <w:t>Table</w:t>
      </w:r>
      <w:bookmarkEnd w:id="52"/>
      <w:r w:rsidR="004A3801">
        <w:t xml:space="preserve"> 6</w:t>
      </w:r>
      <w:r w:rsidR="00B64937">
        <w:t>.</w:t>
      </w:r>
      <w:r w:rsidRPr="00336325">
        <w:t xml:space="preserve"> Exposure to capmatinib in study A2201 (patients with MET∆ex14 NSCLC)</w:t>
      </w:r>
    </w:p>
    <w:tbl>
      <w:tblPr>
        <w:tblStyle w:val="TableGrid"/>
        <w:tblW w:w="0" w:type="auto"/>
        <w:tblInd w:w="-431" w:type="dxa"/>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Layout w:type="fixed"/>
        <w:tblLook w:val="04A0" w:firstRow="1" w:lastRow="0" w:firstColumn="1" w:lastColumn="0" w:noHBand="0" w:noVBand="1"/>
        <w:tblCaption w:val="Table 6. Exposure to capmatinib in study A2201 (patients with MET∆ex14 NSCLC)"/>
      </w:tblPr>
      <w:tblGrid>
        <w:gridCol w:w="1419"/>
        <w:gridCol w:w="992"/>
        <w:gridCol w:w="1134"/>
        <w:gridCol w:w="1139"/>
        <w:gridCol w:w="1129"/>
        <w:gridCol w:w="1134"/>
        <w:gridCol w:w="1136"/>
        <w:gridCol w:w="1136"/>
        <w:gridCol w:w="1134"/>
      </w:tblGrid>
      <w:tr w:rsidR="00BD35E9" w:rsidRPr="00734CAC" w14:paraId="456125A1" w14:textId="77777777" w:rsidTr="00BE1D26">
        <w:trPr>
          <w:tblHeader/>
        </w:trPr>
        <w:tc>
          <w:tcPr>
            <w:tcW w:w="1419" w:type="dxa"/>
            <w:shd w:val="clear" w:color="auto" w:fill="DEEAF6"/>
          </w:tcPr>
          <w:p w14:paraId="67C051E0" w14:textId="77777777" w:rsidR="00BD35E9" w:rsidRPr="00057194" w:rsidRDefault="00BD35E9" w:rsidP="003E461F">
            <w:pPr>
              <w:spacing w:after="120"/>
              <w:contextualSpacing/>
              <w:rPr>
                <w:b/>
                <w:color w:val="263287"/>
              </w:rPr>
            </w:pPr>
            <w:r w:rsidRPr="00057194">
              <w:rPr>
                <w:b/>
                <w:color w:val="263287"/>
              </w:rPr>
              <w:t>Population</w:t>
            </w:r>
          </w:p>
        </w:tc>
        <w:tc>
          <w:tcPr>
            <w:tcW w:w="3265" w:type="dxa"/>
            <w:gridSpan w:val="3"/>
            <w:shd w:val="clear" w:color="auto" w:fill="DEEAF6"/>
          </w:tcPr>
          <w:p w14:paraId="5811FC7A" w14:textId="77777777" w:rsidR="00BD35E9" w:rsidRPr="00057194" w:rsidRDefault="00BD35E9" w:rsidP="003E461F">
            <w:pPr>
              <w:spacing w:after="120"/>
              <w:contextualSpacing/>
              <w:rPr>
                <w:b/>
                <w:color w:val="263287"/>
              </w:rPr>
            </w:pPr>
            <w:r w:rsidRPr="00057194">
              <w:rPr>
                <w:b/>
                <w:color w:val="263287"/>
              </w:rPr>
              <w:t xml:space="preserve">Treatment naïve subjects </w:t>
            </w:r>
          </w:p>
          <w:p w14:paraId="450FC90F" w14:textId="77777777" w:rsidR="00BD35E9" w:rsidRPr="00057194" w:rsidRDefault="00BD35E9" w:rsidP="003E461F">
            <w:pPr>
              <w:spacing w:after="120"/>
              <w:contextualSpacing/>
              <w:rPr>
                <w:b/>
                <w:color w:val="263287"/>
              </w:rPr>
            </w:pPr>
            <w:r w:rsidRPr="00057194">
              <w:rPr>
                <w:b/>
                <w:color w:val="263287"/>
              </w:rPr>
              <w:t>(1L, mutant)</w:t>
            </w:r>
          </w:p>
        </w:tc>
        <w:tc>
          <w:tcPr>
            <w:tcW w:w="3399" w:type="dxa"/>
            <w:gridSpan w:val="3"/>
            <w:shd w:val="clear" w:color="auto" w:fill="DEEAF6"/>
          </w:tcPr>
          <w:p w14:paraId="09A11E24" w14:textId="77777777" w:rsidR="00BD35E9" w:rsidRPr="00057194" w:rsidRDefault="00BD35E9" w:rsidP="003E461F">
            <w:pPr>
              <w:spacing w:after="120"/>
              <w:contextualSpacing/>
              <w:rPr>
                <w:b/>
                <w:color w:val="263287"/>
              </w:rPr>
            </w:pPr>
            <w:r w:rsidRPr="00057194">
              <w:rPr>
                <w:b/>
                <w:color w:val="263287"/>
              </w:rPr>
              <w:t>Pretreated subjects</w:t>
            </w:r>
          </w:p>
          <w:p w14:paraId="050E0ED1" w14:textId="77777777" w:rsidR="00BD35E9" w:rsidRPr="00057194" w:rsidRDefault="00BD35E9" w:rsidP="003E461F">
            <w:pPr>
              <w:spacing w:after="120"/>
              <w:contextualSpacing/>
              <w:rPr>
                <w:b/>
                <w:color w:val="263287"/>
              </w:rPr>
            </w:pPr>
            <w:r w:rsidRPr="00057194">
              <w:rPr>
                <w:b/>
                <w:color w:val="263287"/>
              </w:rPr>
              <w:t>(2L/3L, mutant)</w:t>
            </w:r>
          </w:p>
        </w:tc>
        <w:tc>
          <w:tcPr>
            <w:tcW w:w="1136" w:type="dxa"/>
            <w:vMerge w:val="restart"/>
            <w:shd w:val="clear" w:color="auto" w:fill="DEEAF6"/>
            <w:vAlign w:val="center"/>
          </w:tcPr>
          <w:p w14:paraId="0705D436" w14:textId="77777777" w:rsidR="00BD35E9" w:rsidRPr="00057194" w:rsidRDefault="00BD35E9" w:rsidP="003E461F">
            <w:pPr>
              <w:spacing w:after="120"/>
              <w:contextualSpacing/>
              <w:rPr>
                <w:b/>
                <w:color w:val="263287"/>
              </w:rPr>
            </w:pPr>
            <w:r w:rsidRPr="00057194">
              <w:rPr>
                <w:b/>
                <w:color w:val="263287"/>
              </w:rPr>
              <w:t>All mutant subjects</w:t>
            </w:r>
          </w:p>
          <w:p w14:paraId="075B2333" w14:textId="05AAC475" w:rsidR="00BD35E9" w:rsidRPr="00057194" w:rsidRDefault="00BD35E9" w:rsidP="003E461F">
            <w:pPr>
              <w:spacing w:after="120"/>
              <w:contextualSpacing/>
              <w:rPr>
                <w:b/>
                <w:color w:val="263287"/>
              </w:rPr>
            </w:pPr>
            <w:r w:rsidRPr="00057194">
              <w:rPr>
                <w:b/>
                <w:color w:val="263287"/>
              </w:rPr>
              <w:t>N=160</w:t>
            </w:r>
          </w:p>
        </w:tc>
        <w:tc>
          <w:tcPr>
            <w:tcW w:w="1134" w:type="dxa"/>
            <w:vMerge w:val="restart"/>
            <w:shd w:val="clear" w:color="auto" w:fill="DEEAF6"/>
            <w:vAlign w:val="center"/>
          </w:tcPr>
          <w:p w14:paraId="6942D1B3" w14:textId="6BBCF0E5" w:rsidR="00BD35E9" w:rsidRPr="00057194" w:rsidRDefault="00BD35E9" w:rsidP="003E461F">
            <w:pPr>
              <w:spacing w:after="120"/>
              <w:contextualSpacing/>
              <w:rPr>
                <w:b/>
                <w:color w:val="263287"/>
              </w:rPr>
            </w:pPr>
            <w:r w:rsidRPr="00057194">
              <w:rPr>
                <w:b/>
                <w:color w:val="263287"/>
              </w:rPr>
              <w:t>All study subjects</w:t>
            </w:r>
          </w:p>
          <w:p w14:paraId="43739D2A" w14:textId="77777777" w:rsidR="00BD35E9" w:rsidRPr="00057194" w:rsidRDefault="00BD35E9" w:rsidP="003E461F">
            <w:pPr>
              <w:spacing w:after="120"/>
              <w:contextualSpacing/>
              <w:rPr>
                <w:b/>
              </w:rPr>
            </w:pPr>
            <w:r w:rsidRPr="00057194">
              <w:rPr>
                <w:b/>
                <w:color w:val="263287"/>
              </w:rPr>
              <w:t>N=373</w:t>
            </w:r>
          </w:p>
        </w:tc>
      </w:tr>
      <w:tr w:rsidR="00BD35E9" w:rsidRPr="00734CAC" w14:paraId="652FF715" w14:textId="77777777" w:rsidTr="003E461F">
        <w:trPr>
          <w:tblHeader/>
        </w:trPr>
        <w:tc>
          <w:tcPr>
            <w:tcW w:w="1419" w:type="dxa"/>
            <w:shd w:val="clear" w:color="auto" w:fill="DEEAF6"/>
          </w:tcPr>
          <w:p w14:paraId="3AED755E" w14:textId="77777777" w:rsidR="00BD35E9" w:rsidRPr="001610B4" w:rsidRDefault="00BD35E9" w:rsidP="003E461F">
            <w:pPr>
              <w:pStyle w:val="TableTitle"/>
              <w:keepNext w:val="0"/>
              <w:spacing w:after="120" w:line="240" w:lineRule="auto"/>
              <w:contextualSpacing/>
              <w:rPr>
                <w:bCs/>
                <w:color w:val="263287"/>
              </w:rPr>
            </w:pPr>
          </w:p>
        </w:tc>
        <w:tc>
          <w:tcPr>
            <w:tcW w:w="992" w:type="dxa"/>
            <w:shd w:val="clear" w:color="auto" w:fill="DEEAF6"/>
          </w:tcPr>
          <w:p w14:paraId="42BC75DC" w14:textId="77777777" w:rsidR="00BD35E9" w:rsidRPr="00057194" w:rsidRDefault="00BD35E9" w:rsidP="003E461F">
            <w:pPr>
              <w:spacing w:after="120"/>
              <w:contextualSpacing/>
              <w:rPr>
                <w:b/>
                <w:color w:val="263287"/>
              </w:rPr>
            </w:pPr>
            <w:r w:rsidRPr="00057194">
              <w:rPr>
                <w:b/>
                <w:color w:val="263287"/>
              </w:rPr>
              <w:t>Cohort 5b</w:t>
            </w:r>
          </w:p>
          <w:p w14:paraId="5302432D" w14:textId="77777777" w:rsidR="00BD35E9" w:rsidRPr="00057194" w:rsidRDefault="00BD35E9" w:rsidP="003E461F">
            <w:pPr>
              <w:spacing w:after="120"/>
              <w:contextualSpacing/>
              <w:rPr>
                <w:b/>
                <w:color w:val="263287"/>
              </w:rPr>
            </w:pPr>
            <w:r w:rsidRPr="00057194">
              <w:rPr>
                <w:b/>
                <w:color w:val="263287"/>
              </w:rPr>
              <w:t>N=28</w:t>
            </w:r>
          </w:p>
          <w:p w14:paraId="18D7EF6A" w14:textId="77777777" w:rsidR="00BD35E9" w:rsidRPr="00057194" w:rsidRDefault="00BD35E9" w:rsidP="003E461F">
            <w:pPr>
              <w:pStyle w:val="TableTitle"/>
              <w:keepNext w:val="0"/>
              <w:spacing w:after="120" w:line="240" w:lineRule="auto"/>
              <w:contextualSpacing/>
              <w:rPr>
                <w:color w:val="263287"/>
              </w:rPr>
            </w:pPr>
          </w:p>
        </w:tc>
        <w:tc>
          <w:tcPr>
            <w:tcW w:w="1134" w:type="dxa"/>
            <w:shd w:val="clear" w:color="auto" w:fill="DEEAF6"/>
          </w:tcPr>
          <w:p w14:paraId="2F0875B9" w14:textId="77777777" w:rsidR="00BD35E9" w:rsidRPr="00057194" w:rsidRDefault="00BD35E9" w:rsidP="003E461F">
            <w:pPr>
              <w:spacing w:after="120"/>
              <w:contextualSpacing/>
              <w:rPr>
                <w:b/>
                <w:color w:val="263287"/>
              </w:rPr>
            </w:pPr>
            <w:r w:rsidRPr="00057194">
              <w:rPr>
                <w:b/>
                <w:color w:val="263287"/>
              </w:rPr>
              <w:t>Cohort 7</w:t>
            </w:r>
          </w:p>
          <w:p w14:paraId="7299073B" w14:textId="77777777" w:rsidR="00BD35E9" w:rsidRPr="00057194" w:rsidRDefault="00BD35E9" w:rsidP="003E461F">
            <w:pPr>
              <w:spacing w:after="120"/>
              <w:contextualSpacing/>
              <w:rPr>
                <w:b/>
                <w:color w:val="263287"/>
              </w:rPr>
            </w:pPr>
            <w:r w:rsidRPr="00057194">
              <w:rPr>
                <w:b/>
                <w:color w:val="263287"/>
              </w:rPr>
              <w:t>N=32</w:t>
            </w:r>
          </w:p>
        </w:tc>
        <w:tc>
          <w:tcPr>
            <w:tcW w:w="1139" w:type="dxa"/>
            <w:shd w:val="clear" w:color="auto" w:fill="DEEAF6"/>
          </w:tcPr>
          <w:p w14:paraId="73B75825" w14:textId="77777777" w:rsidR="00BD35E9" w:rsidRPr="00057194" w:rsidRDefault="00BD35E9" w:rsidP="003E461F">
            <w:pPr>
              <w:spacing w:after="120"/>
              <w:contextualSpacing/>
              <w:rPr>
                <w:b/>
                <w:color w:val="263287"/>
              </w:rPr>
            </w:pPr>
            <w:r w:rsidRPr="00057194">
              <w:rPr>
                <w:b/>
                <w:color w:val="263287"/>
              </w:rPr>
              <w:t>All (1L, mutant)</w:t>
            </w:r>
          </w:p>
          <w:p w14:paraId="5BBD6B11" w14:textId="77777777" w:rsidR="00BD35E9" w:rsidRPr="00057194" w:rsidRDefault="00BD35E9" w:rsidP="003E461F">
            <w:pPr>
              <w:spacing w:after="120"/>
              <w:contextualSpacing/>
              <w:rPr>
                <w:b/>
                <w:color w:val="263287"/>
              </w:rPr>
            </w:pPr>
            <w:r w:rsidRPr="00057194">
              <w:rPr>
                <w:b/>
                <w:color w:val="263287"/>
              </w:rPr>
              <w:t>N=60</w:t>
            </w:r>
          </w:p>
        </w:tc>
        <w:tc>
          <w:tcPr>
            <w:tcW w:w="1129" w:type="dxa"/>
            <w:shd w:val="clear" w:color="auto" w:fill="DEEAF6"/>
          </w:tcPr>
          <w:p w14:paraId="0CC14D1C" w14:textId="77777777" w:rsidR="00BD35E9" w:rsidRPr="00057194" w:rsidRDefault="00BD35E9" w:rsidP="003E461F">
            <w:pPr>
              <w:spacing w:after="120"/>
              <w:contextualSpacing/>
              <w:rPr>
                <w:b/>
                <w:color w:val="263287"/>
              </w:rPr>
            </w:pPr>
            <w:r w:rsidRPr="00057194">
              <w:rPr>
                <w:b/>
                <w:color w:val="263287"/>
              </w:rPr>
              <w:t>Cohort 4</w:t>
            </w:r>
          </w:p>
          <w:p w14:paraId="6EB7EE28" w14:textId="77777777" w:rsidR="00BD35E9" w:rsidRPr="00057194" w:rsidRDefault="00BD35E9" w:rsidP="003E461F">
            <w:pPr>
              <w:spacing w:after="120"/>
              <w:contextualSpacing/>
              <w:rPr>
                <w:b/>
                <w:color w:val="263287"/>
              </w:rPr>
            </w:pPr>
            <w:r w:rsidRPr="00057194">
              <w:rPr>
                <w:b/>
                <w:color w:val="263287"/>
              </w:rPr>
              <w:t>N=69</w:t>
            </w:r>
          </w:p>
        </w:tc>
        <w:tc>
          <w:tcPr>
            <w:tcW w:w="1134" w:type="dxa"/>
            <w:shd w:val="clear" w:color="auto" w:fill="DEEAF6"/>
          </w:tcPr>
          <w:p w14:paraId="21385D35" w14:textId="77777777" w:rsidR="00BD35E9" w:rsidRPr="00057194" w:rsidRDefault="00BD35E9" w:rsidP="003E461F">
            <w:pPr>
              <w:spacing w:after="120"/>
              <w:contextualSpacing/>
              <w:rPr>
                <w:b/>
                <w:color w:val="263287"/>
              </w:rPr>
            </w:pPr>
            <w:r w:rsidRPr="00057194">
              <w:rPr>
                <w:b/>
                <w:color w:val="263287"/>
              </w:rPr>
              <w:t>Cohort 6</w:t>
            </w:r>
          </w:p>
          <w:p w14:paraId="0A5C8AA8" w14:textId="77777777" w:rsidR="00BD35E9" w:rsidRPr="00057194" w:rsidRDefault="00BD35E9" w:rsidP="003E461F">
            <w:pPr>
              <w:spacing w:after="120"/>
              <w:contextualSpacing/>
              <w:rPr>
                <w:b/>
                <w:color w:val="263287"/>
              </w:rPr>
            </w:pPr>
            <w:r w:rsidRPr="00057194">
              <w:rPr>
                <w:b/>
                <w:color w:val="263287"/>
              </w:rPr>
              <w:t>N=31</w:t>
            </w:r>
          </w:p>
        </w:tc>
        <w:tc>
          <w:tcPr>
            <w:tcW w:w="1136" w:type="dxa"/>
            <w:shd w:val="clear" w:color="auto" w:fill="DEEAF6"/>
          </w:tcPr>
          <w:p w14:paraId="1B3FFEB0" w14:textId="77777777" w:rsidR="00BD35E9" w:rsidRPr="00057194" w:rsidRDefault="00BD35E9" w:rsidP="003E461F">
            <w:pPr>
              <w:spacing w:after="120"/>
              <w:contextualSpacing/>
              <w:rPr>
                <w:b/>
                <w:color w:val="263287"/>
              </w:rPr>
            </w:pPr>
            <w:r w:rsidRPr="00057194">
              <w:rPr>
                <w:b/>
                <w:color w:val="263287"/>
              </w:rPr>
              <w:t>All (2L/3L, mutant)</w:t>
            </w:r>
          </w:p>
          <w:p w14:paraId="011A6D80" w14:textId="77777777" w:rsidR="00BD35E9" w:rsidRPr="00057194" w:rsidRDefault="00BD35E9" w:rsidP="003E461F">
            <w:pPr>
              <w:spacing w:after="120"/>
              <w:contextualSpacing/>
              <w:rPr>
                <w:b/>
                <w:color w:val="263287"/>
              </w:rPr>
            </w:pPr>
            <w:r w:rsidRPr="00057194">
              <w:rPr>
                <w:b/>
                <w:color w:val="263287"/>
              </w:rPr>
              <w:t>N=100</w:t>
            </w:r>
          </w:p>
        </w:tc>
        <w:tc>
          <w:tcPr>
            <w:tcW w:w="1136" w:type="dxa"/>
            <w:vMerge/>
            <w:shd w:val="clear" w:color="auto" w:fill="DEEAF6"/>
          </w:tcPr>
          <w:p w14:paraId="6154DDCC" w14:textId="066DC8CE" w:rsidR="00BD35E9" w:rsidRPr="001610B4" w:rsidRDefault="00BD35E9" w:rsidP="003E461F">
            <w:pPr>
              <w:pStyle w:val="TableTitle"/>
              <w:keepNext w:val="0"/>
              <w:spacing w:after="120" w:line="240" w:lineRule="auto"/>
              <w:contextualSpacing/>
              <w:rPr>
                <w:bCs/>
                <w:color w:val="263287"/>
              </w:rPr>
            </w:pPr>
          </w:p>
        </w:tc>
        <w:tc>
          <w:tcPr>
            <w:tcW w:w="1134" w:type="dxa"/>
            <w:vMerge/>
            <w:shd w:val="clear" w:color="auto" w:fill="DEEAF6"/>
          </w:tcPr>
          <w:p w14:paraId="0FCDCCA1" w14:textId="77777777" w:rsidR="00BD35E9" w:rsidRPr="00734CAC" w:rsidRDefault="00BD35E9" w:rsidP="003E461F">
            <w:pPr>
              <w:pStyle w:val="TableTitle"/>
              <w:keepNext w:val="0"/>
              <w:spacing w:after="120" w:line="240" w:lineRule="auto"/>
              <w:contextualSpacing/>
              <w:rPr>
                <w:bCs/>
              </w:rPr>
            </w:pPr>
          </w:p>
        </w:tc>
      </w:tr>
      <w:tr w:rsidR="001D5885" w:rsidRPr="00734CAC" w14:paraId="597CA6B0" w14:textId="77777777" w:rsidTr="003E461F">
        <w:tc>
          <w:tcPr>
            <w:tcW w:w="9219" w:type="dxa"/>
            <w:gridSpan w:val="8"/>
          </w:tcPr>
          <w:p w14:paraId="7C26BC1D" w14:textId="77777777" w:rsidR="001D5885" w:rsidRPr="00533B22" w:rsidRDefault="001D5885" w:rsidP="003E461F">
            <w:pPr>
              <w:spacing w:after="120"/>
              <w:contextualSpacing/>
              <w:rPr>
                <w:b/>
                <w:bCs/>
              </w:rPr>
            </w:pPr>
            <w:r w:rsidRPr="00533B22">
              <w:rPr>
                <w:b/>
                <w:bCs/>
              </w:rPr>
              <w:t>Duration of exposure (weeks)</w:t>
            </w:r>
          </w:p>
        </w:tc>
        <w:tc>
          <w:tcPr>
            <w:tcW w:w="1134" w:type="dxa"/>
          </w:tcPr>
          <w:p w14:paraId="750B9C6B" w14:textId="77777777" w:rsidR="001D5885" w:rsidRPr="00734CAC" w:rsidRDefault="001D5885" w:rsidP="003E461F">
            <w:pPr>
              <w:pStyle w:val="TableTitle"/>
              <w:keepNext w:val="0"/>
              <w:spacing w:after="120" w:line="240" w:lineRule="auto"/>
              <w:contextualSpacing/>
            </w:pPr>
          </w:p>
        </w:tc>
      </w:tr>
      <w:tr w:rsidR="001D5885" w:rsidRPr="00734CAC" w14:paraId="416343F3" w14:textId="77777777" w:rsidTr="003E461F">
        <w:tc>
          <w:tcPr>
            <w:tcW w:w="1419" w:type="dxa"/>
          </w:tcPr>
          <w:p w14:paraId="1E13847B" w14:textId="77777777" w:rsidR="001D5885" w:rsidRPr="00533B22" w:rsidRDefault="001D5885" w:rsidP="003E461F">
            <w:pPr>
              <w:spacing w:after="120"/>
              <w:contextualSpacing/>
              <w:rPr>
                <w:b/>
                <w:bCs/>
              </w:rPr>
            </w:pPr>
            <w:r w:rsidRPr="00533B22">
              <w:rPr>
                <w:b/>
                <w:bCs/>
              </w:rPr>
              <w:t>Mean (SD)</w:t>
            </w:r>
          </w:p>
        </w:tc>
        <w:tc>
          <w:tcPr>
            <w:tcW w:w="992" w:type="dxa"/>
          </w:tcPr>
          <w:p w14:paraId="6DCE34A7" w14:textId="77777777" w:rsidR="001D5885" w:rsidRPr="00734CAC" w:rsidRDefault="001D5885" w:rsidP="003E461F">
            <w:pPr>
              <w:spacing w:after="120"/>
              <w:contextualSpacing/>
              <w:rPr>
                <w:b/>
                <w:bCs/>
              </w:rPr>
            </w:pPr>
            <w:r w:rsidRPr="00734CAC">
              <w:rPr>
                <w:bCs/>
              </w:rPr>
              <w:t>74.5 (77.9)</w:t>
            </w:r>
          </w:p>
        </w:tc>
        <w:tc>
          <w:tcPr>
            <w:tcW w:w="1134" w:type="dxa"/>
          </w:tcPr>
          <w:p w14:paraId="1AC6DFEF" w14:textId="77777777" w:rsidR="001D5885" w:rsidRPr="00734CAC" w:rsidRDefault="001D5885" w:rsidP="003E461F">
            <w:pPr>
              <w:spacing w:after="120"/>
              <w:contextualSpacing/>
              <w:rPr>
                <w:b/>
                <w:bCs/>
              </w:rPr>
            </w:pPr>
            <w:r w:rsidRPr="00734CAC">
              <w:rPr>
                <w:bCs/>
              </w:rPr>
              <w:t>66.3 (59.3)</w:t>
            </w:r>
          </w:p>
        </w:tc>
        <w:tc>
          <w:tcPr>
            <w:tcW w:w="1139" w:type="dxa"/>
          </w:tcPr>
          <w:p w14:paraId="5A8991A4" w14:textId="77777777" w:rsidR="001D5885" w:rsidRPr="00734CAC" w:rsidRDefault="001D5885" w:rsidP="003E461F">
            <w:pPr>
              <w:spacing w:after="120"/>
              <w:contextualSpacing/>
              <w:rPr>
                <w:b/>
                <w:bCs/>
              </w:rPr>
            </w:pPr>
            <w:r w:rsidRPr="00734CAC">
              <w:rPr>
                <w:bCs/>
              </w:rPr>
              <w:t>70.1 (68.1)</w:t>
            </w:r>
          </w:p>
        </w:tc>
        <w:tc>
          <w:tcPr>
            <w:tcW w:w="1129" w:type="dxa"/>
          </w:tcPr>
          <w:p w14:paraId="6AA514CC" w14:textId="77777777" w:rsidR="001D5885" w:rsidRPr="00734CAC" w:rsidRDefault="001D5885" w:rsidP="003E461F">
            <w:pPr>
              <w:spacing w:after="120"/>
              <w:contextualSpacing/>
              <w:rPr>
                <w:b/>
                <w:bCs/>
              </w:rPr>
            </w:pPr>
            <w:r w:rsidRPr="00734CAC">
              <w:rPr>
                <w:bCs/>
              </w:rPr>
              <w:t>45.9 (59.4)</w:t>
            </w:r>
          </w:p>
        </w:tc>
        <w:tc>
          <w:tcPr>
            <w:tcW w:w="1134" w:type="dxa"/>
          </w:tcPr>
          <w:p w14:paraId="5A1BB63E" w14:textId="77777777" w:rsidR="001D5885" w:rsidRPr="00734CAC" w:rsidRDefault="001D5885" w:rsidP="003E461F">
            <w:pPr>
              <w:spacing w:after="120"/>
              <w:contextualSpacing/>
              <w:rPr>
                <w:b/>
                <w:bCs/>
              </w:rPr>
            </w:pPr>
            <w:r w:rsidRPr="00734CAC">
              <w:rPr>
                <w:bCs/>
              </w:rPr>
              <w:t>67.9 (69.4)</w:t>
            </w:r>
          </w:p>
        </w:tc>
        <w:tc>
          <w:tcPr>
            <w:tcW w:w="1136" w:type="dxa"/>
          </w:tcPr>
          <w:p w14:paraId="742B4415" w14:textId="77777777" w:rsidR="001D5885" w:rsidRPr="00734CAC" w:rsidRDefault="001D5885" w:rsidP="003E461F">
            <w:pPr>
              <w:spacing w:after="120"/>
              <w:contextualSpacing/>
              <w:rPr>
                <w:b/>
                <w:bCs/>
              </w:rPr>
            </w:pPr>
            <w:r w:rsidRPr="00734CAC">
              <w:rPr>
                <w:bCs/>
              </w:rPr>
              <w:t>52.7 (63.2)</w:t>
            </w:r>
          </w:p>
        </w:tc>
        <w:tc>
          <w:tcPr>
            <w:tcW w:w="1136" w:type="dxa"/>
          </w:tcPr>
          <w:p w14:paraId="3ADFD87C" w14:textId="77777777" w:rsidR="001D5885" w:rsidRPr="00734CAC" w:rsidRDefault="001D5885" w:rsidP="003E461F">
            <w:pPr>
              <w:spacing w:after="120"/>
              <w:contextualSpacing/>
              <w:rPr>
                <w:b/>
                <w:bCs/>
              </w:rPr>
            </w:pPr>
            <w:r w:rsidRPr="00734CAC">
              <w:rPr>
                <w:bCs/>
              </w:rPr>
              <w:t>59.3 (65.4)</w:t>
            </w:r>
          </w:p>
        </w:tc>
        <w:tc>
          <w:tcPr>
            <w:tcW w:w="1134" w:type="dxa"/>
          </w:tcPr>
          <w:p w14:paraId="3880D474" w14:textId="77777777" w:rsidR="001D5885" w:rsidRPr="00734CAC" w:rsidRDefault="001D5885" w:rsidP="003E461F">
            <w:pPr>
              <w:spacing w:after="120"/>
              <w:contextualSpacing/>
              <w:rPr>
                <w:b/>
                <w:bCs/>
              </w:rPr>
            </w:pPr>
            <w:r w:rsidRPr="00734CAC">
              <w:rPr>
                <w:bCs/>
              </w:rPr>
              <w:t>39.5 (55.2)</w:t>
            </w:r>
          </w:p>
        </w:tc>
      </w:tr>
      <w:tr w:rsidR="001D5885" w:rsidRPr="00734CAC" w14:paraId="5F3DEFB7" w14:textId="77777777" w:rsidTr="003E461F">
        <w:tc>
          <w:tcPr>
            <w:tcW w:w="1419" w:type="dxa"/>
          </w:tcPr>
          <w:p w14:paraId="1832AB01" w14:textId="77777777" w:rsidR="001D5885" w:rsidRPr="00533B22" w:rsidRDefault="001D5885" w:rsidP="003E461F">
            <w:pPr>
              <w:spacing w:after="120"/>
              <w:contextualSpacing/>
              <w:rPr>
                <w:b/>
                <w:bCs/>
              </w:rPr>
            </w:pPr>
            <w:r w:rsidRPr="00533B22">
              <w:rPr>
                <w:b/>
                <w:bCs/>
              </w:rPr>
              <w:t>Median (range)</w:t>
            </w:r>
          </w:p>
        </w:tc>
        <w:tc>
          <w:tcPr>
            <w:tcW w:w="992" w:type="dxa"/>
          </w:tcPr>
          <w:p w14:paraId="6AD70427" w14:textId="77777777" w:rsidR="001D5885" w:rsidRPr="00734CAC" w:rsidRDefault="001D5885" w:rsidP="003E461F">
            <w:pPr>
              <w:spacing w:after="120"/>
              <w:contextualSpacing/>
              <w:rPr>
                <w:b/>
                <w:bCs/>
              </w:rPr>
            </w:pPr>
            <w:r w:rsidRPr="00734CAC">
              <w:rPr>
                <w:bCs/>
              </w:rPr>
              <w:t xml:space="preserve">48.2 </w:t>
            </w:r>
          </w:p>
          <w:p w14:paraId="55C72E40" w14:textId="77777777" w:rsidR="001D5885" w:rsidRPr="00734CAC" w:rsidRDefault="001D5885" w:rsidP="003E461F">
            <w:pPr>
              <w:spacing w:after="120"/>
              <w:contextualSpacing/>
              <w:rPr>
                <w:b/>
                <w:bCs/>
              </w:rPr>
            </w:pPr>
            <w:r w:rsidRPr="00734CAC">
              <w:rPr>
                <w:bCs/>
              </w:rPr>
              <w:t>(4.0, 269.6)</w:t>
            </w:r>
          </w:p>
        </w:tc>
        <w:tc>
          <w:tcPr>
            <w:tcW w:w="1134" w:type="dxa"/>
          </w:tcPr>
          <w:p w14:paraId="55461E3F" w14:textId="77777777" w:rsidR="001D5885" w:rsidRPr="00734CAC" w:rsidRDefault="001D5885" w:rsidP="003E461F">
            <w:pPr>
              <w:spacing w:after="120"/>
              <w:contextualSpacing/>
              <w:rPr>
                <w:b/>
                <w:bCs/>
              </w:rPr>
            </w:pPr>
            <w:r w:rsidRPr="00734CAC">
              <w:rPr>
                <w:bCs/>
              </w:rPr>
              <w:t>42.6</w:t>
            </w:r>
          </w:p>
          <w:p w14:paraId="7E033E49" w14:textId="77777777" w:rsidR="001D5885" w:rsidRPr="00734CAC" w:rsidRDefault="001D5885" w:rsidP="003E461F">
            <w:pPr>
              <w:spacing w:after="120"/>
              <w:contextualSpacing/>
              <w:rPr>
                <w:b/>
                <w:bCs/>
              </w:rPr>
            </w:pPr>
            <w:r w:rsidRPr="00734CAC">
              <w:rPr>
                <w:bCs/>
              </w:rPr>
              <w:t>(7.0, 195.7)</w:t>
            </w:r>
          </w:p>
        </w:tc>
        <w:tc>
          <w:tcPr>
            <w:tcW w:w="1139" w:type="dxa"/>
          </w:tcPr>
          <w:p w14:paraId="5D7969D5" w14:textId="77777777" w:rsidR="001D5885" w:rsidRPr="00734CAC" w:rsidRDefault="001D5885" w:rsidP="003E461F">
            <w:pPr>
              <w:spacing w:after="120"/>
              <w:contextualSpacing/>
              <w:rPr>
                <w:b/>
                <w:bCs/>
              </w:rPr>
            </w:pPr>
            <w:r w:rsidRPr="00734CAC">
              <w:rPr>
                <w:bCs/>
              </w:rPr>
              <w:t xml:space="preserve">43.9 </w:t>
            </w:r>
          </w:p>
          <w:p w14:paraId="15DDFF33" w14:textId="77777777" w:rsidR="001D5885" w:rsidRPr="00734CAC" w:rsidRDefault="001D5885" w:rsidP="003E461F">
            <w:pPr>
              <w:spacing w:after="120"/>
              <w:contextualSpacing/>
              <w:rPr>
                <w:b/>
                <w:bCs/>
              </w:rPr>
            </w:pPr>
            <w:r w:rsidRPr="00734CAC">
              <w:rPr>
                <w:bCs/>
              </w:rPr>
              <w:t>(4.0, 269.6)</w:t>
            </w:r>
          </w:p>
        </w:tc>
        <w:tc>
          <w:tcPr>
            <w:tcW w:w="1129" w:type="dxa"/>
          </w:tcPr>
          <w:p w14:paraId="009413CF" w14:textId="77777777" w:rsidR="001D5885" w:rsidRPr="00734CAC" w:rsidRDefault="001D5885" w:rsidP="003E461F">
            <w:pPr>
              <w:spacing w:after="120"/>
              <w:contextualSpacing/>
              <w:rPr>
                <w:b/>
                <w:bCs/>
              </w:rPr>
            </w:pPr>
            <w:r w:rsidRPr="00734CAC">
              <w:rPr>
                <w:bCs/>
              </w:rPr>
              <w:t xml:space="preserve">22.1 </w:t>
            </w:r>
          </w:p>
          <w:p w14:paraId="4BC89C3A" w14:textId="77777777" w:rsidR="001D5885" w:rsidRPr="00734CAC" w:rsidRDefault="001D5885" w:rsidP="003E461F">
            <w:pPr>
              <w:spacing w:after="120"/>
              <w:contextualSpacing/>
              <w:rPr>
                <w:b/>
                <w:bCs/>
              </w:rPr>
            </w:pPr>
            <w:r w:rsidRPr="00734CAC">
              <w:rPr>
                <w:bCs/>
              </w:rPr>
              <w:t>(0.4, 264.1)</w:t>
            </w:r>
          </w:p>
        </w:tc>
        <w:tc>
          <w:tcPr>
            <w:tcW w:w="1134" w:type="dxa"/>
          </w:tcPr>
          <w:p w14:paraId="6A1E4778" w14:textId="77777777" w:rsidR="001D5885" w:rsidRPr="00734CAC" w:rsidRDefault="001D5885" w:rsidP="003E461F">
            <w:pPr>
              <w:spacing w:after="120"/>
              <w:contextualSpacing/>
              <w:rPr>
                <w:b/>
                <w:bCs/>
              </w:rPr>
            </w:pPr>
            <w:r w:rsidRPr="00734CAC">
              <w:rPr>
                <w:bCs/>
              </w:rPr>
              <w:t xml:space="preserve">36.0 </w:t>
            </w:r>
          </w:p>
          <w:p w14:paraId="26A8A934" w14:textId="77777777" w:rsidR="001D5885" w:rsidRPr="00734CAC" w:rsidRDefault="001D5885" w:rsidP="003E461F">
            <w:pPr>
              <w:spacing w:after="120"/>
              <w:contextualSpacing/>
              <w:rPr>
                <w:b/>
                <w:bCs/>
              </w:rPr>
            </w:pPr>
            <w:r w:rsidRPr="00734CAC">
              <w:rPr>
                <w:bCs/>
              </w:rPr>
              <w:t>(1.3, 234.0)</w:t>
            </w:r>
          </w:p>
        </w:tc>
        <w:tc>
          <w:tcPr>
            <w:tcW w:w="1136" w:type="dxa"/>
          </w:tcPr>
          <w:p w14:paraId="2F6FE4DE" w14:textId="77777777" w:rsidR="001D5885" w:rsidRPr="00734CAC" w:rsidRDefault="001D5885" w:rsidP="003E461F">
            <w:pPr>
              <w:spacing w:after="120"/>
              <w:contextualSpacing/>
              <w:rPr>
                <w:b/>
                <w:bCs/>
              </w:rPr>
            </w:pPr>
            <w:r w:rsidRPr="00734CAC">
              <w:rPr>
                <w:bCs/>
              </w:rPr>
              <w:t xml:space="preserve">27.9 </w:t>
            </w:r>
          </w:p>
          <w:p w14:paraId="72ABDC3B" w14:textId="77777777" w:rsidR="001D5885" w:rsidRPr="00734CAC" w:rsidRDefault="001D5885" w:rsidP="003E461F">
            <w:pPr>
              <w:spacing w:after="120"/>
              <w:contextualSpacing/>
              <w:rPr>
                <w:b/>
                <w:bCs/>
              </w:rPr>
            </w:pPr>
            <w:r w:rsidRPr="00734CAC">
              <w:rPr>
                <w:bCs/>
              </w:rPr>
              <w:t>(0.4, 264.1)</w:t>
            </w:r>
          </w:p>
        </w:tc>
        <w:tc>
          <w:tcPr>
            <w:tcW w:w="1136" w:type="dxa"/>
          </w:tcPr>
          <w:p w14:paraId="462CBD7E" w14:textId="77777777" w:rsidR="001D5885" w:rsidRPr="00734CAC" w:rsidRDefault="001D5885" w:rsidP="003E461F">
            <w:pPr>
              <w:spacing w:after="120"/>
              <w:contextualSpacing/>
              <w:rPr>
                <w:b/>
                <w:bCs/>
              </w:rPr>
            </w:pPr>
            <w:r w:rsidRPr="00734CAC">
              <w:rPr>
                <w:bCs/>
              </w:rPr>
              <w:t xml:space="preserve">34.9 </w:t>
            </w:r>
          </w:p>
          <w:p w14:paraId="3D6E6091" w14:textId="77777777" w:rsidR="001D5885" w:rsidRPr="00734CAC" w:rsidRDefault="001D5885" w:rsidP="003E461F">
            <w:pPr>
              <w:spacing w:after="120"/>
              <w:contextualSpacing/>
              <w:rPr>
                <w:b/>
                <w:bCs/>
              </w:rPr>
            </w:pPr>
            <w:r w:rsidRPr="00734CAC">
              <w:rPr>
                <w:bCs/>
              </w:rPr>
              <w:t>(0.4, 269.6)</w:t>
            </w:r>
          </w:p>
        </w:tc>
        <w:tc>
          <w:tcPr>
            <w:tcW w:w="1134" w:type="dxa"/>
          </w:tcPr>
          <w:p w14:paraId="4E7B73B1" w14:textId="77777777" w:rsidR="001D5885" w:rsidRPr="00734CAC" w:rsidRDefault="001D5885" w:rsidP="003E461F">
            <w:pPr>
              <w:spacing w:after="120"/>
              <w:contextualSpacing/>
              <w:rPr>
                <w:b/>
                <w:bCs/>
              </w:rPr>
            </w:pPr>
            <w:r w:rsidRPr="00734CAC">
              <w:rPr>
                <w:bCs/>
              </w:rPr>
              <w:t xml:space="preserve">17.9 </w:t>
            </w:r>
          </w:p>
          <w:p w14:paraId="71121F0B" w14:textId="77777777" w:rsidR="001D5885" w:rsidRPr="00734CAC" w:rsidRDefault="001D5885" w:rsidP="003E461F">
            <w:pPr>
              <w:spacing w:after="120"/>
              <w:contextualSpacing/>
              <w:rPr>
                <w:b/>
                <w:bCs/>
              </w:rPr>
            </w:pPr>
            <w:r w:rsidRPr="00734CAC">
              <w:rPr>
                <w:bCs/>
              </w:rPr>
              <w:t>(0.4, 280.4)</w:t>
            </w:r>
          </w:p>
        </w:tc>
      </w:tr>
    </w:tbl>
    <w:p w14:paraId="7CD537C9" w14:textId="6A84D075" w:rsidR="00336325" w:rsidRDefault="003D66DE" w:rsidP="00057194">
      <w:pPr>
        <w:pStyle w:val="TableTitle"/>
      </w:pPr>
      <w:r w:rsidRPr="003D66DE">
        <w:t xml:space="preserve">Table </w:t>
      </w:r>
      <w:r w:rsidR="004A3801">
        <w:t>7.</w:t>
      </w:r>
      <w:r w:rsidRPr="003D66DE">
        <w:t xml:space="preserve"> Overview of adverse events in study A2201 (Safety set)</w:t>
      </w:r>
    </w:p>
    <w:tbl>
      <w:tblPr>
        <w:tblW w:w="9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7. Overview of adverse events in study A2201 (Safety set)"/>
      </w:tblPr>
      <w:tblGrid>
        <w:gridCol w:w="3114"/>
        <w:gridCol w:w="1540"/>
        <w:gridCol w:w="1541"/>
        <w:gridCol w:w="1541"/>
        <w:gridCol w:w="1541"/>
      </w:tblGrid>
      <w:tr w:rsidR="00734CAC" w:rsidRPr="00734CAC" w14:paraId="7CAE264F" w14:textId="77777777" w:rsidTr="00444FA4">
        <w:trPr>
          <w:trHeight w:val="304"/>
        </w:trPr>
        <w:tc>
          <w:tcPr>
            <w:tcW w:w="3114" w:type="dxa"/>
            <w:shd w:val="clear" w:color="auto" w:fill="DEEAF6"/>
          </w:tcPr>
          <w:p w14:paraId="1D6E85A4" w14:textId="76D94A5A" w:rsidR="00734CAC" w:rsidRPr="00057194" w:rsidRDefault="00734CAC" w:rsidP="00BE1D26">
            <w:pPr>
              <w:spacing w:line="240" w:lineRule="auto"/>
              <w:contextualSpacing/>
              <w:rPr>
                <w:b/>
                <w:bCs/>
                <w:color w:val="263287"/>
              </w:rPr>
            </w:pPr>
            <w:r w:rsidRPr="00057194">
              <w:rPr>
                <w:b/>
                <w:bCs/>
                <w:color w:val="263287"/>
              </w:rPr>
              <w:t>Category</w:t>
            </w:r>
            <w:r w:rsidR="00BE1D26">
              <w:rPr>
                <w:b/>
                <w:bCs/>
                <w:color w:val="263287"/>
              </w:rPr>
              <w:t xml:space="preserve"> </w:t>
            </w:r>
            <w:r w:rsidRPr="00057194">
              <w:rPr>
                <w:b/>
                <w:bCs/>
                <w:color w:val="263287"/>
              </w:rPr>
              <w:t>n (%)</w:t>
            </w:r>
          </w:p>
        </w:tc>
        <w:tc>
          <w:tcPr>
            <w:tcW w:w="1540" w:type="dxa"/>
            <w:shd w:val="clear" w:color="auto" w:fill="DEEAF6"/>
          </w:tcPr>
          <w:p w14:paraId="71107541" w14:textId="77777777" w:rsidR="00120119" w:rsidRPr="00057194" w:rsidRDefault="00734CAC" w:rsidP="003E461F">
            <w:pPr>
              <w:spacing w:line="240" w:lineRule="auto"/>
              <w:contextualSpacing/>
              <w:rPr>
                <w:b/>
                <w:bCs/>
                <w:color w:val="263287"/>
              </w:rPr>
            </w:pPr>
            <w:r w:rsidRPr="00057194">
              <w:rPr>
                <w:b/>
                <w:bCs/>
                <w:color w:val="263287"/>
              </w:rPr>
              <w:t>All (1L,</w:t>
            </w:r>
          </w:p>
          <w:p w14:paraId="3409A012" w14:textId="129B7627" w:rsidR="00734CAC" w:rsidRPr="00057194" w:rsidRDefault="00734CAC" w:rsidP="003E461F">
            <w:pPr>
              <w:spacing w:line="240" w:lineRule="auto"/>
              <w:contextualSpacing/>
              <w:rPr>
                <w:b/>
                <w:bCs/>
                <w:color w:val="263287"/>
              </w:rPr>
            </w:pPr>
            <w:r w:rsidRPr="00057194">
              <w:rPr>
                <w:b/>
                <w:bCs/>
                <w:color w:val="263287"/>
              </w:rPr>
              <w:t>mutant)</w:t>
            </w:r>
          </w:p>
          <w:p w14:paraId="704EB4EB" w14:textId="77777777" w:rsidR="00734CAC" w:rsidRPr="00057194" w:rsidRDefault="00734CAC" w:rsidP="003E461F">
            <w:pPr>
              <w:spacing w:line="240" w:lineRule="auto"/>
              <w:contextualSpacing/>
              <w:rPr>
                <w:b/>
                <w:bCs/>
                <w:color w:val="263287"/>
              </w:rPr>
            </w:pPr>
            <w:r w:rsidRPr="00057194">
              <w:rPr>
                <w:b/>
                <w:bCs/>
                <w:color w:val="263287"/>
              </w:rPr>
              <w:t>N=60</w:t>
            </w:r>
          </w:p>
        </w:tc>
        <w:tc>
          <w:tcPr>
            <w:tcW w:w="1541" w:type="dxa"/>
            <w:shd w:val="clear" w:color="auto" w:fill="DEEAF6"/>
          </w:tcPr>
          <w:p w14:paraId="3CBA1743" w14:textId="77777777" w:rsidR="00120119" w:rsidRPr="00057194" w:rsidRDefault="00734CAC" w:rsidP="003E461F">
            <w:pPr>
              <w:spacing w:line="240" w:lineRule="auto"/>
              <w:contextualSpacing/>
              <w:rPr>
                <w:b/>
                <w:bCs/>
                <w:color w:val="263287"/>
              </w:rPr>
            </w:pPr>
            <w:r w:rsidRPr="00057194">
              <w:rPr>
                <w:b/>
                <w:bCs/>
                <w:color w:val="263287"/>
              </w:rPr>
              <w:t>All (2L/3L,</w:t>
            </w:r>
          </w:p>
          <w:p w14:paraId="167F882B" w14:textId="30B22173" w:rsidR="00734CAC" w:rsidRPr="00057194" w:rsidRDefault="00734CAC" w:rsidP="003E461F">
            <w:pPr>
              <w:spacing w:line="240" w:lineRule="auto"/>
              <w:contextualSpacing/>
              <w:rPr>
                <w:b/>
                <w:bCs/>
                <w:color w:val="263287"/>
              </w:rPr>
            </w:pPr>
            <w:r w:rsidRPr="00057194">
              <w:rPr>
                <w:b/>
                <w:bCs/>
                <w:color w:val="263287"/>
              </w:rPr>
              <w:t>mutant)</w:t>
            </w:r>
          </w:p>
          <w:p w14:paraId="3597A992" w14:textId="77777777" w:rsidR="00734CAC" w:rsidRPr="00057194" w:rsidRDefault="00734CAC" w:rsidP="003E461F">
            <w:pPr>
              <w:spacing w:line="240" w:lineRule="auto"/>
              <w:contextualSpacing/>
              <w:rPr>
                <w:b/>
                <w:bCs/>
                <w:color w:val="263287"/>
              </w:rPr>
            </w:pPr>
            <w:r w:rsidRPr="00057194">
              <w:rPr>
                <w:b/>
                <w:bCs/>
                <w:color w:val="263287"/>
              </w:rPr>
              <w:t>N=100</w:t>
            </w:r>
          </w:p>
        </w:tc>
        <w:tc>
          <w:tcPr>
            <w:tcW w:w="1541" w:type="dxa"/>
            <w:shd w:val="clear" w:color="auto" w:fill="DEEAF6"/>
          </w:tcPr>
          <w:p w14:paraId="4003A6B4" w14:textId="77777777" w:rsidR="00120119" w:rsidRPr="00057194" w:rsidRDefault="00734CAC" w:rsidP="003E461F">
            <w:pPr>
              <w:spacing w:line="240" w:lineRule="auto"/>
              <w:contextualSpacing/>
              <w:rPr>
                <w:b/>
                <w:bCs/>
                <w:color w:val="263287"/>
              </w:rPr>
            </w:pPr>
            <w:r w:rsidRPr="00057194">
              <w:rPr>
                <w:b/>
                <w:bCs/>
                <w:color w:val="263287"/>
              </w:rPr>
              <w:t>All mutant</w:t>
            </w:r>
          </w:p>
          <w:p w14:paraId="4029F8F4" w14:textId="6BE15EED" w:rsidR="00734CAC" w:rsidRPr="00057194" w:rsidRDefault="00734CAC" w:rsidP="003E461F">
            <w:pPr>
              <w:spacing w:line="240" w:lineRule="auto"/>
              <w:contextualSpacing/>
              <w:rPr>
                <w:b/>
                <w:bCs/>
                <w:color w:val="263287"/>
              </w:rPr>
            </w:pPr>
            <w:r w:rsidRPr="00057194">
              <w:rPr>
                <w:b/>
                <w:bCs/>
                <w:color w:val="263287"/>
              </w:rPr>
              <w:t>subjects</w:t>
            </w:r>
          </w:p>
          <w:p w14:paraId="25409224" w14:textId="77777777" w:rsidR="00734CAC" w:rsidRPr="00057194" w:rsidRDefault="00734CAC" w:rsidP="003E461F">
            <w:pPr>
              <w:spacing w:line="240" w:lineRule="auto"/>
              <w:contextualSpacing/>
              <w:rPr>
                <w:b/>
                <w:bCs/>
                <w:color w:val="263287"/>
              </w:rPr>
            </w:pPr>
            <w:r w:rsidRPr="00057194">
              <w:rPr>
                <w:b/>
                <w:bCs/>
                <w:color w:val="263287"/>
              </w:rPr>
              <w:t>N=160</w:t>
            </w:r>
          </w:p>
        </w:tc>
        <w:tc>
          <w:tcPr>
            <w:tcW w:w="1541" w:type="dxa"/>
            <w:shd w:val="clear" w:color="auto" w:fill="DEEAF6"/>
          </w:tcPr>
          <w:p w14:paraId="39333F54" w14:textId="77777777" w:rsidR="00734CAC" w:rsidRPr="00057194" w:rsidRDefault="00734CAC" w:rsidP="003E461F">
            <w:pPr>
              <w:spacing w:line="240" w:lineRule="auto"/>
              <w:contextualSpacing/>
              <w:rPr>
                <w:b/>
                <w:bCs/>
                <w:color w:val="263287"/>
              </w:rPr>
            </w:pPr>
            <w:r w:rsidRPr="00057194">
              <w:rPr>
                <w:b/>
                <w:bCs/>
                <w:color w:val="263287"/>
              </w:rPr>
              <w:t>All study</w:t>
            </w:r>
          </w:p>
          <w:p w14:paraId="7E114198" w14:textId="77777777" w:rsidR="00734CAC" w:rsidRPr="00057194" w:rsidRDefault="00734CAC" w:rsidP="003E461F">
            <w:pPr>
              <w:spacing w:line="240" w:lineRule="auto"/>
              <w:contextualSpacing/>
              <w:rPr>
                <w:b/>
                <w:bCs/>
                <w:color w:val="263287"/>
              </w:rPr>
            </w:pPr>
            <w:r w:rsidRPr="00057194">
              <w:rPr>
                <w:b/>
                <w:bCs/>
                <w:color w:val="263287"/>
              </w:rPr>
              <w:t>subjects</w:t>
            </w:r>
          </w:p>
          <w:p w14:paraId="770E5A61" w14:textId="77777777" w:rsidR="00734CAC" w:rsidRPr="00057194" w:rsidRDefault="00734CAC" w:rsidP="003E461F">
            <w:pPr>
              <w:spacing w:line="240" w:lineRule="auto"/>
              <w:contextualSpacing/>
              <w:rPr>
                <w:b/>
                <w:bCs/>
                <w:color w:val="263287"/>
              </w:rPr>
            </w:pPr>
            <w:r w:rsidRPr="00057194">
              <w:rPr>
                <w:b/>
                <w:bCs/>
                <w:color w:val="263287"/>
              </w:rPr>
              <w:t>N=373</w:t>
            </w:r>
          </w:p>
        </w:tc>
      </w:tr>
      <w:tr w:rsidR="00734CAC" w:rsidRPr="00734CAC" w14:paraId="1105F4E0" w14:textId="77777777" w:rsidTr="00C33293">
        <w:trPr>
          <w:trHeight w:val="304"/>
        </w:trPr>
        <w:tc>
          <w:tcPr>
            <w:tcW w:w="3114" w:type="dxa"/>
          </w:tcPr>
          <w:p w14:paraId="40009445" w14:textId="77777777" w:rsidR="00734CAC" w:rsidRPr="00533B22" w:rsidRDefault="00734CAC" w:rsidP="003E461F">
            <w:pPr>
              <w:spacing w:line="240" w:lineRule="auto"/>
              <w:contextualSpacing/>
              <w:rPr>
                <w:b/>
              </w:rPr>
            </w:pPr>
            <w:r w:rsidRPr="00533B22">
              <w:rPr>
                <w:b/>
              </w:rPr>
              <w:t>Any AE</w:t>
            </w:r>
          </w:p>
        </w:tc>
        <w:tc>
          <w:tcPr>
            <w:tcW w:w="1540" w:type="dxa"/>
          </w:tcPr>
          <w:p w14:paraId="7144E05F" w14:textId="77777777" w:rsidR="00734CAC" w:rsidRPr="00C33293" w:rsidRDefault="00734CAC" w:rsidP="003E461F">
            <w:pPr>
              <w:spacing w:line="240" w:lineRule="auto"/>
              <w:contextualSpacing/>
              <w:rPr>
                <w:b/>
                <w:bCs/>
              </w:rPr>
            </w:pPr>
            <w:r w:rsidRPr="00C33293">
              <w:rPr>
                <w:bCs/>
              </w:rPr>
              <w:t>59 (98.3)</w:t>
            </w:r>
          </w:p>
        </w:tc>
        <w:tc>
          <w:tcPr>
            <w:tcW w:w="1541" w:type="dxa"/>
          </w:tcPr>
          <w:p w14:paraId="7A609D63" w14:textId="77777777" w:rsidR="00734CAC" w:rsidRPr="00C33293" w:rsidRDefault="00734CAC" w:rsidP="003E461F">
            <w:pPr>
              <w:spacing w:line="240" w:lineRule="auto"/>
              <w:contextualSpacing/>
              <w:rPr>
                <w:b/>
                <w:bCs/>
              </w:rPr>
            </w:pPr>
            <w:r w:rsidRPr="00C33293">
              <w:rPr>
                <w:bCs/>
              </w:rPr>
              <w:t>99 (99.0)</w:t>
            </w:r>
          </w:p>
        </w:tc>
        <w:tc>
          <w:tcPr>
            <w:tcW w:w="1541" w:type="dxa"/>
          </w:tcPr>
          <w:p w14:paraId="6782C8FC" w14:textId="77777777" w:rsidR="00734CAC" w:rsidRPr="00C33293" w:rsidRDefault="00734CAC" w:rsidP="003E461F">
            <w:pPr>
              <w:spacing w:line="240" w:lineRule="auto"/>
              <w:contextualSpacing/>
              <w:rPr>
                <w:b/>
                <w:bCs/>
              </w:rPr>
            </w:pPr>
            <w:r w:rsidRPr="00C33293">
              <w:rPr>
                <w:bCs/>
              </w:rPr>
              <w:t>158 (98.8)</w:t>
            </w:r>
          </w:p>
        </w:tc>
        <w:tc>
          <w:tcPr>
            <w:tcW w:w="1541" w:type="dxa"/>
          </w:tcPr>
          <w:p w14:paraId="1F656CA7" w14:textId="77777777" w:rsidR="00734CAC" w:rsidRPr="00C33293" w:rsidRDefault="00734CAC" w:rsidP="003E461F">
            <w:pPr>
              <w:spacing w:line="240" w:lineRule="auto"/>
              <w:contextualSpacing/>
              <w:rPr>
                <w:b/>
                <w:bCs/>
              </w:rPr>
            </w:pPr>
            <w:r w:rsidRPr="00C33293">
              <w:rPr>
                <w:bCs/>
              </w:rPr>
              <w:t>367 (98.4)</w:t>
            </w:r>
          </w:p>
        </w:tc>
      </w:tr>
      <w:tr w:rsidR="00734CAC" w:rsidRPr="00734CAC" w14:paraId="5E3E5F3B" w14:textId="77777777" w:rsidTr="00C33293">
        <w:trPr>
          <w:trHeight w:val="304"/>
        </w:trPr>
        <w:tc>
          <w:tcPr>
            <w:tcW w:w="3114" w:type="dxa"/>
          </w:tcPr>
          <w:p w14:paraId="2C8FDD50" w14:textId="77777777" w:rsidR="00734CAC" w:rsidRPr="00533B22" w:rsidRDefault="00734CAC" w:rsidP="003E461F">
            <w:pPr>
              <w:spacing w:line="240" w:lineRule="auto"/>
              <w:contextualSpacing/>
              <w:rPr>
                <w:b/>
              </w:rPr>
            </w:pPr>
            <w:r w:rsidRPr="00533B22">
              <w:rPr>
                <w:b/>
              </w:rPr>
              <w:t xml:space="preserve">    AE Grade 3/4</w:t>
            </w:r>
          </w:p>
        </w:tc>
        <w:tc>
          <w:tcPr>
            <w:tcW w:w="1540" w:type="dxa"/>
          </w:tcPr>
          <w:p w14:paraId="262A18C9" w14:textId="77777777" w:rsidR="00734CAC" w:rsidRPr="00C33293" w:rsidRDefault="00734CAC" w:rsidP="003E461F">
            <w:pPr>
              <w:spacing w:line="240" w:lineRule="auto"/>
              <w:contextualSpacing/>
              <w:rPr>
                <w:b/>
                <w:bCs/>
              </w:rPr>
            </w:pPr>
            <w:r w:rsidRPr="00C33293">
              <w:rPr>
                <w:bCs/>
              </w:rPr>
              <w:t>47 (78.3)</w:t>
            </w:r>
          </w:p>
        </w:tc>
        <w:tc>
          <w:tcPr>
            <w:tcW w:w="1541" w:type="dxa"/>
          </w:tcPr>
          <w:p w14:paraId="38059EE0" w14:textId="77777777" w:rsidR="00734CAC" w:rsidRPr="00C33293" w:rsidRDefault="00734CAC" w:rsidP="003E461F">
            <w:pPr>
              <w:spacing w:line="240" w:lineRule="auto"/>
              <w:contextualSpacing/>
              <w:rPr>
                <w:b/>
                <w:bCs/>
              </w:rPr>
            </w:pPr>
            <w:r w:rsidRPr="00C33293">
              <w:rPr>
                <w:bCs/>
              </w:rPr>
              <w:t>71 (71.0)</w:t>
            </w:r>
          </w:p>
        </w:tc>
        <w:tc>
          <w:tcPr>
            <w:tcW w:w="1541" w:type="dxa"/>
          </w:tcPr>
          <w:p w14:paraId="4AACD8A2" w14:textId="77777777" w:rsidR="00734CAC" w:rsidRPr="00C33293" w:rsidRDefault="00734CAC" w:rsidP="003E461F">
            <w:pPr>
              <w:spacing w:line="240" w:lineRule="auto"/>
              <w:contextualSpacing/>
              <w:rPr>
                <w:b/>
                <w:bCs/>
              </w:rPr>
            </w:pPr>
            <w:r w:rsidRPr="00C33293">
              <w:rPr>
                <w:bCs/>
              </w:rPr>
              <w:t>118 (73.8)</w:t>
            </w:r>
          </w:p>
        </w:tc>
        <w:tc>
          <w:tcPr>
            <w:tcW w:w="1541" w:type="dxa"/>
          </w:tcPr>
          <w:p w14:paraId="63FF8FD9" w14:textId="77777777" w:rsidR="00734CAC" w:rsidRPr="00C33293" w:rsidRDefault="00734CAC" w:rsidP="003E461F">
            <w:pPr>
              <w:spacing w:line="240" w:lineRule="auto"/>
              <w:contextualSpacing/>
              <w:rPr>
                <w:b/>
                <w:bCs/>
              </w:rPr>
            </w:pPr>
            <w:r w:rsidRPr="00C33293">
              <w:rPr>
                <w:bCs/>
              </w:rPr>
              <w:t>263 (70.5)</w:t>
            </w:r>
          </w:p>
        </w:tc>
      </w:tr>
      <w:tr w:rsidR="00734CAC" w:rsidRPr="00734CAC" w14:paraId="064C9E14" w14:textId="77777777" w:rsidTr="00C33293">
        <w:trPr>
          <w:trHeight w:val="304"/>
        </w:trPr>
        <w:tc>
          <w:tcPr>
            <w:tcW w:w="3114" w:type="dxa"/>
          </w:tcPr>
          <w:p w14:paraId="19D84DC0" w14:textId="77777777" w:rsidR="00734CAC" w:rsidRPr="00533B22" w:rsidRDefault="00734CAC" w:rsidP="003E461F">
            <w:pPr>
              <w:spacing w:line="240" w:lineRule="auto"/>
              <w:contextualSpacing/>
              <w:rPr>
                <w:b/>
              </w:rPr>
            </w:pPr>
            <w:r w:rsidRPr="00533B22">
              <w:rPr>
                <w:b/>
              </w:rPr>
              <w:t>SAE</w:t>
            </w:r>
          </w:p>
        </w:tc>
        <w:tc>
          <w:tcPr>
            <w:tcW w:w="1540" w:type="dxa"/>
          </w:tcPr>
          <w:p w14:paraId="1A2B8722" w14:textId="77777777" w:rsidR="00734CAC" w:rsidRPr="00C33293" w:rsidRDefault="00734CAC" w:rsidP="003E461F">
            <w:pPr>
              <w:spacing w:line="240" w:lineRule="auto"/>
              <w:contextualSpacing/>
              <w:rPr>
                <w:b/>
                <w:bCs/>
              </w:rPr>
            </w:pPr>
            <w:r w:rsidRPr="00C33293">
              <w:rPr>
                <w:bCs/>
              </w:rPr>
              <w:t>31 (51.7)</w:t>
            </w:r>
          </w:p>
        </w:tc>
        <w:tc>
          <w:tcPr>
            <w:tcW w:w="1541" w:type="dxa"/>
          </w:tcPr>
          <w:p w14:paraId="12EBE8AA" w14:textId="77777777" w:rsidR="00734CAC" w:rsidRPr="00C33293" w:rsidRDefault="00734CAC" w:rsidP="003E461F">
            <w:pPr>
              <w:spacing w:line="240" w:lineRule="auto"/>
              <w:contextualSpacing/>
              <w:rPr>
                <w:b/>
                <w:bCs/>
              </w:rPr>
            </w:pPr>
            <w:r w:rsidRPr="00C33293">
              <w:rPr>
                <w:bCs/>
              </w:rPr>
              <w:t>52 (52.0)</w:t>
            </w:r>
          </w:p>
        </w:tc>
        <w:tc>
          <w:tcPr>
            <w:tcW w:w="1541" w:type="dxa"/>
          </w:tcPr>
          <w:p w14:paraId="7F4975E8" w14:textId="77777777" w:rsidR="00734CAC" w:rsidRPr="00C33293" w:rsidRDefault="00734CAC" w:rsidP="003E461F">
            <w:pPr>
              <w:spacing w:line="240" w:lineRule="auto"/>
              <w:contextualSpacing/>
              <w:rPr>
                <w:b/>
                <w:bCs/>
              </w:rPr>
            </w:pPr>
            <w:r w:rsidRPr="00C33293">
              <w:rPr>
                <w:bCs/>
              </w:rPr>
              <w:t>83 (51.9)</w:t>
            </w:r>
          </w:p>
        </w:tc>
        <w:tc>
          <w:tcPr>
            <w:tcW w:w="1541" w:type="dxa"/>
          </w:tcPr>
          <w:p w14:paraId="403D2F4E" w14:textId="77777777" w:rsidR="00734CAC" w:rsidRPr="00C33293" w:rsidRDefault="00734CAC" w:rsidP="003E461F">
            <w:pPr>
              <w:spacing w:line="240" w:lineRule="auto"/>
              <w:contextualSpacing/>
              <w:rPr>
                <w:b/>
                <w:bCs/>
              </w:rPr>
            </w:pPr>
            <w:r w:rsidRPr="00C33293">
              <w:rPr>
                <w:bCs/>
              </w:rPr>
              <w:t>202 (54.2)</w:t>
            </w:r>
          </w:p>
        </w:tc>
      </w:tr>
      <w:tr w:rsidR="00734CAC" w:rsidRPr="00734CAC" w14:paraId="525CF37E" w14:textId="77777777" w:rsidTr="00C33293">
        <w:trPr>
          <w:trHeight w:val="304"/>
        </w:trPr>
        <w:tc>
          <w:tcPr>
            <w:tcW w:w="3114" w:type="dxa"/>
          </w:tcPr>
          <w:p w14:paraId="44591778" w14:textId="77777777" w:rsidR="00734CAC" w:rsidRPr="00533B22" w:rsidRDefault="00734CAC" w:rsidP="003E461F">
            <w:pPr>
              <w:spacing w:line="240" w:lineRule="auto"/>
              <w:contextualSpacing/>
              <w:rPr>
                <w:b/>
              </w:rPr>
            </w:pPr>
            <w:r w:rsidRPr="00533B22">
              <w:rPr>
                <w:b/>
              </w:rPr>
              <w:t xml:space="preserve">    SAE Grade 3/4</w:t>
            </w:r>
          </w:p>
        </w:tc>
        <w:tc>
          <w:tcPr>
            <w:tcW w:w="1540" w:type="dxa"/>
          </w:tcPr>
          <w:p w14:paraId="28E624E5" w14:textId="77777777" w:rsidR="00734CAC" w:rsidRPr="00C33293" w:rsidRDefault="00734CAC" w:rsidP="003E461F">
            <w:pPr>
              <w:spacing w:line="240" w:lineRule="auto"/>
              <w:contextualSpacing/>
              <w:rPr>
                <w:b/>
                <w:bCs/>
              </w:rPr>
            </w:pPr>
            <w:r w:rsidRPr="00C33293">
              <w:rPr>
                <w:bCs/>
              </w:rPr>
              <w:t>25 (41.7)</w:t>
            </w:r>
          </w:p>
        </w:tc>
        <w:tc>
          <w:tcPr>
            <w:tcW w:w="1541" w:type="dxa"/>
          </w:tcPr>
          <w:p w14:paraId="202237EA" w14:textId="77777777" w:rsidR="00734CAC" w:rsidRPr="00C33293" w:rsidRDefault="00734CAC" w:rsidP="003E461F">
            <w:pPr>
              <w:spacing w:line="240" w:lineRule="auto"/>
              <w:contextualSpacing/>
              <w:rPr>
                <w:b/>
                <w:bCs/>
              </w:rPr>
            </w:pPr>
            <w:r w:rsidRPr="00C33293">
              <w:rPr>
                <w:bCs/>
              </w:rPr>
              <w:t>42 (42.0)</w:t>
            </w:r>
          </w:p>
        </w:tc>
        <w:tc>
          <w:tcPr>
            <w:tcW w:w="1541" w:type="dxa"/>
          </w:tcPr>
          <w:p w14:paraId="5BC7D3DD" w14:textId="77777777" w:rsidR="00734CAC" w:rsidRPr="00C33293" w:rsidRDefault="00734CAC" w:rsidP="003E461F">
            <w:pPr>
              <w:spacing w:line="240" w:lineRule="auto"/>
              <w:contextualSpacing/>
              <w:rPr>
                <w:b/>
                <w:bCs/>
              </w:rPr>
            </w:pPr>
            <w:r w:rsidRPr="00C33293">
              <w:rPr>
                <w:bCs/>
              </w:rPr>
              <w:t>67 (41.9)</w:t>
            </w:r>
          </w:p>
        </w:tc>
        <w:tc>
          <w:tcPr>
            <w:tcW w:w="1541" w:type="dxa"/>
          </w:tcPr>
          <w:p w14:paraId="1C17A68B" w14:textId="77777777" w:rsidR="00734CAC" w:rsidRPr="00C33293" w:rsidRDefault="00734CAC" w:rsidP="003E461F">
            <w:pPr>
              <w:spacing w:line="240" w:lineRule="auto"/>
              <w:contextualSpacing/>
              <w:rPr>
                <w:b/>
                <w:bCs/>
              </w:rPr>
            </w:pPr>
            <w:r w:rsidRPr="00C33293">
              <w:rPr>
                <w:bCs/>
              </w:rPr>
              <w:t>164 (44.0)</w:t>
            </w:r>
          </w:p>
        </w:tc>
      </w:tr>
      <w:tr w:rsidR="00734CAC" w:rsidRPr="00734CAC" w14:paraId="290AFA6B" w14:textId="77777777" w:rsidTr="00C33293">
        <w:trPr>
          <w:trHeight w:val="304"/>
        </w:trPr>
        <w:tc>
          <w:tcPr>
            <w:tcW w:w="3114" w:type="dxa"/>
          </w:tcPr>
          <w:p w14:paraId="52F6102C" w14:textId="77777777" w:rsidR="00734CAC" w:rsidRPr="00533B22" w:rsidRDefault="00734CAC" w:rsidP="003E461F">
            <w:pPr>
              <w:spacing w:line="240" w:lineRule="auto"/>
              <w:contextualSpacing/>
              <w:rPr>
                <w:b/>
              </w:rPr>
            </w:pPr>
            <w:r w:rsidRPr="00533B22">
              <w:rPr>
                <w:b/>
              </w:rPr>
              <w:t>Fatal SAEs</w:t>
            </w:r>
          </w:p>
        </w:tc>
        <w:tc>
          <w:tcPr>
            <w:tcW w:w="1540" w:type="dxa"/>
          </w:tcPr>
          <w:p w14:paraId="44D75B4D" w14:textId="77777777" w:rsidR="00734CAC" w:rsidRPr="00C33293" w:rsidRDefault="00734CAC" w:rsidP="003E461F">
            <w:pPr>
              <w:spacing w:line="240" w:lineRule="auto"/>
              <w:contextualSpacing/>
              <w:rPr>
                <w:b/>
                <w:bCs/>
              </w:rPr>
            </w:pPr>
            <w:r w:rsidRPr="00C33293">
              <w:rPr>
                <w:bCs/>
              </w:rPr>
              <w:t xml:space="preserve">3 (5.0) </w:t>
            </w:r>
          </w:p>
        </w:tc>
        <w:tc>
          <w:tcPr>
            <w:tcW w:w="1541" w:type="dxa"/>
          </w:tcPr>
          <w:p w14:paraId="14D6615B" w14:textId="77777777" w:rsidR="00734CAC" w:rsidRPr="00C33293" w:rsidRDefault="00734CAC" w:rsidP="003E461F">
            <w:pPr>
              <w:spacing w:line="240" w:lineRule="auto"/>
              <w:contextualSpacing/>
              <w:rPr>
                <w:b/>
                <w:bCs/>
              </w:rPr>
            </w:pPr>
            <w:r w:rsidRPr="00C33293">
              <w:rPr>
                <w:bCs/>
              </w:rPr>
              <w:t xml:space="preserve">3 (3.0) </w:t>
            </w:r>
          </w:p>
        </w:tc>
        <w:tc>
          <w:tcPr>
            <w:tcW w:w="1541" w:type="dxa"/>
          </w:tcPr>
          <w:p w14:paraId="7F61A55D" w14:textId="77777777" w:rsidR="00734CAC" w:rsidRPr="00C33293" w:rsidRDefault="00734CAC" w:rsidP="003E461F">
            <w:pPr>
              <w:spacing w:line="240" w:lineRule="auto"/>
              <w:contextualSpacing/>
              <w:rPr>
                <w:b/>
                <w:bCs/>
              </w:rPr>
            </w:pPr>
            <w:r w:rsidRPr="00C33293">
              <w:rPr>
                <w:bCs/>
              </w:rPr>
              <w:t xml:space="preserve">6 (3.8) </w:t>
            </w:r>
          </w:p>
        </w:tc>
        <w:tc>
          <w:tcPr>
            <w:tcW w:w="1541" w:type="dxa"/>
          </w:tcPr>
          <w:p w14:paraId="6011E1A9" w14:textId="77777777" w:rsidR="00734CAC" w:rsidRPr="00C33293" w:rsidRDefault="00734CAC" w:rsidP="003E461F">
            <w:pPr>
              <w:spacing w:line="240" w:lineRule="auto"/>
              <w:contextualSpacing/>
              <w:rPr>
                <w:b/>
                <w:bCs/>
              </w:rPr>
            </w:pPr>
            <w:r w:rsidRPr="00C33293">
              <w:rPr>
                <w:bCs/>
              </w:rPr>
              <w:t>12 (3.2)</w:t>
            </w:r>
          </w:p>
        </w:tc>
      </w:tr>
      <w:tr w:rsidR="00734CAC" w:rsidRPr="00734CAC" w14:paraId="66E2C977" w14:textId="77777777" w:rsidTr="00C33293">
        <w:trPr>
          <w:trHeight w:val="304"/>
        </w:trPr>
        <w:tc>
          <w:tcPr>
            <w:tcW w:w="3114" w:type="dxa"/>
          </w:tcPr>
          <w:p w14:paraId="2535B589" w14:textId="52BB82CA" w:rsidR="00734CAC" w:rsidRPr="00533B22" w:rsidRDefault="00734CAC" w:rsidP="003E461F">
            <w:pPr>
              <w:spacing w:line="240" w:lineRule="auto"/>
              <w:ind w:left="171" w:hanging="171"/>
              <w:contextualSpacing/>
              <w:rPr>
                <w:b/>
              </w:rPr>
            </w:pPr>
            <w:r w:rsidRPr="00533B22">
              <w:rPr>
                <w:b/>
              </w:rPr>
              <w:t xml:space="preserve">    Treatment-Related </w:t>
            </w:r>
            <w:proofErr w:type="gramStart"/>
            <w:r w:rsidRPr="00533B22">
              <w:rPr>
                <w:b/>
              </w:rPr>
              <w:t>Fatal</w:t>
            </w:r>
            <w:r w:rsidR="008F068E" w:rsidRPr="00533B22">
              <w:rPr>
                <w:b/>
              </w:rPr>
              <w:t xml:space="preserve"> </w:t>
            </w:r>
            <w:r w:rsidRPr="00533B22">
              <w:rPr>
                <w:b/>
              </w:rPr>
              <w:t xml:space="preserve"> SAE</w:t>
            </w:r>
            <w:proofErr w:type="gramEnd"/>
          </w:p>
        </w:tc>
        <w:tc>
          <w:tcPr>
            <w:tcW w:w="1540" w:type="dxa"/>
          </w:tcPr>
          <w:p w14:paraId="18821A5F" w14:textId="77777777" w:rsidR="00734CAC" w:rsidRPr="00C33293" w:rsidRDefault="00734CAC" w:rsidP="003E461F">
            <w:pPr>
              <w:spacing w:line="240" w:lineRule="auto"/>
              <w:contextualSpacing/>
              <w:rPr>
                <w:b/>
                <w:bCs/>
              </w:rPr>
            </w:pPr>
            <w:r w:rsidRPr="00C33293">
              <w:rPr>
                <w:bCs/>
              </w:rPr>
              <w:t>0</w:t>
            </w:r>
          </w:p>
        </w:tc>
        <w:tc>
          <w:tcPr>
            <w:tcW w:w="1541" w:type="dxa"/>
          </w:tcPr>
          <w:p w14:paraId="523A5A92" w14:textId="77777777" w:rsidR="00734CAC" w:rsidRPr="00C33293" w:rsidRDefault="00734CAC" w:rsidP="003E461F">
            <w:pPr>
              <w:spacing w:line="240" w:lineRule="auto"/>
              <w:contextualSpacing/>
              <w:rPr>
                <w:b/>
                <w:bCs/>
              </w:rPr>
            </w:pPr>
            <w:r w:rsidRPr="00C33293">
              <w:rPr>
                <w:bCs/>
              </w:rPr>
              <w:t>2 (2.0)</w:t>
            </w:r>
          </w:p>
        </w:tc>
        <w:tc>
          <w:tcPr>
            <w:tcW w:w="1541" w:type="dxa"/>
          </w:tcPr>
          <w:p w14:paraId="23B16563" w14:textId="77777777" w:rsidR="00734CAC" w:rsidRPr="00C33293" w:rsidRDefault="00734CAC" w:rsidP="003E461F">
            <w:pPr>
              <w:spacing w:line="240" w:lineRule="auto"/>
              <w:contextualSpacing/>
              <w:rPr>
                <w:b/>
                <w:bCs/>
              </w:rPr>
            </w:pPr>
            <w:r w:rsidRPr="00C33293">
              <w:rPr>
                <w:bCs/>
              </w:rPr>
              <w:t xml:space="preserve">2 (1.3) </w:t>
            </w:r>
          </w:p>
        </w:tc>
        <w:tc>
          <w:tcPr>
            <w:tcW w:w="1541" w:type="dxa"/>
          </w:tcPr>
          <w:p w14:paraId="678B5257" w14:textId="77777777" w:rsidR="00734CAC" w:rsidRPr="00C33293" w:rsidRDefault="00734CAC" w:rsidP="003E461F">
            <w:pPr>
              <w:spacing w:line="240" w:lineRule="auto"/>
              <w:contextualSpacing/>
              <w:rPr>
                <w:b/>
                <w:bCs/>
              </w:rPr>
            </w:pPr>
            <w:r w:rsidRPr="00C33293">
              <w:rPr>
                <w:bCs/>
              </w:rPr>
              <w:t>4 (1.1)</w:t>
            </w:r>
          </w:p>
        </w:tc>
      </w:tr>
      <w:tr w:rsidR="00734CAC" w:rsidRPr="00734CAC" w14:paraId="296D5226" w14:textId="77777777" w:rsidTr="00C33293">
        <w:trPr>
          <w:trHeight w:val="304"/>
        </w:trPr>
        <w:tc>
          <w:tcPr>
            <w:tcW w:w="3114" w:type="dxa"/>
          </w:tcPr>
          <w:p w14:paraId="2557CFB8" w14:textId="77777777" w:rsidR="00734CAC" w:rsidRPr="00533B22" w:rsidRDefault="00734CAC" w:rsidP="003E461F">
            <w:pPr>
              <w:spacing w:line="240" w:lineRule="auto"/>
              <w:contextualSpacing/>
              <w:rPr>
                <w:b/>
              </w:rPr>
            </w:pPr>
            <w:r w:rsidRPr="00533B22">
              <w:rPr>
                <w:b/>
              </w:rPr>
              <w:t>AE leading to dose interruption</w:t>
            </w:r>
          </w:p>
        </w:tc>
        <w:tc>
          <w:tcPr>
            <w:tcW w:w="1540" w:type="dxa"/>
          </w:tcPr>
          <w:p w14:paraId="34C8987E" w14:textId="77777777" w:rsidR="00734CAC" w:rsidRPr="00C33293" w:rsidRDefault="00734CAC" w:rsidP="003E461F">
            <w:pPr>
              <w:spacing w:line="240" w:lineRule="auto"/>
              <w:contextualSpacing/>
              <w:rPr>
                <w:b/>
                <w:bCs/>
              </w:rPr>
            </w:pPr>
            <w:r w:rsidRPr="00C33293">
              <w:rPr>
                <w:bCs/>
              </w:rPr>
              <w:t>40 (66.7)</w:t>
            </w:r>
          </w:p>
        </w:tc>
        <w:tc>
          <w:tcPr>
            <w:tcW w:w="1541" w:type="dxa"/>
          </w:tcPr>
          <w:p w14:paraId="0E8EDAAA" w14:textId="77777777" w:rsidR="00734CAC" w:rsidRPr="00C33293" w:rsidRDefault="00734CAC" w:rsidP="003E461F">
            <w:pPr>
              <w:spacing w:line="240" w:lineRule="auto"/>
              <w:contextualSpacing/>
              <w:rPr>
                <w:b/>
                <w:bCs/>
              </w:rPr>
            </w:pPr>
            <w:r w:rsidRPr="00C33293">
              <w:rPr>
                <w:bCs/>
              </w:rPr>
              <w:t xml:space="preserve">60 (60.0) </w:t>
            </w:r>
          </w:p>
        </w:tc>
        <w:tc>
          <w:tcPr>
            <w:tcW w:w="1541" w:type="dxa"/>
          </w:tcPr>
          <w:p w14:paraId="19676AC6" w14:textId="77777777" w:rsidR="00734CAC" w:rsidRPr="00C33293" w:rsidRDefault="00734CAC" w:rsidP="003E461F">
            <w:pPr>
              <w:spacing w:line="240" w:lineRule="auto"/>
              <w:contextualSpacing/>
              <w:rPr>
                <w:b/>
                <w:bCs/>
              </w:rPr>
            </w:pPr>
            <w:r w:rsidRPr="00C33293">
              <w:rPr>
                <w:bCs/>
              </w:rPr>
              <w:t>100 (62.5)</w:t>
            </w:r>
          </w:p>
        </w:tc>
        <w:tc>
          <w:tcPr>
            <w:tcW w:w="1541" w:type="dxa"/>
          </w:tcPr>
          <w:p w14:paraId="2F77FE8E" w14:textId="77777777" w:rsidR="00734CAC" w:rsidRPr="00C33293" w:rsidRDefault="00734CAC" w:rsidP="003E461F">
            <w:pPr>
              <w:spacing w:line="240" w:lineRule="auto"/>
              <w:contextualSpacing/>
              <w:rPr>
                <w:b/>
                <w:bCs/>
              </w:rPr>
            </w:pPr>
            <w:r w:rsidRPr="00C33293">
              <w:rPr>
                <w:bCs/>
              </w:rPr>
              <w:t>215 (57.6)</w:t>
            </w:r>
          </w:p>
        </w:tc>
      </w:tr>
      <w:tr w:rsidR="00734CAC" w:rsidRPr="00734CAC" w14:paraId="2826862D" w14:textId="77777777" w:rsidTr="00C33293">
        <w:trPr>
          <w:trHeight w:val="304"/>
        </w:trPr>
        <w:tc>
          <w:tcPr>
            <w:tcW w:w="3114" w:type="dxa"/>
          </w:tcPr>
          <w:p w14:paraId="61F536FF" w14:textId="77777777" w:rsidR="00734CAC" w:rsidRPr="00533B22" w:rsidRDefault="00734CAC" w:rsidP="003E461F">
            <w:pPr>
              <w:spacing w:line="240" w:lineRule="auto"/>
              <w:contextualSpacing/>
              <w:rPr>
                <w:b/>
              </w:rPr>
            </w:pPr>
            <w:r w:rsidRPr="00533B22">
              <w:rPr>
                <w:b/>
              </w:rPr>
              <w:t>AE leading to dose reduction</w:t>
            </w:r>
          </w:p>
        </w:tc>
        <w:tc>
          <w:tcPr>
            <w:tcW w:w="1540" w:type="dxa"/>
          </w:tcPr>
          <w:p w14:paraId="174BC183" w14:textId="77777777" w:rsidR="00734CAC" w:rsidRPr="00C33293" w:rsidRDefault="00734CAC" w:rsidP="003E461F">
            <w:pPr>
              <w:spacing w:line="240" w:lineRule="auto"/>
              <w:contextualSpacing/>
              <w:rPr>
                <w:b/>
                <w:bCs/>
              </w:rPr>
            </w:pPr>
            <w:r w:rsidRPr="00C33293">
              <w:rPr>
                <w:bCs/>
              </w:rPr>
              <w:t>26 (43.3)</w:t>
            </w:r>
          </w:p>
        </w:tc>
        <w:tc>
          <w:tcPr>
            <w:tcW w:w="1541" w:type="dxa"/>
          </w:tcPr>
          <w:p w14:paraId="504B6F25" w14:textId="77777777" w:rsidR="00734CAC" w:rsidRPr="00C33293" w:rsidRDefault="00734CAC" w:rsidP="003E461F">
            <w:pPr>
              <w:spacing w:line="240" w:lineRule="auto"/>
              <w:contextualSpacing/>
              <w:rPr>
                <w:b/>
                <w:bCs/>
              </w:rPr>
            </w:pPr>
            <w:r w:rsidRPr="00C33293">
              <w:rPr>
                <w:bCs/>
              </w:rPr>
              <w:t xml:space="preserve">36 (36.0) </w:t>
            </w:r>
          </w:p>
        </w:tc>
        <w:tc>
          <w:tcPr>
            <w:tcW w:w="1541" w:type="dxa"/>
          </w:tcPr>
          <w:p w14:paraId="78F3ACE3" w14:textId="77777777" w:rsidR="00734CAC" w:rsidRPr="00C33293" w:rsidRDefault="00734CAC" w:rsidP="003E461F">
            <w:pPr>
              <w:spacing w:line="240" w:lineRule="auto"/>
              <w:contextualSpacing/>
              <w:rPr>
                <w:b/>
                <w:bCs/>
              </w:rPr>
            </w:pPr>
            <w:r w:rsidRPr="00C33293">
              <w:rPr>
                <w:bCs/>
              </w:rPr>
              <w:t>62 (38.8)</w:t>
            </w:r>
          </w:p>
        </w:tc>
        <w:tc>
          <w:tcPr>
            <w:tcW w:w="1541" w:type="dxa"/>
          </w:tcPr>
          <w:p w14:paraId="373C877D" w14:textId="77777777" w:rsidR="00734CAC" w:rsidRPr="00C33293" w:rsidRDefault="00734CAC" w:rsidP="003E461F">
            <w:pPr>
              <w:spacing w:line="240" w:lineRule="auto"/>
              <w:contextualSpacing/>
              <w:rPr>
                <w:b/>
                <w:bCs/>
              </w:rPr>
            </w:pPr>
            <w:r w:rsidRPr="00C33293">
              <w:rPr>
                <w:bCs/>
              </w:rPr>
              <w:t>100 (26.8)</w:t>
            </w:r>
          </w:p>
        </w:tc>
      </w:tr>
      <w:tr w:rsidR="00734CAC" w:rsidRPr="00734CAC" w14:paraId="6AD778BE" w14:textId="77777777" w:rsidTr="00C33293">
        <w:trPr>
          <w:trHeight w:val="304"/>
        </w:trPr>
        <w:tc>
          <w:tcPr>
            <w:tcW w:w="3114" w:type="dxa"/>
          </w:tcPr>
          <w:p w14:paraId="68F635ED" w14:textId="77777777" w:rsidR="00734CAC" w:rsidRPr="00533B22" w:rsidRDefault="00734CAC" w:rsidP="003E461F">
            <w:pPr>
              <w:spacing w:line="240" w:lineRule="auto"/>
              <w:contextualSpacing/>
              <w:rPr>
                <w:b/>
              </w:rPr>
            </w:pPr>
            <w:r w:rsidRPr="00533B22">
              <w:rPr>
                <w:b/>
              </w:rPr>
              <w:t>AE leading to dose discontinuation</w:t>
            </w:r>
          </w:p>
        </w:tc>
        <w:tc>
          <w:tcPr>
            <w:tcW w:w="1540" w:type="dxa"/>
          </w:tcPr>
          <w:p w14:paraId="487FAD2C" w14:textId="77777777" w:rsidR="00734CAC" w:rsidRPr="00C33293" w:rsidRDefault="00734CAC" w:rsidP="003E461F">
            <w:pPr>
              <w:spacing w:line="240" w:lineRule="auto"/>
              <w:contextualSpacing/>
              <w:rPr>
                <w:b/>
                <w:bCs/>
              </w:rPr>
            </w:pPr>
            <w:r w:rsidRPr="00C33293">
              <w:rPr>
                <w:bCs/>
              </w:rPr>
              <w:t>15 (25.0)</w:t>
            </w:r>
          </w:p>
        </w:tc>
        <w:tc>
          <w:tcPr>
            <w:tcW w:w="1541" w:type="dxa"/>
          </w:tcPr>
          <w:p w14:paraId="65235649" w14:textId="77777777" w:rsidR="00734CAC" w:rsidRPr="00C33293" w:rsidRDefault="00734CAC" w:rsidP="003E461F">
            <w:pPr>
              <w:spacing w:line="240" w:lineRule="auto"/>
              <w:contextualSpacing/>
              <w:rPr>
                <w:b/>
                <w:bCs/>
              </w:rPr>
            </w:pPr>
            <w:r w:rsidRPr="00C33293">
              <w:rPr>
                <w:bCs/>
              </w:rPr>
              <w:t>19 (19.0)</w:t>
            </w:r>
          </w:p>
        </w:tc>
        <w:tc>
          <w:tcPr>
            <w:tcW w:w="1541" w:type="dxa"/>
          </w:tcPr>
          <w:p w14:paraId="17B21E8A" w14:textId="77777777" w:rsidR="00734CAC" w:rsidRPr="00C33293" w:rsidRDefault="00734CAC" w:rsidP="003E461F">
            <w:pPr>
              <w:spacing w:line="240" w:lineRule="auto"/>
              <w:contextualSpacing/>
              <w:rPr>
                <w:b/>
                <w:bCs/>
              </w:rPr>
            </w:pPr>
            <w:r w:rsidRPr="00C33293">
              <w:rPr>
                <w:bCs/>
              </w:rPr>
              <w:t>34 (21.3)</w:t>
            </w:r>
          </w:p>
        </w:tc>
        <w:tc>
          <w:tcPr>
            <w:tcW w:w="1541" w:type="dxa"/>
          </w:tcPr>
          <w:p w14:paraId="274A5CD1" w14:textId="77777777" w:rsidR="00734CAC" w:rsidRPr="00C33293" w:rsidRDefault="00734CAC" w:rsidP="003E461F">
            <w:pPr>
              <w:spacing w:line="240" w:lineRule="auto"/>
              <w:contextualSpacing/>
              <w:rPr>
                <w:b/>
                <w:bCs/>
              </w:rPr>
            </w:pPr>
            <w:r w:rsidRPr="00C33293">
              <w:rPr>
                <w:bCs/>
              </w:rPr>
              <w:t>68 (18.2)</w:t>
            </w:r>
          </w:p>
        </w:tc>
      </w:tr>
    </w:tbl>
    <w:p w14:paraId="53CBE61E" w14:textId="77777777" w:rsidR="00E51CCC" w:rsidRDefault="00E51CCC" w:rsidP="00E51CCC">
      <w:pPr>
        <w:pStyle w:val="TableDescription"/>
      </w:pPr>
      <w:r>
        <w:t>AE = Adverse event; SAE = serious adverse event</w:t>
      </w:r>
    </w:p>
    <w:p w14:paraId="5047FE57" w14:textId="77777777" w:rsidR="00E51CCC" w:rsidRDefault="00E51CCC" w:rsidP="00E51CCC">
      <w:pPr>
        <w:pStyle w:val="TableDescription"/>
      </w:pPr>
      <w:r>
        <w:t>Numbers (n) represent counts of subjects.</w:t>
      </w:r>
    </w:p>
    <w:p w14:paraId="74F52997" w14:textId="77777777" w:rsidR="00E51CCC" w:rsidRDefault="00E51CCC" w:rsidP="00E51CCC">
      <w:pPr>
        <w:pStyle w:val="TableDescription"/>
      </w:pPr>
      <w:r>
        <w:t>A subject with multiple severity grades for an AE is only counted under the maximum grade.</w:t>
      </w:r>
    </w:p>
    <w:p w14:paraId="0533CD98" w14:textId="7C498BD3" w:rsidR="003D66DE" w:rsidRDefault="00E51CCC" w:rsidP="00E51CCC">
      <w:pPr>
        <w:pStyle w:val="TableDescription"/>
      </w:pPr>
      <w:r>
        <w:t>MedDRA version 26.0 was used. AEs were graded according to the CTCAE V4.03</w:t>
      </w:r>
    </w:p>
    <w:p w14:paraId="54164847" w14:textId="77777777" w:rsidR="00CA5F31" w:rsidRDefault="00CA5F31" w:rsidP="00CA5F31">
      <w:r>
        <w:t>Among all study participants, the most frequently reported AEs were oedema peripheral (54.7%), nausea (45.8%), vomiting (28.7%), blood creatinine increased (27.6%) and dyspnoea (25.5%).</w:t>
      </w:r>
    </w:p>
    <w:p w14:paraId="75DF9CF0" w14:textId="77777777" w:rsidR="00CA5F31" w:rsidRDefault="00CA5F31" w:rsidP="00CA5F31">
      <w:r>
        <w:t>The most frequently reported AEs were consistent between patients with MET-mutated NSCLC and all study subjects except oedema peripheral (73.3% in treatment naive subjects with MET∆ex14 NSCLC vs 54.7% in all study subjects), which could be attributed to the longer duration of exposure of subjects to capmatinib treatment in the first-line setting.</w:t>
      </w:r>
    </w:p>
    <w:p w14:paraId="62E6448D" w14:textId="77777777" w:rsidR="00B97E79" w:rsidRDefault="00B97E79" w:rsidP="00CA5F31"/>
    <w:p w14:paraId="1E949887" w14:textId="3BD12E34" w:rsidR="00CA5F31" w:rsidRDefault="00CA5F31" w:rsidP="00CA5F31">
      <w:r>
        <w:lastRenderedPageBreak/>
        <w:t xml:space="preserve">AEs of special interest (AESI) in all subjects included hepatotoxicity (32.2%), renal dysfunction (29.2%), CNS toxicity (18.8%), and pancreatitis (14.2%). Interstitial lung disease (ILD) and pneumonitis grouped frequency was 5.4%. Two fatal AEs were reported in the ILD/pneumonitis group. The proportion of patients with ILD/pneumonitis was numerically higher in patients with MET-mutated NSCLC than all subjects (7.5% vs 5.4%), however, the exposure-adjusted incidence was comparable between subjects in the MET-mutated cohorts and all study subjects. Hy's law was not met for any hepatotoxicity cases. AESIs are summarised in Table </w:t>
      </w:r>
      <w:r w:rsidR="004A3801">
        <w:t>8</w:t>
      </w:r>
      <w:r>
        <w:t>.</w:t>
      </w:r>
    </w:p>
    <w:p w14:paraId="450FBDD0" w14:textId="7442523D" w:rsidR="00CA5F31" w:rsidRDefault="00CA5F31" w:rsidP="00057194">
      <w:pPr>
        <w:pStyle w:val="TableTitle"/>
      </w:pPr>
      <w:r>
        <w:t xml:space="preserve">Table </w:t>
      </w:r>
      <w:r w:rsidR="004A3801">
        <w:t>8.</w:t>
      </w:r>
      <w:r>
        <w:t xml:space="preserve"> Adverse events of special interest observed in Study CINC280A2201 (Safety set)</w:t>
      </w:r>
    </w:p>
    <w:tbl>
      <w:tblPr>
        <w:tblStyle w:val="TableTGAblue"/>
        <w:tblW w:w="9492" w:type="dxa"/>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Layout w:type="fixed"/>
        <w:tblLook w:val="01E0" w:firstRow="1" w:lastRow="1" w:firstColumn="1" w:lastColumn="1" w:noHBand="0" w:noVBand="0"/>
        <w:tblCaption w:val="Table 8. Adverse events of special interest observed in Study CINC280A2201 (Safety set)"/>
      </w:tblPr>
      <w:tblGrid>
        <w:gridCol w:w="1980"/>
        <w:gridCol w:w="939"/>
        <w:gridCol w:w="939"/>
        <w:gridCol w:w="939"/>
        <w:gridCol w:w="939"/>
        <w:gridCol w:w="939"/>
        <w:gridCol w:w="939"/>
        <w:gridCol w:w="939"/>
        <w:gridCol w:w="939"/>
      </w:tblGrid>
      <w:tr w:rsidR="008C2703" w:rsidRPr="008C2703" w14:paraId="74CA663B" w14:textId="77777777" w:rsidTr="00533B22">
        <w:trPr>
          <w:cnfStyle w:val="100000000000" w:firstRow="1" w:lastRow="0" w:firstColumn="0" w:lastColumn="0" w:oddVBand="0" w:evenVBand="0" w:oddHBand="0" w:evenHBand="0" w:firstRowFirstColumn="0" w:firstRowLastColumn="0" w:lastRowFirstColumn="0" w:lastRowLastColumn="0"/>
          <w:trHeight w:val="304"/>
        </w:trPr>
        <w:tc>
          <w:tcPr>
            <w:tcW w:w="1980"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EEAF6"/>
          </w:tcPr>
          <w:p w14:paraId="44D763DF" w14:textId="77777777" w:rsidR="008C2703" w:rsidRPr="008C2703" w:rsidRDefault="008C2703" w:rsidP="003E461F">
            <w:pPr>
              <w:ind w:left="0" w:right="0"/>
              <w:contextualSpacing/>
              <w:rPr>
                <w:color w:val="263287"/>
                <w:szCs w:val="22"/>
                <w:lang w:eastAsia="ja-JP"/>
              </w:rPr>
            </w:pPr>
            <w:r w:rsidRPr="008C2703">
              <w:rPr>
                <w:color w:val="263287"/>
                <w:szCs w:val="22"/>
                <w:lang w:eastAsia="ja-JP"/>
              </w:rPr>
              <w:t>AESI</w:t>
            </w:r>
          </w:p>
        </w:tc>
        <w:tc>
          <w:tcPr>
            <w:tcW w:w="1878"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EEAF6"/>
          </w:tcPr>
          <w:p w14:paraId="161F47D8" w14:textId="77777777" w:rsidR="008C2703" w:rsidRPr="008C2703" w:rsidRDefault="008C2703" w:rsidP="003E461F">
            <w:pPr>
              <w:ind w:left="0" w:right="0"/>
              <w:contextualSpacing/>
              <w:rPr>
                <w:color w:val="263287"/>
                <w:szCs w:val="22"/>
                <w:lang w:eastAsia="ja-JP"/>
              </w:rPr>
            </w:pPr>
            <w:r w:rsidRPr="008C2703">
              <w:rPr>
                <w:color w:val="263287"/>
                <w:szCs w:val="22"/>
                <w:lang w:eastAsia="ja-JP"/>
              </w:rPr>
              <w:t>All (1L, mutant)</w:t>
            </w:r>
          </w:p>
          <w:p w14:paraId="4913D72D" w14:textId="77777777" w:rsidR="008C2703" w:rsidRPr="008C2703" w:rsidRDefault="008C2703" w:rsidP="003E461F">
            <w:pPr>
              <w:contextualSpacing/>
              <w:rPr>
                <w:color w:val="263287"/>
                <w:szCs w:val="22"/>
                <w:lang w:eastAsia="ja-JP"/>
              </w:rPr>
            </w:pPr>
            <w:r w:rsidRPr="008C2703">
              <w:rPr>
                <w:color w:val="263287"/>
                <w:szCs w:val="22"/>
                <w:lang w:eastAsia="ja-JP"/>
              </w:rPr>
              <w:t>N=60</w:t>
            </w:r>
          </w:p>
        </w:tc>
        <w:tc>
          <w:tcPr>
            <w:tcW w:w="1878"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EEAF6"/>
          </w:tcPr>
          <w:p w14:paraId="47EBD74D" w14:textId="0615A8C0" w:rsidR="008C2703" w:rsidRPr="008C2703" w:rsidRDefault="008C2703" w:rsidP="00B74FEE">
            <w:pPr>
              <w:ind w:left="0" w:right="0"/>
              <w:contextualSpacing/>
              <w:rPr>
                <w:color w:val="263287"/>
                <w:szCs w:val="22"/>
                <w:lang w:eastAsia="ja-JP"/>
              </w:rPr>
            </w:pPr>
            <w:r w:rsidRPr="008C2703">
              <w:rPr>
                <w:color w:val="263287"/>
                <w:szCs w:val="22"/>
                <w:lang w:eastAsia="ja-JP"/>
              </w:rPr>
              <w:t>All (2L/3L, mutant)</w:t>
            </w:r>
            <w:r w:rsidR="00B74FEE">
              <w:rPr>
                <w:color w:val="263287"/>
                <w:szCs w:val="22"/>
                <w:lang w:eastAsia="ja-JP"/>
              </w:rPr>
              <w:t xml:space="preserve"> </w:t>
            </w:r>
            <w:r w:rsidRPr="008C2703">
              <w:rPr>
                <w:color w:val="263287"/>
                <w:szCs w:val="22"/>
                <w:lang w:eastAsia="ja-JP"/>
              </w:rPr>
              <w:t>N=100</w:t>
            </w:r>
          </w:p>
        </w:tc>
        <w:tc>
          <w:tcPr>
            <w:tcW w:w="1878"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EEAF6"/>
          </w:tcPr>
          <w:p w14:paraId="3DAF7CB7" w14:textId="31C64547" w:rsidR="008C2703" w:rsidRPr="008C2703" w:rsidRDefault="008C2703" w:rsidP="003E461F">
            <w:pPr>
              <w:ind w:left="0" w:right="0"/>
              <w:contextualSpacing/>
              <w:rPr>
                <w:color w:val="263287"/>
                <w:szCs w:val="22"/>
                <w:lang w:eastAsia="ja-JP"/>
              </w:rPr>
            </w:pPr>
            <w:r w:rsidRPr="008C2703">
              <w:rPr>
                <w:color w:val="263287"/>
                <w:szCs w:val="22"/>
                <w:lang w:eastAsia="ja-JP"/>
              </w:rPr>
              <w:t xml:space="preserve">All </w:t>
            </w:r>
            <w:r w:rsidR="003E461F">
              <w:rPr>
                <w:color w:val="263287"/>
                <w:szCs w:val="22"/>
                <w:lang w:eastAsia="ja-JP"/>
              </w:rPr>
              <w:t>m</w:t>
            </w:r>
            <w:r w:rsidRPr="008C2703">
              <w:rPr>
                <w:color w:val="263287"/>
                <w:szCs w:val="22"/>
                <w:lang w:eastAsia="ja-JP"/>
              </w:rPr>
              <w:t>utant</w:t>
            </w:r>
          </w:p>
          <w:p w14:paraId="72BB193F" w14:textId="7485177F" w:rsidR="008C2703" w:rsidRPr="008C2703" w:rsidRDefault="00B74FEE" w:rsidP="00B74FEE">
            <w:pPr>
              <w:ind w:left="0" w:right="0"/>
              <w:contextualSpacing/>
              <w:rPr>
                <w:color w:val="263287"/>
                <w:szCs w:val="22"/>
                <w:lang w:eastAsia="ja-JP"/>
              </w:rPr>
            </w:pPr>
            <w:r>
              <w:rPr>
                <w:color w:val="263287"/>
                <w:szCs w:val="22"/>
                <w:lang w:eastAsia="ja-JP"/>
              </w:rPr>
              <w:t>s</w:t>
            </w:r>
            <w:r w:rsidR="008C2703" w:rsidRPr="008C2703">
              <w:rPr>
                <w:color w:val="263287"/>
                <w:szCs w:val="22"/>
                <w:lang w:eastAsia="ja-JP"/>
              </w:rPr>
              <w:t>ubjects</w:t>
            </w:r>
            <w:r>
              <w:rPr>
                <w:color w:val="263287"/>
                <w:szCs w:val="22"/>
                <w:lang w:eastAsia="ja-JP"/>
              </w:rPr>
              <w:t xml:space="preserve"> </w:t>
            </w:r>
            <w:r w:rsidR="008C2703" w:rsidRPr="008C2703">
              <w:rPr>
                <w:color w:val="263287"/>
                <w:szCs w:val="22"/>
                <w:lang w:eastAsia="ja-JP"/>
              </w:rPr>
              <w:t>N=160</w:t>
            </w:r>
          </w:p>
        </w:tc>
        <w:tc>
          <w:tcPr>
            <w:tcW w:w="1878"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EEAF6"/>
          </w:tcPr>
          <w:p w14:paraId="0EC46FFD" w14:textId="77777777" w:rsidR="008C2703" w:rsidRPr="008C2703" w:rsidRDefault="008C2703" w:rsidP="003E461F">
            <w:pPr>
              <w:ind w:left="0" w:right="0"/>
              <w:contextualSpacing/>
              <w:rPr>
                <w:color w:val="263287"/>
                <w:szCs w:val="22"/>
                <w:lang w:eastAsia="ja-JP"/>
              </w:rPr>
            </w:pPr>
            <w:r w:rsidRPr="008C2703">
              <w:rPr>
                <w:color w:val="263287"/>
                <w:szCs w:val="22"/>
                <w:lang w:eastAsia="ja-JP"/>
              </w:rPr>
              <w:t>All study</w:t>
            </w:r>
          </w:p>
          <w:p w14:paraId="7025CA2F" w14:textId="7325A3B8" w:rsidR="008C2703" w:rsidRPr="008C2703" w:rsidRDefault="00B74FEE" w:rsidP="00B74FEE">
            <w:pPr>
              <w:ind w:left="0" w:right="0"/>
              <w:contextualSpacing/>
              <w:rPr>
                <w:color w:val="263287"/>
                <w:szCs w:val="22"/>
                <w:lang w:eastAsia="ja-JP"/>
              </w:rPr>
            </w:pPr>
            <w:r>
              <w:rPr>
                <w:color w:val="263287"/>
                <w:szCs w:val="22"/>
                <w:lang w:eastAsia="ja-JP"/>
              </w:rPr>
              <w:t>s</w:t>
            </w:r>
            <w:r w:rsidR="008C2703" w:rsidRPr="008C2703">
              <w:rPr>
                <w:color w:val="263287"/>
                <w:szCs w:val="22"/>
                <w:lang w:eastAsia="ja-JP"/>
              </w:rPr>
              <w:t>ubjects</w:t>
            </w:r>
            <w:r>
              <w:rPr>
                <w:color w:val="263287"/>
                <w:szCs w:val="22"/>
                <w:lang w:eastAsia="ja-JP"/>
              </w:rPr>
              <w:t xml:space="preserve"> </w:t>
            </w:r>
            <w:r w:rsidR="008C2703" w:rsidRPr="008C2703">
              <w:rPr>
                <w:color w:val="263287"/>
                <w:szCs w:val="22"/>
                <w:lang w:eastAsia="ja-JP"/>
              </w:rPr>
              <w:t>N=373</w:t>
            </w:r>
          </w:p>
        </w:tc>
      </w:tr>
      <w:tr w:rsidR="008C2703" w:rsidRPr="008C2703" w14:paraId="325B8CEB" w14:textId="77777777" w:rsidTr="00533B22">
        <w:trPr>
          <w:trHeight w:val="304"/>
        </w:trPr>
        <w:tc>
          <w:tcPr>
            <w:tcW w:w="1980" w:type="dxa"/>
            <w:vMerge/>
            <w:shd w:val="clear" w:color="auto" w:fill="DEEAF6"/>
          </w:tcPr>
          <w:p w14:paraId="13C0DAB3" w14:textId="77777777" w:rsidR="008C2703" w:rsidRPr="008C2703" w:rsidRDefault="008C2703" w:rsidP="003E461F">
            <w:pPr>
              <w:contextualSpacing/>
              <w:rPr>
                <w:color w:val="263287"/>
                <w:szCs w:val="22"/>
                <w:lang w:eastAsia="ja-JP"/>
              </w:rPr>
            </w:pPr>
          </w:p>
        </w:tc>
        <w:tc>
          <w:tcPr>
            <w:tcW w:w="939" w:type="dxa"/>
            <w:shd w:val="clear" w:color="auto" w:fill="DEEAF6"/>
          </w:tcPr>
          <w:p w14:paraId="6892C2D7" w14:textId="77777777" w:rsidR="008C2703" w:rsidRPr="008C2703" w:rsidRDefault="008C2703" w:rsidP="003E461F">
            <w:pPr>
              <w:pStyle w:val="TableHeading"/>
              <w:spacing w:before="0" w:line="240" w:lineRule="auto"/>
              <w:ind w:left="0" w:right="0"/>
              <w:contextualSpacing/>
              <w:rPr>
                <w:rFonts w:ascii="Cambria" w:hAnsi="Cambria"/>
                <w:color w:val="263287"/>
                <w:sz w:val="22"/>
                <w:lang w:eastAsia="ja-JP"/>
              </w:rPr>
            </w:pPr>
            <w:r w:rsidRPr="008C2703">
              <w:rPr>
                <w:rFonts w:ascii="Cambria" w:hAnsi="Cambria"/>
                <w:color w:val="263287"/>
                <w:sz w:val="22"/>
                <w:lang w:eastAsia="ja-JP"/>
              </w:rPr>
              <w:t>All</w:t>
            </w:r>
          </w:p>
          <w:p w14:paraId="6149ACB0" w14:textId="77777777" w:rsidR="008C2703" w:rsidRPr="008C2703" w:rsidRDefault="008C2703" w:rsidP="003E461F">
            <w:pPr>
              <w:pStyle w:val="TableHeading"/>
              <w:spacing w:before="0" w:line="240" w:lineRule="auto"/>
              <w:ind w:left="0" w:right="0"/>
              <w:contextualSpacing/>
              <w:rPr>
                <w:rFonts w:ascii="Cambria" w:hAnsi="Cambria"/>
                <w:color w:val="263287"/>
                <w:sz w:val="22"/>
                <w:lang w:eastAsia="ja-JP"/>
              </w:rPr>
            </w:pPr>
            <w:r w:rsidRPr="008C2703">
              <w:rPr>
                <w:rFonts w:ascii="Cambria" w:hAnsi="Cambria"/>
                <w:color w:val="263287"/>
                <w:sz w:val="22"/>
                <w:lang w:eastAsia="ja-JP"/>
              </w:rPr>
              <w:t>grades</w:t>
            </w:r>
          </w:p>
          <w:p w14:paraId="6272BC12" w14:textId="77777777" w:rsidR="008C2703" w:rsidRPr="008C2703" w:rsidRDefault="008C2703" w:rsidP="003E461F">
            <w:pPr>
              <w:pStyle w:val="TableHeading"/>
              <w:spacing w:before="0" w:line="240" w:lineRule="auto"/>
              <w:ind w:left="0" w:right="0"/>
              <w:contextualSpacing/>
              <w:rPr>
                <w:rFonts w:ascii="Cambria" w:hAnsi="Cambria"/>
                <w:color w:val="263287"/>
                <w:sz w:val="22"/>
                <w:lang w:eastAsia="ja-JP"/>
              </w:rPr>
            </w:pPr>
            <w:r w:rsidRPr="008C2703">
              <w:rPr>
                <w:rFonts w:ascii="Cambria" w:hAnsi="Cambria"/>
                <w:color w:val="263287"/>
                <w:sz w:val="22"/>
                <w:lang w:eastAsia="ja-JP"/>
              </w:rPr>
              <w:t>n (%)</w:t>
            </w:r>
          </w:p>
        </w:tc>
        <w:tc>
          <w:tcPr>
            <w:tcW w:w="939" w:type="dxa"/>
            <w:shd w:val="clear" w:color="auto" w:fill="DEEAF6"/>
          </w:tcPr>
          <w:p w14:paraId="66A5DA19" w14:textId="77777777" w:rsidR="008C2703" w:rsidRPr="008C2703" w:rsidRDefault="008C2703" w:rsidP="003E461F">
            <w:pPr>
              <w:pStyle w:val="TableHeading"/>
              <w:spacing w:before="0" w:line="240" w:lineRule="auto"/>
              <w:ind w:left="0" w:right="0"/>
              <w:contextualSpacing/>
              <w:rPr>
                <w:rFonts w:ascii="Cambria" w:hAnsi="Cambria"/>
                <w:color w:val="263287"/>
                <w:sz w:val="22"/>
                <w:lang w:eastAsia="ja-JP"/>
              </w:rPr>
            </w:pPr>
            <w:r w:rsidRPr="008C2703">
              <w:rPr>
                <w:rFonts w:ascii="Cambria" w:hAnsi="Cambria"/>
                <w:color w:val="263287"/>
                <w:sz w:val="22"/>
                <w:lang w:eastAsia="ja-JP"/>
              </w:rPr>
              <w:t>Grade</w:t>
            </w:r>
          </w:p>
          <w:p w14:paraId="03ACEFF1" w14:textId="77777777" w:rsidR="008C2703" w:rsidRPr="008C2703" w:rsidRDefault="008C2703" w:rsidP="003E461F">
            <w:pPr>
              <w:pStyle w:val="TableHeading"/>
              <w:spacing w:before="0" w:line="240" w:lineRule="auto"/>
              <w:ind w:left="0" w:right="0"/>
              <w:contextualSpacing/>
              <w:rPr>
                <w:rFonts w:ascii="Cambria" w:hAnsi="Cambria"/>
                <w:color w:val="263287"/>
                <w:sz w:val="22"/>
                <w:lang w:eastAsia="ja-JP"/>
              </w:rPr>
            </w:pPr>
            <w:r w:rsidRPr="008C2703">
              <w:rPr>
                <w:rFonts w:ascii="Cambria" w:hAnsi="Cambria"/>
                <w:color w:val="263287"/>
                <w:sz w:val="22"/>
                <w:lang w:eastAsia="ja-JP"/>
              </w:rPr>
              <w:t>3/4</w:t>
            </w:r>
          </w:p>
          <w:p w14:paraId="1C7D9186" w14:textId="77777777" w:rsidR="008C2703" w:rsidRPr="008C2703" w:rsidRDefault="008C2703" w:rsidP="003E461F">
            <w:pPr>
              <w:pStyle w:val="TableHeading"/>
              <w:spacing w:before="0" w:line="240" w:lineRule="auto"/>
              <w:ind w:left="0" w:right="0"/>
              <w:contextualSpacing/>
              <w:rPr>
                <w:rFonts w:ascii="Cambria" w:hAnsi="Cambria"/>
                <w:color w:val="263287"/>
                <w:sz w:val="22"/>
                <w:lang w:eastAsia="ja-JP"/>
              </w:rPr>
            </w:pPr>
            <w:r w:rsidRPr="008C2703">
              <w:rPr>
                <w:rFonts w:ascii="Cambria" w:hAnsi="Cambria"/>
                <w:color w:val="263287"/>
                <w:sz w:val="22"/>
                <w:lang w:eastAsia="ja-JP"/>
              </w:rPr>
              <w:t>n (%)</w:t>
            </w:r>
          </w:p>
        </w:tc>
        <w:tc>
          <w:tcPr>
            <w:tcW w:w="939" w:type="dxa"/>
            <w:shd w:val="clear" w:color="auto" w:fill="DEEAF6"/>
          </w:tcPr>
          <w:p w14:paraId="18447229" w14:textId="77777777" w:rsidR="008C2703" w:rsidRPr="008C2703" w:rsidRDefault="008C2703" w:rsidP="003E461F">
            <w:pPr>
              <w:pStyle w:val="TableHeading"/>
              <w:spacing w:before="0" w:line="240" w:lineRule="auto"/>
              <w:ind w:left="0" w:right="0"/>
              <w:contextualSpacing/>
              <w:rPr>
                <w:rFonts w:ascii="Cambria" w:hAnsi="Cambria"/>
                <w:color w:val="263287"/>
                <w:sz w:val="22"/>
                <w:lang w:eastAsia="ja-JP"/>
              </w:rPr>
            </w:pPr>
            <w:r w:rsidRPr="008C2703">
              <w:rPr>
                <w:rFonts w:ascii="Cambria" w:hAnsi="Cambria"/>
                <w:color w:val="263287"/>
                <w:sz w:val="22"/>
                <w:lang w:eastAsia="ja-JP"/>
              </w:rPr>
              <w:t>All</w:t>
            </w:r>
          </w:p>
          <w:p w14:paraId="14DC5661" w14:textId="77777777" w:rsidR="008C2703" w:rsidRPr="008C2703" w:rsidRDefault="008C2703" w:rsidP="003E461F">
            <w:pPr>
              <w:pStyle w:val="TableHeading"/>
              <w:spacing w:before="0" w:line="240" w:lineRule="auto"/>
              <w:ind w:left="0" w:right="0"/>
              <w:contextualSpacing/>
              <w:rPr>
                <w:rFonts w:ascii="Cambria" w:hAnsi="Cambria"/>
                <w:color w:val="263287"/>
                <w:sz w:val="22"/>
                <w:lang w:eastAsia="ja-JP"/>
              </w:rPr>
            </w:pPr>
            <w:r w:rsidRPr="008C2703">
              <w:rPr>
                <w:rFonts w:ascii="Cambria" w:hAnsi="Cambria"/>
                <w:color w:val="263287"/>
                <w:sz w:val="22"/>
                <w:lang w:eastAsia="ja-JP"/>
              </w:rPr>
              <w:t>grades</w:t>
            </w:r>
          </w:p>
          <w:p w14:paraId="63EA85A7" w14:textId="77777777" w:rsidR="008C2703" w:rsidRPr="008C2703" w:rsidRDefault="008C2703" w:rsidP="003E461F">
            <w:pPr>
              <w:pStyle w:val="TableHeading"/>
              <w:spacing w:before="0" w:line="240" w:lineRule="auto"/>
              <w:ind w:left="0" w:right="0"/>
              <w:contextualSpacing/>
              <w:rPr>
                <w:rFonts w:ascii="Cambria" w:hAnsi="Cambria"/>
                <w:color w:val="263287"/>
                <w:sz w:val="22"/>
                <w:lang w:eastAsia="ja-JP"/>
              </w:rPr>
            </w:pPr>
            <w:r w:rsidRPr="008C2703">
              <w:rPr>
                <w:rFonts w:ascii="Cambria" w:hAnsi="Cambria"/>
                <w:color w:val="263287"/>
                <w:sz w:val="22"/>
                <w:lang w:eastAsia="ja-JP"/>
              </w:rPr>
              <w:t>n (%)</w:t>
            </w:r>
          </w:p>
        </w:tc>
        <w:tc>
          <w:tcPr>
            <w:tcW w:w="939" w:type="dxa"/>
            <w:shd w:val="clear" w:color="auto" w:fill="DEEAF6"/>
          </w:tcPr>
          <w:p w14:paraId="37163D46" w14:textId="77777777" w:rsidR="008C2703" w:rsidRPr="008C2703" w:rsidRDefault="008C2703" w:rsidP="003E461F">
            <w:pPr>
              <w:pStyle w:val="TableHeading"/>
              <w:spacing w:before="0" w:line="240" w:lineRule="auto"/>
              <w:ind w:left="0" w:right="0"/>
              <w:contextualSpacing/>
              <w:rPr>
                <w:rFonts w:ascii="Cambria" w:hAnsi="Cambria"/>
                <w:color w:val="263287"/>
                <w:sz w:val="22"/>
                <w:lang w:eastAsia="ja-JP"/>
              </w:rPr>
            </w:pPr>
            <w:r w:rsidRPr="008C2703">
              <w:rPr>
                <w:rFonts w:ascii="Cambria" w:hAnsi="Cambria"/>
                <w:color w:val="263287"/>
                <w:sz w:val="22"/>
                <w:lang w:eastAsia="ja-JP"/>
              </w:rPr>
              <w:t>Grade</w:t>
            </w:r>
          </w:p>
          <w:p w14:paraId="6B396598" w14:textId="77777777" w:rsidR="008C2703" w:rsidRPr="008C2703" w:rsidRDefault="008C2703" w:rsidP="003E461F">
            <w:pPr>
              <w:pStyle w:val="TableHeading"/>
              <w:spacing w:before="0" w:line="240" w:lineRule="auto"/>
              <w:ind w:left="0" w:right="0"/>
              <w:contextualSpacing/>
              <w:rPr>
                <w:rFonts w:ascii="Cambria" w:hAnsi="Cambria"/>
                <w:color w:val="263287"/>
                <w:sz w:val="22"/>
                <w:lang w:eastAsia="ja-JP"/>
              </w:rPr>
            </w:pPr>
            <w:r w:rsidRPr="008C2703">
              <w:rPr>
                <w:rFonts w:ascii="Cambria" w:hAnsi="Cambria"/>
                <w:color w:val="263287"/>
                <w:sz w:val="22"/>
                <w:lang w:eastAsia="ja-JP"/>
              </w:rPr>
              <w:t>3/4</w:t>
            </w:r>
          </w:p>
          <w:p w14:paraId="13FB56C8" w14:textId="77777777" w:rsidR="008C2703" w:rsidRPr="008C2703" w:rsidRDefault="008C2703" w:rsidP="003E461F">
            <w:pPr>
              <w:pStyle w:val="TableHeading"/>
              <w:spacing w:before="0" w:line="240" w:lineRule="auto"/>
              <w:ind w:left="0" w:right="0"/>
              <w:contextualSpacing/>
              <w:rPr>
                <w:rFonts w:ascii="Cambria" w:hAnsi="Cambria"/>
                <w:color w:val="263287"/>
                <w:sz w:val="22"/>
                <w:lang w:eastAsia="ja-JP"/>
              </w:rPr>
            </w:pPr>
            <w:r w:rsidRPr="008C2703">
              <w:rPr>
                <w:rFonts w:ascii="Cambria" w:hAnsi="Cambria"/>
                <w:color w:val="263287"/>
                <w:sz w:val="22"/>
                <w:lang w:eastAsia="ja-JP"/>
              </w:rPr>
              <w:t>n (%)</w:t>
            </w:r>
          </w:p>
        </w:tc>
        <w:tc>
          <w:tcPr>
            <w:tcW w:w="939" w:type="dxa"/>
            <w:shd w:val="clear" w:color="auto" w:fill="DEEAF6"/>
          </w:tcPr>
          <w:p w14:paraId="2C3CF320" w14:textId="77777777" w:rsidR="008C2703" w:rsidRPr="008C2703" w:rsidRDefault="008C2703" w:rsidP="003E461F">
            <w:pPr>
              <w:pStyle w:val="TableHeading"/>
              <w:spacing w:before="0" w:line="240" w:lineRule="auto"/>
              <w:ind w:left="0" w:right="0"/>
              <w:contextualSpacing/>
              <w:rPr>
                <w:rFonts w:ascii="Cambria" w:hAnsi="Cambria"/>
                <w:color w:val="263287"/>
                <w:sz w:val="22"/>
                <w:lang w:eastAsia="ja-JP"/>
              </w:rPr>
            </w:pPr>
            <w:r w:rsidRPr="008C2703">
              <w:rPr>
                <w:rFonts w:ascii="Cambria" w:hAnsi="Cambria"/>
                <w:color w:val="263287"/>
                <w:sz w:val="22"/>
                <w:lang w:eastAsia="ja-JP"/>
              </w:rPr>
              <w:t>All</w:t>
            </w:r>
          </w:p>
          <w:p w14:paraId="3947DC81" w14:textId="77777777" w:rsidR="008C2703" w:rsidRPr="008C2703" w:rsidRDefault="008C2703" w:rsidP="003E461F">
            <w:pPr>
              <w:pStyle w:val="TableHeading"/>
              <w:spacing w:before="0" w:line="240" w:lineRule="auto"/>
              <w:ind w:left="0" w:right="0"/>
              <w:contextualSpacing/>
              <w:rPr>
                <w:rFonts w:ascii="Cambria" w:hAnsi="Cambria"/>
                <w:color w:val="263287"/>
                <w:sz w:val="22"/>
                <w:lang w:eastAsia="ja-JP"/>
              </w:rPr>
            </w:pPr>
            <w:r w:rsidRPr="008C2703">
              <w:rPr>
                <w:rFonts w:ascii="Cambria" w:hAnsi="Cambria"/>
                <w:color w:val="263287"/>
                <w:sz w:val="22"/>
                <w:lang w:eastAsia="ja-JP"/>
              </w:rPr>
              <w:t>grades</w:t>
            </w:r>
          </w:p>
          <w:p w14:paraId="14E31E74" w14:textId="77777777" w:rsidR="008C2703" w:rsidRPr="008C2703" w:rsidRDefault="008C2703" w:rsidP="003E461F">
            <w:pPr>
              <w:pStyle w:val="TableHeading"/>
              <w:spacing w:before="0" w:line="240" w:lineRule="auto"/>
              <w:ind w:left="0" w:right="0"/>
              <w:contextualSpacing/>
              <w:rPr>
                <w:rFonts w:ascii="Cambria" w:hAnsi="Cambria"/>
                <w:color w:val="263287"/>
                <w:sz w:val="22"/>
                <w:lang w:eastAsia="ja-JP"/>
              </w:rPr>
            </w:pPr>
            <w:r w:rsidRPr="008C2703">
              <w:rPr>
                <w:rFonts w:ascii="Cambria" w:hAnsi="Cambria"/>
                <w:color w:val="263287"/>
                <w:sz w:val="22"/>
                <w:lang w:eastAsia="ja-JP"/>
              </w:rPr>
              <w:t>n (%)</w:t>
            </w:r>
          </w:p>
        </w:tc>
        <w:tc>
          <w:tcPr>
            <w:tcW w:w="939" w:type="dxa"/>
            <w:shd w:val="clear" w:color="auto" w:fill="DEEAF6"/>
          </w:tcPr>
          <w:p w14:paraId="6813F698" w14:textId="77777777" w:rsidR="008C2703" w:rsidRPr="008C2703" w:rsidRDefault="008C2703" w:rsidP="003E461F">
            <w:pPr>
              <w:pStyle w:val="TableHeading"/>
              <w:spacing w:before="0" w:line="240" w:lineRule="auto"/>
              <w:ind w:left="0" w:right="0"/>
              <w:contextualSpacing/>
              <w:rPr>
                <w:rFonts w:ascii="Cambria" w:hAnsi="Cambria"/>
                <w:color w:val="263287"/>
                <w:sz w:val="22"/>
                <w:lang w:eastAsia="ja-JP"/>
              </w:rPr>
            </w:pPr>
            <w:r w:rsidRPr="008C2703">
              <w:rPr>
                <w:rFonts w:ascii="Cambria" w:hAnsi="Cambria"/>
                <w:color w:val="263287"/>
                <w:sz w:val="22"/>
                <w:lang w:eastAsia="ja-JP"/>
              </w:rPr>
              <w:t>Grade</w:t>
            </w:r>
          </w:p>
          <w:p w14:paraId="60E816BC" w14:textId="77777777" w:rsidR="008C2703" w:rsidRPr="008C2703" w:rsidRDefault="008C2703" w:rsidP="003E461F">
            <w:pPr>
              <w:pStyle w:val="TableHeading"/>
              <w:spacing w:before="0" w:line="240" w:lineRule="auto"/>
              <w:ind w:left="0" w:right="0"/>
              <w:contextualSpacing/>
              <w:rPr>
                <w:rFonts w:ascii="Cambria" w:hAnsi="Cambria"/>
                <w:color w:val="263287"/>
                <w:sz w:val="22"/>
                <w:lang w:eastAsia="ja-JP"/>
              </w:rPr>
            </w:pPr>
            <w:r w:rsidRPr="008C2703">
              <w:rPr>
                <w:rFonts w:ascii="Cambria" w:hAnsi="Cambria"/>
                <w:color w:val="263287"/>
                <w:sz w:val="22"/>
                <w:lang w:eastAsia="ja-JP"/>
              </w:rPr>
              <w:t>3/4</w:t>
            </w:r>
          </w:p>
          <w:p w14:paraId="42BD0B41" w14:textId="77777777" w:rsidR="008C2703" w:rsidRPr="008C2703" w:rsidRDefault="008C2703" w:rsidP="003E461F">
            <w:pPr>
              <w:pStyle w:val="TableHeading"/>
              <w:spacing w:before="0" w:line="240" w:lineRule="auto"/>
              <w:ind w:left="0" w:right="0"/>
              <w:contextualSpacing/>
              <w:rPr>
                <w:rFonts w:ascii="Cambria" w:hAnsi="Cambria"/>
                <w:color w:val="263287"/>
                <w:sz w:val="22"/>
                <w:lang w:eastAsia="ja-JP"/>
              </w:rPr>
            </w:pPr>
            <w:r w:rsidRPr="008C2703">
              <w:rPr>
                <w:rFonts w:ascii="Cambria" w:hAnsi="Cambria"/>
                <w:color w:val="263287"/>
                <w:sz w:val="22"/>
                <w:lang w:eastAsia="ja-JP"/>
              </w:rPr>
              <w:t>n (%)</w:t>
            </w:r>
          </w:p>
        </w:tc>
        <w:tc>
          <w:tcPr>
            <w:tcW w:w="939" w:type="dxa"/>
            <w:shd w:val="clear" w:color="auto" w:fill="DEEAF6"/>
          </w:tcPr>
          <w:p w14:paraId="69659819" w14:textId="77777777" w:rsidR="008C2703" w:rsidRPr="008C2703" w:rsidRDefault="008C2703" w:rsidP="003E461F">
            <w:pPr>
              <w:pStyle w:val="TableHeading"/>
              <w:spacing w:before="0" w:line="240" w:lineRule="auto"/>
              <w:ind w:left="0" w:right="0"/>
              <w:contextualSpacing/>
              <w:rPr>
                <w:rFonts w:ascii="Cambria" w:hAnsi="Cambria"/>
                <w:color w:val="263287"/>
                <w:sz w:val="22"/>
                <w:lang w:eastAsia="ja-JP"/>
              </w:rPr>
            </w:pPr>
            <w:r w:rsidRPr="008C2703">
              <w:rPr>
                <w:rFonts w:ascii="Cambria" w:hAnsi="Cambria"/>
                <w:color w:val="263287"/>
                <w:sz w:val="22"/>
                <w:lang w:eastAsia="ja-JP"/>
              </w:rPr>
              <w:t>All</w:t>
            </w:r>
          </w:p>
          <w:p w14:paraId="7988EEF7" w14:textId="77777777" w:rsidR="008C2703" w:rsidRPr="008C2703" w:rsidRDefault="008C2703" w:rsidP="003E461F">
            <w:pPr>
              <w:pStyle w:val="TableHeading"/>
              <w:spacing w:before="0" w:line="240" w:lineRule="auto"/>
              <w:ind w:left="0" w:right="0"/>
              <w:contextualSpacing/>
              <w:rPr>
                <w:rFonts w:ascii="Cambria" w:hAnsi="Cambria"/>
                <w:color w:val="263287"/>
                <w:sz w:val="22"/>
                <w:lang w:eastAsia="ja-JP"/>
              </w:rPr>
            </w:pPr>
            <w:r w:rsidRPr="008C2703">
              <w:rPr>
                <w:rFonts w:ascii="Cambria" w:hAnsi="Cambria"/>
                <w:color w:val="263287"/>
                <w:sz w:val="22"/>
                <w:lang w:eastAsia="ja-JP"/>
              </w:rPr>
              <w:t>grades</w:t>
            </w:r>
          </w:p>
          <w:p w14:paraId="15446B8D" w14:textId="77777777" w:rsidR="008C2703" w:rsidRPr="008C2703" w:rsidRDefault="008C2703" w:rsidP="003E461F">
            <w:pPr>
              <w:pStyle w:val="TableHeading"/>
              <w:spacing w:before="0" w:line="240" w:lineRule="auto"/>
              <w:ind w:left="0" w:right="0"/>
              <w:contextualSpacing/>
              <w:rPr>
                <w:rFonts w:ascii="Cambria" w:hAnsi="Cambria"/>
                <w:color w:val="263287"/>
                <w:sz w:val="22"/>
                <w:lang w:eastAsia="ja-JP"/>
              </w:rPr>
            </w:pPr>
            <w:r w:rsidRPr="008C2703">
              <w:rPr>
                <w:rFonts w:ascii="Cambria" w:hAnsi="Cambria"/>
                <w:color w:val="263287"/>
                <w:sz w:val="22"/>
                <w:lang w:eastAsia="ja-JP"/>
              </w:rPr>
              <w:t>n (%)</w:t>
            </w:r>
          </w:p>
        </w:tc>
        <w:tc>
          <w:tcPr>
            <w:tcW w:w="939" w:type="dxa"/>
            <w:shd w:val="clear" w:color="auto" w:fill="DEEAF6"/>
          </w:tcPr>
          <w:p w14:paraId="7CDEB066" w14:textId="77777777" w:rsidR="008C2703" w:rsidRPr="008C2703" w:rsidRDefault="008C2703" w:rsidP="003E461F">
            <w:pPr>
              <w:pStyle w:val="TableHeading"/>
              <w:spacing w:before="0" w:line="240" w:lineRule="auto"/>
              <w:ind w:left="0" w:right="0"/>
              <w:contextualSpacing/>
              <w:rPr>
                <w:rFonts w:ascii="Cambria" w:hAnsi="Cambria"/>
                <w:color w:val="263287"/>
                <w:sz w:val="22"/>
                <w:lang w:eastAsia="ja-JP"/>
              </w:rPr>
            </w:pPr>
            <w:r w:rsidRPr="008C2703">
              <w:rPr>
                <w:rFonts w:ascii="Cambria" w:hAnsi="Cambria"/>
                <w:color w:val="263287"/>
                <w:sz w:val="22"/>
                <w:lang w:eastAsia="ja-JP"/>
              </w:rPr>
              <w:t>Grade</w:t>
            </w:r>
          </w:p>
          <w:p w14:paraId="06223165" w14:textId="77777777" w:rsidR="008C2703" w:rsidRPr="008C2703" w:rsidRDefault="008C2703" w:rsidP="003E461F">
            <w:pPr>
              <w:pStyle w:val="TableHeading"/>
              <w:spacing w:before="0" w:line="240" w:lineRule="auto"/>
              <w:ind w:left="0" w:right="0"/>
              <w:contextualSpacing/>
              <w:rPr>
                <w:rFonts w:ascii="Cambria" w:hAnsi="Cambria"/>
                <w:color w:val="263287"/>
                <w:sz w:val="22"/>
                <w:lang w:eastAsia="ja-JP"/>
              </w:rPr>
            </w:pPr>
            <w:r w:rsidRPr="008C2703">
              <w:rPr>
                <w:rFonts w:ascii="Cambria" w:hAnsi="Cambria"/>
                <w:color w:val="263287"/>
                <w:sz w:val="22"/>
                <w:lang w:eastAsia="ja-JP"/>
              </w:rPr>
              <w:t>3/4</w:t>
            </w:r>
          </w:p>
          <w:p w14:paraId="68CD9860" w14:textId="77777777" w:rsidR="008C2703" w:rsidRPr="008C2703" w:rsidRDefault="008C2703" w:rsidP="003E461F">
            <w:pPr>
              <w:pStyle w:val="TableHeading"/>
              <w:spacing w:before="0" w:line="240" w:lineRule="auto"/>
              <w:ind w:left="0" w:right="0"/>
              <w:contextualSpacing/>
              <w:rPr>
                <w:rFonts w:ascii="Cambria" w:hAnsi="Cambria"/>
                <w:color w:val="263287"/>
                <w:sz w:val="22"/>
                <w:lang w:eastAsia="ja-JP"/>
              </w:rPr>
            </w:pPr>
            <w:r w:rsidRPr="008C2703">
              <w:rPr>
                <w:rFonts w:ascii="Cambria" w:hAnsi="Cambria"/>
                <w:color w:val="263287"/>
                <w:sz w:val="22"/>
                <w:lang w:eastAsia="ja-JP"/>
              </w:rPr>
              <w:t>n (%)</w:t>
            </w:r>
          </w:p>
        </w:tc>
      </w:tr>
      <w:tr w:rsidR="008C2703" w:rsidRPr="008C2703" w14:paraId="609D52CF" w14:textId="77777777" w:rsidTr="00533B22">
        <w:trPr>
          <w:trHeight w:val="304"/>
        </w:trPr>
        <w:tc>
          <w:tcPr>
            <w:tcW w:w="1980" w:type="dxa"/>
          </w:tcPr>
          <w:p w14:paraId="7D39D860" w14:textId="77777777" w:rsidR="008C2703" w:rsidRPr="00533B22" w:rsidRDefault="008C2703" w:rsidP="003E461F">
            <w:pPr>
              <w:ind w:left="0" w:right="0"/>
              <w:contextualSpacing/>
              <w:rPr>
                <w:b/>
                <w:bCs/>
                <w:color w:val="000000"/>
                <w:szCs w:val="22"/>
                <w:lang w:eastAsia="ja-JP"/>
              </w:rPr>
            </w:pPr>
            <w:r w:rsidRPr="00533B22">
              <w:rPr>
                <w:b/>
                <w:bCs/>
                <w:color w:val="000000"/>
                <w:szCs w:val="22"/>
                <w:lang w:eastAsia="ja-JP"/>
              </w:rPr>
              <w:t>Hepatotoxicity</w:t>
            </w:r>
          </w:p>
        </w:tc>
        <w:tc>
          <w:tcPr>
            <w:tcW w:w="939" w:type="dxa"/>
          </w:tcPr>
          <w:p w14:paraId="2F2EE63E"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 xml:space="preserve">22 (36.7) </w:t>
            </w:r>
          </w:p>
        </w:tc>
        <w:tc>
          <w:tcPr>
            <w:tcW w:w="939" w:type="dxa"/>
          </w:tcPr>
          <w:p w14:paraId="3543ACAB"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9 (15.0)</w:t>
            </w:r>
          </w:p>
        </w:tc>
        <w:tc>
          <w:tcPr>
            <w:tcW w:w="939" w:type="dxa"/>
          </w:tcPr>
          <w:p w14:paraId="0043F54A"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 xml:space="preserve">34 (34.0) </w:t>
            </w:r>
          </w:p>
        </w:tc>
        <w:tc>
          <w:tcPr>
            <w:tcW w:w="939" w:type="dxa"/>
          </w:tcPr>
          <w:p w14:paraId="4A25D134"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12 (12.0)</w:t>
            </w:r>
          </w:p>
        </w:tc>
        <w:tc>
          <w:tcPr>
            <w:tcW w:w="939" w:type="dxa"/>
          </w:tcPr>
          <w:p w14:paraId="27D79002"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 xml:space="preserve">56 (35.0) </w:t>
            </w:r>
          </w:p>
        </w:tc>
        <w:tc>
          <w:tcPr>
            <w:tcW w:w="939" w:type="dxa"/>
          </w:tcPr>
          <w:p w14:paraId="13BC75F8"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21 (13.1)</w:t>
            </w:r>
          </w:p>
        </w:tc>
        <w:tc>
          <w:tcPr>
            <w:tcW w:w="939" w:type="dxa"/>
          </w:tcPr>
          <w:p w14:paraId="40066B62"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120 (32.2)</w:t>
            </w:r>
          </w:p>
        </w:tc>
        <w:tc>
          <w:tcPr>
            <w:tcW w:w="939" w:type="dxa"/>
          </w:tcPr>
          <w:p w14:paraId="51526298"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43 (11.5)</w:t>
            </w:r>
          </w:p>
        </w:tc>
      </w:tr>
      <w:tr w:rsidR="008C2703" w:rsidRPr="008C2703" w14:paraId="56B07B17" w14:textId="77777777" w:rsidTr="00533B22">
        <w:trPr>
          <w:trHeight w:val="304"/>
        </w:trPr>
        <w:tc>
          <w:tcPr>
            <w:tcW w:w="1980" w:type="dxa"/>
          </w:tcPr>
          <w:p w14:paraId="0E7EB721" w14:textId="77777777" w:rsidR="008C2703" w:rsidRPr="00533B22" w:rsidRDefault="008C2703" w:rsidP="003E461F">
            <w:pPr>
              <w:ind w:left="0" w:right="0"/>
              <w:contextualSpacing/>
              <w:rPr>
                <w:b/>
                <w:bCs/>
                <w:color w:val="000000"/>
                <w:szCs w:val="22"/>
                <w:lang w:eastAsia="ja-JP"/>
              </w:rPr>
            </w:pPr>
            <w:r w:rsidRPr="00533B22">
              <w:rPr>
                <w:b/>
                <w:bCs/>
                <w:color w:val="000000"/>
                <w:szCs w:val="22"/>
                <w:lang w:eastAsia="ja-JP"/>
              </w:rPr>
              <w:t>Renal dysfunction</w:t>
            </w:r>
          </w:p>
        </w:tc>
        <w:tc>
          <w:tcPr>
            <w:tcW w:w="939" w:type="dxa"/>
          </w:tcPr>
          <w:p w14:paraId="2E441DFE"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 xml:space="preserve">23 (38.3) </w:t>
            </w:r>
          </w:p>
        </w:tc>
        <w:tc>
          <w:tcPr>
            <w:tcW w:w="939" w:type="dxa"/>
          </w:tcPr>
          <w:p w14:paraId="063F6B2D"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1 (1.7)</w:t>
            </w:r>
          </w:p>
        </w:tc>
        <w:tc>
          <w:tcPr>
            <w:tcW w:w="939" w:type="dxa"/>
          </w:tcPr>
          <w:p w14:paraId="49FF3EEA"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36 (36.0)</w:t>
            </w:r>
          </w:p>
        </w:tc>
        <w:tc>
          <w:tcPr>
            <w:tcW w:w="939" w:type="dxa"/>
          </w:tcPr>
          <w:p w14:paraId="601D7F3B"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0</w:t>
            </w:r>
          </w:p>
        </w:tc>
        <w:tc>
          <w:tcPr>
            <w:tcW w:w="939" w:type="dxa"/>
          </w:tcPr>
          <w:p w14:paraId="66A6EDAC"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 xml:space="preserve">59 (36.9) </w:t>
            </w:r>
          </w:p>
        </w:tc>
        <w:tc>
          <w:tcPr>
            <w:tcW w:w="939" w:type="dxa"/>
          </w:tcPr>
          <w:p w14:paraId="2CF8C743"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1 (0.6)</w:t>
            </w:r>
          </w:p>
        </w:tc>
        <w:tc>
          <w:tcPr>
            <w:tcW w:w="939" w:type="dxa"/>
          </w:tcPr>
          <w:p w14:paraId="5F011EC5"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109</w:t>
            </w:r>
          </w:p>
          <w:p w14:paraId="490645B4"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(29.2)</w:t>
            </w:r>
          </w:p>
        </w:tc>
        <w:tc>
          <w:tcPr>
            <w:tcW w:w="939" w:type="dxa"/>
          </w:tcPr>
          <w:p w14:paraId="10ACF7F0"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2 (0.5)</w:t>
            </w:r>
          </w:p>
        </w:tc>
      </w:tr>
      <w:tr w:rsidR="008C2703" w:rsidRPr="008C2703" w14:paraId="7FF44BC6" w14:textId="77777777" w:rsidTr="00533B22">
        <w:trPr>
          <w:trHeight w:val="304"/>
        </w:trPr>
        <w:tc>
          <w:tcPr>
            <w:tcW w:w="1980" w:type="dxa"/>
          </w:tcPr>
          <w:p w14:paraId="4B6F1771" w14:textId="77777777" w:rsidR="008C2703" w:rsidRPr="00533B22" w:rsidRDefault="008C2703" w:rsidP="003E461F">
            <w:pPr>
              <w:ind w:left="0" w:right="0"/>
              <w:contextualSpacing/>
              <w:rPr>
                <w:b/>
                <w:bCs/>
                <w:color w:val="000000"/>
                <w:szCs w:val="22"/>
                <w:lang w:eastAsia="ja-JP"/>
              </w:rPr>
            </w:pPr>
            <w:r w:rsidRPr="00533B22">
              <w:rPr>
                <w:b/>
                <w:bCs/>
                <w:color w:val="000000"/>
                <w:szCs w:val="22"/>
                <w:lang w:eastAsia="ja-JP"/>
              </w:rPr>
              <w:t>CNS toxicity</w:t>
            </w:r>
          </w:p>
        </w:tc>
        <w:tc>
          <w:tcPr>
            <w:tcW w:w="939" w:type="dxa"/>
          </w:tcPr>
          <w:p w14:paraId="7FE32E14"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8 (13.3)</w:t>
            </w:r>
          </w:p>
        </w:tc>
        <w:tc>
          <w:tcPr>
            <w:tcW w:w="939" w:type="dxa"/>
          </w:tcPr>
          <w:p w14:paraId="496BA1E9"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0</w:t>
            </w:r>
          </w:p>
        </w:tc>
        <w:tc>
          <w:tcPr>
            <w:tcW w:w="939" w:type="dxa"/>
          </w:tcPr>
          <w:p w14:paraId="412F502B"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21 (21.0)</w:t>
            </w:r>
          </w:p>
        </w:tc>
        <w:tc>
          <w:tcPr>
            <w:tcW w:w="939" w:type="dxa"/>
          </w:tcPr>
          <w:p w14:paraId="4F236A5F"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0</w:t>
            </w:r>
          </w:p>
        </w:tc>
        <w:tc>
          <w:tcPr>
            <w:tcW w:w="939" w:type="dxa"/>
          </w:tcPr>
          <w:p w14:paraId="1CB495CE"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29 (18.1)</w:t>
            </w:r>
          </w:p>
        </w:tc>
        <w:tc>
          <w:tcPr>
            <w:tcW w:w="939" w:type="dxa"/>
          </w:tcPr>
          <w:p w14:paraId="56E3CAC3"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0</w:t>
            </w:r>
          </w:p>
        </w:tc>
        <w:tc>
          <w:tcPr>
            <w:tcW w:w="939" w:type="dxa"/>
          </w:tcPr>
          <w:p w14:paraId="7BE68D41"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 xml:space="preserve">70 (18.8) </w:t>
            </w:r>
          </w:p>
        </w:tc>
        <w:tc>
          <w:tcPr>
            <w:tcW w:w="939" w:type="dxa"/>
          </w:tcPr>
          <w:p w14:paraId="56C5DE76"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3 (0.8)</w:t>
            </w:r>
          </w:p>
        </w:tc>
      </w:tr>
      <w:tr w:rsidR="008C2703" w:rsidRPr="008C2703" w14:paraId="5924F40D" w14:textId="77777777" w:rsidTr="00533B22">
        <w:trPr>
          <w:trHeight w:val="304"/>
        </w:trPr>
        <w:tc>
          <w:tcPr>
            <w:tcW w:w="1980" w:type="dxa"/>
          </w:tcPr>
          <w:p w14:paraId="5A0BF53F" w14:textId="77777777" w:rsidR="008C2703" w:rsidRPr="00533B22" w:rsidRDefault="008C2703" w:rsidP="003E461F">
            <w:pPr>
              <w:ind w:left="0" w:right="0"/>
              <w:contextualSpacing/>
              <w:rPr>
                <w:b/>
                <w:bCs/>
                <w:color w:val="000000"/>
                <w:szCs w:val="22"/>
                <w:lang w:eastAsia="ja-JP"/>
              </w:rPr>
            </w:pPr>
            <w:r w:rsidRPr="00533B22">
              <w:rPr>
                <w:b/>
                <w:bCs/>
                <w:color w:val="000000"/>
                <w:szCs w:val="22"/>
                <w:lang w:eastAsia="ja-JP"/>
              </w:rPr>
              <w:t>Pancreatitis</w:t>
            </w:r>
          </w:p>
        </w:tc>
        <w:tc>
          <w:tcPr>
            <w:tcW w:w="939" w:type="dxa"/>
          </w:tcPr>
          <w:p w14:paraId="17CC57B8"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 xml:space="preserve">13 (21.7) </w:t>
            </w:r>
          </w:p>
        </w:tc>
        <w:tc>
          <w:tcPr>
            <w:tcW w:w="939" w:type="dxa"/>
          </w:tcPr>
          <w:p w14:paraId="154DDB8E"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7 (11.7)</w:t>
            </w:r>
          </w:p>
        </w:tc>
        <w:tc>
          <w:tcPr>
            <w:tcW w:w="939" w:type="dxa"/>
          </w:tcPr>
          <w:p w14:paraId="66EC826B"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 xml:space="preserve">14 (14.0) </w:t>
            </w:r>
          </w:p>
        </w:tc>
        <w:tc>
          <w:tcPr>
            <w:tcW w:w="939" w:type="dxa"/>
          </w:tcPr>
          <w:p w14:paraId="1A5426AE"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11 (11.0)</w:t>
            </w:r>
          </w:p>
        </w:tc>
        <w:tc>
          <w:tcPr>
            <w:tcW w:w="939" w:type="dxa"/>
          </w:tcPr>
          <w:p w14:paraId="295C9297"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 xml:space="preserve">27 (16.9) </w:t>
            </w:r>
          </w:p>
        </w:tc>
        <w:tc>
          <w:tcPr>
            <w:tcW w:w="939" w:type="dxa"/>
          </w:tcPr>
          <w:p w14:paraId="5F70793B"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18 (11.3)</w:t>
            </w:r>
          </w:p>
        </w:tc>
        <w:tc>
          <w:tcPr>
            <w:tcW w:w="939" w:type="dxa"/>
          </w:tcPr>
          <w:p w14:paraId="78E7A61F"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 xml:space="preserve">53 (14.2) </w:t>
            </w:r>
          </w:p>
        </w:tc>
        <w:tc>
          <w:tcPr>
            <w:tcW w:w="939" w:type="dxa"/>
          </w:tcPr>
          <w:p w14:paraId="69DCDD5C"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33 (8.8)</w:t>
            </w:r>
          </w:p>
        </w:tc>
      </w:tr>
      <w:tr w:rsidR="008C2703" w:rsidRPr="008C2703" w14:paraId="4A69FAFF" w14:textId="77777777" w:rsidTr="00533B22">
        <w:trPr>
          <w:trHeight w:val="304"/>
        </w:trPr>
        <w:tc>
          <w:tcPr>
            <w:tcW w:w="1980" w:type="dxa"/>
          </w:tcPr>
          <w:p w14:paraId="79B38A8F" w14:textId="77777777" w:rsidR="008C2703" w:rsidRPr="00533B22" w:rsidRDefault="008C2703" w:rsidP="003E461F">
            <w:pPr>
              <w:ind w:left="0" w:right="0"/>
              <w:contextualSpacing/>
              <w:rPr>
                <w:b/>
                <w:bCs/>
                <w:color w:val="000000"/>
                <w:szCs w:val="22"/>
                <w:lang w:eastAsia="ja-JP"/>
              </w:rPr>
            </w:pPr>
            <w:r w:rsidRPr="00533B22">
              <w:rPr>
                <w:b/>
                <w:bCs/>
                <w:color w:val="000000"/>
                <w:szCs w:val="22"/>
                <w:lang w:eastAsia="ja-JP"/>
              </w:rPr>
              <w:t>ILD and Pneumonitis</w:t>
            </w:r>
          </w:p>
        </w:tc>
        <w:tc>
          <w:tcPr>
            <w:tcW w:w="939" w:type="dxa"/>
          </w:tcPr>
          <w:p w14:paraId="77D7891B"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 xml:space="preserve">4 (6.7) </w:t>
            </w:r>
          </w:p>
        </w:tc>
        <w:tc>
          <w:tcPr>
            <w:tcW w:w="939" w:type="dxa"/>
          </w:tcPr>
          <w:p w14:paraId="22B3C613"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3 (5.0)</w:t>
            </w:r>
          </w:p>
        </w:tc>
        <w:tc>
          <w:tcPr>
            <w:tcW w:w="939" w:type="dxa"/>
          </w:tcPr>
          <w:p w14:paraId="65C284B7"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 xml:space="preserve">8 (8.0) </w:t>
            </w:r>
          </w:p>
        </w:tc>
        <w:tc>
          <w:tcPr>
            <w:tcW w:w="939" w:type="dxa"/>
          </w:tcPr>
          <w:p w14:paraId="726A5B0F"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4 (4.0)</w:t>
            </w:r>
          </w:p>
        </w:tc>
        <w:tc>
          <w:tcPr>
            <w:tcW w:w="939" w:type="dxa"/>
          </w:tcPr>
          <w:p w14:paraId="753454F1"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 xml:space="preserve">12 (7.5) </w:t>
            </w:r>
          </w:p>
        </w:tc>
        <w:tc>
          <w:tcPr>
            <w:tcW w:w="939" w:type="dxa"/>
          </w:tcPr>
          <w:p w14:paraId="73ABA38C"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7 (4.4)</w:t>
            </w:r>
          </w:p>
        </w:tc>
        <w:tc>
          <w:tcPr>
            <w:tcW w:w="939" w:type="dxa"/>
          </w:tcPr>
          <w:p w14:paraId="1AAE37C2"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 xml:space="preserve">20 (5.4) </w:t>
            </w:r>
          </w:p>
        </w:tc>
        <w:tc>
          <w:tcPr>
            <w:tcW w:w="939" w:type="dxa"/>
          </w:tcPr>
          <w:p w14:paraId="289DD7BB"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8 (2.1)</w:t>
            </w:r>
          </w:p>
        </w:tc>
      </w:tr>
      <w:tr w:rsidR="008C2703" w:rsidRPr="008C2703" w14:paraId="570117EB" w14:textId="77777777" w:rsidTr="00533B22">
        <w:trPr>
          <w:trHeight w:val="304"/>
        </w:trPr>
        <w:tc>
          <w:tcPr>
            <w:tcW w:w="1980" w:type="dxa"/>
          </w:tcPr>
          <w:p w14:paraId="5ECEEF36" w14:textId="77777777" w:rsidR="008C2703" w:rsidRPr="00533B22" w:rsidRDefault="008C2703" w:rsidP="003E461F">
            <w:pPr>
              <w:ind w:left="0" w:right="0"/>
              <w:contextualSpacing/>
              <w:rPr>
                <w:b/>
                <w:bCs/>
                <w:color w:val="000000"/>
                <w:szCs w:val="22"/>
                <w:lang w:eastAsia="ja-JP"/>
              </w:rPr>
            </w:pPr>
            <w:r w:rsidRPr="00533B22">
              <w:rPr>
                <w:b/>
                <w:bCs/>
                <w:color w:val="000000"/>
                <w:szCs w:val="22"/>
                <w:lang w:eastAsia="ja-JP"/>
              </w:rPr>
              <w:t>QTc interval</w:t>
            </w:r>
          </w:p>
          <w:p w14:paraId="43BBDE02" w14:textId="77777777" w:rsidR="008C2703" w:rsidRPr="00533B22" w:rsidRDefault="008C2703" w:rsidP="003E461F">
            <w:pPr>
              <w:ind w:left="0" w:right="0"/>
              <w:contextualSpacing/>
              <w:rPr>
                <w:b/>
                <w:bCs/>
                <w:color w:val="000000"/>
                <w:szCs w:val="22"/>
                <w:lang w:eastAsia="ja-JP"/>
              </w:rPr>
            </w:pPr>
            <w:r w:rsidRPr="00533B22">
              <w:rPr>
                <w:b/>
                <w:bCs/>
                <w:color w:val="000000"/>
                <w:szCs w:val="22"/>
                <w:lang w:eastAsia="ja-JP"/>
              </w:rPr>
              <w:t>prolongation</w:t>
            </w:r>
          </w:p>
        </w:tc>
        <w:tc>
          <w:tcPr>
            <w:tcW w:w="939" w:type="dxa"/>
          </w:tcPr>
          <w:p w14:paraId="1940C214"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2 (3.3)</w:t>
            </w:r>
          </w:p>
        </w:tc>
        <w:tc>
          <w:tcPr>
            <w:tcW w:w="939" w:type="dxa"/>
          </w:tcPr>
          <w:p w14:paraId="64623A74"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0</w:t>
            </w:r>
          </w:p>
        </w:tc>
        <w:tc>
          <w:tcPr>
            <w:tcW w:w="939" w:type="dxa"/>
          </w:tcPr>
          <w:p w14:paraId="27694F08"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1 (1.0)</w:t>
            </w:r>
          </w:p>
        </w:tc>
        <w:tc>
          <w:tcPr>
            <w:tcW w:w="939" w:type="dxa"/>
          </w:tcPr>
          <w:p w14:paraId="0E09A60C"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0</w:t>
            </w:r>
          </w:p>
        </w:tc>
        <w:tc>
          <w:tcPr>
            <w:tcW w:w="939" w:type="dxa"/>
          </w:tcPr>
          <w:p w14:paraId="2333E06B"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3 (1.9)</w:t>
            </w:r>
          </w:p>
        </w:tc>
        <w:tc>
          <w:tcPr>
            <w:tcW w:w="939" w:type="dxa"/>
          </w:tcPr>
          <w:p w14:paraId="18353C58"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0</w:t>
            </w:r>
          </w:p>
        </w:tc>
        <w:tc>
          <w:tcPr>
            <w:tcW w:w="939" w:type="dxa"/>
          </w:tcPr>
          <w:p w14:paraId="4D58BCC8"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 xml:space="preserve">10 (2.7) </w:t>
            </w:r>
          </w:p>
        </w:tc>
        <w:tc>
          <w:tcPr>
            <w:tcW w:w="939" w:type="dxa"/>
          </w:tcPr>
          <w:p w14:paraId="604F2310"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3 (0.8)</w:t>
            </w:r>
          </w:p>
        </w:tc>
      </w:tr>
      <w:tr w:rsidR="008C2703" w:rsidRPr="008C2703" w14:paraId="475F590F" w14:textId="77777777" w:rsidTr="00533B22">
        <w:trPr>
          <w:trHeight w:val="304"/>
        </w:trPr>
        <w:tc>
          <w:tcPr>
            <w:tcW w:w="1980" w:type="dxa"/>
          </w:tcPr>
          <w:p w14:paraId="5FFF7CEB" w14:textId="77777777" w:rsidR="008C2703" w:rsidRPr="00533B22" w:rsidRDefault="008C2703" w:rsidP="003E461F">
            <w:pPr>
              <w:ind w:left="0" w:right="0"/>
              <w:contextualSpacing/>
              <w:rPr>
                <w:b/>
                <w:bCs/>
                <w:color w:val="000000"/>
                <w:szCs w:val="22"/>
                <w:lang w:eastAsia="ja-JP"/>
              </w:rPr>
            </w:pPr>
            <w:r w:rsidRPr="00533B22">
              <w:rPr>
                <w:b/>
                <w:bCs/>
                <w:color w:val="000000"/>
                <w:szCs w:val="22"/>
                <w:lang w:eastAsia="ja-JP"/>
              </w:rPr>
              <w:t>Teratogenicity</w:t>
            </w:r>
          </w:p>
        </w:tc>
        <w:tc>
          <w:tcPr>
            <w:tcW w:w="939" w:type="dxa"/>
          </w:tcPr>
          <w:p w14:paraId="67682873"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2 (3.3)</w:t>
            </w:r>
          </w:p>
        </w:tc>
        <w:tc>
          <w:tcPr>
            <w:tcW w:w="939" w:type="dxa"/>
          </w:tcPr>
          <w:p w14:paraId="21E49EE4"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0</w:t>
            </w:r>
          </w:p>
        </w:tc>
        <w:tc>
          <w:tcPr>
            <w:tcW w:w="939" w:type="dxa"/>
          </w:tcPr>
          <w:p w14:paraId="5AB065DF"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0</w:t>
            </w:r>
          </w:p>
        </w:tc>
        <w:tc>
          <w:tcPr>
            <w:tcW w:w="939" w:type="dxa"/>
          </w:tcPr>
          <w:p w14:paraId="3C40FC12"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0</w:t>
            </w:r>
          </w:p>
        </w:tc>
        <w:tc>
          <w:tcPr>
            <w:tcW w:w="939" w:type="dxa"/>
          </w:tcPr>
          <w:p w14:paraId="24131323"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2 (1.3)</w:t>
            </w:r>
          </w:p>
        </w:tc>
        <w:tc>
          <w:tcPr>
            <w:tcW w:w="939" w:type="dxa"/>
          </w:tcPr>
          <w:p w14:paraId="0AD1DBF7"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0</w:t>
            </w:r>
          </w:p>
        </w:tc>
        <w:tc>
          <w:tcPr>
            <w:tcW w:w="939" w:type="dxa"/>
          </w:tcPr>
          <w:p w14:paraId="2FF059B0"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2 (0.5)</w:t>
            </w:r>
          </w:p>
        </w:tc>
        <w:tc>
          <w:tcPr>
            <w:tcW w:w="939" w:type="dxa"/>
          </w:tcPr>
          <w:p w14:paraId="32AD8F4D"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0</w:t>
            </w:r>
          </w:p>
        </w:tc>
      </w:tr>
      <w:tr w:rsidR="008C2703" w:rsidRPr="008C2703" w14:paraId="75A9C455" w14:textId="77777777" w:rsidTr="00533B22">
        <w:trPr>
          <w:trHeight w:val="304"/>
        </w:trPr>
        <w:tc>
          <w:tcPr>
            <w:tcW w:w="1980" w:type="dxa"/>
          </w:tcPr>
          <w:p w14:paraId="2FE8775B" w14:textId="77777777" w:rsidR="008C2703" w:rsidRPr="00533B22" w:rsidRDefault="008C2703" w:rsidP="003E461F">
            <w:pPr>
              <w:ind w:left="0" w:right="0"/>
              <w:contextualSpacing/>
              <w:rPr>
                <w:b/>
                <w:bCs/>
                <w:color w:val="000000"/>
                <w:szCs w:val="22"/>
                <w:lang w:eastAsia="ja-JP"/>
              </w:rPr>
            </w:pPr>
            <w:r w:rsidRPr="00533B22">
              <w:rPr>
                <w:b/>
                <w:bCs/>
                <w:color w:val="000000"/>
                <w:szCs w:val="22"/>
                <w:lang w:eastAsia="ja-JP"/>
              </w:rPr>
              <w:t>Photosensitivity</w:t>
            </w:r>
          </w:p>
        </w:tc>
        <w:tc>
          <w:tcPr>
            <w:tcW w:w="939" w:type="dxa"/>
          </w:tcPr>
          <w:p w14:paraId="0437AEE9"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0</w:t>
            </w:r>
          </w:p>
        </w:tc>
        <w:tc>
          <w:tcPr>
            <w:tcW w:w="939" w:type="dxa"/>
          </w:tcPr>
          <w:p w14:paraId="673DD3BE"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0</w:t>
            </w:r>
          </w:p>
        </w:tc>
        <w:tc>
          <w:tcPr>
            <w:tcW w:w="939" w:type="dxa"/>
          </w:tcPr>
          <w:p w14:paraId="49F11B94"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1 (1.0)</w:t>
            </w:r>
          </w:p>
        </w:tc>
        <w:tc>
          <w:tcPr>
            <w:tcW w:w="939" w:type="dxa"/>
          </w:tcPr>
          <w:p w14:paraId="41BBEAC3"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0</w:t>
            </w:r>
          </w:p>
        </w:tc>
        <w:tc>
          <w:tcPr>
            <w:tcW w:w="939" w:type="dxa"/>
          </w:tcPr>
          <w:p w14:paraId="612A0731"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1 (0.6)</w:t>
            </w:r>
          </w:p>
        </w:tc>
        <w:tc>
          <w:tcPr>
            <w:tcW w:w="939" w:type="dxa"/>
          </w:tcPr>
          <w:p w14:paraId="2462C02A"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0</w:t>
            </w:r>
          </w:p>
        </w:tc>
        <w:tc>
          <w:tcPr>
            <w:tcW w:w="939" w:type="dxa"/>
          </w:tcPr>
          <w:p w14:paraId="7B72CB2B"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1 (0.3)</w:t>
            </w:r>
          </w:p>
        </w:tc>
        <w:tc>
          <w:tcPr>
            <w:tcW w:w="939" w:type="dxa"/>
          </w:tcPr>
          <w:p w14:paraId="7DE92E7F"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0</w:t>
            </w:r>
          </w:p>
        </w:tc>
      </w:tr>
      <w:tr w:rsidR="008C2703" w:rsidRPr="008C2703" w14:paraId="69B42384" w14:textId="77777777" w:rsidTr="00533B22">
        <w:trPr>
          <w:trHeight w:val="304"/>
        </w:trPr>
        <w:tc>
          <w:tcPr>
            <w:tcW w:w="1980" w:type="dxa"/>
          </w:tcPr>
          <w:p w14:paraId="0CDDD702" w14:textId="1CAE7628" w:rsidR="008C2703" w:rsidRPr="00533B22" w:rsidRDefault="008C2703" w:rsidP="003E461F">
            <w:pPr>
              <w:ind w:left="0" w:right="0"/>
              <w:contextualSpacing/>
              <w:rPr>
                <w:b/>
                <w:bCs/>
                <w:color w:val="000000"/>
                <w:szCs w:val="22"/>
                <w:lang w:eastAsia="ja-JP"/>
              </w:rPr>
            </w:pPr>
            <w:r w:rsidRPr="00533B22">
              <w:rPr>
                <w:b/>
                <w:bCs/>
                <w:color w:val="000000"/>
                <w:szCs w:val="22"/>
                <w:lang w:eastAsia="ja-JP"/>
              </w:rPr>
              <w:t>D</w:t>
            </w:r>
            <w:r w:rsidR="008373B6" w:rsidRPr="00533B22">
              <w:rPr>
                <w:b/>
                <w:bCs/>
                <w:color w:val="000000"/>
                <w:szCs w:val="22"/>
                <w:lang w:eastAsia="ja-JP"/>
              </w:rPr>
              <w:t>rug-drug interaction</w:t>
            </w:r>
          </w:p>
          <w:p w14:paraId="358E3162" w14:textId="77777777" w:rsidR="008C2703" w:rsidRPr="00533B22" w:rsidRDefault="008C2703" w:rsidP="003E461F">
            <w:pPr>
              <w:ind w:left="0" w:right="0"/>
              <w:contextualSpacing/>
              <w:rPr>
                <w:b/>
                <w:bCs/>
                <w:color w:val="000000"/>
                <w:szCs w:val="22"/>
                <w:lang w:eastAsia="ja-JP"/>
              </w:rPr>
            </w:pPr>
            <w:r w:rsidRPr="00533B22">
              <w:rPr>
                <w:b/>
                <w:bCs/>
                <w:color w:val="000000"/>
                <w:szCs w:val="22"/>
                <w:lang w:eastAsia="ja-JP"/>
              </w:rPr>
              <w:t>with strong and</w:t>
            </w:r>
          </w:p>
          <w:p w14:paraId="2B094549" w14:textId="77777777" w:rsidR="008C2703" w:rsidRPr="00533B22" w:rsidRDefault="008C2703" w:rsidP="003E461F">
            <w:pPr>
              <w:ind w:left="0" w:right="0"/>
              <w:contextualSpacing/>
              <w:rPr>
                <w:b/>
                <w:bCs/>
                <w:color w:val="000000"/>
                <w:szCs w:val="22"/>
                <w:lang w:eastAsia="ja-JP"/>
              </w:rPr>
            </w:pPr>
            <w:r w:rsidRPr="00533B22">
              <w:rPr>
                <w:b/>
                <w:bCs/>
                <w:color w:val="000000"/>
                <w:szCs w:val="22"/>
                <w:lang w:eastAsia="ja-JP"/>
              </w:rPr>
              <w:t>moderate CYP3A4</w:t>
            </w:r>
          </w:p>
          <w:p w14:paraId="1DB3BC57" w14:textId="77777777" w:rsidR="008C2703" w:rsidRPr="00533B22" w:rsidRDefault="008C2703" w:rsidP="003E461F">
            <w:pPr>
              <w:ind w:left="0" w:right="0"/>
              <w:contextualSpacing/>
              <w:rPr>
                <w:b/>
                <w:bCs/>
                <w:color w:val="000000"/>
                <w:szCs w:val="22"/>
                <w:lang w:eastAsia="ja-JP"/>
              </w:rPr>
            </w:pPr>
            <w:r w:rsidRPr="00533B22">
              <w:rPr>
                <w:b/>
                <w:bCs/>
                <w:color w:val="000000"/>
                <w:szCs w:val="22"/>
                <w:lang w:eastAsia="ja-JP"/>
              </w:rPr>
              <w:t>inducers</w:t>
            </w:r>
          </w:p>
        </w:tc>
        <w:tc>
          <w:tcPr>
            <w:tcW w:w="939" w:type="dxa"/>
          </w:tcPr>
          <w:p w14:paraId="134D1FA3"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0</w:t>
            </w:r>
          </w:p>
        </w:tc>
        <w:tc>
          <w:tcPr>
            <w:tcW w:w="939" w:type="dxa"/>
          </w:tcPr>
          <w:p w14:paraId="10C37560"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0</w:t>
            </w:r>
          </w:p>
        </w:tc>
        <w:tc>
          <w:tcPr>
            <w:tcW w:w="939" w:type="dxa"/>
          </w:tcPr>
          <w:p w14:paraId="357AB074"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0</w:t>
            </w:r>
          </w:p>
        </w:tc>
        <w:tc>
          <w:tcPr>
            <w:tcW w:w="939" w:type="dxa"/>
          </w:tcPr>
          <w:p w14:paraId="3ED01E0B"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0</w:t>
            </w:r>
          </w:p>
        </w:tc>
        <w:tc>
          <w:tcPr>
            <w:tcW w:w="939" w:type="dxa"/>
          </w:tcPr>
          <w:p w14:paraId="511D65E9"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0</w:t>
            </w:r>
          </w:p>
        </w:tc>
        <w:tc>
          <w:tcPr>
            <w:tcW w:w="939" w:type="dxa"/>
          </w:tcPr>
          <w:p w14:paraId="6FDB7448"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0</w:t>
            </w:r>
          </w:p>
        </w:tc>
        <w:tc>
          <w:tcPr>
            <w:tcW w:w="939" w:type="dxa"/>
          </w:tcPr>
          <w:p w14:paraId="5108E9CA"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0</w:t>
            </w:r>
          </w:p>
        </w:tc>
        <w:tc>
          <w:tcPr>
            <w:tcW w:w="939" w:type="dxa"/>
          </w:tcPr>
          <w:p w14:paraId="5DFDB922" w14:textId="77777777" w:rsidR="008C2703" w:rsidRPr="008C2703" w:rsidRDefault="008C2703" w:rsidP="003E461F">
            <w:pPr>
              <w:ind w:left="0" w:right="0"/>
              <w:contextualSpacing/>
              <w:rPr>
                <w:color w:val="000000"/>
                <w:szCs w:val="22"/>
                <w:lang w:eastAsia="ja-JP"/>
              </w:rPr>
            </w:pPr>
            <w:r w:rsidRPr="008C2703">
              <w:rPr>
                <w:color w:val="000000"/>
                <w:szCs w:val="22"/>
                <w:lang w:eastAsia="ja-JP"/>
              </w:rPr>
              <w:t>0</w:t>
            </w:r>
          </w:p>
        </w:tc>
      </w:tr>
    </w:tbl>
    <w:p w14:paraId="42C45791" w14:textId="77777777" w:rsidR="008373B6" w:rsidRDefault="008373B6" w:rsidP="008373B6">
      <w:pPr>
        <w:pStyle w:val="TableDescription"/>
      </w:pPr>
      <w:r>
        <w:t>AESIs are sorted in descending frequency of "All Grades" column, as reported under "All Subjects".</w:t>
      </w:r>
    </w:p>
    <w:p w14:paraId="01602BB3" w14:textId="77777777" w:rsidR="008373B6" w:rsidRDefault="008373B6" w:rsidP="008373B6">
      <w:pPr>
        <w:pStyle w:val="TableDescription"/>
      </w:pPr>
      <w:r>
        <w:t>Numbers (n) represent counts of subjects.</w:t>
      </w:r>
    </w:p>
    <w:p w14:paraId="61791338" w14:textId="77777777" w:rsidR="008373B6" w:rsidRDefault="008373B6" w:rsidP="008373B6">
      <w:pPr>
        <w:pStyle w:val="TableDescription"/>
      </w:pPr>
      <w:r>
        <w:t>A subject with multiple severity grades for an AE is only counted under the maximum grade.</w:t>
      </w:r>
    </w:p>
    <w:p w14:paraId="306AC632" w14:textId="7CE33717" w:rsidR="00CA5F31" w:rsidRDefault="008373B6" w:rsidP="008373B6">
      <w:pPr>
        <w:pStyle w:val="TableDescription"/>
      </w:pPr>
      <w:r>
        <w:t>MedDRA version 26.0, CTCAE version V4.03</w:t>
      </w:r>
    </w:p>
    <w:p w14:paraId="4C8AE42D" w14:textId="77777777" w:rsidR="00956838" w:rsidRPr="00956838" w:rsidRDefault="00956838" w:rsidP="00956838">
      <w:pPr>
        <w:rPr>
          <w:iCs/>
        </w:rPr>
      </w:pPr>
      <w:r w:rsidRPr="00956838">
        <w:rPr>
          <w:iCs/>
        </w:rPr>
        <w:t>There were 12 SAEs leading to death reported in the study. Four deaths were assessed as related to study treatment by the investigator:</w:t>
      </w:r>
    </w:p>
    <w:p w14:paraId="07607C86" w14:textId="204E32A6" w:rsidR="00956838" w:rsidRPr="00956838" w:rsidRDefault="0079747E" w:rsidP="0079747E">
      <w:pPr>
        <w:pStyle w:val="ListBullet"/>
      </w:pPr>
      <w:r>
        <w:t>Two</w:t>
      </w:r>
      <w:r w:rsidR="00956838" w:rsidRPr="00956838">
        <w:t xml:space="preserve"> fatal cases of ILD/pneumonitis as noted above, both in patients with MET∆ex14 NSCLC</w:t>
      </w:r>
    </w:p>
    <w:p w14:paraId="1B95E2EB" w14:textId="05968A49" w:rsidR="00956838" w:rsidRPr="00956838" w:rsidRDefault="00275CC6" w:rsidP="0079747E">
      <w:pPr>
        <w:pStyle w:val="ListBullet2"/>
      </w:pPr>
      <w:r>
        <w:t>Preferred term</w:t>
      </w:r>
      <w:r w:rsidR="00956838" w:rsidRPr="00956838">
        <w:t xml:space="preserve"> for 1 case was </w:t>
      </w:r>
      <w:r w:rsidR="0079747E">
        <w:t>p</w:t>
      </w:r>
      <w:r w:rsidR="00956838" w:rsidRPr="00956838">
        <w:t xml:space="preserve">neumonitis. Grade 3 Pneumonitis was first suspected on Day 5 of capmatinib. Capmatinib 400 mg BD treatment was continued until </w:t>
      </w:r>
      <w:r w:rsidR="0079747E">
        <w:t>p</w:t>
      </w:r>
      <w:r w:rsidR="00956838" w:rsidRPr="00956838">
        <w:t>neumonitis was confirmed; the last dose was administered on Day 18. The patient died 15 days after the last dose of capmatinib.</w:t>
      </w:r>
    </w:p>
    <w:p w14:paraId="602F1AB9" w14:textId="16EAD6E6" w:rsidR="00956838" w:rsidRPr="00956838" w:rsidRDefault="006E60D8" w:rsidP="0079747E">
      <w:pPr>
        <w:pStyle w:val="ListBullet2"/>
      </w:pPr>
      <w:r>
        <w:t>PT</w:t>
      </w:r>
      <w:r w:rsidR="00275CC6" w:rsidRPr="00275CC6">
        <w:t xml:space="preserve"> </w:t>
      </w:r>
      <w:r w:rsidR="00956838" w:rsidRPr="00956838">
        <w:t xml:space="preserve">for 1 case was </w:t>
      </w:r>
      <w:r w:rsidR="0079747E">
        <w:t>o</w:t>
      </w:r>
      <w:r w:rsidR="00956838" w:rsidRPr="00956838">
        <w:t xml:space="preserve">rganising </w:t>
      </w:r>
      <w:r w:rsidR="0079747E">
        <w:t>p</w:t>
      </w:r>
      <w:r w:rsidR="00956838" w:rsidRPr="00956838">
        <w:t>neumonia. Capmatinib treatment was discontinued on the day of diagnosis with cryptogenic bronchiolitis obliterans organising pneumonia (Day 9). The patient died 21 days after the last dose of capmatinib.</w:t>
      </w:r>
    </w:p>
    <w:p w14:paraId="0A2124BF" w14:textId="70A84469" w:rsidR="00956838" w:rsidRPr="00956838" w:rsidRDefault="00956838" w:rsidP="0079747E">
      <w:pPr>
        <w:pStyle w:val="ListBullet"/>
      </w:pPr>
      <w:r w:rsidRPr="00956838">
        <w:t xml:space="preserve">1 case of </w:t>
      </w:r>
      <w:r w:rsidR="00087C2C">
        <w:t>c</w:t>
      </w:r>
      <w:r w:rsidRPr="00956838">
        <w:t xml:space="preserve">ardiac </w:t>
      </w:r>
      <w:r w:rsidR="00087C2C">
        <w:t>a</w:t>
      </w:r>
      <w:r w:rsidRPr="00956838">
        <w:t>rrest in a patient without MET-mutation</w:t>
      </w:r>
    </w:p>
    <w:p w14:paraId="348B5854" w14:textId="42C279EF" w:rsidR="00956838" w:rsidRPr="00956838" w:rsidRDefault="00956838" w:rsidP="0079747E">
      <w:pPr>
        <w:pStyle w:val="ListBullet"/>
      </w:pPr>
      <w:r w:rsidRPr="00956838">
        <w:lastRenderedPageBreak/>
        <w:t xml:space="preserve">1 case of </w:t>
      </w:r>
      <w:r w:rsidR="00087C2C">
        <w:t>f</w:t>
      </w:r>
      <w:r w:rsidRPr="00956838">
        <w:t xml:space="preserve">atal </w:t>
      </w:r>
      <w:r w:rsidR="00087C2C">
        <w:t>h</w:t>
      </w:r>
      <w:r w:rsidRPr="00956838">
        <w:t xml:space="preserve">epatitis with co-occurring SAE of </w:t>
      </w:r>
      <w:r w:rsidR="00087C2C">
        <w:t>p</w:t>
      </w:r>
      <w:r w:rsidRPr="00956838">
        <w:t xml:space="preserve">ancreatitis, </w:t>
      </w:r>
      <w:r w:rsidR="00087C2C">
        <w:t>a</w:t>
      </w:r>
      <w:r w:rsidRPr="00956838">
        <w:t>cute in a patient without MET-mutation.</w:t>
      </w:r>
    </w:p>
    <w:p w14:paraId="60C8570B" w14:textId="77777777" w:rsidR="00956838" w:rsidRPr="00956838" w:rsidRDefault="00956838" w:rsidP="00956838">
      <w:pPr>
        <w:rPr>
          <w:iCs/>
        </w:rPr>
      </w:pPr>
      <w:r w:rsidRPr="00956838">
        <w:rPr>
          <w:iCs/>
        </w:rPr>
        <w:t>AEs leading to permanent discontinuation of study drug were reported in 18.2% of patients, and 62.7% required at least one dose adjustment and/or interruption due to AEs.</w:t>
      </w:r>
    </w:p>
    <w:p w14:paraId="69951E94" w14:textId="77777777" w:rsidR="00956838" w:rsidRPr="00956838" w:rsidRDefault="00956838" w:rsidP="00087C2C">
      <w:pPr>
        <w:pStyle w:val="Heading5"/>
      </w:pPr>
      <w:r w:rsidRPr="00956838">
        <w:t>Study A2301</w:t>
      </w:r>
    </w:p>
    <w:p w14:paraId="18C2FE8B" w14:textId="77777777" w:rsidR="00956838" w:rsidRPr="00956838" w:rsidRDefault="00956838" w:rsidP="00956838">
      <w:pPr>
        <w:rPr>
          <w:iCs/>
        </w:rPr>
      </w:pPr>
      <w:r w:rsidRPr="00956838">
        <w:rPr>
          <w:iCs/>
        </w:rPr>
        <w:t>The median duration of exposure in Study A2301 was 29.9 months (range: 5, 88) for capmatinib and 9.1 months (range: 3, 24) for docetaxel.</w:t>
      </w:r>
    </w:p>
    <w:p w14:paraId="0BABD338" w14:textId="77777777" w:rsidR="00956838" w:rsidRPr="00956838" w:rsidRDefault="00956838" w:rsidP="00956838">
      <w:pPr>
        <w:rPr>
          <w:iCs/>
        </w:rPr>
      </w:pPr>
      <w:r w:rsidRPr="00956838">
        <w:rPr>
          <w:iCs/>
        </w:rPr>
        <w:t>The safety profile in the 15 subjects treated with capmatinib in Study A2301 was broadly consistent with the safety profile identified in Study A2201 and post-marketing surveillance. There were two SAEs which led to death in the capmatinib arm – one case of sepsis and one case of pneumonitis.</w:t>
      </w:r>
    </w:p>
    <w:p w14:paraId="07D20EBA" w14:textId="77777777" w:rsidR="00956838" w:rsidRPr="00956838" w:rsidRDefault="00956838" w:rsidP="00087C2C">
      <w:pPr>
        <w:pStyle w:val="Heading5"/>
        <w:rPr>
          <w:iCs/>
        </w:rPr>
      </w:pPr>
      <w:r w:rsidRPr="00956838">
        <w:t>Post marketing experience</w:t>
      </w:r>
    </w:p>
    <w:p w14:paraId="208BB7A9" w14:textId="61AF4695" w:rsidR="00956838" w:rsidRPr="00956838" w:rsidRDefault="00956838" w:rsidP="00956838">
      <w:r w:rsidRPr="00956838">
        <w:rPr>
          <w:iCs/>
        </w:rPr>
        <w:t xml:space="preserve">The Periodic Safety Update Report (PSUR) for 6 May 2024 to 5 May 2025 provided the latest update on capmatinib. A critical analysis of efficacy and safety confirmed that the overall benefit-risk profile of capmatinib remained favourable. There was no change in the risk profile since the last PSUR, and it remained consistent with the company core data sheet and </w:t>
      </w:r>
      <w:r w:rsidRPr="00956838">
        <w:t>EU-RMP v1.3 (date 25 Mar 2022).</w:t>
      </w:r>
    </w:p>
    <w:p w14:paraId="2B1189D0" w14:textId="77777777" w:rsidR="00956838" w:rsidRPr="00956838" w:rsidRDefault="00956838" w:rsidP="00087C2C">
      <w:pPr>
        <w:pStyle w:val="Heading6"/>
      </w:pPr>
      <w:r w:rsidRPr="00956838">
        <w:t>Deafness</w:t>
      </w:r>
    </w:p>
    <w:p w14:paraId="5AE0CBF9" w14:textId="29A78FCC" w:rsidR="00956838" w:rsidRPr="00956838" w:rsidRDefault="00956838" w:rsidP="00956838">
      <w:pPr>
        <w:rPr>
          <w:iCs/>
        </w:rPr>
      </w:pPr>
      <w:r w:rsidRPr="00956838">
        <w:t>The previous PSUR (6 Nov</w:t>
      </w:r>
      <w:r w:rsidR="00646971">
        <w:t>ember</w:t>
      </w:r>
      <w:r w:rsidRPr="00956838">
        <w:t xml:space="preserve"> 2023 to 5 May 2024) had evaluated a potential causal relationship of deafness with capmatinib following reports of sudden hearing loss in post market surveillance.</w:t>
      </w:r>
      <w:r w:rsidRPr="00956838">
        <w:rPr>
          <w:iCs/>
        </w:rPr>
        <w:t xml:space="preserve"> A search of the sponsor’s safety database retrieved 50 patients with 53 events. Analysis of these cases revealed no medically relevant information that could imply a new association of reported events with capmatinib.</w:t>
      </w:r>
    </w:p>
    <w:p w14:paraId="7CFE005F" w14:textId="05A525D5" w:rsidR="00956838" w:rsidRPr="00956838" w:rsidRDefault="00956838" w:rsidP="00956838">
      <w:pPr>
        <w:rPr>
          <w:iCs/>
        </w:rPr>
      </w:pPr>
      <w:r w:rsidRPr="00956838">
        <w:rPr>
          <w:iCs/>
        </w:rPr>
        <w:t>This potential signal was revisiting in the current PSUR (6 May 2024 to 5 May 2025). Interval data (18 new cases) did not reveal any new or changed safety information and was consistent with the previous cumulative assessment of deafness.</w:t>
      </w:r>
    </w:p>
    <w:p w14:paraId="37613273" w14:textId="144BF034" w:rsidR="00956838" w:rsidRPr="00956838" w:rsidRDefault="00956838" w:rsidP="00956838">
      <w:r w:rsidRPr="00956838">
        <w:t xml:space="preserve">Considering the available safety data and that advanced age (median, 84 years) with comorbidities/underlying disease are risk factors, the available evidence was insufficient to establish a causal relationship between deafness and capmatinib. Of note, following the PSUR period, no new information or safety concerns have emerged for this topic. The topic of deafness will continue to be monitored in the next PSUR, as recommended by </w:t>
      </w:r>
      <w:r w:rsidR="00363DDB">
        <w:t xml:space="preserve">the </w:t>
      </w:r>
      <w:r w:rsidR="00363DDB" w:rsidRPr="00363DDB">
        <w:t>Pharmacovigilance Risk Assessment Committee</w:t>
      </w:r>
      <w:r w:rsidRPr="00956838">
        <w:t xml:space="preserve"> A</w:t>
      </w:r>
      <w:r w:rsidR="00363DDB">
        <w:t xml:space="preserve">ssessment </w:t>
      </w:r>
      <w:r w:rsidRPr="00956838">
        <w:t>R</w:t>
      </w:r>
      <w:r w:rsidR="00363DDB">
        <w:t>eport</w:t>
      </w:r>
      <w:r w:rsidRPr="00956838">
        <w:t xml:space="preserve"> (PSUSA/00011022/202505).</w:t>
      </w:r>
    </w:p>
    <w:p w14:paraId="26D93C06" w14:textId="77777777" w:rsidR="00956838" w:rsidRPr="00956838" w:rsidRDefault="00956838" w:rsidP="00087C2C">
      <w:pPr>
        <w:pStyle w:val="Heading5"/>
      </w:pPr>
      <w:r w:rsidRPr="00956838">
        <w:t>Companion diagnostic considerations</w:t>
      </w:r>
    </w:p>
    <w:p w14:paraId="76E06846" w14:textId="70324065" w:rsidR="00956838" w:rsidRPr="00956838" w:rsidRDefault="00956838" w:rsidP="00956838">
      <w:r w:rsidRPr="00956838">
        <w:t>The sponsor has considered the issue of companion diagnostic (CDx) testing. There are two approved MBS item numbers (73437</w:t>
      </w:r>
      <w:bookmarkStart w:id="53" w:name="_Ref233204131"/>
      <w:r w:rsidR="00D63482">
        <w:rPr>
          <w:rStyle w:val="FootnoteReference"/>
        </w:rPr>
        <w:footnoteReference w:id="15"/>
      </w:r>
      <w:bookmarkEnd w:id="53"/>
      <w:r w:rsidRPr="00956838">
        <w:t xml:space="preserve"> and 73438</w:t>
      </w:r>
      <w:bookmarkStart w:id="54" w:name="_Ref233204135"/>
      <w:r w:rsidR="007318D1">
        <w:rPr>
          <w:rStyle w:val="FootnoteReference"/>
        </w:rPr>
        <w:footnoteReference w:id="16"/>
      </w:r>
      <w:bookmarkEnd w:id="54"/>
      <w:r w:rsidRPr="00956838">
        <w:t xml:space="preserve">) for multi-gene panel testing, including testing for variants in MET exon </w:t>
      </w:r>
      <w:proofErr w:type="gramStart"/>
      <w:r w:rsidRPr="00956838">
        <w:t>14,</w:t>
      </w:r>
      <w:proofErr w:type="gramEnd"/>
      <w:r w:rsidRPr="00956838">
        <w:t xml:space="preserve"> of tumour tissue from a patient with a new diagnosis of NSCLC. The sponsor concludes:</w:t>
      </w:r>
    </w:p>
    <w:p w14:paraId="1A0D4B2E" w14:textId="1EA5F55F" w:rsidR="00956838" w:rsidRPr="00956838" w:rsidRDefault="00956838" w:rsidP="00956838">
      <w:pPr>
        <w:rPr>
          <w:i/>
          <w:iCs/>
        </w:rPr>
      </w:pPr>
      <w:r w:rsidRPr="00956838">
        <w:rPr>
          <w:i/>
          <w:iCs/>
        </w:rPr>
        <w:lastRenderedPageBreak/>
        <w:t xml:space="preserve">“Novartis considers it appropriate that no specific companion diagnostic device needs to be registered in tandem to enable access to </w:t>
      </w:r>
      <w:r w:rsidR="003C3D80">
        <w:rPr>
          <w:i/>
          <w:iCs/>
        </w:rPr>
        <w:t>Tabrecta</w:t>
      </w:r>
      <w:r w:rsidRPr="00956838">
        <w:rPr>
          <w:i/>
          <w:iCs/>
        </w:rPr>
        <w:t xml:space="preserve"> in Australia, as patient eligibility will be confirmed using the existing Medicare funded METex14sk test.”</w:t>
      </w:r>
    </w:p>
    <w:p w14:paraId="0B09E008" w14:textId="1622B6B1" w:rsidR="00956838" w:rsidRPr="00956838" w:rsidRDefault="00956838" w:rsidP="00956838">
      <w:r w:rsidRPr="00956838">
        <w:t>The TGA guidance for CDx</w:t>
      </w:r>
      <w:bookmarkStart w:id="55" w:name="_Ref233204179"/>
      <w:r w:rsidR="001D1DB0">
        <w:rPr>
          <w:rStyle w:val="FootnoteReference"/>
        </w:rPr>
        <w:footnoteReference w:id="17"/>
      </w:r>
      <w:bookmarkEnd w:id="55"/>
      <w:r w:rsidRPr="00956838">
        <w:t xml:space="preserve"> provides the option for CDx requirements to be met if “</w:t>
      </w:r>
      <w:r w:rsidRPr="00956838">
        <w:rPr>
          <w:i/>
          <w:iCs/>
        </w:rPr>
        <w:t>Standard testing in Australia is anticipated to predict similar clinical outcomes to the pivotal clinical trials supporting the proposed medicine or biological indication.</w:t>
      </w:r>
      <w:r w:rsidRPr="00956838">
        <w:t>”</w:t>
      </w:r>
    </w:p>
    <w:p w14:paraId="14E44EDA" w14:textId="77777777" w:rsidR="00956838" w:rsidRPr="00956838" w:rsidRDefault="00956838" w:rsidP="00956838">
      <w:r w:rsidRPr="00956838">
        <w:t>The pivotal clinical trial, Study A2201, used RT-PCR testing in a central laboratory to assess MET exon 14 skipping mutation status in tumour tissue samples from participants. The MBS item numbers noted above reimburse next generation sequencing (NGS) testing.</w:t>
      </w:r>
    </w:p>
    <w:p w14:paraId="23AC010E" w14:textId="02E45D06" w:rsidR="008373B6" w:rsidRDefault="00956838" w:rsidP="00956838">
      <w:r w:rsidRPr="00956838">
        <w:t>The United States Prescribing Information (US PI) for capmatinib</w:t>
      </w:r>
      <w:r w:rsidR="00616D32">
        <w:rPr>
          <w:rStyle w:val="FootnoteReference"/>
        </w:rPr>
        <w:footnoteReference w:id="18"/>
      </w:r>
      <w:r w:rsidRPr="00956838">
        <w:t xml:space="preserve"> describes the retesting of tumour tissue samples in Study A2201 with an NGS assay (FoundationOne CDx). The samples had undergone central confirmation of MET exon 14 skipping with the clinical trial RT-PCR assay prior to retesting with NGS. An estimated positive percentage agreement of 99% (72/73) between the clinical trial RT-PCR assay and the FDA-approved NGS assay was found</w:t>
      </w:r>
      <w:r w:rsidR="00F07455">
        <w:fldChar w:fldCharType="begin"/>
      </w:r>
      <w:r w:rsidR="00F07455">
        <w:instrText xml:space="preserve"> NOTEREF _Ref233204131 \f \h </w:instrText>
      </w:r>
      <w:r w:rsidR="00F07455">
        <w:fldChar w:fldCharType="separate"/>
      </w:r>
      <w:r w:rsidR="00F07455" w:rsidRPr="00F07455">
        <w:rPr>
          <w:rStyle w:val="FootnoteReference"/>
        </w:rPr>
        <w:t>15</w:t>
      </w:r>
      <w:r w:rsidR="00F07455">
        <w:fldChar w:fldCharType="end"/>
      </w:r>
      <w:r w:rsidRPr="00956838">
        <w:t>. In the US, the FoundationOne CDx NGS assay has an approved CDx indication for detecting MET exon 14 skipping mutations in NSCLC for deciding suitability for capmatinib use.</w:t>
      </w:r>
      <w:r w:rsidR="003A6337">
        <w:rPr>
          <w:rStyle w:val="FootnoteReference"/>
        </w:rPr>
        <w:footnoteReference w:id="19"/>
      </w:r>
    </w:p>
    <w:p w14:paraId="2858B006" w14:textId="77777777" w:rsidR="00C22214" w:rsidRDefault="00C22214" w:rsidP="00C22214">
      <w:pPr>
        <w:pStyle w:val="Heading3"/>
        <w:rPr>
          <w:lang w:eastAsia="en-AU"/>
        </w:rPr>
      </w:pPr>
      <w:bookmarkStart w:id="56" w:name="_Toc314842514"/>
      <w:bookmarkStart w:id="57" w:name="_Toc103679298"/>
      <w:bookmarkStart w:id="58" w:name="_Toc234928956"/>
      <w:r>
        <w:rPr>
          <w:lang w:eastAsia="en-AU"/>
        </w:rPr>
        <w:t>Risk management plan</w:t>
      </w:r>
      <w:bookmarkEnd w:id="56"/>
      <w:bookmarkEnd w:id="57"/>
      <w:bookmarkEnd w:id="58"/>
    </w:p>
    <w:p w14:paraId="73666FD0" w14:textId="3F2E96DD" w:rsidR="00150E21" w:rsidRDefault="007E583E" w:rsidP="00C22214">
      <w:pPr>
        <w:rPr>
          <w:szCs w:val="22"/>
        </w:rPr>
      </w:pPr>
      <w:bookmarkStart w:id="59" w:name="_Toc247691531"/>
      <w:bookmarkStart w:id="60" w:name="_Toc314842515"/>
      <w:r w:rsidRPr="007E583E">
        <w:rPr>
          <w:szCs w:val="22"/>
        </w:rPr>
        <w:t xml:space="preserve">The </w:t>
      </w:r>
      <w:r w:rsidR="003C3D80">
        <w:rPr>
          <w:szCs w:val="22"/>
        </w:rPr>
        <w:t>Tabrecta</w:t>
      </w:r>
      <w:r w:rsidRPr="007E583E">
        <w:rPr>
          <w:szCs w:val="22"/>
        </w:rPr>
        <w:t xml:space="preserve"> EU-Risk Management Plan (RMP) (version 1.3, dated 25 March 2022, data lock point 30 August 2021), with Australia-Specific Annex (ASA) (version 1.0, dated 21 May 2025), included with submission PM-2025-01762-1-4, and any subsequent revisions, as agreed with the TGA will be implemented in Australia</w:t>
      </w:r>
    </w:p>
    <w:p w14:paraId="39F3CD1D" w14:textId="2922ABA3" w:rsidR="0072003B" w:rsidRPr="00BD5DBD" w:rsidRDefault="00C22214" w:rsidP="00C22214">
      <w:pPr>
        <w:rPr>
          <w:szCs w:val="22"/>
        </w:rPr>
      </w:pPr>
      <w:r w:rsidRPr="00BD5DBD">
        <w:rPr>
          <w:szCs w:val="22"/>
        </w:rPr>
        <w:t>The summary of safety concerns and their associated risk monitoring and mitigation strategies are summarised in</w:t>
      </w:r>
      <w:r w:rsidR="003733E3">
        <w:rPr>
          <w:szCs w:val="22"/>
        </w:rPr>
        <w:t xml:space="preserve"> Table </w:t>
      </w:r>
      <w:r w:rsidR="004A3801">
        <w:rPr>
          <w:szCs w:val="22"/>
        </w:rPr>
        <w:t>9</w:t>
      </w:r>
      <w:r w:rsidR="008C49C6" w:rsidRPr="003B149C">
        <w:rPr>
          <w:szCs w:val="22"/>
        </w:rPr>
        <w:t>.</w:t>
      </w:r>
      <w:r w:rsidR="0072003B" w:rsidRPr="00BD5DBD">
        <w:rPr>
          <w:szCs w:val="22"/>
        </w:rPr>
        <w:t xml:space="preserve"> The TGA</w:t>
      </w:r>
      <w:r w:rsidR="00C07551" w:rsidRPr="00BD5DBD">
        <w:rPr>
          <w:szCs w:val="22"/>
        </w:rPr>
        <w:t xml:space="preserve"> may</w:t>
      </w:r>
      <w:r w:rsidR="0072003B" w:rsidRPr="00BD5DBD">
        <w:rPr>
          <w:szCs w:val="22"/>
        </w:rPr>
        <w:t xml:space="preserve"> request an updated RMP at any stage of a product's </w:t>
      </w:r>
      <w:proofErr w:type="gramStart"/>
      <w:r w:rsidR="0072003B" w:rsidRPr="00BD5DBD">
        <w:rPr>
          <w:szCs w:val="22"/>
        </w:rPr>
        <w:t>life-cycle</w:t>
      </w:r>
      <w:proofErr w:type="gramEnd"/>
      <w:r w:rsidR="0072003B" w:rsidRPr="00BD5DBD">
        <w:rPr>
          <w:szCs w:val="22"/>
        </w:rPr>
        <w:t>, during both the pre-approval and post-approval phases.</w:t>
      </w:r>
    </w:p>
    <w:p w14:paraId="56B51A93" w14:textId="7581C7F5" w:rsidR="006A277A" w:rsidRDefault="00C22214" w:rsidP="00057194">
      <w:pPr>
        <w:pStyle w:val="TableTitle"/>
      </w:pPr>
      <w:bookmarkStart w:id="61" w:name="_Ref97629131"/>
      <w:r>
        <w:t>Table</w:t>
      </w:r>
      <w:bookmarkEnd w:id="61"/>
      <w:r w:rsidR="00F3247A">
        <w:t xml:space="preserve"> </w:t>
      </w:r>
      <w:r w:rsidR="004A3801">
        <w:t>9</w:t>
      </w:r>
      <w:r w:rsidR="003302FF">
        <w:rPr>
          <w:noProof/>
        </w:rPr>
        <w:t>.</w:t>
      </w:r>
      <w:r>
        <w:t xml:space="preserve"> Summary of safety concerns</w:t>
      </w:r>
    </w:p>
    <w:tbl>
      <w:tblPr>
        <w:tblStyle w:val="TableGrid"/>
        <w:tblW w:w="9067" w:type="dxa"/>
        <w:jc w:val="cente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Layout w:type="fixed"/>
        <w:tblCellMar>
          <w:left w:w="85" w:type="dxa"/>
          <w:right w:w="85" w:type="dxa"/>
        </w:tblCellMar>
        <w:tblLook w:val="04A0" w:firstRow="1" w:lastRow="0" w:firstColumn="1" w:lastColumn="0" w:noHBand="0" w:noVBand="1"/>
        <w:tblCaption w:val="Table 9. Summary of safety concerns"/>
      </w:tblPr>
      <w:tblGrid>
        <w:gridCol w:w="1413"/>
        <w:gridCol w:w="2977"/>
        <w:gridCol w:w="993"/>
        <w:gridCol w:w="1275"/>
        <w:gridCol w:w="9"/>
        <w:gridCol w:w="983"/>
        <w:gridCol w:w="1417"/>
      </w:tblGrid>
      <w:tr w:rsidR="00F10CF0" w:rsidRPr="00F224D2" w14:paraId="0127097D" w14:textId="77777777" w:rsidTr="006F1BBE">
        <w:trPr>
          <w:trHeight w:val="131"/>
          <w:jc w:val="center"/>
        </w:trPr>
        <w:tc>
          <w:tcPr>
            <w:tcW w:w="4390" w:type="dxa"/>
            <w:gridSpan w:val="2"/>
            <w:vMerge w:val="restart"/>
            <w:shd w:val="clear" w:color="auto" w:fill="DEEAF6"/>
          </w:tcPr>
          <w:p w14:paraId="0B00D33F" w14:textId="77777777" w:rsidR="00F10CF0" w:rsidRPr="006B68A9" w:rsidRDefault="00F10CF0" w:rsidP="00B97E79">
            <w:pPr>
              <w:rPr>
                <w:b/>
                <w:bCs/>
                <w:color w:val="263287"/>
              </w:rPr>
            </w:pPr>
            <w:r w:rsidRPr="006B68A9">
              <w:rPr>
                <w:b/>
                <w:bCs/>
                <w:color w:val="263287"/>
              </w:rPr>
              <w:t>Summary of safety concerns</w:t>
            </w:r>
          </w:p>
        </w:tc>
        <w:tc>
          <w:tcPr>
            <w:tcW w:w="2277" w:type="dxa"/>
            <w:gridSpan w:val="3"/>
            <w:shd w:val="clear" w:color="auto" w:fill="DEEAF6"/>
          </w:tcPr>
          <w:p w14:paraId="39B4C36C" w14:textId="77777777" w:rsidR="00F10CF0" w:rsidRPr="006B68A9" w:rsidRDefault="00F10CF0" w:rsidP="00B97E79">
            <w:pPr>
              <w:rPr>
                <w:b/>
                <w:bCs/>
                <w:color w:val="263287"/>
              </w:rPr>
            </w:pPr>
            <w:r w:rsidRPr="006B68A9">
              <w:rPr>
                <w:b/>
                <w:bCs/>
                <w:color w:val="263287"/>
              </w:rPr>
              <w:t>Pharmacovigilance</w:t>
            </w:r>
          </w:p>
        </w:tc>
        <w:tc>
          <w:tcPr>
            <w:tcW w:w="2400" w:type="dxa"/>
            <w:gridSpan w:val="2"/>
            <w:shd w:val="clear" w:color="auto" w:fill="DEEAF6"/>
          </w:tcPr>
          <w:p w14:paraId="66B9CE2A" w14:textId="77777777" w:rsidR="00F10CF0" w:rsidRPr="006B68A9" w:rsidRDefault="00F10CF0" w:rsidP="00B97E79">
            <w:pPr>
              <w:rPr>
                <w:b/>
                <w:bCs/>
                <w:color w:val="263287"/>
              </w:rPr>
            </w:pPr>
            <w:r w:rsidRPr="006B68A9">
              <w:rPr>
                <w:b/>
                <w:bCs/>
                <w:color w:val="263287"/>
              </w:rPr>
              <w:t>Risk Minimisation</w:t>
            </w:r>
          </w:p>
        </w:tc>
      </w:tr>
      <w:tr w:rsidR="00F10CF0" w:rsidRPr="00F224D2" w14:paraId="1CCEEA5F" w14:textId="77777777" w:rsidTr="006F1BBE">
        <w:trPr>
          <w:trHeight w:val="150"/>
          <w:jc w:val="center"/>
        </w:trPr>
        <w:tc>
          <w:tcPr>
            <w:tcW w:w="4390" w:type="dxa"/>
            <w:gridSpan w:val="2"/>
            <w:vMerge/>
            <w:shd w:val="clear" w:color="auto" w:fill="DEEAF6"/>
          </w:tcPr>
          <w:p w14:paraId="51A3A6EC" w14:textId="77777777" w:rsidR="00F10CF0" w:rsidRPr="006B68A9" w:rsidRDefault="00F10CF0" w:rsidP="00B97E79">
            <w:pPr>
              <w:rPr>
                <w:b/>
                <w:bCs/>
                <w:color w:val="263287"/>
              </w:rPr>
            </w:pPr>
          </w:p>
        </w:tc>
        <w:tc>
          <w:tcPr>
            <w:tcW w:w="993" w:type="dxa"/>
            <w:shd w:val="clear" w:color="auto" w:fill="DEEAF6"/>
          </w:tcPr>
          <w:p w14:paraId="0E479384" w14:textId="77777777" w:rsidR="00F10CF0" w:rsidRPr="006B68A9" w:rsidRDefault="00F10CF0" w:rsidP="00B97E79">
            <w:pPr>
              <w:rPr>
                <w:b/>
                <w:bCs/>
                <w:color w:val="263287"/>
              </w:rPr>
            </w:pPr>
            <w:r w:rsidRPr="006B68A9">
              <w:rPr>
                <w:b/>
                <w:bCs/>
                <w:color w:val="263287"/>
              </w:rPr>
              <w:t>Routine</w:t>
            </w:r>
          </w:p>
        </w:tc>
        <w:tc>
          <w:tcPr>
            <w:tcW w:w="1275" w:type="dxa"/>
            <w:shd w:val="clear" w:color="auto" w:fill="DEEAF6"/>
          </w:tcPr>
          <w:p w14:paraId="6AF2DD7B" w14:textId="77777777" w:rsidR="00F10CF0" w:rsidRPr="006B68A9" w:rsidRDefault="00F10CF0" w:rsidP="00B97E79">
            <w:pPr>
              <w:rPr>
                <w:b/>
                <w:bCs/>
                <w:color w:val="263287"/>
              </w:rPr>
            </w:pPr>
            <w:r w:rsidRPr="006B68A9">
              <w:rPr>
                <w:b/>
                <w:bCs/>
                <w:color w:val="263287"/>
              </w:rPr>
              <w:t>Additional</w:t>
            </w:r>
          </w:p>
        </w:tc>
        <w:tc>
          <w:tcPr>
            <w:tcW w:w="992" w:type="dxa"/>
            <w:gridSpan w:val="2"/>
            <w:shd w:val="clear" w:color="auto" w:fill="DEEAF6"/>
          </w:tcPr>
          <w:p w14:paraId="0227B02C" w14:textId="77777777" w:rsidR="00F10CF0" w:rsidRPr="006B68A9" w:rsidRDefault="00F10CF0" w:rsidP="00B97E79">
            <w:pPr>
              <w:rPr>
                <w:b/>
                <w:bCs/>
                <w:color w:val="263287"/>
              </w:rPr>
            </w:pPr>
            <w:r w:rsidRPr="006B68A9">
              <w:rPr>
                <w:b/>
                <w:bCs/>
                <w:color w:val="263287"/>
              </w:rPr>
              <w:t>Routine</w:t>
            </w:r>
          </w:p>
        </w:tc>
        <w:tc>
          <w:tcPr>
            <w:tcW w:w="1417" w:type="dxa"/>
            <w:shd w:val="clear" w:color="auto" w:fill="DEEAF6"/>
          </w:tcPr>
          <w:p w14:paraId="479E3E75" w14:textId="77777777" w:rsidR="00F10CF0" w:rsidRPr="006B68A9" w:rsidRDefault="00F10CF0" w:rsidP="00B97E79">
            <w:pPr>
              <w:rPr>
                <w:b/>
                <w:bCs/>
                <w:color w:val="263287"/>
              </w:rPr>
            </w:pPr>
            <w:r w:rsidRPr="006B68A9">
              <w:rPr>
                <w:b/>
                <w:bCs/>
                <w:color w:val="263287"/>
              </w:rPr>
              <w:t>Additional</w:t>
            </w:r>
          </w:p>
        </w:tc>
      </w:tr>
      <w:tr w:rsidR="00F10CF0" w:rsidRPr="00F224D2" w14:paraId="5FBEC860" w14:textId="77777777" w:rsidTr="006F1BBE">
        <w:trPr>
          <w:trHeight w:val="137"/>
          <w:jc w:val="center"/>
        </w:trPr>
        <w:tc>
          <w:tcPr>
            <w:tcW w:w="1413" w:type="dxa"/>
            <w:vMerge w:val="restart"/>
          </w:tcPr>
          <w:p w14:paraId="4901FD27" w14:textId="77777777" w:rsidR="00F10CF0" w:rsidRPr="00F224D2" w:rsidRDefault="00F10CF0" w:rsidP="00B97E79">
            <w:r w:rsidRPr="00F224D2">
              <w:t>Important identified risks</w:t>
            </w:r>
          </w:p>
        </w:tc>
        <w:tc>
          <w:tcPr>
            <w:tcW w:w="2977" w:type="dxa"/>
          </w:tcPr>
          <w:p w14:paraId="6C59954F" w14:textId="77777777" w:rsidR="00F10CF0" w:rsidRPr="00F224D2" w:rsidRDefault="00F10CF0" w:rsidP="00B97E79">
            <w:r w:rsidRPr="00F224D2">
              <w:t>Hepatotoxicity</w:t>
            </w:r>
          </w:p>
        </w:tc>
        <w:tc>
          <w:tcPr>
            <w:tcW w:w="993" w:type="dxa"/>
            <w:vAlign w:val="center"/>
          </w:tcPr>
          <w:p w14:paraId="43C1F73A" w14:textId="77777777" w:rsidR="00F10CF0" w:rsidRPr="00F224D2" w:rsidRDefault="00F10CF0" w:rsidP="00B97E79">
            <w:r w:rsidRPr="00F224D2">
              <w:rPr>
                <w:rFonts w:ascii="Wingdings" w:eastAsia="Wingdings" w:hAnsi="Wingdings" w:cs="Wingdings"/>
              </w:rPr>
              <w:t>ü</w:t>
            </w:r>
          </w:p>
        </w:tc>
        <w:tc>
          <w:tcPr>
            <w:tcW w:w="1275" w:type="dxa"/>
            <w:vAlign w:val="center"/>
          </w:tcPr>
          <w:p w14:paraId="03364BE8" w14:textId="77777777" w:rsidR="00F10CF0" w:rsidRPr="00F224D2" w:rsidRDefault="00F10CF0" w:rsidP="00B97E79">
            <w:r w:rsidRPr="00F224D2">
              <w:t>–</w:t>
            </w:r>
          </w:p>
        </w:tc>
        <w:tc>
          <w:tcPr>
            <w:tcW w:w="992" w:type="dxa"/>
            <w:gridSpan w:val="2"/>
            <w:vAlign w:val="center"/>
          </w:tcPr>
          <w:p w14:paraId="550AC2F8" w14:textId="77777777" w:rsidR="00F10CF0" w:rsidRPr="00F224D2" w:rsidRDefault="00F10CF0" w:rsidP="00B97E79">
            <w:r w:rsidRPr="00F224D2">
              <w:rPr>
                <w:rFonts w:ascii="Wingdings" w:eastAsia="Wingdings" w:hAnsi="Wingdings" w:cs="Wingdings"/>
              </w:rPr>
              <w:t>ü</w:t>
            </w:r>
          </w:p>
        </w:tc>
        <w:tc>
          <w:tcPr>
            <w:tcW w:w="1417" w:type="dxa"/>
            <w:vAlign w:val="center"/>
          </w:tcPr>
          <w:p w14:paraId="18E68D13" w14:textId="77777777" w:rsidR="00F10CF0" w:rsidRPr="00F224D2" w:rsidRDefault="00F10CF0" w:rsidP="00B97E79">
            <w:r w:rsidRPr="00F224D2">
              <w:t>–</w:t>
            </w:r>
          </w:p>
        </w:tc>
      </w:tr>
      <w:tr w:rsidR="00F10CF0" w:rsidRPr="00F224D2" w14:paraId="75B8BC2D" w14:textId="77777777" w:rsidTr="006F1BBE">
        <w:trPr>
          <w:trHeight w:val="94"/>
          <w:jc w:val="center"/>
        </w:trPr>
        <w:tc>
          <w:tcPr>
            <w:tcW w:w="1413" w:type="dxa"/>
            <w:vMerge/>
          </w:tcPr>
          <w:p w14:paraId="3519E6BD" w14:textId="77777777" w:rsidR="00F10CF0" w:rsidRPr="00F224D2" w:rsidRDefault="00F10CF0" w:rsidP="00B97E79"/>
        </w:tc>
        <w:tc>
          <w:tcPr>
            <w:tcW w:w="2977" w:type="dxa"/>
          </w:tcPr>
          <w:p w14:paraId="3DB5AEA9" w14:textId="77777777" w:rsidR="00F10CF0" w:rsidRPr="00F224D2" w:rsidRDefault="00F10CF0" w:rsidP="00B97E79">
            <w:r w:rsidRPr="00F224D2">
              <w:t>Interstitial lung disease/pneumonitis</w:t>
            </w:r>
          </w:p>
        </w:tc>
        <w:tc>
          <w:tcPr>
            <w:tcW w:w="993" w:type="dxa"/>
            <w:vAlign w:val="center"/>
          </w:tcPr>
          <w:p w14:paraId="7DFA669A" w14:textId="77777777" w:rsidR="00F10CF0" w:rsidRPr="00F224D2" w:rsidRDefault="00F10CF0" w:rsidP="00B97E79">
            <w:r w:rsidRPr="00F224D2">
              <w:rPr>
                <w:rFonts w:ascii="Wingdings" w:eastAsia="Wingdings" w:hAnsi="Wingdings" w:cs="Wingdings"/>
              </w:rPr>
              <w:t>ü</w:t>
            </w:r>
          </w:p>
        </w:tc>
        <w:tc>
          <w:tcPr>
            <w:tcW w:w="1275" w:type="dxa"/>
            <w:vAlign w:val="center"/>
          </w:tcPr>
          <w:p w14:paraId="0A3F20A7" w14:textId="77777777" w:rsidR="00F10CF0" w:rsidRPr="00F224D2" w:rsidRDefault="00F10CF0" w:rsidP="00B97E79">
            <w:r w:rsidRPr="00F224D2">
              <w:t>–</w:t>
            </w:r>
          </w:p>
        </w:tc>
        <w:tc>
          <w:tcPr>
            <w:tcW w:w="992" w:type="dxa"/>
            <w:gridSpan w:val="2"/>
            <w:vAlign w:val="center"/>
          </w:tcPr>
          <w:p w14:paraId="32D46024" w14:textId="77777777" w:rsidR="00F10CF0" w:rsidRPr="00F224D2" w:rsidRDefault="00F10CF0" w:rsidP="00B97E79">
            <w:r w:rsidRPr="00F224D2">
              <w:rPr>
                <w:rFonts w:ascii="Wingdings" w:eastAsia="Wingdings" w:hAnsi="Wingdings" w:cs="Wingdings"/>
              </w:rPr>
              <w:t>ü</w:t>
            </w:r>
          </w:p>
        </w:tc>
        <w:tc>
          <w:tcPr>
            <w:tcW w:w="1417" w:type="dxa"/>
            <w:vAlign w:val="center"/>
          </w:tcPr>
          <w:p w14:paraId="187904C5" w14:textId="77777777" w:rsidR="00F10CF0" w:rsidRPr="00F224D2" w:rsidRDefault="00F10CF0" w:rsidP="00B97E79">
            <w:r w:rsidRPr="00F224D2">
              <w:t>–</w:t>
            </w:r>
          </w:p>
        </w:tc>
      </w:tr>
      <w:tr w:rsidR="00F10CF0" w:rsidRPr="00F224D2" w14:paraId="08F996ED" w14:textId="77777777" w:rsidTr="006F1BBE">
        <w:trPr>
          <w:trHeight w:val="187"/>
          <w:jc w:val="center"/>
        </w:trPr>
        <w:tc>
          <w:tcPr>
            <w:tcW w:w="1413" w:type="dxa"/>
            <w:vMerge/>
          </w:tcPr>
          <w:p w14:paraId="4B17F68B" w14:textId="77777777" w:rsidR="00F10CF0" w:rsidRPr="00F224D2" w:rsidRDefault="00F10CF0" w:rsidP="00B97E79"/>
        </w:tc>
        <w:tc>
          <w:tcPr>
            <w:tcW w:w="2977" w:type="dxa"/>
          </w:tcPr>
          <w:p w14:paraId="715A176C" w14:textId="77777777" w:rsidR="00F10CF0" w:rsidRPr="00F224D2" w:rsidRDefault="00F10CF0" w:rsidP="00B97E79">
            <w:r w:rsidRPr="00F224D2">
              <w:t>Pancreatitis</w:t>
            </w:r>
          </w:p>
        </w:tc>
        <w:tc>
          <w:tcPr>
            <w:tcW w:w="993" w:type="dxa"/>
            <w:vAlign w:val="center"/>
          </w:tcPr>
          <w:p w14:paraId="28417DC7" w14:textId="77777777" w:rsidR="00F10CF0" w:rsidRPr="00F224D2" w:rsidRDefault="00F10CF0" w:rsidP="00B97E79">
            <w:r w:rsidRPr="00F224D2">
              <w:rPr>
                <w:rFonts w:ascii="Wingdings" w:eastAsia="Wingdings" w:hAnsi="Wingdings" w:cs="Wingdings"/>
              </w:rPr>
              <w:t>ü</w:t>
            </w:r>
          </w:p>
        </w:tc>
        <w:tc>
          <w:tcPr>
            <w:tcW w:w="1275" w:type="dxa"/>
            <w:vAlign w:val="center"/>
          </w:tcPr>
          <w:p w14:paraId="7382F25D" w14:textId="77777777" w:rsidR="00F10CF0" w:rsidRPr="00F224D2" w:rsidRDefault="00F10CF0" w:rsidP="00B97E79">
            <w:r w:rsidRPr="00F224D2">
              <w:t>–</w:t>
            </w:r>
          </w:p>
        </w:tc>
        <w:tc>
          <w:tcPr>
            <w:tcW w:w="992" w:type="dxa"/>
            <w:gridSpan w:val="2"/>
            <w:vAlign w:val="center"/>
          </w:tcPr>
          <w:p w14:paraId="0198C709" w14:textId="77777777" w:rsidR="00F10CF0" w:rsidRPr="00F224D2" w:rsidRDefault="00F10CF0" w:rsidP="00B97E79">
            <w:r w:rsidRPr="00F224D2">
              <w:rPr>
                <w:rFonts w:ascii="Wingdings" w:eastAsia="Wingdings" w:hAnsi="Wingdings" w:cs="Wingdings"/>
              </w:rPr>
              <w:t>ü</w:t>
            </w:r>
          </w:p>
        </w:tc>
        <w:tc>
          <w:tcPr>
            <w:tcW w:w="1417" w:type="dxa"/>
            <w:vAlign w:val="center"/>
          </w:tcPr>
          <w:p w14:paraId="5D185173" w14:textId="77777777" w:rsidR="00F10CF0" w:rsidRPr="00F224D2" w:rsidRDefault="00F10CF0" w:rsidP="00B97E79">
            <w:r w:rsidRPr="00F224D2">
              <w:t>–</w:t>
            </w:r>
          </w:p>
        </w:tc>
      </w:tr>
      <w:tr w:rsidR="00F10CF0" w:rsidRPr="00F224D2" w14:paraId="37B58C29" w14:textId="77777777" w:rsidTr="006F1BBE">
        <w:trPr>
          <w:trHeight w:val="159"/>
          <w:jc w:val="center"/>
        </w:trPr>
        <w:tc>
          <w:tcPr>
            <w:tcW w:w="1413" w:type="dxa"/>
            <w:vMerge w:val="restart"/>
          </w:tcPr>
          <w:p w14:paraId="6A1FC17C" w14:textId="77777777" w:rsidR="00F10CF0" w:rsidRPr="00F224D2" w:rsidRDefault="00F10CF0" w:rsidP="00B97E79">
            <w:r w:rsidRPr="00F224D2">
              <w:t>Important potential risks</w:t>
            </w:r>
          </w:p>
        </w:tc>
        <w:tc>
          <w:tcPr>
            <w:tcW w:w="2977" w:type="dxa"/>
          </w:tcPr>
          <w:p w14:paraId="5F4EA583" w14:textId="77777777" w:rsidR="00F10CF0" w:rsidRPr="00F224D2" w:rsidRDefault="00F10CF0" w:rsidP="00B97E79">
            <w:r w:rsidRPr="00F224D2">
              <w:t>Renal dysfunction</w:t>
            </w:r>
          </w:p>
        </w:tc>
        <w:tc>
          <w:tcPr>
            <w:tcW w:w="993" w:type="dxa"/>
            <w:vAlign w:val="center"/>
          </w:tcPr>
          <w:p w14:paraId="673068E8" w14:textId="77777777" w:rsidR="00F10CF0" w:rsidRPr="00F224D2" w:rsidRDefault="00F10CF0" w:rsidP="00B97E79">
            <w:r w:rsidRPr="00F224D2">
              <w:rPr>
                <w:rFonts w:ascii="Wingdings" w:eastAsia="Wingdings" w:hAnsi="Wingdings" w:cs="Wingdings"/>
              </w:rPr>
              <w:t>ü</w:t>
            </w:r>
          </w:p>
        </w:tc>
        <w:tc>
          <w:tcPr>
            <w:tcW w:w="1275" w:type="dxa"/>
            <w:vAlign w:val="center"/>
          </w:tcPr>
          <w:p w14:paraId="47356FB6" w14:textId="77777777" w:rsidR="00F10CF0" w:rsidRPr="00F224D2" w:rsidRDefault="00F10CF0" w:rsidP="00B97E79">
            <w:r w:rsidRPr="00F224D2">
              <w:t>–</w:t>
            </w:r>
          </w:p>
        </w:tc>
        <w:tc>
          <w:tcPr>
            <w:tcW w:w="992" w:type="dxa"/>
            <w:gridSpan w:val="2"/>
            <w:vAlign w:val="center"/>
          </w:tcPr>
          <w:p w14:paraId="680B7461" w14:textId="77777777" w:rsidR="00F10CF0" w:rsidRPr="00F224D2" w:rsidRDefault="00F10CF0" w:rsidP="00B97E79">
            <w:r w:rsidRPr="00F224D2">
              <w:rPr>
                <w:rFonts w:ascii="Wingdings" w:eastAsia="Wingdings" w:hAnsi="Wingdings" w:cs="Wingdings"/>
              </w:rPr>
              <w:t>ü</w:t>
            </w:r>
          </w:p>
        </w:tc>
        <w:tc>
          <w:tcPr>
            <w:tcW w:w="1417" w:type="dxa"/>
            <w:vAlign w:val="center"/>
          </w:tcPr>
          <w:p w14:paraId="1A7C9039" w14:textId="77777777" w:rsidR="00F10CF0" w:rsidRPr="00F224D2" w:rsidRDefault="00F10CF0" w:rsidP="00B97E79">
            <w:r w:rsidRPr="00F224D2">
              <w:t>–</w:t>
            </w:r>
          </w:p>
        </w:tc>
      </w:tr>
      <w:tr w:rsidR="00F10CF0" w:rsidRPr="00F224D2" w14:paraId="29DA6B8B" w14:textId="77777777" w:rsidTr="006F1BBE">
        <w:trPr>
          <w:trHeight w:val="122"/>
          <w:jc w:val="center"/>
        </w:trPr>
        <w:tc>
          <w:tcPr>
            <w:tcW w:w="1413" w:type="dxa"/>
            <w:vMerge/>
          </w:tcPr>
          <w:p w14:paraId="4ACED63D" w14:textId="77777777" w:rsidR="00F10CF0" w:rsidRPr="00F224D2" w:rsidRDefault="00F10CF0" w:rsidP="00B97E79"/>
        </w:tc>
        <w:tc>
          <w:tcPr>
            <w:tcW w:w="2977" w:type="dxa"/>
          </w:tcPr>
          <w:p w14:paraId="7BFDB7BA" w14:textId="77777777" w:rsidR="00F10CF0" w:rsidRPr="00F224D2" w:rsidRDefault="00F10CF0" w:rsidP="00B97E79">
            <w:r w:rsidRPr="00F224D2">
              <w:t>Photosensitivity</w:t>
            </w:r>
          </w:p>
        </w:tc>
        <w:tc>
          <w:tcPr>
            <w:tcW w:w="993" w:type="dxa"/>
            <w:vAlign w:val="center"/>
          </w:tcPr>
          <w:p w14:paraId="4F7E450B" w14:textId="77777777" w:rsidR="00F10CF0" w:rsidRPr="00F224D2" w:rsidRDefault="00F10CF0" w:rsidP="00B97E79">
            <w:r w:rsidRPr="00F224D2">
              <w:rPr>
                <w:rFonts w:ascii="Wingdings" w:eastAsia="Wingdings" w:hAnsi="Wingdings" w:cs="Wingdings"/>
              </w:rPr>
              <w:t>ü</w:t>
            </w:r>
          </w:p>
        </w:tc>
        <w:tc>
          <w:tcPr>
            <w:tcW w:w="1275" w:type="dxa"/>
            <w:vAlign w:val="center"/>
          </w:tcPr>
          <w:p w14:paraId="3A2B952E" w14:textId="77777777" w:rsidR="00F10CF0" w:rsidRPr="00F224D2" w:rsidRDefault="00F10CF0" w:rsidP="00B97E79">
            <w:r w:rsidRPr="00F224D2">
              <w:t>–</w:t>
            </w:r>
          </w:p>
        </w:tc>
        <w:tc>
          <w:tcPr>
            <w:tcW w:w="992" w:type="dxa"/>
            <w:gridSpan w:val="2"/>
            <w:vAlign w:val="center"/>
          </w:tcPr>
          <w:p w14:paraId="3506EBEA" w14:textId="77777777" w:rsidR="00F10CF0" w:rsidRPr="00F224D2" w:rsidRDefault="00F10CF0" w:rsidP="00B97E79">
            <w:r w:rsidRPr="00F224D2">
              <w:rPr>
                <w:rFonts w:ascii="Wingdings" w:eastAsia="Wingdings" w:hAnsi="Wingdings" w:cs="Wingdings"/>
              </w:rPr>
              <w:t>ü</w:t>
            </w:r>
          </w:p>
        </w:tc>
        <w:tc>
          <w:tcPr>
            <w:tcW w:w="1417" w:type="dxa"/>
            <w:vAlign w:val="center"/>
          </w:tcPr>
          <w:p w14:paraId="6595408E" w14:textId="77777777" w:rsidR="00F10CF0" w:rsidRPr="00F224D2" w:rsidRDefault="00F10CF0" w:rsidP="00B97E79">
            <w:r w:rsidRPr="00F224D2">
              <w:t>–</w:t>
            </w:r>
          </w:p>
        </w:tc>
      </w:tr>
      <w:tr w:rsidR="00F10CF0" w:rsidRPr="00F224D2" w14:paraId="6DAEFEF7" w14:textId="77777777" w:rsidTr="006F1BBE">
        <w:trPr>
          <w:trHeight w:val="112"/>
          <w:jc w:val="center"/>
        </w:trPr>
        <w:tc>
          <w:tcPr>
            <w:tcW w:w="1413" w:type="dxa"/>
            <w:vMerge/>
          </w:tcPr>
          <w:p w14:paraId="3B5C72D0" w14:textId="77777777" w:rsidR="00F10CF0" w:rsidRPr="00F224D2" w:rsidRDefault="00F10CF0" w:rsidP="00B97E79"/>
        </w:tc>
        <w:tc>
          <w:tcPr>
            <w:tcW w:w="2977" w:type="dxa"/>
          </w:tcPr>
          <w:p w14:paraId="64AD5BB2" w14:textId="77777777" w:rsidR="00F10CF0" w:rsidRPr="00F224D2" w:rsidRDefault="00F10CF0" w:rsidP="00B97E79">
            <w:r w:rsidRPr="00F224D2">
              <w:t>CNS toxicity</w:t>
            </w:r>
          </w:p>
        </w:tc>
        <w:tc>
          <w:tcPr>
            <w:tcW w:w="993" w:type="dxa"/>
            <w:vAlign w:val="center"/>
          </w:tcPr>
          <w:p w14:paraId="69A3961A" w14:textId="77777777" w:rsidR="00F10CF0" w:rsidRPr="00F224D2" w:rsidRDefault="00F10CF0" w:rsidP="00B97E79">
            <w:pPr>
              <w:rPr>
                <w:color w:val="7030A0"/>
              </w:rPr>
            </w:pPr>
            <w:r w:rsidRPr="00F224D2">
              <w:rPr>
                <w:rFonts w:ascii="Wingdings" w:eastAsia="Wingdings" w:hAnsi="Wingdings" w:cs="Wingdings"/>
              </w:rPr>
              <w:t>ü</w:t>
            </w:r>
          </w:p>
        </w:tc>
        <w:tc>
          <w:tcPr>
            <w:tcW w:w="1275" w:type="dxa"/>
            <w:vAlign w:val="center"/>
          </w:tcPr>
          <w:p w14:paraId="43C24680" w14:textId="77777777" w:rsidR="00F10CF0" w:rsidRPr="00F224D2" w:rsidRDefault="00F10CF0" w:rsidP="00B97E79">
            <w:r w:rsidRPr="00F224D2">
              <w:t>–</w:t>
            </w:r>
          </w:p>
        </w:tc>
        <w:tc>
          <w:tcPr>
            <w:tcW w:w="992" w:type="dxa"/>
            <w:gridSpan w:val="2"/>
            <w:vAlign w:val="center"/>
          </w:tcPr>
          <w:p w14:paraId="0F177B4A" w14:textId="77777777" w:rsidR="00F10CF0" w:rsidRPr="00F224D2" w:rsidRDefault="00F10CF0" w:rsidP="00B97E79">
            <w:r w:rsidRPr="00F224D2">
              <w:t>–</w:t>
            </w:r>
          </w:p>
        </w:tc>
        <w:tc>
          <w:tcPr>
            <w:tcW w:w="1417" w:type="dxa"/>
            <w:vAlign w:val="center"/>
          </w:tcPr>
          <w:p w14:paraId="12E170BF" w14:textId="77777777" w:rsidR="00F10CF0" w:rsidRPr="00F224D2" w:rsidRDefault="00F10CF0" w:rsidP="00B97E79">
            <w:r w:rsidRPr="00F224D2">
              <w:t>–</w:t>
            </w:r>
          </w:p>
        </w:tc>
      </w:tr>
      <w:tr w:rsidR="00F10CF0" w:rsidRPr="00F224D2" w14:paraId="06EBD9B8" w14:textId="77777777" w:rsidTr="006F1BBE">
        <w:trPr>
          <w:trHeight w:val="429"/>
          <w:jc w:val="center"/>
        </w:trPr>
        <w:tc>
          <w:tcPr>
            <w:tcW w:w="1413" w:type="dxa"/>
          </w:tcPr>
          <w:p w14:paraId="6D7830AE" w14:textId="77777777" w:rsidR="00F10CF0" w:rsidRPr="00F224D2" w:rsidRDefault="00F10CF0" w:rsidP="00B97E79">
            <w:r w:rsidRPr="00F224D2">
              <w:t>Missing information</w:t>
            </w:r>
          </w:p>
        </w:tc>
        <w:tc>
          <w:tcPr>
            <w:tcW w:w="2977" w:type="dxa"/>
          </w:tcPr>
          <w:p w14:paraId="36F0733B" w14:textId="77777777" w:rsidR="00F10CF0" w:rsidRPr="00F224D2" w:rsidRDefault="00F10CF0" w:rsidP="00B97E79">
            <w:r w:rsidRPr="00F224D2">
              <w:t>None</w:t>
            </w:r>
          </w:p>
        </w:tc>
        <w:tc>
          <w:tcPr>
            <w:tcW w:w="993" w:type="dxa"/>
            <w:vAlign w:val="center"/>
          </w:tcPr>
          <w:p w14:paraId="41816730" w14:textId="77777777" w:rsidR="00F10CF0" w:rsidRPr="00F224D2" w:rsidRDefault="00F10CF0" w:rsidP="00B97E79">
            <w:r w:rsidRPr="00F224D2">
              <w:t>–</w:t>
            </w:r>
          </w:p>
        </w:tc>
        <w:tc>
          <w:tcPr>
            <w:tcW w:w="1275" w:type="dxa"/>
            <w:vAlign w:val="center"/>
          </w:tcPr>
          <w:p w14:paraId="1C608497" w14:textId="77777777" w:rsidR="00F10CF0" w:rsidRPr="00F224D2" w:rsidRDefault="00F10CF0" w:rsidP="00B97E79">
            <w:r w:rsidRPr="00F224D2">
              <w:t>–</w:t>
            </w:r>
          </w:p>
        </w:tc>
        <w:tc>
          <w:tcPr>
            <w:tcW w:w="992" w:type="dxa"/>
            <w:gridSpan w:val="2"/>
            <w:vAlign w:val="center"/>
          </w:tcPr>
          <w:p w14:paraId="3DCB5AC4" w14:textId="77777777" w:rsidR="00F10CF0" w:rsidRPr="00F224D2" w:rsidRDefault="00F10CF0" w:rsidP="00B97E79">
            <w:r w:rsidRPr="00F224D2">
              <w:t>–</w:t>
            </w:r>
          </w:p>
        </w:tc>
        <w:tc>
          <w:tcPr>
            <w:tcW w:w="1417" w:type="dxa"/>
            <w:vAlign w:val="center"/>
          </w:tcPr>
          <w:p w14:paraId="3D65D6BD" w14:textId="77777777" w:rsidR="00F10CF0" w:rsidRPr="00F224D2" w:rsidRDefault="00F10CF0" w:rsidP="00B97E79">
            <w:r w:rsidRPr="00F224D2">
              <w:t>–</w:t>
            </w:r>
          </w:p>
        </w:tc>
      </w:tr>
    </w:tbl>
    <w:p w14:paraId="74A4F87F" w14:textId="77777777" w:rsidR="00C22214" w:rsidRDefault="00C22214" w:rsidP="00C22214">
      <w:pPr>
        <w:pStyle w:val="Heading3"/>
      </w:pPr>
      <w:bookmarkStart w:id="62" w:name="_Toc103679299"/>
      <w:bookmarkStart w:id="63" w:name="_Toc234928957"/>
      <w:r>
        <w:lastRenderedPageBreak/>
        <w:t>Risk-benefit analysis</w:t>
      </w:r>
      <w:bookmarkEnd w:id="59"/>
      <w:bookmarkEnd w:id="60"/>
      <w:bookmarkEnd w:id="62"/>
      <w:bookmarkEnd w:id="63"/>
    </w:p>
    <w:p w14:paraId="5F13E6DF" w14:textId="77777777" w:rsidR="00184587" w:rsidRDefault="00184587" w:rsidP="00184587">
      <w:bookmarkStart w:id="64" w:name="_Toc247691532"/>
      <w:bookmarkStart w:id="65" w:name="_Toc314842516"/>
      <w:r>
        <w:t xml:space="preserve">Patients with MET∆ex14 NSCLC have only one targeted product, </w:t>
      </w:r>
      <w:proofErr w:type="spellStart"/>
      <w:r>
        <w:t>tepotinib</w:t>
      </w:r>
      <w:proofErr w:type="spellEnd"/>
      <w:r>
        <w:t xml:space="preserve">, currently available in Australia. This population is clinically challenging, primarily due to older age (median 73 years) with associated higher likelihood of overall frailty and the presence of comorbidities. The proposed registration of capmatinib would offer physicians another choice to individualise therapy for their patients. Additionally, it would bring Australia into alignment with other major markets where both capmatinib and </w:t>
      </w:r>
      <w:proofErr w:type="spellStart"/>
      <w:r>
        <w:t>tepotinib</w:t>
      </w:r>
      <w:proofErr w:type="spellEnd"/>
      <w:r>
        <w:t xml:space="preserve"> are available.</w:t>
      </w:r>
    </w:p>
    <w:p w14:paraId="4DA98287" w14:textId="77777777" w:rsidR="00184587" w:rsidRDefault="00184587" w:rsidP="00184587">
      <w:pPr>
        <w:pStyle w:val="Heading4"/>
      </w:pPr>
      <w:bookmarkStart w:id="66" w:name="_Toc234928958"/>
      <w:r>
        <w:t>Clinical evidence</w:t>
      </w:r>
      <w:bookmarkEnd w:id="66"/>
    </w:p>
    <w:p w14:paraId="7B014750" w14:textId="17A0238F" w:rsidR="00184587" w:rsidRDefault="00184587" w:rsidP="00184587">
      <w:r>
        <w:t>The trial population of pivotal study A2201 is sufficiently similar to the Australian landscape such that the external generalisability of this study to treatment-naïve and treatment-experienced adults with locally advanced or metastatic MET∆ex14 NSCLC in Australia is acceptable.</w:t>
      </w:r>
    </w:p>
    <w:p w14:paraId="7B19B2D5" w14:textId="40ED52C0" w:rsidR="00184587" w:rsidRDefault="00184587" w:rsidP="00184587">
      <w:r>
        <w:t>In study A2201, the prespecified clinically meaningful thresholds for the primary endpoint in patients with MET∆ex14 NSCLC were met (Table 4). The ORRs by BIRC were 68.3% in treatment naïve patients, and 44.0% in pre-treated patients. Supporting trials, including real world evidence, broadly support the efficacy demonstrated in pivotal study A2201.</w:t>
      </w:r>
    </w:p>
    <w:p w14:paraId="23EE8F70" w14:textId="77777777" w:rsidR="00184587" w:rsidRDefault="00184587" w:rsidP="00184587">
      <w:r>
        <w:t xml:space="preserve">The safety profile of capmatinib in the proposed population is well characterised in the submitted clinical trials, real world evidence, and post-market pharmacovigilance. </w:t>
      </w:r>
    </w:p>
    <w:p w14:paraId="1201917C" w14:textId="0732B639" w:rsidR="00184587" w:rsidRDefault="00184587" w:rsidP="00184587">
      <w:r>
        <w:t xml:space="preserve">The primary limitation of Study A2201 is the absence of a control group which prevents meaningful interpretation of time-to-event endpoints including </w:t>
      </w:r>
      <w:r w:rsidR="00337F87">
        <w:t>overall survival a</w:t>
      </w:r>
      <w:r>
        <w:t xml:space="preserve">nd </w:t>
      </w:r>
      <w:r w:rsidR="00337F87">
        <w:t xml:space="preserve">progression-free </w:t>
      </w:r>
      <w:r w:rsidR="00B97E79">
        <w:t>survival and</w:t>
      </w:r>
      <w:r>
        <w:t xml:space="preserve"> doesn’t allow direct comparison with current standard of care treatments. The phase 3 randomised, controlled study A2301 was planned and commenced, however, unforeseen changes in the treatment landscape led to recruitment difficulties and loss of clinical equipoise. Therefore, the sponsor decided to permanently halt recruitment to the controlled trial. Importantly, the early study closure was not driven by any safety concerns. Conducting randomised, controlled studies in rare diseases such as MET∆ex14 NSCLC is generally acknowledged to be challenging.</w:t>
      </w:r>
    </w:p>
    <w:p w14:paraId="6136F4B2" w14:textId="77777777" w:rsidR="00184587" w:rsidRDefault="00184587" w:rsidP="00184587">
      <w:r>
        <w:t xml:space="preserve">The registration of </w:t>
      </w:r>
      <w:proofErr w:type="spellStart"/>
      <w:r>
        <w:t>tepotinib</w:t>
      </w:r>
      <w:proofErr w:type="spellEnd"/>
      <w:r>
        <w:t xml:space="preserve"> for the treatment of adults with MET∆ex14 NSCLC, the same population proposed for capmatinib, was supported by a single-arm, open-label, multicentre study (VISION) with primary endpoint of ORR2.</w:t>
      </w:r>
    </w:p>
    <w:p w14:paraId="4D32B449" w14:textId="5450E457" w:rsidR="00184587" w:rsidRDefault="00184587" w:rsidP="00337F87">
      <w:r>
        <w:t xml:space="preserve">Overall, </w:t>
      </w:r>
      <w:r w:rsidR="00337F87">
        <w:t>the</w:t>
      </w:r>
      <w:r>
        <w:t xml:space="preserve"> submitted dossier of clinical data supporting this application for registration of capmatinib is acceptable considering relevant clinical and regulatory factors</w:t>
      </w:r>
      <w:r w:rsidR="00337F87">
        <w:t xml:space="preserve"> and the </w:t>
      </w:r>
      <w:r>
        <w:t>safety and efficacy of capmatinib have been established.</w:t>
      </w:r>
    </w:p>
    <w:p w14:paraId="55D26A09" w14:textId="77777777" w:rsidR="00184587" w:rsidRDefault="00184587" w:rsidP="00337F87">
      <w:pPr>
        <w:pStyle w:val="Heading4"/>
      </w:pPr>
      <w:bookmarkStart w:id="67" w:name="_Toc234928959"/>
      <w:r>
        <w:t>Companion diagnostic testing</w:t>
      </w:r>
      <w:bookmarkEnd w:id="67"/>
    </w:p>
    <w:p w14:paraId="043ACA18" w14:textId="443A59E1" w:rsidR="00184587" w:rsidRDefault="00184587" w:rsidP="00184587">
      <w:r>
        <w:t>NSCLC tissue testing for clinically relevant molecular drivers, including MET exon 14 skipping mutations, is available and funded</w:t>
      </w:r>
      <w:r w:rsidR="00253661">
        <w:fldChar w:fldCharType="begin"/>
      </w:r>
      <w:r w:rsidR="00253661">
        <w:instrText xml:space="preserve"> NOTEREF _Ref233204131 \f \h </w:instrText>
      </w:r>
      <w:r w:rsidR="00253661">
        <w:fldChar w:fldCharType="separate"/>
      </w:r>
      <w:r w:rsidR="00253661" w:rsidRPr="00253661">
        <w:rPr>
          <w:rStyle w:val="FootnoteReference"/>
        </w:rPr>
        <w:t>15</w:t>
      </w:r>
      <w:r w:rsidR="00253661">
        <w:fldChar w:fldCharType="end"/>
      </w:r>
      <w:r w:rsidR="00253661" w:rsidRPr="00253661">
        <w:rPr>
          <w:vertAlign w:val="superscript"/>
        </w:rPr>
        <w:t>,</w:t>
      </w:r>
      <w:r w:rsidR="00253661">
        <w:fldChar w:fldCharType="begin"/>
      </w:r>
      <w:r w:rsidR="00253661">
        <w:instrText xml:space="preserve"> NOTEREF _Ref233204135 \f \h </w:instrText>
      </w:r>
      <w:r w:rsidR="00253661">
        <w:fldChar w:fldCharType="separate"/>
      </w:r>
      <w:r w:rsidR="00253661" w:rsidRPr="00253661">
        <w:rPr>
          <w:rStyle w:val="FootnoteReference"/>
        </w:rPr>
        <w:t>16</w:t>
      </w:r>
      <w:r w:rsidR="00253661">
        <w:fldChar w:fldCharType="end"/>
      </w:r>
      <w:r>
        <w:t xml:space="preserve">, in Australia. It is expected that suitability assessments for capmatinib treatment will utilise the same testing pathways as for </w:t>
      </w:r>
      <w:proofErr w:type="spellStart"/>
      <w:r>
        <w:t>tepotinib</w:t>
      </w:r>
      <w:proofErr w:type="spellEnd"/>
      <w:r>
        <w:t xml:space="preserve">. The registration of </w:t>
      </w:r>
      <w:proofErr w:type="spellStart"/>
      <w:r>
        <w:t>tepotinib</w:t>
      </w:r>
      <w:proofErr w:type="spellEnd"/>
      <w:r>
        <w:t xml:space="preserve"> occurred prior to the latest TGA CDx guidance</w:t>
      </w:r>
      <w:r w:rsidR="00C63709">
        <w:fldChar w:fldCharType="begin"/>
      </w:r>
      <w:r w:rsidR="00C63709">
        <w:instrText xml:space="preserve"> NOTEREF _Ref233204179 \f \h </w:instrText>
      </w:r>
      <w:r w:rsidR="00C63709">
        <w:fldChar w:fldCharType="separate"/>
      </w:r>
      <w:r w:rsidR="00C63709" w:rsidRPr="00C63709">
        <w:rPr>
          <w:rStyle w:val="FootnoteReference"/>
        </w:rPr>
        <w:t>17</w:t>
      </w:r>
      <w:r w:rsidR="00C63709">
        <w:fldChar w:fldCharType="end"/>
      </w:r>
      <w:r>
        <w:t xml:space="preserve"> and, therefore, a companion diagnostic test for </w:t>
      </w:r>
      <w:proofErr w:type="spellStart"/>
      <w:r>
        <w:t>tepotinib</w:t>
      </w:r>
      <w:proofErr w:type="spellEnd"/>
      <w:r>
        <w:t xml:space="preserve"> is not currently included on the TGA CDx list and comparability</w:t>
      </w:r>
      <w:r w:rsidR="00613034">
        <w:t xml:space="preserve"> </w:t>
      </w:r>
      <w:r>
        <w:t xml:space="preserve">assessments/justification between that testing and the pivotal clinical trial testing have not previously been considered by TGA. That step will need to occur between the funded testing and the capmatinib clinical trial assay prior to including such a test on the TGA CDx list. </w:t>
      </w:r>
    </w:p>
    <w:p w14:paraId="7A5F268B" w14:textId="77777777" w:rsidR="00B97E79" w:rsidRDefault="00B97E79" w:rsidP="00184587"/>
    <w:p w14:paraId="5E67A0A2" w14:textId="3F855D75" w:rsidR="00184587" w:rsidRDefault="00184587" w:rsidP="00184587">
      <w:r>
        <w:lastRenderedPageBreak/>
        <w:t>However, given the nature of the MET-mutation testing for NSCLC tissue (funded, on market, in use for many years for companion diagnostic testing for access to a similar medicine), it is considered low risk to proceed with a registration decision for capmatinib, assuming this testing is likely to be used as companion testing for capmatinib in Australia until such time as a TGA-approved CDx or NATA-accredited and TGA-notified CDx becomes available.</w:t>
      </w:r>
    </w:p>
    <w:p w14:paraId="488A3D3E" w14:textId="77777777" w:rsidR="00184587" w:rsidRDefault="00184587" w:rsidP="00C63709">
      <w:pPr>
        <w:pStyle w:val="Heading4"/>
      </w:pPr>
      <w:bookmarkStart w:id="68" w:name="_Toc234928960"/>
      <w:r>
        <w:t>Uncertainties</w:t>
      </w:r>
      <w:bookmarkEnd w:id="68"/>
    </w:p>
    <w:p w14:paraId="7A5C5DEB" w14:textId="77777777" w:rsidR="00184587" w:rsidRDefault="00184587" w:rsidP="00C63709">
      <w:pPr>
        <w:pStyle w:val="Heading5"/>
      </w:pPr>
      <w:r>
        <w:t>Dose optimisation</w:t>
      </w:r>
    </w:p>
    <w:p w14:paraId="448BFDE0" w14:textId="114A7C49" w:rsidR="00184587" w:rsidRDefault="00184587" w:rsidP="00184587">
      <w:r>
        <w:t xml:space="preserve">There is limited clinical information regarding the efficacy and safety of capmatinib tablets at doses other than the 400 mg BD dose selected for pivotal phase 2 study A2201. The </w:t>
      </w:r>
      <w:r w:rsidR="00FE00DD">
        <w:t>exposure-response</w:t>
      </w:r>
      <w:r>
        <w:t xml:space="preserve"> analyses suggest that further investigation of different capmatinib dosing might have been desirable with the potential to offer similar efficacy with a lower frequency of AEs such as nausea/vomiting, or pancreatic enzyme abnormalities. This might have benefitted the proposed real-world patient population who have a median age &gt;70 yrs, advanced disease and potential for multiple comorbidities. Study A2201 excluded patients with increased susceptibility to AESIs associated with capmatinib treatment.</w:t>
      </w:r>
    </w:p>
    <w:p w14:paraId="4EF68319" w14:textId="77777777" w:rsidR="00184587" w:rsidRDefault="00184587" w:rsidP="00956B2C">
      <w:pPr>
        <w:pStyle w:val="Heading5"/>
      </w:pPr>
      <w:r>
        <w:t>Place in therapy</w:t>
      </w:r>
    </w:p>
    <w:p w14:paraId="62103910" w14:textId="55C2532D" w:rsidR="00184587" w:rsidRDefault="00184587" w:rsidP="00184587">
      <w:r>
        <w:t>Optimal sequencing of MET inhibitors, including capmatinib, in NSCLC patients with MET</w:t>
      </w:r>
      <w:r w:rsidR="0082642E" w:rsidRPr="0082642E">
        <w:t>∆</w:t>
      </w:r>
      <w:r>
        <w:t>ex14 skipping mutations has not been determined; further evidence of appropriate treatment sequencing may optimise efficacy and the reduce development of resistance.</w:t>
      </w:r>
    </w:p>
    <w:p w14:paraId="6D2009F0" w14:textId="6EEC11B2" w:rsidR="001C31A1" w:rsidRPr="001C31A1" w:rsidRDefault="00956B2C" w:rsidP="00184587">
      <w:r>
        <w:t xml:space="preserve">These </w:t>
      </w:r>
      <w:r w:rsidR="00184587">
        <w:t>uncertaint</w:t>
      </w:r>
      <w:r>
        <w:t xml:space="preserve">ies do not </w:t>
      </w:r>
      <w:r w:rsidR="00184587">
        <w:t>preclude the proposed registration of capmatinib.</w:t>
      </w:r>
    </w:p>
    <w:p w14:paraId="307F236C" w14:textId="7FD19BD3" w:rsidR="00C22214" w:rsidRPr="002E238E" w:rsidRDefault="0046285C" w:rsidP="00C22214">
      <w:pPr>
        <w:pStyle w:val="Heading2"/>
      </w:pPr>
      <w:bookmarkStart w:id="69" w:name="_Toc103679300"/>
      <w:bookmarkStart w:id="70" w:name="_Toc234928961"/>
      <w:r>
        <w:t>Assessment</w:t>
      </w:r>
      <w:r w:rsidR="00190853">
        <w:t xml:space="preserve"> </w:t>
      </w:r>
      <w:r>
        <w:t>o</w:t>
      </w:r>
      <w:r w:rsidR="00C22214">
        <w:t>utcome</w:t>
      </w:r>
      <w:bookmarkEnd w:id="64"/>
      <w:bookmarkEnd w:id="65"/>
      <w:bookmarkEnd w:id="69"/>
      <w:bookmarkEnd w:id="70"/>
    </w:p>
    <w:p w14:paraId="4EF22939" w14:textId="129FACF1" w:rsidR="00C22214" w:rsidRPr="0017005C" w:rsidRDefault="00C22214" w:rsidP="0006104E">
      <w:r w:rsidRPr="0017005C">
        <w:t xml:space="preserve">Based on a review of quality, safety, and efficacy, the TGA </w:t>
      </w:r>
      <w:r w:rsidR="00B46DFB">
        <w:t>decided to</w:t>
      </w:r>
      <w:r w:rsidRPr="0017005C">
        <w:t xml:space="preserve"> regist</w:t>
      </w:r>
      <w:r w:rsidR="00B46DFB">
        <w:t>er</w:t>
      </w:r>
      <w:r w:rsidRPr="0017005C">
        <w:t xml:space="preserve"> </w:t>
      </w:r>
      <w:r w:rsidR="003C3D80">
        <w:t>Tabrecta</w:t>
      </w:r>
      <w:r w:rsidR="00956B2C">
        <w:t xml:space="preserve"> (c</w:t>
      </w:r>
      <w:r w:rsidR="00956B2C" w:rsidRPr="00956B2C">
        <w:t>apmatinib</w:t>
      </w:r>
      <w:r w:rsidR="00956B2C">
        <w:t>)</w:t>
      </w:r>
      <w:r w:rsidR="00956B2C" w:rsidRPr="00956B2C">
        <w:t xml:space="preserve"> </w:t>
      </w:r>
      <w:r w:rsidRPr="0017005C">
        <w:t>for the following indication</w:t>
      </w:r>
      <w:r w:rsidR="00956B2C">
        <w:t>:</w:t>
      </w:r>
    </w:p>
    <w:p w14:paraId="07F2153D" w14:textId="5947162B" w:rsidR="00C22214" w:rsidRPr="00BD5DBD" w:rsidRDefault="003C3D80" w:rsidP="00C151FC">
      <w:pPr>
        <w:pStyle w:val="Indication"/>
      </w:pPr>
      <w:r>
        <w:t>Tabrecta</w:t>
      </w:r>
      <w:r w:rsidR="00C151FC" w:rsidRPr="00C151FC">
        <w:t xml:space="preserve"> is indicated for the treatment of adult patients with locally advanced or</w:t>
      </w:r>
      <w:r w:rsidR="00C151FC">
        <w:t xml:space="preserve"> </w:t>
      </w:r>
      <w:r w:rsidR="00C151FC" w:rsidRPr="00C151FC">
        <w:t>metastatic non-small cell lung cancer (NSCLC) with a MET exon 14 skipping mutation</w:t>
      </w:r>
    </w:p>
    <w:p w14:paraId="0D732DA4" w14:textId="74882685" w:rsidR="00854D98" w:rsidRPr="00D23139" w:rsidRDefault="00854D98" w:rsidP="004B2938">
      <w:pPr>
        <w:pStyle w:val="Heading4"/>
      </w:pPr>
      <w:bookmarkStart w:id="71" w:name="_Toc234928962"/>
      <w:bookmarkStart w:id="72" w:name="_Toc103679301"/>
      <w:r w:rsidRPr="00D23139">
        <w:t>Specific conditions of registration</w:t>
      </w:r>
      <w:bookmarkEnd w:id="71"/>
      <w:r w:rsidRPr="00D23139">
        <w:t xml:space="preserve"> </w:t>
      </w:r>
      <w:bookmarkEnd w:id="72"/>
    </w:p>
    <w:p w14:paraId="51B77632" w14:textId="2809ACA1" w:rsidR="00C657C6" w:rsidRPr="00C657C6" w:rsidRDefault="003C3D80" w:rsidP="00C657C6">
      <w:pPr>
        <w:rPr>
          <w:szCs w:val="22"/>
        </w:rPr>
      </w:pPr>
      <w:r>
        <w:rPr>
          <w:szCs w:val="22"/>
        </w:rPr>
        <w:t>Tabrecta</w:t>
      </w:r>
      <w:r w:rsidR="00C657C6" w:rsidRPr="00C657C6">
        <w:rPr>
          <w:szCs w:val="22"/>
        </w:rPr>
        <w:t xml:space="preserve"> (</w:t>
      </w:r>
      <w:r w:rsidR="00606434">
        <w:rPr>
          <w:szCs w:val="22"/>
        </w:rPr>
        <w:t>c</w:t>
      </w:r>
      <w:r w:rsidR="00C657C6" w:rsidRPr="00C657C6">
        <w:rPr>
          <w:szCs w:val="22"/>
        </w:rPr>
        <w:t xml:space="preserve">apmatinib dihydrochloride monohydrate) is to be included in the Black Triangle Scheme. The PI and CMI for </w:t>
      </w:r>
      <w:r>
        <w:rPr>
          <w:szCs w:val="22"/>
        </w:rPr>
        <w:t>Tabrecta</w:t>
      </w:r>
      <w:r w:rsidR="00C657C6" w:rsidRPr="00C657C6">
        <w:rPr>
          <w:szCs w:val="22"/>
        </w:rPr>
        <w:t xml:space="preserve"> must include the black triangle symbol and mandatory accompanying text for five years, which starts from the date of first supply of the product.</w:t>
      </w:r>
    </w:p>
    <w:p w14:paraId="1E84B530" w14:textId="77BA7DB9" w:rsidR="00C657C6" w:rsidRPr="00C657C6" w:rsidRDefault="00C657C6" w:rsidP="00C657C6">
      <w:pPr>
        <w:rPr>
          <w:szCs w:val="22"/>
        </w:rPr>
      </w:pPr>
      <w:r w:rsidRPr="00C657C6">
        <w:rPr>
          <w:szCs w:val="22"/>
        </w:rPr>
        <w:t xml:space="preserve">The </w:t>
      </w:r>
      <w:r w:rsidR="003C3D80">
        <w:rPr>
          <w:szCs w:val="22"/>
        </w:rPr>
        <w:t>Tabrecta</w:t>
      </w:r>
      <w:r w:rsidRPr="00C657C6">
        <w:rPr>
          <w:szCs w:val="22"/>
        </w:rPr>
        <w:t xml:space="preserve"> EU-Risk Management Plan (RMP) (version 1.3, dated 25 March 2022, data lock point 30 August 2021), with Australia-Specific Annex (ASA) (version 1.0, dated 21 May 2025), included with submission PM-2025-01762-1-4, and any subsequent revisions, as agreed with the TGA will be implemented in Australia.</w:t>
      </w:r>
    </w:p>
    <w:p w14:paraId="641FA51F" w14:textId="5CB15717" w:rsidR="00C657C6" w:rsidRPr="00C657C6" w:rsidRDefault="00C657C6" w:rsidP="00C657C6">
      <w:pPr>
        <w:rPr>
          <w:szCs w:val="22"/>
        </w:rPr>
      </w:pPr>
      <w:r w:rsidRPr="00C657C6">
        <w:rPr>
          <w:szCs w:val="22"/>
        </w:rPr>
        <w:t>An obligatory component of risk management plans is routine pharmacovigilance. Routine pharmacovigilance includes the submission of periodic safety update reports (PSURs).</w:t>
      </w:r>
    </w:p>
    <w:p w14:paraId="6A4093B3" w14:textId="4A08E742" w:rsidR="00C657C6" w:rsidRPr="00C657C6" w:rsidRDefault="00C657C6" w:rsidP="00C657C6">
      <w:pPr>
        <w:rPr>
          <w:szCs w:val="22"/>
        </w:rPr>
      </w:pPr>
      <w:r w:rsidRPr="00C657C6">
        <w:rPr>
          <w:szCs w:val="22"/>
        </w:rPr>
        <w:t>Reports are to be provided in line with the current published list of EU reference dates and frequency of submission of PSURs until the period covered by such reports is not</w:t>
      </w:r>
      <w:r>
        <w:rPr>
          <w:szCs w:val="22"/>
        </w:rPr>
        <w:t xml:space="preserve"> </w:t>
      </w:r>
      <w:r w:rsidRPr="00C657C6">
        <w:rPr>
          <w:szCs w:val="22"/>
        </w:rPr>
        <w:t>less than three years from the date of this approval letter. Each report must be submitted within ninety calendar days of the data lock point for that report.</w:t>
      </w:r>
    </w:p>
    <w:p w14:paraId="7C967F1B" w14:textId="25F4B3CF" w:rsidR="00854D98" w:rsidRPr="00854D98" w:rsidRDefault="00C657C6" w:rsidP="00C657C6">
      <w:pPr>
        <w:rPr>
          <w:szCs w:val="22"/>
        </w:rPr>
      </w:pPr>
      <w:r w:rsidRPr="00C657C6">
        <w:rPr>
          <w:szCs w:val="22"/>
        </w:rPr>
        <w:lastRenderedPageBreak/>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w:t>
      </w:r>
    </w:p>
    <w:p w14:paraId="0F9C1952" w14:textId="46BD475E" w:rsidR="00BA657C" w:rsidRPr="00BA657C" w:rsidRDefault="00BA657C" w:rsidP="004B2938">
      <w:pPr>
        <w:pStyle w:val="Heading4"/>
      </w:pPr>
      <w:bookmarkStart w:id="73" w:name="_Toc234928963"/>
      <w:bookmarkStart w:id="74" w:name="_Toc196738290"/>
      <w:r w:rsidRPr="00BA657C">
        <w:t>Product Information and Consumer Medicine Information</w:t>
      </w:r>
      <w:bookmarkEnd w:id="73"/>
      <w:r w:rsidRPr="00BA657C">
        <w:t xml:space="preserve"> </w:t>
      </w:r>
      <w:bookmarkEnd w:id="74"/>
    </w:p>
    <w:p w14:paraId="5F276616" w14:textId="6667B73D" w:rsidR="004D0933" w:rsidRPr="004D0933" w:rsidRDefault="004D0933" w:rsidP="004D0933">
      <w:bookmarkStart w:id="75" w:name="_Hlk200021736"/>
      <w:r w:rsidRPr="004D0933">
        <w:t xml:space="preserve">For the most recent Product Information (PI) and Consumer Medicine Information (CMI), please refer to the TGA </w:t>
      </w:r>
      <w:hyperlink r:id="rId36" w:history="1">
        <w:r w:rsidRPr="004D0933">
          <w:rPr>
            <w:rStyle w:val="Hyperlink"/>
          </w:rPr>
          <w:t>PI/CMI search facility.</w:t>
        </w:r>
      </w:hyperlink>
    </w:p>
    <w:bookmarkEnd w:id="75"/>
    <w:p w14:paraId="40740B65" w14:textId="5819D664" w:rsidR="00C22214" w:rsidRPr="008B4DA3" w:rsidRDefault="00C22214" w:rsidP="00C22214">
      <w:pPr>
        <w:autoSpaceDE w:val="0"/>
        <w:autoSpaceDN w:val="0"/>
        <w:adjustRightInd w:val="0"/>
        <w:spacing w:after="0"/>
      </w:pPr>
    </w:p>
    <w:p w14:paraId="53357BF3" w14:textId="276457B5" w:rsidR="00C22214" w:rsidRDefault="00C22214" w:rsidP="00C22214">
      <w:pPr>
        <w:rPr>
          <w:lang w:eastAsia="ja-JP"/>
        </w:rPr>
        <w:sectPr w:rsidR="00C22214" w:rsidSect="007452E8">
          <w:headerReference w:type="default" r:id="rId37"/>
          <w:footerReference w:type="default" r:id="rId38"/>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39"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1519D7A3" w:rsidR="00F02AEC" w:rsidRPr="00215D48" w:rsidRDefault="00F02AEC">
            <w:pPr>
              <w:pStyle w:val="Address"/>
              <w:jc w:val="center"/>
              <w:rPr>
                <w:rStyle w:val="Hyperlink"/>
                <w:b/>
                <w:color w:val="auto"/>
                <w:sz w:val="22"/>
              </w:rPr>
            </w:pPr>
            <w:hyperlink r:id="rId40" w:history="1">
              <w:r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41"/>
      <w:footerReference w:type="first" r:id="rId42"/>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65EA1C" w14:textId="77777777" w:rsidR="00F813CF" w:rsidRDefault="00F813CF" w:rsidP="00F02AEC">
      <w:pPr>
        <w:spacing w:after="0" w:line="240" w:lineRule="auto"/>
      </w:pPr>
      <w:r>
        <w:separator/>
      </w:r>
    </w:p>
  </w:endnote>
  <w:endnote w:type="continuationSeparator" w:id="0">
    <w:p w14:paraId="6A655D09" w14:textId="77777777" w:rsidR="00F813CF" w:rsidRDefault="00F813CF"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Bahnschrift SemiBold SemiConden">
    <w:panose1 w:val="020B0502040204020203"/>
    <w:charset w:val="00"/>
    <w:family w:val="swiss"/>
    <w:pitch w:val="variable"/>
    <w:sig w:usb0="A00002C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A2E20" w14:textId="32DF121F" w:rsidR="007E4FF8" w:rsidRDefault="007E4FF8">
    <w:pPr>
      <w:pStyle w:val="Footer"/>
    </w:pPr>
    <w:r>
      <w:rPr>
        <w:noProof/>
      </w:rPr>
      <mc:AlternateContent>
        <mc:Choice Requires="wps">
          <w:drawing>
            <wp:anchor distT="0" distB="0" distL="0" distR="0" simplePos="0" relativeHeight="251658247" behindDoc="0" locked="0" layoutInCell="1" allowOverlap="1" wp14:anchorId="32C7110B" wp14:editId="569C8F27">
              <wp:simplePos x="635" y="635"/>
              <wp:positionH relativeFrom="page">
                <wp:align>center</wp:align>
              </wp:positionH>
              <wp:positionV relativeFrom="page">
                <wp:align>bottom</wp:align>
              </wp:positionV>
              <wp:extent cx="622300" cy="391160"/>
              <wp:effectExtent l="0" t="0" r="6350" b="0"/>
              <wp:wrapNone/>
              <wp:docPr id="177436847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6933EE99" w14:textId="0855600B"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C7110B" id="_x0000_t202" coordsize="21600,21600" o:spt="202" path="m,l,21600r21600,l21600,xe">
              <v:stroke joinstyle="miter"/>
              <v:path gradientshapeok="t" o:connecttype="rect"/>
            </v:shapetype>
            <v:shape id="Text Box 7" o:spid="_x0000_s1028" type="#_x0000_t202" alt="OFFICIAL" style="position:absolute;margin-left:0;margin-top:0;width:49pt;height:30.8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PdT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0rPh2n30J9pKUQTnx7J1cttV4LH54FEsE0LYk2&#10;PNGhDfQVh7PFWQP482/+mE+4U5SzngRTcUuK5sx8t8RH1NZo4Ghsk1Hc5p8jPHbf3QPJsKAX4WQy&#10;yYvBjKZG6F5JzsvYiELCSmpX8e1o3oeTcuk5SLVcpiSSkRNhbTdOxtIRrojly/Aq0J0BD8TUI4xq&#10;EuU73E+58aZ3y30g9BMpEdoTkGfESYKJq/NziRp/+5+yro968Qs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LoM91MNAgAAHAQA&#10;AA4AAAAAAAAAAAAAAAAALgIAAGRycy9lMm9Eb2MueG1sUEsBAi0AFAAGAAgAAAAhAIJRlNfaAAAA&#10;AwEAAA8AAAAAAAAAAAAAAAAAZwQAAGRycy9kb3ducmV2LnhtbFBLBQYAAAAABAAEAPMAAABuBQAA&#10;AAA=&#10;" filled="f" stroked="f">
              <v:textbox style="mso-fit-shape-to-text:t" inset="0,0,0,15pt">
                <w:txbxContent>
                  <w:p w14:paraId="6933EE99" w14:textId="0855600B"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DAC4767" w:rsidR="007452E8" w:rsidRDefault="007E4FF8" w:rsidP="007452E8">
          <w:pPr>
            <w:pStyle w:val="Footer"/>
          </w:pPr>
          <w:r>
            <w:rPr>
              <w:noProof/>
            </w:rPr>
            <mc:AlternateContent>
              <mc:Choice Requires="wps">
                <w:drawing>
                  <wp:anchor distT="0" distB="0" distL="0" distR="0" simplePos="0" relativeHeight="251658248" behindDoc="0" locked="0" layoutInCell="1" allowOverlap="1" wp14:anchorId="553C4243" wp14:editId="46704321">
                    <wp:simplePos x="635" y="635"/>
                    <wp:positionH relativeFrom="page">
                      <wp:align>center</wp:align>
                    </wp:positionH>
                    <wp:positionV relativeFrom="page">
                      <wp:align>bottom</wp:align>
                    </wp:positionV>
                    <wp:extent cx="622300" cy="391160"/>
                    <wp:effectExtent l="0" t="0" r="6350" b="0"/>
                    <wp:wrapNone/>
                    <wp:docPr id="973010959"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11E1F748" w14:textId="24D8435A"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3C4243" id="_x0000_t202" coordsize="21600,21600" o:spt="202" path="m,l,21600r21600,l21600,xe">
                    <v:stroke joinstyle="miter"/>
                    <v:path gradientshapeok="t" o:connecttype="rect"/>
                  </v:shapetype>
                  <v:shape id="Text Box 8" o:spid="_x0000_s1029" type="#_x0000_t202" alt="OFFICIAL" style="position:absolute;margin-left:0;margin-top:0;width:49pt;height:30.8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0Vu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2p+Tj9FuojLYVw4ts7uWqp9Vr48CyQCKZpSbTh&#10;iQ5toK84nC3OGsCff/PHfMKdopz1JJiKW1I0Z+a7JT6itkYDR2ObjOI2/xzhsfvuHkiGBb0IJ5NJ&#10;XgxmNDVC90pyXsZGFBJWUruKb0fzPpyUS89BquUyJZGMnAhru3Eylo5wRSxfhleB7gx4IKYeYVST&#10;KN/hfsqNN71b7gOhn0iJ0J6APCNOEkxcnZ9L1Pjb/5R1fdSLXwA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NezRW4NAgAAHAQA&#10;AA4AAAAAAAAAAAAAAAAALgIAAGRycy9lMm9Eb2MueG1sUEsBAi0AFAAGAAgAAAAhAIJRlNfaAAAA&#10;AwEAAA8AAAAAAAAAAAAAAAAAZwQAAGRycy9kb3ducmV2LnhtbFBLBQYAAAAABAAEAPMAAABuBQAA&#10;AAA=&#10;" filled="f" stroked="f">
                    <v:textbox style="mso-fit-shape-to-text:t" inset="0,0,0,15pt">
                      <w:txbxContent>
                        <w:p w14:paraId="11E1F748" w14:textId="24D8435A"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NUMPAGES</w:instrText>
              </w:r>
              <w:r>
                <w:fldChar w:fldCharType="separate"/>
              </w:r>
              <w:r>
                <w:rPr>
                  <w:noProof/>
                </w:rPr>
                <w:t>2</w:t>
              </w:r>
              <w: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766C74AA" w:rsidR="007452E8" w:rsidRDefault="007E4FF8" w:rsidP="007452E8">
    <w:pPr>
      <w:pStyle w:val="Footer"/>
      <w:ind w:left="-1701"/>
    </w:pPr>
    <w:r>
      <w:rPr>
        <w:noProof/>
      </w:rPr>
      <mc:AlternateContent>
        <mc:Choice Requires="wps">
          <w:drawing>
            <wp:anchor distT="0" distB="0" distL="0" distR="0" simplePos="0" relativeHeight="251658246" behindDoc="0" locked="0" layoutInCell="1" allowOverlap="1" wp14:anchorId="39C48635" wp14:editId="0BB44853">
              <wp:simplePos x="635" y="635"/>
              <wp:positionH relativeFrom="page">
                <wp:align>center</wp:align>
              </wp:positionH>
              <wp:positionV relativeFrom="page">
                <wp:align>bottom</wp:align>
              </wp:positionV>
              <wp:extent cx="622300" cy="391160"/>
              <wp:effectExtent l="0" t="0" r="6350" b="0"/>
              <wp:wrapNone/>
              <wp:docPr id="389281854"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133C04EA" w14:textId="00952F0C"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C48635" id="_x0000_t202" coordsize="21600,21600" o:spt="202" path="m,l,21600r21600,l21600,xe">
              <v:stroke joinstyle="miter"/>
              <v:path gradientshapeok="t" o:connecttype="rect"/>
            </v:shapetype>
            <v:shape id="Text Box 6" o:spid="_x0000_s1031" type="#_x0000_t202" alt="OFFICIAL" style="position:absolute;left:0;text-align:left;margin-left:0;margin-top:0;width:49pt;height:30.8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C5MOrjDgIAABwE&#10;AAAOAAAAAAAAAAAAAAAAAC4CAABkcnMvZTJvRG9jLnhtbFBLAQItABQABgAIAAAAIQCCUZTX2gAA&#10;AAMBAAAPAAAAAAAAAAAAAAAAAGgEAABkcnMvZG93bnJldi54bWxQSwUGAAAAAAQABADzAAAAbwUA&#10;AAAA&#10;" filled="f" stroked="f">
              <v:textbox style="mso-fit-shape-to-text:t" inset="0,0,0,15pt">
                <w:txbxContent>
                  <w:p w14:paraId="133C04EA" w14:textId="00952F0C"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r w:rsidR="007452E8" w:rsidRPr="002B29B2">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655"/>
      <w:gridCol w:w="1417"/>
    </w:tblGrid>
    <w:tr w:rsidR="007452E8" w:rsidRPr="004A3084" w14:paraId="6266BC33" w14:textId="77777777" w:rsidTr="00CF613A">
      <w:trPr>
        <w:trHeight w:val="423"/>
      </w:trPr>
      <w:tc>
        <w:tcPr>
          <w:tcW w:w="7655" w:type="dxa"/>
          <w:tcBorders>
            <w:top w:val="single" w:sz="4" w:space="0" w:color="auto"/>
          </w:tcBorders>
        </w:tcPr>
        <w:p w14:paraId="3C421323" w14:textId="433A9EFD" w:rsidR="007452E8" w:rsidRPr="001D3868" w:rsidRDefault="007E4FF8" w:rsidP="007452E8">
          <w:pPr>
            <w:pStyle w:val="Footer"/>
          </w:pPr>
          <w:r w:rsidRPr="001D3868">
            <w:rPr>
              <w:noProof/>
            </w:rPr>
            <mc:AlternateContent>
              <mc:Choice Requires="wps">
                <w:drawing>
                  <wp:anchor distT="0" distB="0" distL="0" distR="0" simplePos="0" relativeHeight="251658249" behindDoc="0" locked="0" layoutInCell="1" allowOverlap="1" wp14:anchorId="17DC9217" wp14:editId="6D91AF89">
                    <wp:simplePos x="0" y="0"/>
                    <wp:positionH relativeFrom="page">
                      <wp:posOffset>2541270</wp:posOffset>
                    </wp:positionH>
                    <wp:positionV relativeFrom="page">
                      <wp:posOffset>137160</wp:posOffset>
                    </wp:positionV>
                    <wp:extent cx="622300" cy="391160"/>
                    <wp:effectExtent l="0" t="0" r="6350" b="0"/>
                    <wp:wrapNone/>
                    <wp:docPr id="841974005"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15169AE7" w14:textId="1F415A19"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DC9217" id="_x0000_t202" coordsize="21600,21600" o:spt="202" path="m,l,21600r21600,l21600,xe">
                    <v:stroke joinstyle="miter"/>
                    <v:path gradientshapeok="t" o:connecttype="rect"/>
                  </v:shapetype>
                  <v:shape id="Text Box 9" o:spid="_x0000_s1033" type="#_x0000_t202" alt="OFFICIAL" style="position:absolute;margin-left:200.1pt;margin-top:10.8pt;width:49pt;height:30.8pt;z-index:251658249;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" filled="f" stroked="f">
                    <v:textbox style="mso-fit-shape-to-text:t" inset="0,0,0,15pt">
                      <w:txbxContent>
                        <w:p w14:paraId="15169AE7" w14:textId="1F415A19"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r w:rsidR="007452E8" w:rsidRPr="001D3868">
            <w:t xml:space="preserve">AusPAR - </w:t>
          </w:r>
          <w:r w:rsidR="006E4D08" w:rsidRPr="001D3868">
            <w:t xml:space="preserve">Tabrecta </w:t>
          </w:r>
          <w:r w:rsidR="007452E8" w:rsidRPr="001D3868">
            <w:t xml:space="preserve">- </w:t>
          </w:r>
          <w:r w:rsidR="006E4D08" w:rsidRPr="001D3868">
            <w:t>Capmatinib</w:t>
          </w:r>
          <w:r w:rsidR="007452E8" w:rsidRPr="001D3868">
            <w:t xml:space="preserve"> </w:t>
          </w:r>
          <w:r w:rsidR="008C754C" w:rsidRPr="001D3868">
            <w:t>-</w:t>
          </w:r>
          <w:r w:rsidR="007452E8" w:rsidRPr="001D3868">
            <w:t xml:space="preserve"> </w:t>
          </w:r>
          <w:r w:rsidR="003B0BC5" w:rsidRPr="001D3868">
            <w:t>Novartis Pharmaceuticals Australia Pty Ltd</w:t>
          </w:r>
          <w:r w:rsidR="006F15CB" w:rsidRPr="001D3868">
            <w:t xml:space="preserve"> </w:t>
          </w:r>
          <w:r w:rsidR="007452E8" w:rsidRPr="001D3868">
            <w:t xml:space="preserve">- </w:t>
          </w:r>
          <w:r w:rsidR="00CF613A" w:rsidRPr="001D3868">
            <w:t>PM-2025-01762-1-4</w:t>
          </w:r>
          <w:r w:rsidR="007452E8" w:rsidRPr="001D3868">
            <w:br/>
            <w:t>Date of Finalisation</w:t>
          </w:r>
          <w:r w:rsidR="001D3868" w:rsidRPr="001D3868">
            <w:t>: 13 July 2026</w:t>
          </w:r>
        </w:p>
      </w:tc>
      <w:tc>
        <w:tcPr>
          <w:tcW w:w="1417"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fldChar w:fldCharType="begin"/>
              </w:r>
              <w:r>
                <w:instrText>NUMPAGES</w:instrText>
              </w:r>
              <w:r>
                <w:fldChar w:fldCharType="separate"/>
              </w:r>
              <w:r w:rsidR="006D6B44">
                <w:rPr>
                  <w:noProof/>
                </w:rPr>
                <w:t>17</w:t>
              </w:r>
              <w: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26045BC3" w:rsidR="007452E8" w:rsidRPr="008E3C43" w:rsidRDefault="007E4FF8" w:rsidP="007452E8">
    <w:pPr>
      <w:pStyle w:val="Footer"/>
    </w:pPr>
    <w:r>
      <w:rPr>
        <w:noProof/>
      </w:rPr>
      <mc:AlternateContent>
        <mc:Choice Requires="wps">
          <w:drawing>
            <wp:anchor distT="0" distB="0" distL="0" distR="0" simplePos="0" relativeHeight="251658250" behindDoc="0" locked="0" layoutInCell="1" allowOverlap="1" wp14:anchorId="104118EA" wp14:editId="6897F4AA">
              <wp:simplePos x="635" y="635"/>
              <wp:positionH relativeFrom="page">
                <wp:align>center</wp:align>
              </wp:positionH>
              <wp:positionV relativeFrom="page">
                <wp:align>bottom</wp:align>
              </wp:positionV>
              <wp:extent cx="622300" cy="391160"/>
              <wp:effectExtent l="0" t="0" r="6350" b="0"/>
              <wp:wrapNone/>
              <wp:docPr id="909700883"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724C2C46" w14:textId="6F4B6194"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4118EA" id="_x0000_t202" coordsize="21600,21600" o:spt="202" path="m,l,21600r21600,l21600,xe">
              <v:stroke joinstyle="miter"/>
              <v:path gradientshapeok="t" o:connecttype="rect"/>
            </v:shapetype>
            <v:shape id="Text Box 10" o:spid="_x0000_s1035" type="#_x0000_t202" alt="OFFICIAL" style="position:absolute;margin-left:0;margin-top:0;width:49pt;height:30.8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QjDg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0rfjtOv4X6SEshnPj2Tq5aar0WPjwLJIJpWhJt&#10;eKJDG+grDmeLswbw59/8MZ9wpyhnPQmm4pYUzZn5bomPqK3RwNHYJqO4zT9HeOy+uweSYUEvwslk&#10;kheDGU2N0L2SnJexEYWEldSu4tvRvA8n5dJzkGq5TEkkIyfC2m6cjKUjXBHLl+FVoDsDHoipRxjV&#10;JMp3uJ9y403vlvtA6CdSIrQnIM+IkwQTV+fnEjX+9j9lXR/14hcA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AkMMQjDgIAABwE&#10;AAAOAAAAAAAAAAAAAAAAAC4CAABkcnMvZTJvRG9jLnhtbFBLAQItABQABgAIAAAAIQCCUZTX2gAA&#10;AAMBAAAPAAAAAAAAAAAAAAAAAGgEAABkcnMvZG93bnJldi54bWxQSwUGAAAAAAQABADzAAAAbwUA&#10;AAAA&#10;" filled="f" stroked="f">
              <v:textbox style="mso-fit-shape-to-text:t" inset="0,0,0,15pt">
                <w:txbxContent>
                  <w:p w14:paraId="724C2C46" w14:textId="6F4B6194"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98AA11" w14:textId="77777777" w:rsidR="00F813CF" w:rsidRDefault="00F813CF" w:rsidP="00F02AEC">
      <w:pPr>
        <w:spacing w:after="0" w:line="240" w:lineRule="auto"/>
      </w:pPr>
      <w:r>
        <w:separator/>
      </w:r>
    </w:p>
  </w:footnote>
  <w:footnote w:type="continuationSeparator" w:id="0">
    <w:p w14:paraId="0EDBADA4" w14:textId="77777777" w:rsidR="00F813CF" w:rsidRDefault="00F813CF" w:rsidP="00F02AEC">
      <w:pPr>
        <w:spacing w:after="0" w:line="240" w:lineRule="auto"/>
      </w:pPr>
      <w:r>
        <w:continuationSeparator/>
      </w:r>
    </w:p>
  </w:footnote>
  <w:footnote w:id="1">
    <w:p w14:paraId="68402A9B" w14:textId="42E6F8E0"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 w:id="2">
    <w:p w14:paraId="1D03042D" w14:textId="12AF08CB" w:rsidR="00F8368D" w:rsidRDefault="00F8368D">
      <w:pPr>
        <w:pStyle w:val="FootnoteText"/>
      </w:pPr>
      <w:r>
        <w:rPr>
          <w:rStyle w:val="FootnoteReference"/>
        </w:rPr>
        <w:footnoteRef/>
      </w:r>
      <w:r>
        <w:t xml:space="preserve"> </w:t>
      </w:r>
      <w:r w:rsidRPr="00F8368D">
        <w:t xml:space="preserve">Cancer Australia. (2026). </w:t>
      </w:r>
      <w:r w:rsidRPr="00F8368D">
        <w:rPr>
          <w:i/>
          <w:iCs/>
        </w:rPr>
        <w:t>Lung cancer in Australia statistics</w:t>
      </w:r>
      <w:r w:rsidRPr="00F8368D">
        <w:t xml:space="preserve">. Last accessed 13 Mar 2026 from: </w:t>
      </w:r>
      <w:hyperlink r:id="rId1" w:history="1">
        <w:r w:rsidRPr="00F8368D">
          <w:rPr>
            <w:rStyle w:val="Hyperlink"/>
          </w:rPr>
          <w:t>https://www.canceraustralia.gov.au/cancer-types/lung-cancer/lung-cancer-australia-statistics</w:t>
        </w:r>
      </w:hyperlink>
    </w:p>
  </w:footnote>
  <w:footnote w:id="3">
    <w:p w14:paraId="10529BE5" w14:textId="1CF1637D" w:rsidR="004A66AA" w:rsidRDefault="004A66AA">
      <w:pPr>
        <w:pStyle w:val="FootnoteText"/>
      </w:pPr>
      <w:r>
        <w:rPr>
          <w:rStyle w:val="FootnoteReference"/>
        </w:rPr>
        <w:footnoteRef/>
      </w:r>
      <w:r>
        <w:t xml:space="preserve"> </w:t>
      </w:r>
      <w:r w:rsidRPr="004A66AA">
        <w:t xml:space="preserve">Australia Product Information for TEPMETKO (tepotinib (as hydrochloride monohydrate)). Last accessed 10 Apr 2026 from: </w:t>
      </w:r>
      <w:hyperlink r:id="rId2" w:history="1">
        <w:r w:rsidRPr="004A66AA">
          <w:rPr>
            <w:rStyle w:val="Hyperlink"/>
          </w:rPr>
          <w:t>https://www.ebs.tga.gov.au/ebs/picmi/picmirepository.nsf/pdf?OpenAgent&amp;id=CP-2022-PI-01029-1</w:t>
        </w:r>
      </w:hyperlink>
    </w:p>
  </w:footnote>
  <w:footnote w:id="4">
    <w:p w14:paraId="43626F3D" w14:textId="43419EBC" w:rsidR="006E4338" w:rsidRDefault="006E4338">
      <w:pPr>
        <w:pStyle w:val="FootnoteText"/>
      </w:pPr>
      <w:r>
        <w:rPr>
          <w:rStyle w:val="FootnoteReference"/>
        </w:rPr>
        <w:footnoteRef/>
      </w:r>
      <w:r>
        <w:t xml:space="preserve"> </w:t>
      </w:r>
      <w:r w:rsidR="007C4EF5" w:rsidRPr="007C4EF5">
        <w:t xml:space="preserve">National Comprehensive Cancer Network (NCCN) (13 Mar 2026). </w:t>
      </w:r>
      <w:r w:rsidR="007C4EF5" w:rsidRPr="007C4EF5">
        <w:rPr>
          <w:i/>
          <w:iCs/>
        </w:rPr>
        <w:t>NCCN Guidelines: Non-Small Cell Lung Cancer. Version 5.2026 – March 13, 2026</w:t>
      </w:r>
      <w:r w:rsidR="007C4EF5" w:rsidRPr="007C4EF5">
        <w:t xml:space="preserve">. Last accessed 10 Apr 2026 from: </w:t>
      </w:r>
      <w:hyperlink r:id="rId3" w:history="1">
        <w:r w:rsidR="007C4EF5" w:rsidRPr="007C4EF5">
          <w:rPr>
            <w:rStyle w:val="Hyperlink"/>
          </w:rPr>
          <w:t>https://www.nccn.org/professionals/physician_gls/pdf/nscl.pdf</w:t>
        </w:r>
      </w:hyperlink>
    </w:p>
  </w:footnote>
  <w:footnote w:id="5">
    <w:p w14:paraId="0C94E982" w14:textId="4CEE8E7A" w:rsidR="005A39B7" w:rsidRDefault="005A39B7" w:rsidP="005A39B7">
      <w:pPr>
        <w:pStyle w:val="FootnoteText"/>
      </w:pPr>
      <w:r>
        <w:rPr>
          <w:rStyle w:val="FootnoteReference"/>
        </w:rPr>
        <w:footnoteRef/>
      </w:r>
      <w:r>
        <w:t xml:space="preserve"> </w:t>
      </w:r>
      <w:r w:rsidRPr="005A39B7">
        <w:t>Cappuzzo F, Marchetti A, Skokan M, et al (2009) Increased MET gene copy number</w:t>
      </w:r>
      <w:r>
        <w:t xml:space="preserve"> </w:t>
      </w:r>
      <w:r w:rsidRPr="005A39B7">
        <w:t>negatively affects survival of surgically resected non-small-cell lung cancer patients. J Clin</w:t>
      </w:r>
      <w:r>
        <w:t xml:space="preserve"> </w:t>
      </w:r>
      <w:r w:rsidRPr="005A39B7">
        <w:t>Oncol; 27:1667–74.</w:t>
      </w:r>
    </w:p>
  </w:footnote>
  <w:footnote w:id="6">
    <w:p w14:paraId="4CA659F9" w14:textId="45A458C6" w:rsidR="004D4EFA" w:rsidRDefault="004D4EFA" w:rsidP="004D4EFA">
      <w:pPr>
        <w:pStyle w:val="FootnoteText"/>
      </w:pPr>
      <w:r>
        <w:rPr>
          <w:rStyle w:val="FootnoteReference"/>
        </w:rPr>
        <w:footnoteRef/>
      </w:r>
      <w:r>
        <w:t xml:space="preserve"> Park S, Choi YL, Sung CO, et al (2012) High MET copy number and MET overexpression: poor outcome in non-small cell lung cancer patients. Histol Histopathol; 27:197–207.</w:t>
      </w:r>
    </w:p>
  </w:footnote>
  <w:footnote w:id="7">
    <w:p w14:paraId="66E39008" w14:textId="330443A8" w:rsidR="00E97F85" w:rsidRDefault="00E97F85" w:rsidP="00E97F85">
      <w:pPr>
        <w:pStyle w:val="FootnoteText"/>
      </w:pPr>
      <w:r>
        <w:rPr>
          <w:rStyle w:val="FootnoteReference"/>
        </w:rPr>
        <w:footnoteRef/>
      </w:r>
      <w:r>
        <w:t xml:space="preserve"> Tsuta K, Kozu Y, Mimae T, et al (2012) c-MET/phospho-MET protein expression and MET gene copy number in non-small cell lung carcinomas. J Thorac Oncol; 7:331–9.</w:t>
      </w:r>
    </w:p>
  </w:footnote>
  <w:footnote w:id="8">
    <w:p w14:paraId="6590F38F" w14:textId="6B8A484B" w:rsidR="004D2417" w:rsidRDefault="004D2417" w:rsidP="004D2417">
      <w:pPr>
        <w:pStyle w:val="FootnoteText"/>
      </w:pPr>
      <w:r>
        <w:rPr>
          <w:rStyle w:val="FootnoteReference"/>
        </w:rPr>
        <w:footnoteRef/>
      </w:r>
      <w:r>
        <w:t xml:space="preserve"> Kong-Beltran M, Seshagiri S, Zha J, et al (2006) Somatic mutations lead to an oncogenic deletion of met in lung cancer. Cancer Res; 66:283-9.</w:t>
      </w:r>
    </w:p>
  </w:footnote>
  <w:footnote w:id="9">
    <w:p w14:paraId="68181E49" w14:textId="1065234E" w:rsidR="00F35E16" w:rsidRDefault="00F35E16" w:rsidP="005E5A32">
      <w:pPr>
        <w:pStyle w:val="FootnoteText"/>
      </w:pPr>
      <w:r>
        <w:rPr>
          <w:rStyle w:val="FootnoteReference"/>
        </w:rPr>
        <w:footnoteRef/>
      </w:r>
      <w:r>
        <w:t xml:space="preserve"> </w:t>
      </w:r>
      <w:r w:rsidR="005E5A32" w:rsidRPr="005E5A32">
        <w:t>Pasquine G, and Giaccone G (2018) C-MET inhibitors for advanced non-small cell lung</w:t>
      </w:r>
      <w:r w:rsidR="005E5A32">
        <w:t xml:space="preserve"> </w:t>
      </w:r>
      <w:r w:rsidR="005E5A32" w:rsidRPr="005E5A32">
        <w:t>cancer. Expert Opin Investig Drugs; 27:363-75.</w:t>
      </w:r>
    </w:p>
  </w:footnote>
  <w:footnote w:id="10">
    <w:p w14:paraId="09A682DE" w14:textId="13082B26" w:rsidR="00734710" w:rsidRDefault="00734710" w:rsidP="00734710">
      <w:pPr>
        <w:pStyle w:val="FootnoteText"/>
      </w:pPr>
      <w:r>
        <w:rPr>
          <w:rStyle w:val="FootnoteReference"/>
        </w:rPr>
        <w:footnoteRef/>
      </w:r>
      <w:r>
        <w:t xml:space="preserve"> Frampton GM, Ali SM, Rosenzweig M, et al (2015) Activation of MET via diverse exon 14 splicing alterations occurs in multiple tumor types and confers clinical sensitivity to MET inhibitors. Cancer Discov; 5:850-9.</w:t>
      </w:r>
    </w:p>
  </w:footnote>
  <w:footnote w:id="11">
    <w:p w14:paraId="18923AEC" w14:textId="2002812C" w:rsidR="000D599A" w:rsidRDefault="000D599A" w:rsidP="000D599A">
      <w:pPr>
        <w:pStyle w:val="FootnoteText"/>
      </w:pPr>
      <w:r>
        <w:rPr>
          <w:rStyle w:val="FootnoteReference"/>
        </w:rPr>
        <w:footnoteRef/>
      </w:r>
      <w:r>
        <w:t xml:space="preserve"> Paik PK, Drilon A, Fan PD, et al (2015) Response to MET inhibitors in patients with stage IV lung adenocarcinomas harboring MET mutations causing exon 14 skipping. Cancer Discov; 5:842-9.</w:t>
      </w:r>
    </w:p>
  </w:footnote>
  <w:footnote w:id="12">
    <w:p w14:paraId="512E1A0B" w14:textId="58D8995C" w:rsidR="003237C1" w:rsidRDefault="003237C1" w:rsidP="003237C1">
      <w:pPr>
        <w:pStyle w:val="FootnoteText"/>
      </w:pPr>
      <w:r>
        <w:rPr>
          <w:rStyle w:val="FootnoteReference"/>
        </w:rPr>
        <w:footnoteRef/>
      </w:r>
      <w:r>
        <w:t xml:space="preserve"> Jenkins RW, Oxnard GR, Elkin S, et al (2015) Response to crizotinib in a patient with lung adenocarcinoma harboring a MET splice site mutation. Clin Lung Cancer; 16:e101-4.</w:t>
      </w:r>
    </w:p>
  </w:footnote>
  <w:footnote w:id="13">
    <w:p w14:paraId="065EE2A8" w14:textId="7661F06F" w:rsidR="006D3994" w:rsidRDefault="006D3994" w:rsidP="006D3994">
      <w:pPr>
        <w:pStyle w:val="FootnoteText"/>
      </w:pPr>
      <w:r>
        <w:rPr>
          <w:rStyle w:val="FootnoteReference"/>
        </w:rPr>
        <w:footnoteRef/>
      </w:r>
      <w:r>
        <w:t xml:space="preserve"> Mendenhall MA and Goldman JW (2015) MET-mutated NSCLC with major response to crizotinib [letter]. J Thorac Oncol; 10:e33-4.</w:t>
      </w:r>
    </w:p>
  </w:footnote>
  <w:footnote w:id="14">
    <w:p w14:paraId="503CCF09" w14:textId="4E548097" w:rsidR="00DF6505" w:rsidRDefault="00DF6505">
      <w:pPr>
        <w:pStyle w:val="FootnoteText"/>
      </w:pPr>
      <w:r>
        <w:rPr>
          <w:rStyle w:val="FootnoteReference"/>
        </w:rPr>
        <w:footnoteRef/>
      </w:r>
      <w:r>
        <w:t xml:space="preserve"> </w:t>
      </w:r>
      <w:r w:rsidRPr="00DF6505">
        <w:t>At the time of study commencement (11</w:t>
      </w:r>
      <w:r>
        <w:t xml:space="preserve"> </w:t>
      </w:r>
      <w:r w:rsidRPr="00DF6505">
        <w:t>Jun</w:t>
      </w:r>
      <w:r>
        <w:t xml:space="preserve">e </w:t>
      </w:r>
      <w:r w:rsidRPr="00DF6505">
        <w:t>2015), the active version of the TNM staging system for NSCLC was the 7th edition. This did not include a Stage IIIC, which was introduced only in the 8th edition</w:t>
      </w:r>
      <w:r>
        <w:t xml:space="preserve">: </w:t>
      </w:r>
      <w:r w:rsidRPr="00DF6505">
        <w:t>Rami-Porta, R., Asamura, H., Travis, W. D., &amp; Rusch, V. W. (2017). Lung cancer - major changes in the American Joint Committee on Cancer eighth edition cancer staging manual. CA: A Cancer Journal for Clinicians, 67(2), 138–155. https://doi.org/10.3322/caac.21390</w:t>
      </w:r>
    </w:p>
  </w:footnote>
  <w:footnote w:id="15">
    <w:p w14:paraId="0C6BB3C2" w14:textId="58A4B71E" w:rsidR="00D63482" w:rsidRDefault="00D63482">
      <w:pPr>
        <w:pStyle w:val="FootnoteText"/>
      </w:pPr>
      <w:r>
        <w:rPr>
          <w:rStyle w:val="FootnoteReference"/>
        </w:rPr>
        <w:footnoteRef/>
      </w:r>
      <w:r>
        <w:t xml:space="preserve"> </w:t>
      </w:r>
      <w:r w:rsidRPr="00D63482">
        <w:t xml:space="preserve">MBS Online. </w:t>
      </w:r>
      <w:r w:rsidRPr="00D63482">
        <w:rPr>
          <w:i/>
          <w:iCs/>
        </w:rPr>
        <w:t>Medicare Benefits Schedule - Item 73437</w:t>
      </w:r>
      <w:r w:rsidRPr="00D63482">
        <w:t xml:space="preserve">. Last accessed 4 May 2026 from: </w:t>
      </w:r>
      <w:hyperlink r:id="rId4" w:history="1">
        <w:r w:rsidRPr="00D63482">
          <w:rPr>
            <w:rStyle w:val="Hyperlink"/>
          </w:rPr>
          <w:t>https://www9.health.gov.au/mbs/fullDisplay.cfm?type=item&amp;q=73437&amp;qt=item&amp;criteria=73437</w:t>
        </w:r>
      </w:hyperlink>
    </w:p>
  </w:footnote>
  <w:footnote w:id="16">
    <w:p w14:paraId="52DD43B9" w14:textId="4DF17275" w:rsidR="007318D1" w:rsidRDefault="007318D1">
      <w:pPr>
        <w:pStyle w:val="FootnoteText"/>
      </w:pPr>
      <w:r>
        <w:rPr>
          <w:rStyle w:val="FootnoteReference"/>
        </w:rPr>
        <w:footnoteRef/>
      </w:r>
      <w:r>
        <w:t xml:space="preserve"> </w:t>
      </w:r>
      <w:r w:rsidRPr="007318D1">
        <w:t xml:space="preserve">MBS Online. </w:t>
      </w:r>
      <w:r w:rsidRPr="007318D1">
        <w:rPr>
          <w:i/>
          <w:iCs/>
        </w:rPr>
        <w:t>Medicare Benefits Schedule - Item 73438</w:t>
      </w:r>
      <w:r w:rsidRPr="007318D1">
        <w:t xml:space="preserve">. Last accessed 4 May 2026 from: </w:t>
      </w:r>
      <w:hyperlink r:id="rId5" w:history="1">
        <w:r w:rsidRPr="007318D1">
          <w:rPr>
            <w:rStyle w:val="Hyperlink"/>
          </w:rPr>
          <w:t>https://www9.health.gov.au/mbs/fullDisplay.cfm?type=item&amp;q=73438&amp;qt=item</w:t>
        </w:r>
      </w:hyperlink>
    </w:p>
  </w:footnote>
  <w:footnote w:id="17">
    <w:p w14:paraId="4CC7663D" w14:textId="666AD6FC" w:rsidR="001D1DB0" w:rsidRDefault="001D1DB0">
      <w:pPr>
        <w:pStyle w:val="FootnoteText"/>
      </w:pPr>
      <w:r>
        <w:rPr>
          <w:rStyle w:val="FootnoteReference"/>
        </w:rPr>
        <w:footnoteRef/>
      </w:r>
      <w:r>
        <w:t xml:space="preserve"> Therapeutic Goods Administration</w:t>
      </w:r>
      <w:r w:rsidR="008F74FD">
        <w:t>.</w:t>
      </w:r>
      <w:r w:rsidRPr="001D1DB0">
        <w:t xml:space="preserve"> 13 May 2025. </w:t>
      </w:r>
      <w:hyperlink r:id="rId6" w:history="1">
        <w:r w:rsidRPr="00505A98">
          <w:rPr>
            <w:rStyle w:val="Hyperlink"/>
          </w:rPr>
          <w:t>Understanding regulatory requirements for in vitro diagnostic (IVD) companion diagnostics (CDx)</w:t>
        </w:r>
      </w:hyperlink>
      <w:r w:rsidRPr="001D1DB0">
        <w:t>. Last accessed 23 Apr 2026 from</w:t>
      </w:r>
    </w:p>
  </w:footnote>
  <w:footnote w:id="18">
    <w:p w14:paraId="16CB0D24" w14:textId="0A0F54DB" w:rsidR="00616D32" w:rsidRDefault="00616D32">
      <w:pPr>
        <w:pStyle w:val="FootnoteText"/>
      </w:pPr>
      <w:r>
        <w:rPr>
          <w:rStyle w:val="FootnoteReference"/>
        </w:rPr>
        <w:footnoteRef/>
      </w:r>
      <w:r>
        <w:t xml:space="preserve"> </w:t>
      </w:r>
      <w:r w:rsidR="00E35153">
        <w:t xml:space="preserve">United States Food and Drug Administration. </w:t>
      </w:r>
      <w:hyperlink r:id="rId7" w:history="1">
        <w:r w:rsidRPr="00463EAD">
          <w:rPr>
            <w:rStyle w:val="Hyperlink"/>
          </w:rPr>
          <w:t>United States Prescribing Information for TABRECTA (capmatinib) tablets</w:t>
        </w:r>
      </w:hyperlink>
      <w:r w:rsidRPr="00616D32">
        <w:t xml:space="preserve"> (Reference ID: 5346763). Last accessed 23 Apr 2026</w:t>
      </w:r>
      <w:r w:rsidR="00463EAD">
        <w:t xml:space="preserve">. </w:t>
      </w:r>
    </w:p>
  </w:footnote>
  <w:footnote w:id="19">
    <w:p w14:paraId="5C55C9AC" w14:textId="22870FFF" w:rsidR="003A6337" w:rsidRDefault="003A6337">
      <w:pPr>
        <w:pStyle w:val="FootnoteText"/>
      </w:pPr>
      <w:r>
        <w:rPr>
          <w:rStyle w:val="FootnoteReference"/>
        </w:rPr>
        <w:footnoteRef/>
      </w:r>
      <w:r>
        <w:t xml:space="preserve"> </w:t>
      </w:r>
      <w:r w:rsidRPr="003A6337">
        <w:t>United States Food and Drug Administration.</w:t>
      </w:r>
      <w:r>
        <w:t xml:space="preserve"> </w:t>
      </w:r>
      <w:hyperlink r:id="rId8" w:history="1">
        <w:r w:rsidRPr="003A6337">
          <w:rPr>
            <w:rStyle w:val="Hyperlink"/>
          </w:rPr>
          <w:t>United States Summary of Safety and Effectiveness Data for FoundationOne CDx</w:t>
        </w:r>
      </w:hyperlink>
      <w:r w:rsidRPr="003A6337">
        <w:t xml:space="preserve"> (PMA P170019/S048). Last accessed 23 Apr 2026</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FFCB3" w14:textId="093B1D27" w:rsidR="007E4FF8" w:rsidRDefault="007E4FF8">
    <w:pPr>
      <w:pStyle w:val="Header"/>
    </w:pPr>
    <w:r>
      <w:rPr>
        <w:noProof/>
      </w:rPr>
      <mc:AlternateContent>
        <mc:Choice Requires="wps">
          <w:drawing>
            <wp:anchor distT="0" distB="0" distL="0" distR="0" simplePos="0" relativeHeight="251658242" behindDoc="0" locked="0" layoutInCell="1" allowOverlap="1" wp14:anchorId="3BDA164B" wp14:editId="743987F4">
              <wp:simplePos x="635" y="635"/>
              <wp:positionH relativeFrom="page">
                <wp:align>center</wp:align>
              </wp:positionH>
              <wp:positionV relativeFrom="page">
                <wp:align>top</wp:align>
              </wp:positionV>
              <wp:extent cx="622300" cy="391160"/>
              <wp:effectExtent l="0" t="0" r="6350" b="8890"/>
              <wp:wrapNone/>
              <wp:docPr id="78433167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6A1E6F48" w14:textId="2CA00EAD"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DA164B" id="_x0000_t202" coordsize="21600,21600" o:spt="202" path="m,l,21600r21600,l21600,xe">
              <v:stroke joinstyle="miter"/>
              <v:path gradientshapeok="t" o:connecttype="rect"/>
            </v:shapetype>
            <v:shape id="Text Box 2" o:spid="_x0000_s1026" type="#_x0000_t202" alt="OFFICIAL" style="position:absolute;left:0;text-align:left;margin-left:0;margin-top:0;width:49pt;height:30.8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" filled="f" stroked="f">
              <v:textbox style="mso-fit-shape-to-text:t" inset="0,15pt,0,0">
                <w:txbxContent>
                  <w:p w14:paraId="6A1E6F48" w14:textId="2CA00EAD"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495EEAE9" w:rsidR="007452E8" w:rsidRPr="00CB0550" w:rsidRDefault="007E4FF8" w:rsidP="00CB0550">
    <w:pPr>
      <w:pStyle w:val="Header"/>
      <w:jc w:val="left"/>
    </w:pPr>
    <w:r>
      <w:rPr>
        <w:noProof/>
      </w:rPr>
      <mc:AlternateContent>
        <mc:Choice Requires="wps">
          <w:drawing>
            <wp:anchor distT="0" distB="0" distL="0" distR="0" simplePos="0" relativeHeight="251658243" behindDoc="0" locked="0" layoutInCell="1" allowOverlap="1" wp14:anchorId="5966BD6A" wp14:editId="01118435">
              <wp:simplePos x="635" y="635"/>
              <wp:positionH relativeFrom="page">
                <wp:align>center</wp:align>
              </wp:positionH>
              <wp:positionV relativeFrom="page">
                <wp:align>top</wp:align>
              </wp:positionV>
              <wp:extent cx="622300" cy="391160"/>
              <wp:effectExtent l="0" t="0" r="6350" b="8890"/>
              <wp:wrapNone/>
              <wp:docPr id="157789699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3962137D" w14:textId="0292724A"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66BD6A" id="_x0000_t202" coordsize="21600,21600" o:spt="202" path="m,l,21600r21600,l21600,xe">
              <v:stroke joinstyle="miter"/>
              <v:path gradientshapeok="t" o:connecttype="rect"/>
            </v:shapetype>
            <v:shape id="Text Box 3" o:spid="_x0000_s1027" type="#_x0000_t202" alt="OFFICIAL" style="position:absolute;margin-left:0;margin-top:0;width:49pt;height:30.8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" filled="f" stroked="f">
              <v:textbox style="mso-fit-shape-to-text:t" inset="0,15pt,0,0">
                <w:txbxContent>
                  <w:p w14:paraId="3962137D" w14:textId="0292724A"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31E19A61" w:rsidR="007452E8" w:rsidRPr="002B29B2" w:rsidRDefault="007E4FF8" w:rsidP="007452E8">
          <w:pPr>
            <w:ind w:left="-57"/>
            <w:rPr>
              <w:noProof/>
            </w:rPr>
          </w:pPr>
          <w:r>
            <w:rPr>
              <w:noProof/>
            </w:rPr>
            <mc:AlternateContent>
              <mc:Choice Requires="wps">
                <w:drawing>
                  <wp:anchor distT="0" distB="0" distL="0" distR="0" simplePos="0" relativeHeight="251658241" behindDoc="0" locked="0" layoutInCell="1" allowOverlap="1" wp14:anchorId="36EC3BC1" wp14:editId="466B87D6">
                    <wp:simplePos x="635" y="635"/>
                    <wp:positionH relativeFrom="page">
                      <wp:align>center</wp:align>
                    </wp:positionH>
                    <wp:positionV relativeFrom="page">
                      <wp:align>top</wp:align>
                    </wp:positionV>
                    <wp:extent cx="622300" cy="391160"/>
                    <wp:effectExtent l="0" t="0" r="6350" b="8890"/>
                    <wp:wrapNone/>
                    <wp:docPr id="139457432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3FFCA075" w14:textId="59A4754E"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EC3BC1" id="_x0000_t202" coordsize="21600,21600" o:spt="202" path="m,l,21600r21600,l21600,xe">
                    <v:stroke joinstyle="miter"/>
                    <v:path gradientshapeok="t" o:connecttype="rect"/>
                  </v:shapetype>
                  <v:shape id="Text Box 1" o:spid="_x0000_s1030" type="#_x0000_t202" alt="OFFICIAL" style="position:absolute;left:0;text-align:left;margin-left:0;margin-top:0;width:49pt;height:30.8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BKSAlqDQIAABwEAAAO&#10;AAAAAAAAAAAAAAAAAC4CAABkcnMvZTJvRG9jLnhtbFBLAQItABQABgAIAAAAIQBhokho2AAAAAMB&#10;AAAPAAAAAAAAAAAAAAAAAGcEAABkcnMvZG93bnJldi54bWxQSwUGAAAAAAQABADzAAAAbAUAAAAA&#10;" filled="f" stroked="f">
                    <v:textbox style="mso-fit-shape-to-text:t" inset="0,15pt,0,0">
                      <w:txbxContent>
                        <w:p w14:paraId="3FFCA075" w14:textId="59A4754E"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38802056" w:rsidR="007452E8" w:rsidRDefault="0006693A" w:rsidP="007452E8">
    <w:pPr>
      <w:rPr>
        <w:noProof/>
      </w:rPr>
    </w:pPr>
    <w:r>
      <w:rPr>
        <w:noProof/>
      </w:rPr>
      <w:drawing>
        <wp:inline distT="0" distB="0" distL="0" distR="0" wp14:anchorId="26654E9F" wp14:editId="78E105AB">
          <wp:extent cx="3344545" cy="694055"/>
          <wp:effectExtent l="0" t="0" r="8255" b="0"/>
          <wp:docPr id="1596027861"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7452E8" w:rsidRPr="002B29B2">
      <w:rPr>
        <w:noProof/>
        <w:lang w:val="en-GB" w:eastAsia="en-GB"/>
      </w:rPr>
      <w:drawing>
        <wp:anchor distT="0" distB="0" distL="114300" distR="114300" simplePos="0" relativeHeight="251658240" behindDoc="0" locked="0" layoutInCell="0" allowOverlap="1" wp14:anchorId="14BBEAC1" wp14:editId="5D9F0498">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419FC1D7" w:rsidR="007452E8" w:rsidRDefault="007E4FF8" w:rsidP="007452E8">
    <w:pPr>
      <w:pStyle w:val="Header"/>
    </w:pPr>
    <w:r>
      <w:rPr>
        <w:noProof/>
      </w:rPr>
      <mc:AlternateContent>
        <mc:Choice Requires="wps">
          <w:drawing>
            <wp:anchor distT="0" distB="0" distL="0" distR="0" simplePos="0" relativeHeight="251658244" behindDoc="0" locked="0" layoutInCell="1" allowOverlap="1" wp14:anchorId="28DC3F9E" wp14:editId="3D6537B9">
              <wp:simplePos x="899770" y="365760"/>
              <wp:positionH relativeFrom="page">
                <wp:align>center</wp:align>
              </wp:positionH>
              <wp:positionV relativeFrom="page">
                <wp:align>top</wp:align>
              </wp:positionV>
              <wp:extent cx="622300" cy="391160"/>
              <wp:effectExtent l="0" t="0" r="6350" b="8890"/>
              <wp:wrapNone/>
              <wp:docPr id="1773556512"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174DB680" w14:textId="1B5F07C5"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DC3F9E" id="_x0000_t202" coordsize="21600,21600" o:spt="202" path="m,l,21600r21600,l21600,xe">
              <v:stroke joinstyle="miter"/>
              <v:path gradientshapeok="t" o:connecttype="rect"/>
            </v:shapetype>
            <v:shape id="Text Box 4" o:spid="_x0000_s1032" type="#_x0000_t202" alt="OFFICIAL" style="position:absolute;left:0;text-align:left;margin-left:0;margin-top:0;width:49pt;height:30.8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" filled="f" stroked="f">
              <v:textbox style="mso-fit-shape-to-text:t" inset="0,15pt,0,0">
                <w:txbxContent>
                  <w:p w14:paraId="174DB680" w14:textId="1B5F07C5"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r w:rsidR="007452E8" w:rsidRPr="000F5176">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766C0B9F" w:rsidR="007452E8" w:rsidRPr="00FE501F" w:rsidRDefault="007E4FF8" w:rsidP="007452E8">
    <w:pPr>
      <w:pStyle w:val="Headernoline"/>
    </w:pPr>
    <w:r>
      <w:rPr>
        <w:noProof/>
      </w:rPr>
      <mc:AlternateContent>
        <mc:Choice Requires="wps">
          <w:drawing>
            <wp:anchor distT="0" distB="0" distL="0" distR="0" simplePos="0" relativeHeight="251658245" behindDoc="0" locked="0" layoutInCell="1" allowOverlap="1" wp14:anchorId="2A06D344" wp14:editId="1647E18A">
              <wp:simplePos x="635" y="635"/>
              <wp:positionH relativeFrom="page">
                <wp:align>center</wp:align>
              </wp:positionH>
              <wp:positionV relativeFrom="page">
                <wp:align>top</wp:align>
              </wp:positionV>
              <wp:extent cx="622300" cy="391160"/>
              <wp:effectExtent l="0" t="0" r="6350" b="8890"/>
              <wp:wrapNone/>
              <wp:docPr id="487777180"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6E2CFD20" w14:textId="4EF79907"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06D344" id="_x0000_t202" coordsize="21600,21600" o:spt="202" path="m,l,21600r21600,l21600,xe">
              <v:stroke joinstyle="miter"/>
              <v:path gradientshapeok="t" o:connecttype="rect"/>
            </v:shapetype>
            <v:shape id="Text Box 5" o:spid="_x0000_s1034" type="#_x0000_t202" alt="OFFICIAL" style="position:absolute;left:0;text-align:left;margin-left:0;margin-top:0;width:49pt;height:30.8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DXSCeqDQIAABwEAAAO&#10;AAAAAAAAAAAAAAAAAC4CAABkcnMvZTJvRG9jLnhtbFBLAQItABQABgAIAAAAIQBhokho2AAAAAMB&#10;AAAPAAAAAAAAAAAAAAAAAGcEAABkcnMvZG93bnJldi54bWxQSwUGAAAAAAQABADzAAAAbAUAAAAA&#10;" filled="f" stroked="f">
              <v:textbox style="mso-fit-shape-to-text:t" inset="0,15pt,0,0">
                <w:txbxContent>
                  <w:p w14:paraId="6E2CFD20" w14:textId="4EF79907" w:rsidR="007E4FF8" w:rsidRPr="007E4FF8" w:rsidRDefault="007E4FF8" w:rsidP="007E4FF8">
                    <w:pPr>
                      <w:spacing w:after="0"/>
                      <w:rPr>
                        <w:rFonts w:ascii="Aptos" w:eastAsia="Aptos" w:hAnsi="Aptos" w:cs="Aptos"/>
                        <w:noProof/>
                        <w:color w:val="FF0000"/>
                        <w:sz w:val="24"/>
                        <w:szCs w:val="24"/>
                      </w:rPr>
                    </w:pPr>
                    <w:r w:rsidRPr="007E4FF8">
                      <w:rPr>
                        <w:rFonts w:ascii="Aptos" w:eastAsia="Aptos" w:hAnsi="Aptos" w:cs="Aptos"/>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2E4C97"/>
    <w:multiLevelType w:val="hybridMultilevel"/>
    <w:tmpl w:val="1A3CF7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3"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6"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7"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8"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9"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0"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2"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4"/>
  </w:num>
  <w:num w:numId="2" w16cid:durableId="1856573705">
    <w:abstractNumId w:val="1"/>
  </w:num>
  <w:num w:numId="3" w16cid:durableId="357703499">
    <w:abstractNumId w:val="3"/>
  </w:num>
  <w:num w:numId="4" w16cid:durableId="1869176708">
    <w:abstractNumId w:val="10"/>
  </w:num>
  <w:num w:numId="5" w16cid:durableId="1652950129">
    <w:abstractNumId w:val="6"/>
  </w:num>
  <w:num w:numId="6" w16cid:durableId="1053193207">
    <w:abstractNumId w:val="8"/>
  </w:num>
  <w:num w:numId="7" w16cid:durableId="201135927">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9"/>
  </w:num>
  <w:num w:numId="9" w16cid:durableId="173421270">
    <w:abstractNumId w:val="2"/>
  </w:num>
  <w:num w:numId="10" w16cid:durableId="2108043357">
    <w:abstractNumId w:val="5"/>
  </w:num>
  <w:num w:numId="11" w16cid:durableId="1725904230">
    <w:abstractNumId w:val="7"/>
  </w:num>
  <w:num w:numId="12" w16cid:durableId="141579354">
    <w:abstractNumId w:val="11"/>
  </w:num>
  <w:num w:numId="13" w16cid:durableId="283735081">
    <w:abstractNumId w:val="12"/>
  </w:num>
  <w:num w:numId="14" w16cid:durableId="3671426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4431"/>
    <w:rsid w:val="00004B6E"/>
    <w:rsid w:val="00004BA8"/>
    <w:rsid w:val="00005062"/>
    <w:rsid w:val="00005DFC"/>
    <w:rsid w:val="0001064C"/>
    <w:rsid w:val="0001384A"/>
    <w:rsid w:val="00021C13"/>
    <w:rsid w:val="0002377B"/>
    <w:rsid w:val="00027A69"/>
    <w:rsid w:val="00032548"/>
    <w:rsid w:val="00032A0F"/>
    <w:rsid w:val="00035996"/>
    <w:rsid w:val="000401A7"/>
    <w:rsid w:val="00040D8D"/>
    <w:rsid w:val="000417D1"/>
    <w:rsid w:val="00044246"/>
    <w:rsid w:val="00046423"/>
    <w:rsid w:val="000477F5"/>
    <w:rsid w:val="0005067C"/>
    <w:rsid w:val="00054EBB"/>
    <w:rsid w:val="000555DA"/>
    <w:rsid w:val="000569E0"/>
    <w:rsid w:val="00057194"/>
    <w:rsid w:val="0006104E"/>
    <w:rsid w:val="000640BD"/>
    <w:rsid w:val="00065839"/>
    <w:rsid w:val="00065FDF"/>
    <w:rsid w:val="0006693A"/>
    <w:rsid w:val="00073EAF"/>
    <w:rsid w:val="00077844"/>
    <w:rsid w:val="0008331C"/>
    <w:rsid w:val="00083763"/>
    <w:rsid w:val="00084444"/>
    <w:rsid w:val="00087C2C"/>
    <w:rsid w:val="0009023D"/>
    <w:rsid w:val="00090510"/>
    <w:rsid w:val="000917AE"/>
    <w:rsid w:val="0009225E"/>
    <w:rsid w:val="00092D8D"/>
    <w:rsid w:val="00094B81"/>
    <w:rsid w:val="00095C6A"/>
    <w:rsid w:val="000975AA"/>
    <w:rsid w:val="000A1A6D"/>
    <w:rsid w:val="000A763F"/>
    <w:rsid w:val="000B23B9"/>
    <w:rsid w:val="000B4E25"/>
    <w:rsid w:val="000B6B15"/>
    <w:rsid w:val="000B7DFB"/>
    <w:rsid w:val="000C25A7"/>
    <w:rsid w:val="000C65E8"/>
    <w:rsid w:val="000D4C3B"/>
    <w:rsid w:val="000D599A"/>
    <w:rsid w:val="000D7006"/>
    <w:rsid w:val="000D78EC"/>
    <w:rsid w:val="000D7934"/>
    <w:rsid w:val="000E2434"/>
    <w:rsid w:val="000E2597"/>
    <w:rsid w:val="000E504E"/>
    <w:rsid w:val="000E654F"/>
    <w:rsid w:val="000E6746"/>
    <w:rsid w:val="000F0B49"/>
    <w:rsid w:val="000F7B51"/>
    <w:rsid w:val="001005F7"/>
    <w:rsid w:val="00101BEE"/>
    <w:rsid w:val="00101CE6"/>
    <w:rsid w:val="00101FB1"/>
    <w:rsid w:val="00105473"/>
    <w:rsid w:val="0010558A"/>
    <w:rsid w:val="00106819"/>
    <w:rsid w:val="001101FF"/>
    <w:rsid w:val="00110A8D"/>
    <w:rsid w:val="00111989"/>
    <w:rsid w:val="00113F9F"/>
    <w:rsid w:val="00114025"/>
    <w:rsid w:val="00117F2A"/>
    <w:rsid w:val="00120119"/>
    <w:rsid w:val="00122A84"/>
    <w:rsid w:val="0012473C"/>
    <w:rsid w:val="00127A74"/>
    <w:rsid w:val="00130ABF"/>
    <w:rsid w:val="0013132F"/>
    <w:rsid w:val="00131B1B"/>
    <w:rsid w:val="0013295D"/>
    <w:rsid w:val="0013306D"/>
    <w:rsid w:val="001336B4"/>
    <w:rsid w:val="0013528C"/>
    <w:rsid w:val="001374BD"/>
    <w:rsid w:val="0013773A"/>
    <w:rsid w:val="0014195B"/>
    <w:rsid w:val="00142531"/>
    <w:rsid w:val="001442A2"/>
    <w:rsid w:val="0014553F"/>
    <w:rsid w:val="001468CA"/>
    <w:rsid w:val="001500A8"/>
    <w:rsid w:val="00150E21"/>
    <w:rsid w:val="0015169D"/>
    <w:rsid w:val="00155D85"/>
    <w:rsid w:val="001610B4"/>
    <w:rsid w:val="001633D9"/>
    <w:rsid w:val="00165D28"/>
    <w:rsid w:val="00167A89"/>
    <w:rsid w:val="0017005C"/>
    <w:rsid w:val="0017151A"/>
    <w:rsid w:val="00173F27"/>
    <w:rsid w:val="00175CD8"/>
    <w:rsid w:val="001827E4"/>
    <w:rsid w:val="00182BD8"/>
    <w:rsid w:val="00184587"/>
    <w:rsid w:val="00190853"/>
    <w:rsid w:val="001A2E56"/>
    <w:rsid w:val="001A76F9"/>
    <w:rsid w:val="001B06FF"/>
    <w:rsid w:val="001B1222"/>
    <w:rsid w:val="001B1703"/>
    <w:rsid w:val="001B2185"/>
    <w:rsid w:val="001B2B5D"/>
    <w:rsid w:val="001C16E4"/>
    <w:rsid w:val="001C1C2E"/>
    <w:rsid w:val="001C31A1"/>
    <w:rsid w:val="001C3FA2"/>
    <w:rsid w:val="001C59D9"/>
    <w:rsid w:val="001C5EE2"/>
    <w:rsid w:val="001C7C2F"/>
    <w:rsid w:val="001D0077"/>
    <w:rsid w:val="001D11EA"/>
    <w:rsid w:val="001D1DB0"/>
    <w:rsid w:val="001D3868"/>
    <w:rsid w:val="001D4444"/>
    <w:rsid w:val="001D5885"/>
    <w:rsid w:val="001E28E2"/>
    <w:rsid w:val="001E2B24"/>
    <w:rsid w:val="001E407B"/>
    <w:rsid w:val="001E73DA"/>
    <w:rsid w:val="001E7FC6"/>
    <w:rsid w:val="001F122E"/>
    <w:rsid w:val="001F2502"/>
    <w:rsid w:val="001F5254"/>
    <w:rsid w:val="001F64C7"/>
    <w:rsid w:val="001F6737"/>
    <w:rsid w:val="001F70A5"/>
    <w:rsid w:val="0020235D"/>
    <w:rsid w:val="002026EE"/>
    <w:rsid w:val="0020369B"/>
    <w:rsid w:val="00207B4D"/>
    <w:rsid w:val="00210F9B"/>
    <w:rsid w:val="002117B1"/>
    <w:rsid w:val="00214DA6"/>
    <w:rsid w:val="00217CCE"/>
    <w:rsid w:val="002203B1"/>
    <w:rsid w:val="0022359C"/>
    <w:rsid w:val="00225E13"/>
    <w:rsid w:val="00226F39"/>
    <w:rsid w:val="00230A12"/>
    <w:rsid w:val="002321D3"/>
    <w:rsid w:val="002334AD"/>
    <w:rsid w:val="00236F91"/>
    <w:rsid w:val="00241B60"/>
    <w:rsid w:val="00245563"/>
    <w:rsid w:val="0024632F"/>
    <w:rsid w:val="002476F5"/>
    <w:rsid w:val="00247C92"/>
    <w:rsid w:val="00253661"/>
    <w:rsid w:val="0025785B"/>
    <w:rsid w:val="00257969"/>
    <w:rsid w:val="00265CD1"/>
    <w:rsid w:val="00275CC6"/>
    <w:rsid w:val="0027721C"/>
    <w:rsid w:val="00277ABD"/>
    <w:rsid w:val="00280048"/>
    <w:rsid w:val="002806A7"/>
    <w:rsid w:val="0028489E"/>
    <w:rsid w:val="002848DE"/>
    <w:rsid w:val="00285BB0"/>
    <w:rsid w:val="0028794E"/>
    <w:rsid w:val="002924A1"/>
    <w:rsid w:val="002950E0"/>
    <w:rsid w:val="00296F96"/>
    <w:rsid w:val="0029733B"/>
    <w:rsid w:val="002A24D2"/>
    <w:rsid w:val="002A485C"/>
    <w:rsid w:val="002A4A5A"/>
    <w:rsid w:val="002A4D1A"/>
    <w:rsid w:val="002A5841"/>
    <w:rsid w:val="002B1EDF"/>
    <w:rsid w:val="002B1F4F"/>
    <w:rsid w:val="002B2061"/>
    <w:rsid w:val="002B33C3"/>
    <w:rsid w:val="002B5C4D"/>
    <w:rsid w:val="002C1232"/>
    <w:rsid w:val="002C1577"/>
    <w:rsid w:val="002C1E44"/>
    <w:rsid w:val="002C54F2"/>
    <w:rsid w:val="002C5C92"/>
    <w:rsid w:val="002C5E29"/>
    <w:rsid w:val="002C74F2"/>
    <w:rsid w:val="002D0478"/>
    <w:rsid w:val="002D6887"/>
    <w:rsid w:val="002D7127"/>
    <w:rsid w:val="002E17E9"/>
    <w:rsid w:val="002F1C57"/>
    <w:rsid w:val="002F599E"/>
    <w:rsid w:val="002F5D2A"/>
    <w:rsid w:val="002F6A8B"/>
    <w:rsid w:val="002F7ADC"/>
    <w:rsid w:val="003008D8"/>
    <w:rsid w:val="0030172C"/>
    <w:rsid w:val="00301D9A"/>
    <w:rsid w:val="00303959"/>
    <w:rsid w:val="00306E72"/>
    <w:rsid w:val="0031072D"/>
    <w:rsid w:val="00310AB1"/>
    <w:rsid w:val="003125A6"/>
    <w:rsid w:val="00312AC3"/>
    <w:rsid w:val="00313E50"/>
    <w:rsid w:val="00314430"/>
    <w:rsid w:val="003163BC"/>
    <w:rsid w:val="0031758F"/>
    <w:rsid w:val="003212D9"/>
    <w:rsid w:val="0032351A"/>
    <w:rsid w:val="003237C1"/>
    <w:rsid w:val="0032451C"/>
    <w:rsid w:val="00324B33"/>
    <w:rsid w:val="00326F69"/>
    <w:rsid w:val="00327488"/>
    <w:rsid w:val="003302FF"/>
    <w:rsid w:val="0033234A"/>
    <w:rsid w:val="00333B51"/>
    <w:rsid w:val="0033413A"/>
    <w:rsid w:val="00336325"/>
    <w:rsid w:val="00336411"/>
    <w:rsid w:val="00336FE1"/>
    <w:rsid w:val="00337BD8"/>
    <w:rsid w:val="00337F87"/>
    <w:rsid w:val="00342D56"/>
    <w:rsid w:val="003456E7"/>
    <w:rsid w:val="00346EC2"/>
    <w:rsid w:val="003477F9"/>
    <w:rsid w:val="0035231F"/>
    <w:rsid w:val="0035444D"/>
    <w:rsid w:val="00356D62"/>
    <w:rsid w:val="00363088"/>
    <w:rsid w:val="00363DDB"/>
    <w:rsid w:val="00363EE3"/>
    <w:rsid w:val="003733E3"/>
    <w:rsid w:val="003735F3"/>
    <w:rsid w:val="003738F2"/>
    <w:rsid w:val="00374729"/>
    <w:rsid w:val="00375860"/>
    <w:rsid w:val="0037664E"/>
    <w:rsid w:val="00377E00"/>
    <w:rsid w:val="00381AA4"/>
    <w:rsid w:val="00387298"/>
    <w:rsid w:val="00387984"/>
    <w:rsid w:val="00390A1D"/>
    <w:rsid w:val="00393726"/>
    <w:rsid w:val="00393A5D"/>
    <w:rsid w:val="00395140"/>
    <w:rsid w:val="00396D9B"/>
    <w:rsid w:val="003A2422"/>
    <w:rsid w:val="003A6337"/>
    <w:rsid w:val="003A6871"/>
    <w:rsid w:val="003B0BC5"/>
    <w:rsid w:val="003B149C"/>
    <w:rsid w:val="003B2710"/>
    <w:rsid w:val="003C0FDB"/>
    <w:rsid w:val="003C1192"/>
    <w:rsid w:val="003C3D80"/>
    <w:rsid w:val="003C55E2"/>
    <w:rsid w:val="003C5C13"/>
    <w:rsid w:val="003C63D5"/>
    <w:rsid w:val="003C6D37"/>
    <w:rsid w:val="003C7AA8"/>
    <w:rsid w:val="003D66DE"/>
    <w:rsid w:val="003D71A1"/>
    <w:rsid w:val="003E39B8"/>
    <w:rsid w:val="003E461F"/>
    <w:rsid w:val="003E5524"/>
    <w:rsid w:val="003F2F63"/>
    <w:rsid w:val="004018B8"/>
    <w:rsid w:val="0041127E"/>
    <w:rsid w:val="0041688F"/>
    <w:rsid w:val="00421571"/>
    <w:rsid w:val="0042376F"/>
    <w:rsid w:val="0042381C"/>
    <w:rsid w:val="004246B8"/>
    <w:rsid w:val="004248F1"/>
    <w:rsid w:val="004259EB"/>
    <w:rsid w:val="00425E1C"/>
    <w:rsid w:val="004260E4"/>
    <w:rsid w:val="00426847"/>
    <w:rsid w:val="00432F98"/>
    <w:rsid w:val="00433318"/>
    <w:rsid w:val="004411D9"/>
    <w:rsid w:val="00442A56"/>
    <w:rsid w:val="00442A78"/>
    <w:rsid w:val="004444B0"/>
    <w:rsid w:val="00444FA4"/>
    <w:rsid w:val="0045060B"/>
    <w:rsid w:val="004626FF"/>
    <w:rsid w:val="0046285C"/>
    <w:rsid w:val="00463EAD"/>
    <w:rsid w:val="00470A52"/>
    <w:rsid w:val="00471BD5"/>
    <w:rsid w:val="00472D93"/>
    <w:rsid w:val="00473CB6"/>
    <w:rsid w:val="00477C4E"/>
    <w:rsid w:val="00477F07"/>
    <w:rsid w:val="00480FD3"/>
    <w:rsid w:val="00481503"/>
    <w:rsid w:val="00481D12"/>
    <w:rsid w:val="00482D8E"/>
    <w:rsid w:val="004854A6"/>
    <w:rsid w:val="004908E2"/>
    <w:rsid w:val="00491A55"/>
    <w:rsid w:val="00494C3E"/>
    <w:rsid w:val="00497DF1"/>
    <w:rsid w:val="004A20BC"/>
    <w:rsid w:val="004A318E"/>
    <w:rsid w:val="004A3801"/>
    <w:rsid w:val="004A45D4"/>
    <w:rsid w:val="004A57E8"/>
    <w:rsid w:val="004A66AA"/>
    <w:rsid w:val="004B0854"/>
    <w:rsid w:val="004B1E1D"/>
    <w:rsid w:val="004B2938"/>
    <w:rsid w:val="004B3081"/>
    <w:rsid w:val="004B4A09"/>
    <w:rsid w:val="004B51B0"/>
    <w:rsid w:val="004B7CFB"/>
    <w:rsid w:val="004C138A"/>
    <w:rsid w:val="004C41CE"/>
    <w:rsid w:val="004C631B"/>
    <w:rsid w:val="004D0933"/>
    <w:rsid w:val="004D2417"/>
    <w:rsid w:val="004D2F00"/>
    <w:rsid w:val="004D31D8"/>
    <w:rsid w:val="004D35D1"/>
    <w:rsid w:val="004D4AD5"/>
    <w:rsid w:val="004D4EFA"/>
    <w:rsid w:val="004D5388"/>
    <w:rsid w:val="004D551B"/>
    <w:rsid w:val="004D7AD9"/>
    <w:rsid w:val="004E4EC2"/>
    <w:rsid w:val="004E5E1B"/>
    <w:rsid w:val="004E7CA8"/>
    <w:rsid w:val="004E7F16"/>
    <w:rsid w:val="004F18EC"/>
    <w:rsid w:val="004F4819"/>
    <w:rsid w:val="004F7121"/>
    <w:rsid w:val="0050087B"/>
    <w:rsid w:val="00500D68"/>
    <w:rsid w:val="00502D5F"/>
    <w:rsid w:val="00505A98"/>
    <w:rsid w:val="005126C8"/>
    <w:rsid w:val="00517BCC"/>
    <w:rsid w:val="00521987"/>
    <w:rsid w:val="00522146"/>
    <w:rsid w:val="0052271B"/>
    <w:rsid w:val="00532E25"/>
    <w:rsid w:val="0053377D"/>
    <w:rsid w:val="00533B22"/>
    <w:rsid w:val="00535DFE"/>
    <w:rsid w:val="005373B5"/>
    <w:rsid w:val="00537AB7"/>
    <w:rsid w:val="00537C22"/>
    <w:rsid w:val="00540C1A"/>
    <w:rsid w:val="00543DFC"/>
    <w:rsid w:val="0054669B"/>
    <w:rsid w:val="00553899"/>
    <w:rsid w:val="005542BC"/>
    <w:rsid w:val="00557684"/>
    <w:rsid w:val="00560EC1"/>
    <w:rsid w:val="005610D1"/>
    <w:rsid w:val="00562F42"/>
    <w:rsid w:val="0056522D"/>
    <w:rsid w:val="005656EA"/>
    <w:rsid w:val="00565739"/>
    <w:rsid w:val="0056766D"/>
    <w:rsid w:val="00571005"/>
    <w:rsid w:val="00575215"/>
    <w:rsid w:val="005775D0"/>
    <w:rsid w:val="00581138"/>
    <w:rsid w:val="00583F2C"/>
    <w:rsid w:val="0058575E"/>
    <w:rsid w:val="00586719"/>
    <w:rsid w:val="0058783C"/>
    <w:rsid w:val="005911AE"/>
    <w:rsid w:val="005926E2"/>
    <w:rsid w:val="0059313A"/>
    <w:rsid w:val="00595246"/>
    <w:rsid w:val="00597B0B"/>
    <w:rsid w:val="005A39B7"/>
    <w:rsid w:val="005A53C4"/>
    <w:rsid w:val="005A54EA"/>
    <w:rsid w:val="005B023F"/>
    <w:rsid w:val="005B02A2"/>
    <w:rsid w:val="005B1417"/>
    <w:rsid w:val="005B329C"/>
    <w:rsid w:val="005B4DC1"/>
    <w:rsid w:val="005B69CF"/>
    <w:rsid w:val="005B70C8"/>
    <w:rsid w:val="005C0433"/>
    <w:rsid w:val="005C3F07"/>
    <w:rsid w:val="005C4B46"/>
    <w:rsid w:val="005C5DC5"/>
    <w:rsid w:val="005D0E1E"/>
    <w:rsid w:val="005D2089"/>
    <w:rsid w:val="005D4762"/>
    <w:rsid w:val="005D5491"/>
    <w:rsid w:val="005D7514"/>
    <w:rsid w:val="005E0B51"/>
    <w:rsid w:val="005E0FC6"/>
    <w:rsid w:val="005E1A7B"/>
    <w:rsid w:val="005E231F"/>
    <w:rsid w:val="005E5A32"/>
    <w:rsid w:val="005E609D"/>
    <w:rsid w:val="005E6ADE"/>
    <w:rsid w:val="005F6266"/>
    <w:rsid w:val="005F6AAC"/>
    <w:rsid w:val="0060000A"/>
    <w:rsid w:val="00602D6E"/>
    <w:rsid w:val="00604503"/>
    <w:rsid w:val="00605C05"/>
    <w:rsid w:val="00606434"/>
    <w:rsid w:val="00611351"/>
    <w:rsid w:val="0061217D"/>
    <w:rsid w:val="006129AE"/>
    <w:rsid w:val="00613034"/>
    <w:rsid w:val="00616D32"/>
    <w:rsid w:val="00617341"/>
    <w:rsid w:val="00622A61"/>
    <w:rsid w:val="006277A1"/>
    <w:rsid w:val="00630A0D"/>
    <w:rsid w:val="00633BD7"/>
    <w:rsid w:val="00634580"/>
    <w:rsid w:val="00634884"/>
    <w:rsid w:val="00634F6C"/>
    <w:rsid w:val="006351D9"/>
    <w:rsid w:val="00637130"/>
    <w:rsid w:val="00637F0E"/>
    <w:rsid w:val="006423F2"/>
    <w:rsid w:val="006428C5"/>
    <w:rsid w:val="006437E2"/>
    <w:rsid w:val="00646717"/>
    <w:rsid w:val="00646971"/>
    <w:rsid w:val="00647C03"/>
    <w:rsid w:val="00650234"/>
    <w:rsid w:val="0066044B"/>
    <w:rsid w:val="00660DFA"/>
    <w:rsid w:val="006630AA"/>
    <w:rsid w:val="00663544"/>
    <w:rsid w:val="006659A1"/>
    <w:rsid w:val="00666539"/>
    <w:rsid w:val="00666911"/>
    <w:rsid w:val="006706AB"/>
    <w:rsid w:val="00670E78"/>
    <w:rsid w:val="006735CD"/>
    <w:rsid w:val="00675F81"/>
    <w:rsid w:val="00677A1D"/>
    <w:rsid w:val="00680762"/>
    <w:rsid w:val="0068143E"/>
    <w:rsid w:val="0068254C"/>
    <w:rsid w:val="00682AC8"/>
    <w:rsid w:val="0068507D"/>
    <w:rsid w:val="00691AF2"/>
    <w:rsid w:val="00692B80"/>
    <w:rsid w:val="00692CCD"/>
    <w:rsid w:val="00692D51"/>
    <w:rsid w:val="00693220"/>
    <w:rsid w:val="00694DD7"/>
    <w:rsid w:val="0069636B"/>
    <w:rsid w:val="006A1762"/>
    <w:rsid w:val="006A19CE"/>
    <w:rsid w:val="006A1F0B"/>
    <w:rsid w:val="006A277A"/>
    <w:rsid w:val="006A5973"/>
    <w:rsid w:val="006A7AEE"/>
    <w:rsid w:val="006B04F3"/>
    <w:rsid w:val="006B5E64"/>
    <w:rsid w:val="006B68A9"/>
    <w:rsid w:val="006B7126"/>
    <w:rsid w:val="006C0966"/>
    <w:rsid w:val="006C1ED7"/>
    <w:rsid w:val="006C6B86"/>
    <w:rsid w:val="006D3994"/>
    <w:rsid w:val="006D4553"/>
    <w:rsid w:val="006D4A35"/>
    <w:rsid w:val="006D4E29"/>
    <w:rsid w:val="006D6B44"/>
    <w:rsid w:val="006D7A89"/>
    <w:rsid w:val="006E0059"/>
    <w:rsid w:val="006E0F71"/>
    <w:rsid w:val="006E27FE"/>
    <w:rsid w:val="006E4338"/>
    <w:rsid w:val="006E4D08"/>
    <w:rsid w:val="006E6059"/>
    <w:rsid w:val="006E60D8"/>
    <w:rsid w:val="006F143F"/>
    <w:rsid w:val="006F15CB"/>
    <w:rsid w:val="006F1BBE"/>
    <w:rsid w:val="00701110"/>
    <w:rsid w:val="00702E91"/>
    <w:rsid w:val="0070330F"/>
    <w:rsid w:val="00703624"/>
    <w:rsid w:val="007046ED"/>
    <w:rsid w:val="00704D35"/>
    <w:rsid w:val="0070541F"/>
    <w:rsid w:val="007072A1"/>
    <w:rsid w:val="0071060C"/>
    <w:rsid w:val="00710BC5"/>
    <w:rsid w:val="00711C19"/>
    <w:rsid w:val="007121CA"/>
    <w:rsid w:val="0072003B"/>
    <w:rsid w:val="00720E82"/>
    <w:rsid w:val="00721059"/>
    <w:rsid w:val="007211E6"/>
    <w:rsid w:val="007220C4"/>
    <w:rsid w:val="00722E1E"/>
    <w:rsid w:val="0072474F"/>
    <w:rsid w:val="007305ED"/>
    <w:rsid w:val="007311B9"/>
    <w:rsid w:val="007318D1"/>
    <w:rsid w:val="00732361"/>
    <w:rsid w:val="00734710"/>
    <w:rsid w:val="00734CAC"/>
    <w:rsid w:val="007357B9"/>
    <w:rsid w:val="00740AB9"/>
    <w:rsid w:val="00741AB9"/>
    <w:rsid w:val="00742D03"/>
    <w:rsid w:val="00744216"/>
    <w:rsid w:val="007452E8"/>
    <w:rsid w:val="00746990"/>
    <w:rsid w:val="00747093"/>
    <w:rsid w:val="00750D70"/>
    <w:rsid w:val="007531F6"/>
    <w:rsid w:val="00754A42"/>
    <w:rsid w:val="007575D0"/>
    <w:rsid w:val="00764ACE"/>
    <w:rsid w:val="007662E0"/>
    <w:rsid w:val="0077576D"/>
    <w:rsid w:val="007762CD"/>
    <w:rsid w:val="00776E9C"/>
    <w:rsid w:val="0078065D"/>
    <w:rsid w:val="007816D8"/>
    <w:rsid w:val="00782901"/>
    <w:rsid w:val="00784150"/>
    <w:rsid w:val="00785283"/>
    <w:rsid w:val="00793272"/>
    <w:rsid w:val="007947A0"/>
    <w:rsid w:val="0079499A"/>
    <w:rsid w:val="00794B64"/>
    <w:rsid w:val="007967C3"/>
    <w:rsid w:val="0079747E"/>
    <w:rsid w:val="00797516"/>
    <w:rsid w:val="007A0A33"/>
    <w:rsid w:val="007A1E6F"/>
    <w:rsid w:val="007A5365"/>
    <w:rsid w:val="007A5E1A"/>
    <w:rsid w:val="007B04DE"/>
    <w:rsid w:val="007B0AE6"/>
    <w:rsid w:val="007C0F0B"/>
    <w:rsid w:val="007C4EF5"/>
    <w:rsid w:val="007C57BC"/>
    <w:rsid w:val="007C729C"/>
    <w:rsid w:val="007D04CA"/>
    <w:rsid w:val="007D0676"/>
    <w:rsid w:val="007D0A2B"/>
    <w:rsid w:val="007D12A1"/>
    <w:rsid w:val="007D3E16"/>
    <w:rsid w:val="007D40E5"/>
    <w:rsid w:val="007D4138"/>
    <w:rsid w:val="007E2113"/>
    <w:rsid w:val="007E2CE8"/>
    <w:rsid w:val="007E4178"/>
    <w:rsid w:val="007E4ACC"/>
    <w:rsid w:val="007E4FF8"/>
    <w:rsid w:val="007E583E"/>
    <w:rsid w:val="007E6443"/>
    <w:rsid w:val="007E6D0F"/>
    <w:rsid w:val="007F0A77"/>
    <w:rsid w:val="007F1E37"/>
    <w:rsid w:val="007F50D3"/>
    <w:rsid w:val="007F54A5"/>
    <w:rsid w:val="007F6B1F"/>
    <w:rsid w:val="007F6D90"/>
    <w:rsid w:val="00800BDE"/>
    <w:rsid w:val="008013F0"/>
    <w:rsid w:val="0080221D"/>
    <w:rsid w:val="00803926"/>
    <w:rsid w:val="00804897"/>
    <w:rsid w:val="00816EB2"/>
    <w:rsid w:val="00820896"/>
    <w:rsid w:val="00821D2F"/>
    <w:rsid w:val="008231A5"/>
    <w:rsid w:val="008262B7"/>
    <w:rsid w:val="0082642E"/>
    <w:rsid w:val="0082780E"/>
    <w:rsid w:val="00827C0C"/>
    <w:rsid w:val="008329DB"/>
    <w:rsid w:val="00834F89"/>
    <w:rsid w:val="008361C5"/>
    <w:rsid w:val="0083628F"/>
    <w:rsid w:val="008373B6"/>
    <w:rsid w:val="00837AB9"/>
    <w:rsid w:val="0084461B"/>
    <w:rsid w:val="00845CF5"/>
    <w:rsid w:val="0085037F"/>
    <w:rsid w:val="00850637"/>
    <w:rsid w:val="00851168"/>
    <w:rsid w:val="00854D98"/>
    <w:rsid w:val="0085751E"/>
    <w:rsid w:val="00860B29"/>
    <w:rsid w:val="008622E8"/>
    <w:rsid w:val="008645EE"/>
    <w:rsid w:val="008667B7"/>
    <w:rsid w:val="00866DFA"/>
    <w:rsid w:val="00870144"/>
    <w:rsid w:val="0087072C"/>
    <w:rsid w:val="00871312"/>
    <w:rsid w:val="00873D7A"/>
    <w:rsid w:val="00875111"/>
    <w:rsid w:val="00877CB3"/>
    <w:rsid w:val="008804CF"/>
    <w:rsid w:val="00882D58"/>
    <w:rsid w:val="00882F19"/>
    <w:rsid w:val="00883D35"/>
    <w:rsid w:val="00884569"/>
    <w:rsid w:val="008864F2"/>
    <w:rsid w:val="00887A51"/>
    <w:rsid w:val="0089038A"/>
    <w:rsid w:val="00890D9B"/>
    <w:rsid w:val="00891C6C"/>
    <w:rsid w:val="00893CCD"/>
    <w:rsid w:val="008955DA"/>
    <w:rsid w:val="0089610B"/>
    <w:rsid w:val="008964B3"/>
    <w:rsid w:val="008A0BCE"/>
    <w:rsid w:val="008B1CB5"/>
    <w:rsid w:val="008B3AD3"/>
    <w:rsid w:val="008B408D"/>
    <w:rsid w:val="008B4302"/>
    <w:rsid w:val="008B5CF8"/>
    <w:rsid w:val="008C2703"/>
    <w:rsid w:val="008C2D69"/>
    <w:rsid w:val="008C4579"/>
    <w:rsid w:val="008C4638"/>
    <w:rsid w:val="008C49C6"/>
    <w:rsid w:val="008C6041"/>
    <w:rsid w:val="008C754C"/>
    <w:rsid w:val="008D0ABC"/>
    <w:rsid w:val="008D0CAC"/>
    <w:rsid w:val="008D2459"/>
    <w:rsid w:val="008D56C9"/>
    <w:rsid w:val="008D56CA"/>
    <w:rsid w:val="008D6A54"/>
    <w:rsid w:val="008E2585"/>
    <w:rsid w:val="008E2D7A"/>
    <w:rsid w:val="008E4E81"/>
    <w:rsid w:val="008F068E"/>
    <w:rsid w:val="008F3215"/>
    <w:rsid w:val="008F4A62"/>
    <w:rsid w:val="008F7256"/>
    <w:rsid w:val="008F74FD"/>
    <w:rsid w:val="0090424C"/>
    <w:rsid w:val="0090605E"/>
    <w:rsid w:val="00906C74"/>
    <w:rsid w:val="009108CE"/>
    <w:rsid w:val="0091222D"/>
    <w:rsid w:val="00914923"/>
    <w:rsid w:val="00915A9F"/>
    <w:rsid w:val="009176E6"/>
    <w:rsid w:val="00917C40"/>
    <w:rsid w:val="00920364"/>
    <w:rsid w:val="00930D58"/>
    <w:rsid w:val="00935828"/>
    <w:rsid w:val="00935AAA"/>
    <w:rsid w:val="00940525"/>
    <w:rsid w:val="00943095"/>
    <w:rsid w:val="00944D73"/>
    <w:rsid w:val="00944FF6"/>
    <w:rsid w:val="00947631"/>
    <w:rsid w:val="0095031E"/>
    <w:rsid w:val="00954297"/>
    <w:rsid w:val="00955121"/>
    <w:rsid w:val="00956838"/>
    <w:rsid w:val="00956B2C"/>
    <w:rsid w:val="00960485"/>
    <w:rsid w:val="00960A56"/>
    <w:rsid w:val="00966EF1"/>
    <w:rsid w:val="00967223"/>
    <w:rsid w:val="009751F7"/>
    <w:rsid w:val="0098168B"/>
    <w:rsid w:val="0098350E"/>
    <w:rsid w:val="0098666B"/>
    <w:rsid w:val="00990C12"/>
    <w:rsid w:val="0099404F"/>
    <w:rsid w:val="00996FA5"/>
    <w:rsid w:val="009A025C"/>
    <w:rsid w:val="009B5662"/>
    <w:rsid w:val="009C2211"/>
    <w:rsid w:val="009C3789"/>
    <w:rsid w:val="009C40E8"/>
    <w:rsid w:val="009C45C5"/>
    <w:rsid w:val="009E466A"/>
    <w:rsid w:val="009E6858"/>
    <w:rsid w:val="009E6F8C"/>
    <w:rsid w:val="009E7682"/>
    <w:rsid w:val="009E7731"/>
    <w:rsid w:val="009E79C0"/>
    <w:rsid w:val="009F405F"/>
    <w:rsid w:val="009F5975"/>
    <w:rsid w:val="00A01C56"/>
    <w:rsid w:val="00A06BA3"/>
    <w:rsid w:val="00A10141"/>
    <w:rsid w:val="00A10C1A"/>
    <w:rsid w:val="00A11BCC"/>
    <w:rsid w:val="00A122DB"/>
    <w:rsid w:val="00A26C08"/>
    <w:rsid w:val="00A32C50"/>
    <w:rsid w:val="00A358E7"/>
    <w:rsid w:val="00A36762"/>
    <w:rsid w:val="00A41E4F"/>
    <w:rsid w:val="00A4380B"/>
    <w:rsid w:val="00A51A2D"/>
    <w:rsid w:val="00A549D0"/>
    <w:rsid w:val="00A5596B"/>
    <w:rsid w:val="00A63C07"/>
    <w:rsid w:val="00A63D9B"/>
    <w:rsid w:val="00A64C0B"/>
    <w:rsid w:val="00A66407"/>
    <w:rsid w:val="00A704DC"/>
    <w:rsid w:val="00A723BA"/>
    <w:rsid w:val="00A84590"/>
    <w:rsid w:val="00A8699D"/>
    <w:rsid w:val="00A87172"/>
    <w:rsid w:val="00A93DC6"/>
    <w:rsid w:val="00A9411A"/>
    <w:rsid w:val="00A97D76"/>
    <w:rsid w:val="00AA0274"/>
    <w:rsid w:val="00AA2AD3"/>
    <w:rsid w:val="00AA4A4B"/>
    <w:rsid w:val="00AA6682"/>
    <w:rsid w:val="00AA763D"/>
    <w:rsid w:val="00AB0408"/>
    <w:rsid w:val="00AB0613"/>
    <w:rsid w:val="00AB158B"/>
    <w:rsid w:val="00AB2B23"/>
    <w:rsid w:val="00AB3F3C"/>
    <w:rsid w:val="00AB7C5C"/>
    <w:rsid w:val="00AB7CBF"/>
    <w:rsid w:val="00AC1E7B"/>
    <w:rsid w:val="00AC690D"/>
    <w:rsid w:val="00AD0111"/>
    <w:rsid w:val="00AD089E"/>
    <w:rsid w:val="00AD0B68"/>
    <w:rsid w:val="00AD0F84"/>
    <w:rsid w:val="00AD40C3"/>
    <w:rsid w:val="00AD42F9"/>
    <w:rsid w:val="00AD4C72"/>
    <w:rsid w:val="00AD5451"/>
    <w:rsid w:val="00AE1947"/>
    <w:rsid w:val="00AE3977"/>
    <w:rsid w:val="00AF1C8B"/>
    <w:rsid w:val="00AF299B"/>
    <w:rsid w:val="00AF7E43"/>
    <w:rsid w:val="00B02AE0"/>
    <w:rsid w:val="00B03F25"/>
    <w:rsid w:val="00B05326"/>
    <w:rsid w:val="00B056DD"/>
    <w:rsid w:val="00B129CD"/>
    <w:rsid w:val="00B13B67"/>
    <w:rsid w:val="00B14545"/>
    <w:rsid w:val="00B14E60"/>
    <w:rsid w:val="00B17BA2"/>
    <w:rsid w:val="00B21597"/>
    <w:rsid w:val="00B26919"/>
    <w:rsid w:val="00B26DC3"/>
    <w:rsid w:val="00B27219"/>
    <w:rsid w:val="00B30B9D"/>
    <w:rsid w:val="00B33AE4"/>
    <w:rsid w:val="00B4574D"/>
    <w:rsid w:val="00B468E1"/>
    <w:rsid w:val="00B46BC0"/>
    <w:rsid w:val="00B46C2A"/>
    <w:rsid w:val="00B46DFB"/>
    <w:rsid w:val="00B47168"/>
    <w:rsid w:val="00B5141B"/>
    <w:rsid w:val="00B54006"/>
    <w:rsid w:val="00B54AA8"/>
    <w:rsid w:val="00B54BA4"/>
    <w:rsid w:val="00B55681"/>
    <w:rsid w:val="00B57AAD"/>
    <w:rsid w:val="00B6374E"/>
    <w:rsid w:val="00B64937"/>
    <w:rsid w:val="00B72B16"/>
    <w:rsid w:val="00B74A3E"/>
    <w:rsid w:val="00B74FEE"/>
    <w:rsid w:val="00B7537D"/>
    <w:rsid w:val="00B80408"/>
    <w:rsid w:val="00B81397"/>
    <w:rsid w:val="00B848AF"/>
    <w:rsid w:val="00B925DB"/>
    <w:rsid w:val="00B967FF"/>
    <w:rsid w:val="00B96C49"/>
    <w:rsid w:val="00B974B9"/>
    <w:rsid w:val="00B97E79"/>
    <w:rsid w:val="00BA3759"/>
    <w:rsid w:val="00BA3F6D"/>
    <w:rsid w:val="00BA4BE6"/>
    <w:rsid w:val="00BA4FC0"/>
    <w:rsid w:val="00BA507F"/>
    <w:rsid w:val="00BA61E0"/>
    <w:rsid w:val="00BA657C"/>
    <w:rsid w:val="00BA7F7D"/>
    <w:rsid w:val="00BB1C14"/>
    <w:rsid w:val="00BB37C8"/>
    <w:rsid w:val="00BB6847"/>
    <w:rsid w:val="00BB6C2E"/>
    <w:rsid w:val="00BB7F8F"/>
    <w:rsid w:val="00BC049F"/>
    <w:rsid w:val="00BC09FC"/>
    <w:rsid w:val="00BC716A"/>
    <w:rsid w:val="00BD07DF"/>
    <w:rsid w:val="00BD1239"/>
    <w:rsid w:val="00BD15C7"/>
    <w:rsid w:val="00BD26F4"/>
    <w:rsid w:val="00BD35E9"/>
    <w:rsid w:val="00BD5DBD"/>
    <w:rsid w:val="00BD5DF6"/>
    <w:rsid w:val="00BD6F8B"/>
    <w:rsid w:val="00BE0041"/>
    <w:rsid w:val="00BE1D26"/>
    <w:rsid w:val="00BE2806"/>
    <w:rsid w:val="00BE640F"/>
    <w:rsid w:val="00BE6D2A"/>
    <w:rsid w:val="00BF4638"/>
    <w:rsid w:val="00BF502D"/>
    <w:rsid w:val="00BF5130"/>
    <w:rsid w:val="00C00844"/>
    <w:rsid w:val="00C01ED9"/>
    <w:rsid w:val="00C04520"/>
    <w:rsid w:val="00C053EF"/>
    <w:rsid w:val="00C059D0"/>
    <w:rsid w:val="00C05AF8"/>
    <w:rsid w:val="00C07551"/>
    <w:rsid w:val="00C1109F"/>
    <w:rsid w:val="00C12D65"/>
    <w:rsid w:val="00C133AB"/>
    <w:rsid w:val="00C151FC"/>
    <w:rsid w:val="00C17021"/>
    <w:rsid w:val="00C20B56"/>
    <w:rsid w:val="00C22214"/>
    <w:rsid w:val="00C25B0C"/>
    <w:rsid w:val="00C26F72"/>
    <w:rsid w:val="00C309A7"/>
    <w:rsid w:val="00C33293"/>
    <w:rsid w:val="00C335AB"/>
    <w:rsid w:val="00C407AB"/>
    <w:rsid w:val="00C4176C"/>
    <w:rsid w:val="00C455E9"/>
    <w:rsid w:val="00C52B7B"/>
    <w:rsid w:val="00C5410A"/>
    <w:rsid w:val="00C547CD"/>
    <w:rsid w:val="00C570FF"/>
    <w:rsid w:val="00C57CEA"/>
    <w:rsid w:val="00C60FEC"/>
    <w:rsid w:val="00C62B1C"/>
    <w:rsid w:val="00C63709"/>
    <w:rsid w:val="00C6574E"/>
    <w:rsid w:val="00C657C6"/>
    <w:rsid w:val="00C663D1"/>
    <w:rsid w:val="00C707FD"/>
    <w:rsid w:val="00C72623"/>
    <w:rsid w:val="00C76DEB"/>
    <w:rsid w:val="00C80E54"/>
    <w:rsid w:val="00C811D8"/>
    <w:rsid w:val="00C816C6"/>
    <w:rsid w:val="00C863A7"/>
    <w:rsid w:val="00C90396"/>
    <w:rsid w:val="00C912F4"/>
    <w:rsid w:val="00C9156F"/>
    <w:rsid w:val="00C9581A"/>
    <w:rsid w:val="00C96D3F"/>
    <w:rsid w:val="00C97D29"/>
    <w:rsid w:val="00CA11F7"/>
    <w:rsid w:val="00CA5F31"/>
    <w:rsid w:val="00CB0550"/>
    <w:rsid w:val="00CB45CC"/>
    <w:rsid w:val="00CB6813"/>
    <w:rsid w:val="00CB76F1"/>
    <w:rsid w:val="00CC4A40"/>
    <w:rsid w:val="00CD75B8"/>
    <w:rsid w:val="00CE4281"/>
    <w:rsid w:val="00CE5E3D"/>
    <w:rsid w:val="00CF513B"/>
    <w:rsid w:val="00CF613A"/>
    <w:rsid w:val="00CF6A55"/>
    <w:rsid w:val="00CF6DC6"/>
    <w:rsid w:val="00CF6DCF"/>
    <w:rsid w:val="00D01DDB"/>
    <w:rsid w:val="00D048DD"/>
    <w:rsid w:val="00D078BE"/>
    <w:rsid w:val="00D1189C"/>
    <w:rsid w:val="00D13F8A"/>
    <w:rsid w:val="00D14655"/>
    <w:rsid w:val="00D16F60"/>
    <w:rsid w:val="00D22981"/>
    <w:rsid w:val="00D268C3"/>
    <w:rsid w:val="00D3234A"/>
    <w:rsid w:val="00D3349B"/>
    <w:rsid w:val="00D41F36"/>
    <w:rsid w:val="00D424A8"/>
    <w:rsid w:val="00D53496"/>
    <w:rsid w:val="00D6036F"/>
    <w:rsid w:val="00D62877"/>
    <w:rsid w:val="00D63482"/>
    <w:rsid w:val="00D63760"/>
    <w:rsid w:val="00D6703F"/>
    <w:rsid w:val="00D726AA"/>
    <w:rsid w:val="00D734EB"/>
    <w:rsid w:val="00D73579"/>
    <w:rsid w:val="00D76686"/>
    <w:rsid w:val="00D82713"/>
    <w:rsid w:val="00D86F00"/>
    <w:rsid w:val="00D918D5"/>
    <w:rsid w:val="00D94C8E"/>
    <w:rsid w:val="00D96506"/>
    <w:rsid w:val="00DA1A5C"/>
    <w:rsid w:val="00DA21B5"/>
    <w:rsid w:val="00DA4C19"/>
    <w:rsid w:val="00DA4CC9"/>
    <w:rsid w:val="00DA6ED7"/>
    <w:rsid w:val="00DB0A67"/>
    <w:rsid w:val="00DB1372"/>
    <w:rsid w:val="00DB192C"/>
    <w:rsid w:val="00DB1CF3"/>
    <w:rsid w:val="00DB21FF"/>
    <w:rsid w:val="00DB5425"/>
    <w:rsid w:val="00DB5DDA"/>
    <w:rsid w:val="00DB72A6"/>
    <w:rsid w:val="00DC1F14"/>
    <w:rsid w:val="00DC2C07"/>
    <w:rsid w:val="00DC33AF"/>
    <w:rsid w:val="00DC6611"/>
    <w:rsid w:val="00DD3E67"/>
    <w:rsid w:val="00DD5AFB"/>
    <w:rsid w:val="00DE1344"/>
    <w:rsid w:val="00DE4BBF"/>
    <w:rsid w:val="00DF1CFD"/>
    <w:rsid w:val="00DF3C9B"/>
    <w:rsid w:val="00DF3DC2"/>
    <w:rsid w:val="00DF5BFE"/>
    <w:rsid w:val="00DF6505"/>
    <w:rsid w:val="00DF6C53"/>
    <w:rsid w:val="00E0523F"/>
    <w:rsid w:val="00E06CFB"/>
    <w:rsid w:val="00E13FE2"/>
    <w:rsid w:val="00E23E50"/>
    <w:rsid w:val="00E26213"/>
    <w:rsid w:val="00E274DF"/>
    <w:rsid w:val="00E3390D"/>
    <w:rsid w:val="00E34D66"/>
    <w:rsid w:val="00E35153"/>
    <w:rsid w:val="00E362C4"/>
    <w:rsid w:val="00E46A8E"/>
    <w:rsid w:val="00E46CC2"/>
    <w:rsid w:val="00E47E0C"/>
    <w:rsid w:val="00E47ED2"/>
    <w:rsid w:val="00E51813"/>
    <w:rsid w:val="00E51CCC"/>
    <w:rsid w:val="00E52C0B"/>
    <w:rsid w:val="00E53D3F"/>
    <w:rsid w:val="00E544ED"/>
    <w:rsid w:val="00E5579B"/>
    <w:rsid w:val="00E57FF4"/>
    <w:rsid w:val="00E61602"/>
    <w:rsid w:val="00E62208"/>
    <w:rsid w:val="00E62AF0"/>
    <w:rsid w:val="00E67658"/>
    <w:rsid w:val="00E679D1"/>
    <w:rsid w:val="00E67C1C"/>
    <w:rsid w:val="00E70A7D"/>
    <w:rsid w:val="00E73CB4"/>
    <w:rsid w:val="00E7418F"/>
    <w:rsid w:val="00E84644"/>
    <w:rsid w:val="00E85209"/>
    <w:rsid w:val="00E86DA3"/>
    <w:rsid w:val="00E91F11"/>
    <w:rsid w:val="00E9706D"/>
    <w:rsid w:val="00E97F85"/>
    <w:rsid w:val="00EA3AF4"/>
    <w:rsid w:val="00EA3C8D"/>
    <w:rsid w:val="00EA5336"/>
    <w:rsid w:val="00EA72A7"/>
    <w:rsid w:val="00EB29D1"/>
    <w:rsid w:val="00EB7190"/>
    <w:rsid w:val="00EC50E7"/>
    <w:rsid w:val="00EC5EE1"/>
    <w:rsid w:val="00EC67B3"/>
    <w:rsid w:val="00ED017D"/>
    <w:rsid w:val="00ED099C"/>
    <w:rsid w:val="00ED1726"/>
    <w:rsid w:val="00ED68A5"/>
    <w:rsid w:val="00ED7458"/>
    <w:rsid w:val="00EE45C9"/>
    <w:rsid w:val="00EE4B01"/>
    <w:rsid w:val="00EF3497"/>
    <w:rsid w:val="00EF3F0B"/>
    <w:rsid w:val="00EF5583"/>
    <w:rsid w:val="00EF6F9F"/>
    <w:rsid w:val="00F01D64"/>
    <w:rsid w:val="00F0289D"/>
    <w:rsid w:val="00F02AEC"/>
    <w:rsid w:val="00F07455"/>
    <w:rsid w:val="00F07572"/>
    <w:rsid w:val="00F10CF0"/>
    <w:rsid w:val="00F1268B"/>
    <w:rsid w:val="00F132F6"/>
    <w:rsid w:val="00F157FC"/>
    <w:rsid w:val="00F17807"/>
    <w:rsid w:val="00F224D2"/>
    <w:rsid w:val="00F27AFE"/>
    <w:rsid w:val="00F30AF3"/>
    <w:rsid w:val="00F31093"/>
    <w:rsid w:val="00F3247A"/>
    <w:rsid w:val="00F35E16"/>
    <w:rsid w:val="00F41B68"/>
    <w:rsid w:val="00F43CD1"/>
    <w:rsid w:val="00F45AE0"/>
    <w:rsid w:val="00F50F2E"/>
    <w:rsid w:val="00F5112C"/>
    <w:rsid w:val="00F57421"/>
    <w:rsid w:val="00F60858"/>
    <w:rsid w:val="00F60CF2"/>
    <w:rsid w:val="00F64119"/>
    <w:rsid w:val="00F657B4"/>
    <w:rsid w:val="00F7008E"/>
    <w:rsid w:val="00F71F24"/>
    <w:rsid w:val="00F72725"/>
    <w:rsid w:val="00F744A5"/>
    <w:rsid w:val="00F7649F"/>
    <w:rsid w:val="00F8083B"/>
    <w:rsid w:val="00F813CF"/>
    <w:rsid w:val="00F82D1B"/>
    <w:rsid w:val="00F8368D"/>
    <w:rsid w:val="00F83E9B"/>
    <w:rsid w:val="00F8448B"/>
    <w:rsid w:val="00F84F6D"/>
    <w:rsid w:val="00F8568E"/>
    <w:rsid w:val="00F85A2B"/>
    <w:rsid w:val="00F865A7"/>
    <w:rsid w:val="00F87C40"/>
    <w:rsid w:val="00FA0754"/>
    <w:rsid w:val="00FA13AD"/>
    <w:rsid w:val="00FA1BC9"/>
    <w:rsid w:val="00FA49C3"/>
    <w:rsid w:val="00FA604D"/>
    <w:rsid w:val="00FB236E"/>
    <w:rsid w:val="00FB3F7B"/>
    <w:rsid w:val="00FB4C2A"/>
    <w:rsid w:val="00FC2107"/>
    <w:rsid w:val="00FC48FE"/>
    <w:rsid w:val="00FC6F56"/>
    <w:rsid w:val="00FD0E10"/>
    <w:rsid w:val="00FE00DD"/>
    <w:rsid w:val="00FE087C"/>
    <w:rsid w:val="00FE3F80"/>
    <w:rsid w:val="00FE57C6"/>
    <w:rsid w:val="00FE79A0"/>
    <w:rsid w:val="00FF0939"/>
    <w:rsid w:val="028B5E98"/>
    <w:rsid w:val="054FF6C1"/>
    <w:rsid w:val="12C6E4B2"/>
    <w:rsid w:val="180FA671"/>
    <w:rsid w:val="265A712C"/>
    <w:rsid w:val="29E3AE37"/>
    <w:rsid w:val="2F35CFA8"/>
    <w:rsid w:val="2F3E1AE7"/>
    <w:rsid w:val="377AC728"/>
    <w:rsid w:val="38B9A304"/>
    <w:rsid w:val="3D38E123"/>
    <w:rsid w:val="470066E5"/>
    <w:rsid w:val="4FFBE3A7"/>
    <w:rsid w:val="5A01683B"/>
    <w:rsid w:val="5EAB30AD"/>
    <w:rsid w:val="6C49FF2E"/>
    <w:rsid w:val="6CDF2C39"/>
    <w:rsid w:val="6E4A604B"/>
    <w:rsid w:val="6FCB4696"/>
    <w:rsid w:val="705E5D05"/>
    <w:rsid w:val="724F1B6E"/>
    <w:rsid w:val="7B296893"/>
    <w:rsid w:val="7D776C2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73D58F88-CD75-4A1D-BA1F-5A2B0C0CD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1">
    <w:name w:val="heading 1"/>
    <w:basedOn w:val="Normal"/>
    <w:next w:val="Normal"/>
    <w:link w:val="Heading1Char"/>
    <w:uiPriority w:val="9"/>
    <w:qFormat/>
    <w:rsid w:val="004D7AD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Bahnschrift SemiBold SemiConden" w:hAnsi="Bahnschrift SemiBold SemiConden"/>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autoRedefine/>
    <w:qFormat/>
    <w:rsid w:val="00B96C49"/>
    <w:pPr>
      <w:spacing w:before="120" w:line="240" w:lineRule="auto"/>
      <w:contextualSpacing/>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autoRedefine/>
    <w:qFormat/>
    <w:rsid w:val="00B96C49"/>
    <w:pPr>
      <w:keepNext/>
      <w:spacing w:before="120" w:line="240" w:lineRule="auto"/>
      <w:contextualSpacing/>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autoRedefine/>
    <w:qFormat/>
    <w:rsid w:val="00B96C49"/>
    <w:rPr>
      <w:b w:val="0"/>
      <w:sz w:val="18"/>
    </w:rPr>
  </w:style>
  <w:style w:type="paragraph" w:styleId="ListParagraph">
    <w:name w:val="List Paragraph"/>
    <w:aliases w:val="Noise heading,RUS List,Credits,Text,Cell bullets,Rec para,alphabet listing,Number abc,a List Paragraph,List Paragraph1,En tête 1,Normal 1,MICA-List,Colorful List - Accent 11,Dot pt,No Spacing1,List Paragraph Char Char Char,Indicator Text"/>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aliases w:val="Noise heading Char,RUS List Char,Credits Char,Text Char,Cell bullets Char,Rec para Char,alphabet listing Char,Number abc Char,a List Paragraph Char,List Paragraph1 Char,En tête 1 Char,Normal 1 Char,MICA-List Char,Dot pt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character" w:customStyle="1" w:styleId="Heading1Char">
    <w:name w:val="Heading 1 Char"/>
    <w:basedOn w:val="DefaultParagraphFont"/>
    <w:link w:val="Heading1"/>
    <w:uiPriority w:val="9"/>
    <w:rsid w:val="004D7AD9"/>
    <w:rPr>
      <w:rFonts w:asciiTheme="majorHAnsi" w:eastAsiaTheme="majorEastAsia" w:hAnsiTheme="majorHAnsi" w:cstheme="majorBidi"/>
      <w:color w:val="2F5496" w:themeColor="accent1" w:themeShade="BF"/>
      <w:sz w:val="32"/>
      <w:szCs w:val="32"/>
    </w:rPr>
  </w:style>
  <w:style w:type="paragraph" w:styleId="EndnoteText">
    <w:name w:val="endnote text"/>
    <w:basedOn w:val="Normal"/>
    <w:link w:val="EndnoteTextChar"/>
    <w:uiPriority w:val="99"/>
    <w:unhideWhenUsed/>
    <w:rsid w:val="00C04520"/>
    <w:pPr>
      <w:spacing w:after="0" w:line="240" w:lineRule="auto"/>
    </w:pPr>
    <w:rPr>
      <w:rFonts w:eastAsia="Cambria" w:cs="Times New Roman"/>
      <w:sz w:val="20"/>
    </w:rPr>
  </w:style>
  <w:style w:type="character" w:customStyle="1" w:styleId="EndnoteTextChar">
    <w:name w:val="Endnote Text Char"/>
    <w:basedOn w:val="DefaultParagraphFont"/>
    <w:link w:val="EndnoteText"/>
    <w:uiPriority w:val="99"/>
    <w:rsid w:val="00C04520"/>
    <w:rPr>
      <w:rFonts w:ascii="Cambria" w:eastAsia="Cambria" w:hAnsi="Cambria" w:cs="Times New Roman"/>
    </w:rPr>
  </w:style>
  <w:style w:type="character" w:styleId="EndnoteReference">
    <w:name w:val="endnote reference"/>
    <w:basedOn w:val="DefaultParagraphFont"/>
    <w:uiPriority w:val="99"/>
    <w:unhideWhenUsed/>
    <w:rsid w:val="00C04520"/>
    <w:rPr>
      <w:vertAlign w:val="superscript"/>
    </w:rPr>
  </w:style>
  <w:style w:type="paragraph" w:customStyle="1" w:styleId="TableHeading">
    <w:name w:val="Table Heading"/>
    <w:basedOn w:val="Normal"/>
    <w:rsid w:val="008C2703"/>
    <w:pPr>
      <w:spacing w:before="120" w:line="240" w:lineRule="atLeast"/>
    </w:pPr>
    <w:rPr>
      <w:rFonts w:ascii="Calibri" w:eastAsia="Calibri" w:hAnsi="Calibri" w:cs="Times New Roman"/>
      <w:b/>
      <w:color w:val="FFFFFF"/>
      <w:sz w:val="20"/>
      <w:szCs w:val="22"/>
    </w:rPr>
  </w:style>
  <w:style w:type="paragraph" w:customStyle="1" w:styleId="Tabletext0">
    <w:name w:val="Table text"/>
    <w:basedOn w:val="Normal"/>
    <w:link w:val="TabletextChar"/>
    <w:qFormat/>
    <w:rsid w:val="00F10CF0"/>
    <w:pPr>
      <w:spacing w:before="20" w:after="20" w:line="252" w:lineRule="auto"/>
    </w:pPr>
    <w:rPr>
      <w:rFonts w:eastAsia="Times New Roman" w:cs="Times New Roman"/>
      <w:snapToGrid w:val="0"/>
      <w:kern w:val="16"/>
      <w:sz w:val="20"/>
      <w:szCs w:val="24"/>
    </w:rPr>
  </w:style>
  <w:style w:type="character" w:customStyle="1" w:styleId="TabletextChar">
    <w:name w:val="Table text Char"/>
    <w:basedOn w:val="DefaultParagraphFont"/>
    <w:link w:val="Tabletext0"/>
    <w:rsid w:val="00F10CF0"/>
    <w:rPr>
      <w:rFonts w:ascii="Cambria" w:eastAsia="Times New Roman" w:hAnsi="Cambria" w:cs="Times New Roman"/>
      <w:snapToGrid w:val="0"/>
      <w:kern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tga.gov.au/australian-public-assessment-report-auspar-guidance" TargetMode="External"/><Relationship Id="rId26" Type="http://schemas.openxmlformats.org/officeDocument/2006/relationships/image" Target="media/image4.png"/><Relationship Id="rId39" Type="http://schemas.openxmlformats.org/officeDocument/2006/relationships/hyperlink" Target="mailto:info@tga.gov.au" TargetMode="External"/><Relationship Id="rId21" Type="http://schemas.openxmlformats.org/officeDocument/2006/relationships/hyperlink" Target="https://www.tga.gov.au/resources/artg/489646" TargetMode="External"/><Relationship Id="rId34" Type="http://schemas.microsoft.com/office/2007/relationships/hdphoto" Target="media/hdphoto3.wdp"/><Relationship Id="rId42"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tga.gov.au/resources/artg/489645" TargetMode="External"/><Relationship Id="rId29" Type="http://schemas.openxmlformats.org/officeDocument/2006/relationships/hyperlink" Target="https://www.tga.gov.au/resources/guidance/applying-provisional-registration-prescription-medicine" TargetMode="Externa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tga.gov.au/products/medicines/find-information-about-medicine/prescribing-medicines-pregnancy-database" TargetMode="External"/><Relationship Id="rId32" Type="http://schemas.microsoft.com/office/2007/relationships/hdphoto" Target="media/hdphoto2.wdp"/><Relationship Id="rId37" Type="http://schemas.openxmlformats.org/officeDocument/2006/relationships/header" Target="header4.xml"/><Relationship Id="rId40" Type="http://schemas.openxmlformats.org/officeDocument/2006/relationships/hyperlink" Target="https://www.tga.gov.au"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ebs.tga.gov.au/" TargetMode="External"/><Relationship Id="rId28" Type="http://schemas.openxmlformats.org/officeDocument/2006/relationships/hyperlink" Target="https://www.tga.gov.au/about-us/international-engagements/project-orbis" TargetMode="External"/><Relationship Id="rId36" Type="http://schemas.openxmlformats.org/officeDocument/2006/relationships/hyperlink" Target="https://www.ebs.tga.gov.au/" TargetMode="External"/><Relationship Id="rId10" Type="http://schemas.openxmlformats.org/officeDocument/2006/relationships/endnotes" Target="endnotes.xml"/><Relationship Id="rId19" Type="http://schemas.openxmlformats.org/officeDocument/2006/relationships/hyperlink" Target="mailto:tga.copyright@tga.gov.au" TargetMode="External"/><Relationship Id="rId31" Type="http://schemas.openxmlformats.org/officeDocument/2006/relationships/image" Target="media/image5.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tga.gov.au/black-triangle-scheme" TargetMode="External"/><Relationship Id="rId27" Type="http://schemas.microsoft.com/office/2007/relationships/hdphoto" Target="media/hdphoto1.wdp"/><Relationship Id="rId30" Type="http://schemas.openxmlformats.org/officeDocument/2006/relationships/hyperlink" Target="https://www.tga.gov.au/how-we-regulate/supply-therapeutic-good-0/supply-prescription-medicine/application-process/prescription-medicines-registration-process" TargetMode="External"/><Relationship Id="rId35" Type="http://schemas.openxmlformats.org/officeDocument/2006/relationships/image" Target="media/image7.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tga.gov.au/" TargetMode="External"/><Relationship Id="rId25" Type="http://schemas.openxmlformats.org/officeDocument/2006/relationships/hyperlink" Target="https://www.tga.gov.au/obstetric-drug-information-services" TargetMode="External"/><Relationship Id="rId33" Type="http://schemas.openxmlformats.org/officeDocument/2006/relationships/image" Target="media/image6.png"/><Relationship Id="rId38" Type="http://schemas.openxmlformats.org/officeDocument/2006/relationships/footer" Target="footer4.xml"/></Relationships>
</file>

<file path=word/_rels/footnotes.xml.rels><?xml version="1.0" encoding="UTF-8" standalone="yes"?>
<Relationships xmlns="http://schemas.openxmlformats.org/package/2006/relationships"><Relationship Id="rId8" Type="http://schemas.openxmlformats.org/officeDocument/2006/relationships/hyperlink" Target="https://www.accessdata.fda.gov/cdrh_docs/pdf17/P170019S048B.pdf" TargetMode="External"/><Relationship Id="rId3" Type="http://schemas.openxmlformats.org/officeDocument/2006/relationships/hyperlink" Target="https://www.nccn.org/professionals/physician_gls/pdf/nscl.pdf" TargetMode="External"/><Relationship Id="rId7" Type="http://schemas.openxmlformats.org/officeDocument/2006/relationships/hyperlink" Target="https://www.accessdata.fda.gov/drugsatfda_docs/label/2024/213591s011lbl.pdf" TargetMode="External"/><Relationship Id="rId2" Type="http://schemas.openxmlformats.org/officeDocument/2006/relationships/hyperlink" Target="https://www.ebs.tga.gov.au/ebs/picmi/picmirepository.nsf/pdf?OpenAgent&amp;id=CP-2022-PI-01029-1" TargetMode="External"/><Relationship Id="rId1" Type="http://schemas.openxmlformats.org/officeDocument/2006/relationships/hyperlink" Target="https://www.canceraustralia.gov.au/cancer-types/lung-cancer/lung-cancer-australia-statistics" TargetMode="External"/><Relationship Id="rId6" Type="http://schemas.openxmlformats.org/officeDocument/2006/relationships/hyperlink" Target="https://www.tga.gov.au/resources/guidance/understanding-regulatory-requirements-vitro-diagnostic-ivd-companion-diagnostics-cdx" TargetMode="External"/><Relationship Id="rId5" Type="http://schemas.openxmlformats.org/officeDocument/2006/relationships/hyperlink" Target="https://www9.health.gov.au/mbs/fullDisplay.cfm?type=item&amp;q=73438&amp;qt=item" TargetMode="External"/><Relationship Id="rId4" Type="http://schemas.openxmlformats.org/officeDocument/2006/relationships/hyperlink" Target="https://www9.health.gov.au/mbs/fullDisplay.cfm?type=item&amp;q=73437&amp;qt=item&amp;criteria=73437"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A4E31C7D00DF4384B87C03C35A1A60" ma:contentTypeVersion="3" ma:contentTypeDescription="Create a new document." ma:contentTypeScope="" ma:versionID="507009c49ae85337b8f3514c60035969">
  <xsd:schema xmlns:xsd="http://www.w3.org/2001/XMLSchema" xmlns:xs="http://www.w3.org/2001/XMLSchema" xmlns:p="http://schemas.microsoft.com/office/2006/metadata/properties" xmlns:ns2="d827fe9b-65d9-44a3-bb1e-afe974f226e4" targetNamespace="http://schemas.microsoft.com/office/2006/metadata/properties" ma:root="true" ma:fieldsID="9cea8526b541665501b929afc90ae06a" ns2:_="">
    <xsd:import namespace="d827fe9b-65d9-44a3-bb1e-afe974f226e4"/>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27fe9b-65d9-44a3-bb1e-afe974f226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E0345F-3FE4-4512-A62F-5ACD6CE1CFDB}">
  <ds:schemaRefs>
    <ds:schemaRef ds:uri="http://schemas.microsoft.com/sharepoint/v3/contenttype/forms"/>
  </ds:schemaRefs>
</ds:datastoreItem>
</file>

<file path=customXml/itemProps2.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customXml/itemProps3.xml><?xml version="1.0" encoding="utf-8"?>
<ds:datastoreItem xmlns:ds="http://schemas.openxmlformats.org/officeDocument/2006/customXml" ds:itemID="{154321D6-51A9-47A6-B094-A047043CDB9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0B63EC2-FDE8-4132-9BB5-DA4304C186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27fe9b-65d9-44a3-bb1e-afe974f226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c9bec58-8084-492e-8360-0e1cfe36408c}" enabled="1" method="Standard" siteId="{f35a6974-607f-47d4-82d7-ff31d7dc53a5}" removed="0"/>
</clbl:labelList>
</file>

<file path=docProps/app.xml><?xml version="1.0" encoding="utf-8"?>
<Properties xmlns="http://schemas.openxmlformats.org/officeDocument/2006/extended-properties" xmlns:vt="http://schemas.openxmlformats.org/officeDocument/2006/docPropsVTypes">
  <Template>Normal.dotm</Template>
  <TotalTime>15</TotalTime>
  <Pages>25</Pages>
  <Words>8309</Words>
  <Characters>47366</Characters>
  <Application>Microsoft Office Word</Application>
  <DocSecurity>4</DocSecurity>
  <Lines>394</Lines>
  <Paragraphs>111</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Disability and Ageing</Company>
  <LinksUpToDate>false</LinksUpToDate>
  <CharactersWithSpaces>55564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Tabrecta</dc:title>
  <dc:subject>Prescription medicines</dc:subject>
  <dc:creator>Therapeutic Goods Administration</dc:creator>
  <cp:keywords/>
  <dc:description/>
  <cp:lastModifiedBy>LACK, Janet</cp:lastModifiedBy>
  <cp:revision>2</cp:revision>
  <dcterms:created xsi:type="dcterms:W3CDTF">2026-07-15T04:01:00Z</dcterms:created>
  <dcterms:modified xsi:type="dcterms:W3CDTF">2026-07-15T04:01:00Z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531f83f9,2ebff39c,5e0ccc27,69b65320,1d12e39c</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1733f83e,69c2b6dd,39fef80f,322f80f5,3638ef13</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2026-01-08T03:49:00Z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813969f0-483d-4e03-912d-ee2c69b78162</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ContentTypeId">
    <vt:lpwstr>0x01010062A4E31C7D00DF4384B87C03C35A1A60</vt:lpwstr>
  </property>
</Properties>
</file>