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FE50" w14:textId="77777777" w:rsidR="005303F6" w:rsidRDefault="00EB7C90" w:rsidP="008F14F0">
      <w:pPr>
        <w:pStyle w:val="BodyText"/>
        <w:spacing w:before="56" w:line="218" w:lineRule="auto"/>
        <w:ind w:right="636"/>
        <w:jc w:val="left"/>
      </w:pPr>
      <w:r>
        <w:rPr>
          <w:rFonts w:ascii="SimSun" w:hAnsi="SimSun"/>
          <w:sz w:val="40"/>
          <w:u w:val="thick" w:color="E6E6E6"/>
        </w:rPr>
        <w:t>▼</w:t>
      </w:r>
      <w:r>
        <w:rPr>
          <w:position w:val="1"/>
        </w:rPr>
        <w:t xml:space="preserve">This medicinal product is subject to additional monitoring in Australia. This will allow </w:t>
      </w:r>
      <w:r>
        <w:t>quick</w:t>
      </w:r>
      <w:r>
        <w:rPr>
          <w:spacing w:val="-5"/>
        </w:rPr>
        <w:t xml:space="preserve"> </w:t>
      </w:r>
      <w:r>
        <w:t>identification</w:t>
      </w:r>
      <w:r>
        <w:rPr>
          <w:spacing w:val="-4"/>
        </w:rPr>
        <w:t xml:space="preserve"> </w:t>
      </w:r>
      <w:r>
        <w:t>of</w:t>
      </w:r>
      <w:r>
        <w:rPr>
          <w:spacing w:val="-4"/>
        </w:rPr>
        <w:t xml:space="preserve"> </w:t>
      </w:r>
      <w:r>
        <w:t>new</w:t>
      </w:r>
      <w:r>
        <w:rPr>
          <w:spacing w:val="-3"/>
        </w:rPr>
        <w:t xml:space="preserve"> </w:t>
      </w:r>
      <w:r>
        <w:t>safety</w:t>
      </w:r>
      <w:r>
        <w:rPr>
          <w:spacing w:val="-4"/>
        </w:rPr>
        <w:t xml:space="preserve"> </w:t>
      </w:r>
      <w:r>
        <w:t>information.</w:t>
      </w:r>
      <w:r>
        <w:rPr>
          <w:spacing w:val="-5"/>
        </w:rPr>
        <w:t xml:space="preserve"> </w:t>
      </w:r>
      <w:r>
        <w:t>Healthcare</w:t>
      </w:r>
      <w:r>
        <w:rPr>
          <w:spacing w:val="-5"/>
        </w:rPr>
        <w:t xml:space="preserve"> </w:t>
      </w:r>
      <w:r>
        <w:t>professionals</w:t>
      </w:r>
      <w:r>
        <w:rPr>
          <w:spacing w:val="-4"/>
        </w:rPr>
        <w:t xml:space="preserve"> </w:t>
      </w:r>
      <w:r>
        <w:t>are</w:t>
      </w:r>
      <w:r>
        <w:rPr>
          <w:spacing w:val="-3"/>
        </w:rPr>
        <w:t xml:space="preserve"> </w:t>
      </w:r>
      <w:r>
        <w:t>asked</w:t>
      </w:r>
      <w:r>
        <w:rPr>
          <w:spacing w:val="-5"/>
        </w:rPr>
        <w:t xml:space="preserve"> </w:t>
      </w:r>
      <w:r>
        <w:t>to</w:t>
      </w:r>
      <w:r>
        <w:rPr>
          <w:spacing w:val="-5"/>
        </w:rPr>
        <w:t xml:space="preserve"> </w:t>
      </w:r>
      <w:r>
        <w:t xml:space="preserve">report any suspected adverse events at </w:t>
      </w:r>
      <w:hyperlink r:id="rId7">
        <w:r>
          <w:rPr>
            <w:u w:val="single"/>
          </w:rPr>
          <w:t>www.tga.gov.au/reporting-problems</w:t>
        </w:r>
      </w:hyperlink>
      <w:r>
        <w:t>.</w:t>
      </w:r>
    </w:p>
    <w:p w14:paraId="2366FE51" w14:textId="77777777" w:rsidR="005303F6" w:rsidRDefault="005303F6" w:rsidP="008F14F0">
      <w:pPr>
        <w:pStyle w:val="BodyText"/>
        <w:spacing w:before="144"/>
        <w:ind w:left="0"/>
        <w:jc w:val="left"/>
        <w:rPr>
          <w:sz w:val="28"/>
        </w:rPr>
      </w:pPr>
    </w:p>
    <w:p w14:paraId="2366FE52" w14:textId="77777777" w:rsidR="005303F6" w:rsidRDefault="00EB7C90" w:rsidP="008F14F0">
      <w:pPr>
        <w:spacing w:line="278" w:lineRule="auto"/>
        <w:ind w:left="448"/>
        <w:jc w:val="center"/>
        <w:rPr>
          <w:rFonts w:ascii="Cambria" w:hAnsi="Cambria"/>
          <w:b/>
          <w:sz w:val="28"/>
        </w:rPr>
      </w:pPr>
      <w:bookmarkStart w:id="0" w:name="Australian_Product_Information_–_TABRECT"/>
      <w:bookmarkEnd w:id="0"/>
      <w:r>
        <w:rPr>
          <w:rFonts w:ascii="Cambria" w:hAnsi="Cambria"/>
          <w:b/>
          <w:sz w:val="28"/>
        </w:rPr>
        <w:t>AUSTRALIAN</w:t>
      </w:r>
      <w:r>
        <w:rPr>
          <w:rFonts w:ascii="Cambria" w:hAnsi="Cambria"/>
          <w:b/>
          <w:spacing w:val="-8"/>
          <w:sz w:val="28"/>
        </w:rPr>
        <w:t xml:space="preserve"> </w:t>
      </w:r>
      <w:r>
        <w:rPr>
          <w:rFonts w:ascii="Cambria" w:hAnsi="Cambria"/>
          <w:b/>
          <w:sz w:val="28"/>
        </w:rPr>
        <w:t>PRODUCT</w:t>
      </w:r>
      <w:r>
        <w:rPr>
          <w:rFonts w:ascii="Cambria" w:hAnsi="Cambria"/>
          <w:b/>
          <w:spacing w:val="-5"/>
          <w:sz w:val="28"/>
        </w:rPr>
        <w:t xml:space="preserve"> </w:t>
      </w:r>
      <w:r>
        <w:rPr>
          <w:rFonts w:ascii="Cambria" w:hAnsi="Cambria"/>
          <w:b/>
          <w:sz w:val="28"/>
        </w:rPr>
        <w:t>INFORMATION</w:t>
      </w:r>
      <w:r>
        <w:rPr>
          <w:rFonts w:ascii="Cambria" w:hAnsi="Cambria"/>
          <w:b/>
          <w:spacing w:val="-7"/>
          <w:sz w:val="28"/>
        </w:rPr>
        <w:t xml:space="preserve"> </w:t>
      </w:r>
      <w:r>
        <w:rPr>
          <w:rFonts w:ascii="Cambria" w:hAnsi="Cambria"/>
          <w:b/>
          <w:sz w:val="28"/>
        </w:rPr>
        <w:t>–</w:t>
      </w:r>
      <w:r>
        <w:rPr>
          <w:rFonts w:ascii="Cambria" w:hAnsi="Cambria"/>
          <w:b/>
          <w:spacing w:val="-5"/>
          <w:sz w:val="28"/>
        </w:rPr>
        <w:t xml:space="preserve"> </w:t>
      </w:r>
      <w:r>
        <w:rPr>
          <w:rFonts w:ascii="Cambria" w:hAnsi="Cambria"/>
          <w:b/>
          <w:sz w:val="28"/>
        </w:rPr>
        <w:t>TABRECTA</w:t>
      </w:r>
      <w:r>
        <w:rPr>
          <w:rFonts w:ascii="Cambria" w:hAnsi="Cambria"/>
          <w:b/>
          <w:position w:val="7"/>
          <w:sz w:val="18"/>
        </w:rPr>
        <w:t>®</w:t>
      </w:r>
      <w:r>
        <w:rPr>
          <w:rFonts w:ascii="Cambria" w:hAnsi="Cambria"/>
          <w:b/>
          <w:spacing w:val="14"/>
          <w:position w:val="7"/>
          <w:sz w:val="18"/>
        </w:rPr>
        <w:t xml:space="preserve"> </w:t>
      </w:r>
      <w:r>
        <w:rPr>
          <w:rFonts w:ascii="Cambria" w:hAnsi="Cambria"/>
          <w:b/>
          <w:sz w:val="28"/>
        </w:rPr>
        <w:t xml:space="preserve">(CAPMATINIB) </w:t>
      </w:r>
      <w:r>
        <w:rPr>
          <w:rFonts w:ascii="Cambria" w:hAnsi="Cambria"/>
          <w:b/>
          <w:spacing w:val="-2"/>
          <w:sz w:val="28"/>
        </w:rPr>
        <w:t>TABLETS</w:t>
      </w:r>
    </w:p>
    <w:p w14:paraId="2366FE53" w14:textId="77777777" w:rsidR="005303F6" w:rsidRDefault="00EB7C90" w:rsidP="008F14F0">
      <w:pPr>
        <w:pStyle w:val="Heading1"/>
        <w:numPr>
          <w:ilvl w:val="0"/>
          <w:numId w:val="2"/>
        </w:numPr>
        <w:tabs>
          <w:tab w:val="left" w:pos="880"/>
        </w:tabs>
        <w:spacing w:before="235"/>
      </w:pPr>
      <w:bookmarkStart w:id="1" w:name="1_Name_of_the_medicine"/>
      <w:bookmarkEnd w:id="1"/>
      <w:r>
        <w:t>NAME</w:t>
      </w:r>
      <w:r>
        <w:rPr>
          <w:spacing w:val="-4"/>
        </w:rPr>
        <w:t xml:space="preserve"> </w:t>
      </w:r>
      <w:r>
        <w:t>OF</w:t>
      </w:r>
      <w:r>
        <w:rPr>
          <w:spacing w:val="-4"/>
        </w:rPr>
        <w:t xml:space="preserve"> </w:t>
      </w:r>
      <w:r>
        <w:t>THE</w:t>
      </w:r>
      <w:r>
        <w:rPr>
          <w:spacing w:val="-3"/>
        </w:rPr>
        <w:t xml:space="preserve"> </w:t>
      </w:r>
      <w:r>
        <w:rPr>
          <w:spacing w:val="-2"/>
        </w:rPr>
        <w:t>MEDICINE</w:t>
      </w:r>
    </w:p>
    <w:p w14:paraId="2366FE54" w14:textId="77777777" w:rsidR="005303F6" w:rsidRDefault="00EB7C90" w:rsidP="008F14F0">
      <w:pPr>
        <w:pStyle w:val="BodyText"/>
        <w:spacing w:before="167"/>
        <w:jc w:val="left"/>
      </w:pPr>
      <w:r>
        <w:t>Capmatinib</w:t>
      </w:r>
      <w:r>
        <w:rPr>
          <w:spacing w:val="-5"/>
        </w:rPr>
        <w:t xml:space="preserve"> </w:t>
      </w:r>
      <w:r>
        <w:rPr>
          <w:spacing w:val="-2"/>
        </w:rPr>
        <w:t>hydrochloride.</w:t>
      </w:r>
    </w:p>
    <w:p w14:paraId="2366FE55" w14:textId="77777777" w:rsidR="005303F6" w:rsidRDefault="00EB7C90" w:rsidP="008F14F0">
      <w:pPr>
        <w:pStyle w:val="Heading1"/>
        <w:numPr>
          <w:ilvl w:val="0"/>
          <w:numId w:val="2"/>
        </w:numPr>
        <w:tabs>
          <w:tab w:val="left" w:pos="880"/>
        </w:tabs>
        <w:spacing w:before="246"/>
      </w:pPr>
      <w:bookmarkStart w:id="2" w:name="2_Qualitative_and_quantitative_compositi"/>
      <w:bookmarkEnd w:id="2"/>
      <w:r>
        <w:t>QUALITATIVE</w:t>
      </w:r>
      <w:r>
        <w:rPr>
          <w:spacing w:val="-9"/>
        </w:rPr>
        <w:t xml:space="preserve"> </w:t>
      </w:r>
      <w:r>
        <w:t>AND</w:t>
      </w:r>
      <w:r>
        <w:rPr>
          <w:spacing w:val="-7"/>
        </w:rPr>
        <w:t xml:space="preserve"> </w:t>
      </w:r>
      <w:r>
        <w:t>QUANTITATIVE</w:t>
      </w:r>
      <w:r>
        <w:rPr>
          <w:spacing w:val="-7"/>
        </w:rPr>
        <w:t xml:space="preserve"> </w:t>
      </w:r>
      <w:r>
        <w:rPr>
          <w:spacing w:val="-2"/>
        </w:rPr>
        <w:t>COMPOSITION</w:t>
      </w:r>
    </w:p>
    <w:p w14:paraId="2366FE56" w14:textId="77777777" w:rsidR="005303F6" w:rsidRDefault="00EB7C90" w:rsidP="008F14F0">
      <w:pPr>
        <w:pStyle w:val="BodyText"/>
        <w:spacing w:before="168" w:line="278" w:lineRule="auto"/>
        <w:ind w:right="636"/>
        <w:jc w:val="left"/>
      </w:pPr>
      <w:r>
        <w:rPr>
          <w:b/>
        </w:rPr>
        <w:t xml:space="preserve">150 mg: </w:t>
      </w:r>
      <w:r>
        <w:t>Each film-coated tablet contains capmatinib hydrochloride 183.0 mg equivalent to 150 mg capmatinib.</w:t>
      </w:r>
    </w:p>
    <w:p w14:paraId="2366FE57" w14:textId="77777777" w:rsidR="005303F6" w:rsidRDefault="00EB7C90" w:rsidP="008F14F0">
      <w:pPr>
        <w:pStyle w:val="BodyText"/>
        <w:spacing w:before="194" w:line="278" w:lineRule="auto"/>
        <w:ind w:right="636"/>
        <w:jc w:val="left"/>
      </w:pPr>
      <w:r>
        <w:rPr>
          <w:b/>
        </w:rPr>
        <w:t xml:space="preserve">200 mg: </w:t>
      </w:r>
      <w:r>
        <w:t>Each film-coated tablet contains capmatinib hydrochloride 244.0 mg equivalent to 200 mg capmatinib.</w:t>
      </w:r>
    </w:p>
    <w:p w14:paraId="2366FE58" w14:textId="77777777" w:rsidR="005303F6" w:rsidRDefault="00EB7C90" w:rsidP="008F14F0">
      <w:pPr>
        <w:pStyle w:val="BodyText"/>
        <w:spacing w:before="194"/>
        <w:jc w:val="left"/>
      </w:pPr>
      <w:r>
        <w:t>For</w:t>
      </w:r>
      <w:r>
        <w:rPr>
          <w:spacing w:val="-2"/>
        </w:rPr>
        <w:t xml:space="preserve"> </w:t>
      </w:r>
      <w:r>
        <w:t>the</w:t>
      </w:r>
      <w:r>
        <w:rPr>
          <w:spacing w:val="-3"/>
        </w:rPr>
        <w:t xml:space="preserve"> </w:t>
      </w:r>
      <w:r>
        <w:t>full</w:t>
      </w:r>
      <w:r>
        <w:rPr>
          <w:spacing w:val="-4"/>
        </w:rPr>
        <w:t xml:space="preserve"> </w:t>
      </w:r>
      <w:r>
        <w:t>list</w:t>
      </w:r>
      <w:r>
        <w:rPr>
          <w:spacing w:val="-3"/>
        </w:rPr>
        <w:t xml:space="preserve"> </w:t>
      </w:r>
      <w:r>
        <w:t>of</w:t>
      </w:r>
      <w:r>
        <w:rPr>
          <w:spacing w:val="-3"/>
        </w:rPr>
        <w:t xml:space="preserve"> </w:t>
      </w:r>
      <w:r>
        <w:t>excipients,</w:t>
      </w:r>
      <w:r>
        <w:rPr>
          <w:spacing w:val="-2"/>
        </w:rPr>
        <w:t xml:space="preserve"> </w:t>
      </w:r>
      <w:r>
        <w:t>see</w:t>
      </w:r>
      <w:r>
        <w:rPr>
          <w:spacing w:val="-1"/>
        </w:rPr>
        <w:t xml:space="preserve"> </w:t>
      </w:r>
      <w:r>
        <w:t>Section</w:t>
      </w:r>
      <w:r>
        <w:rPr>
          <w:spacing w:val="-3"/>
        </w:rPr>
        <w:t xml:space="preserve"> </w:t>
      </w:r>
      <w:r>
        <w:t>6.1</w:t>
      </w:r>
      <w:r>
        <w:rPr>
          <w:spacing w:val="-2"/>
        </w:rPr>
        <w:t xml:space="preserve"> </w:t>
      </w:r>
      <w:r>
        <w:t>List</w:t>
      </w:r>
      <w:r>
        <w:rPr>
          <w:spacing w:val="-3"/>
        </w:rPr>
        <w:t xml:space="preserve"> </w:t>
      </w:r>
      <w:r>
        <w:t>of</w:t>
      </w:r>
      <w:r>
        <w:rPr>
          <w:spacing w:val="-1"/>
        </w:rPr>
        <w:t xml:space="preserve"> </w:t>
      </w:r>
      <w:r>
        <w:rPr>
          <w:spacing w:val="-2"/>
        </w:rPr>
        <w:t>excipients.</w:t>
      </w:r>
    </w:p>
    <w:p w14:paraId="2366FE59" w14:textId="77777777" w:rsidR="005303F6" w:rsidRDefault="00EB7C90" w:rsidP="008F14F0">
      <w:pPr>
        <w:pStyle w:val="Heading1"/>
        <w:numPr>
          <w:ilvl w:val="0"/>
          <w:numId w:val="2"/>
        </w:numPr>
        <w:tabs>
          <w:tab w:val="left" w:pos="880"/>
        </w:tabs>
        <w:spacing w:before="245"/>
      </w:pPr>
      <w:bookmarkStart w:id="3" w:name="3_Pharmaceutical_form"/>
      <w:bookmarkEnd w:id="3"/>
      <w:r>
        <w:t>PHARMACEUTICAL</w:t>
      </w:r>
      <w:r>
        <w:rPr>
          <w:spacing w:val="-14"/>
        </w:rPr>
        <w:t xml:space="preserve"> </w:t>
      </w:r>
      <w:r>
        <w:rPr>
          <w:spacing w:val="-4"/>
        </w:rPr>
        <w:t>FORM</w:t>
      </w:r>
    </w:p>
    <w:p w14:paraId="2366FE5A" w14:textId="77777777" w:rsidR="005303F6" w:rsidRDefault="00EB7C90" w:rsidP="008F14F0">
      <w:pPr>
        <w:pStyle w:val="Heading3"/>
        <w:spacing w:before="169"/>
      </w:pPr>
      <w:r>
        <w:t>Film-coated</w:t>
      </w:r>
      <w:r>
        <w:rPr>
          <w:spacing w:val="-2"/>
        </w:rPr>
        <w:t xml:space="preserve"> tablet</w:t>
      </w:r>
    </w:p>
    <w:p w14:paraId="2366FE5B" w14:textId="77777777" w:rsidR="005303F6" w:rsidRDefault="00EB7C90" w:rsidP="008F14F0">
      <w:pPr>
        <w:pStyle w:val="BodyText"/>
        <w:spacing w:before="244"/>
        <w:jc w:val="left"/>
      </w:pPr>
      <w:r>
        <w:rPr>
          <w:b/>
          <w:spacing w:val="-2"/>
        </w:rPr>
        <w:t>150</w:t>
      </w:r>
      <w:r>
        <w:rPr>
          <w:b/>
          <w:spacing w:val="-4"/>
        </w:rPr>
        <w:t xml:space="preserve"> </w:t>
      </w:r>
      <w:r>
        <w:rPr>
          <w:b/>
          <w:spacing w:val="-2"/>
        </w:rPr>
        <w:t>mg:</w:t>
      </w:r>
      <w:r>
        <w:rPr>
          <w:b/>
          <w:spacing w:val="-3"/>
        </w:rPr>
        <w:t xml:space="preserve"> </w:t>
      </w:r>
      <w:r>
        <w:rPr>
          <w:spacing w:val="-2"/>
        </w:rPr>
        <w:t>pale</w:t>
      </w:r>
      <w:r>
        <w:rPr>
          <w:spacing w:val="-4"/>
        </w:rPr>
        <w:t xml:space="preserve"> </w:t>
      </w:r>
      <w:proofErr w:type="gramStart"/>
      <w:r>
        <w:rPr>
          <w:spacing w:val="-2"/>
        </w:rPr>
        <w:t>orange</w:t>
      </w:r>
      <w:r>
        <w:rPr>
          <w:spacing w:val="-5"/>
        </w:rPr>
        <w:t xml:space="preserve"> </w:t>
      </w:r>
      <w:r>
        <w:rPr>
          <w:spacing w:val="-2"/>
        </w:rPr>
        <w:t>brown</w:t>
      </w:r>
      <w:proofErr w:type="gramEnd"/>
      <w:r>
        <w:rPr>
          <w:spacing w:val="-2"/>
        </w:rPr>
        <w:t>,</w:t>
      </w:r>
      <w:r>
        <w:rPr>
          <w:spacing w:val="-5"/>
        </w:rPr>
        <w:t xml:space="preserve"> </w:t>
      </w:r>
      <w:r>
        <w:rPr>
          <w:spacing w:val="-2"/>
        </w:rPr>
        <w:t>ovaloid,</w:t>
      </w:r>
      <w:r>
        <w:rPr>
          <w:spacing w:val="-1"/>
        </w:rPr>
        <w:t xml:space="preserve"> </w:t>
      </w:r>
      <w:r>
        <w:rPr>
          <w:spacing w:val="-2"/>
        </w:rPr>
        <w:t>curved</w:t>
      </w:r>
      <w:r>
        <w:rPr>
          <w:spacing w:val="-4"/>
        </w:rPr>
        <w:t xml:space="preserve"> </w:t>
      </w:r>
      <w:r>
        <w:rPr>
          <w:spacing w:val="-2"/>
        </w:rPr>
        <w:t>film-coated tablet</w:t>
      </w:r>
      <w:r>
        <w:rPr>
          <w:spacing w:val="-4"/>
        </w:rPr>
        <w:t xml:space="preserve"> </w:t>
      </w:r>
      <w:r>
        <w:rPr>
          <w:spacing w:val="-2"/>
        </w:rPr>
        <w:t>with</w:t>
      </w:r>
      <w:r>
        <w:rPr>
          <w:spacing w:val="-4"/>
        </w:rPr>
        <w:t xml:space="preserve"> </w:t>
      </w:r>
      <w:proofErr w:type="spellStart"/>
      <w:r>
        <w:rPr>
          <w:spacing w:val="-2"/>
        </w:rPr>
        <w:t>bevelled</w:t>
      </w:r>
      <w:proofErr w:type="spellEnd"/>
      <w:r>
        <w:t xml:space="preserve"> </w:t>
      </w:r>
      <w:r>
        <w:rPr>
          <w:spacing w:val="-2"/>
        </w:rPr>
        <w:t>edges,</w:t>
      </w:r>
      <w:r>
        <w:rPr>
          <w:spacing w:val="-4"/>
        </w:rPr>
        <w:t xml:space="preserve"> </w:t>
      </w:r>
      <w:r>
        <w:rPr>
          <w:spacing w:val="-2"/>
        </w:rPr>
        <w:t>unscored,</w:t>
      </w:r>
    </w:p>
    <w:p w14:paraId="2366FE5C" w14:textId="77777777" w:rsidR="005303F6" w:rsidRDefault="00EB7C90" w:rsidP="008F14F0">
      <w:pPr>
        <w:pStyle w:val="BodyText"/>
        <w:spacing w:before="46"/>
        <w:jc w:val="left"/>
      </w:pPr>
      <w:r>
        <w:t>debossed</w:t>
      </w:r>
      <w:r>
        <w:rPr>
          <w:spacing w:val="-3"/>
        </w:rPr>
        <w:t xml:space="preserve"> </w:t>
      </w:r>
      <w:r>
        <w:t>with</w:t>
      </w:r>
      <w:r>
        <w:rPr>
          <w:spacing w:val="-1"/>
        </w:rPr>
        <w:t xml:space="preserve"> </w:t>
      </w:r>
      <w:r>
        <w:t>‘DU’</w:t>
      </w:r>
      <w:r>
        <w:rPr>
          <w:spacing w:val="-2"/>
        </w:rPr>
        <w:t xml:space="preserve"> </w:t>
      </w:r>
      <w:r>
        <w:t>on</w:t>
      </w:r>
      <w:r>
        <w:rPr>
          <w:spacing w:val="-1"/>
        </w:rPr>
        <w:t xml:space="preserve"> </w:t>
      </w:r>
      <w:r>
        <w:t>one</w:t>
      </w:r>
      <w:r>
        <w:rPr>
          <w:spacing w:val="-1"/>
        </w:rPr>
        <w:t xml:space="preserve"> </w:t>
      </w:r>
      <w:r>
        <w:t>side</w:t>
      </w:r>
      <w:r>
        <w:rPr>
          <w:spacing w:val="-1"/>
        </w:rPr>
        <w:t xml:space="preserve"> </w:t>
      </w:r>
      <w:r>
        <w:t>and</w:t>
      </w:r>
      <w:r>
        <w:rPr>
          <w:spacing w:val="-2"/>
        </w:rPr>
        <w:t xml:space="preserve"> </w:t>
      </w:r>
      <w:r>
        <w:t>‘NVR’</w:t>
      </w:r>
      <w:r>
        <w:rPr>
          <w:spacing w:val="-5"/>
        </w:rPr>
        <w:t xml:space="preserve"> </w:t>
      </w:r>
      <w:r>
        <w:t>on</w:t>
      </w:r>
      <w:r>
        <w:rPr>
          <w:spacing w:val="-3"/>
        </w:rPr>
        <w:t xml:space="preserve"> </w:t>
      </w:r>
      <w:r>
        <w:t>the</w:t>
      </w:r>
      <w:r>
        <w:rPr>
          <w:spacing w:val="-3"/>
        </w:rPr>
        <w:t xml:space="preserve"> </w:t>
      </w:r>
      <w:r>
        <w:t xml:space="preserve">other </w:t>
      </w:r>
      <w:r>
        <w:rPr>
          <w:spacing w:val="-2"/>
        </w:rPr>
        <w:t>side.</w:t>
      </w:r>
    </w:p>
    <w:p w14:paraId="2366FE5D" w14:textId="77777777" w:rsidR="005303F6" w:rsidRDefault="00EB7C90" w:rsidP="008F14F0">
      <w:pPr>
        <w:pStyle w:val="BodyText"/>
        <w:spacing w:before="242"/>
        <w:jc w:val="left"/>
      </w:pPr>
      <w:r>
        <w:rPr>
          <w:b/>
        </w:rPr>
        <w:t>200</w:t>
      </w:r>
      <w:r>
        <w:rPr>
          <w:b/>
          <w:spacing w:val="1"/>
        </w:rPr>
        <w:t xml:space="preserve"> </w:t>
      </w:r>
      <w:r>
        <w:rPr>
          <w:b/>
        </w:rPr>
        <w:t>mg:</w:t>
      </w:r>
      <w:r>
        <w:rPr>
          <w:b/>
          <w:spacing w:val="6"/>
        </w:rPr>
        <w:t xml:space="preserve"> </w:t>
      </w:r>
      <w:r>
        <w:t>yellow,</w:t>
      </w:r>
      <w:r>
        <w:rPr>
          <w:spacing w:val="3"/>
        </w:rPr>
        <w:t xml:space="preserve"> </w:t>
      </w:r>
      <w:r>
        <w:t>ovaloid,</w:t>
      </w:r>
      <w:r>
        <w:rPr>
          <w:spacing w:val="1"/>
        </w:rPr>
        <w:t xml:space="preserve"> </w:t>
      </w:r>
      <w:r>
        <w:t>curved</w:t>
      </w:r>
      <w:r>
        <w:rPr>
          <w:spacing w:val="3"/>
        </w:rPr>
        <w:t xml:space="preserve"> </w:t>
      </w:r>
      <w:r>
        <w:t>film-coated</w:t>
      </w:r>
      <w:r>
        <w:rPr>
          <w:spacing w:val="4"/>
        </w:rPr>
        <w:t xml:space="preserve"> </w:t>
      </w:r>
      <w:r>
        <w:t>tablet</w:t>
      </w:r>
      <w:r>
        <w:rPr>
          <w:spacing w:val="3"/>
        </w:rPr>
        <w:t xml:space="preserve"> </w:t>
      </w:r>
      <w:r>
        <w:t>with</w:t>
      </w:r>
      <w:r>
        <w:rPr>
          <w:spacing w:val="4"/>
        </w:rPr>
        <w:t xml:space="preserve"> </w:t>
      </w:r>
      <w:proofErr w:type="spellStart"/>
      <w:r>
        <w:t>bevelled</w:t>
      </w:r>
      <w:proofErr w:type="spellEnd"/>
      <w:r>
        <w:rPr>
          <w:spacing w:val="3"/>
        </w:rPr>
        <w:t xml:space="preserve"> </w:t>
      </w:r>
      <w:r>
        <w:t>edges,</w:t>
      </w:r>
      <w:r>
        <w:rPr>
          <w:spacing w:val="3"/>
        </w:rPr>
        <w:t xml:space="preserve"> </w:t>
      </w:r>
      <w:r>
        <w:t>unscored,</w:t>
      </w:r>
      <w:r>
        <w:rPr>
          <w:spacing w:val="3"/>
        </w:rPr>
        <w:t xml:space="preserve"> </w:t>
      </w:r>
      <w:r>
        <w:rPr>
          <w:spacing w:val="-2"/>
        </w:rPr>
        <w:t>debossed</w:t>
      </w:r>
    </w:p>
    <w:p w14:paraId="2366FE5E" w14:textId="77777777" w:rsidR="005303F6" w:rsidRDefault="00EB7C90" w:rsidP="008F14F0">
      <w:pPr>
        <w:pStyle w:val="BodyText"/>
        <w:spacing w:before="45"/>
        <w:jc w:val="left"/>
      </w:pPr>
      <w:r>
        <w:t>with</w:t>
      </w:r>
      <w:r>
        <w:rPr>
          <w:spacing w:val="-1"/>
        </w:rPr>
        <w:t xml:space="preserve"> </w:t>
      </w:r>
      <w:r>
        <w:t>‘LO’</w:t>
      </w:r>
      <w:r>
        <w:rPr>
          <w:spacing w:val="-1"/>
        </w:rPr>
        <w:t xml:space="preserve"> </w:t>
      </w:r>
      <w:r>
        <w:t>on</w:t>
      </w:r>
      <w:r>
        <w:rPr>
          <w:spacing w:val="-3"/>
        </w:rPr>
        <w:t xml:space="preserve"> </w:t>
      </w:r>
      <w:r>
        <w:t>one</w:t>
      </w:r>
      <w:r>
        <w:rPr>
          <w:spacing w:val="-3"/>
        </w:rPr>
        <w:t xml:space="preserve"> </w:t>
      </w:r>
      <w:r>
        <w:t>side</w:t>
      </w:r>
      <w:r>
        <w:rPr>
          <w:spacing w:val="-3"/>
        </w:rPr>
        <w:t xml:space="preserve"> </w:t>
      </w:r>
      <w:r>
        <w:t>and</w:t>
      </w:r>
      <w:r>
        <w:rPr>
          <w:spacing w:val="-1"/>
        </w:rPr>
        <w:t xml:space="preserve"> </w:t>
      </w:r>
      <w:r>
        <w:t>‘NVR’</w:t>
      </w:r>
      <w:r>
        <w:rPr>
          <w:spacing w:val="-1"/>
        </w:rPr>
        <w:t xml:space="preserve"> </w:t>
      </w:r>
      <w:r>
        <w:t>on</w:t>
      </w:r>
      <w:r>
        <w:rPr>
          <w:spacing w:val="-3"/>
        </w:rPr>
        <w:t xml:space="preserve"> </w:t>
      </w:r>
      <w:r>
        <w:t>the</w:t>
      </w:r>
      <w:r>
        <w:rPr>
          <w:spacing w:val="-2"/>
        </w:rPr>
        <w:t xml:space="preserve"> </w:t>
      </w:r>
      <w:r>
        <w:t xml:space="preserve">other </w:t>
      </w:r>
      <w:r>
        <w:rPr>
          <w:spacing w:val="-2"/>
        </w:rPr>
        <w:t>side.</w:t>
      </w:r>
    </w:p>
    <w:p w14:paraId="2366FE5F" w14:textId="77777777" w:rsidR="005303F6" w:rsidRDefault="00EB7C90" w:rsidP="008F14F0">
      <w:pPr>
        <w:pStyle w:val="Heading1"/>
        <w:numPr>
          <w:ilvl w:val="0"/>
          <w:numId w:val="2"/>
        </w:numPr>
        <w:tabs>
          <w:tab w:val="left" w:pos="880"/>
        </w:tabs>
      </w:pPr>
      <w:bookmarkStart w:id="4" w:name="4_Clinical_particulars"/>
      <w:bookmarkEnd w:id="4"/>
      <w:r>
        <w:t>CLINICAL</w:t>
      </w:r>
      <w:r>
        <w:rPr>
          <w:spacing w:val="-6"/>
        </w:rPr>
        <w:t xml:space="preserve"> </w:t>
      </w:r>
      <w:r>
        <w:rPr>
          <w:spacing w:val="-2"/>
        </w:rPr>
        <w:t>PARTICULARS</w:t>
      </w:r>
    </w:p>
    <w:p w14:paraId="2366FE60" w14:textId="77777777" w:rsidR="005303F6" w:rsidRDefault="00EB7C90" w:rsidP="008F14F0">
      <w:pPr>
        <w:pStyle w:val="Heading2"/>
        <w:numPr>
          <w:ilvl w:val="1"/>
          <w:numId w:val="2"/>
        </w:numPr>
        <w:tabs>
          <w:tab w:val="left" w:pos="1024"/>
        </w:tabs>
        <w:spacing w:before="171"/>
      </w:pPr>
      <w:bookmarkStart w:id="5" w:name="4.1_Therapeutic_indications"/>
      <w:bookmarkEnd w:id="5"/>
      <w:r>
        <w:rPr>
          <w:smallCaps/>
          <w:spacing w:val="-2"/>
        </w:rPr>
        <w:t>Therapeutic</w:t>
      </w:r>
      <w:r>
        <w:rPr>
          <w:smallCaps/>
          <w:spacing w:val="8"/>
        </w:rPr>
        <w:t xml:space="preserve"> </w:t>
      </w:r>
      <w:r>
        <w:rPr>
          <w:smallCaps/>
          <w:spacing w:val="-2"/>
        </w:rPr>
        <w:t>indications</w:t>
      </w:r>
    </w:p>
    <w:p w14:paraId="2366FE61" w14:textId="77777777" w:rsidR="005303F6" w:rsidRDefault="00EB7C90" w:rsidP="008F14F0">
      <w:pPr>
        <w:pStyle w:val="BodyText"/>
        <w:spacing w:before="166"/>
        <w:ind w:right="636"/>
        <w:jc w:val="left"/>
      </w:pPr>
      <w:r>
        <w:t>TABRECTA®</w:t>
      </w:r>
      <w:r>
        <w:rPr>
          <w:spacing w:val="72"/>
        </w:rPr>
        <w:t xml:space="preserve"> </w:t>
      </w:r>
      <w:r>
        <w:t>is</w:t>
      </w:r>
      <w:r>
        <w:rPr>
          <w:spacing w:val="69"/>
        </w:rPr>
        <w:t xml:space="preserve"> </w:t>
      </w:r>
      <w:r>
        <w:t>indicated</w:t>
      </w:r>
      <w:r>
        <w:rPr>
          <w:spacing w:val="70"/>
        </w:rPr>
        <w:t xml:space="preserve"> </w:t>
      </w:r>
      <w:r>
        <w:t>for</w:t>
      </w:r>
      <w:r>
        <w:rPr>
          <w:spacing w:val="70"/>
        </w:rPr>
        <w:t xml:space="preserve"> </w:t>
      </w:r>
      <w:r>
        <w:t>the</w:t>
      </w:r>
      <w:r>
        <w:rPr>
          <w:spacing w:val="70"/>
        </w:rPr>
        <w:t xml:space="preserve"> </w:t>
      </w:r>
      <w:r>
        <w:t>treatment</w:t>
      </w:r>
      <w:r>
        <w:rPr>
          <w:spacing w:val="70"/>
        </w:rPr>
        <w:t xml:space="preserve"> </w:t>
      </w:r>
      <w:r>
        <w:t>of</w:t>
      </w:r>
      <w:r>
        <w:rPr>
          <w:spacing w:val="68"/>
        </w:rPr>
        <w:t xml:space="preserve"> </w:t>
      </w:r>
      <w:r>
        <w:t>adult</w:t>
      </w:r>
      <w:r>
        <w:rPr>
          <w:spacing w:val="70"/>
        </w:rPr>
        <w:t xml:space="preserve"> </w:t>
      </w:r>
      <w:r>
        <w:t>patients</w:t>
      </w:r>
      <w:r>
        <w:rPr>
          <w:spacing w:val="69"/>
        </w:rPr>
        <w:t xml:space="preserve"> </w:t>
      </w:r>
      <w:r>
        <w:t>with</w:t>
      </w:r>
      <w:r>
        <w:rPr>
          <w:spacing w:val="70"/>
        </w:rPr>
        <w:t xml:space="preserve"> </w:t>
      </w:r>
      <w:r>
        <w:t>locally</w:t>
      </w:r>
      <w:r>
        <w:rPr>
          <w:spacing w:val="71"/>
        </w:rPr>
        <w:t xml:space="preserve"> </w:t>
      </w:r>
      <w:r>
        <w:t>advanced</w:t>
      </w:r>
      <w:r>
        <w:rPr>
          <w:spacing w:val="71"/>
        </w:rPr>
        <w:t xml:space="preserve"> </w:t>
      </w:r>
      <w:r>
        <w:t>or metastatic non-small cell lung cancer (NSCLC) with a MET exon 14 skipping mutation</w:t>
      </w:r>
    </w:p>
    <w:p w14:paraId="2366FE62" w14:textId="77777777" w:rsidR="005303F6" w:rsidRDefault="00EB7C90" w:rsidP="008F14F0">
      <w:pPr>
        <w:pStyle w:val="Heading2"/>
        <w:numPr>
          <w:ilvl w:val="1"/>
          <w:numId w:val="2"/>
        </w:numPr>
        <w:tabs>
          <w:tab w:val="left" w:pos="1024"/>
        </w:tabs>
        <w:spacing w:before="199"/>
      </w:pPr>
      <w:bookmarkStart w:id="6" w:name="4.2_Dose_and_method_of_administration"/>
      <w:bookmarkEnd w:id="6"/>
      <w:r>
        <w:rPr>
          <w:smallCaps/>
        </w:rPr>
        <w:t>Dose</w:t>
      </w:r>
      <w:r>
        <w:rPr>
          <w:smallCaps/>
          <w:spacing w:val="-4"/>
        </w:rPr>
        <w:t xml:space="preserve"> </w:t>
      </w:r>
      <w:r>
        <w:rPr>
          <w:smallCaps/>
        </w:rPr>
        <w:t>and</w:t>
      </w:r>
      <w:r>
        <w:rPr>
          <w:smallCaps/>
          <w:spacing w:val="-6"/>
        </w:rPr>
        <w:t xml:space="preserve"> </w:t>
      </w:r>
      <w:r>
        <w:rPr>
          <w:smallCaps/>
        </w:rPr>
        <w:t>method</w:t>
      </w:r>
      <w:r>
        <w:rPr>
          <w:smallCaps/>
          <w:spacing w:val="-5"/>
        </w:rPr>
        <w:t xml:space="preserve"> </w:t>
      </w:r>
      <w:r>
        <w:rPr>
          <w:smallCaps/>
        </w:rPr>
        <w:t>of</w:t>
      </w:r>
      <w:r>
        <w:rPr>
          <w:smallCaps/>
          <w:spacing w:val="-4"/>
        </w:rPr>
        <w:t xml:space="preserve"> </w:t>
      </w:r>
      <w:r>
        <w:rPr>
          <w:smallCaps/>
          <w:spacing w:val="-2"/>
        </w:rPr>
        <w:t>administration</w:t>
      </w:r>
    </w:p>
    <w:p w14:paraId="2366FE63" w14:textId="77777777" w:rsidR="005303F6" w:rsidRDefault="00EB7C90" w:rsidP="008F14F0">
      <w:pPr>
        <w:pStyle w:val="Heading3"/>
        <w:spacing w:before="165"/>
      </w:pPr>
      <w:r>
        <w:rPr>
          <w:u w:val="single"/>
        </w:rPr>
        <w:t>Patient</w:t>
      </w:r>
      <w:r>
        <w:rPr>
          <w:spacing w:val="-1"/>
          <w:u w:val="single"/>
        </w:rPr>
        <w:t xml:space="preserve"> </w:t>
      </w:r>
      <w:r>
        <w:rPr>
          <w:spacing w:val="-2"/>
          <w:u w:val="single"/>
        </w:rPr>
        <w:t>selection</w:t>
      </w:r>
    </w:p>
    <w:p w14:paraId="2366FE64" w14:textId="77777777" w:rsidR="005303F6" w:rsidRDefault="00EB7C90" w:rsidP="008F14F0">
      <w:pPr>
        <w:pStyle w:val="BodyText"/>
        <w:spacing w:before="245" w:line="276" w:lineRule="auto"/>
        <w:ind w:right="728"/>
        <w:jc w:val="left"/>
      </w:pPr>
      <w:r>
        <w:t>Prior</w:t>
      </w:r>
      <w:r>
        <w:rPr>
          <w:spacing w:val="-3"/>
        </w:rPr>
        <w:t xml:space="preserve"> </w:t>
      </w:r>
      <w:r>
        <w:t>to</w:t>
      </w:r>
      <w:r>
        <w:rPr>
          <w:spacing w:val="-4"/>
        </w:rPr>
        <w:t xml:space="preserve"> </w:t>
      </w:r>
      <w:r>
        <w:t>the</w:t>
      </w:r>
      <w:r>
        <w:rPr>
          <w:spacing w:val="-3"/>
        </w:rPr>
        <w:t xml:space="preserve"> </w:t>
      </w:r>
      <w:r>
        <w:t>use</w:t>
      </w:r>
      <w:r>
        <w:rPr>
          <w:spacing w:val="-4"/>
        </w:rPr>
        <w:t xml:space="preserve"> </w:t>
      </w:r>
      <w:r>
        <w:t>of</w:t>
      </w:r>
      <w:r>
        <w:rPr>
          <w:spacing w:val="-1"/>
        </w:rPr>
        <w:t xml:space="preserve"> </w:t>
      </w:r>
      <w:r>
        <w:t>capmatinib</w:t>
      </w:r>
      <w:r>
        <w:rPr>
          <w:spacing w:val="-1"/>
        </w:rPr>
        <w:t xml:space="preserve"> </w:t>
      </w:r>
      <w:r>
        <w:t>to</w:t>
      </w:r>
      <w:r>
        <w:rPr>
          <w:spacing w:val="-3"/>
        </w:rPr>
        <w:t xml:space="preserve"> </w:t>
      </w:r>
      <w:r>
        <w:t>treat locally</w:t>
      </w:r>
      <w:r>
        <w:rPr>
          <w:spacing w:val="-2"/>
        </w:rPr>
        <w:t xml:space="preserve"> </w:t>
      </w:r>
      <w:r>
        <w:t>advanced</w:t>
      </w:r>
      <w:r>
        <w:rPr>
          <w:spacing w:val="-3"/>
        </w:rPr>
        <w:t xml:space="preserve"> </w:t>
      </w:r>
      <w:r>
        <w:t>or</w:t>
      </w:r>
      <w:r>
        <w:rPr>
          <w:spacing w:val="-3"/>
        </w:rPr>
        <w:t xml:space="preserve"> </w:t>
      </w:r>
      <w:r>
        <w:t>metastatic</w:t>
      </w:r>
      <w:r>
        <w:rPr>
          <w:spacing w:val="-5"/>
        </w:rPr>
        <w:t xml:space="preserve"> </w:t>
      </w:r>
      <w:r>
        <w:t>NSCLC,</w:t>
      </w:r>
      <w:r>
        <w:rPr>
          <w:spacing w:val="-2"/>
        </w:rPr>
        <w:t xml:space="preserve"> </w:t>
      </w:r>
      <w:r>
        <w:t>the</w:t>
      </w:r>
      <w:r>
        <w:rPr>
          <w:spacing w:val="-4"/>
        </w:rPr>
        <w:t xml:space="preserve"> </w:t>
      </w:r>
      <w:r>
        <w:t>presence</w:t>
      </w:r>
      <w:r>
        <w:rPr>
          <w:spacing w:val="-4"/>
        </w:rPr>
        <w:t xml:space="preserve"> </w:t>
      </w:r>
      <w:r>
        <w:t>of a</w:t>
      </w:r>
      <w:r>
        <w:rPr>
          <w:spacing w:val="-7"/>
        </w:rPr>
        <w:t xml:space="preserve"> </w:t>
      </w:r>
      <w:r>
        <w:t>MET</w:t>
      </w:r>
      <w:r>
        <w:rPr>
          <w:spacing w:val="-7"/>
        </w:rPr>
        <w:t xml:space="preserve"> </w:t>
      </w:r>
      <w:r>
        <w:t>exon</w:t>
      </w:r>
      <w:r>
        <w:rPr>
          <w:spacing w:val="-9"/>
        </w:rPr>
        <w:t xml:space="preserve"> </w:t>
      </w:r>
      <w:r>
        <w:t>14</w:t>
      </w:r>
      <w:r>
        <w:rPr>
          <w:spacing w:val="-8"/>
        </w:rPr>
        <w:t xml:space="preserve"> </w:t>
      </w:r>
      <w:r>
        <w:t>skipping</w:t>
      </w:r>
      <w:r>
        <w:rPr>
          <w:spacing w:val="-11"/>
        </w:rPr>
        <w:t xml:space="preserve"> </w:t>
      </w:r>
      <w:r>
        <w:t>mutation</w:t>
      </w:r>
      <w:r>
        <w:rPr>
          <w:spacing w:val="-5"/>
        </w:rPr>
        <w:t xml:space="preserve"> </w:t>
      </w:r>
      <w:r>
        <w:t>must</w:t>
      </w:r>
      <w:r>
        <w:rPr>
          <w:spacing w:val="-9"/>
        </w:rPr>
        <w:t xml:space="preserve"> </w:t>
      </w:r>
      <w:r>
        <w:t>be</w:t>
      </w:r>
      <w:r>
        <w:rPr>
          <w:spacing w:val="-9"/>
        </w:rPr>
        <w:t xml:space="preserve"> </w:t>
      </w:r>
      <w:r>
        <w:t>established.</w:t>
      </w:r>
      <w:r>
        <w:rPr>
          <w:spacing w:val="-9"/>
        </w:rPr>
        <w:t xml:space="preserve"> </w:t>
      </w:r>
      <w:r>
        <w:t>Testing</w:t>
      </w:r>
      <w:r>
        <w:rPr>
          <w:spacing w:val="-9"/>
        </w:rPr>
        <w:t xml:space="preserve"> </w:t>
      </w:r>
      <w:r>
        <w:t>used</w:t>
      </w:r>
      <w:r>
        <w:rPr>
          <w:spacing w:val="-8"/>
        </w:rPr>
        <w:t xml:space="preserve"> </w:t>
      </w:r>
      <w:r>
        <w:t>in</w:t>
      </w:r>
      <w:r>
        <w:rPr>
          <w:spacing w:val="-9"/>
        </w:rPr>
        <w:t xml:space="preserve"> </w:t>
      </w:r>
      <w:r>
        <w:t>clinical</w:t>
      </w:r>
      <w:r>
        <w:rPr>
          <w:spacing w:val="-7"/>
        </w:rPr>
        <w:t xml:space="preserve"> </w:t>
      </w:r>
      <w:r>
        <w:t>practice</w:t>
      </w:r>
      <w:r>
        <w:rPr>
          <w:spacing w:val="-9"/>
        </w:rPr>
        <w:t xml:space="preserve"> </w:t>
      </w:r>
      <w:r>
        <w:t>should be adequately comparable to the testing used in clinical studies (refer to section 5.1 Pharmacodynamic properties – clinical trials). A list of IVD companion diagnostic (CDx) tests is available on the TGA website.</w:t>
      </w:r>
    </w:p>
    <w:p w14:paraId="7360EC11" w14:textId="77777777" w:rsidR="005303F6" w:rsidRDefault="005303F6" w:rsidP="008F14F0">
      <w:pPr>
        <w:pStyle w:val="BodyText"/>
        <w:spacing w:line="276" w:lineRule="auto"/>
        <w:jc w:val="left"/>
      </w:pPr>
    </w:p>
    <w:p w14:paraId="5DAD70A7" w14:textId="77777777" w:rsidR="008F14F0" w:rsidRDefault="008F14F0" w:rsidP="008F14F0">
      <w:pPr>
        <w:pStyle w:val="Heading3"/>
        <w:spacing w:before="41"/>
        <w:rPr>
          <w:u w:val="single"/>
        </w:rPr>
      </w:pPr>
    </w:p>
    <w:p w14:paraId="2366FE66" w14:textId="5B5EC4B6" w:rsidR="005303F6" w:rsidRDefault="00EB7C90" w:rsidP="008F14F0">
      <w:pPr>
        <w:pStyle w:val="Heading3"/>
        <w:spacing w:before="41"/>
      </w:pPr>
      <w:r>
        <w:rPr>
          <w:u w:val="single"/>
        </w:rPr>
        <w:lastRenderedPageBreak/>
        <w:t>Dosing</w:t>
      </w:r>
      <w:r>
        <w:rPr>
          <w:spacing w:val="-1"/>
          <w:u w:val="single"/>
        </w:rPr>
        <w:t xml:space="preserve"> </w:t>
      </w:r>
      <w:r>
        <w:rPr>
          <w:spacing w:val="-2"/>
          <w:u w:val="single"/>
        </w:rPr>
        <w:t>regimen</w:t>
      </w:r>
    </w:p>
    <w:p w14:paraId="2366FE67" w14:textId="77777777" w:rsidR="005303F6" w:rsidRDefault="00EB7C90" w:rsidP="008F14F0">
      <w:pPr>
        <w:pStyle w:val="BodyText"/>
        <w:spacing w:before="245" w:line="276" w:lineRule="auto"/>
        <w:ind w:right="636"/>
        <w:jc w:val="left"/>
      </w:pPr>
      <w:r>
        <w:t>The recommended dose of TABRECTA is 400</w:t>
      </w:r>
      <w:r>
        <w:rPr>
          <w:spacing w:val="-3"/>
        </w:rPr>
        <w:t xml:space="preserve"> </w:t>
      </w:r>
      <w:r>
        <w:t>mg orally twice daily with or without food (see Section 5.2, Pharmacokinetic properties).</w:t>
      </w:r>
    </w:p>
    <w:p w14:paraId="2366FE68" w14:textId="77777777" w:rsidR="005303F6" w:rsidRDefault="00EB7C90" w:rsidP="008F14F0">
      <w:pPr>
        <w:pStyle w:val="BodyText"/>
        <w:spacing w:before="200" w:line="276" w:lineRule="auto"/>
        <w:ind w:right="636"/>
        <w:jc w:val="left"/>
      </w:pPr>
      <w:r>
        <w:t>Treatment</w:t>
      </w:r>
      <w:r>
        <w:rPr>
          <w:spacing w:val="-2"/>
        </w:rPr>
        <w:t xml:space="preserve"> </w:t>
      </w:r>
      <w:r>
        <w:t>should</w:t>
      </w:r>
      <w:r>
        <w:rPr>
          <w:spacing w:val="-2"/>
        </w:rPr>
        <w:t xml:space="preserve"> </w:t>
      </w:r>
      <w:r>
        <w:t>be</w:t>
      </w:r>
      <w:r>
        <w:rPr>
          <w:spacing w:val="-2"/>
        </w:rPr>
        <w:t xml:space="preserve"> </w:t>
      </w:r>
      <w:r>
        <w:t>continued</w:t>
      </w:r>
      <w:r>
        <w:rPr>
          <w:spacing w:val="-4"/>
        </w:rPr>
        <w:t xml:space="preserve"> </w:t>
      </w:r>
      <w:r>
        <w:t>based</w:t>
      </w:r>
      <w:r>
        <w:rPr>
          <w:spacing w:val="-1"/>
        </w:rPr>
        <w:t xml:space="preserve"> </w:t>
      </w:r>
      <w:r>
        <w:t>on</w:t>
      </w:r>
      <w:r>
        <w:rPr>
          <w:spacing w:val="-2"/>
        </w:rPr>
        <w:t xml:space="preserve"> </w:t>
      </w:r>
      <w:r>
        <w:t>individual</w:t>
      </w:r>
      <w:r>
        <w:rPr>
          <w:spacing w:val="-2"/>
        </w:rPr>
        <w:t xml:space="preserve"> </w:t>
      </w:r>
      <w:r>
        <w:t>safety</w:t>
      </w:r>
      <w:r>
        <w:rPr>
          <w:spacing w:val="-3"/>
        </w:rPr>
        <w:t xml:space="preserve"> </w:t>
      </w:r>
      <w:r>
        <w:t>and</w:t>
      </w:r>
      <w:r>
        <w:rPr>
          <w:spacing w:val="-2"/>
        </w:rPr>
        <w:t xml:space="preserve"> </w:t>
      </w:r>
      <w:r>
        <w:t>tolerability</w:t>
      </w:r>
      <w:r>
        <w:rPr>
          <w:spacing w:val="-6"/>
        </w:rPr>
        <w:t xml:space="preserve"> </w:t>
      </w:r>
      <w:r>
        <w:t>and</w:t>
      </w:r>
      <w:r>
        <w:rPr>
          <w:spacing w:val="-2"/>
        </w:rPr>
        <w:t xml:space="preserve"> </w:t>
      </w:r>
      <w:proofErr w:type="gramStart"/>
      <w:r>
        <w:t>as</w:t>
      </w:r>
      <w:r>
        <w:rPr>
          <w:spacing w:val="-3"/>
        </w:rPr>
        <w:t xml:space="preserve"> </w:t>
      </w:r>
      <w:r>
        <w:t>long</w:t>
      </w:r>
      <w:r>
        <w:rPr>
          <w:spacing w:val="-3"/>
        </w:rPr>
        <w:t xml:space="preserve"> </w:t>
      </w:r>
      <w:r>
        <w:t>as</w:t>
      </w:r>
      <w:proofErr w:type="gramEnd"/>
      <w:r>
        <w:rPr>
          <w:spacing w:val="-3"/>
        </w:rPr>
        <w:t xml:space="preserve"> </w:t>
      </w:r>
      <w:r>
        <w:t>the patient is deriving clinical benefit from therapy.</w:t>
      </w:r>
    </w:p>
    <w:p w14:paraId="2366FE69" w14:textId="77777777" w:rsidR="005303F6" w:rsidRDefault="00EB7C90" w:rsidP="008F14F0">
      <w:pPr>
        <w:pStyle w:val="BodyText"/>
        <w:spacing w:before="199" w:line="276" w:lineRule="auto"/>
        <w:ind w:right="636"/>
        <w:jc w:val="left"/>
      </w:pPr>
      <w:r>
        <w:t xml:space="preserve">If a dose of TABRECTA is </w:t>
      </w:r>
      <w:proofErr w:type="gramStart"/>
      <w:r>
        <w:t>missed</w:t>
      </w:r>
      <w:proofErr w:type="gramEnd"/>
      <w:r>
        <w:t xml:space="preserve"> or vomiting occurs, the patient should not make up for the </w:t>
      </w:r>
      <w:proofErr w:type="gramStart"/>
      <w:r>
        <w:t>dose, but</w:t>
      </w:r>
      <w:proofErr w:type="gramEnd"/>
      <w:r>
        <w:t xml:space="preserve"> take the next dose at the scheduled time.</w:t>
      </w:r>
    </w:p>
    <w:p w14:paraId="2366FE6A" w14:textId="77777777" w:rsidR="005303F6" w:rsidRDefault="00EB7C90" w:rsidP="008F14F0">
      <w:pPr>
        <w:pStyle w:val="Heading3"/>
        <w:spacing w:before="201"/>
      </w:pPr>
      <w:r>
        <w:rPr>
          <w:u w:val="single"/>
        </w:rPr>
        <w:t>Dose</w:t>
      </w:r>
      <w:r>
        <w:rPr>
          <w:spacing w:val="-4"/>
          <w:u w:val="single"/>
        </w:rPr>
        <w:t xml:space="preserve"> </w:t>
      </w:r>
      <w:r>
        <w:rPr>
          <w:u w:val="single"/>
        </w:rPr>
        <w:t>modifications</w:t>
      </w:r>
      <w:r>
        <w:rPr>
          <w:spacing w:val="-4"/>
          <w:u w:val="single"/>
        </w:rPr>
        <w:t xml:space="preserve"> </w:t>
      </w:r>
      <w:r>
        <w:rPr>
          <w:u w:val="single"/>
        </w:rPr>
        <w:t>for</w:t>
      </w:r>
      <w:r>
        <w:rPr>
          <w:spacing w:val="-3"/>
          <w:u w:val="single"/>
        </w:rPr>
        <w:t xml:space="preserve"> </w:t>
      </w:r>
      <w:r>
        <w:rPr>
          <w:u w:val="single"/>
        </w:rPr>
        <w:t>adverse</w:t>
      </w:r>
      <w:r>
        <w:rPr>
          <w:spacing w:val="1"/>
          <w:u w:val="single"/>
        </w:rPr>
        <w:t xml:space="preserve"> </w:t>
      </w:r>
      <w:r>
        <w:rPr>
          <w:spacing w:val="-2"/>
          <w:u w:val="single"/>
        </w:rPr>
        <w:t>reactions</w:t>
      </w:r>
    </w:p>
    <w:p w14:paraId="2366FE6B" w14:textId="77777777" w:rsidR="005303F6" w:rsidRDefault="00EB7C90" w:rsidP="008F14F0">
      <w:pPr>
        <w:pStyle w:val="BodyText"/>
        <w:spacing w:before="244" w:line="276" w:lineRule="auto"/>
        <w:ind w:right="725"/>
        <w:jc w:val="left"/>
      </w:pPr>
      <w:r>
        <w:t>The</w:t>
      </w:r>
      <w:r>
        <w:rPr>
          <w:spacing w:val="-2"/>
        </w:rPr>
        <w:t xml:space="preserve"> </w:t>
      </w:r>
      <w:r>
        <w:t>recommended</w:t>
      </w:r>
      <w:r>
        <w:rPr>
          <w:spacing w:val="-2"/>
        </w:rPr>
        <w:t xml:space="preserve"> </w:t>
      </w:r>
      <w:r>
        <w:t>dose</w:t>
      </w:r>
      <w:r>
        <w:rPr>
          <w:spacing w:val="-4"/>
        </w:rPr>
        <w:t xml:space="preserve"> </w:t>
      </w:r>
      <w:r>
        <w:t>reduction</w:t>
      </w:r>
      <w:r>
        <w:rPr>
          <w:spacing w:val="-4"/>
        </w:rPr>
        <w:t xml:space="preserve"> </w:t>
      </w:r>
      <w:r>
        <w:t>schedule</w:t>
      </w:r>
      <w:r>
        <w:rPr>
          <w:spacing w:val="-4"/>
        </w:rPr>
        <w:t xml:space="preserve"> </w:t>
      </w:r>
      <w:r>
        <w:t>for</w:t>
      </w:r>
      <w:r>
        <w:rPr>
          <w:spacing w:val="-4"/>
        </w:rPr>
        <w:t xml:space="preserve"> </w:t>
      </w:r>
      <w:r>
        <w:t>the</w:t>
      </w:r>
      <w:r>
        <w:rPr>
          <w:spacing w:val="-2"/>
        </w:rPr>
        <w:t xml:space="preserve"> </w:t>
      </w:r>
      <w:r>
        <w:t>management</w:t>
      </w:r>
      <w:r>
        <w:rPr>
          <w:spacing w:val="-4"/>
        </w:rPr>
        <w:t xml:space="preserve"> </w:t>
      </w:r>
      <w:r>
        <w:t>of</w:t>
      </w:r>
      <w:r>
        <w:rPr>
          <w:spacing w:val="-4"/>
        </w:rPr>
        <w:t xml:space="preserve"> </w:t>
      </w:r>
      <w:r>
        <w:t>adverse reactions</w:t>
      </w:r>
      <w:r>
        <w:rPr>
          <w:spacing w:val="-4"/>
        </w:rPr>
        <w:t xml:space="preserve"> </w:t>
      </w:r>
      <w:r>
        <w:t>based on individual safety and tolerability is listed in Table 1.</w:t>
      </w:r>
    </w:p>
    <w:p w14:paraId="2366FE6C" w14:textId="3AEC3502" w:rsidR="005303F6" w:rsidRDefault="00EB7C90" w:rsidP="008F14F0">
      <w:pPr>
        <w:pStyle w:val="Heading3"/>
        <w:spacing w:before="201"/>
        <w:rPr>
          <w:rFonts w:ascii="Cambria"/>
        </w:rPr>
      </w:pPr>
      <w:r>
        <w:rPr>
          <w:rFonts w:ascii="Cambria"/>
        </w:rPr>
        <w:t>Table</w:t>
      </w:r>
      <w:r>
        <w:rPr>
          <w:rFonts w:ascii="Cambria"/>
          <w:spacing w:val="-1"/>
        </w:rPr>
        <w:t xml:space="preserve"> </w:t>
      </w:r>
      <w:r>
        <w:rPr>
          <w:rFonts w:ascii="Cambria"/>
        </w:rPr>
        <w:t>1</w:t>
      </w:r>
      <w:r>
        <w:rPr>
          <w:rFonts w:ascii="Cambria"/>
          <w:spacing w:val="76"/>
        </w:rPr>
        <w:t xml:space="preserve"> </w:t>
      </w:r>
      <w:r>
        <w:rPr>
          <w:rFonts w:ascii="Cambria"/>
        </w:rPr>
        <w:t>TABRECTA</w:t>
      </w:r>
      <w:r>
        <w:rPr>
          <w:rFonts w:ascii="Cambria"/>
          <w:spacing w:val="-2"/>
        </w:rPr>
        <w:t xml:space="preserve"> </w:t>
      </w:r>
      <w:proofErr w:type="gramStart"/>
      <w:r>
        <w:rPr>
          <w:rFonts w:ascii="Cambria"/>
        </w:rPr>
        <w:t>dose</w:t>
      </w:r>
      <w:proofErr w:type="gramEnd"/>
      <w:r>
        <w:rPr>
          <w:rFonts w:ascii="Cambria"/>
        </w:rPr>
        <w:t xml:space="preserve"> reduction</w:t>
      </w:r>
      <w:r>
        <w:rPr>
          <w:rFonts w:ascii="Cambria"/>
          <w:spacing w:val="-1"/>
        </w:rPr>
        <w:t xml:space="preserve"> </w:t>
      </w:r>
      <w:r>
        <w:rPr>
          <w:rFonts w:ascii="Cambria"/>
          <w:spacing w:val="-2"/>
        </w:rPr>
        <w:t>schedule</w:t>
      </w:r>
    </w:p>
    <w:p w14:paraId="2366FE6D" w14:textId="77777777" w:rsidR="005303F6" w:rsidRDefault="005303F6" w:rsidP="008F14F0">
      <w:pPr>
        <w:pStyle w:val="BodyText"/>
        <w:spacing w:before="7"/>
        <w:ind w:left="0"/>
        <w:jc w:val="left"/>
        <w:rPr>
          <w:rFonts w:ascii="Cambria"/>
          <w:b/>
          <w:sz w:val="20"/>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26"/>
        <w:gridCol w:w="3060"/>
        <w:gridCol w:w="3468"/>
      </w:tblGrid>
      <w:tr w:rsidR="005303F6" w14:paraId="2366FE71" w14:textId="77777777" w:rsidTr="003F2FE8">
        <w:trPr>
          <w:trHeight w:val="266"/>
        </w:trPr>
        <w:tc>
          <w:tcPr>
            <w:tcW w:w="2626" w:type="dxa"/>
          </w:tcPr>
          <w:p w14:paraId="2366FE6E" w14:textId="77777777" w:rsidR="005303F6" w:rsidRDefault="00EB7C90" w:rsidP="008F14F0">
            <w:pPr>
              <w:pStyle w:val="TableParagraph"/>
              <w:spacing w:before="39" w:line="206" w:lineRule="exact"/>
              <w:ind w:left="122"/>
              <w:rPr>
                <w:b/>
                <w:sz w:val="18"/>
              </w:rPr>
            </w:pPr>
            <w:r>
              <w:rPr>
                <w:b/>
                <w:sz w:val="18"/>
              </w:rPr>
              <w:t>Dose</w:t>
            </w:r>
            <w:r>
              <w:rPr>
                <w:b/>
                <w:spacing w:val="-2"/>
                <w:sz w:val="18"/>
              </w:rPr>
              <w:t xml:space="preserve"> level</w:t>
            </w:r>
          </w:p>
        </w:tc>
        <w:tc>
          <w:tcPr>
            <w:tcW w:w="3060" w:type="dxa"/>
          </w:tcPr>
          <w:p w14:paraId="2366FE6F" w14:textId="77777777" w:rsidR="005303F6" w:rsidRDefault="00EB7C90" w:rsidP="008F14F0">
            <w:pPr>
              <w:pStyle w:val="TableParagraph"/>
              <w:spacing w:before="39" w:line="206" w:lineRule="exact"/>
              <w:ind w:left="100"/>
              <w:rPr>
                <w:b/>
                <w:sz w:val="18"/>
              </w:rPr>
            </w:pPr>
            <w:r>
              <w:rPr>
                <w:b/>
                <w:sz w:val="18"/>
              </w:rPr>
              <w:t>Dose</w:t>
            </w:r>
            <w:r>
              <w:rPr>
                <w:b/>
                <w:spacing w:val="-4"/>
                <w:sz w:val="18"/>
              </w:rPr>
              <w:t xml:space="preserve"> </w:t>
            </w:r>
            <w:r>
              <w:rPr>
                <w:b/>
                <w:sz w:val="18"/>
              </w:rPr>
              <w:t>and</w:t>
            </w:r>
            <w:r>
              <w:rPr>
                <w:b/>
                <w:spacing w:val="-2"/>
                <w:sz w:val="18"/>
              </w:rPr>
              <w:t xml:space="preserve"> schedule</w:t>
            </w:r>
          </w:p>
        </w:tc>
        <w:tc>
          <w:tcPr>
            <w:tcW w:w="3468" w:type="dxa"/>
          </w:tcPr>
          <w:p w14:paraId="2366FE70" w14:textId="77777777" w:rsidR="005303F6" w:rsidRDefault="00EB7C90" w:rsidP="008F14F0">
            <w:pPr>
              <w:pStyle w:val="TableParagraph"/>
              <w:spacing w:before="39" w:line="206" w:lineRule="exact"/>
              <w:ind w:left="101"/>
              <w:rPr>
                <w:b/>
                <w:sz w:val="18"/>
              </w:rPr>
            </w:pPr>
            <w:r>
              <w:rPr>
                <w:b/>
                <w:sz w:val="18"/>
              </w:rPr>
              <w:t>Number</w:t>
            </w:r>
            <w:r>
              <w:rPr>
                <w:b/>
                <w:spacing w:val="-2"/>
                <w:sz w:val="18"/>
              </w:rPr>
              <w:t xml:space="preserve"> </w:t>
            </w:r>
            <w:r>
              <w:rPr>
                <w:b/>
                <w:sz w:val="18"/>
              </w:rPr>
              <w:t>and</w:t>
            </w:r>
            <w:r>
              <w:rPr>
                <w:b/>
                <w:spacing w:val="-3"/>
                <w:sz w:val="18"/>
              </w:rPr>
              <w:t xml:space="preserve"> </w:t>
            </w:r>
            <w:r>
              <w:rPr>
                <w:b/>
                <w:sz w:val="18"/>
              </w:rPr>
              <w:t>strength</w:t>
            </w:r>
            <w:r>
              <w:rPr>
                <w:b/>
                <w:spacing w:val="-1"/>
                <w:sz w:val="18"/>
              </w:rPr>
              <w:t xml:space="preserve"> </w:t>
            </w:r>
            <w:r>
              <w:rPr>
                <w:b/>
                <w:sz w:val="18"/>
              </w:rPr>
              <w:t>of</w:t>
            </w:r>
            <w:r>
              <w:rPr>
                <w:b/>
                <w:spacing w:val="-1"/>
                <w:sz w:val="18"/>
              </w:rPr>
              <w:t xml:space="preserve"> </w:t>
            </w:r>
            <w:r>
              <w:rPr>
                <w:b/>
                <w:spacing w:val="-2"/>
                <w:sz w:val="18"/>
              </w:rPr>
              <w:t>tablets</w:t>
            </w:r>
          </w:p>
        </w:tc>
      </w:tr>
      <w:tr w:rsidR="005303F6" w14:paraId="2366FE75" w14:textId="77777777" w:rsidTr="003F2FE8">
        <w:trPr>
          <w:trHeight w:val="268"/>
        </w:trPr>
        <w:tc>
          <w:tcPr>
            <w:tcW w:w="2626" w:type="dxa"/>
          </w:tcPr>
          <w:p w14:paraId="2366FE72" w14:textId="77777777" w:rsidR="005303F6" w:rsidRDefault="00EB7C90" w:rsidP="008F14F0">
            <w:pPr>
              <w:pStyle w:val="TableParagraph"/>
              <w:spacing w:before="42" w:line="206" w:lineRule="exact"/>
              <w:ind w:left="122"/>
              <w:rPr>
                <w:sz w:val="18"/>
              </w:rPr>
            </w:pPr>
            <w:r>
              <w:rPr>
                <w:sz w:val="18"/>
              </w:rPr>
              <w:t>Starting</w:t>
            </w:r>
            <w:r>
              <w:rPr>
                <w:spacing w:val="-7"/>
                <w:sz w:val="18"/>
              </w:rPr>
              <w:t xml:space="preserve"> </w:t>
            </w:r>
            <w:r>
              <w:rPr>
                <w:spacing w:val="-4"/>
                <w:sz w:val="18"/>
              </w:rPr>
              <w:t>dose</w:t>
            </w:r>
          </w:p>
        </w:tc>
        <w:tc>
          <w:tcPr>
            <w:tcW w:w="3060" w:type="dxa"/>
          </w:tcPr>
          <w:p w14:paraId="2366FE73" w14:textId="77777777" w:rsidR="005303F6" w:rsidRDefault="00EB7C90" w:rsidP="008F14F0">
            <w:pPr>
              <w:pStyle w:val="TableParagraph"/>
              <w:spacing w:before="42" w:line="206" w:lineRule="exact"/>
              <w:ind w:left="100"/>
              <w:rPr>
                <w:sz w:val="18"/>
              </w:rPr>
            </w:pPr>
            <w:r>
              <w:rPr>
                <w:sz w:val="18"/>
              </w:rPr>
              <w:t>400</w:t>
            </w:r>
            <w:r>
              <w:rPr>
                <w:spacing w:val="-3"/>
                <w:sz w:val="18"/>
              </w:rPr>
              <w:t xml:space="preserve"> </w:t>
            </w:r>
            <w:r>
              <w:rPr>
                <w:sz w:val="18"/>
              </w:rPr>
              <w:t>mg</w:t>
            </w:r>
            <w:r>
              <w:rPr>
                <w:spacing w:val="-1"/>
                <w:sz w:val="18"/>
              </w:rPr>
              <w:t xml:space="preserve"> </w:t>
            </w:r>
            <w:r>
              <w:rPr>
                <w:sz w:val="18"/>
              </w:rPr>
              <w:t>twice</w:t>
            </w:r>
            <w:r>
              <w:rPr>
                <w:spacing w:val="-2"/>
                <w:sz w:val="18"/>
              </w:rPr>
              <w:t xml:space="preserve"> </w:t>
            </w:r>
            <w:r>
              <w:rPr>
                <w:spacing w:val="-4"/>
                <w:sz w:val="18"/>
              </w:rPr>
              <w:t>daily</w:t>
            </w:r>
          </w:p>
        </w:tc>
        <w:tc>
          <w:tcPr>
            <w:tcW w:w="3468" w:type="dxa"/>
          </w:tcPr>
          <w:p w14:paraId="2366FE74" w14:textId="77777777" w:rsidR="005303F6" w:rsidRDefault="00EB7C90" w:rsidP="008F14F0">
            <w:pPr>
              <w:pStyle w:val="TableParagraph"/>
              <w:spacing w:before="42" w:line="206" w:lineRule="exact"/>
              <w:ind w:left="101"/>
              <w:rPr>
                <w:sz w:val="18"/>
              </w:rPr>
            </w:pPr>
            <w:r>
              <w:rPr>
                <w:sz w:val="18"/>
              </w:rPr>
              <w:t>Two</w:t>
            </w:r>
            <w:r>
              <w:rPr>
                <w:spacing w:val="-4"/>
                <w:sz w:val="18"/>
              </w:rPr>
              <w:t xml:space="preserve"> </w:t>
            </w:r>
            <w:r>
              <w:rPr>
                <w:sz w:val="18"/>
              </w:rPr>
              <w:t>200</w:t>
            </w:r>
            <w:r>
              <w:rPr>
                <w:spacing w:val="-2"/>
                <w:sz w:val="18"/>
              </w:rPr>
              <w:t xml:space="preserve"> </w:t>
            </w:r>
            <w:r>
              <w:rPr>
                <w:sz w:val="18"/>
              </w:rPr>
              <w:t>mg</w:t>
            </w:r>
            <w:r>
              <w:rPr>
                <w:spacing w:val="-3"/>
                <w:sz w:val="18"/>
              </w:rPr>
              <w:t xml:space="preserve"> </w:t>
            </w:r>
            <w:r>
              <w:rPr>
                <w:sz w:val="18"/>
              </w:rPr>
              <w:t>tablets</w:t>
            </w:r>
            <w:r>
              <w:rPr>
                <w:spacing w:val="-2"/>
                <w:sz w:val="18"/>
              </w:rPr>
              <w:t xml:space="preserve"> </w:t>
            </w:r>
            <w:r>
              <w:rPr>
                <w:sz w:val="18"/>
              </w:rPr>
              <w:t>/</w:t>
            </w:r>
            <w:r>
              <w:rPr>
                <w:spacing w:val="-1"/>
                <w:sz w:val="18"/>
              </w:rPr>
              <w:t xml:space="preserve"> </w:t>
            </w:r>
            <w:r>
              <w:rPr>
                <w:sz w:val="18"/>
              </w:rPr>
              <w:t>twice</w:t>
            </w:r>
            <w:r>
              <w:rPr>
                <w:spacing w:val="-1"/>
                <w:sz w:val="18"/>
              </w:rPr>
              <w:t xml:space="preserve"> </w:t>
            </w:r>
            <w:r>
              <w:rPr>
                <w:spacing w:val="-4"/>
                <w:sz w:val="18"/>
              </w:rPr>
              <w:t>daily</w:t>
            </w:r>
          </w:p>
        </w:tc>
      </w:tr>
      <w:tr w:rsidR="005303F6" w14:paraId="2366FE79" w14:textId="77777777" w:rsidTr="003F2FE8">
        <w:trPr>
          <w:trHeight w:val="266"/>
        </w:trPr>
        <w:tc>
          <w:tcPr>
            <w:tcW w:w="2626" w:type="dxa"/>
          </w:tcPr>
          <w:p w14:paraId="2366FE76" w14:textId="77777777" w:rsidR="005303F6" w:rsidRDefault="00EB7C90" w:rsidP="008F14F0">
            <w:pPr>
              <w:pStyle w:val="TableParagraph"/>
              <w:spacing w:before="39" w:line="206" w:lineRule="exact"/>
              <w:ind w:left="122"/>
              <w:rPr>
                <w:sz w:val="18"/>
              </w:rPr>
            </w:pPr>
            <w:r>
              <w:rPr>
                <w:sz w:val="18"/>
              </w:rPr>
              <w:t>First-dose</w:t>
            </w:r>
            <w:r>
              <w:rPr>
                <w:spacing w:val="-4"/>
                <w:sz w:val="18"/>
              </w:rPr>
              <w:t xml:space="preserve"> </w:t>
            </w:r>
            <w:r>
              <w:rPr>
                <w:spacing w:val="-2"/>
                <w:sz w:val="18"/>
              </w:rPr>
              <w:t>reduction</w:t>
            </w:r>
          </w:p>
        </w:tc>
        <w:tc>
          <w:tcPr>
            <w:tcW w:w="3060" w:type="dxa"/>
          </w:tcPr>
          <w:p w14:paraId="2366FE77" w14:textId="77777777" w:rsidR="005303F6" w:rsidRDefault="00EB7C90" w:rsidP="008F14F0">
            <w:pPr>
              <w:pStyle w:val="TableParagraph"/>
              <w:spacing w:before="39" w:line="206" w:lineRule="exact"/>
              <w:ind w:left="100"/>
              <w:rPr>
                <w:sz w:val="18"/>
              </w:rPr>
            </w:pPr>
            <w:r>
              <w:rPr>
                <w:sz w:val="18"/>
              </w:rPr>
              <w:t>300</w:t>
            </w:r>
            <w:r>
              <w:rPr>
                <w:spacing w:val="-3"/>
                <w:sz w:val="18"/>
              </w:rPr>
              <w:t xml:space="preserve"> </w:t>
            </w:r>
            <w:r>
              <w:rPr>
                <w:sz w:val="18"/>
              </w:rPr>
              <w:t>mg</w:t>
            </w:r>
            <w:r>
              <w:rPr>
                <w:spacing w:val="-1"/>
                <w:sz w:val="18"/>
              </w:rPr>
              <w:t xml:space="preserve"> </w:t>
            </w:r>
            <w:r>
              <w:rPr>
                <w:sz w:val="18"/>
              </w:rPr>
              <w:t>twice</w:t>
            </w:r>
            <w:r>
              <w:rPr>
                <w:spacing w:val="-2"/>
                <w:sz w:val="18"/>
              </w:rPr>
              <w:t xml:space="preserve"> </w:t>
            </w:r>
            <w:r>
              <w:rPr>
                <w:spacing w:val="-4"/>
                <w:sz w:val="18"/>
              </w:rPr>
              <w:t>daily</w:t>
            </w:r>
          </w:p>
        </w:tc>
        <w:tc>
          <w:tcPr>
            <w:tcW w:w="3468" w:type="dxa"/>
          </w:tcPr>
          <w:p w14:paraId="2366FE78" w14:textId="77777777" w:rsidR="005303F6" w:rsidRDefault="00EB7C90" w:rsidP="008F14F0">
            <w:pPr>
              <w:pStyle w:val="TableParagraph"/>
              <w:spacing w:before="39" w:line="206" w:lineRule="exact"/>
              <w:ind w:left="101"/>
              <w:rPr>
                <w:sz w:val="18"/>
              </w:rPr>
            </w:pPr>
            <w:r>
              <w:rPr>
                <w:sz w:val="18"/>
              </w:rPr>
              <w:t>Two</w:t>
            </w:r>
            <w:r>
              <w:rPr>
                <w:spacing w:val="-4"/>
                <w:sz w:val="18"/>
              </w:rPr>
              <w:t xml:space="preserve"> </w:t>
            </w:r>
            <w:r>
              <w:rPr>
                <w:sz w:val="18"/>
              </w:rPr>
              <w:t>150</w:t>
            </w:r>
            <w:r>
              <w:rPr>
                <w:spacing w:val="-2"/>
                <w:sz w:val="18"/>
              </w:rPr>
              <w:t xml:space="preserve"> </w:t>
            </w:r>
            <w:r>
              <w:rPr>
                <w:sz w:val="18"/>
              </w:rPr>
              <w:t>mg</w:t>
            </w:r>
            <w:r>
              <w:rPr>
                <w:spacing w:val="-3"/>
                <w:sz w:val="18"/>
              </w:rPr>
              <w:t xml:space="preserve"> </w:t>
            </w:r>
            <w:r>
              <w:rPr>
                <w:sz w:val="18"/>
              </w:rPr>
              <w:t>tablets</w:t>
            </w:r>
            <w:r>
              <w:rPr>
                <w:spacing w:val="-2"/>
                <w:sz w:val="18"/>
              </w:rPr>
              <w:t xml:space="preserve"> </w:t>
            </w:r>
            <w:r>
              <w:rPr>
                <w:sz w:val="18"/>
              </w:rPr>
              <w:t>/</w:t>
            </w:r>
            <w:r>
              <w:rPr>
                <w:spacing w:val="-1"/>
                <w:sz w:val="18"/>
              </w:rPr>
              <w:t xml:space="preserve"> </w:t>
            </w:r>
            <w:r>
              <w:rPr>
                <w:sz w:val="18"/>
              </w:rPr>
              <w:t>twice</w:t>
            </w:r>
            <w:r>
              <w:rPr>
                <w:spacing w:val="-1"/>
                <w:sz w:val="18"/>
              </w:rPr>
              <w:t xml:space="preserve"> </w:t>
            </w:r>
            <w:r>
              <w:rPr>
                <w:spacing w:val="-4"/>
                <w:sz w:val="18"/>
              </w:rPr>
              <w:t>daily</w:t>
            </w:r>
          </w:p>
        </w:tc>
      </w:tr>
      <w:tr w:rsidR="005303F6" w14:paraId="2366FE7D" w14:textId="77777777" w:rsidTr="003F2FE8">
        <w:trPr>
          <w:trHeight w:val="318"/>
        </w:trPr>
        <w:tc>
          <w:tcPr>
            <w:tcW w:w="2626" w:type="dxa"/>
          </w:tcPr>
          <w:p w14:paraId="2366FE7A" w14:textId="77777777" w:rsidR="005303F6" w:rsidRDefault="00EB7C90" w:rsidP="008F14F0">
            <w:pPr>
              <w:pStyle w:val="TableParagraph"/>
              <w:spacing w:before="39"/>
              <w:ind w:left="122"/>
              <w:rPr>
                <w:sz w:val="18"/>
              </w:rPr>
            </w:pPr>
            <w:r>
              <w:rPr>
                <w:sz w:val="18"/>
              </w:rPr>
              <w:t>Second-dose</w:t>
            </w:r>
            <w:r>
              <w:rPr>
                <w:spacing w:val="-2"/>
                <w:sz w:val="18"/>
              </w:rPr>
              <w:t xml:space="preserve"> reduction</w:t>
            </w:r>
          </w:p>
        </w:tc>
        <w:tc>
          <w:tcPr>
            <w:tcW w:w="3060" w:type="dxa"/>
          </w:tcPr>
          <w:p w14:paraId="2366FE7B" w14:textId="77777777" w:rsidR="005303F6" w:rsidRDefault="00EB7C90" w:rsidP="008F14F0">
            <w:pPr>
              <w:pStyle w:val="TableParagraph"/>
              <w:spacing w:before="39"/>
              <w:ind w:left="100"/>
              <w:rPr>
                <w:sz w:val="18"/>
              </w:rPr>
            </w:pPr>
            <w:r>
              <w:rPr>
                <w:sz w:val="18"/>
              </w:rPr>
              <w:t>200</w:t>
            </w:r>
            <w:r>
              <w:rPr>
                <w:spacing w:val="-3"/>
                <w:sz w:val="18"/>
              </w:rPr>
              <w:t xml:space="preserve"> </w:t>
            </w:r>
            <w:r>
              <w:rPr>
                <w:sz w:val="18"/>
              </w:rPr>
              <w:t>mg</w:t>
            </w:r>
            <w:r>
              <w:rPr>
                <w:spacing w:val="-1"/>
                <w:sz w:val="18"/>
              </w:rPr>
              <w:t xml:space="preserve"> </w:t>
            </w:r>
            <w:r>
              <w:rPr>
                <w:sz w:val="18"/>
              </w:rPr>
              <w:t>twice</w:t>
            </w:r>
            <w:r>
              <w:rPr>
                <w:spacing w:val="-2"/>
                <w:sz w:val="18"/>
              </w:rPr>
              <w:t xml:space="preserve"> </w:t>
            </w:r>
            <w:r>
              <w:rPr>
                <w:spacing w:val="-4"/>
                <w:sz w:val="18"/>
              </w:rPr>
              <w:t>daily</w:t>
            </w:r>
          </w:p>
        </w:tc>
        <w:tc>
          <w:tcPr>
            <w:tcW w:w="3468" w:type="dxa"/>
          </w:tcPr>
          <w:p w14:paraId="2366FE7C" w14:textId="77777777" w:rsidR="005303F6" w:rsidRDefault="00EB7C90" w:rsidP="008F14F0">
            <w:pPr>
              <w:pStyle w:val="TableParagraph"/>
              <w:spacing w:before="39"/>
              <w:ind w:left="101"/>
              <w:rPr>
                <w:sz w:val="18"/>
              </w:rPr>
            </w:pPr>
            <w:r>
              <w:rPr>
                <w:sz w:val="18"/>
              </w:rPr>
              <w:t>One</w:t>
            </w:r>
            <w:r>
              <w:rPr>
                <w:spacing w:val="-1"/>
                <w:sz w:val="18"/>
              </w:rPr>
              <w:t xml:space="preserve"> </w:t>
            </w:r>
            <w:r>
              <w:rPr>
                <w:sz w:val="18"/>
              </w:rPr>
              <w:t>200</w:t>
            </w:r>
            <w:r>
              <w:rPr>
                <w:spacing w:val="-2"/>
                <w:sz w:val="18"/>
              </w:rPr>
              <w:t xml:space="preserve"> </w:t>
            </w:r>
            <w:r>
              <w:rPr>
                <w:sz w:val="18"/>
              </w:rPr>
              <w:t>mg</w:t>
            </w:r>
            <w:r>
              <w:rPr>
                <w:spacing w:val="-2"/>
                <w:sz w:val="18"/>
              </w:rPr>
              <w:t xml:space="preserve"> </w:t>
            </w:r>
            <w:r>
              <w:rPr>
                <w:sz w:val="18"/>
              </w:rPr>
              <w:t>tablet</w:t>
            </w:r>
            <w:r>
              <w:rPr>
                <w:spacing w:val="-1"/>
                <w:sz w:val="18"/>
              </w:rPr>
              <w:t xml:space="preserve"> </w:t>
            </w:r>
            <w:r>
              <w:rPr>
                <w:sz w:val="18"/>
              </w:rPr>
              <w:t>/</w:t>
            </w:r>
            <w:r>
              <w:rPr>
                <w:spacing w:val="-3"/>
                <w:sz w:val="18"/>
              </w:rPr>
              <w:t xml:space="preserve"> </w:t>
            </w:r>
            <w:r>
              <w:rPr>
                <w:sz w:val="18"/>
              </w:rPr>
              <w:t>twice</w:t>
            </w:r>
            <w:r>
              <w:rPr>
                <w:spacing w:val="-2"/>
                <w:sz w:val="18"/>
              </w:rPr>
              <w:t xml:space="preserve"> </w:t>
            </w:r>
            <w:r>
              <w:rPr>
                <w:spacing w:val="-4"/>
                <w:sz w:val="18"/>
              </w:rPr>
              <w:t>daily</w:t>
            </w:r>
          </w:p>
        </w:tc>
      </w:tr>
    </w:tbl>
    <w:p w14:paraId="2366FE7E" w14:textId="77777777" w:rsidR="005303F6" w:rsidRDefault="005303F6" w:rsidP="008F14F0">
      <w:pPr>
        <w:pStyle w:val="BodyText"/>
        <w:spacing w:before="228"/>
        <w:ind w:left="0"/>
        <w:jc w:val="left"/>
        <w:rPr>
          <w:rFonts w:ascii="Cambria"/>
          <w:b/>
        </w:rPr>
      </w:pPr>
    </w:p>
    <w:p w14:paraId="2366FE7F" w14:textId="77777777" w:rsidR="005303F6" w:rsidRDefault="00EB7C90" w:rsidP="008F14F0">
      <w:pPr>
        <w:pStyle w:val="BodyText"/>
        <w:spacing w:before="0" w:line="276" w:lineRule="auto"/>
        <w:ind w:right="725"/>
        <w:jc w:val="left"/>
      </w:pPr>
      <w:r>
        <w:t>TABRECTA should be permanently discontinued in patients unable to tolerate 200 mg orally twice</w:t>
      </w:r>
      <w:r>
        <w:rPr>
          <w:spacing w:val="-5"/>
        </w:rPr>
        <w:t xml:space="preserve"> </w:t>
      </w:r>
      <w:r>
        <w:t>daily.</w:t>
      </w:r>
      <w:r>
        <w:rPr>
          <w:spacing w:val="-6"/>
        </w:rPr>
        <w:t xml:space="preserve"> </w:t>
      </w:r>
      <w:r>
        <w:t>Recommendations</w:t>
      </w:r>
      <w:r>
        <w:rPr>
          <w:spacing w:val="-8"/>
        </w:rPr>
        <w:t xml:space="preserve"> </w:t>
      </w:r>
      <w:r>
        <w:t>for</w:t>
      </w:r>
      <w:r>
        <w:rPr>
          <w:spacing w:val="-4"/>
        </w:rPr>
        <w:t xml:space="preserve"> </w:t>
      </w:r>
      <w:r>
        <w:t>dose</w:t>
      </w:r>
      <w:r>
        <w:rPr>
          <w:spacing w:val="-2"/>
        </w:rPr>
        <w:t xml:space="preserve"> </w:t>
      </w:r>
      <w:r>
        <w:t>modifications</w:t>
      </w:r>
      <w:r>
        <w:rPr>
          <w:spacing w:val="-5"/>
        </w:rPr>
        <w:t xml:space="preserve"> </w:t>
      </w:r>
      <w:r>
        <w:t>of</w:t>
      </w:r>
      <w:r>
        <w:rPr>
          <w:spacing w:val="-4"/>
        </w:rPr>
        <w:t xml:space="preserve"> </w:t>
      </w:r>
      <w:r>
        <w:t>TABRECTA</w:t>
      </w:r>
      <w:r>
        <w:rPr>
          <w:spacing w:val="-4"/>
        </w:rPr>
        <w:t xml:space="preserve"> </w:t>
      </w:r>
      <w:r>
        <w:t>for</w:t>
      </w:r>
      <w:r>
        <w:rPr>
          <w:spacing w:val="-4"/>
        </w:rPr>
        <w:t xml:space="preserve"> </w:t>
      </w:r>
      <w:r>
        <w:t>adverse</w:t>
      </w:r>
      <w:r>
        <w:rPr>
          <w:spacing w:val="-2"/>
        </w:rPr>
        <w:t xml:space="preserve"> </w:t>
      </w:r>
      <w:r>
        <w:t>reactions</w:t>
      </w:r>
      <w:r>
        <w:rPr>
          <w:spacing w:val="-1"/>
        </w:rPr>
        <w:t xml:space="preserve"> </w:t>
      </w:r>
      <w:r>
        <w:t>are provided in Table 2.</w:t>
      </w:r>
    </w:p>
    <w:p w14:paraId="2366FE80" w14:textId="77777777" w:rsidR="005303F6" w:rsidRDefault="00EB7C90" w:rsidP="008F14F0">
      <w:pPr>
        <w:pStyle w:val="Heading3"/>
        <w:tabs>
          <w:tab w:val="left" w:pos="1586"/>
        </w:tabs>
        <w:spacing w:before="199" w:line="276" w:lineRule="auto"/>
        <w:ind w:left="1581" w:right="1785" w:hanging="1133"/>
        <w:rPr>
          <w:rFonts w:ascii="Cambria"/>
        </w:rPr>
      </w:pPr>
      <w:r>
        <w:rPr>
          <w:rFonts w:ascii="Cambria"/>
        </w:rPr>
        <w:t>Table 2</w:t>
      </w:r>
      <w:r>
        <w:rPr>
          <w:rFonts w:ascii="Cambria"/>
        </w:rPr>
        <w:tab/>
      </w:r>
      <w:r>
        <w:rPr>
          <w:rFonts w:ascii="Cambria"/>
        </w:rPr>
        <w:tab/>
        <w:t>TABRECTA</w:t>
      </w:r>
      <w:r>
        <w:rPr>
          <w:rFonts w:ascii="Cambria"/>
          <w:spacing w:val="-3"/>
        </w:rPr>
        <w:t xml:space="preserve"> </w:t>
      </w:r>
      <w:proofErr w:type="gramStart"/>
      <w:r>
        <w:rPr>
          <w:rFonts w:ascii="Cambria"/>
        </w:rPr>
        <w:t>dose</w:t>
      </w:r>
      <w:proofErr w:type="gramEnd"/>
      <w:r>
        <w:rPr>
          <w:rFonts w:ascii="Cambria"/>
          <w:spacing w:val="-5"/>
        </w:rPr>
        <w:t xml:space="preserve"> </w:t>
      </w:r>
      <w:r>
        <w:rPr>
          <w:rFonts w:ascii="Cambria"/>
        </w:rPr>
        <w:t>modifications</w:t>
      </w:r>
      <w:r>
        <w:rPr>
          <w:rFonts w:ascii="Cambria"/>
          <w:spacing w:val="-6"/>
        </w:rPr>
        <w:t xml:space="preserve"> </w:t>
      </w:r>
      <w:r>
        <w:rPr>
          <w:rFonts w:ascii="Cambria"/>
        </w:rPr>
        <w:t>for</w:t>
      </w:r>
      <w:r>
        <w:rPr>
          <w:rFonts w:ascii="Cambria"/>
          <w:spacing w:val="-6"/>
        </w:rPr>
        <w:t xml:space="preserve"> </w:t>
      </w:r>
      <w:r>
        <w:rPr>
          <w:rFonts w:ascii="Cambria"/>
        </w:rPr>
        <w:t>the</w:t>
      </w:r>
      <w:r>
        <w:rPr>
          <w:rFonts w:ascii="Cambria"/>
          <w:spacing w:val="-5"/>
        </w:rPr>
        <w:t xml:space="preserve"> </w:t>
      </w:r>
      <w:r>
        <w:rPr>
          <w:rFonts w:ascii="Cambria"/>
        </w:rPr>
        <w:t>management</w:t>
      </w:r>
      <w:r>
        <w:rPr>
          <w:rFonts w:ascii="Cambria"/>
          <w:spacing w:val="-5"/>
        </w:rPr>
        <w:t xml:space="preserve"> </w:t>
      </w:r>
      <w:r>
        <w:rPr>
          <w:rFonts w:ascii="Cambria"/>
        </w:rPr>
        <w:t>of</w:t>
      </w:r>
      <w:r>
        <w:rPr>
          <w:rFonts w:ascii="Cambria"/>
          <w:spacing w:val="-7"/>
        </w:rPr>
        <w:t xml:space="preserve"> </w:t>
      </w:r>
      <w:r>
        <w:rPr>
          <w:rFonts w:ascii="Cambria"/>
        </w:rPr>
        <w:t xml:space="preserve">adverse </w:t>
      </w:r>
      <w:r>
        <w:rPr>
          <w:rFonts w:ascii="Cambria"/>
          <w:spacing w:val="-2"/>
        </w:rPr>
        <w:t>reactions</w:t>
      </w:r>
    </w:p>
    <w:p w14:paraId="2366FE81" w14:textId="77777777" w:rsidR="005303F6" w:rsidRDefault="005303F6" w:rsidP="008F14F0">
      <w:pPr>
        <w:pStyle w:val="BodyText"/>
        <w:spacing w:before="1"/>
        <w:ind w:left="0"/>
        <w:jc w:val="left"/>
        <w:rPr>
          <w:rFonts w:ascii="Cambria"/>
          <w:b/>
          <w:sz w:val="17"/>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
        <w:gridCol w:w="3606"/>
        <w:gridCol w:w="2355"/>
        <w:gridCol w:w="3185"/>
        <w:gridCol w:w="25"/>
      </w:tblGrid>
      <w:tr w:rsidR="005303F6" w14:paraId="2366FE85" w14:textId="77777777" w:rsidTr="003F2FE8">
        <w:trPr>
          <w:gridAfter w:val="1"/>
          <w:wAfter w:w="25" w:type="dxa"/>
          <w:trHeight w:val="266"/>
          <w:tblHeader/>
        </w:trPr>
        <w:tc>
          <w:tcPr>
            <w:tcW w:w="3615" w:type="dxa"/>
            <w:gridSpan w:val="2"/>
          </w:tcPr>
          <w:p w14:paraId="2366FE82" w14:textId="77777777" w:rsidR="005303F6" w:rsidRDefault="00EB7C90" w:rsidP="008F14F0">
            <w:pPr>
              <w:pStyle w:val="TableParagraph"/>
              <w:spacing w:before="39" w:line="206" w:lineRule="exact"/>
              <w:ind w:left="79" w:right="60"/>
              <w:rPr>
                <w:b/>
                <w:sz w:val="18"/>
              </w:rPr>
            </w:pPr>
            <w:r>
              <w:rPr>
                <w:b/>
                <w:sz w:val="18"/>
              </w:rPr>
              <w:t>Adverse</w:t>
            </w:r>
            <w:r>
              <w:rPr>
                <w:b/>
                <w:spacing w:val="-3"/>
                <w:sz w:val="18"/>
              </w:rPr>
              <w:t xml:space="preserve"> </w:t>
            </w:r>
            <w:r>
              <w:rPr>
                <w:b/>
                <w:sz w:val="18"/>
              </w:rPr>
              <w:t>drug</w:t>
            </w:r>
            <w:r>
              <w:rPr>
                <w:b/>
                <w:spacing w:val="-3"/>
                <w:sz w:val="18"/>
              </w:rPr>
              <w:t xml:space="preserve"> </w:t>
            </w:r>
            <w:r>
              <w:rPr>
                <w:b/>
                <w:spacing w:val="-2"/>
                <w:sz w:val="18"/>
              </w:rPr>
              <w:t>reaction</w:t>
            </w:r>
          </w:p>
        </w:tc>
        <w:tc>
          <w:tcPr>
            <w:tcW w:w="2355" w:type="dxa"/>
          </w:tcPr>
          <w:p w14:paraId="2366FE83" w14:textId="77777777" w:rsidR="005303F6" w:rsidRDefault="00EB7C90" w:rsidP="008F14F0">
            <w:pPr>
              <w:pStyle w:val="TableParagraph"/>
              <w:spacing w:before="39" w:line="206" w:lineRule="exact"/>
              <w:rPr>
                <w:b/>
                <w:sz w:val="18"/>
              </w:rPr>
            </w:pPr>
            <w:r>
              <w:rPr>
                <w:b/>
                <w:spacing w:val="-2"/>
                <w:sz w:val="18"/>
              </w:rPr>
              <w:t>Severity</w:t>
            </w:r>
          </w:p>
        </w:tc>
        <w:tc>
          <w:tcPr>
            <w:tcW w:w="3185" w:type="dxa"/>
          </w:tcPr>
          <w:p w14:paraId="2366FE84" w14:textId="77777777" w:rsidR="005303F6" w:rsidRDefault="00EB7C90" w:rsidP="008F14F0">
            <w:pPr>
              <w:pStyle w:val="TableParagraph"/>
              <w:spacing w:before="39" w:line="206" w:lineRule="exact"/>
              <w:ind w:left="102"/>
              <w:rPr>
                <w:b/>
                <w:sz w:val="18"/>
              </w:rPr>
            </w:pPr>
            <w:r>
              <w:rPr>
                <w:b/>
                <w:sz w:val="18"/>
              </w:rPr>
              <w:t>Dose</w:t>
            </w:r>
            <w:r>
              <w:rPr>
                <w:b/>
                <w:spacing w:val="-4"/>
                <w:sz w:val="18"/>
              </w:rPr>
              <w:t xml:space="preserve"> </w:t>
            </w:r>
            <w:r>
              <w:rPr>
                <w:b/>
                <w:spacing w:val="-2"/>
                <w:sz w:val="18"/>
              </w:rPr>
              <w:t>modification</w:t>
            </w:r>
          </w:p>
        </w:tc>
      </w:tr>
      <w:tr w:rsidR="005303F6" w14:paraId="2366FE8A" w14:textId="77777777" w:rsidTr="003F2FE8">
        <w:trPr>
          <w:gridAfter w:val="1"/>
          <w:wAfter w:w="25" w:type="dxa"/>
          <w:trHeight w:val="1137"/>
        </w:trPr>
        <w:tc>
          <w:tcPr>
            <w:tcW w:w="3615" w:type="dxa"/>
            <w:gridSpan w:val="2"/>
          </w:tcPr>
          <w:p w14:paraId="2366FE86" w14:textId="77777777" w:rsidR="005303F6" w:rsidRDefault="00EB7C90" w:rsidP="008F14F0">
            <w:pPr>
              <w:pStyle w:val="TableParagraph"/>
              <w:spacing w:before="42"/>
              <w:ind w:left="19" w:right="79"/>
              <w:rPr>
                <w:sz w:val="18"/>
              </w:rPr>
            </w:pPr>
            <w:r>
              <w:rPr>
                <w:sz w:val="18"/>
              </w:rPr>
              <w:t>Interstitial</w:t>
            </w:r>
            <w:r>
              <w:rPr>
                <w:spacing w:val="-5"/>
                <w:sz w:val="18"/>
              </w:rPr>
              <w:t xml:space="preserve"> </w:t>
            </w:r>
            <w:r>
              <w:rPr>
                <w:sz w:val="18"/>
              </w:rPr>
              <w:t>lung</w:t>
            </w:r>
            <w:r>
              <w:rPr>
                <w:spacing w:val="-5"/>
                <w:sz w:val="18"/>
              </w:rPr>
              <w:t xml:space="preserve"> </w:t>
            </w:r>
            <w:r>
              <w:rPr>
                <w:sz w:val="18"/>
              </w:rPr>
              <w:t>disease</w:t>
            </w:r>
            <w:r>
              <w:rPr>
                <w:spacing w:val="-3"/>
                <w:sz w:val="18"/>
              </w:rPr>
              <w:t xml:space="preserve"> </w:t>
            </w:r>
            <w:r>
              <w:rPr>
                <w:spacing w:val="-2"/>
                <w:sz w:val="18"/>
              </w:rPr>
              <w:t>(ILD)/pneumonitis</w:t>
            </w:r>
          </w:p>
        </w:tc>
        <w:tc>
          <w:tcPr>
            <w:tcW w:w="2355" w:type="dxa"/>
          </w:tcPr>
          <w:p w14:paraId="2366FE87" w14:textId="77777777" w:rsidR="005303F6" w:rsidRDefault="00EB7C90" w:rsidP="008F14F0">
            <w:pPr>
              <w:pStyle w:val="TableParagraph"/>
              <w:spacing w:before="42"/>
              <w:ind w:left="102"/>
              <w:rPr>
                <w:sz w:val="18"/>
              </w:rPr>
            </w:pPr>
            <w:r>
              <w:rPr>
                <w:sz w:val="18"/>
              </w:rPr>
              <w:t xml:space="preserve">Any </w:t>
            </w:r>
            <w:r>
              <w:rPr>
                <w:spacing w:val="-2"/>
                <w:sz w:val="18"/>
              </w:rPr>
              <w:t>grade</w:t>
            </w:r>
          </w:p>
        </w:tc>
        <w:tc>
          <w:tcPr>
            <w:tcW w:w="3185" w:type="dxa"/>
          </w:tcPr>
          <w:p w14:paraId="2366FE88" w14:textId="77777777" w:rsidR="005303F6" w:rsidRDefault="00EB7C90" w:rsidP="008F14F0">
            <w:pPr>
              <w:pStyle w:val="TableParagraph"/>
              <w:spacing w:before="42"/>
              <w:ind w:left="102" w:right="107"/>
              <w:rPr>
                <w:sz w:val="18"/>
              </w:rPr>
            </w:pPr>
            <w:r>
              <w:rPr>
                <w:sz w:val="18"/>
              </w:rPr>
              <w:t xml:space="preserve">Immediately withhold with suspected </w:t>
            </w:r>
            <w:r>
              <w:rPr>
                <w:spacing w:val="-2"/>
                <w:sz w:val="18"/>
              </w:rPr>
              <w:t>ILD/pneumonitis</w:t>
            </w:r>
          </w:p>
          <w:p w14:paraId="2366FE89" w14:textId="77777777" w:rsidR="005303F6" w:rsidRDefault="00EB7C90" w:rsidP="008F14F0">
            <w:pPr>
              <w:pStyle w:val="TableParagraph"/>
              <w:spacing w:before="39"/>
              <w:ind w:left="102" w:right="104"/>
              <w:rPr>
                <w:sz w:val="18"/>
              </w:rPr>
            </w:pPr>
            <w:r>
              <w:rPr>
                <w:sz w:val="18"/>
              </w:rPr>
              <w:t>Permanently</w:t>
            </w:r>
            <w:r>
              <w:rPr>
                <w:spacing w:val="-15"/>
                <w:sz w:val="18"/>
              </w:rPr>
              <w:t xml:space="preserve"> </w:t>
            </w:r>
            <w:r>
              <w:rPr>
                <w:sz w:val="18"/>
              </w:rPr>
              <w:t>discontinue</w:t>
            </w:r>
            <w:r>
              <w:rPr>
                <w:spacing w:val="-12"/>
                <w:sz w:val="18"/>
              </w:rPr>
              <w:t xml:space="preserve"> </w:t>
            </w:r>
            <w:r>
              <w:rPr>
                <w:sz w:val="18"/>
              </w:rPr>
              <w:t>TABRECTA if ILD/pneumonitis is suspected or confirmed treatment-related</w:t>
            </w:r>
          </w:p>
        </w:tc>
      </w:tr>
      <w:tr w:rsidR="005303F6" w14:paraId="2366FE91" w14:textId="77777777" w:rsidTr="003F2FE8">
        <w:trPr>
          <w:gridAfter w:val="1"/>
          <w:wAfter w:w="25" w:type="dxa"/>
          <w:trHeight w:val="1547"/>
        </w:trPr>
        <w:tc>
          <w:tcPr>
            <w:tcW w:w="3615" w:type="dxa"/>
            <w:gridSpan w:val="2"/>
            <w:vMerge w:val="restart"/>
          </w:tcPr>
          <w:p w14:paraId="2366FE8B" w14:textId="77777777" w:rsidR="005303F6" w:rsidRDefault="00EB7C90" w:rsidP="008F14F0">
            <w:pPr>
              <w:pStyle w:val="TableParagraph"/>
              <w:spacing w:before="39"/>
              <w:ind w:left="122"/>
              <w:rPr>
                <w:sz w:val="18"/>
              </w:rPr>
            </w:pPr>
            <w:r>
              <w:rPr>
                <w:sz w:val="18"/>
              </w:rPr>
              <w:t>Isolated ALT and/or AST elevations from baseline,</w:t>
            </w:r>
            <w:r>
              <w:rPr>
                <w:spacing w:val="-9"/>
                <w:sz w:val="18"/>
              </w:rPr>
              <w:t xml:space="preserve"> </w:t>
            </w:r>
            <w:r>
              <w:rPr>
                <w:sz w:val="18"/>
              </w:rPr>
              <w:t>without</w:t>
            </w:r>
            <w:r>
              <w:rPr>
                <w:spacing w:val="-11"/>
                <w:sz w:val="18"/>
              </w:rPr>
              <w:t xml:space="preserve"> </w:t>
            </w:r>
            <w:r>
              <w:rPr>
                <w:sz w:val="18"/>
              </w:rPr>
              <w:t>concurrent</w:t>
            </w:r>
            <w:r>
              <w:rPr>
                <w:spacing w:val="-10"/>
                <w:sz w:val="18"/>
              </w:rPr>
              <w:t xml:space="preserve"> </w:t>
            </w:r>
            <w:r>
              <w:rPr>
                <w:sz w:val="18"/>
              </w:rPr>
              <w:t>total</w:t>
            </w:r>
            <w:r>
              <w:rPr>
                <w:spacing w:val="-10"/>
                <w:sz w:val="18"/>
              </w:rPr>
              <w:t xml:space="preserve"> </w:t>
            </w:r>
            <w:r>
              <w:rPr>
                <w:sz w:val="18"/>
              </w:rPr>
              <w:t xml:space="preserve">bilirubin </w:t>
            </w:r>
            <w:r>
              <w:rPr>
                <w:spacing w:val="-2"/>
                <w:sz w:val="18"/>
              </w:rPr>
              <w:t>increase</w:t>
            </w:r>
          </w:p>
        </w:tc>
        <w:tc>
          <w:tcPr>
            <w:tcW w:w="2355" w:type="dxa"/>
          </w:tcPr>
          <w:p w14:paraId="2366FE8C" w14:textId="77777777" w:rsidR="005303F6" w:rsidRDefault="00EB7C90" w:rsidP="008F14F0">
            <w:pPr>
              <w:pStyle w:val="TableParagraph"/>
              <w:spacing w:before="39"/>
              <w:ind w:left="102"/>
              <w:rPr>
                <w:sz w:val="18"/>
              </w:rPr>
            </w:pPr>
            <w:r>
              <w:rPr>
                <w:sz w:val="18"/>
              </w:rPr>
              <w:t>Grade</w:t>
            </w:r>
            <w:r>
              <w:rPr>
                <w:spacing w:val="-2"/>
                <w:sz w:val="18"/>
              </w:rPr>
              <w:t xml:space="preserve"> </w:t>
            </w:r>
            <w:r>
              <w:rPr>
                <w:sz w:val="18"/>
              </w:rPr>
              <w:t>3</w:t>
            </w:r>
            <w:r>
              <w:rPr>
                <w:spacing w:val="-1"/>
                <w:sz w:val="18"/>
              </w:rPr>
              <w:t xml:space="preserve"> </w:t>
            </w:r>
            <w:r>
              <w:rPr>
                <w:sz w:val="18"/>
              </w:rPr>
              <w:t>(&gt;5.0</w:t>
            </w:r>
            <w:r>
              <w:rPr>
                <w:spacing w:val="-2"/>
                <w:sz w:val="18"/>
              </w:rPr>
              <w:t xml:space="preserve"> </w:t>
            </w:r>
            <w:r>
              <w:rPr>
                <w:sz w:val="18"/>
              </w:rPr>
              <w:t>to</w:t>
            </w:r>
            <w:r>
              <w:rPr>
                <w:spacing w:val="-2"/>
                <w:sz w:val="18"/>
              </w:rPr>
              <w:t xml:space="preserve"> </w:t>
            </w:r>
            <w:r>
              <w:rPr>
                <w:sz w:val="18"/>
              </w:rPr>
              <w:t>≤20.0</w:t>
            </w:r>
            <w:r>
              <w:rPr>
                <w:spacing w:val="-1"/>
                <w:sz w:val="18"/>
              </w:rPr>
              <w:t xml:space="preserve"> </w:t>
            </w:r>
            <w:r>
              <w:rPr>
                <w:spacing w:val="-10"/>
                <w:sz w:val="18"/>
              </w:rPr>
              <w:t>x</w:t>
            </w:r>
          </w:p>
          <w:p w14:paraId="2366FE8D" w14:textId="77777777" w:rsidR="005303F6" w:rsidRDefault="00EB7C90" w:rsidP="008F14F0">
            <w:pPr>
              <w:pStyle w:val="TableParagraph"/>
              <w:spacing w:before="2"/>
              <w:ind w:left="102"/>
              <w:rPr>
                <w:sz w:val="18"/>
              </w:rPr>
            </w:pPr>
            <w:r>
              <w:rPr>
                <w:spacing w:val="-4"/>
                <w:sz w:val="18"/>
              </w:rPr>
              <w:t>ULN)</w:t>
            </w:r>
          </w:p>
        </w:tc>
        <w:tc>
          <w:tcPr>
            <w:tcW w:w="3185" w:type="dxa"/>
          </w:tcPr>
          <w:p w14:paraId="2366FE8E" w14:textId="77777777" w:rsidR="005303F6" w:rsidRDefault="00EB7C90" w:rsidP="008F14F0">
            <w:pPr>
              <w:pStyle w:val="TableParagraph"/>
              <w:spacing w:before="39"/>
              <w:ind w:left="102" w:right="105"/>
              <w:rPr>
                <w:sz w:val="18"/>
              </w:rPr>
            </w:pPr>
            <w:r>
              <w:rPr>
                <w:sz w:val="18"/>
              </w:rPr>
              <w:t xml:space="preserve">Temporarily withhold TABRECTA until recovery to baseline ALT/AST </w:t>
            </w:r>
            <w:r>
              <w:rPr>
                <w:spacing w:val="-2"/>
                <w:sz w:val="18"/>
              </w:rPr>
              <w:t>grade.</w:t>
            </w:r>
          </w:p>
          <w:p w14:paraId="2366FE8F" w14:textId="77777777" w:rsidR="005303F6" w:rsidRDefault="00EB7C90" w:rsidP="008F14F0">
            <w:pPr>
              <w:pStyle w:val="TableParagraph"/>
              <w:spacing w:before="40"/>
              <w:ind w:left="102" w:right="104"/>
              <w:rPr>
                <w:sz w:val="18"/>
              </w:rPr>
            </w:pPr>
            <w:r>
              <w:rPr>
                <w:sz w:val="18"/>
              </w:rPr>
              <w:t>If</w:t>
            </w:r>
            <w:r>
              <w:rPr>
                <w:spacing w:val="-13"/>
                <w:sz w:val="18"/>
              </w:rPr>
              <w:t xml:space="preserve"> </w:t>
            </w:r>
            <w:r>
              <w:rPr>
                <w:sz w:val="18"/>
              </w:rPr>
              <w:t>recovered</w:t>
            </w:r>
            <w:r>
              <w:rPr>
                <w:spacing w:val="-12"/>
                <w:sz w:val="18"/>
              </w:rPr>
              <w:t xml:space="preserve"> </w:t>
            </w:r>
            <w:r>
              <w:rPr>
                <w:sz w:val="18"/>
              </w:rPr>
              <w:t>to</w:t>
            </w:r>
            <w:r>
              <w:rPr>
                <w:spacing w:val="-13"/>
                <w:sz w:val="18"/>
              </w:rPr>
              <w:t xml:space="preserve"> </w:t>
            </w:r>
            <w:r>
              <w:rPr>
                <w:sz w:val="18"/>
              </w:rPr>
              <w:t>baseline</w:t>
            </w:r>
            <w:r>
              <w:rPr>
                <w:spacing w:val="-12"/>
                <w:sz w:val="18"/>
              </w:rPr>
              <w:t xml:space="preserve"> </w:t>
            </w:r>
            <w:r>
              <w:rPr>
                <w:sz w:val="18"/>
              </w:rPr>
              <w:t>within</w:t>
            </w:r>
            <w:r>
              <w:rPr>
                <w:spacing w:val="-13"/>
                <w:sz w:val="18"/>
              </w:rPr>
              <w:t xml:space="preserve"> </w:t>
            </w:r>
            <w:r>
              <w:rPr>
                <w:sz w:val="18"/>
              </w:rPr>
              <w:t>7</w:t>
            </w:r>
            <w:r>
              <w:rPr>
                <w:spacing w:val="-13"/>
                <w:sz w:val="18"/>
              </w:rPr>
              <w:t xml:space="preserve"> </w:t>
            </w:r>
            <w:r>
              <w:rPr>
                <w:sz w:val="18"/>
              </w:rPr>
              <w:t>days, then</w:t>
            </w:r>
            <w:r>
              <w:rPr>
                <w:spacing w:val="-13"/>
                <w:sz w:val="18"/>
              </w:rPr>
              <w:t xml:space="preserve"> </w:t>
            </w:r>
            <w:r>
              <w:rPr>
                <w:sz w:val="18"/>
              </w:rPr>
              <w:t>resume</w:t>
            </w:r>
            <w:r>
              <w:rPr>
                <w:spacing w:val="-12"/>
                <w:sz w:val="18"/>
              </w:rPr>
              <w:t xml:space="preserve"> </w:t>
            </w:r>
            <w:r>
              <w:rPr>
                <w:sz w:val="18"/>
              </w:rPr>
              <w:t>TABRECTA</w:t>
            </w:r>
            <w:r>
              <w:rPr>
                <w:spacing w:val="-13"/>
                <w:sz w:val="18"/>
              </w:rPr>
              <w:t xml:space="preserve"> </w:t>
            </w:r>
            <w:r>
              <w:rPr>
                <w:sz w:val="18"/>
              </w:rPr>
              <w:t>at</w:t>
            </w:r>
            <w:r>
              <w:rPr>
                <w:spacing w:val="-12"/>
                <w:sz w:val="18"/>
              </w:rPr>
              <w:t xml:space="preserve"> </w:t>
            </w:r>
            <w:r>
              <w:rPr>
                <w:sz w:val="18"/>
              </w:rPr>
              <w:t>the</w:t>
            </w:r>
            <w:r>
              <w:rPr>
                <w:spacing w:val="-13"/>
                <w:sz w:val="18"/>
              </w:rPr>
              <w:t xml:space="preserve"> </w:t>
            </w:r>
            <w:r>
              <w:rPr>
                <w:sz w:val="18"/>
              </w:rPr>
              <w:t>same dose,</w:t>
            </w:r>
            <w:r>
              <w:rPr>
                <w:spacing w:val="13"/>
                <w:sz w:val="18"/>
              </w:rPr>
              <w:t xml:space="preserve"> </w:t>
            </w:r>
            <w:r>
              <w:rPr>
                <w:sz w:val="18"/>
              </w:rPr>
              <w:t>otherwise</w:t>
            </w:r>
            <w:r>
              <w:rPr>
                <w:spacing w:val="11"/>
                <w:sz w:val="18"/>
              </w:rPr>
              <w:t xml:space="preserve"> </w:t>
            </w:r>
            <w:r>
              <w:rPr>
                <w:sz w:val="18"/>
              </w:rPr>
              <w:t>resume</w:t>
            </w:r>
            <w:r>
              <w:rPr>
                <w:spacing w:val="13"/>
                <w:sz w:val="18"/>
              </w:rPr>
              <w:t xml:space="preserve"> </w:t>
            </w:r>
            <w:r>
              <w:rPr>
                <w:spacing w:val="-2"/>
                <w:sz w:val="18"/>
              </w:rPr>
              <w:t>TABRECTA</w:t>
            </w:r>
          </w:p>
          <w:p w14:paraId="2366FE90" w14:textId="77777777" w:rsidR="005303F6" w:rsidRDefault="00EB7C90" w:rsidP="008F14F0">
            <w:pPr>
              <w:pStyle w:val="TableParagraph"/>
              <w:spacing w:before="0" w:line="206" w:lineRule="exact"/>
              <w:ind w:left="102"/>
              <w:rPr>
                <w:sz w:val="18"/>
              </w:rPr>
            </w:pPr>
            <w:r>
              <w:rPr>
                <w:sz w:val="18"/>
              </w:rPr>
              <w:t>at</w:t>
            </w:r>
            <w:r>
              <w:rPr>
                <w:spacing w:val="-2"/>
                <w:sz w:val="18"/>
              </w:rPr>
              <w:t xml:space="preserve"> </w:t>
            </w:r>
            <w:r>
              <w:rPr>
                <w:sz w:val="18"/>
              </w:rPr>
              <w:t>a</w:t>
            </w:r>
            <w:r>
              <w:rPr>
                <w:spacing w:val="-2"/>
                <w:sz w:val="18"/>
              </w:rPr>
              <w:t xml:space="preserve"> </w:t>
            </w:r>
            <w:r>
              <w:rPr>
                <w:sz w:val="18"/>
              </w:rPr>
              <w:t>reduced</w:t>
            </w:r>
            <w:r>
              <w:rPr>
                <w:spacing w:val="-2"/>
                <w:sz w:val="18"/>
              </w:rPr>
              <w:t xml:space="preserve"> </w:t>
            </w:r>
            <w:r>
              <w:rPr>
                <w:sz w:val="18"/>
              </w:rPr>
              <w:t>dose</w:t>
            </w:r>
            <w:r>
              <w:rPr>
                <w:spacing w:val="2"/>
                <w:sz w:val="18"/>
              </w:rPr>
              <w:t xml:space="preserve"> </w:t>
            </w:r>
            <w:r>
              <w:rPr>
                <w:sz w:val="18"/>
              </w:rPr>
              <w:t>as</w:t>
            </w:r>
            <w:r>
              <w:rPr>
                <w:spacing w:val="-4"/>
                <w:sz w:val="18"/>
              </w:rPr>
              <w:t xml:space="preserve"> </w:t>
            </w:r>
            <w:r>
              <w:rPr>
                <w:sz w:val="18"/>
              </w:rPr>
              <w:t>per</w:t>
            </w:r>
            <w:r>
              <w:rPr>
                <w:spacing w:val="-4"/>
                <w:sz w:val="18"/>
              </w:rPr>
              <w:t xml:space="preserve"> </w:t>
            </w:r>
            <w:r>
              <w:rPr>
                <w:sz w:val="18"/>
              </w:rPr>
              <w:t>Table</w:t>
            </w:r>
            <w:r>
              <w:rPr>
                <w:spacing w:val="1"/>
                <w:sz w:val="18"/>
              </w:rPr>
              <w:t xml:space="preserve"> </w:t>
            </w:r>
            <w:r>
              <w:rPr>
                <w:spacing w:val="-5"/>
                <w:sz w:val="18"/>
              </w:rPr>
              <w:t>1.</w:t>
            </w:r>
          </w:p>
        </w:tc>
      </w:tr>
      <w:tr w:rsidR="005303F6" w14:paraId="2366FE95" w14:textId="77777777" w:rsidTr="003F2FE8">
        <w:trPr>
          <w:gridAfter w:val="1"/>
          <w:wAfter w:w="25" w:type="dxa"/>
          <w:trHeight w:val="568"/>
        </w:trPr>
        <w:tc>
          <w:tcPr>
            <w:tcW w:w="3615" w:type="dxa"/>
            <w:gridSpan w:val="2"/>
            <w:vMerge/>
          </w:tcPr>
          <w:p w14:paraId="2366FE92" w14:textId="77777777" w:rsidR="005303F6" w:rsidRDefault="005303F6" w:rsidP="008F14F0">
            <w:pPr>
              <w:rPr>
                <w:sz w:val="2"/>
                <w:szCs w:val="2"/>
              </w:rPr>
            </w:pPr>
          </w:p>
        </w:tc>
        <w:tc>
          <w:tcPr>
            <w:tcW w:w="2355" w:type="dxa"/>
          </w:tcPr>
          <w:p w14:paraId="2366FE93" w14:textId="77777777" w:rsidR="005303F6" w:rsidRDefault="00EB7C90" w:rsidP="008F14F0">
            <w:pPr>
              <w:pStyle w:val="TableParagraph"/>
              <w:spacing w:before="39"/>
              <w:ind w:left="102"/>
              <w:rPr>
                <w:sz w:val="18"/>
              </w:rPr>
            </w:pPr>
            <w:r>
              <w:rPr>
                <w:sz w:val="18"/>
              </w:rPr>
              <w:t>Grade</w:t>
            </w:r>
            <w:r>
              <w:rPr>
                <w:spacing w:val="-3"/>
                <w:sz w:val="18"/>
              </w:rPr>
              <w:t xml:space="preserve"> </w:t>
            </w:r>
            <w:r>
              <w:rPr>
                <w:sz w:val="18"/>
              </w:rPr>
              <w:t>4</w:t>
            </w:r>
            <w:r>
              <w:rPr>
                <w:spacing w:val="-1"/>
                <w:sz w:val="18"/>
              </w:rPr>
              <w:t xml:space="preserve"> </w:t>
            </w:r>
            <w:r>
              <w:rPr>
                <w:sz w:val="18"/>
              </w:rPr>
              <w:t>(&gt;20.0</w:t>
            </w:r>
            <w:r>
              <w:rPr>
                <w:spacing w:val="-3"/>
                <w:sz w:val="18"/>
              </w:rPr>
              <w:t xml:space="preserve"> </w:t>
            </w:r>
            <w:r>
              <w:rPr>
                <w:sz w:val="18"/>
              </w:rPr>
              <w:t xml:space="preserve">x </w:t>
            </w:r>
            <w:r>
              <w:rPr>
                <w:spacing w:val="-4"/>
                <w:sz w:val="18"/>
              </w:rPr>
              <w:t>ULN)</w:t>
            </w:r>
          </w:p>
        </w:tc>
        <w:tc>
          <w:tcPr>
            <w:tcW w:w="3185" w:type="dxa"/>
          </w:tcPr>
          <w:p w14:paraId="2366FE94" w14:textId="77777777" w:rsidR="005303F6" w:rsidRDefault="00EB7C90" w:rsidP="008F14F0">
            <w:pPr>
              <w:pStyle w:val="TableParagraph"/>
              <w:spacing w:before="39"/>
              <w:ind w:left="102"/>
              <w:rPr>
                <w:sz w:val="18"/>
              </w:rPr>
            </w:pPr>
            <w:r>
              <w:rPr>
                <w:sz w:val="18"/>
              </w:rPr>
              <w:t>Permanently</w:t>
            </w:r>
            <w:r>
              <w:rPr>
                <w:spacing w:val="-13"/>
                <w:sz w:val="18"/>
              </w:rPr>
              <w:t xml:space="preserve"> </w:t>
            </w:r>
            <w:r>
              <w:rPr>
                <w:sz w:val="18"/>
              </w:rPr>
              <w:t>discontinue</w:t>
            </w:r>
            <w:r>
              <w:rPr>
                <w:spacing w:val="-12"/>
                <w:sz w:val="18"/>
              </w:rPr>
              <w:t xml:space="preserve"> </w:t>
            </w:r>
            <w:r>
              <w:rPr>
                <w:spacing w:val="-2"/>
                <w:sz w:val="18"/>
              </w:rPr>
              <w:t>TABRECTA</w:t>
            </w:r>
          </w:p>
        </w:tc>
      </w:tr>
      <w:tr w:rsidR="005303F6" w14:paraId="2366FE99" w14:textId="77777777" w:rsidTr="003F2FE8">
        <w:trPr>
          <w:gridAfter w:val="1"/>
          <w:wAfter w:w="25" w:type="dxa"/>
          <w:trHeight w:val="1096"/>
        </w:trPr>
        <w:tc>
          <w:tcPr>
            <w:tcW w:w="3615" w:type="dxa"/>
            <w:gridSpan w:val="2"/>
          </w:tcPr>
          <w:p w14:paraId="2366FE96" w14:textId="77777777" w:rsidR="005303F6" w:rsidRDefault="00EB7C90" w:rsidP="008F14F0">
            <w:pPr>
              <w:pStyle w:val="TableParagraph"/>
              <w:spacing w:before="39" w:line="242" w:lineRule="auto"/>
              <w:ind w:left="122" w:right="230"/>
              <w:rPr>
                <w:sz w:val="18"/>
              </w:rPr>
            </w:pPr>
            <w:r>
              <w:rPr>
                <w:sz w:val="18"/>
              </w:rPr>
              <w:t>Combined</w:t>
            </w:r>
            <w:r>
              <w:rPr>
                <w:spacing w:val="-2"/>
                <w:sz w:val="18"/>
              </w:rPr>
              <w:t xml:space="preserve"> </w:t>
            </w:r>
            <w:r>
              <w:rPr>
                <w:sz w:val="18"/>
              </w:rPr>
              <w:t>elevations in ALT and/or AST with</w:t>
            </w:r>
            <w:r>
              <w:rPr>
                <w:spacing w:val="-6"/>
                <w:sz w:val="18"/>
              </w:rPr>
              <w:t xml:space="preserve"> </w:t>
            </w:r>
            <w:r>
              <w:rPr>
                <w:sz w:val="18"/>
              </w:rPr>
              <w:t>concurrent</w:t>
            </w:r>
            <w:r>
              <w:rPr>
                <w:spacing w:val="-8"/>
                <w:sz w:val="18"/>
              </w:rPr>
              <w:t xml:space="preserve"> </w:t>
            </w:r>
            <w:r>
              <w:rPr>
                <w:sz w:val="18"/>
              </w:rPr>
              <w:t>total</w:t>
            </w:r>
            <w:r>
              <w:rPr>
                <w:spacing w:val="-7"/>
                <w:sz w:val="18"/>
              </w:rPr>
              <w:t xml:space="preserve"> </w:t>
            </w:r>
            <w:r>
              <w:rPr>
                <w:sz w:val="18"/>
              </w:rPr>
              <w:t>bilirubin</w:t>
            </w:r>
            <w:r>
              <w:rPr>
                <w:spacing w:val="-7"/>
                <w:sz w:val="18"/>
              </w:rPr>
              <w:t xml:space="preserve"> </w:t>
            </w:r>
            <w:r>
              <w:rPr>
                <w:sz w:val="18"/>
              </w:rPr>
              <w:t>increase,</w:t>
            </w:r>
            <w:r>
              <w:rPr>
                <w:spacing w:val="-8"/>
                <w:sz w:val="18"/>
              </w:rPr>
              <w:t xml:space="preserve"> </w:t>
            </w:r>
            <w:r>
              <w:rPr>
                <w:sz w:val="18"/>
              </w:rPr>
              <w:t>in the absence of cholestasis or hemolysis</w:t>
            </w:r>
          </w:p>
        </w:tc>
        <w:tc>
          <w:tcPr>
            <w:tcW w:w="2355" w:type="dxa"/>
          </w:tcPr>
          <w:p w14:paraId="2366FE97" w14:textId="77777777" w:rsidR="005303F6" w:rsidRDefault="00EB7C90" w:rsidP="008F14F0">
            <w:pPr>
              <w:pStyle w:val="TableParagraph"/>
              <w:spacing w:before="39"/>
              <w:ind w:left="102" w:right="106"/>
              <w:rPr>
                <w:sz w:val="18"/>
              </w:rPr>
            </w:pPr>
            <w:r>
              <w:rPr>
                <w:sz w:val="18"/>
              </w:rPr>
              <w:t>If patient develops ALT and/or AST &gt;3 x ULN along</w:t>
            </w:r>
            <w:r>
              <w:rPr>
                <w:spacing w:val="-10"/>
                <w:sz w:val="18"/>
              </w:rPr>
              <w:t xml:space="preserve"> </w:t>
            </w:r>
            <w:r>
              <w:rPr>
                <w:sz w:val="18"/>
              </w:rPr>
              <w:t>with</w:t>
            </w:r>
            <w:r>
              <w:rPr>
                <w:spacing w:val="-10"/>
                <w:sz w:val="18"/>
              </w:rPr>
              <w:t xml:space="preserve"> </w:t>
            </w:r>
            <w:r>
              <w:rPr>
                <w:sz w:val="18"/>
              </w:rPr>
              <w:t>total</w:t>
            </w:r>
            <w:r>
              <w:rPr>
                <w:spacing w:val="-8"/>
                <w:sz w:val="18"/>
              </w:rPr>
              <w:t xml:space="preserve"> </w:t>
            </w:r>
            <w:r>
              <w:rPr>
                <w:sz w:val="18"/>
              </w:rPr>
              <w:t>bilirubin</w:t>
            </w:r>
            <w:r>
              <w:rPr>
                <w:spacing w:val="-10"/>
                <w:sz w:val="18"/>
              </w:rPr>
              <w:t xml:space="preserve"> </w:t>
            </w:r>
            <w:r>
              <w:rPr>
                <w:sz w:val="18"/>
              </w:rPr>
              <w:t>&gt;2 x ULN, irrespective of baseline grade</w:t>
            </w:r>
          </w:p>
        </w:tc>
        <w:tc>
          <w:tcPr>
            <w:tcW w:w="3185" w:type="dxa"/>
          </w:tcPr>
          <w:p w14:paraId="2366FE98" w14:textId="77777777" w:rsidR="005303F6" w:rsidRDefault="00EB7C90" w:rsidP="008F14F0">
            <w:pPr>
              <w:pStyle w:val="TableParagraph"/>
              <w:spacing w:before="39"/>
              <w:ind w:left="102"/>
              <w:rPr>
                <w:sz w:val="18"/>
              </w:rPr>
            </w:pPr>
            <w:r>
              <w:rPr>
                <w:sz w:val="18"/>
              </w:rPr>
              <w:t>Permanently</w:t>
            </w:r>
            <w:r>
              <w:rPr>
                <w:spacing w:val="-13"/>
                <w:sz w:val="18"/>
              </w:rPr>
              <w:t xml:space="preserve"> </w:t>
            </w:r>
            <w:r>
              <w:rPr>
                <w:sz w:val="18"/>
              </w:rPr>
              <w:t>discontinue</w:t>
            </w:r>
            <w:r>
              <w:rPr>
                <w:spacing w:val="-12"/>
                <w:sz w:val="18"/>
              </w:rPr>
              <w:t xml:space="preserve"> </w:t>
            </w:r>
            <w:r>
              <w:rPr>
                <w:spacing w:val="-2"/>
                <w:sz w:val="18"/>
              </w:rPr>
              <w:t>TABRECTA</w:t>
            </w:r>
          </w:p>
        </w:tc>
      </w:tr>
      <w:tr w:rsidR="005303F6" w14:paraId="2366FEA5" w14:textId="77777777" w:rsidTr="003F2FE8">
        <w:trPr>
          <w:gridBefore w:val="1"/>
          <w:wBefore w:w="9" w:type="dxa"/>
          <w:trHeight w:val="686"/>
        </w:trPr>
        <w:tc>
          <w:tcPr>
            <w:tcW w:w="3606" w:type="dxa"/>
          </w:tcPr>
          <w:p w14:paraId="2366FE9F" w14:textId="77777777" w:rsidR="005303F6" w:rsidRDefault="00EB7C90" w:rsidP="008F14F0">
            <w:pPr>
              <w:pStyle w:val="TableParagraph"/>
              <w:spacing w:before="39"/>
              <w:ind w:left="108"/>
              <w:rPr>
                <w:sz w:val="18"/>
              </w:rPr>
            </w:pPr>
            <w:r>
              <w:rPr>
                <w:sz w:val="18"/>
              </w:rPr>
              <w:t>Isolated total bilirubin elevation from baseline,</w:t>
            </w:r>
            <w:r>
              <w:rPr>
                <w:spacing w:val="-9"/>
                <w:sz w:val="18"/>
              </w:rPr>
              <w:t xml:space="preserve"> </w:t>
            </w:r>
            <w:r>
              <w:rPr>
                <w:sz w:val="18"/>
              </w:rPr>
              <w:t>without</w:t>
            </w:r>
            <w:r>
              <w:rPr>
                <w:spacing w:val="-11"/>
                <w:sz w:val="18"/>
              </w:rPr>
              <w:t xml:space="preserve"> </w:t>
            </w:r>
            <w:r>
              <w:rPr>
                <w:sz w:val="18"/>
              </w:rPr>
              <w:t>concurrent</w:t>
            </w:r>
            <w:r>
              <w:rPr>
                <w:spacing w:val="-10"/>
                <w:sz w:val="18"/>
              </w:rPr>
              <w:t xml:space="preserve"> </w:t>
            </w:r>
            <w:r>
              <w:rPr>
                <w:sz w:val="18"/>
              </w:rPr>
              <w:t>ALT</w:t>
            </w:r>
            <w:r>
              <w:rPr>
                <w:spacing w:val="-10"/>
                <w:sz w:val="18"/>
              </w:rPr>
              <w:t xml:space="preserve"> </w:t>
            </w:r>
            <w:r>
              <w:rPr>
                <w:sz w:val="18"/>
              </w:rPr>
              <w:t>and/or</w:t>
            </w:r>
          </w:p>
          <w:p w14:paraId="2366FEA0" w14:textId="77777777" w:rsidR="005303F6" w:rsidRDefault="00EB7C90" w:rsidP="008F14F0">
            <w:pPr>
              <w:pStyle w:val="TableParagraph"/>
              <w:spacing w:before="4"/>
              <w:ind w:left="108"/>
              <w:rPr>
                <w:sz w:val="18"/>
              </w:rPr>
            </w:pPr>
            <w:r>
              <w:rPr>
                <w:sz w:val="18"/>
              </w:rPr>
              <w:t xml:space="preserve">AST </w:t>
            </w:r>
            <w:r>
              <w:rPr>
                <w:spacing w:val="-2"/>
                <w:sz w:val="18"/>
              </w:rPr>
              <w:t>increase</w:t>
            </w:r>
          </w:p>
        </w:tc>
        <w:tc>
          <w:tcPr>
            <w:tcW w:w="2355" w:type="dxa"/>
          </w:tcPr>
          <w:p w14:paraId="2366FEA1" w14:textId="77777777" w:rsidR="005303F6" w:rsidRDefault="00EB7C90" w:rsidP="008F14F0">
            <w:pPr>
              <w:pStyle w:val="TableParagraph"/>
              <w:spacing w:before="39"/>
              <w:ind w:left="102"/>
              <w:rPr>
                <w:sz w:val="18"/>
              </w:rPr>
            </w:pPr>
            <w:r>
              <w:rPr>
                <w:sz w:val="18"/>
              </w:rPr>
              <w:t>Grade</w:t>
            </w:r>
            <w:r>
              <w:rPr>
                <w:spacing w:val="-2"/>
                <w:sz w:val="18"/>
              </w:rPr>
              <w:t xml:space="preserve"> </w:t>
            </w:r>
            <w:r>
              <w:rPr>
                <w:sz w:val="18"/>
              </w:rPr>
              <w:t>2</w:t>
            </w:r>
            <w:r>
              <w:rPr>
                <w:spacing w:val="-2"/>
                <w:sz w:val="18"/>
              </w:rPr>
              <w:t xml:space="preserve"> </w:t>
            </w:r>
            <w:r>
              <w:rPr>
                <w:sz w:val="18"/>
              </w:rPr>
              <w:t>(&gt;1.5</w:t>
            </w:r>
            <w:r>
              <w:rPr>
                <w:spacing w:val="-2"/>
                <w:sz w:val="18"/>
              </w:rPr>
              <w:t xml:space="preserve"> </w:t>
            </w:r>
            <w:r>
              <w:rPr>
                <w:sz w:val="18"/>
              </w:rPr>
              <w:t>to</w:t>
            </w:r>
            <w:r>
              <w:rPr>
                <w:spacing w:val="-2"/>
                <w:sz w:val="18"/>
              </w:rPr>
              <w:t xml:space="preserve"> </w:t>
            </w:r>
            <w:r>
              <w:rPr>
                <w:sz w:val="18"/>
              </w:rPr>
              <w:t>≤3.0</w:t>
            </w:r>
            <w:r>
              <w:rPr>
                <w:spacing w:val="-3"/>
                <w:sz w:val="18"/>
              </w:rPr>
              <w:t xml:space="preserve"> </w:t>
            </w:r>
            <w:r>
              <w:rPr>
                <w:spacing w:val="-10"/>
                <w:sz w:val="18"/>
              </w:rPr>
              <w:t>x</w:t>
            </w:r>
          </w:p>
          <w:p w14:paraId="2366FEA2" w14:textId="77777777" w:rsidR="005303F6" w:rsidRDefault="00EB7C90" w:rsidP="008F14F0">
            <w:pPr>
              <w:pStyle w:val="TableParagraph"/>
              <w:spacing w:before="2"/>
              <w:ind w:left="102"/>
              <w:rPr>
                <w:sz w:val="18"/>
              </w:rPr>
            </w:pPr>
            <w:r>
              <w:rPr>
                <w:spacing w:val="-4"/>
                <w:sz w:val="18"/>
              </w:rPr>
              <w:t>ULN)</w:t>
            </w:r>
          </w:p>
        </w:tc>
        <w:tc>
          <w:tcPr>
            <w:tcW w:w="3210" w:type="dxa"/>
            <w:gridSpan w:val="2"/>
          </w:tcPr>
          <w:p w14:paraId="2366FEA3" w14:textId="77777777" w:rsidR="005303F6" w:rsidRDefault="00EB7C90" w:rsidP="008F14F0">
            <w:pPr>
              <w:pStyle w:val="TableParagraph"/>
              <w:tabs>
                <w:tab w:val="left" w:pos="1253"/>
              </w:tabs>
              <w:spacing w:before="39"/>
              <w:ind w:left="102" w:right="131"/>
              <w:rPr>
                <w:sz w:val="18"/>
              </w:rPr>
            </w:pPr>
            <w:r>
              <w:rPr>
                <w:spacing w:val="-2"/>
                <w:sz w:val="18"/>
              </w:rPr>
              <w:t>Temporarily</w:t>
            </w:r>
            <w:r>
              <w:rPr>
                <w:sz w:val="18"/>
              </w:rPr>
              <w:tab/>
              <w:t>withhold</w:t>
            </w:r>
            <w:r>
              <w:rPr>
                <w:spacing w:val="80"/>
                <w:sz w:val="18"/>
              </w:rPr>
              <w:t xml:space="preserve"> </w:t>
            </w:r>
            <w:r>
              <w:rPr>
                <w:sz w:val="18"/>
              </w:rPr>
              <w:t>TABRECTA until</w:t>
            </w:r>
            <w:r>
              <w:rPr>
                <w:spacing w:val="72"/>
                <w:sz w:val="18"/>
              </w:rPr>
              <w:t xml:space="preserve"> </w:t>
            </w:r>
            <w:r>
              <w:rPr>
                <w:sz w:val="18"/>
              </w:rPr>
              <w:t>recovery</w:t>
            </w:r>
            <w:r>
              <w:rPr>
                <w:spacing w:val="75"/>
                <w:sz w:val="18"/>
              </w:rPr>
              <w:t xml:space="preserve"> </w:t>
            </w:r>
            <w:r>
              <w:rPr>
                <w:sz w:val="18"/>
              </w:rPr>
              <w:t>to</w:t>
            </w:r>
            <w:r>
              <w:rPr>
                <w:spacing w:val="74"/>
                <w:sz w:val="18"/>
              </w:rPr>
              <w:t xml:space="preserve"> </w:t>
            </w:r>
            <w:r>
              <w:rPr>
                <w:sz w:val="18"/>
              </w:rPr>
              <w:t>baseline</w:t>
            </w:r>
            <w:r>
              <w:rPr>
                <w:spacing w:val="75"/>
                <w:sz w:val="18"/>
              </w:rPr>
              <w:t xml:space="preserve"> </w:t>
            </w:r>
            <w:r>
              <w:rPr>
                <w:spacing w:val="-2"/>
                <w:sz w:val="18"/>
              </w:rPr>
              <w:t>bilirubin</w:t>
            </w:r>
          </w:p>
          <w:p w14:paraId="2366FEA4" w14:textId="77777777" w:rsidR="005303F6" w:rsidRDefault="00EB7C90" w:rsidP="008F14F0">
            <w:pPr>
              <w:pStyle w:val="TableParagraph"/>
              <w:spacing w:before="4"/>
              <w:ind w:left="102"/>
              <w:rPr>
                <w:sz w:val="18"/>
              </w:rPr>
            </w:pPr>
            <w:r>
              <w:rPr>
                <w:spacing w:val="-2"/>
                <w:sz w:val="18"/>
              </w:rPr>
              <w:t>grade.</w:t>
            </w:r>
          </w:p>
        </w:tc>
      </w:tr>
      <w:tr w:rsidR="005303F6" w14:paraId="2366FEAA" w14:textId="77777777" w:rsidTr="003F2FE8">
        <w:trPr>
          <w:gridBefore w:val="1"/>
          <w:wBefore w:w="9" w:type="dxa"/>
          <w:trHeight w:val="863"/>
        </w:trPr>
        <w:tc>
          <w:tcPr>
            <w:tcW w:w="3606" w:type="dxa"/>
          </w:tcPr>
          <w:p w14:paraId="2366FEA6" w14:textId="77777777" w:rsidR="005303F6" w:rsidRDefault="005303F6" w:rsidP="008F14F0">
            <w:pPr>
              <w:pStyle w:val="TableParagraph"/>
              <w:spacing w:before="0"/>
              <w:rPr>
                <w:rFonts w:ascii="Times New Roman"/>
                <w:sz w:val="18"/>
              </w:rPr>
            </w:pPr>
          </w:p>
        </w:tc>
        <w:tc>
          <w:tcPr>
            <w:tcW w:w="2355" w:type="dxa"/>
          </w:tcPr>
          <w:p w14:paraId="2366FEA7" w14:textId="77777777" w:rsidR="005303F6" w:rsidRDefault="005303F6" w:rsidP="008F14F0">
            <w:pPr>
              <w:pStyle w:val="TableParagraph"/>
              <w:spacing w:before="0"/>
              <w:rPr>
                <w:rFonts w:ascii="Times New Roman"/>
                <w:sz w:val="18"/>
              </w:rPr>
            </w:pPr>
          </w:p>
        </w:tc>
        <w:tc>
          <w:tcPr>
            <w:tcW w:w="3210" w:type="dxa"/>
            <w:gridSpan w:val="2"/>
          </w:tcPr>
          <w:p w14:paraId="2366FEA8" w14:textId="77777777" w:rsidR="005303F6" w:rsidRDefault="00EB7C90" w:rsidP="008F14F0">
            <w:pPr>
              <w:pStyle w:val="TableParagraph"/>
              <w:spacing w:before="16"/>
              <w:ind w:left="102" w:right="130"/>
              <w:rPr>
                <w:sz w:val="18"/>
              </w:rPr>
            </w:pPr>
            <w:r>
              <w:rPr>
                <w:sz w:val="18"/>
              </w:rPr>
              <w:t>If</w:t>
            </w:r>
            <w:r>
              <w:rPr>
                <w:spacing w:val="-13"/>
                <w:sz w:val="18"/>
              </w:rPr>
              <w:t xml:space="preserve"> </w:t>
            </w:r>
            <w:r>
              <w:rPr>
                <w:sz w:val="18"/>
              </w:rPr>
              <w:t>recovered</w:t>
            </w:r>
            <w:r>
              <w:rPr>
                <w:spacing w:val="-12"/>
                <w:sz w:val="18"/>
              </w:rPr>
              <w:t xml:space="preserve"> </w:t>
            </w:r>
            <w:r>
              <w:rPr>
                <w:sz w:val="18"/>
              </w:rPr>
              <w:t>to</w:t>
            </w:r>
            <w:r>
              <w:rPr>
                <w:spacing w:val="-13"/>
                <w:sz w:val="18"/>
              </w:rPr>
              <w:t xml:space="preserve"> </w:t>
            </w:r>
            <w:r>
              <w:rPr>
                <w:sz w:val="18"/>
              </w:rPr>
              <w:t>baseline</w:t>
            </w:r>
            <w:r>
              <w:rPr>
                <w:spacing w:val="-12"/>
                <w:sz w:val="18"/>
              </w:rPr>
              <w:t xml:space="preserve"> </w:t>
            </w:r>
            <w:r>
              <w:rPr>
                <w:sz w:val="18"/>
              </w:rPr>
              <w:t>within</w:t>
            </w:r>
            <w:r>
              <w:rPr>
                <w:spacing w:val="-13"/>
                <w:sz w:val="18"/>
              </w:rPr>
              <w:t xml:space="preserve"> </w:t>
            </w:r>
            <w:r>
              <w:rPr>
                <w:sz w:val="18"/>
              </w:rPr>
              <w:t>7</w:t>
            </w:r>
            <w:r>
              <w:rPr>
                <w:spacing w:val="-13"/>
                <w:sz w:val="18"/>
              </w:rPr>
              <w:t xml:space="preserve"> </w:t>
            </w:r>
            <w:r>
              <w:rPr>
                <w:sz w:val="18"/>
              </w:rPr>
              <w:t>days, then</w:t>
            </w:r>
            <w:r>
              <w:rPr>
                <w:spacing w:val="-13"/>
                <w:sz w:val="18"/>
              </w:rPr>
              <w:t xml:space="preserve"> </w:t>
            </w:r>
            <w:r>
              <w:rPr>
                <w:sz w:val="18"/>
              </w:rPr>
              <w:t>resume</w:t>
            </w:r>
            <w:r>
              <w:rPr>
                <w:spacing w:val="-12"/>
                <w:sz w:val="18"/>
              </w:rPr>
              <w:t xml:space="preserve"> </w:t>
            </w:r>
            <w:r>
              <w:rPr>
                <w:sz w:val="18"/>
              </w:rPr>
              <w:t>TABRECTA</w:t>
            </w:r>
            <w:r>
              <w:rPr>
                <w:spacing w:val="-13"/>
                <w:sz w:val="18"/>
              </w:rPr>
              <w:t xml:space="preserve"> </w:t>
            </w:r>
            <w:r>
              <w:rPr>
                <w:sz w:val="18"/>
              </w:rPr>
              <w:t>at</w:t>
            </w:r>
            <w:r>
              <w:rPr>
                <w:spacing w:val="-12"/>
                <w:sz w:val="18"/>
              </w:rPr>
              <w:t xml:space="preserve"> </w:t>
            </w:r>
            <w:r>
              <w:rPr>
                <w:sz w:val="18"/>
              </w:rPr>
              <w:t>the</w:t>
            </w:r>
            <w:r>
              <w:rPr>
                <w:spacing w:val="-13"/>
                <w:sz w:val="18"/>
              </w:rPr>
              <w:t xml:space="preserve"> </w:t>
            </w:r>
            <w:r>
              <w:rPr>
                <w:sz w:val="18"/>
              </w:rPr>
              <w:t>same dose,</w:t>
            </w:r>
            <w:r>
              <w:rPr>
                <w:spacing w:val="13"/>
                <w:sz w:val="18"/>
              </w:rPr>
              <w:t xml:space="preserve"> </w:t>
            </w:r>
            <w:r>
              <w:rPr>
                <w:sz w:val="18"/>
              </w:rPr>
              <w:t>otherwise</w:t>
            </w:r>
            <w:r>
              <w:rPr>
                <w:spacing w:val="11"/>
                <w:sz w:val="18"/>
              </w:rPr>
              <w:t xml:space="preserve"> </w:t>
            </w:r>
            <w:r>
              <w:rPr>
                <w:sz w:val="18"/>
              </w:rPr>
              <w:t>resume</w:t>
            </w:r>
            <w:r>
              <w:rPr>
                <w:spacing w:val="13"/>
                <w:sz w:val="18"/>
              </w:rPr>
              <w:t xml:space="preserve"> </w:t>
            </w:r>
            <w:r>
              <w:rPr>
                <w:spacing w:val="-2"/>
                <w:sz w:val="18"/>
              </w:rPr>
              <w:t>TABRECTA</w:t>
            </w:r>
          </w:p>
          <w:p w14:paraId="2366FEA9" w14:textId="77777777" w:rsidR="005303F6" w:rsidRDefault="00EB7C90" w:rsidP="008F14F0">
            <w:pPr>
              <w:pStyle w:val="TableParagraph"/>
              <w:spacing w:before="0" w:line="206" w:lineRule="exact"/>
              <w:ind w:left="102"/>
              <w:rPr>
                <w:sz w:val="18"/>
              </w:rPr>
            </w:pPr>
            <w:r>
              <w:rPr>
                <w:sz w:val="18"/>
              </w:rPr>
              <w:t>at</w:t>
            </w:r>
            <w:r>
              <w:rPr>
                <w:spacing w:val="-2"/>
                <w:sz w:val="18"/>
              </w:rPr>
              <w:t xml:space="preserve"> </w:t>
            </w:r>
            <w:r>
              <w:rPr>
                <w:sz w:val="18"/>
              </w:rPr>
              <w:t>a</w:t>
            </w:r>
            <w:r>
              <w:rPr>
                <w:spacing w:val="-2"/>
                <w:sz w:val="18"/>
              </w:rPr>
              <w:t xml:space="preserve"> </w:t>
            </w:r>
            <w:r>
              <w:rPr>
                <w:sz w:val="18"/>
              </w:rPr>
              <w:t>reduced</w:t>
            </w:r>
            <w:r>
              <w:rPr>
                <w:spacing w:val="-2"/>
                <w:sz w:val="18"/>
              </w:rPr>
              <w:t xml:space="preserve"> </w:t>
            </w:r>
            <w:r>
              <w:rPr>
                <w:sz w:val="18"/>
              </w:rPr>
              <w:t>dose</w:t>
            </w:r>
            <w:r>
              <w:rPr>
                <w:spacing w:val="2"/>
                <w:sz w:val="18"/>
              </w:rPr>
              <w:t xml:space="preserve"> </w:t>
            </w:r>
            <w:r>
              <w:rPr>
                <w:sz w:val="18"/>
              </w:rPr>
              <w:t>as</w:t>
            </w:r>
            <w:r>
              <w:rPr>
                <w:spacing w:val="-4"/>
                <w:sz w:val="18"/>
              </w:rPr>
              <w:t xml:space="preserve"> </w:t>
            </w:r>
            <w:r>
              <w:rPr>
                <w:sz w:val="18"/>
              </w:rPr>
              <w:t>per</w:t>
            </w:r>
            <w:r>
              <w:rPr>
                <w:spacing w:val="-4"/>
                <w:sz w:val="18"/>
              </w:rPr>
              <w:t xml:space="preserve"> </w:t>
            </w:r>
            <w:r>
              <w:rPr>
                <w:sz w:val="18"/>
              </w:rPr>
              <w:t>Table</w:t>
            </w:r>
            <w:r>
              <w:rPr>
                <w:spacing w:val="1"/>
                <w:sz w:val="18"/>
              </w:rPr>
              <w:t xml:space="preserve"> </w:t>
            </w:r>
            <w:r>
              <w:rPr>
                <w:spacing w:val="-5"/>
                <w:sz w:val="18"/>
              </w:rPr>
              <w:t>1.</w:t>
            </w:r>
          </w:p>
        </w:tc>
      </w:tr>
      <w:tr w:rsidR="005303F6" w14:paraId="2366FEAF" w14:textId="77777777" w:rsidTr="003F2FE8">
        <w:trPr>
          <w:gridBefore w:val="1"/>
          <w:wBefore w:w="9" w:type="dxa"/>
          <w:trHeight w:val="683"/>
        </w:trPr>
        <w:tc>
          <w:tcPr>
            <w:tcW w:w="3606" w:type="dxa"/>
          </w:tcPr>
          <w:p w14:paraId="2366FEAB" w14:textId="77777777" w:rsidR="005303F6" w:rsidRDefault="005303F6" w:rsidP="008F14F0">
            <w:pPr>
              <w:pStyle w:val="TableParagraph"/>
              <w:spacing w:before="0"/>
              <w:rPr>
                <w:rFonts w:ascii="Times New Roman"/>
                <w:sz w:val="18"/>
              </w:rPr>
            </w:pPr>
          </w:p>
        </w:tc>
        <w:tc>
          <w:tcPr>
            <w:tcW w:w="2355" w:type="dxa"/>
          </w:tcPr>
          <w:p w14:paraId="2366FEAC" w14:textId="77777777" w:rsidR="005303F6" w:rsidRDefault="00EB7C90" w:rsidP="008F14F0">
            <w:pPr>
              <w:pStyle w:val="TableParagraph"/>
              <w:spacing w:before="39"/>
              <w:ind w:left="102"/>
              <w:rPr>
                <w:sz w:val="18"/>
              </w:rPr>
            </w:pPr>
            <w:r>
              <w:rPr>
                <w:sz w:val="18"/>
              </w:rPr>
              <w:t>Grade</w:t>
            </w:r>
            <w:r>
              <w:rPr>
                <w:spacing w:val="-2"/>
                <w:sz w:val="18"/>
              </w:rPr>
              <w:t xml:space="preserve"> </w:t>
            </w:r>
            <w:r>
              <w:rPr>
                <w:sz w:val="18"/>
              </w:rPr>
              <w:t>3</w:t>
            </w:r>
            <w:r>
              <w:rPr>
                <w:spacing w:val="-2"/>
                <w:sz w:val="18"/>
              </w:rPr>
              <w:t xml:space="preserve"> </w:t>
            </w:r>
            <w:r>
              <w:rPr>
                <w:sz w:val="18"/>
              </w:rPr>
              <w:t>(&gt;3.0</w:t>
            </w:r>
            <w:r>
              <w:rPr>
                <w:spacing w:val="-2"/>
                <w:sz w:val="18"/>
              </w:rPr>
              <w:t xml:space="preserve"> </w:t>
            </w:r>
            <w:r>
              <w:rPr>
                <w:sz w:val="18"/>
              </w:rPr>
              <w:t>to</w:t>
            </w:r>
            <w:r>
              <w:rPr>
                <w:spacing w:val="-2"/>
                <w:sz w:val="18"/>
              </w:rPr>
              <w:t xml:space="preserve"> </w:t>
            </w:r>
            <w:r>
              <w:rPr>
                <w:sz w:val="18"/>
              </w:rPr>
              <w:t>≤10.0</w:t>
            </w:r>
            <w:r>
              <w:rPr>
                <w:spacing w:val="-2"/>
                <w:sz w:val="18"/>
              </w:rPr>
              <w:t xml:space="preserve"> </w:t>
            </w:r>
            <w:r>
              <w:rPr>
                <w:spacing w:val="-10"/>
                <w:sz w:val="18"/>
              </w:rPr>
              <w:t>x</w:t>
            </w:r>
          </w:p>
          <w:p w14:paraId="2366FEAD" w14:textId="77777777" w:rsidR="005303F6" w:rsidRDefault="00EB7C90" w:rsidP="008F14F0">
            <w:pPr>
              <w:pStyle w:val="TableParagraph"/>
              <w:spacing w:before="2"/>
              <w:ind w:left="102"/>
              <w:rPr>
                <w:sz w:val="18"/>
              </w:rPr>
            </w:pPr>
            <w:r>
              <w:rPr>
                <w:spacing w:val="-4"/>
                <w:sz w:val="18"/>
              </w:rPr>
              <w:t>ULN)</w:t>
            </w:r>
          </w:p>
        </w:tc>
        <w:tc>
          <w:tcPr>
            <w:tcW w:w="3210" w:type="dxa"/>
            <w:gridSpan w:val="2"/>
          </w:tcPr>
          <w:p w14:paraId="2366FEAE" w14:textId="77777777" w:rsidR="005303F6" w:rsidRDefault="00EB7C90" w:rsidP="008F14F0">
            <w:pPr>
              <w:pStyle w:val="TableParagraph"/>
              <w:spacing w:before="39"/>
              <w:ind w:left="102" w:right="131"/>
              <w:rPr>
                <w:sz w:val="18"/>
              </w:rPr>
            </w:pPr>
            <w:r>
              <w:rPr>
                <w:sz w:val="18"/>
              </w:rPr>
              <w:t xml:space="preserve">Temporarily withhold TABRECTA until recovery to baseline bilirubin </w:t>
            </w:r>
            <w:r>
              <w:rPr>
                <w:spacing w:val="-2"/>
                <w:sz w:val="18"/>
              </w:rPr>
              <w:t>grade.</w:t>
            </w:r>
          </w:p>
        </w:tc>
      </w:tr>
      <w:tr w:rsidR="005303F6" w14:paraId="2366FEB3" w14:textId="77777777" w:rsidTr="003F2FE8">
        <w:trPr>
          <w:gridBefore w:val="1"/>
          <w:wBefore w:w="9" w:type="dxa"/>
          <w:trHeight w:val="1073"/>
        </w:trPr>
        <w:tc>
          <w:tcPr>
            <w:tcW w:w="3606" w:type="dxa"/>
          </w:tcPr>
          <w:p w14:paraId="2366FEB0" w14:textId="77777777" w:rsidR="005303F6" w:rsidRDefault="005303F6" w:rsidP="008F14F0">
            <w:pPr>
              <w:pStyle w:val="TableParagraph"/>
              <w:spacing w:before="0"/>
              <w:rPr>
                <w:rFonts w:ascii="Times New Roman"/>
                <w:sz w:val="18"/>
              </w:rPr>
            </w:pPr>
          </w:p>
        </w:tc>
        <w:tc>
          <w:tcPr>
            <w:tcW w:w="2355" w:type="dxa"/>
          </w:tcPr>
          <w:p w14:paraId="2366FEB1" w14:textId="77777777" w:rsidR="005303F6" w:rsidRDefault="005303F6" w:rsidP="008F14F0">
            <w:pPr>
              <w:pStyle w:val="TableParagraph"/>
              <w:spacing w:before="0"/>
              <w:rPr>
                <w:rFonts w:ascii="Times New Roman"/>
                <w:sz w:val="18"/>
              </w:rPr>
            </w:pPr>
          </w:p>
        </w:tc>
        <w:tc>
          <w:tcPr>
            <w:tcW w:w="3210" w:type="dxa"/>
            <w:gridSpan w:val="2"/>
          </w:tcPr>
          <w:p w14:paraId="2366FEB2" w14:textId="77777777" w:rsidR="005303F6" w:rsidRDefault="00EB7C90" w:rsidP="008F14F0">
            <w:pPr>
              <w:pStyle w:val="TableParagraph"/>
              <w:spacing w:before="16"/>
              <w:ind w:left="102" w:right="129"/>
              <w:rPr>
                <w:sz w:val="18"/>
              </w:rPr>
            </w:pPr>
            <w:r>
              <w:rPr>
                <w:sz w:val="18"/>
              </w:rPr>
              <w:t>If</w:t>
            </w:r>
            <w:r>
              <w:rPr>
                <w:spacing w:val="-13"/>
                <w:sz w:val="18"/>
              </w:rPr>
              <w:t xml:space="preserve"> </w:t>
            </w:r>
            <w:r>
              <w:rPr>
                <w:sz w:val="18"/>
              </w:rPr>
              <w:t>recovered</w:t>
            </w:r>
            <w:r>
              <w:rPr>
                <w:spacing w:val="-12"/>
                <w:sz w:val="18"/>
              </w:rPr>
              <w:t xml:space="preserve"> </w:t>
            </w:r>
            <w:r>
              <w:rPr>
                <w:sz w:val="18"/>
              </w:rPr>
              <w:t>to</w:t>
            </w:r>
            <w:r>
              <w:rPr>
                <w:spacing w:val="-13"/>
                <w:sz w:val="18"/>
              </w:rPr>
              <w:t xml:space="preserve"> </w:t>
            </w:r>
            <w:r>
              <w:rPr>
                <w:sz w:val="18"/>
              </w:rPr>
              <w:t>baseline</w:t>
            </w:r>
            <w:r>
              <w:rPr>
                <w:spacing w:val="-12"/>
                <w:sz w:val="18"/>
              </w:rPr>
              <w:t xml:space="preserve"> </w:t>
            </w:r>
            <w:r>
              <w:rPr>
                <w:sz w:val="18"/>
              </w:rPr>
              <w:t>within</w:t>
            </w:r>
            <w:r>
              <w:rPr>
                <w:spacing w:val="-13"/>
                <w:sz w:val="18"/>
              </w:rPr>
              <w:t xml:space="preserve"> </w:t>
            </w:r>
            <w:r>
              <w:rPr>
                <w:sz w:val="18"/>
              </w:rPr>
              <w:t>7</w:t>
            </w:r>
            <w:r>
              <w:rPr>
                <w:spacing w:val="-13"/>
                <w:sz w:val="18"/>
              </w:rPr>
              <w:t xml:space="preserve"> </w:t>
            </w:r>
            <w:r>
              <w:rPr>
                <w:sz w:val="18"/>
              </w:rPr>
              <w:t xml:space="preserve">days, then resume TABRECTA at a reduced dose as per Table 1, otherwise Permanently discontinue </w:t>
            </w:r>
            <w:r>
              <w:rPr>
                <w:spacing w:val="-2"/>
                <w:sz w:val="18"/>
              </w:rPr>
              <w:t>TABRECTA</w:t>
            </w:r>
          </w:p>
        </w:tc>
      </w:tr>
      <w:tr w:rsidR="005303F6" w14:paraId="2366FEB7" w14:textId="77777777" w:rsidTr="003F2FE8">
        <w:trPr>
          <w:gridBefore w:val="1"/>
          <w:wBefore w:w="9" w:type="dxa"/>
          <w:trHeight w:val="577"/>
        </w:trPr>
        <w:tc>
          <w:tcPr>
            <w:tcW w:w="3606" w:type="dxa"/>
          </w:tcPr>
          <w:p w14:paraId="2366FEB4" w14:textId="77777777" w:rsidR="005303F6" w:rsidRDefault="005303F6" w:rsidP="008F14F0">
            <w:pPr>
              <w:pStyle w:val="TableParagraph"/>
              <w:spacing w:before="0"/>
              <w:rPr>
                <w:rFonts w:ascii="Times New Roman"/>
                <w:sz w:val="18"/>
              </w:rPr>
            </w:pPr>
          </w:p>
        </w:tc>
        <w:tc>
          <w:tcPr>
            <w:tcW w:w="2355" w:type="dxa"/>
          </w:tcPr>
          <w:p w14:paraId="2366FEB5" w14:textId="77777777" w:rsidR="005303F6" w:rsidRDefault="00EB7C90" w:rsidP="008F14F0">
            <w:pPr>
              <w:pStyle w:val="TableParagraph"/>
              <w:spacing w:before="39"/>
              <w:ind w:left="102"/>
              <w:rPr>
                <w:sz w:val="18"/>
              </w:rPr>
            </w:pPr>
            <w:r>
              <w:rPr>
                <w:sz w:val="18"/>
              </w:rPr>
              <w:t>Grade</w:t>
            </w:r>
            <w:r>
              <w:rPr>
                <w:spacing w:val="-4"/>
                <w:sz w:val="18"/>
              </w:rPr>
              <w:t xml:space="preserve"> </w:t>
            </w:r>
            <w:r>
              <w:rPr>
                <w:sz w:val="18"/>
              </w:rPr>
              <w:t>4</w:t>
            </w:r>
            <w:r>
              <w:rPr>
                <w:spacing w:val="-1"/>
                <w:sz w:val="18"/>
              </w:rPr>
              <w:t xml:space="preserve"> </w:t>
            </w:r>
            <w:r>
              <w:rPr>
                <w:sz w:val="18"/>
              </w:rPr>
              <w:t>(&gt;10.0</w:t>
            </w:r>
            <w:r>
              <w:rPr>
                <w:spacing w:val="-3"/>
                <w:sz w:val="18"/>
              </w:rPr>
              <w:t xml:space="preserve"> </w:t>
            </w:r>
            <w:r>
              <w:rPr>
                <w:sz w:val="18"/>
              </w:rPr>
              <w:t xml:space="preserve">x </w:t>
            </w:r>
            <w:r>
              <w:rPr>
                <w:spacing w:val="-4"/>
                <w:sz w:val="18"/>
              </w:rPr>
              <w:t>ULN)</w:t>
            </w:r>
          </w:p>
        </w:tc>
        <w:tc>
          <w:tcPr>
            <w:tcW w:w="3210" w:type="dxa"/>
            <w:gridSpan w:val="2"/>
          </w:tcPr>
          <w:p w14:paraId="2366FEB6" w14:textId="77777777" w:rsidR="005303F6" w:rsidRDefault="00EB7C90" w:rsidP="008F14F0">
            <w:pPr>
              <w:pStyle w:val="TableParagraph"/>
              <w:spacing w:before="39"/>
              <w:ind w:left="102"/>
              <w:rPr>
                <w:sz w:val="18"/>
              </w:rPr>
            </w:pPr>
            <w:r>
              <w:rPr>
                <w:sz w:val="18"/>
              </w:rPr>
              <w:t>Permanently</w:t>
            </w:r>
            <w:r>
              <w:rPr>
                <w:spacing w:val="-13"/>
                <w:sz w:val="18"/>
              </w:rPr>
              <w:t xml:space="preserve"> </w:t>
            </w:r>
            <w:r>
              <w:rPr>
                <w:sz w:val="18"/>
              </w:rPr>
              <w:t>discontinue</w:t>
            </w:r>
            <w:r>
              <w:rPr>
                <w:spacing w:val="-12"/>
                <w:sz w:val="18"/>
              </w:rPr>
              <w:t xml:space="preserve"> </w:t>
            </w:r>
            <w:r>
              <w:rPr>
                <w:spacing w:val="-2"/>
                <w:sz w:val="18"/>
              </w:rPr>
              <w:t>TABRECTA</w:t>
            </w:r>
          </w:p>
        </w:tc>
      </w:tr>
      <w:tr w:rsidR="005303F6" w14:paraId="2366FEBC" w14:textId="77777777" w:rsidTr="003F2FE8">
        <w:trPr>
          <w:gridBefore w:val="1"/>
          <w:wBefore w:w="9" w:type="dxa"/>
          <w:trHeight w:val="1093"/>
        </w:trPr>
        <w:tc>
          <w:tcPr>
            <w:tcW w:w="3606" w:type="dxa"/>
          </w:tcPr>
          <w:p w14:paraId="2366FEB8" w14:textId="77777777" w:rsidR="005303F6" w:rsidRDefault="00EB7C90" w:rsidP="008F14F0">
            <w:pPr>
              <w:pStyle w:val="TableParagraph"/>
              <w:spacing w:before="39"/>
              <w:ind w:left="108"/>
              <w:rPr>
                <w:sz w:val="18"/>
              </w:rPr>
            </w:pPr>
            <w:r>
              <w:rPr>
                <w:sz w:val="18"/>
              </w:rPr>
              <w:t>Other</w:t>
            </w:r>
            <w:r>
              <w:rPr>
                <w:spacing w:val="-3"/>
                <w:sz w:val="18"/>
              </w:rPr>
              <w:t xml:space="preserve"> </w:t>
            </w:r>
            <w:r>
              <w:rPr>
                <w:sz w:val="18"/>
              </w:rPr>
              <w:t>adverse</w:t>
            </w:r>
            <w:r>
              <w:rPr>
                <w:spacing w:val="-3"/>
                <w:sz w:val="18"/>
              </w:rPr>
              <w:t xml:space="preserve"> </w:t>
            </w:r>
            <w:r>
              <w:rPr>
                <w:sz w:val="18"/>
              </w:rPr>
              <w:t>drug</w:t>
            </w:r>
            <w:r>
              <w:rPr>
                <w:spacing w:val="-2"/>
                <w:sz w:val="18"/>
              </w:rPr>
              <w:t xml:space="preserve"> reactions</w:t>
            </w:r>
          </w:p>
        </w:tc>
        <w:tc>
          <w:tcPr>
            <w:tcW w:w="2355" w:type="dxa"/>
          </w:tcPr>
          <w:p w14:paraId="2366FEB9" w14:textId="77777777" w:rsidR="005303F6" w:rsidRDefault="00EB7C90" w:rsidP="008F14F0">
            <w:pPr>
              <w:pStyle w:val="TableParagraph"/>
              <w:spacing w:before="39"/>
              <w:ind w:left="102"/>
              <w:rPr>
                <w:sz w:val="18"/>
              </w:rPr>
            </w:pPr>
            <w:r>
              <w:rPr>
                <w:sz w:val="18"/>
              </w:rPr>
              <w:t>Grade</w:t>
            </w:r>
            <w:r>
              <w:rPr>
                <w:spacing w:val="-2"/>
                <w:sz w:val="18"/>
              </w:rPr>
              <w:t xml:space="preserve"> </w:t>
            </w:r>
            <w:r>
              <w:rPr>
                <w:spacing w:val="-10"/>
                <w:sz w:val="18"/>
              </w:rPr>
              <w:t>2</w:t>
            </w:r>
          </w:p>
        </w:tc>
        <w:tc>
          <w:tcPr>
            <w:tcW w:w="3210" w:type="dxa"/>
            <w:gridSpan w:val="2"/>
          </w:tcPr>
          <w:p w14:paraId="2366FEBA" w14:textId="77777777" w:rsidR="005303F6" w:rsidRDefault="00EB7C90" w:rsidP="008F14F0">
            <w:pPr>
              <w:pStyle w:val="TableParagraph"/>
              <w:spacing w:before="39"/>
              <w:ind w:left="102" w:right="130"/>
              <w:rPr>
                <w:sz w:val="18"/>
              </w:rPr>
            </w:pPr>
            <w:r>
              <w:rPr>
                <w:sz w:val="18"/>
              </w:rPr>
              <w:t>Maintain dose level. If intolerable, consider temporarily withholding TABRECTA until resolved, then resume</w:t>
            </w:r>
            <w:r>
              <w:rPr>
                <w:spacing w:val="76"/>
                <w:sz w:val="18"/>
              </w:rPr>
              <w:t xml:space="preserve"> </w:t>
            </w:r>
            <w:r>
              <w:rPr>
                <w:sz w:val="18"/>
              </w:rPr>
              <w:t>TABRECTA</w:t>
            </w:r>
            <w:r>
              <w:rPr>
                <w:spacing w:val="76"/>
                <w:sz w:val="18"/>
              </w:rPr>
              <w:t xml:space="preserve"> </w:t>
            </w:r>
            <w:r>
              <w:rPr>
                <w:sz w:val="18"/>
              </w:rPr>
              <w:t>at</w:t>
            </w:r>
            <w:r>
              <w:rPr>
                <w:spacing w:val="76"/>
                <w:sz w:val="18"/>
              </w:rPr>
              <w:t xml:space="preserve"> </w:t>
            </w:r>
            <w:r>
              <w:rPr>
                <w:sz w:val="18"/>
              </w:rPr>
              <w:t>a</w:t>
            </w:r>
            <w:r>
              <w:rPr>
                <w:spacing w:val="77"/>
                <w:sz w:val="18"/>
              </w:rPr>
              <w:t xml:space="preserve"> </w:t>
            </w:r>
            <w:r>
              <w:rPr>
                <w:spacing w:val="-2"/>
                <w:sz w:val="18"/>
              </w:rPr>
              <w:t>reduced</w:t>
            </w:r>
          </w:p>
          <w:p w14:paraId="2366FEBB" w14:textId="77777777" w:rsidR="005303F6" w:rsidRDefault="00EB7C90" w:rsidP="008F14F0">
            <w:pPr>
              <w:pStyle w:val="TableParagraph"/>
              <w:spacing w:before="3" w:line="204" w:lineRule="exact"/>
              <w:ind w:left="102"/>
              <w:rPr>
                <w:sz w:val="18"/>
              </w:rPr>
            </w:pPr>
            <w:r>
              <w:rPr>
                <w:sz w:val="18"/>
              </w:rPr>
              <w:t>dose</w:t>
            </w:r>
            <w:r>
              <w:rPr>
                <w:spacing w:val="-2"/>
                <w:sz w:val="18"/>
              </w:rPr>
              <w:t xml:space="preserve"> </w:t>
            </w:r>
            <w:r>
              <w:rPr>
                <w:sz w:val="18"/>
              </w:rPr>
              <w:t>as</w:t>
            </w:r>
            <w:r>
              <w:rPr>
                <w:spacing w:val="-2"/>
                <w:sz w:val="18"/>
              </w:rPr>
              <w:t xml:space="preserve"> </w:t>
            </w:r>
            <w:r>
              <w:rPr>
                <w:sz w:val="18"/>
              </w:rPr>
              <w:t>per</w:t>
            </w:r>
            <w:r>
              <w:rPr>
                <w:spacing w:val="-1"/>
                <w:sz w:val="18"/>
              </w:rPr>
              <w:t xml:space="preserve"> </w:t>
            </w:r>
            <w:r>
              <w:rPr>
                <w:sz w:val="18"/>
              </w:rPr>
              <w:t>Table</w:t>
            </w:r>
            <w:r>
              <w:rPr>
                <w:spacing w:val="2"/>
                <w:sz w:val="18"/>
              </w:rPr>
              <w:t xml:space="preserve"> </w:t>
            </w:r>
            <w:r>
              <w:rPr>
                <w:spacing w:val="-5"/>
                <w:sz w:val="18"/>
              </w:rPr>
              <w:t>1.</w:t>
            </w:r>
          </w:p>
        </w:tc>
      </w:tr>
      <w:tr w:rsidR="005303F6" w14:paraId="2366FEC1" w14:textId="77777777" w:rsidTr="003F2FE8">
        <w:trPr>
          <w:gridBefore w:val="1"/>
          <w:wBefore w:w="9" w:type="dxa"/>
          <w:trHeight w:val="887"/>
        </w:trPr>
        <w:tc>
          <w:tcPr>
            <w:tcW w:w="3606" w:type="dxa"/>
          </w:tcPr>
          <w:p w14:paraId="2366FEBD" w14:textId="77777777" w:rsidR="005303F6" w:rsidRDefault="005303F6" w:rsidP="008F14F0">
            <w:pPr>
              <w:pStyle w:val="TableParagraph"/>
              <w:spacing w:before="0"/>
              <w:rPr>
                <w:rFonts w:ascii="Times New Roman"/>
                <w:sz w:val="18"/>
              </w:rPr>
            </w:pPr>
          </w:p>
        </w:tc>
        <w:tc>
          <w:tcPr>
            <w:tcW w:w="2355" w:type="dxa"/>
          </w:tcPr>
          <w:p w14:paraId="2366FEBE" w14:textId="77777777" w:rsidR="005303F6" w:rsidRDefault="00EB7C90" w:rsidP="008F14F0">
            <w:pPr>
              <w:pStyle w:val="TableParagraph"/>
              <w:spacing w:before="39"/>
              <w:ind w:left="102"/>
              <w:rPr>
                <w:sz w:val="18"/>
              </w:rPr>
            </w:pPr>
            <w:r>
              <w:rPr>
                <w:sz w:val="18"/>
              </w:rPr>
              <w:t>Grade</w:t>
            </w:r>
            <w:r>
              <w:rPr>
                <w:spacing w:val="-2"/>
                <w:sz w:val="18"/>
              </w:rPr>
              <w:t xml:space="preserve"> </w:t>
            </w:r>
            <w:r>
              <w:rPr>
                <w:spacing w:val="-10"/>
                <w:sz w:val="18"/>
              </w:rPr>
              <w:t>3</w:t>
            </w:r>
          </w:p>
        </w:tc>
        <w:tc>
          <w:tcPr>
            <w:tcW w:w="3210" w:type="dxa"/>
            <w:gridSpan w:val="2"/>
          </w:tcPr>
          <w:p w14:paraId="2366FEBF" w14:textId="77777777" w:rsidR="005303F6" w:rsidRDefault="00EB7C90" w:rsidP="008F14F0">
            <w:pPr>
              <w:pStyle w:val="TableParagraph"/>
              <w:spacing w:before="39"/>
              <w:ind w:left="102" w:right="131"/>
              <w:rPr>
                <w:sz w:val="18"/>
              </w:rPr>
            </w:pPr>
            <w:r>
              <w:rPr>
                <w:sz w:val="18"/>
              </w:rPr>
              <w:t>Temporarily withhold TABRECTA until resolved, then resume TABRECTA</w:t>
            </w:r>
            <w:r>
              <w:rPr>
                <w:spacing w:val="-7"/>
                <w:sz w:val="18"/>
              </w:rPr>
              <w:t xml:space="preserve"> </w:t>
            </w:r>
            <w:r>
              <w:rPr>
                <w:sz w:val="18"/>
              </w:rPr>
              <w:t>at</w:t>
            </w:r>
            <w:r>
              <w:rPr>
                <w:spacing w:val="-8"/>
                <w:sz w:val="18"/>
              </w:rPr>
              <w:t xml:space="preserve"> </w:t>
            </w:r>
            <w:r>
              <w:rPr>
                <w:sz w:val="18"/>
              </w:rPr>
              <w:t>a</w:t>
            </w:r>
            <w:r>
              <w:rPr>
                <w:spacing w:val="-5"/>
                <w:sz w:val="18"/>
              </w:rPr>
              <w:t xml:space="preserve"> </w:t>
            </w:r>
            <w:r>
              <w:rPr>
                <w:sz w:val="18"/>
              </w:rPr>
              <w:t>reduced</w:t>
            </w:r>
            <w:r>
              <w:rPr>
                <w:spacing w:val="-8"/>
                <w:sz w:val="18"/>
              </w:rPr>
              <w:t xml:space="preserve"> </w:t>
            </w:r>
            <w:r>
              <w:rPr>
                <w:sz w:val="18"/>
              </w:rPr>
              <w:t>dose</w:t>
            </w:r>
            <w:r>
              <w:rPr>
                <w:spacing w:val="-8"/>
                <w:sz w:val="18"/>
              </w:rPr>
              <w:t xml:space="preserve"> </w:t>
            </w:r>
            <w:r>
              <w:rPr>
                <w:sz w:val="18"/>
              </w:rPr>
              <w:t>as</w:t>
            </w:r>
            <w:r>
              <w:rPr>
                <w:spacing w:val="-7"/>
                <w:sz w:val="18"/>
              </w:rPr>
              <w:t xml:space="preserve"> </w:t>
            </w:r>
            <w:r>
              <w:rPr>
                <w:spacing w:val="-5"/>
                <w:sz w:val="18"/>
              </w:rPr>
              <w:t>per</w:t>
            </w:r>
          </w:p>
          <w:p w14:paraId="2366FEC0" w14:textId="77777777" w:rsidR="005303F6" w:rsidRDefault="00EB7C90" w:rsidP="008F14F0">
            <w:pPr>
              <w:pStyle w:val="TableParagraph"/>
              <w:spacing w:before="4" w:line="204" w:lineRule="exact"/>
              <w:ind w:left="102"/>
              <w:rPr>
                <w:sz w:val="18"/>
              </w:rPr>
            </w:pPr>
            <w:r>
              <w:rPr>
                <w:sz w:val="18"/>
              </w:rPr>
              <w:t>Table</w:t>
            </w:r>
            <w:r>
              <w:rPr>
                <w:spacing w:val="-2"/>
                <w:sz w:val="18"/>
              </w:rPr>
              <w:t xml:space="preserve"> </w:t>
            </w:r>
            <w:r>
              <w:rPr>
                <w:spacing w:val="-5"/>
                <w:sz w:val="18"/>
              </w:rPr>
              <w:t>1.</w:t>
            </w:r>
          </w:p>
        </w:tc>
      </w:tr>
      <w:tr w:rsidR="005303F6" w14:paraId="2366FEC5" w14:textId="77777777" w:rsidTr="003F2FE8">
        <w:trPr>
          <w:gridBefore w:val="1"/>
          <w:wBefore w:w="9" w:type="dxa"/>
          <w:trHeight w:val="578"/>
        </w:trPr>
        <w:tc>
          <w:tcPr>
            <w:tcW w:w="3606" w:type="dxa"/>
          </w:tcPr>
          <w:p w14:paraId="2366FEC2" w14:textId="77777777" w:rsidR="005303F6" w:rsidRDefault="005303F6" w:rsidP="008F14F0">
            <w:pPr>
              <w:pStyle w:val="TableParagraph"/>
              <w:spacing w:before="0"/>
              <w:rPr>
                <w:rFonts w:ascii="Times New Roman"/>
                <w:sz w:val="18"/>
              </w:rPr>
            </w:pPr>
          </w:p>
        </w:tc>
        <w:tc>
          <w:tcPr>
            <w:tcW w:w="2355" w:type="dxa"/>
          </w:tcPr>
          <w:p w14:paraId="2366FEC3" w14:textId="77777777" w:rsidR="005303F6" w:rsidRDefault="00EB7C90" w:rsidP="008F14F0">
            <w:pPr>
              <w:pStyle w:val="TableParagraph"/>
              <w:spacing w:before="39"/>
              <w:ind w:left="102"/>
              <w:rPr>
                <w:sz w:val="18"/>
              </w:rPr>
            </w:pPr>
            <w:r>
              <w:rPr>
                <w:sz w:val="18"/>
              </w:rPr>
              <w:t>Grade</w:t>
            </w:r>
            <w:r>
              <w:rPr>
                <w:spacing w:val="-2"/>
                <w:sz w:val="18"/>
              </w:rPr>
              <w:t xml:space="preserve"> </w:t>
            </w:r>
            <w:r>
              <w:rPr>
                <w:spacing w:val="-10"/>
                <w:sz w:val="18"/>
              </w:rPr>
              <w:t>4</w:t>
            </w:r>
          </w:p>
        </w:tc>
        <w:tc>
          <w:tcPr>
            <w:tcW w:w="3210" w:type="dxa"/>
            <w:gridSpan w:val="2"/>
          </w:tcPr>
          <w:p w14:paraId="2366FEC4" w14:textId="77777777" w:rsidR="005303F6" w:rsidRDefault="00EB7C90" w:rsidP="008F14F0">
            <w:pPr>
              <w:pStyle w:val="TableParagraph"/>
              <w:spacing w:before="39"/>
              <w:ind w:left="102"/>
              <w:rPr>
                <w:sz w:val="18"/>
              </w:rPr>
            </w:pPr>
            <w:r>
              <w:rPr>
                <w:sz w:val="18"/>
              </w:rPr>
              <w:t>Permanently</w:t>
            </w:r>
            <w:r>
              <w:rPr>
                <w:spacing w:val="-13"/>
                <w:sz w:val="18"/>
              </w:rPr>
              <w:t xml:space="preserve"> </w:t>
            </w:r>
            <w:r>
              <w:rPr>
                <w:sz w:val="18"/>
              </w:rPr>
              <w:t>discontinue</w:t>
            </w:r>
            <w:r>
              <w:rPr>
                <w:spacing w:val="-12"/>
                <w:sz w:val="18"/>
              </w:rPr>
              <w:t xml:space="preserve"> </w:t>
            </w:r>
            <w:r>
              <w:rPr>
                <w:spacing w:val="-2"/>
                <w:sz w:val="18"/>
              </w:rPr>
              <w:t>TABRECTA</w:t>
            </w:r>
          </w:p>
        </w:tc>
      </w:tr>
    </w:tbl>
    <w:p w14:paraId="2366FEC6" w14:textId="77777777" w:rsidR="005303F6" w:rsidRDefault="00EB7C90" w:rsidP="008F14F0">
      <w:pPr>
        <w:spacing w:before="66" w:line="244" w:lineRule="auto"/>
        <w:ind w:left="556" w:right="636"/>
        <w:rPr>
          <w:rFonts w:ascii="Arial"/>
          <w:i/>
          <w:sz w:val="16"/>
        </w:rPr>
      </w:pPr>
      <w:r>
        <w:rPr>
          <w:rFonts w:ascii="Arial"/>
          <w:i/>
          <w:sz w:val="16"/>
        </w:rPr>
        <w:t>Abbreviations:</w:t>
      </w:r>
      <w:r>
        <w:rPr>
          <w:rFonts w:ascii="Arial"/>
          <w:i/>
          <w:spacing w:val="-3"/>
          <w:sz w:val="16"/>
        </w:rPr>
        <w:t xml:space="preserve"> </w:t>
      </w:r>
      <w:r>
        <w:rPr>
          <w:rFonts w:ascii="Arial"/>
          <w:i/>
          <w:sz w:val="16"/>
        </w:rPr>
        <w:t>ALT,</w:t>
      </w:r>
      <w:r>
        <w:rPr>
          <w:rFonts w:ascii="Arial"/>
          <w:i/>
          <w:spacing w:val="-3"/>
          <w:sz w:val="16"/>
        </w:rPr>
        <w:t xml:space="preserve"> </w:t>
      </w:r>
      <w:r>
        <w:rPr>
          <w:rFonts w:ascii="Arial"/>
          <w:i/>
          <w:sz w:val="16"/>
        </w:rPr>
        <w:t>alanine</w:t>
      </w:r>
      <w:r>
        <w:rPr>
          <w:rFonts w:ascii="Arial"/>
          <w:i/>
          <w:spacing w:val="-5"/>
          <w:sz w:val="16"/>
        </w:rPr>
        <w:t xml:space="preserve"> </w:t>
      </w:r>
      <w:r>
        <w:rPr>
          <w:rFonts w:ascii="Arial"/>
          <w:i/>
          <w:sz w:val="16"/>
        </w:rPr>
        <w:t>aminotransferase;</w:t>
      </w:r>
      <w:r>
        <w:rPr>
          <w:rFonts w:ascii="Arial"/>
          <w:i/>
          <w:spacing w:val="-3"/>
          <w:sz w:val="16"/>
        </w:rPr>
        <w:t xml:space="preserve"> </w:t>
      </w:r>
      <w:r>
        <w:rPr>
          <w:rFonts w:ascii="Arial"/>
          <w:i/>
          <w:sz w:val="16"/>
        </w:rPr>
        <w:t>AST,</w:t>
      </w:r>
      <w:r>
        <w:rPr>
          <w:rFonts w:ascii="Arial"/>
          <w:i/>
          <w:spacing w:val="-3"/>
          <w:sz w:val="16"/>
        </w:rPr>
        <w:t xml:space="preserve"> </w:t>
      </w:r>
      <w:r>
        <w:rPr>
          <w:rFonts w:ascii="Arial"/>
          <w:i/>
          <w:sz w:val="16"/>
        </w:rPr>
        <w:t>aspartate</w:t>
      </w:r>
      <w:r>
        <w:rPr>
          <w:rFonts w:ascii="Arial"/>
          <w:i/>
          <w:spacing w:val="-5"/>
          <w:sz w:val="16"/>
        </w:rPr>
        <w:t xml:space="preserve"> </w:t>
      </w:r>
      <w:r>
        <w:rPr>
          <w:rFonts w:ascii="Arial"/>
          <w:i/>
          <w:sz w:val="16"/>
        </w:rPr>
        <w:t>aminotransferase;</w:t>
      </w:r>
      <w:r>
        <w:rPr>
          <w:rFonts w:ascii="Arial"/>
          <w:i/>
          <w:spacing w:val="-3"/>
          <w:sz w:val="16"/>
        </w:rPr>
        <w:t xml:space="preserve"> </w:t>
      </w:r>
      <w:r>
        <w:rPr>
          <w:rFonts w:ascii="Arial"/>
          <w:i/>
          <w:sz w:val="16"/>
        </w:rPr>
        <w:t>ILD,</w:t>
      </w:r>
      <w:r>
        <w:rPr>
          <w:rFonts w:ascii="Arial"/>
          <w:i/>
          <w:spacing w:val="-3"/>
          <w:sz w:val="16"/>
        </w:rPr>
        <w:t xml:space="preserve"> </w:t>
      </w:r>
      <w:r>
        <w:rPr>
          <w:rFonts w:ascii="Arial"/>
          <w:i/>
          <w:sz w:val="16"/>
        </w:rPr>
        <w:t>interstitial</w:t>
      </w:r>
      <w:r>
        <w:rPr>
          <w:rFonts w:ascii="Arial"/>
          <w:i/>
          <w:spacing w:val="-4"/>
          <w:sz w:val="16"/>
        </w:rPr>
        <w:t xml:space="preserve"> </w:t>
      </w:r>
      <w:r>
        <w:rPr>
          <w:rFonts w:ascii="Arial"/>
          <w:i/>
          <w:sz w:val="16"/>
        </w:rPr>
        <w:t>lung</w:t>
      </w:r>
      <w:r>
        <w:rPr>
          <w:rFonts w:ascii="Arial"/>
          <w:i/>
          <w:spacing w:val="-5"/>
          <w:sz w:val="16"/>
        </w:rPr>
        <w:t xml:space="preserve"> </w:t>
      </w:r>
      <w:r>
        <w:rPr>
          <w:rFonts w:ascii="Arial"/>
          <w:i/>
          <w:sz w:val="16"/>
        </w:rPr>
        <w:t>disease;</w:t>
      </w:r>
      <w:r>
        <w:rPr>
          <w:rFonts w:ascii="Arial"/>
          <w:i/>
          <w:spacing w:val="-3"/>
          <w:sz w:val="16"/>
        </w:rPr>
        <w:t xml:space="preserve"> </w:t>
      </w:r>
      <w:r>
        <w:rPr>
          <w:rFonts w:ascii="Arial"/>
          <w:i/>
          <w:sz w:val="16"/>
        </w:rPr>
        <w:t>ULN,</w:t>
      </w:r>
      <w:r>
        <w:rPr>
          <w:rFonts w:ascii="Arial"/>
          <w:i/>
          <w:spacing w:val="-3"/>
          <w:sz w:val="16"/>
        </w:rPr>
        <w:t xml:space="preserve"> </w:t>
      </w:r>
      <w:r>
        <w:rPr>
          <w:rFonts w:ascii="Arial"/>
          <w:i/>
          <w:sz w:val="16"/>
        </w:rPr>
        <w:t>upper</w:t>
      </w:r>
      <w:r>
        <w:rPr>
          <w:rFonts w:ascii="Arial"/>
          <w:i/>
          <w:spacing w:val="-3"/>
          <w:sz w:val="16"/>
        </w:rPr>
        <w:t xml:space="preserve"> </w:t>
      </w:r>
      <w:r>
        <w:rPr>
          <w:rFonts w:ascii="Arial"/>
          <w:i/>
          <w:sz w:val="16"/>
        </w:rPr>
        <w:t>limit of normal.</w:t>
      </w:r>
    </w:p>
    <w:p w14:paraId="2366FEC8" w14:textId="3EB7DF45" w:rsidR="005303F6" w:rsidRDefault="00EB7C90" w:rsidP="008F14F0">
      <w:pPr>
        <w:spacing w:before="35" w:line="290" w:lineRule="auto"/>
        <w:ind w:left="556" w:right="1785"/>
        <w:rPr>
          <w:rFonts w:ascii="Arial"/>
          <w:sz w:val="2"/>
        </w:rPr>
      </w:pPr>
      <w:r>
        <w:rPr>
          <w:rFonts w:ascii="Arial"/>
          <w:i/>
          <w:sz w:val="16"/>
        </w:rPr>
        <w:t>Grading</w:t>
      </w:r>
      <w:r>
        <w:rPr>
          <w:rFonts w:ascii="Arial"/>
          <w:i/>
          <w:spacing w:val="-2"/>
          <w:sz w:val="16"/>
        </w:rPr>
        <w:t xml:space="preserve"> </w:t>
      </w:r>
      <w:r>
        <w:rPr>
          <w:rFonts w:ascii="Arial"/>
          <w:i/>
          <w:sz w:val="16"/>
        </w:rPr>
        <w:t>according</w:t>
      </w:r>
      <w:r>
        <w:rPr>
          <w:rFonts w:ascii="Arial"/>
          <w:i/>
          <w:spacing w:val="-2"/>
          <w:sz w:val="16"/>
        </w:rPr>
        <w:t xml:space="preserve"> </w:t>
      </w:r>
      <w:r>
        <w:rPr>
          <w:rFonts w:ascii="Arial"/>
          <w:i/>
          <w:sz w:val="16"/>
        </w:rPr>
        <w:t>to</w:t>
      </w:r>
      <w:r>
        <w:rPr>
          <w:rFonts w:ascii="Arial"/>
          <w:i/>
          <w:spacing w:val="-5"/>
          <w:sz w:val="16"/>
        </w:rPr>
        <w:t xml:space="preserve"> </w:t>
      </w:r>
      <w:r>
        <w:rPr>
          <w:rFonts w:ascii="Arial"/>
          <w:i/>
          <w:sz w:val="16"/>
        </w:rPr>
        <w:t>CTCAE</w:t>
      </w:r>
      <w:r>
        <w:rPr>
          <w:rFonts w:ascii="Arial"/>
          <w:i/>
          <w:spacing w:val="-3"/>
          <w:sz w:val="16"/>
        </w:rPr>
        <w:t xml:space="preserve"> </w:t>
      </w:r>
      <w:r>
        <w:rPr>
          <w:rFonts w:ascii="Arial"/>
          <w:i/>
          <w:sz w:val="16"/>
        </w:rPr>
        <w:t>Version</w:t>
      </w:r>
      <w:r>
        <w:rPr>
          <w:rFonts w:ascii="Arial"/>
          <w:i/>
          <w:spacing w:val="-2"/>
          <w:sz w:val="16"/>
        </w:rPr>
        <w:t xml:space="preserve"> </w:t>
      </w:r>
      <w:r>
        <w:rPr>
          <w:rFonts w:ascii="Arial"/>
          <w:i/>
          <w:sz w:val="16"/>
        </w:rPr>
        <w:t>4.03</w:t>
      </w:r>
      <w:r>
        <w:rPr>
          <w:rFonts w:ascii="Arial"/>
          <w:i/>
          <w:spacing w:val="-2"/>
          <w:sz w:val="16"/>
        </w:rPr>
        <w:t xml:space="preserve"> </w:t>
      </w:r>
      <w:r>
        <w:rPr>
          <w:rFonts w:ascii="Arial"/>
          <w:i/>
          <w:sz w:val="16"/>
        </w:rPr>
        <w:t>(CTCAE</w:t>
      </w:r>
      <w:r>
        <w:rPr>
          <w:rFonts w:ascii="Arial"/>
          <w:i/>
          <w:spacing w:val="-3"/>
          <w:sz w:val="16"/>
        </w:rPr>
        <w:t xml:space="preserve"> </w:t>
      </w:r>
      <w:r>
        <w:rPr>
          <w:rFonts w:ascii="Arial"/>
          <w:i/>
          <w:sz w:val="16"/>
        </w:rPr>
        <w:t>=</w:t>
      </w:r>
      <w:r>
        <w:rPr>
          <w:rFonts w:ascii="Arial"/>
          <w:i/>
          <w:spacing w:val="-2"/>
          <w:sz w:val="16"/>
        </w:rPr>
        <w:t xml:space="preserve"> </w:t>
      </w:r>
      <w:r>
        <w:rPr>
          <w:rFonts w:ascii="Arial"/>
          <w:i/>
          <w:sz w:val="16"/>
        </w:rPr>
        <w:t>Common</w:t>
      </w:r>
      <w:r>
        <w:rPr>
          <w:rFonts w:ascii="Arial"/>
          <w:i/>
          <w:spacing w:val="-2"/>
          <w:sz w:val="16"/>
        </w:rPr>
        <w:t xml:space="preserve"> </w:t>
      </w:r>
      <w:r>
        <w:rPr>
          <w:rFonts w:ascii="Arial"/>
          <w:i/>
          <w:sz w:val="16"/>
        </w:rPr>
        <w:t>Terminology</w:t>
      </w:r>
      <w:r>
        <w:rPr>
          <w:rFonts w:ascii="Arial"/>
          <w:i/>
          <w:spacing w:val="-3"/>
          <w:sz w:val="16"/>
        </w:rPr>
        <w:t xml:space="preserve"> </w:t>
      </w:r>
      <w:r>
        <w:rPr>
          <w:rFonts w:ascii="Arial"/>
          <w:i/>
          <w:sz w:val="16"/>
        </w:rPr>
        <w:t>Criteria</w:t>
      </w:r>
      <w:r>
        <w:rPr>
          <w:rFonts w:ascii="Arial"/>
          <w:i/>
          <w:spacing w:val="-4"/>
          <w:sz w:val="16"/>
        </w:rPr>
        <w:t xml:space="preserve"> </w:t>
      </w:r>
      <w:r>
        <w:rPr>
          <w:rFonts w:ascii="Arial"/>
          <w:i/>
          <w:sz w:val="16"/>
        </w:rPr>
        <w:t>for</w:t>
      </w:r>
      <w:r>
        <w:rPr>
          <w:rFonts w:ascii="Arial"/>
          <w:i/>
          <w:spacing w:val="-2"/>
          <w:sz w:val="16"/>
        </w:rPr>
        <w:t xml:space="preserve"> </w:t>
      </w:r>
      <w:r>
        <w:rPr>
          <w:rFonts w:ascii="Arial"/>
          <w:i/>
          <w:sz w:val="16"/>
        </w:rPr>
        <w:t>Adverse</w:t>
      </w:r>
      <w:r>
        <w:rPr>
          <w:rFonts w:ascii="Arial"/>
          <w:i/>
          <w:spacing w:val="-5"/>
          <w:sz w:val="16"/>
        </w:rPr>
        <w:t xml:space="preserve"> </w:t>
      </w:r>
      <w:r>
        <w:rPr>
          <w:rFonts w:ascii="Arial"/>
          <w:i/>
          <w:sz w:val="16"/>
        </w:rPr>
        <w:t>Events). Baseline = at the time of treatment initiation.</w:t>
      </w:r>
    </w:p>
    <w:p w14:paraId="2366FEC9" w14:textId="77777777" w:rsidR="005303F6" w:rsidRDefault="005303F6" w:rsidP="008F14F0">
      <w:pPr>
        <w:pStyle w:val="BodyText"/>
        <w:spacing w:before="205"/>
        <w:ind w:left="0"/>
        <w:jc w:val="left"/>
        <w:rPr>
          <w:rFonts w:ascii="Arial"/>
          <w:i/>
        </w:rPr>
      </w:pPr>
    </w:p>
    <w:p w14:paraId="2366FECA" w14:textId="77777777" w:rsidR="005303F6" w:rsidRDefault="00EB7C90" w:rsidP="008F14F0">
      <w:pPr>
        <w:pStyle w:val="Heading3"/>
        <w:spacing w:before="0"/>
      </w:pPr>
      <w:r>
        <w:rPr>
          <w:u w:val="single"/>
        </w:rPr>
        <w:t>Special</w:t>
      </w:r>
      <w:r>
        <w:rPr>
          <w:spacing w:val="-2"/>
          <w:u w:val="single"/>
        </w:rPr>
        <w:t xml:space="preserve"> populations</w:t>
      </w:r>
    </w:p>
    <w:p w14:paraId="2366FECB" w14:textId="77777777" w:rsidR="005303F6" w:rsidRDefault="00EB7C90" w:rsidP="008F14F0">
      <w:pPr>
        <w:spacing w:before="242"/>
        <w:ind w:left="448"/>
        <w:rPr>
          <w:b/>
          <w:sz w:val="24"/>
        </w:rPr>
      </w:pPr>
      <w:r>
        <w:rPr>
          <w:b/>
          <w:sz w:val="24"/>
        </w:rPr>
        <w:t>Renal</w:t>
      </w:r>
      <w:r>
        <w:rPr>
          <w:b/>
          <w:spacing w:val="-4"/>
          <w:sz w:val="24"/>
        </w:rPr>
        <w:t xml:space="preserve"> </w:t>
      </w:r>
      <w:r>
        <w:rPr>
          <w:b/>
          <w:spacing w:val="-2"/>
          <w:sz w:val="24"/>
        </w:rPr>
        <w:t>impairment</w:t>
      </w:r>
    </w:p>
    <w:p w14:paraId="2366FECC" w14:textId="77777777" w:rsidR="005303F6" w:rsidRDefault="00EB7C90" w:rsidP="008F14F0">
      <w:pPr>
        <w:pStyle w:val="BodyText"/>
        <w:spacing w:before="245" w:line="276" w:lineRule="auto"/>
        <w:ind w:right="726"/>
        <w:jc w:val="left"/>
      </w:pPr>
      <w:r>
        <w:t>Caution should be exercised in patients with severe renal impairment (creatinine clearance [CrCl] 15 to 29 mL/min) as TABRECTA has not been studied in these patients. No dose adjustment</w:t>
      </w:r>
      <w:r>
        <w:rPr>
          <w:spacing w:val="-2"/>
        </w:rPr>
        <w:t xml:space="preserve"> </w:t>
      </w:r>
      <w:r>
        <w:t>is</w:t>
      </w:r>
      <w:r>
        <w:rPr>
          <w:spacing w:val="-3"/>
        </w:rPr>
        <w:t xml:space="preserve"> </w:t>
      </w:r>
      <w:r>
        <w:t>necessary</w:t>
      </w:r>
      <w:r>
        <w:rPr>
          <w:spacing w:val="-3"/>
        </w:rPr>
        <w:t xml:space="preserve"> </w:t>
      </w:r>
      <w:r>
        <w:t>in</w:t>
      </w:r>
      <w:r>
        <w:rPr>
          <w:spacing w:val="-2"/>
        </w:rPr>
        <w:t xml:space="preserve"> </w:t>
      </w:r>
      <w:r>
        <w:t>patients</w:t>
      </w:r>
      <w:r>
        <w:rPr>
          <w:spacing w:val="-3"/>
        </w:rPr>
        <w:t xml:space="preserve"> </w:t>
      </w:r>
      <w:r>
        <w:t>with</w:t>
      </w:r>
      <w:r>
        <w:rPr>
          <w:spacing w:val="-4"/>
        </w:rPr>
        <w:t xml:space="preserve"> </w:t>
      </w:r>
      <w:r>
        <w:t>mild (CrCl</w:t>
      </w:r>
      <w:r>
        <w:rPr>
          <w:spacing w:val="-3"/>
        </w:rPr>
        <w:t xml:space="preserve"> </w:t>
      </w:r>
      <w:r>
        <w:t>60</w:t>
      </w:r>
      <w:r>
        <w:rPr>
          <w:spacing w:val="-2"/>
        </w:rPr>
        <w:t xml:space="preserve"> </w:t>
      </w:r>
      <w:r>
        <w:t>to</w:t>
      </w:r>
      <w:r>
        <w:rPr>
          <w:spacing w:val="-2"/>
        </w:rPr>
        <w:t xml:space="preserve"> </w:t>
      </w:r>
      <w:r>
        <w:t>89</w:t>
      </w:r>
      <w:r>
        <w:rPr>
          <w:spacing w:val="-4"/>
        </w:rPr>
        <w:t xml:space="preserve"> </w:t>
      </w:r>
      <w:r>
        <w:t>mL/min)</w:t>
      </w:r>
      <w:r>
        <w:rPr>
          <w:spacing w:val="-2"/>
        </w:rPr>
        <w:t xml:space="preserve"> </w:t>
      </w:r>
      <w:r>
        <w:t>or</w:t>
      </w:r>
      <w:r>
        <w:rPr>
          <w:spacing w:val="-2"/>
        </w:rPr>
        <w:t xml:space="preserve"> </w:t>
      </w:r>
      <w:r>
        <w:t>moderate (CrCl</w:t>
      </w:r>
      <w:r>
        <w:rPr>
          <w:spacing w:val="-3"/>
        </w:rPr>
        <w:t xml:space="preserve"> </w:t>
      </w:r>
      <w:r>
        <w:t>30</w:t>
      </w:r>
      <w:r>
        <w:rPr>
          <w:spacing w:val="-2"/>
        </w:rPr>
        <w:t xml:space="preserve"> </w:t>
      </w:r>
      <w:r>
        <w:t xml:space="preserve">to 59 mL/min) renal impairment (see section 5.2, Pharmacokinetic properties, special </w:t>
      </w:r>
      <w:r>
        <w:rPr>
          <w:spacing w:val="-2"/>
        </w:rPr>
        <w:t>populations).</w:t>
      </w:r>
    </w:p>
    <w:p w14:paraId="2366FECD" w14:textId="77777777" w:rsidR="005303F6" w:rsidRDefault="00EB7C90" w:rsidP="008F14F0">
      <w:pPr>
        <w:pStyle w:val="Heading3"/>
        <w:spacing w:before="200"/>
      </w:pPr>
      <w:r>
        <w:t>Hepatic</w:t>
      </w:r>
      <w:r>
        <w:rPr>
          <w:spacing w:val="-2"/>
        </w:rPr>
        <w:t xml:space="preserve"> impairment</w:t>
      </w:r>
    </w:p>
    <w:p w14:paraId="2366FECE" w14:textId="77777777" w:rsidR="005303F6" w:rsidRDefault="00EB7C90" w:rsidP="008F14F0">
      <w:pPr>
        <w:pStyle w:val="BodyText"/>
        <w:spacing w:before="245" w:line="276" w:lineRule="auto"/>
        <w:ind w:right="729"/>
        <w:jc w:val="left"/>
      </w:pPr>
      <w:r>
        <w:t>No dose adjustment is necessary in patients with mild, moderate, or severe hepatic impairment as per Child-Pugh classification (see section 5.2, Pharmacokinetic properties, special populations).</w:t>
      </w:r>
    </w:p>
    <w:p w14:paraId="2366FECF" w14:textId="77777777" w:rsidR="005303F6" w:rsidRDefault="00EB7C90" w:rsidP="008F14F0">
      <w:pPr>
        <w:pStyle w:val="Heading3"/>
        <w:spacing w:before="198"/>
      </w:pPr>
      <w:proofErr w:type="spellStart"/>
      <w:r>
        <w:t>Paediatric</w:t>
      </w:r>
      <w:proofErr w:type="spellEnd"/>
      <w:r>
        <w:rPr>
          <w:spacing w:val="-4"/>
        </w:rPr>
        <w:t xml:space="preserve"> </w:t>
      </w:r>
      <w:r>
        <w:t>patients</w:t>
      </w:r>
      <w:r>
        <w:rPr>
          <w:spacing w:val="-3"/>
        </w:rPr>
        <w:t xml:space="preserve"> </w:t>
      </w:r>
      <w:r>
        <w:t>(below</w:t>
      </w:r>
      <w:r>
        <w:rPr>
          <w:spacing w:val="-1"/>
        </w:rPr>
        <w:t xml:space="preserve"> </w:t>
      </w:r>
      <w:r>
        <w:t>18</w:t>
      </w:r>
      <w:r>
        <w:rPr>
          <w:spacing w:val="-3"/>
        </w:rPr>
        <w:t xml:space="preserve"> </w:t>
      </w:r>
      <w:r>
        <w:t>years</w:t>
      </w:r>
      <w:r>
        <w:rPr>
          <w:spacing w:val="-2"/>
        </w:rPr>
        <w:t xml:space="preserve"> </w:t>
      </w:r>
      <w:r>
        <w:t>of</w:t>
      </w:r>
      <w:r>
        <w:rPr>
          <w:spacing w:val="-2"/>
        </w:rPr>
        <w:t xml:space="preserve"> </w:t>
      </w:r>
      <w:r>
        <w:rPr>
          <w:spacing w:val="-4"/>
        </w:rPr>
        <w:t>age)</w:t>
      </w:r>
    </w:p>
    <w:p w14:paraId="2366FED0" w14:textId="77777777" w:rsidR="005303F6" w:rsidRDefault="00EB7C90" w:rsidP="008F14F0">
      <w:pPr>
        <w:pStyle w:val="BodyText"/>
        <w:spacing w:before="245"/>
        <w:jc w:val="left"/>
        <w:rPr>
          <w:spacing w:val="-2"/>
        </w:rPr>
      </w:pPr>
      <w:r>
        <w:t>The</w:t>
      </w:r>
      <w:r>
        <w:rPr>
          <w:spacing w:val="-4"/>
        </w:rPr>
        <w:t xml:space="preserve"> </w:t>
      </w:r>
      <w:r>
        <w:t>safety</w:t>
      </w:r>
      <w:r>
        <w:rPr>
          <w:spacing w:val="-2"/>
        </w:rPr>
        <w:t xml:space="preserve"> </w:t>
      </w:r>
      <w:r>
        <w:t>and</w:t>
      </w:r>
      <w:r>
        <w:rPr>
          <w:spacing w:val="-2"/>
        </w:rPr>
        <w:t xml:space="preserve"> </w:t>
      </w:r>
      <w:r>
        <w:t>efficacy</w:t>
      </w:r>
      <w:r>
        <w:rPr>
          <w:spacing w:val="-3"/>
        </w:rPr>
        <w:t xml:space="preserve"> </w:t>
      </w:r>
      <w:r>
        <w:t>of</w:t>
      </w:r>
      <w:r>
        <w:rPr>
          <w:spacing w:val="-1"/>
        </w:rPr>
        <w:t xml:space="preserve"> </w:t>
      </w:r>
      <w:r>
        <w:t>TABRECTA</w:t>
      </w:r>
      <w:r>
        <w:rPr>
          <w:spacing w:val="-2"/>
        </w:rPr>
        <w:t xml:space="preserve"> </w:t>
      </w:r>
      <w:r>
        <w:t>in</w:t>
      </w:r>
      <w:r>
        <w:rPr>
          <w:spacing w:val="-3"/>
        </w:rPr>
        <w:t xml:space="preserve"> </w:t>
      </w:r>
      <w:proofErr w:type="spellStart"/>
      <w:r>
        <w:t>paediatric</w:t>
      </w:r>
      <w:proofErr w:type="spellEnd"/>
      <w:r>
        <w:rPr>
          <w:spacing w:val="-5"/>
        </w:rPr>
        <w:t xml:space="preserve"> </w:t>
      </w:r>
      <w:r>
        <w:t>patients</w:t>
      </w:r>
      <w:r>
        <w:rPr>
          <w:spacing w:val="-2"/>
        </w:rPr>
        <w:t xml:space="preserve"> </w:t>
      </w:r>
      <w:proofErr w:type="gramStart"/>
      <w:r>
        <w:t>have</w:t>
      </w:r>
      <w:proofErr w:type="gramEnd"/>
      <w:r>
        <w:rPr>
          <w:spacing w:val="-2"/>
        </w:rPr>
        <w:t xml:space="preserve"> </w:t>
      </w:r>
      <w:r>
        <w:t>not</w:t>
      </w:r>
      <w:r>
        <w:rPr>
          <w:spacing w:val="-2"/>
        </w:rPr>
        <w:t xml:space="preserve"> </w:t>
      </w:r>
      <w:r>
        <w:t>been</w:t>
      </w:r>
      <w:r>
        <w:rPr>
          <w:spacing w:val="-3"/>
        </w:rPr>
        <w:t xml:space="preserve"> </w:t>
      </w:r>
      <w:r>
        <w:rPr>
          <w:spacing w:val="-2"/>
        </w:rPr>
        <w:t>established.</w:t>
      </w:r>
    </w:p>
    <w:p w14:paraId="6F2C08CB" w14:textId="77777777" w:rsidR="003F2FE8" w:rsidRDefault="003F2FE8" w:rsidP="008F14F0">
      <w:pPr>
        <w:pStyle w:val="Heading3"/>
        <w:spacing w:before="41"/>
      </w:pPr>
    </w:p>
    <w:p w14:paraId="2366FED2" w14:textId="0B058E2D" w:rsidR="005303F6" w:rsidRDefault="00EB7C90" w:rsidP="008F14F0">
      <w:pPr>
        <w:pStyle w:val="Heading3"/>
        <w:spacing w:before="41"/>
      </w:pPr>
      <w:r>
        <w:t>Elderly</w:t>
      </w:r>
      <w:r>
        <w:rPr>
          <w:spacing w:val="-3"/>
        </w:rPr>
        <w:t xml:space="preserve"> </w:t>
      </w:r>
      <w:r>
        <w:t>patients</w:t>
      </w:r>
      <w:r>
        <w:rPr>
          <w:spacing w:val="-1"/>
        </w:rPr>
        <w:t xml:space="preserve"> </w:t>
      </w:r>
      <w:r>
        <w:t>(65</w:t>
      </w:r>
      <w:r>
        <w:rPr>
          <w:spacing w:val="-1"/>
        </w:rPr>
        <w:t xml:space="preserve"> </w:t>
      </w:r>
      <w:r>
        <w:t>years</w:t>
      </w:r>
      <w:r>
        <w:rPr>
          <w:spacing w:val="-2"/>
        </w:rPr>
        <w:t xml:space="preserve"> </w:t>
      </w:r>
      <w:r>
        <w:t>of</w:t>
      </w:r>
      <w:r>
        <w:rPr>
          <w:spacing w:val="-1"/>
        </w:rPr>
        <w:t xml:space="preserve"> </w:t>
      </w:r>
      <w:r>
        <w:t>age</w:t>
      </w:r>
      <w:r>
        <w:rPr>
          <w:spacing w:val="-3"/>
        </w:rPr>
        <w:t xml:space="preserve"> </w:t>
      </w:r>
      <w:r>
        <w:t>or</w:t>
      </w:r>
      <w:r>
        <w:rPr>
          <w:spacing w:val="-3"/>
        </w:rPr>
        <w:t xml:space="preserve"> </w:t>
      </w:r>
      <w:r>
        <w:rPr>
          <w:spacing w:val="-2"/>
        </w:rPr>
        <w:t>older)</w:t>
      </w:r>
    </w:p>
    <w:p w14:paraId="2366FED3" w14:textId="77777777" w:rsidR="005303F6" w:rsidRDefault="00EB7C90" w:rsidP="008F14F0">
      <w:pPr>
        <w:pStyle w:val="BodyText"/>
        <w:spacing w:before="245"/>
        <w:jc w:val="left"/>
      </w:pPr>
      <w:r>
        <w:t>No</w:t>
      </w:r>
      <w:r>
        <w:rPr>
          <w:spacing w:val="-5"/>
        </w:rPr>
        <w:t xml:space="preserve"> </w:t>
      </w:r>
      <w:r>
        <w:t>dose</w:t>
      </w:r>
      <w:r>
        <w:rPr>
          <w:spacing w:val="-1"/>
        </w:rPr>
        <w:t xml:space="preserve"> </w:t>
      </w:r>
      <w:r>
        <w:t>adjustment</w:t>
      </w:r>
      <w:r>
        <w:rPr>
          <w:spacing w:val="-3"/>
        </w:rPr>
        <w:t xml:space="preserve"> </w:t>
      </w:r>
      <w:r>
        <w:t>is</w:t>
      </w:r>
      <w:r>
        <w:rPr>
          <w:spacing w:val="-2"/>
        </w:rPr>
        <w:t xml:space="preserve"> </w:t>
      </w:r>
      <w:r>
        <w:t>necessary</w:t>
      </w:r>
      <w:r>
        <w:rPr>
          <w:spacing w:val="-2"/>
        </w:rPr>
        <w:t xml:space="preserve"> </w:t>
      </w:r>
      <w:r>
        <w:t>in</w:t>
      </w:r>
      <w:r>
        <w:rPr>
          <w:spacing w:val="-3"/>
        </w:rPr>
        <w:t xml:space="preserve"> </w:t>
      </w:r>
      <w:r>
        <w:t>patients</w:t>
      </w:r>
      <w:r>
        <w:rPr>
          <w:spacing w:val="-1"/>
        </w:rPr>
        <w:t xml:space="preserve"> </w:t>
      </w:r>
      <w:r>
        <w:t>65</w:t>
      </w:r>
      <w:r>
        <w:rPr>
          <w:spacing w:val="-3"/>
        </w:rPr>
        <w:t xml:space="preserve"> </w:t>
      </w:r>
      <w:r>
        <w:t>years</w:t>
      </w:r>
      <w:r>
        <w:rPr>
          <w:spacing w:val="-2"/>
        </w:rPr>
        <w:t xml:space="preserve"> </w:t>
      </w:r>
      <w:r>
        <w:t>of</w:t>
      </w:r>
      <w:r>
        <w:rPr>
          <w:spacing w:val="-3"/>
        </w:rPr>
        <w:t xml:space="preserve"> </w:t>
      </w:r>
      <w:r>
        <w:t>age</w:t>
      </w:r>
      <w:r>
        <w:rPr>
          <w:spacing w:val="-4"/>
        </w:rPr>
        <w:t xml:space="preserve"> </w:t>
      </w:r>
      <w:r>
        <w:t>or</w:t>
      </w:r>
      <w:r>
        <w:rPr>
          <w:spacing w:val="-2"/>
        </w:rPr>
        <w:t xml:space="preserve"> older.</w:t>
      </w:r>
    </w:p>
    <w:p w14:paraId="2366FED4" w14:textId="77777777" w:rsidR="005303F6" w:rsidRDefault="00EB7C90" w:rsidP="008F14F0">
      <w:pPr>
        <w:pStyle w:val="Heading3"/>
        <w:spacing w:before="242"/>
      </w:pPr>
      <w:r>
        <w:rPr>
          <w:u w:val="single"/>
        </w:rPr>
        <w:lastRenderedPageBreak/>
        <w:t>Method</w:t>
      </w:r>
      <w:r>
        <w:rPr>
          <w:spacing w:val="-1"/>
          <w:u w:val="single"/>
        </w:rPr>
        <w:t xml:space="preserve"> </w:t>
      </w:r>
      <w:r>
        <w:rPr>
          <w:u w:val="single"/>
        </w:rPr>
        <w:t>of</w:t>
      </w:r>
      <w:r>
        <w:rPr>
          <w:spacing w:val="-1"/>
          <w:u w:val="single"/>
        </w:rPr>
        <w:t xml:space="preserve"> </w:t>
      </w:r>
      <w:r>
        <w:rPr>
          <w:spacing w:val="-2"/>
          <w:u w:val="single"/>
        </w:rPr>
        <w:t>administration</w:t>
      </w:r>
    </w:p>
    <w:p w14:paraId="2366FED5" w14:textId="77777777" w:rsidR="005303F6" w:rsidRDefault="00EB7C90" w:rsidP="008F14F0">
      <w:pPr>
        <w:pStyle w:val="BodyText"/>
        <w:spacing w:before="245"/>
        <w:ind w:right="736"/>
        <w:jc w:val="left"/>
      </w:pPr>
      <w:r>
        <w:t>TABRECTA should be taken orally twice daily with or without food. The tablets should be swallowed whole and should not be broken, chewed, or crushed.</w:t>
      </w:r>
    </w:p>
    <w:p w14:paraId="2366FED6" w14:textId="77777777" w:rsidR="005303F6" w:rsidRDefault="005303F6" w:rsidP="008F14F0">
      <w:pPr>
        <w:pStyle w:val="BodyText"/>
        <w:ind w:left="0"/>
        <w:jc w:val="left"/>
      </w:pPr>
    </w:p>
    <w:p w14:paraId="2366FED7" w14:textId="77777777" w:rsidR="005303F6" w:rsidRDefault="00EB7C90" w:rsidP="008F14F0">
      <w:pPr>
        <w:pStyle w:val="Heading2"/>
        <w:numPr>
          <w:ilvl w:val="1"/>
          <w:numId w:val="2"/>
        </w:numPr>
        <w:tabs>
          <w:tab w:val="left" w:pos="1024"/>
        </w:tabs>
        <w:spacing w:before="0"/>
      </w:pPr>
      <w:bookmarkStart w:id="7" w:name="4.3_Contraindications"/>
      <w:bookmarkEnd w:id="7"/>
      <w:r>
        <w:rPr>
          <w:smallCaps/>
          <w:spacing w:val="-2"/>
        </w:rPr>
        <w:t>Contraindications</w:t>
      </w:r>
    </w:p>
    <w:p w14:paraId="2366FED8" w14:textId="77777777" w:rsidR="005303F6" w:rsidRDefault="00EB7C90" w:rsidP="008F14F0">
      <w:pPr>
        <w:pStyle w:val="BodyText"/>
        <w:spacing w:before="165"/>
        <w:jc w:val="left"/>
      </w:pPr>
      <w:r>
        <w:t>Hypersensitivity</w:t>
      </w:r>
      <w:r>
        <w:rPr>
          <w:spacing w:val="-3"/>
        </w:rPr>
        <w:t xml:space="preserve"> </w:t>
      </w:r>
      <w:r>
        <w:t>to</w:t>
      </w:r>
      <w:r>
        <w:rPr>
          <w:spacing w:val="-2"/>
        </w:rPr>
        <w:t xml:space="preserve"> </w:t>
      </w:r>
      <w:r>
        <w:t>the</w:t>
      </w:r>
      <w:r>
        <w:rPr>
          <w:spacing w:val="-5"/>
        </w:rPr>
        <w:t xml:space="preserve"> </w:t>
      </w:r>
      <w:r>
        <w:t>active</w:t>
      </w:r>
      <w:r>
        <w:rPr>
          <w:spacing w:val="-3"/>
        </w:rPr>
        <w:t xml:space="preserve"> </w:t>
      </w:r>
      <w:r>
        <w:t>substance</w:t>
      </w:r>
      <w:r>
        <w:rPr>
          <w:spacing w:val="-4"/>
        </w:rPr>
        <w:t xml:space="preserve"> </w:t>
      </w:r>
      <w:r>
        <w:t>or</w:t>
      </w:r>
      <w:r>
        <w:rPr>
          <w:spacing w:val="-4"/>
        </w:rPr>
        <w:t xml:space="preserve"> </w:t>
      </w:r>
      <w:r>
        <w:t>to</w:t>
      </w:r>
      <w:r>
        <w:rPr>
          <w:spacing w:val="-5"/>
        </w:rPr>
        <w:t xml:space="preserve"> </w:t>
      </w:r>
      <w:r>
        <w:t>any</w:t>
      </w:r>
      <w:r>
        <w:rPr>
          <w:spacing w:val="-6"/>
        </w:rPr>
        <w:t xml:space="preserve"> </w:t>
      </w:r>
      <w:r>
        <w:t>of</w:t>
      </w:r>
      <w:r>
        <w:rPr>
          <w:spacing w:val="-3"/>
        </w:rPr>
        <w:t xml:space="preserve"> </w:t>
      </w:r>
      <w:r>
        <w:t>the</w:t>
      </w:r>
      <w:r>
        <w:rPr>
          <w:spacing w:val="-2"/>
        </w:rPr>
        <w:t xml:space="preserve"> </w:t>
      </w:r>
      <w:r>
        <w:t>excipients</w:t>
      </w:r>
      <w:r>
        <w:rPr>
          <w:spacing w:val="-3"/>
        </w:rPr>
        <w:t xml:space="preserve"> </w:t>
      </w:r>
      <w:r>
        <w:t>listed</w:t>
      </w:r>
      <w:r>
        <w:rPr>
          <w:spacing w:val="-1"/>
        </w:rPr>
        <w:t xml:space="preserve"> </w:t>
      </w:r>
      <w:r>
        <w:t>in</w:t>
      </w:r>
      <w:r>
        <w:rPr>
          <w:spacing w:val="-2"/>
        </w:rPr>
        <w:t xml:space="preserve"> </w:t>
      </w:r>
      <w:r>
        <w:t>section</w:t>
      </w:r>
      <w:r>
        <w:rPr>
          <w:spacing w:val="-3"/>
        </w:rPr>
        <w:t xml:space="preserve"> </w:t>
      </w:r>
      <w:r>
        <w:rPr>
          <w:spacing w:val="-4"/>
        </w:rPr>
        <w:t>6.1.</w:t>
      </w:r>
    </w:p>
    <w:p w14:paraId="2366FED9" w14:textId="77777777" w:rsidR="005303F6" w:rsidRDefault="00EB7C90" w:rsidP="008F14F0">
      <w:pPr>
        <w:pStyle w:val="Heading2"/>
        <w:numPr>
          <w:ilvl w:val="1"/>
          <w:numId w:val="2"/>
        </w:numPr>
        <w:tabs>
          <w:tab w:val="left" w:pos="1024"/>
        </w:tabs>
        <w:spacing w:before="246"/>
      </w:pPr>
      <w:bookmarkStart w:id="8" w:name="4.4_Special_warnings_and_precautions_for"/>
      <w:bookmarkEnd w:id="8"/>
      <w:r>
        <w:rPr>
          <w:smallCaps/>
        </w:rPr>
        <w:t>Special</w:t>
      </w:r>
      <w:r>
        <w:rPr>
          <w:smallCaps/>
          <w:spacing w:val="-8"/>
        </w:rPr>
        <w:t xml:space="preserve"> </w:t>
      </w:r>
      <w:r>
        <w:rPr>
          <w:smallCaps/>
        </w:rPr>
        <w:t>warnings</w:t>
      </w:r>
      <w:r>
        <w:rPr>
          <w:smallCaps/>
          <w:spacing w:val="-6"/>
        </w:rPr>
        <w:t xml:space="preserve"> </w:t>
      </w:r>
      <w:r>
        <w:rPr>
          <w:smallCaps/>
        </w:rPr>
        <w:t>and</w:t>
      </w:r>
      <w:r>
        <w:rPr>
          <w:smallCaps/>
          <w:spacing w:val="-8"/>
        </w:rPr>
        <w:t xml:space="preserve"> </w:t>
      </w:r>
      <w:r>
        <w:rPr>
          <w:smallCaps/>
        </w:rPr>
        <w:t>precautions</w:t>
      </w:r>
      <w:r>
        <w:rPr>
          <w:smallCaps/>
          <w:spacing w:val="-8"/>
        </w:rPr>
        <w:t xml:space="preserve"> </w:t>
      </w:r>
      <w:r>
        <w:rPr>
          <w:smallCaps/>
        </w:rPr>
        <w:t>for</w:t>
      </w:r>
      <w:r>
        <w:rPr>
          <w:smallCaps/>
          <w:spacing w:val="-9"/>
        </w:rPr>
        <w:t xml:space="preserve"> </w:t>
      </w:r>
      <w:r>
        <w:rPr>
          <w:smallCaps/>
          <w:spacing w:val="-5"/>
        </w:rPr>
        <w:t>use</w:t>
      </w:r>
    </w:p>
    <w:p w14:paraId="2366FEDA" w14:textId="77777777" w:rsidR="005303F6" w:rsidRDefault="005303F6" w:rsidP="008F14F0">
      <w:pPr>
        <w:pStyle w:val="BodyText"/>
        <w:spacing w:before="38"/>
        <w:ind w:left="0"/>
        <w:jc w:val="left"/>
        <w:rPr>
          <w:rFonts w:ascii="Cambria"/>
          <w:b/>
          <w:sz w:val="21"/>
        </w:rPr>
      </w:pPr>
    </w:p>
    <w:p w14:paraId="2366FEDB" w14:textId="77777777" w:rsidR="005303F6" w:rsidRDefault="00EB7C90" w:rsidP="008F14F0">
      <w:pPr>
        <w:pStyle w:val="Heading3"/>
        <w:spacing w:before="0"/>
      </w:pPr>
      <w:r>
        <w:t>Interstitial</w:t>
      </w:r>
      <w:r>
        <w:rPr>
          <w:spacing w:val="-5"/>
        </w:rPr>
        <w:t xml:space="preserve"> </w:t>
      </w:r>
      <w:r>
        <w:t>lung</w:t>
      </w:r>
      <w:r>
        <w:rPr>
          <w:spacing w:val="-6"/>
        </w:rPr>
        <w:t xml:space="preserve"> </w:t>
      </w:r>
      <w:r>
        <w:t>disease</w:t>
      </w:r>
      <w:r>
        <w:rPr>
          <w:spacing w:val="-4"/>
        </w:rPr>
        <w:t xml:space="preserve"> </w:t>
      </w:r>
      <w:r>
        <w:rPr>
          <w:spacing w:val="-2"/>
        </w:rPr>
        <w:t>(ILD)/pneumonitis</w:t>
      </w:r>
    </w:p>
    <w:p w14:paraId="2366FEDC" w14:textId="77777777" w:rsidR="005303F6" w:rsidRDefault="00EB7C90" w:rsidP="008F14F0">
      <w:pPr>
        <w:pStyle w:val="BodyText"/>
        <w:ind w:right="728"/>
        <w:jc w:val="left"/>
      </w:pPr>
      <w:r>
        <w:t>ILD/pneumonitis, which can be fatal, has occurred in patients treated with TABRECTA (see section 4.8 Adverse effects, undesirable effects). Prompt investigation should be performed in any</w:t>
      </w:r>
      <w:r>
        <w:rPr>
          <w:spacing w:val="-1"/>
        </w:rPr>
        <w:t xml:space="preserve"> </w:t>
      </w:r>
      <w:r>
        <w:t>patient</w:t>
      </w:r>
      <w:r>
        <w:rPr>
          <w:spacing w:val="-2"/>
        </w:rPr>
        <w:t xml:space="preserve"> </w:t>
      </w:r>
      <w:r>
        <w:t>with</w:t>
      </w:r>
      <w:r>
        <w:rPr>
          <w:spacing w:val="-2"/>
        </w:rPr>
        <w:t xml:space="preserve"> </w:t>
      </w:r>
      <w:r>
        <w:t>new</w:t>
      </w:r>
      <w:r>
        <w:rPr>
          <w:spacing w:val="-3"/>
        </w:rPr>
        <w:t xml:space="preserve"> </w:t>
      </w:r>
      <w:r>
        <w:t>or worsening</w:t>
      </w:r>
      <w:r>
        <w:rPr>
          <w:spacing w:val="-3"/>
        </w:rPr>
        <w:t xml:space="preserve"> </w:t>
      </w:r>
      <w:r>
        <w:t>of</w:t>
      </w:r>
      <w:r>
        <w:rPr>
          <w:spacing w:val="-1"/>
        </w:rPr>
        <w:t xml:space="preserve"> </w:t>
      </w:r>
      <w:r>
        <w:t>pulmonary</w:t>
      </w:r>
      <w:r>
        <w:rPr>
          <w:spacing w:val="-1"/>
        </w:rPr>
        <w:t xml:space="preserve"> </w:t>
      </w:r>
      <w:r>
        <w:t>symptoms indicative</w:t>
      </w:r>
      <w:r>
        <w:rPr>
          <w:spacing w:val="-5"/>
        </w:rPr>
        <w:t xml:space="preserve"> </w:t>
      </w:r>
      <w:r>
        <w:t xml:space="preserve">of ILD/pneumonitis (e.g. </w:t>
      </w:r>
      <w:proofErr w:type="spellStart"/>
      <w:r>
        <w:t>dyspnoea</w:t>
      </w:r>
      <w:proofErr w:type="spellEnd"/>
      <w:r>
        <w:t>, cough, fever). TABRECTA should be immediately withheld in patients with suspected ILD/pneumonitis and permanently discontinued if no other potential causes of ILD/pneumonitis are identified (see section 4.2 Dose and method of administration).</w:t>
      </w:r>
    </w:p>
    <w:p w14:paraId="2366FEDD" w14:textId="77777777" w:rsidR="005303F6" w:rsidRDefault="00EB7C90" w:rsidP="008F14F0">
      <w:pPr>
        <w:pStyle w:val="Heading3"/>
        <w:spacing w:before="242"/>
      </w:pPr>
      <w:r>
        <w:t>Hepatic</w:t>
      </w:r>
      <w:r>
        <w:rPr>
          <w:spacing w:val="-2"/>
        </w:rPr>
        <w:t xml:space="preserve"> effects</w:t>
      </w:r>
    </w:p>
    <w:p w14:paraId="2366FEDE" w14:textId="77777777" w:rsidR="005303F6" w:rsidRDefault="00EB7C90" w:rsidP="008F14F0">
      <w:pPr>
        <w:pStyle w:val="BodyText"/>
        <w:ind w:right="726"/>
        <w:jc w:val="left"/>
      </w:pPr>
      <w:r>
        <w:t xml:space="preserve">Transaminase elevations have occurred in patients treated with TABRECTA (see section 4.8 Adverse effects (undesirable </w:t>
      </w:r>
      <w:proofErr w:type="gramStart"/>
      <w:r>
        <w:t>effects))</w:t>
      </w:r>
      <w:proofErr w:type="gramEnd"/>
      <w:r>
        <w:t>. Liver function tests (including ALT, AST, and total bilirubin) should be performed prior to the start of treatment, every 2 weeks during</w:t>
      </w:r>
      <w:r>
        <w:rPr>
          <w:spacing w:val="-1"/>
        </w:rPr>
        <w:t xml:space="preserve"> </w:t>
      </w:r>
      <w:r>
        <w:t>the first 3 months of treatment, then once a month or as clinically indicated, with more frequent testing</w:t>
      </w:r>
      <w:r>
        <w:rPr>
          <w:spacing w:val="-7"/>
        </w:rPr>
        <w:t xml:space="preserve"> </w:t>
      </w:r>
      <w:r>
        <w:t>in</w:t>
      </w:r>
      <w:r>
        <w:rPr>
          <w:spacing w:val="-8"/>
        </w:rPr>
        <w:t xml:space="preserve"> </w:t>
      </w:r>
      <w:r>
        <w:t>patients</w:t>
      </w:r>
      <w:r>
        <w:rPr>
          <w:spacing w:val="-5"/>
        </w:rPr>
        <w:t xml:space="preserve"> </w:t>
      </w:r>
      <w:r>
        <w:t>who</w:t>
      </w:r>
      <w:r>
        <w:rPr>
          <w:spacing w:val="-8"/>
        </w:rPr>
        <w:t xml:space="preserve"> </w:t>
      </w:r>
      <w:r>
        <w:t>develop</w:t>
      </w:r>
      <w:r>
        <w:rPr>
          <w:spacing w:val="-8"/>
        </w:rPr>
        <w:t xml:space="preserve"> </w:t>
      </w:r>
      <w:r>
        <w:t>transaminase</w:t>
      </w:r>
      <w:r>
        <w:rPr>
          <w:spacing w:val="-8"/>
        </w:rPr>
        <w:t xml:space="preserve"> </w:t>
      </w:r>
      <w:r>
        <w:t>or</w:t>
      </w:r>
      <w:r>
        <w:rPr>
          <w:spacing w:val="-8"/>
        </w:rPr>
        <w:t xml:space="preserve"> </w:t>
      </w:r>
      <w:r>
        <w:t>bilirubin</w:t>
      </w:r>
      <w:r>
        <w:rPr>
          <w:spacing w:val="-8"/>
        </w:rPr>
        <w:t xml:space="preserve"> </w:t>
      </w:r>
      <w:r>
        <w:t>elevations.</w:t>
      </w:r>
      <w:r>
        <w:rPr>
          <w:spacing w:val="-7"/>
        </w:rPr>
        <w:t xml:space="preserve"> </w:t>
      </w:r>
      <w:r>
        <w:t>Based</w:t>
      </w:r>
      <w:r>
        <w:rPr>
          <w:spacing w:val="-5"/>
        </w:rPr>
        <w:t xml:space="preserve"> </w:t>
      </w:r>
      <w:r>
        <w:t>on</w:t>
      </w:r>
      <w:r>
        <w:rPr>
          <w:spacing w:val="-7"/>
        </w:rPr>
        <w:t xml:space="preserve"> </w:t>
      </w:r>
      <w:r>
        <w:t>the</w:t>
      </w:r>
      <w:r>
        <w:rPr>
          <w:spacing w:val="-6"/>
        </w:rPr>
        <w:t xml:space="preserve"> </w:t>
      </w:r>
      <w:r>
        <w:t>severity</w:t>
      </w:r>
      <w:r>
        <w:rPr>
          <w:spacing w:val="-7"/>
        </w:rPr>
        <w:t xml:space="preserve"> </w:t>
      </w:r>
      <w:r>
        <w:t>of the adverse drug reaction, temporarily withhold, dose reduce, or permanently discontinue TABRECTA (see section 4.2 Dose and method of administration).</w:t>
      </w:r>
    </w:p>
    <w:p w14:paraId="2366FEDF" w14:textId="77777777" w:rsidR="005303F6" w:rsidRDefault="00EB7C90" w:rsidP="008F14F0">
      <w:pPr>
        <w:pStyle w:val="Heading3"/>
        <w:spacing w:before="119"/>
      </w:pPr>
      <w:r>
        <w:t>Elevations</w:t>
      </w:r>
      <w:r>
        <w:rPr>
          <w:spacing w:val="-4"/>
        </w:rPr>
        <w:t xml:space="preserve"> </w:t>
      </w:r>
      <w:r>
        <w:t>of</w:t>
      </w:r>
      <w:r>
        <w:rPr>
          <w:spacing w:val="-3"/>
        </w:rPr>
        <w:t xml:space="preserve"> </w:t>
      </w:r>
      <w:r>
        <w:t>pancreatic</w:t>
      </w:r>
      <w:r>
        <w:rPr>
          <w:spacing w:val="-3"/>
        </w:rPr>
        <w:t xml:space="preserve"> </w:t>
      </w:r>
      <w:r>
        <w:rPr>
          <w:spacing w:val="-2"/>
        </w:rPr>
        <w:t>enzymes</w:t>
      </w:r>
    </w:p>
    <w:p w14:paraId="2366FEE0" w14:textId="77777777" w:rsidR="005303F6" w:rsidRDefault="00EB7C90" w:rsidP="008F14F0">
      <w:pPr>
        <w:pStyle w:val="BodyText"/>
        <w:spacing w:before="119"/>
        <w:ind w:right="724"/>
        <w:jc w:val="left"/>
      </w:pPr>
      <w:r>
        <w:t>Elevations</w:t>
      </w:r>
      <w:r>
        <w:rPr>
          <w:spacing w:val="-5"/>
        </w:rPr>
        <w:t xml:space="preserve"> </w:t>
      </w:r>
      <w:r>
        <w:t>in</w:t>
      </w:r>
      <w:r>
        <w:rPr>
          <w:spacing w:val="-4"/>
        </w:rPr>
        <w:t xml:space="preserve"> </w:t>
      </w:r>
      <w:r>
        <w:t>amylase</w:t>
      </w:r>
      <w:r>
        <w:rPr>
          <w:spacing w:val="-7"/>
        </w:rPr>
        <w:t xml:space="preserve"> </w:t>
      </w:r>
      <w:r>
        <w:t>and</w:t>
      </w:r>
      <w:r>
        <w:rPr>
          <w:spacing w:val="-4"/>
        </w:rPr>
        <w:t xml:space="preserve"> </w:t>
      </w:r>
      <w:r>
        <w:t>lipase</w:t>
      </w:r>
      <w:r>
        <w:rPr>
          <w:spacing w:val="-4"/>
        </w:rPr>
        <w:t xml:space="preserve"> </w:t>
      </w:r>
      <w:r>
        <w:t>levels</w:t>
      </w:r>
      <w:r>
        <w:rPr>
          <w:spacing w:val="-5"/>
        </w:rPr>
        <w:t xml:space="preserve"> </w:t>
      </w:r>
      <w:r>
        <w:t>have</w:t>
      </w:r>
      <w:r>
        <w:rPr>
          <w:spacing w:val="-5"/>
        </w:rPr>
        <w:t xml:space="preserve"> </w:t>
      </w:r>
      <w:r>
        <w:t>occurred</w:t>
      </w:r>
      <w:r>
        <w:rPr>
          <w:spacing w:val="-6"/>
        </w:rPr>
        <w:t xml:space="preserve"> </w:t>
      </w:r>
      <w:r>
        <w:t>in</w:t>
      </w:r>
      <w:r>
        <w:rPr>
          <w:spacing w:val="-6"/>
        </w:rPr>
        <w:t xml:space="preserve"> </w:t>
      </w:r>
      <w:r>
        <w:t>patients</w:t>
      </w:r>
      <w:r>
        <w:rPr>
          <w:spacing w:val="-8"/>
        </w:rPr>
        <w:t xml:space="preserve"> </w:t>
      </w:r>
      <w:r>
        <w:t>treated</w:t>
      </w:r>
      <w:r>
        <w:rPr>
          <w:spacing w:val="-8"/>
        </w:rPr>
        <w:t xml:space="preserve"> </w:t>
      </w:r>
      <w:r>
        <w:t>with</w:t>
      </w:r>
      <w:r>
        <w:rPr>
          <w:spacing w:val="-4"/>
        </w:rPr>
        <w:t xml:space="preserve"> </w:t>
      </w:r>
      <w:r>
        <w:t>TABRECTA</w:t>
      </w:r>
      <w:r>
        <w:rPr>
          <w:spacing w:val="-4"/>
        </w:rPr>
        <w:t xml:space="preserve"> </w:t>
      </w:r>
      <w:r>
        <w:t>(see section 4.8 Adverse effects (Undesirable effects)). Pancreatitis (Grade 3) occurred in one patient (0.3%). Amylase and lipase should be monitored at baseline and regularly during treatment with TABRECTA. Based on the severity of the adverse drug reaction, temporarily withhold, dose reduce, or permanently discontinue TABRECTA (see section 4.2 Dose and method of administration).</w:t>
      </w:r>
    </w:p>
    <w:p w14:paraId="2366FEE1" w14:textId="77777777" w:rsidR="005303F6" w:rsidRDefault="00EB7C90" w:rsidP="008F14F0">
      <w:pPr>
        <w:pStyle w:val="Heading3"/>
        <w:spacing w:before="242"/>
      </w:pPr>
      <w:r>
        <w:t>Hypersensitivity</w:t>
      </w:r>
      <w:r>
        <w:rPr>
          <w:spacing w:val="-5"/>
        </w:rPr>
        <w:t xml:space="preserve"> </w:t>
      </w:r>
      <w:r>
        <w:rPr>
          <w:spacing w:val="-2"/>
        </w:rPr>
        <w:t>reactions</w:t>
      </w:r>
    </w:p>
    <w:p w14:paraId="2366FEE2" w14:textId="77777777" w:rsidR="005303F6" w:rsidRDefault="00EB7C90" w:rsidP="008F14F0">
      <w:pPr>
        <w:pStyle w:val="BodyText"/>
        <w:ind w:right="726"/>
        <w:jc w:val="left"/>
      </w:pPr>
      <w:r>
        <w:t>No</w:t>
      </w:r>
      <w:r>
        <w:rPr>
          <w:spacing w:val="-14"/>
        </w:rPr>
        <w:t xml:space="preserve"> </w:t>
      </w:r>
      <w:r>
        <w:t>cases</w:t>
      </w:r>
      <w:r>
        <w:rPr>
          <w:spacing w:val="-14"/>
        </w:rPr>
        <w:t xml:space="preserve"> </w:t>
      </w:r>
      <w:r>
        <w:t>of</w:t>
      </w:r>
      <w:r>
        <w:rPr>
          <w:spacing w:val="-13"/>
        </w:rPr>
        <w:t xml:space="preserve"> </w:t>
      </w:r>
      <w:r>
        <w:t>serious</w:t>
      </w:r>
      <w:r>
        <w:rPr>
          <w:spacing w:val="-14"/>
        </w:rPr>
        <w:t xml:space="preserve"> </w:t>
      </w:r>
      <w:r>
        <w:t>hypersensitivity</w:t>
      </w:r>
      <w:r>
        <w:rPr>
          <w:spacing w:val="-13"/>
        </w:rPr>
        <w:t xml:space="preserve"> </w:t>
      </w:r>
      <w:r>
        <w:t>were</w:t>
      </w:r>
      <w:r>
        <w:rPr>
          <w:spacing w:val="-14"/>
        </w:rPr>
        <w:t xml:space="preserve"> </w:t>
      </w:r>
      <w:r>
        <w:t>reported</w:t>
      </w:r>
      <w:r>
        <w:rPr>
          <w:spacing w:val="-13"/>
        </w:rPr>
        <w:t xml:space="preserve"> </w:t>
      </w:r>
      <w:r>
        <w:t>in</w:t>
      </w:r>
      <w:r>
        <w:rPr>
          <w:spacing w:val="-14"/>
        </w:rPr>
        <w:t xml:space="preserve"> </w:t>
      </w:r>
      <w:r>
        <w:t>patients</w:t>
      </w:r>
      <w:r>
        <w:rPr>
          <w:spacing w:val="-14"/>
        </w:rPr>
        <w:t xml:space="preserve"> </w:t>
      </w:r>
      <w:r>
        <w:t>treated</w:t>
      </w:r>
      <w:r>
        <w:rPr>
          <w:spacing w:val="-13"/>
        </w:rPr>
        <w:t xml:space="preserve"> </w:t>
      </w:r>
      <w:r>
        <w:t>with</w:t>
      </w:r>
      <w:r>
        <w:rPr>
          <w:spacing w:val="-14"/>
        </w:rPr>
        <w:t xml:space="preserve"> </w:t>
      </w:r>
      <w:r>
        <w:t>TABRECTA</w:t>
      </w:r>
      <w:r>
        <w:rPr>
          <w:spacing w:val="-13"/>
        </w:rPr>
        <w:t xml:space="preserve"> </w:t>
      </w:r>
      <w:r>
        <w:t>in</w:t>
      </w:r>
      <w:r>
        <w:rPr>
          <w:spacing w:val="-14"/>
        </w:rPr>
        <w:t xml:space="preserve"> </w:t>
      </w:r>
      <w:r>
        <w:t>Study GEOMETRY mono-1. In</w:t>
      </w:r>
      <w:r>
        <w:rPr>
          <w:spacing w:val="-2"/>
        </w:rPr>
        <w:t xml:space="preserve"> </w:t>
      </w:r>
      <w:r>
        <w:t>other</w:t>
      </w:r>
      <w:r>
        <w:rPr>
          <w:spacing w:val="-2"/>
        </w:rPr>
        <w:t xml:space="preserve"> </w:t>
      </w:r>
      <w:r>
        <w:t>clinical studies, cases</w:t>
      </w:r>
      <w:r>
        <w:rPr>
          <w:spacing w:val="-1"/>
        </w:rPr>
        <w:t xml:space="preserve"> </w:t>
      </w:r>
      <w:r>
        <w:t>of</w:t>
      </w:r>
      <w:r>
        <w:rPr>
          <w:spacing w:val="-1"/>
        </w:rPr>
        <w:t xml:space="preserve"> </w:t>
      </w:r>
      <w:r>
        <w:t>serious</w:t>
      </w:r>
      <w:r>
        <w:rPr>
          <w:spacing w:val="-1"/>
        </w:rPr>
        <w:t xml:space="preserve"> </w:t>
      </w:r>
      <w:r>
        <w:t>hypersensitivity</w:t>
      </w:r>
      <w:r>
        <w:rPr>
          <w:spacing w:val="-1"/>
        </w:rPr>
        <w:t xml:space="preserve"> </w:t>
      </w:r>
      <w:r>
        <w:t>were reported in patients treated with TABRECTA (see section 4.8 Adverse effects (Undesirable effects)). Clinical symptoms included pyrexia, chills, pruritus, rash, blood pressure decreased, nausea and vomiting. Based on the severity of the adverse drug reaction, temporarily withhold or permanently discontinue TABRECTA.</w:t>
      </w:r>
    </w:p>
    <w:p w14:paraId="302DD932" w14:textId="77777777" w:rsidR="005303F6" w:rsidRDefault="005303F6" w:rsidP="008F14F0">
      <w:pPr>
        <w:pStyle w:val="BodyText"/>
        <w:jc w:val="left"/>
      </w:pPr>
    </w:p>
    <w:p w14:paraId="2366FEE4" w14:textId="2EA2A0AD" w:rsidR="005303F6" w:rsidRDefault="003F2FE8" w:rsidP="008F14F0">
      <w:pPr>
        <w:pStyle w:val="Heading3"/>
        <w:spacing w:before="41"/>
      </w:pPr>
      <w:r>
        <w:t>e</w:t>
      </w:r>
      <w:r w:rsidR="00EB7C90">
        <w:t>mbryo-</w:t>
      </w:r>
      <w:proofErr w:type="spellStart"/>
      <w:r w:rsidR="00EB7C90">
        <w:t>foetal</w:t>
      </w:r>
      <w:proofErr w:type="spellEnd"/>
      <w:r w:rsidR="00EB7C90">
        <w:rPr>
          <w:spacing w:val="-5"/>
        </w:rPr>
        <w:t xml:space="preserve"> </w:t>
      </w:r>
      <w:r w:rsidR="00EB7C90">
        <w:rPr>
          <w:spacing w:val="-2"/>
        </w:rPr>
        <w:t>toxicity</w:t>
      </w:r>
    </w:p>
    <w:p w14:paraId="2366FEE5" w14:textId="77777777" w:rsidR="005303F6" w:rsidRDefault="00EB7C90" w:rsidP="008F14F0">
      <w:pPr>
        <w:pStyle w:val="BodyText"/>
        <w:ind w:right="725"/>
        <w:jc w:val="left"/>
      </w:pPr>
      <w:r>
        <w:t xml:space="preserve">Based on findings from animal studies and its mechanism of action, TABRECTA can cause </w:t>
      </w:r>
      <w:proofErr w:type="spellStart"/>
      <w:r>
        <w:t>foetal</w:t>
      </w:r>
      <w:proofErr w:type="spellEnd"/>
      <w:r>
        <w:t xml:space="preserve"> harm when administered to a pregnant patient. Oral administration of capmatinib to pregnant rats and rabbits during the period of organogenesis resulted in fetotoxicity and </w:t>
      </w:r>
      <w:r>
        <w:lastRenderedPageBreak/>
        <w:t>teratogenicity.</w:t>
      </w:r>
      <w:r>
        <w:rPr>
          <w:spacing w:val="-7"/>
        </w:rPr>
        <w:t xml:space="preserve"> </w:t>
      </w:r>
      <w:r>
        <w:t>TABRECTA</w:t>
      </w:r>
      <w:r>
        <w:rPr>
          <w:spacing w:val="-7"/>
        </w:rPr>
        <w:t xml:space="preserve"> </w:t>
      </w:r>
      <w:r>
        <w:t>should</w:t>
      </w:r>
      <w:r>
        <w:rPr>
          <w:spacing w:val="-11"/>
        </w:rPr>
        <w:t xml:space="preserve"> </w:t>
      </w:r>
      <w:r>
        <w:t>not</w:t>
      </w:r>
      <w:r>
        <w:rPr>
          <w:spacing w:val="-10"/>
        </w:rPr>
        <w:t xml:space="preserve"> </w:t>
      </w:r>
      <w:r>
        <w:t>be</w:t>
      </w:r>
      <w:r>
        <w:rPr>
          <w:spacing w:val="-9"/>
        </w:rPr>
        <w:t xml:space="preserve"> </w:t>
      </w:r>
      <w:r>
        <w:t>used</w:t>
      </w:r>
      <w:r>
        <w:rPr>
          <w:spacing w:val="-9"/>
        </w:rPr>
        <w:t xml:space="preserve"> </w:t>
      </w:r>
      <w:r>
        <w:t>during</w:t>
      </w:r>
      <w:r>
        <w:rPr>
          <w:spacing w:val="-10"/>
        </w:rPr>
        <w:t xml:space="preserve"> </w:t>
      </w:r>
      <w:r>
        <w:t>pregnancy,</w:t>
      </w:r>
      <w:r>
        <w:rPr>
          <w:spacing w:val="-10"/>
        </w:rPr>
        <w:t xml:space="preserve"> </w:t>
      </w:r>
      <w:r>
        <w:t>unless</w:t>
      </w:r>
      <w:r>
        <w:rPr>
          <w:spacing w:val="-10"/>
        </w:rPr>
        <w:t xml:space="preserve"> </w:t>
      </w:r>
      <w:r>
        <w:t>clearly</w:t>
      </w:r>
      <w:r>
        <w:rPr>
          <w:spacing w:val="-8"/>
        </w:rPr>
        <w:t xml:space="preserve"> </w:t>
      </w:r>
      <w:r>
        <w:t>necessary,</w:t>
      </w:r>
      <w:r>
        <w:rPr>
          <w:spacing w:val="-10"/>
        </w:rPr>
        <w:t xml:space="preserve"> </w:t>
      </w:r>
      <w:r>
        <w:t>and only after careful consideration of both the patient’s need and the risk to</w:t>
      </w:r>
      <w:r>
        <w:rPr>
          <w:spacing w:val="-1"/>
        </w:rPr>
        <w:t xml:space="preserve"> </w:t>
      </w:r>
      <w:r>
        <w:t>the fetus</w:t>
      </w:r>
      <w:r>
        <w:rPr>
          <w:rFonts w:ascii="Times New Roman" w:hAnsi="Times New Roman"/>
        </w:rPr>
        <w:t xml:space="preserve">. </w:t>
      </w:r>
      <w:r>
        <w:t>Patients who</w:t>
      </w:r>
      <w:r>
        <w:rPr>
          <w:spacing w:val="-9"/>
        </w:rPr>
        <w:t xml:space="preserve"> </w:t>
      </w:r>
      <w:r>
        <w:t>are</w:t>
      </w:r>
      <w:r>
        <w:rPr>
          <w:spacing w:val="-9"/>
        </w:rPr>
        <w:t xml:space="preserve"> </w:t>
      </w:r>
      <w:r>
        <w:t>pregnant</w:t>
      </w:r>
      <w:r>
        <w:rPr>
          <w:spacing w:val="-9"/>
        </w:rPr>
        <w:t xml:space="preserve"> </w:t>
      </w:r>
      <w:r>
        <w:t>or</w:t>
      </w:r>
      <w:r>
        <w:rPr>
          <w:spacing w:val="-9"/>
        </w:rPr>
        <w:t xml:space="preserve"> </w:t>
      </w:r>
      <w:r>
        <w:t>could</w:t>
      </w:r>
      <w:r>
        <w:rPr>
          <w:spacing w:val="-9"/>
        </w:rPr>
        <w:t xml:space="preserve"> </w:t>
      </w:r>
      <w:r>
        <w:t>become</w:t>
      </w:r>
      <w:r>
        <w:rPr>
          <w:spacing w:val="-9"/>
        </w:rPr>
        <w:t xml:space="preserve"> </w:t>
      </w:r>
      <w:r>
        <w:t>pregnant</w:t>
      </w:r>
      <w:r>
        <w:rPr>
          <w:spacing w:val="-5"/>
        </w:rPr>
        <w:t xml:space="preserve"> </w:t>
      </w:r>
      <w:r>
        <w:t>should</w:t>
      </w:r>
      <w:r>
        <w:rPr>
          <w:spacing w:val="-9"/>
        </w:rPr>
        <w:t xml:space="preserve"> </w:t>
      </w:r>
      <w:r>
        <w:t>be</w:t>
      </w:r>
      <w:r>
        <w:rPr>
          <w:spacing w:val="-9"/>
        </w:rPr>
        <w:t xml:space="preserve"> </w:t>
      </w:r>
      <w:r>
        <w:t>advised</w:t>
      </w:r>
      <w:r>
        <w:rPr>
          <w:spacing w:val="-11"/>
        </w:rPr>
        <w:t xml:space="preserve"> </w:t>
      </w:r>
      <w:r>
        <w:t>of</w:t>
      </w:r>
      <w:r>
        <w:rPr>
          <w:spacing w:val="-11"/>
        </w:rPr>
        <w:t xml:space="preserve"> </w:t>
      </w:r>
      <w:r>
        <w:t>the</w:t>
      </w:r>
      <w:r>
        <w:rPr>
          <w:spacing w:val="-9"/>
        </w:rPr>
        <w:t xml:space="preserve"> </w:t>
      </w:r>
      <w:r>
        <w:t>potential</w:t>
      </w:r>
      <w:r>
        <w:rPr>
          <w:spacing w:val="-9"/>
        </w:rPr>
        <w:t xml:space="preserve"> </w:t>
      </w:r>
      <w:r>
        <w:t>risk</w:t>
      </w:r>
      <w:r>
        <w:rPr>
          <w:spacing w:val="-11"/>
        </w:rPr>
        <w:t xml:space="preserve"> </w:t>
      </w:r>
      <w:r>
        <w:t>to</w:t>
      </w:r>
      <w:r>
        <w:rPr>
          <w:spacing w:val="-9"/>
        </w:rPr>
        <w:t xml:space="preserve"> </w:t>
      </w:r>
      <w:r>
        <w:t>a</w:t>
      </w:r>
      <w:r>
        <w:rPr>
          <w:spacing w:val="-10"/>
        </w:rPr>
        <w:t xml:space="preserve"> </w:t>
      </w:r>
      <w:r>
        <w:t>fetus if TABRECTA is used during pregnancy or if the patient becomes pregnant while taking TABRECTA.</w:t>
      </w:r>
      <w:r>
        <w:rPr>
          <w:spacing w:val="-9"/>
        </w:rPr>
        <w:t xml:space="preserve"> </w:t>
      </w:r>
      <w:r>
        <w:t>People</w:t>
      </w:r>
      <w:r>
        <w:rPr>
          <w:spacing w:val="-10"/>
        </w:rPr>
        <w:t xml:space="preserve"> </w:t>
      </w:r>
      <w:r>
        <w:t>who</w:t>
      </w:r>
      <w:r>
        <w:rPr>
          <w:spacing w:val="-10"/>
        </w:rPr>
        <w:t xml:space="preserve"> </w:t>
      </w:r>
      <w:r>
        <w:t>could</w:t>
      </w:r>
      <w:r>
        <w:rPr>
          <w:spacing w:val="-10"/>
        </w:rPr>
        <w:t xml:space="preserve"> </w:t>
      </w:r>
      <w:r>
        <w:t>become</w:t>
      </w:r>
      <w:r>
        <w:rPr>
          <w:spacing w:val="-8"/>
        </w:rPr>
        <w:t xml:space="preserve"> </w:t>
      </w:r>
      <w:r>
        <w:t>pregnant</w:t>
      </w:r>
      <w:r>
        <w:rPr>
          <w:spacing w:val="-6"/>
        </w:rPr>
        <w:t xml:space="preserve"> </w:t>
      </w:r>
      <w:r>
        <w:t>should</w:t>
      </w:r>
      <w:r>
        <w:rPr>
          <w:spacing w:val="-10"/>
        </w:rPr>
        <w:t xml:space="preserve"> </w:t>
      </w:r>
      <w:r>
        <w:t>use</w:t>
      </w:r>
      <w:r>
        <w:rPr>
          <w:spacing w:val="-8"/>
        </w:rPr>
        <w:t xml:space="preserve"> </w:t>
      </w:r>
      <w:r>
        <w:t>effective</w:t>
      </w:r>
      <w:r>
        <w:rPr>
          <w:spacing w:val="-8"/>
        </w:rPr>
        <w:t xml:space="preserve"> </w:t>
      </w:r>
      <w:r>
        <w:t>contraception</w:t>
      </w:r>
      <w:r>
        <w:rPr>
          <w:spacing w:val="-3"/>
        </w:rPr>
        <w:t xml:space="preserve"> </w:t>
      </w:r>
      <w:r>
        <w:t>(methods that</w:t>
      </w:r>
      <w:r>
        <w:rPr>
          <w:spacing w:val="-2"/>
        </w:rPr>
        <w:t xml:space="preserve"> </w:t>
      </w:r>
      <w:r>
        <w:t>result</w:t>
      </w:r>
      <w:r>
        <w:rPr>
          <w:spacing w:val="-4"/>
        </w:rPr>
        <w:t xml:space="preserve"> </w:t>
      </w:r>
      <w:r>
        <w:t>in</w:t>
      </w:r>
      <w:r>
        <w:rPr>
          <w:spacing w:val="-4"/>
        </w:rPr>
        <w:t xml:space="preserve"> </w:t>
      </w:r>
      <w:r>
        <w:t>less</w:t>
      </w:r>
      <w:r>
        <w:rPr>
          <w:spacing w:val="-5"/>
        </w:rPr>
        <w:t xml:space="preserve"> </w:t>
      </w:r>
      <w:r>
        <w:t>than</w:t>
      </w:r>
      <w:r>
        <w:rPr>
          <w:spacing w:val="-4"/>
        </w:rPr>
        <w:t xml:space="preserve"> </w:t>
      </w:r>
      <w:r>
        <w:t>1%</w:t>
      </w:r>
      <w:r>
        <w:rPr>
          <w:spacing w:val="-2"/>
        </w:rPr>
        <w:t xml:space="preserve"> </w:t>
      </w:r>
      <w:r>
        <w:t>pregnancy</w:t>
      </w:r>
      <w:r>
        <w:rPr>
          <w:spacing w:val="-3"/>
        </w:rPr>
        <w:t xml:space="preserve"> </w:t>
      </w:r>
      <w:r>
        <w:t>rates) during</w:t>
      </w:r>
      <w:r>
        <w:rPr>
          <w:spacing w:val="-3"/>
        </w:rPr>
        <w:t xml:space="preserve"> </w:t>
      </w:r>
      <w:r>
        <w:t>treatment</w:t>
      </w:r>
      <w:r>
        <w:rPr>
          <w:spacing w:val="-4"/>
        </w:rPr>
        <w:t xml:space="preserve"> </w:t>
      </w:r>
      <w:r>
        <w:t>with</w:t>
      </w:r>
      <w:r>
        <w:rPr>
          <w:spacing w:val="-4"/>
        </w:rPr>
        <w:t xml:space="preserve"> </w:t>
      </w:r>
      <w:r>
        <w:t>TABRECTA</w:t>
      </w:r>
      <w:r>
        <w:rPr>
          <w:spacing w:val="-1"/>
        </w:rPr>
        <w:t xml:space="preserve"> </w:t>
      </w:r>
      <w:r>
        <w:t>and</w:t>
      </w:r>
      <w:r>
        <w:rPr>
          <w:spacing w:val="-4"/>
        </w:rPr>
        <w:t xml:space="preserve"> </w:t>
      </w:r>
      <w:r>
        <w:t>for</w:t>
      </w:r>
      <w:r>
        <w:rPr>
          <w:spacing w:val="-4"/>
        </w:rPr>
        <w:t xml:space="preserve"> </w:t>
      </w:r>
      <w:r>
        <w:t>at</w:t>
      </w:r>
      <w:r>
        <w:rPr>
          <w:spacing w:val="-4"/>
        </w:rPr>
        <w:t xml:space="preserve"> </w:t>
      </w:r>
      <w:r>
        <w:t>least 7 days after the last dose. Male patients with sexual partners who are pregnant, possibly pregnant, or who could become pregnant should use condoms during treatment with TABRECTA and</w:t>
      </w:r>
      <w:r>
        <w:rPr>
          <w:spacing w:val="-1"/>
        </w:rPr>
        <w:t xml:space="preserve"> </w:t>
      </w:r>
      <w:r>
        <w:t>for at least 7 days after the last</w:t>
      </w:r>
      <w:r>
        <w:rPr>
          <w:spacing w:val="-1"/>
        </w:rPr>
        <w:t xml:space="preserve"> </w:t>
      </w:r>
      <w:r>
        <w:t xml:space="preserve">dose (see section 4.6 Fertility, pregnancy and </w:t>
      </w:r>
      <w:r>
        <w:rPr>
          <w:spacing w:val="-2"/>
        </w:rPr>
        <w:t>lactation).</w:t>
      </w:r>
    </w:p>
    <w:p w14:paraId="2366FEE6" w14:textId="77777777" w:rsidR="005303F6" w:rsidRDefault="00EB7C90" w:rsidP="008F14F0">
      <w:pPr>
        <w:pStyle w:val="Heading3"/>
      </w:pPr>
      <w:r>
        <w:t>Risk</w:t>
      </w:r>
      <w:r>
        <w:rPr>
          <w:spacing w:val="-1"/>
        </w:rPr>
        <w:t xml:space="preserve"> </w:t>
      </w:r>
      <w:r>
        <w:t>of</w:t>
      </w:r>
      <w:r>
        <w:rPr>
          <w:spacing w:val="-2"/>
        </w:rPr>
        <w:t xml:space="preserve"> photosensitivity</w:t>
      </w:r>
    </w:p>
    <w:p w14:paraId="2366FEE7" w14:textId="77777777" w:rsidR="005303F6" w:rsidRDefault="00EB7C90" w:rsidP="008F14F0">
      <w:pPr>
        <w:pStyle w:val="BodyText"/>
        <w:ind w:right="726"/>
        <w:jc w:val="left"/>
      </w:pPr>
      <w:r>
        <w:t>Based on findings from animal studies, there is a potential risk of photosensitivity reactions with TABRECTA (see section 5.3, Preclinical safety data). In GEOMETRY mono-1, it was recommended</w:t>
      </w:r>
      <w:r>
        <w:rPr>
          <w:spacing w:val="-11"/>
        </w:rPr>
        <w:t xml:space="preserve"> </w:t>
      </w:r>
      <w:r>
        <w:t>that</w:t>
      </w:r>
      <w:r>
        <w:rPr>
          <w:spacing w:val="-9"/>
        </w:rPr>
        <w:t xml:space="preserve"> </w:t>
      </w:r>
      <w:r>
        <w:t>patients</w:t>
      </w:r>
      <w:r>
        <w:rPr>
          <w:spacing w:val="-10"/>
        </w:rPr>
        <w:t xml:space="preserve"> </w:t>
      </w:r>
      <w:r>
        <w:t>use</w:t>
      </w:r>
      <w:r>
        <w:rPr>
          <w:spacing w:val="-9"/>
        </w:rPr>
        <w:t xml:space="preserve"> </w:t>
      </w:r>
      <w:r>
        <w:t>precautionary</w:t>
      </w:r>
      <w:r>
        <w:rPr>
          <w:spacing w:val="-10"/>
        </w:rPr>
        <w:t xml:space="preserve"> </w:t>
      </w:r>
      <w:r>
        <w:t>measures</w:t>
      </w:r>
      <w:r>
        <w:rPr>
          <w:spacing w:val="-10"/>
        </w:rPr>
        <w:t xml:space="preserve"> </w:t>
      </w:r>
      <w:r>
        <w:t>against</w:t>
      </w:r>
      <w:r>
        <w:rPr>
          <w:spacing w:val="-9"/>
        </w:rPr>
        <w:t xml:space="preserve"> </w:t>
      </w:r>
      <w:r>
        <w:t>ultraviolet</w:t>
      </w:r>
      <w:r>
        <w:rPr>
          <w:spacing w:val="-8"/>
        </w:rPr>
        <w:t xml:space="preserve"> </w:t>
      </w:r>
      <w:r>
        <w:t>exposure</w:t>
      </w:r>
      <w:r>
        <w:rPr>
          <w:spacing w:val="-7"/>
        </w:rPr>
        <w:t xml:space="preserve"> </w:t>
      </w:r>
      <w:r>
        <w:t>such</w:t>
      </w:r>
      <w:r>
        <w:rPr>
          <w:spacing w:val="-9"/>
        </w:rPr>
        <w:t xml:space="preserve"> </w:t>
      </w:r>
      <w:r>
        <w:t>as the</w:t>
      </w:r>
      <w:r>
        <w:rPr>
          <w:spacing w:val="-8"/>
        </w:rPr>
        <w:t xml:space="preserve"> </w:t>
      </w:r>
      <w:r>
        <w:t>use</w:t>
      </w:r>
      <w:r>
        <w:rPr>
          <w:spacing w:val="-8"/>
        </w:rPr>
        <w:t xml:space="preserve"> </w:t>
      </w:r>
      <w:r>
        <w:t>of</w:t>
      </w:r>
      <w:r>
        <w:rPr>
          <w:spacing w:val="-5"/>
        </w:rPr>
        <w:t xml:space="preserve"> </w:t>
      </w:r>
      <w:r>
        <w:t>sunscreen</w:t>
      </w:r>
      <w:r>
        <w:rPr>
          <w:spacing w:val="-7"/>
        </w:rPr>
        <w:t xml:space="preserve"> </w:t>
      </w:r>
      <w:r>
        <w:t>or</w:t>
      </w:r>
      <w:r>
        <w:rPr>
          <w:spacing w:val="-8"/>
        </w:rPr>
        <w:t xml:space="preserve"> </w:t>
      </w:r>
      <w:r>
        <w:t>protective</w:t>
      </w:r>
      <w:r>
        <w:rPr>
          <w:spacing w:val="-9"/>
        </w:rPr>
        <w:t xml:space="preserve"> </w:t>
      </w:r>
      <w:r>
        <w:t>clothing</w:t>
      </w:r>
      <w:r>
        <w:rPr>
          <w:spacing w:val="-9"/>
        </w:rPr>
        <w:t xml:space="preserve"> </w:t>
      </w:r>
      <w:r>
        <w:t>during</w:t>
      </w:r>
      <w:r>
        <w:rPr>
          <w:spacing w:val="-11"/>
        </w:rPr>
        <w:t xml:space="preserve"> </w:t>
      </w:r>
      <w:r>
        <w:t>treatment</w:t>
      </w:r>
      <w:r>
        <w:rPr>
          <w:spacing w:val="-8"/>
        </w:rPr>
        <w:t xml:space="preserve"> </w:t>
      </w:r>
      <w:r>
        <w:t>with</w:t>
      </w:r>
      <w:r>
        <w:rPr>
          <w:spacing w:val="-8"/>
        </w:rPr>
        <w:t xml:space="preserve"> </w:t>
      </w:r>
      <w:r>
        <w:t>TABRECTA.</w:t>
      </w:r>
      <w:r>
        <w:rPr>
          <w:spacing w:val="-7"/>
        </w:rPr>
        <w:t xml:space="preserve"> </w:t>
      </w:r>
      <w:r>
        <w:t>Patients</w:t>
      </w:r>
      <w:r>
        <w:rPr>
          <w:spacing w:val="-7"/>
        </w:rPr>
        <w:t xml:space="preserve"> </w:t>
      </w:r>
      <w:r>
        <w:t>should be advised to limit direct ultraviolet exposure during treatment with TABRECTA.</w:t>
      </w:r>
    </w:p>
    <w:p w14:paraId="2366FEE8" w14:textId="77777777" w:rsidR="005303F6" w:rsidRDefault="005303F6" w:rsidP="008F14F0">
      <w:pPr>
        <w:pStyle w:val="BodyText"/>
        <w:ind w:left="0"/>
        <w:jc w:val="left"/>
      </w:pPr>
    </w:p>
    <w:p w14:paraId="2366FEE9" w14:textId="77777777" w:rsidR="005303F6" w:rsidRDefault="00EB7C90" w:rsidP="008F14F0">
      <w:pPr>
        <w:pStyle w:val="Heading2"/>
        <w:spacing w:before="0"/>
        <w:ind w:firstLine="0"/>
      </w:pPr>
      <w:bookmarkStart w:id="9" w:name="Use_in_hepatic_impairment"/>
      <w:bookmarkEnd w:id="9"/>
      <w:r>
        <w:t>Use</w:t>
      </w:r>
      <w:r>
        <w:rPr>
          <w:spacing w:val="-6"/>
        </w:rPr>
        <w:t xml:space="preserve"> </w:t>
      </w:r>
      <w:r>
        <w:t>in</w:t>
      </w:r>
      <w:r>
        <w:rPr>
          <w:spacing w:val="-6"/>
        </w:rPr>
        <w:t xml:space="preserve"> </w:t>
      </w:r>
      <w:r>
        <w:t>hepatic</w:t>
      </w:r>
      <w:r>
        <w:rPr>
          <w:spacing w:val="-5"/>
        </w:rPr>
        <w:t xml:space="preserve"> </w:t>
      </w:r>
      <w:r>
        <w:rPr>
          <w:spacing w:val="-2"/>
        </w:rPr>
        <w:t>impairment</w:t>
      </w:r>
    </w:p>
    <w:p w14:paraId="2366FEEA" w14:textId="77777777" w:rsidR="005303F6" w:rsidRDefault="00EB7C90" w:rsidP="008F14F0">
      <w:pPr>
        <w:pStyle w:val="BodyText"/>
        <w:spacing w:before="167" w:line="276" w:lineRule="auto"/>
        <w:ind w:right="728"/>
        <w:jc w:val="left"/>
      </w:pPr>
      <w:r>
        <w:t>See section 4.2, Dose and method of administration and section 5.2, Pharmacokinetic properties, special populations.</w:t>
      </w:r>
    </w:p>
    <w:p w14:paraId="2366FEEB" w14:textId="77777777" w:rsidR="005303F6" w:rsidRDefault="00EB7C90" w:rsidP="008F14F0">
      <w:pPr>
        <w:pStyle w:val="Heading2"/>
        <w:spacing w:before="200"/>
        <w:ind w:firstLine="0"/>
      </w:pPr>
      <w:bookmarkStart w:id="10" w:name="Use_in_renal_impairment"/>
      <w:bookmarkEnd w:id="10"/>
      <w:r>
        <w:t>Use</w:t>
      </w:r>
      <w:r>
        <w:rPr>
          <w:spacing w:val="-6"/>
        </w:rPr>
        <w:t xml:space="preserve"> </w:t>
      </w:r>
      <w:r>
        <w:t>in</w:t>
      </w:r>
      <w:r>
        <w:rPr>
          <w:spacing w:val="-6"/>
        </w:rPr>
        <w:t xml:space="preserve"> </w:t>
      </w:r>
      <w:r>
        <w:t>renal</w:t>
      </w:r>
      <w:r>
        <w:rPr>
          <w:spacing w:val="-6"/>
        </w:rPr>
        <w:t xml:space="preserve"> </w:t>
      </w:r>
      <w:r>
        <w:rPr>
          <w:spacing w:val="-2"/>
        </w:rPr>
        <w:t>impairment</w:t>
      </w:r>
    </w:p>
    <w:p w14:paraId="2366FEEC" w14:textId="77777777" w:rsidR="005303F6" w:rsidRDefault="00EB7C90" w:rsidP="008F14F0">
      <w:pPr>
        <w:pStyle w:val="BodyText"/>
        <w:spacing w:before="165" w:line="276" w:lineRule="auto"/>
        <w:ind w:right="736"/>
        <w:jc w:val="left"/>
      </w:pPr>
      <w:r>
        <w:t>See section 4.2, Dose and method of administration and section 5.2, Pharmacokinetic properties, special populations.</w:t>
      </w:r>
    </w:p>
    <w:p w14:paraId="2366FEED" w14:textId="77777777" w:rsidR="005303F6" w:rsidRDefault="00EB7C90" w:rsidP="008F14F0">
      <w:pPr>
        <w:pStyle w:val="Heading2"/>
        <w:ind w:firstLine="0"/>
      </w:pPr>
      <w:bookmarkStart w:id="11" w:name="Use_in_the_elderly"/>
      <w:bookmarkEnd w:id="11"/>
      <w:r>
        <w:t>Use</w:t>
      </w:r>
      <w:r>
        <w:rPr>
          <w:spacing w:val="-5"/>
        </w:rPr>
        <w:t xml:space="preserve"> </w:t>
      </w:r>
      <w:r>
        <w:t>in</w:t>
      </w:r>
      <w:r>
        <w:rPr>
          <w:spacing w:val="-5"/>
        </w:rPr>
        <w:t xml:space="preserve"> </w:t>
      </w:r>
      <w:r>
        <w:t>the</w:t>
      </w:r>
      <w:r>
        <w:rPr>
          <w:spacing w:val="-3"/>
        </w:rPr>
        <w:t xml:space="preserve"> </w:t>
      </w:r>
      <w:r>
        <w:rPr>
          <w:spacing w:val="-2"/>
        </w:rPr>
        <w:t>elderly</w:t>
      </w:r>
    </w:p>
    <w:p w14:paraId="2366FEEE" w14:textId="77777777" w:rsidR="005303F6" w:rsidRDefault="00EB7C90" w:rsidP="008F14F0">
      <w:pPr>
        <w:pStyle w:val="BodyText"/>
        <w:spacing w:before="165" w:line="276" w:lineRule="auto"/>
        <w:ind w:right="728"/>
        <w:jc w:val="left"/>
      </w:pPr>
      <w:r>
        <w:t>See section 4.2, Dose and method of administration and section 5.2, Pharmacokinetic properties, special populations.</w:t>
      </w:r>
    </w:p>
    <w:p w14:paraId="2366FEEF" w14:textId="77777777" w:rsidR="005303F6" w:rsidRDefault="00EB7C90" w:rsidP="008F14F0">
      <w:pPr>
        <w:pStyle w:val="Heading2"/>
        <w:ind w:firstLine="0"/>
      </w:pPr>
      <w:bookmarkStart w:id="12" w:name="Paediatric_use"/>
      <w:bookmarkEnd w:id="12"/>
      <w:proofErr w:type="spellStart"/>
      <w:r>
        <w:t>Paediatric</w:t>
      </w:r>
      <w:proofErr w:type="spellEnd"/>
      <w:r>
        <w:rPr>
          <w:spacing w:val="-13"/>
        </w:rPr>
        <w:t xml:space="preserve"> </w:t>
      </w:r>
      <w:r>
        <w:rPr>
          <w:spacing w:val="-5"/>
        </w:rPr>
        <w:t>use</w:t>
      </w:r>
    </w:p>
    <w:p w14:paraId="2366FEF0" w14:textId="77777777" w:rsidR="005303F6" w:rsidRDefault="00EB7C90" w:rsidP="008F14F0">
      <w:pPr>
        <w:pStyle w:val="BodyText"/>
        <w:spacing w:before="165"/>
        <w:jc w:val="left"/>
      </w:pPr>
      <w:r>
        <w:t>The</w:t>
      </w:r>
      <w:r>
        <w:rPr>
          <w:spacing w:val="-4"/>
        </w:rPr>
        <w:t xml:space="preserve"> </w:t>
      </w:r>
      <w:r>
        <w:t>safety</w:t>
      </w:r>
      <w:r>
        <w:rPr>
          <w:spacing w:val="-3"/>
        </w:rPr>
        <w:t xml:space="preserve"> </w:t>
      </w:r>
      <w:r>
        <w:t>and</w:t>
      </w:r>
      <w:r>
        <w:rPr>
          <w:spacing w:val="-2"/>
        </w:rPr>
        <w:t xml:space="preserve"> </w:t>
      </w:r>
      <w:r>
        <w:t>efficacy</w:t>
      </w:r>
      <w:r>
        <w:rPr>
          <w:spacing w:val="-3"/>
        </w:rPr>
        <w:t xml:space="preserve"> </w:t>
      </w:r>
      <w:r>
        <w:t>of</w:t>
      </w:r>
      <w:r>
        <w:rPr>
          <w:spacing w:val="-2"/>
        </w:rPr>
        <w:t xml:space="preserve"> </w:t>
      </w:r>
      <w:r>
        <w:t>TABRECTA</w:t>
      </w:r>
      <w:r>
        <w:rPr>
          <w:spacing w:val="-2"/>
        </w:rPr>
        <w:t xml:space="preserve"> </w:t>
      </w:r>
      <w:r>
        <w:t>in</w:t>
      </w:r>
      <w:r>
        <w:rPr>
          <w:spacing w:val="-3"/>
        </w:rPr>
        <w:t xml:space="preserve"> </w:t>
      </w:r>
      <w:proofErr w:type="spellStart"/>
      <w:r>
        <w:t>paediatric</w:t>
      </w:r>
      <w:proofErr w:type="spellEnd"/>
      <w:r>
        <w:rPr>
          <w:spacing w:val="-6"/>
        </w:rPr>
        <w:t xml:space="preserve"> </w:t>
      </w:r>
      <w:r>
        <w:t>patients</w:t>
      </w:r>
      <w:r>
        <w:rPr>
          <w:spacing w:val="-2"/>
        </w:rPr>
        <w:t xml:space="preserve"> </w:t>
      </w:r>
      <w:proofErr w:type="gramStart"/>
      <w:r>
        <w:t>have</w:t>
      </w:r>
      <w:proofErr w:type="gramEnd"/>
      <w:r>
        <w:rPr>
          <w:spacing w:val="-2"/>
        </w:rPr>
        <w:t xml:space="preserve"> </w:t>
      </w:r>
      <w:r>
        <w:t>not</w:t>
      </w:r>
      <w:r>
        <w:rPr>
          <w:spacing w:val="-3"/>
        </w:rPr>
        <w:t xml:space="preserve"> </w:t>
      </w:r>
      <w:r>
        <w:t>been</w:t>
      </w:r>
      <w:r>
        <w:rPr>
          <w:spacing w:val="-3"/>
        </w:rPr>
        <w:t xml:space="preserve"> </w:t>
      </w:r>
      <w:r>
        <w:rPr>
          <w:spacing w:val="-2"/>
        </w:rPr>
        <w:t>established.</w:t>
      </w:r>
    </w:p>
    <w:p w14:paraId="2366FEF1" w14:textId="77777777" w:rsidR="005303F6" w:rsidRDefault="00EB7C90" w:rsidP="008F14F0">
      <w:pPr>
        <w:pStyle w:val="Heading2"/>
        <w:spacing w:before="245"/>
        <w:ind w:firstLine="0"/>
      </w:pPr>
      <w:bookmarkStart w:id="13" w:name="Effects_on_laboratory_tests"/>
      <w:bookmarkEnd w:id="13"/>
      <w:r>
        <w:t>Effects</w:t>
      </w:r>
      <w:r>
        <w:rPr>
          <w:spacing w:val="-11"/>
        </w:rPr>
        <w:t xml:space="preserve"> </w:t>
      </w:r>
      <w:r>
        <w:t>on</w:t>
      </w:r>
      <w:r>
        <w:rPr>
          <w:spacing w:val="-10"/>
        </w:rPr>
        <w:t xml:space="preserve"> </w:t>
      </w:r>
      <w:r>
        <w:t>laboratory</w:t>
      </w:r>
      <w:r>
        <w:rPr>
          <w:spacing w:val="-11"/>
        </w:rPr>
        <w:t xml:space="preserve"> </w:t>
      </w:r>
      <w:r>
        <w:rPr>
          <w:spacing w:val="-4"/>
        </w:rPr>
        <w:t>tests</w:t>
      </w:r>
    </w:p>
    <w:p w14:paraId="2366FEF2" w14:textId="77777777" w:rsidR="005303F6" w:rsidRDefault="00EB7C90" w:rsidP="008F14F0">
      <w:pPr>
        <w:pStyle w:val="BodyText"/>
        <w:spacing w:before="165"/>
        <w:jc w:val="left"/>
      </w:pPr>
      <w:r>
        <w:t>See</w:t>
      </w:r>
      <w:r>
        <w:rPr>
          <w:spacing w:val="-4"/>
        </w:rPr>
        <w:t xml:space="preserve"> </w:t>
      </w:r>
      <w:r>
        <w:t>Section</w:t>
      </w:r>
      <w:r>
        <w:rPr>
          <w:spacing w:val="-3"/>
        </w:rPr>
        <w:t xml:space="preserve"> </w:t>
      </w:r>
      <w:r>
        <w:t>4.8</w:t>
      </w:r>
      <w:r>
        <w:rPr>
          <w:spacing w:val="-2"/>
        </w:rPr>
        <w:t xml:space="preserve"> </w:t>
      </w:r>
      <w:r>
        <w:t>adverse</w:t>
      </w:r>
      <w:r>
        <w:rPr>
          <w:spacing w:val="-6"/>
        </w:rPr>
        <w:t xml:space="preserve"> </w:t>
      </w:r>
      <w:r>
        <w:t>effects,</w:t>
      </w:r>
      <w:r>
        <w:rPr>
          <w:spacing w:val="-2"/>
        </w:rPr>
        <w:t xml:space="preserve"> </w:t>
      </w:r>
      <w:r>
        <w:t>undesirable</w:t>
      </w:r>
      <w:r>
        <w:rPr>
          <w:spacing w:val="-4"/>
        </w:rPr>
        <w:t xml:space="preserve"> </w:t>
      </w:r>
      <w:r>
        <w:rPr>
          <w:spacing w:val="-2"/>
        </w:rPr>
        <w:t>effects.</w:t>
      </w:r>
    </w:p>
    <w:p w14:paraId="46E10613" w14:textId="77777777" w:rsidR="005303F6" w:rsidRDefault="005303F6" w:rsidP="008F14F0">
      <w:pPr>
        <w:pStyle w:val="BodyText"/>
        <w:jc w:val="left"/>
      </w:pPr>
    </w:p>
    <w:p w14:paraId="2366FEF4" w14:textId="77777777" w:rsidR="005303F6" w:rsidRDefault="00EB7C90" w:rsidP="008F14F0">
      <w:pPr>
        <w:pStyle w:val="Heading2"/>
        <w:numPr>
          <w:ilvl w:val="1"/>
          <w:numId w:val="2"/>
        </w:numPr>
        <w:tabs>
          <w:tab w:val="left" w:pos="1024"/>
        </w:tabs>
        <w:spacing w:before="82"/>
      </w:pPr>
      <w:bookmarkStart w:id="14" w:name="4.5_Interactions_with_other_medicines_an"/>
      <w:bookmarkEnd w:id="14"/>
      <w:r>
        <w:rPr>
          <w:smallCaps/>
        </w:rPr>
        <w:t>Interactions</w:t>
      </w:r>
      <w:r>
        <w:rPr>
          <w:smallCaps/>
          <w:spacing w:val="-9"/>
        </w:rPr>
        <w:t xml:space="preserve"> </w:t>
      </w:r>
      <w:r>
        <w:rPr>
          <w:smallCaps/>
        </w:rPr>
        <w:t>with</w:t>
      </w:r>
      <w:r>
        <w:rPr>
          <w:smallCaps/>
          <w:spacing w:val="-5"/>
        </w:rPr>
        <w:t xml:space="preserve"> </w:t>
      </w:r>
      <w:r>
        <w:rPr>
          <w:smallCaps/>
        </w:rPr>
        <w:t>other</w:t>
      </w:r>
      <w:r>
        <w:rPr>
          <w:smallCaps/>
          <w:spacing w:val="-9"/>
        </w:rPr>
        <w:t xml:space="preserve"> </w:t>
      </w:r>
      <w:r>
        <w:rPr>
          <w:smallCaps/>
        </w:rPr>
        <w:t>medicines</w:t>
      </w:r>
      <w:r>
        <w:rPr>
          <w:smallCaps/>
          <w:spacing w:val="-6"/>
        </w:rPr>
        <w:t xml:space="preserve"> </w:t>
      </w:r>
      <w:r>
        <w:rPr>
          <w:smallCaps/>
        </w:rPr>
        <w:t>and</w:t>
      </w:r>
      <w:r>
        <w:rPr>
          <w:smallCaps/>
          <w:spacing w:val="-5"/>
        </w:rPr>
        <w:t xml:space="preserve"> </w:t>
      </w:r>
      <w:r>
        <w:rPr>
          <w:smallCaps/>
        </w:rPr>
        <w:t>other</w:t>
      </w:r>
      <w:r>
        <w:rPr>
          <w:smallCaps/>
          <w:spacing w:val="-8"/>
        </w:rPr>
        <w:t xml:space="preserve"> </w:t>
      </w:r>
      <w:r>
        <w:rPr>
          <w:smallCaps/>
        </w:rPr>
        <w:t>forms</w:t>
      </w:r>
      <w:r>
        <w:rPr>
          <w:smallCaps/>
          <w:spacing w:val="-7"/>
        </w:rPr>
        <w:t xml:space="preserve"> </w:t>
      </w:r>
      <w:r>
        <w:rPr>
          <w:smallCaps/>
        </w:rPr>
        <w:t>of</w:t>
      </w:r>
      <w:r>
        <w:rPr>
          <w:smallCaps/>
          <w:spacing w:val="-5"/>
        </w:rPr>
        <w:t xml:space="preserve"> </w:t>
      </w:r>
      <w:r>
        <w:rPr>
          <w:smallCaps/>
          <w:spacing w:val="-2"/>
        </w:rPr>
        <w:t>interactions</w:t>
      </w:r>
    </w:p>
    <w:p w14:paraId="2366FEF5" w14:textId="77777777" w:rsidR="005303F6" w:rsidRDefault="005303F6" w:rsidP="008F14F0">
      <w:pPr>
        <w:pStyle w:val="BodyText"/>
        <w:spacing w:before="38"/>
        <w:ind w:left="0"/>
        <w:jc w:val="left"/>
        <w:rPr>
          <w:rFonts w:ascii="Cambria"/>
          <w:b/>
          <w:sz w:val="21"/>
        </w:rPr>
      </w:pPr>
    </w:p>
    <w:p w14:paraId="2366FEF6" w14:textId="77777777" w:rsidR="005303F6" w:rsidRDefault="00EB7C90" w:rsidP="008F14F0">
      <w:pPr>
        <w:pStyle w:val="Heading3"/>
        <w:spacing w:before="1"/>
      </w:pPr>
      <w:r>
        <w:rPr>
          <w:u w:val="single"/>
        </w:rPr>
        <w:t>Effect</w:t>
      </w:r>
      <w:r>
        <w:rPr>
          <w:spacing w:val="-3"/>
          <w:u w:val="single"/>
        </w:rPr>
        <w:t xml:space="preserve"> </w:t>
      </w:r>
      <w:r>
        <w:rPr>
          <w:u w:val="single"/>
        </w:rPr>
        <w:t>of</w:t>
      </w:r>
      <w:r>
        <w:rPr>
          <w:spacing w:val="-2"/>
          <w:u w:val="single"/>
        </w:rPr>
        <w:t xml:space="preserve"> </w:t>
      </w:r>
      <w:r>
        <w:rPr>
          <w:u w:val="single"/>
        </w:rPr>
        <w:t>other</w:t>
      </w:r>
      <w:r>
        <w:rPr>
          <w:spacing w:val="-3"/>
          <w:u w:val="single"/>
        </w:rPr>
        <w:t xml:space="preserve"> </w:t>
      </w:r>
      <w:r>
        <w:rPr>
          <w:u w:val="single"/>
        </w:rPr>
        <w:t>medicinal</w:t>
      </w:r>
      <w:r>
        <w:rPr>
          <w:spacing w:val="-1"/>
          <w:u w:val="single"/>
        </w:rPr>
        <w:t xml:space="preserve"> </w:t>
      </w:r>
      <w:r>
        <w:rPr>
          <w:u w:val="single"/>
        </w:rPr>
        <w:t>products</w:t>
      </w:r>
      <w:r>
        <w:rPr>
          <w:spacing w:val="-3"/>
          <w:u w:val="single"/>
        </w:rPr>
        <w:t xml:space="preserve"> </w:t>
      </w:r>
      <w:r>
        <w:rPr>
          <w:u w:val="single"/>
        </w:rPr>
        <w:t>on</w:t>
      </w:r>
      <w:r>
        <w:rPr>
          <w:spacing w:val="-2"/>
          <w:u w:val="single"/>
        </w:rPr>
        <w:t xml:space="preserve"> TABRECTA</w:t>
      </w:r>
    </w:p>
    <w:p w14:paraId="2366FEF7" w14:textId="77777777" w:rsidR="005303F6" w:rsidRDefault="00EB7C90" w:rsidP="008F14F0">
      <w:pPr>
        <w:pStyle w:val="Heading4"/>
        <w:jc w:val="left"/>
      </w:pPr>
      <w:r>
        <w:t>Strong</w:t>
      </w:r>
      <w:r>
        <w:rPr>
          <w:spacing w:val="-2"/>
        </w:rPr>
        <w:t xml:space="preserve"> </w:t>
      </w:r>
      <w:r>
        <w:t>CYP3A</w:t>
      </w:r>
      <w:r>
        <w:rPr>
          <w:spacing w:val="-2"/>
        </w:rPr>
        <w:t xml:space="preserve"> inhibitors</w:t>
      </w:r>
    </w:p>
    <w:p w14:paraId="2366FEF8" w14:textId="77777777" w:rsidR="005303F6" w:rsidRDefault="00EB7C90" w:rsidP="008F14F0">
      <w:pPr>
        <w:pStyle w:val="BodyText"/>
        <w:ind w:right="727"/>
        <w:jc w:val="left"/>
      </w:pPr>
      <w:r>
        <w:t>In healthy subjects, coadministration of a single 200 mg capmatinib dose with the strong CYP3A</w:t>
      </w:r>
      <w:r>
        <w:rPr>
          <w:spacing w:val="-2"/>
        </w:rPr>
        <w:t xml:space="preserve"> </w:t>
      </w:r>
      <w:r>
        <w:t>inhibitor</w:t>
      </w:r>
      <w:r>
        <w:rPr>
          <w:spacing w:val="-2"/>
        </w:rPr>
        <w:t xml:space="preserve"> </w:t>
      </w:r>
      <w:r>
        <w:t>itraconazole</w:t>
      </w:r>
      <w:r>
        <w:rPr>
          <w:spacing w:val="-4"/>
        </w:rPr>
        <w:t xml:space="preserve"> </w:t>
      </w:r>
      <w:r>
        <w:t>(200 mg</w:t>
      </w:r>
      <w:r>
        <w:rPr>
          <w:spacing w:val="-3"/>
        </w:rPr>
        <w:t xml:space="preserve"> </w:t>
      </w:r>
      <w:r>
        <w:t>once</w:t>
      </w:r>
      <w:r>
        <w:rPr>
          <w:spacing w:val="-4"/>
        </w:rPr>
        <w:t xml:space="preserve"> </w:t>
      </w:r>
      <w:r>
        <w:t>daily</w:t>
      </w:r>
      <w:r>
        <w:rPr>
          <w:spacing w:val="-5"/>
        </w:rPr>
        <w:t xml:space="preserve"> </w:t>
      </w:r>
      <w:r>
        <w:t>for</w:t>
      </w:r>
      <w:r>
        <w:rPr>
          <w:spacing w:val="-2"/>
        </w:rPr>
        <w:t xml:space="preserve"> </w:t>
      </w:r>
      <w:r>
        <w:t>10</w:t>
      </w:r>
      <w:r>
        <w:rPr>
          <w:spacing w:val="-2"/>
        </w:rPr>
        <w:t xml:space="preserve"> </w:t>
      </w:r>
      <w:r>
        <w:t>days)</w:t>
      </w:r>
      <w:r>
        <w:rPr>
          <w:spacing w:val="-4"/>
        </w:rPr>
        <w:t xml:space="preserve"> </w:t>
      </w:r>
      <w:r>
        <w:t>increased</w:t>
      </w:r>
      <w:r>
        <w:rPr>
          <w:spacing w:val="-2"/>
        </w:rPr>
        <w:t xml:space="preserve"> </w:t>
      </w:r>
      <w:r>
        <w:t>capmatinib</w:t>
      </w:r>
      <w:r>
        <w:rPr>
          <w:spacing w:val="-4"/>
        </w:rPr>
        <w:t xml:space="preserve"> </w:t>
      </w:r>
      <w:r>
        <w:t>AUCinf</w:t>
      </w:r>
      <w:r>
        <w:rPr>
          <w:spacing w:val="-4"/>
        </w:rPr>
        <w:t xml:space="preserve"> </w:t>
      </w:r>
      <w:r>
        <w:t xml:space="preserve">by 42% with no change in capmatinib </w:t>
      </w:r>
      <w:proofErr w:type="spellStart"/>
      <w:r>
        <w:t>Cmax</w:t>
      </w:r>
      <w:proofErr w:type="spellEnd"/>
      <w:r>
        <w:t xml:space="preserve"> compared to administration of capmatinib alone. Coadministration</w:t>
      </w:r>
      <w:r>
        <w:rPr>
          <w:spacing w:val="-3"/>
        </w:rPr>
        <w:t xml:space="preserve"> </w:t>
      </w:r>
      <w:r>
        <w:t>of</w:t>
      </w:r>
      <w:r>
        <w:rPr>
          <w:spacing w:val="-4"/>
        </w:rPr>
        <w:t xml:space="preserve"> </w:t>
      </w:r>
      <w:r>
        <w:t>TABRECTA</w:t>
      </w:r>
      <w:r>
        <w:rPr>
          <w:spacing w:val="-3"/>
        </w:rPr>
        <w:t xml:space="preserve"> </w:t>
      </w:r>
      <w:r>
        <w:t>with</w:t>
      </w:r>
      <w:r>
        <w:rPr>
          <w:spacing w:val="-4"/>
        </w:rPr>
        <w:t xml:space="preserve"> </w:t>
      </w:r>
      <w:r>
        <w:t>a</w:t>
      </w:r>
      <w:r>
        <w:rPr>
          <w:spacing w:val="-5"/>
        </w:rPr>
        <w:t xml:space="preserve"> </w:t>
      </w:r>
      <w:r>
        <w:t>strong</w:t>
      </w:r>
      <w:r>
        <w:rPr>
          <w:spacing w:val="-5"/>
        </w:rPr>
        <w:t xml:space="preserve"> </w:t>
      </w:r>
      <w:r>
        <w:t>CYP3A</w:t>
      </w:r>
      <w:r>
        <w:rPr>
          <w:spacing w:val="-4"/>
        </w:rPr>
        <w:t xml:space="preserve"> </w:t>
      </w:r>
      <w:r>
        <w:t>inhibitor</w:t>
      </w:r>
      <w:r>
        <w:rPr>
          <w:spacing w:val="-4"/>
        </w:rPr>
        <w:t xml:space="preserve"> </w:t>
      </w:r>
      <w:r>
        <w:t>may</w:t>
      </w:r>
      <w:r>
        <w:rPr>
          <w:spacing w:val="-5"/>
        </w:rPr>
        <w:t xml:space="preserve"> </w:t>
      </w:r>
      <w:r>
        <w:t>increase</w:t>
      </w:r>
      <w:r>
        <w:rPr>
          <w:spacing w:val="-4"/>
        </w:rPr>
        <w:t xml:space="preserve"> </w:t>
      </w:r>
      <w:r>
        <w:t>the</w:t>
      </w:r>
      <w:r>
        <w:rPr>
          <w:spacing w:val="-4"/>
        </w:rPr>
        <w:t xml:space="preserve"> </w:t>
      </w:r>
      <w:r>
        <w:t>incidence</w:t>
      </w:r>
      <w:r>
        <w:rPr>
          <w:spacing w:val="-4"/>
        </w:rPr>
        <w:t xml:space="preserve"> </w:t>
      </w:r>
      <w:r>
        <w:t xml:space="preserve">and </w:t>
      </w:r>
      <w:r>
        <w:lastRenderedPageBreak/>
        <w:t>severity of adverse drug reactions of TABRECTA. Patients should be closely monitored for adverse drug reactions during coadministration of TABRECTA with strong CYP3A inhibitors, including but not limited to, clarithromycin, indinavir, itraconazole, ketoconazole, lopinavir/ritonavir, nelfinavir, posaconazole, ritonavir, saquinavir, telaprevir, telithromycin, verapamil, and voriconazole.</w:t>
      </w:r>
    </w:p>
    <w:p w14:paraId="2366FEF9" w14:textId="77777777" w:rsidR="005303F6" w:rsidRDefault="00EB7C90" w:rsidP="008F14F0">
      <w:pPr>
        <w:pStyle w:val="Heading4"/>
        <w:spacing w:before="242"/>
        <w:jc w:val="left"/>
      </w:pPr>
      <w:r>
        <w:t>Strong</w:t>
      </w:r>
      <w:r>
        <w:rPr>
          <w:spacing w:val="-2"/>
        </w:rPr>
        <w:t xml:space="preserve"> </w:t>
      </w:r>
      <w:r>
        <w:t>CYP3A</w:t>
      </w:r>
      <w:r>
        <w:rPr>
          <w:spacing w:val="-2"/>
        </w:rPr>
        <w:t xml:space="preserve"> inducers</w:t>
      </w:r>
    </w:p>
    <w:p w14:paraId="2366FEFA" w14:textId="77777777" w:rsidR="005303F6" w:rsidRDefault="00EB7C90" w:rsidP="008F14F0">
      <w:pPr>
        <w:pStyle w:val="BodyText"/>
        <w:ind w:right="725"/>
        <w:jc w:val="left"/>
      </w:pPr>
      <w:r>
        <w:t>In healthy subjects, coadministration of a single 400 mg capmatinib dose with the strong CYP3A</w:t>
      </w:r>
      <w:r>
        <w:rPr>
          <w:spacing w:val="-8"/>
        </w:rPr>
        <w:t xml:space="preserve"> </w:t>
      </w:r>
      <w:r>
        <w:t>inducer</w:t>
      </w:r>
      <w:r>
        <w:rPr>
          <w:spacing w:val="-10"/>
        </w:rPr>
        <w:t xml:space="preserve"> </w:t>
      </w:r>
      <w:r>
        <w:t>rifampicin</w:t>
      </w:r>
      <w:r>
        <w:rPr>
          <w:spacing w:val="-10"/>
        </w:rPr>
        <w:t xml:space="preserve"> </w:t>
      </w:r>
      <w:r>
        <w:t>(600</w:t>
      </w:r>
      <w:r>
        <w:rPr>
          <w:spacing w:val="-1"/>
        </w:rPr>
        <w:t xml:space="preserve"> </w:t>
      </w:r>
      <w:r>
        <w:t>mg</w:t>
      </w:r>
      <w:r>
        <w:rPr>
          <w:spacing w:val="-11"/>
        </w:rPr>
        <w:t xml:space="preserve"> </w:t>
      </w:r>
      <w:r>
        <w:t>once</w:t>
      </w:r>
      <w:r>
        <w:rPr>
          <w:spacing w:val="-11"/>
        </w:rPr>
        <w:t xml:space="preserve"> </w:t>
      </w:r>
      <w:r>
        <w:t>daily</w:t>
      </w:r>
      <w:r>
        <w:rPr>
          <w:spacing w:val="-12"/>
        </w:rPr>
        <w:t xml:space="preserve"> </w:t>
      </w:r>
      <w:r>
        <w:t>for</w:t>
      </w:r>
      <w:r>
        <w:rPr>
          <w:spacing w:val="-11"/>
        </w:rPr>
        <w:t xml:space="preserve"> </w:t>
      </w:r>
      <w:r>
        <w:t>9</w:t>
      </w:r>
      <w:r>
        <w:rPr>
          <w:spacing w:val="-10"/>
        </w:rPr>
        <w:t xml:space="preserve"> </w:t>
      </w:r>
      <w:r>
        <w:t>days)</w:t>
      </w:r>
      <w:r>
        <w:rPr>
          <w:spacing w:val="-10"/>
        </w:rPr>
        <w:t xml:space="preserve"> </w:t>
      </w:r>
      <w:r>
        <w:t>decreased</w:t>
      </w:r>
      <w:r>
        <w:rPr>
          <w:spacing w:val="-10"/>
        </w:rPr>
        <w:t xml:space="preserve"> </w:t>
      </w:r>
      <w:r>
        <w:t>capmatinib</w:t>
      </w:r>
      <w:r>
        <w:rPr>
          <w:spacing w:val="-10"/>
        </w:rPr>
        <w:t xml:space="preserve"> </w:t>
      </w:r>
      <w:r>
        <w:t>AUCinf</w:t>
      </w:r>
      <w:r>
        <w:rPr>
          <w:spacing w:val="-10"/>
        </w:rPr>
        <w:t xml:space="preserve"> </w:t>
      </w:r>
      <w:r>
        <w:t>by</w:t>
      </w:r>
      <w:r>
        <w:rPr>
          <w:spacing w:val="-12"/>
        </w:rPr>
        <w:t xml:space="preserve"> </w:t>
      </w:r>
      <w:r>
        <w:t xml:space="preserve">67% and decreased </w:t>
      </w:r>
      <w:proofErr w:type="spellStart"/>
      <w:r>
        <w:t>Cmax</w:t>
      </w:r>
      <w:proofErr w:type="spellEnd"/>
      <w:r>
        <w:t xml:space="preserve"> by 56% compared to administration of capmatinib alone. Decreases in capmatinib exposure may decrease TABRECTA anti-</w:t>
      </w:r>
      <w:proofErr w:type="spellStart"/>
      <w:r>
        <w:t>tumour</w:t>
      </w:r>
      <w:proofErr w:type="spellEnd"/>
      <w:r>
        <w:t xml:space="preserve"> activity. Coadministration of TABRECTA with strong CYP3A inducers, including but not limited to, carbamazepine, phenobarbital, phenytoin, rifampicin and St. John’s wort (</w:t>
      </w:r>
      <w:r>
        <w:rPr>
          <w:i/>
        </w:rPr>
        <w:t>Hypericum perforatum</w:t>
      </w:r>
      <w:r>
        <w:t xml:space="preserve">) should be avoided. An alternative medication with no or minimal potential to induce CYP3A should be </w:t>
      </w:r>
      <w:r>
        <w:rPr>
          <w:spacing w:val="-2"/>
        </w:rPr>
        <w:t>considered.</w:t>
      </w:r>
    </w:p>
    <w:p w14:paraId="2366FEFB" w14:textId="77777777" w:rsidR="005303F6" w:rsidRDefault="00EB7C90" w:rsidP="008F14F0">
      <w:pPr>
        <w:pStyle w:val="Heading4"/>
        <w:jc w:val="left"/>
      </w:pPr>
      <w:r>
        <w:t>Moderate</w:t>
      </w:r>
      <w:r>
        <w:rPr>
          <w:spacing w:val="-2"/>
        </w:rPr>
        <w:t xml:space="preserve"> </w:t>
      </w:r>
      <w:r>
        <w:t>CYP3A</w:t>
      </w:r>
      <w:r>
        <w:rPr>
          <w:spacing w:val="-1"/>
        </w:rPr>
        <w:t xml:space="preserve"> </w:t>
      </w:r>
      <w:r>
        <w:rPr>
          <w:spacing w:val="-2"/>
        </w:rPr>
        <w:t>inducers</w:t>
      </w:r>
    </w:p>
    <w:p w14:paraId="2366FEFC" w14:textId="77777777" w:rsidR="005303F6" w:rsidRDefault="00EB7C90" w:rsidP="008F14F0">
      <w:pPr>
        <w:pStyle w:val="BodyText"/>
        <w:spacing w:before="122"/>
        <w:ind w:right="727"/>
        <w:jc w:val="left"/>
      </w:pPr>
      <w:r>
        <w:t xml:space="preserve">Simulations using </w:t>
      </w:r>
      <w:proofErr w:type="gramStart"/>
      <w:r>
        <w:t>physiologically-based</w:t>
      </w:r>
      <w:proofErr w:type="gramEnd"/>
      <w:r>
        <w:t xml:space="preserve"> pharmacokinetic (PBPK) models predicted that coadministration of a 400 mg capmatinib dose with the moderate CYP3A inducer efavirenz (600 mg once daily for 20 days) would result in a</w:t>
      </w:r>
      <w:r>
        <w:rPr>
          <w:spacing w:val="-2"/>
        </w:rPr>
        <w:t xml:space="preserve"> </w:t>
      </w:r>
      <w:r>
        <w:t xml:space="preserve">44% decrease in capmatinib AUC0-12h and 34% decrease in </w:t>
      </w:r>
      <w:proofErr w:type="spellStart"/>
      <w:r>
        <w:t>Cmax</w:t>
      </w:r>
      <w:proofErr w:type="spellEnd"/>
      <w:r>
        <w:t xml:space="preserve"> at steady-state compared to administration of capmatinib alone. Decreases in capmatinib exposure may decrease TABRECTA anti-</w:t>
      </w:r>
      <w:proofErr w:type="spellStart"/>
      <w:r>
        <w:t>tumour</w:t>
      </w:r>
      <w:proofErr w:type="spellEnd"/>
      <w:r>
        <w:t xml:space="preserve"> activity. Caution should be exercised during coadministration of TABRECTA with moderate CYP3A inducers.</w:t>
      </w:r>
    </w:p>
    <w:p w14:paraId="2366FEFD" w14:textId="77777777" w:rsidR="005303F6" w:rsidRDefault="00EB7C90" w:rsidP="008F14F0">
      <w:pPr>
        <w:pStyle w:val="Heading4"/>
        <w:jc w:val="left"/>
      </w:pPr>
      <w:r>
        <w:t>Agents</w:t>
      </w:r>
      <w:r>
        <w:rPr>
          <w:spacing w:val="-2"/>
        </w:rPr>
        <w:t xml:space="preserve"> </w:t>
      </w:r>
      <w:r>
        <w:t>that</w:t>
      </w:r>
      <w:r>
        <w:rPr>
          <w:spacing w:val="-2"/>
        </w:rPr>
        <w:t xml:space="preserve"> </w:t>
      </w:r>
      <w:r>
        <w:t>raise</w:t>
      </w:r>
      <w:r>
        <w:rPr>
          <w:spacing w:val="-2"/>
        </w:rPr>
        <w:t xml:space="preserve"> </w:t>
      </w:r>
      <w:r>
        <w:t>gastric</w:t>
      </w:r>
      <w:r>
        <w:rPr>
          <w:spacing w:val="-2"/>
        </w:rPr>
        <w:t xml:space="preserve"> </w:t>
      </w:r>
      <w:r>
        <w:rPr>
          <w:spacing w:val="-5"/>
        </w:rPr>
        <w:t>pH</w:t>
      </w:r>
    </w:p>
    <w:p w14:paraId="2366FEFE" w14:textId="77777777" w:rsidR="005303F6" w:rsidRDefault="00EB7C90" w:rsidP="008F14F0">
      <w:pPr>
        <w:pStyle w:val="BodyText"/>
        <w:ind w:right="727"/>
        <w:jc w:val="left"/>
      </w:pPr>
      <w:r>
        <w:t xml:space="preserve">Capmatinib demonstrates pH-dependent solubility and becomes poorly soluble as pH </w:t>
      </w:r>
      <w:r>
        <w:rPr>
          <w:position w:val="2"/>
        </w:rPr>
        <w:t xml:space="preserve">increases </w:t>
      </w:r>
      <w:r>
        <w:rPr>
          <w:i/>
          <w:position w:val="2"/>
        </w:rPr>
        <w:t>in vitro</w:t>
      </w:r>
      <w:r>
        <w:rPr>
          <w:position w:val="2"/>
        </w:rPr>
        <w:t>. Gastric acid reducing agents (e.g. proton pump inhibitors, H</w:t>
      </w:r>
      <w:r>
        <w:rPr>
          <w:sz w:val="16"/>
        </w:rPr>
        <w:t>2</w:t>
      </w:r>
      <w:r>
        <w:rPr>
          <w:position w:val="2"/>
        </w:rPr>
        <w:t xml:space="preserve">-receptor </w:t>
      </w:r>
      <w:r>
        <w:t>antagonists, antacids) may alter the solubility of capmatinib and reduce its bioavailability. In healthy</w:t>
      </w:r>
      <w:r>
        <w:rPr>
          <w:spacing w:val="-5"/>
        </w:rPr>
        <w:t xml:space="preserve"> </w:t>
      </w:r>
      <w:r>
        <w:t>subjects,</w:t>
      </w:r>
      <w:r>
        <w:rPr>
          <w:spacing w:val="-6"/>
        </w:rPr>
        <w:t xml:space="preserve"> </w:t>
      </w:r>
      <w:r>
        <w:t>coadministration</w:t>
      </w:r>
      <w:r>
        <w:rPr>
          <w:spacing w:val="-5"/>
        </w:rPr>
        <w:t xml:space="preserve"> </w:t>
      </w:r>
      <w:r>
        <w:t>of</w:t>
      </w:r>
      <w:r>
        <w:rPr>
          <w:spacing w:val="-3"/>
        </w:rPr>
        <w:t xml:space="preserve"> </w:t>
      </w:r>
      <w:r>
        <w:t>a</w:t>
      </w:r>
      <w:r>
        <w:rPr>
          <w:spacing w:val="-6"/>
        </w:rPr>
        <w:t xml:space="preserve"> </w:t>
      </w:r>
      <w:r>
        <w:t>single</w:t>
      </w:r>
      <w:r>
        <w:rPr>
          <w:spacing w:val="-6"/>
        </w:rPr>
        <w:t xml:space="preserve"> </w:t>
      </w:r>
      <w:r>
        <w:t>600</w:t>
      </w:r>
      <w:r>
        <w:rPr>
          <w:spacing w:val="-1"/>
        </w:rPr>
        <w:t xml:space="preserve"> </w:t>
      </w:r>
      <w:r>
        <w:t>mg</w:t>
      </w:r>
      <w:r>
        <w:rPr>
          <w:spacing w:val="-4"/>
        </w:rPr>
        <w:t xml:space="preserve"> </w:t>
      </w:r>
      <w:r>
        <w:t>capmatinib</w:t>
      </w:r>
      <w:r>
        <w:rPr>
          <w:spacing w:val="-5"/>
        </w:rPr>
        <w:t xml:space="preserve"> </w:t>
      </w:r>
      <w:r>
        <w:t>dose</w:t>
      </w:r>
      <w:r>
        <w:rPr>
          <w:spacing w:val="-6"/>
        </w:rPr>
        <w:t xml:space="preserve"> </w:t>
      </w:r>
      <w:r>
        <w:t>with</w:t>
      </w:r>
      <w:r>
        <w:rPr>
          <w:spacing w:val="-5"/>
        </w:rPr>
        <w:t xml:space="preserve"> </w:t>
      </w:r>
      <w:r>
        <w:t>the</w:t>
      </w:r>
      <w:r>
        <w:rPr>
          <w:spacing w:val="-6"/>
        </w:rPr>
        <w:t xml:space="preserve"> </w:t>
      </w:r>
      <w:r>
        <w:t>proton</w:t>
      </w:r>
      <w:r>
        <w:rPr>
          <w:spacing w:val="-5"/>
        </w:rPr>
        <w:t xml:space="preserve"> </w:t>
      </w:r>
      <w:r>
        <w:t>pump inhibitor</w:t>
      </w:r>
      <w:r>
        <w:rPr>
          <w:spacing w:val="-3"/>
        </w:rPr>
        <w:t xml:space="preserve"> </w:t>
      </w:r>
      <w:r>
        <w:t>rabeprazole</w:t>
      </w:r>
      <w:r>
        <w:rPr>
          <w:spacing w:val="-3"/>
        </w:rPr>
        <w:t xml:space="preserve"> </w:t>
      </w:r>
      <w:r>
        <w:t>(20 mg</w:t>
      </w:r>
      <w:r>
        <w:rPr>
          <w:spacing w:val="-2"/>
        </w:rPr>
        <w:t xml:space="preserve"> </w:t>
      </w:r>
      <w:r>
        <w:t>once</w:t>
      </w:r>
      <w:r>
        <w:rPr>
          <w:spacing w:val="-4"/>
        </w:rPr>
        <w:t xml:space="preserve"> </w:t>
      </w:r>
      <w:r>
        <w:t>daily</w:t>
      </w:r>
      <w:r>
        <w:rPr>
          <w:spacing w:val="-4"/>
        </w:rPr>
        <w:t xml:space="preserve"> </w:t>
      </w:r>
      <w:r>
        <w:t>for</w:t>
      </w:r>
      <w:r>
        <w:rPr>
          <w:spacing w:val="-3"/>
        </w:rPr>
        <w:t xml:space="preserve"> </w:t>
      </w:r>
      <w:r>
        <w:t>4</w:t>
      </w:r>
      <w:r>
        <w:rPr>
          <w:spacing w:val="-3"/>
        </w:rPr>
        <w:t xml:space="preserve"> </w:t>
      </w:r>
      <w:r>
        <w:t>days)</w:t>
      </w:r>
      <w:r>
        <w:rPr>
          <w:spacing w:val="-3"/>
        </w:rPr>
        <w:t xml:space="preserve"> </w:t>
      </w:r>
      <w:r>
        <w:t>decreased</w:t>
      </w:r>
      <w:r>
        <w:rPr>
          <w:spacing w:val="-3"/>
        </w:rPr>
        <w:t xml:space="preserve"> </w:t>
      </w:r>
      <w:r>
        <w:t>capmatinib</w:t>
      </w:r>
      <w:r>
        <w:rPr>
          <w:spacing w:val="-3"/>
        </w:rPr>
        <w:t xml:space="preserve"> </w:t>
      </w:r>
      <w:r>
        <w:t>AUCinf</w:t>
      </w:r>
      <w:r>
        <w:rPr>
          <w:spacing w:val="-1"/>
        </w:rPr>
        <w:t xml:space="preserve"> </w:t>
      </w:r>
      <w:r>
        <w:t>by</w:t>
      </w:r>
      <w:r>
        <w:rPr>
          <w:spacing w:val="-5"/>
        </w:rPr>
        <w:t xml:space="preserve"> </w:t>
      </w:r>
      <w:r>
        <w:t>25%</w:t>
      </w:r>
      <w:r>
        <w:rPr>
          <w:spacing w:val="-1"/>
        </w:rPr>
        <w:t xml:space="preserve"> </w:t>
      </w:r>
      <w:r>
        <w:t xml:space="preserve">and decreased </w:t>
      </w:r>
      <w:proofErr w:type="spellStart"/>
      <w:r>
        <w:t>Cmax</w:t>
      </w:r>
      <w:proofErr w:type="spellEnd"/>
      <w:r>
        <w:t xml:space="preserve"> by</w:t>
      </w:r>
      <w:r>
        <w:rPr>
          <w:spacing w:val="-1"/>
        </w:rPr>
        <w:t xml:space="preserve"> </w:t>
      </w:r>
      <w:r>
        <w:t>38%</w:t>
      </w:r>
      <w:r>
        <w:rPr>
          <w:spacing w:val="-2"/>
        </w:rPr>
        <w:t xml:space="preserve"> </w:t>
      </w:r>
      <w:r>
        <w:t xml:space="preserve">compared to administration of capmatinib alone. Clinically relevant drug-drug interactions between capmatinib and gastric acid reducing agents are unlikely to occur as co-administration of rabeprazole had no clinically meaningful effect on exposure of </w:t>
      </w:r>
      <w:r>
        <w:rPr>
          <w:spacing w:val="-2"/>
        </w:rPr>
        <w:t>capmatinib.</w:t>
      </w:r>
    </w:p>
    <w:p w14:paraId="2366FEFF" w14:textId="77777777" w:rsidR="005303F6" w:rsidRDefault="00EB7C90" w:rsidP="008F14F0">
      <w:pPr>
        <w:pStyle w:val="Heading3"/>
      </w:pPr>
      <w:r>
        <w:rPr>
          <w:u w:val="single"/>
        </w:rPr>
        <w:t>Effect</w:t>
      </w:r>
      <w:r>
        <w:rPr>
          <w:spacing w:val="-3"/>
          <w:u w:val="single"/>
        </w:rPr>
        <w:t xml:space="preserve"> </w:t>
      </w:r>
      <w:r>
        <w:rPr>
          <w:u w:val="single"/>
        </w:rPr>
        <w:t>of</w:t>
      </w:r>
      <w:r>
        <w:rPr>
          <w:spacing w:val="-3"/>
          <w:u w:val="single"/>
        </w:rPr>
        <w:t xml:space="preserve"> </w:t>
      </w:r>
      <w:r>
        <w:rPr>
          <w:u w:val="single"/>
        </w:rPr>
        <w:t>TABRECTA</w:t>
      </w:r>
      <w:r>
        <w:rPr>
          <w:spacing w:val="-2"/>
          <w:u w:val="single"/>
        </w:rPr>
        <w:t xml:space="preserve"> </w:t>
      </w:r>
      <w:r>
        <w:rPr>
          <w:u w:val="single"/>
        </w:rPr>
        <w:t>on</w:t>
      </w:r>
      <w:r>
        <w:rPr>
          <w:spacing w:val="-3"/>
          <w:u w:val="single"/>
        </w:rPr>
        <w:t xml:space="preserve"> </w:t>
      </w:r>
      <w:r>
        <w:rPr>
          <w:u w:val="single"/>
        </w:rPr>
        <w:t>other</w:t>
      </w:r>
      <w:r>
        <w:rPr>
          <w:spacing w:val="-2"/>
          <w:u w:val="single"/>
        </w:rPr>
        <w:t xml:space="preserve"> </w:t>
      </w:r>
      <w:r>
        <w:rPr>
          <w:u w:val="single"/>
        </w:rPr>
        <w:t>medicinal</w:t>
      </w:r>
      <w:r>
        <w:rPr>
          <w:spacing w:val="-2"/>
          <w:u w:val="single"/>
        </w:rPr>
        <w:t xml:space="preserve"> products</w:t>
      </w:r>
    </w:p>
    <w:p w14:paraId="2366FF00" w14:textId="77777777" w:rsidR="005303F6" w:rsidRDefault="00EB7C90" w:rsidP="008F14F0">
      <w:pPr>
        <w:pStyle w:val="Heading4"/>
        <w:spacing w:before="120"/>
        <w:jc w:val="left"/>
        <w:rPr>
          <w:spacing w:val="-2"/>
        </w:rPr>
      </w:pPr>
      <w:r>
        <w:t>Substrates</w:t>
      </w:r>
      <w:r>
        <w:rPr>
          <w:spacing w:val="-3"/>
        </w:rPr>
        <w:t xml:space="preserve"> </w:t>
      </w:r>
      <w:r>
        <w:t>of</w:t>
      </w:r>
      <w:r>
        <w:rPr>
          <w:spacing w:val="-2"/>
        </w:rPr>
        <w:t xml:space="preserve"> </w:t>
      </w:r>
      <w:r>
        <w:t>CYP</w:t>
      </w:r>
      <w:r>
        <w:rPr>
          <w:spacing w:val="-2"/>
        </w:rPr>
        <w:t xml:space="preserve"> enzymes</w:t>
      </w:r>
    </w:p>
    <w:p w14:paraId="2366FF02" w14:textId="77777777" w:rsidR="005303F6" w:rsidRDefault="00EB7C90" w:rsidP="008F14F0">
      <w:pPr>
        <w:pStyle w:val="BodyText"/>
        <w:spacing w:before="41"/>
        <w:ind w:right="726"/>
        <w:jc w:val="left"/>
      </w:pPr>
      <w:r>
        <w:t>In</w:t>
      </w:r>
      <w:r>
        <w:rPr>
          <w:spacing w:val="-13"/>
        </w:rPr>
        <w:t xml:space="preserve"> </w:t>
      </w:r>
      <w:r>
        <w:t>cancer</w:t>
      </w:r>
      <w:r>
        <w:rPr>
          <w:spacing w:val="-12"/>
        </w:rPr>
        <w:t xml:space="preserve"> </w:t>
      </w:r>
      <w:r>
        <w:t>patients,</w:t>
      </w:r>
      <w:r>
        <w:rPr>
          <w:spacing w:val="-12"/>
        </w:rPr>
        <w:t xml:space="preserve"> </w:t>
      </w:r>
      <w:r>
        <w:t>coadministration</w:t>
      </w:r>
      <w:r>
        <w:rPr>
          <w:spacing w:val="-11"/>
        </w:rPr>
        <w:t xml:space="preserve"> </w:t>
      </w:r>
      <w:r>
        <w:t>of</w:t>
      </w:r>
      <w:r>
        <w:rPr>
          <w:spacing w:val="-13"/>
        </w:rPr>
        <w:t xml:space="preserve"> </w:t>
      </w:r>
      <w:r>
        <w:t>caffeine</w:t>
      </w:r>
      <w:r>
        <w:rPr>
          <w:spacing w:val="-14"/>
        </w:rPr>
        <w:t xml:space="preserve"> </w:t>
      </w:r>
      <w:r>
        <w:t>(CYP1A2</w:t>
      </w:r>
      <w:r>
        <w:rPr>
          <w:spacing w:val="-13"/>
        </w:rPr>
        <w:t xml:space="preserve"> </w:t>
      </w:r>
      <w:r>
        <w:t>probe</w:t>
      </w:r>
      <w:r>
        <w:rPr>
          <w:spacing w:val="-12"/>
        </w:rPr>
        <w:t xml:space="preserve"> </w:t>
      </w:r>
      <w:r>
        <w:t>substrate)</w:t>
      </w:r>
      <w:r>
        <w:rPr>
          <w:spacing w:val="-14"/>
        </w:rPr>
        <w:t xml:space="preserve"> </w:t>
      </w:r>
      <w:r>
        <w:t>with</w:t>
      </w:r>
      <w:r>
        <w:rPr>
          <w:spacing w:val="-10"/>
        </w:rPr>
        <w:t xml:space="preserve"> </w:t>
      </w:r>
      <w:r>
        <w:t>multiple</w:t>
      </w:r>
      <w:r>
        <w:rPr>
          <w:spacing w:val="-12"/>
        </w:rPr>
        <w:t xml:space="preserve"> </w:t>
      </w:r>
      <w:r>
        <w:t>doses of capmatinib (400</w:t>
      </w:r>
      <w:r>
        <w:rPr>
          <w:spacing w:val="-1"/>
        </w:rPr>
        <w:t xml:space="preserve"> </w:t>
      </w:r>
      <w:r>
        <w:t xml:space="preserve">mg twice daily) increased caffeine AUCinf by 134% with no change in caffeine </w:t>
      </w:r>
      <w:proofErr w:type="spellStart"/>
      <w:r>
        <w:t>Cmax</w:t>
      </w:r>
      <w:proofErr w:type="spellEnd"/>
      <w:r>
        <w:t xml:space="preserve"> compared to administration of caffeine alone. Coadministration of TABRECTA with</w:t>
      </w:r>
      <w:r>
        <w:rPr>
          <w:spacing w:val="-8"/>
        </w:rPr>
        <w:t xml:space="preserve"> </w:t>
      </w:r>
      <w:r>
        <w:t>a</w:t>
      </w:r>
      <w:r>
        <w:rPr>
          <w:spacing w:val="-9"/>
        </w:rPr>
        <w:t xml:space="preserve"> </w:t>
      </w:r>
      <w:r>
        <w:t>CYP1A2</w:t>
      </w:r>
      <w:r>
        <w:rPr>
          <w:spacing w:val="-8"/>
        </w:rPr>
        <w:t xml:space="preserve"> </w:t>
      </w:r>
      <w:r>
        <w:t>substrate</w:t>
      </w:r>
      <w:r>
        <w:rPr>
          <w:spacing w:val="-11"/>
        </w:rPr>
        <w:t xml:space="preserve"> </w:t>
      </w:r>
      <w:r>
        <w:t>may</w:t>
      </w:r>
      <w:r>
        <w:rPr>
          <w:spacing w:val="-9"/>
        </w:rPr>
        <w:t xml:space="preserve"> </w:t>
      </w:r>
      <w:r>
        <w:t>increase</w:t>
      </w:r>
      <w:r>
        <w:rPr>
          <w:spacing w:val="-8"/>
        </w:rPr>
        <w:t xml:space="preserve"> </w:t>
      </w:r>
      <w:r>
        <w:t>the</w:t>
      </w:r>
      <w:r>
        <w:rPr>
          <w:spacing w:val="-8"/>
        </w:rPr>
        <w:t xml:space="preserve"> </w:t>
      </w:r>
      <w:r>
        <w:t>incidence</w:t>
      </w:r>
      <w:r>
        <w:rPr>
          <w:spacing w:val="-8"/>
        </w:rPr>
        <w:t xml:space="preserve"> </w:t>
      </w:r>
      <w:r>
        <w:t>and</w:t>
      </w:r>
      <w:r>
        <w:rPr>
          <w:spacing w:val="-8"/>
        </w:rPr>
        <w:t xml:space="preserve"> </w:t>
      </w:r>
      <w:r>
        <w:t>severity</w:t>
      </w:r>
      <w:r>
        <w:rPr>
          <w:spacing w:val="-9"/>
        </w:rPr>
        <w:t xml:space="preserve"> </w:t>
      </w:r>
      <w:r>
        <w:t>of</w:t>
      </w:r>
      <w:r>
        <w:rPr>
          <w:spacing w:val="-10"/>
        </w:rPr>
        <w:t xml:space="preserve"> </w:t>
      </w:r>
      <w:r>
        <w:t>adverse</w:t>
      </w:r>
      <w:r>
        <w:rPr>
          <w:spacing w:val="-8"/>
        </w:rPr>
        <w:t xml:space="preserve"> </w:t>
      </w:r>
      <w:r>
        <w:t>drug</w:t>
      </w:r>
      <w:r>
        <w:rPr>
          <w:spacing w:val="-9"/>
        </w:rPr>
        <w:t xml:space="preserve"> </w:t>
      </w:r>
      <w:r>
        <w:t>reactions</w:t>
      </w:r>
      <w:r>
        <w:rPr>
          <w:spacing w:val="-9"/>
        </w:rPr>
        <w:t xml:space="preserve"> </w:t>
      </w:r>
      <w:r>
        <w:t>of these substrates. If coadministration is unavoidable between TABRECTA and CYP1A2 substrates</w:t>
      </w:r>
      <w:r>
        <w:rPr>
          <w:spacing w:val="-12"/>
        </w:rPr>
        <w:t xml:space="preserve"> </w:t>
      </w:r>
      <w:r>
        <w:t>where</w:t>
      </w:r>
      <w:r>
        <w:rPr>
          <w:spacing w:val="-9"/>
        </w:rPr>
        <w:t xml:space="preserve"> </w:t>
      </w:r>
      <w:r>
        <w:t>minimal</w:t>
      </w:r>
      <w:r>
        <w:rPr>
          <w:spacing w:val="-9"/>
        </w:rPr>
        <w:t xml:space="preserve"> </w:t>
      </w:r>
      <w:r>
        <w:t>concentration</w:t>
      </w:r>
      <w:r>
        <w:rPr>
          <w:spacing w:val="-8"/>
        </w:rPr>
        <w:t xml:space="preserve"> </w:t>
      </w:r>
      <w:r>
        <w:t>changes</w:t>
      </w:r>
      <w:r>
        <w:rPr>
          <w:spacing w:val="-12"/>
        </w:rPr>
        <w:t xml:space="preserve"> </w:t>
      </w:r>
      <w:r>
        <w:t>may</w:t>
      </w:r>
      <w:r>
        <w:rPr>
          <w:spacing w:val="-10"/>
        </w:rPr>
        <w:t xml:space="preserve"> </w:t>
      </w:r>
      <w:r>
        <w:t>lead</w:t>
      </w:r>
      <w:r>
        <w:rPr>
          <w:spacing w:val="-9"/>
        </w:rPr>
        <w:t xml:space="preserve"> </w:t>
      </w:r>
      <w:r>
        <w:t>to</w:t>
      </w:r>
      <w:r>
        <w:rPr>
          <w:spacing w:val="-9"/>
        </w:rPr>
        <w:t xml:space="preserve"> </w:t>
      </w:r>
      <w:r>
        <w:t>serious</w:t>
      </w:r>
      <w:r>
        <w:rPr>
          <w:spacing w:val="-10"/>
        </w:rPr>
        <w:t xml:space="preserve"> </w:t>
      </w:r>
      <w:r>
        <w:t>adverse</w:t>
      </w:r>
      <w:r>
        <w:rPr>
          <w:spacing w:val="-9"/>
        </w:rPr>
        <w:t xml:space="preserve"> </w:t>
      </w:r>
      <w:r>
        <w:t>drug</w:t>
      </w:r>
      <w:r>
        <w:rPr>
          <w:spacing w:val="-10"/>
        </w:rPr>
        <w:t xml:space="preserve"> </w:t>
      </w:r>
      <w:r>
        <w:t>reactions, including</w:t>
      </w:r>
      <w:r>
        <w:rPr>
          <w:spacing w:val="-10"/>
        </w:rPr>
        <w:t xml:space="preserve"> </w:t>
      </w:r>
      <w:r>
        <w:t>but</w:t>
      </w:r>
      <w:r>
        <w:rPr>
          <w:spacing w:val="-9"/>
        </w:rPr>
        <w:t xml:space="preserve"> </w:t>
      </w:r>
      <w:r>
        <w:t>not</w:t>
      </w:r>
      <w:r>
        <w:rPr>
          <w:spacing w:val="-9"/>
        </w:rPr>
        <w:t xml:space="preserve"> </w:t>
      </w:r>
      <w:r>
        <w:t>limited</w:t>
      </w:r>
      <w:r>
        <w:rPr>
          <w:spacing w:val="-11"/>
        </w:rPr>
        <w:t xml:space="preserve"> </w:t>
      </w:r>
      <w:r>
        <w:t>to,</w:t>
      </w:r>
      <w:r>
        <w:rPr>
          <w:spacing w:val="-9"/>
        </w:rPr>
        <w:t xml:space="preserve"> </w:t>
      </w:r>
      <w:r>
        <w:t>theophylline</w:t>
      </w:r>
      <w:r>
        <w:rPr>
          <w:spacing w:val="-7"/>
        </w:rPr>
        <w:t xml:space="preserve"> </w:t>
      </w:r>
      <w:r>
        <w:t>and</w:t>
      </w:r>
      <w:r>
        <w:rPr>
          <w:spacing w:val="-11"/>
        </w:rPr>
        <w:t xml:space="preserve"> </w:t>
      </w:r>
      <w:r>
        <w:t>tizanidine,</w:t>
      </w:r>
      <w:r>
        <w:rPr>
          <w:spacing w:val="-9"/>
        </w:rPr>
        <w:t xml:space="preserve"> </w:t>
      </w:r>
      <w:r>
        <w:t>decrease</w:t>
      </w:r>
      <w:r>
        <w:rPr>
          <w:spacing w:val="-9"/>
        </w:rPr>
        <w:t xml:space="preserve"> </w:t>
      </w:r>
      <w:r>
        <w:t>the</w:t>
      </w:r>
      <w:r>
        <w:rPr>
          <w:spacing w:val="-7"/>
        </w:rPr>
        <w:t xml:space="preserve"> </w:t>
      </w:r>
      <w:r>
        <w:t>CYP1A2</w:t>
      </w:r>
      <w:r>
        <w:rPr>
          <w:spacing w:val="-9"/>
        </w:rPr>
        <w:t xml:space="preserve"> </w:t>
      </w:r>
      <w:r>
        <w:t>substrate</w:t>
      </w:r>
      <w:r>
        <w:rPr>
          <w:spacing w:val="-9"/>
        </w:rPr>
        <w:t xml:space="preserve"> </w:t>
      </w:r>
      <w:r>
        <w:t>dose in accordance with the approved prescribing information.</w:t>
      </w:r>
    </w:p>
    <w:p w14:paraId="06D848F7" w14:textId="77777777" w:rsidR="003F2FE8" w:rsidRDefault="003F2FE8" w:rsidP="008F14F0">
      <w:pPr>
        <w:pStyle w:val="BodyText"/>
        <w:spacing w:before="121"/>
        <w:ind w:right="732"/>
        <w:jc w:val="left"/>
      </w:pPr>
    </w:p>
    <w:p w14:paraId="2482CC31" w14:textId="77777777" w:rsidR="003F2FE8" w:rsidRDefault="003F2FE8" w:rsidP="008F14F0">
      <w:pPr>
        <w:pStyle w:val="BodyText"/>
        <w:spacing w:before="121"/>
        <w:ind w:right="732"/>
        <w:jc w:val="left"/>
      </w:pPr>
    </w:p>
    <w:p w14:paraId="2366FF03" w14:textId="3273EE1E" w:rsidR="005303F6" w:rsidRDefault="00EB7C90" w:rsidP="008F14F0">
      <w:pPr>
        <w:pStyle w:val="BodyText"/>
        <w:spacing w:before="121"/>
        <w:ind w:right="732"/>
        <w:jc w:val="left"/>
      </w:pPr>
      <w:r>
        <w:lastRenderedPageBreak/>
        <w:t>In cancer patients, coadministration of midazolam (CYP3A substrate) with multiple doses of capmatinib</w:t>
      </w:r>
      <w:r>
        <w:rPr>
          <w:spacing w:val="-5"/>
        </w:rPr>
        <w:t xml:space="preserve"> </w:t>
      </w:r>
      <w:r>
        <w:t>(400</w:t>
      </w:r>
      <w:r>
        <w:rPr>
          <w:spacing w:val="-3"/>
        </w:rPr>
        <w:t xml:space="preserve"> </w:t>
      </w:r>
      <w:r>
        <w:t>mg</w:t>
      </w:r>
      <w:r>
        <w:rPr>
          <w:spacing w:val="-6"/>
        </w:rPr>
        <w:t xml:space="preserve"> </w:t>
      </w:r>
      <w:r>
        <w:t>twice</w:t>
      </w:r>
      <w:r>
        <w:rPr>
          <w:spacing w:val="-3"/>
        </w:rPr>
        <w:t xml:space="preserve"> </w:t>
      </w:r>
      <w:r>
        <w:t>daily)</w:t>
      </w:r>
      <w:r>
        <w:rPr>
          <w:spacing w:val="-5"/>
        </w:rPr>
        <w:t xml:space="preserve"> </w:t>
      </w:r>
      <w:r>
        <w:t>did</w:t>
      </w:r>
      <w:r>
        <w:rPr>
          <w:spacing w:val="-5"/>
        </w:rPr>
        <w:t xml:space="preserve"> </w:t>
      </w:r>
      <w:r>
        <w:t>not</w:t>
      </w:r>
      <w:r>
        <w:rPr>
          <w:spacing w:val="-3"/>
        </w:rPr>
        <w:t xml:space="preserve"> </w:t>
      </w:r>
      <w:r>
        <w:t>cause</w:t>
      </w:r>
      <w:r>
        <w:rPr>
          <w:spacing w:val="-3"/>
        </w:rPr>
        <w:t xml:space="preserve"> </w:t>
      </w:r>
      <w:r>
        <w:t>any</w:t>
      </w:r>
      <w:r>
        <w:rPr>
          <w:spacing w:val="-4"/>
        </w:rPr>
        <w:t xml:space="preserve"> </w:t>
      </w:r>
      <w:r>
        <w:t>clinically</w:t>
      </w:r>
      <w:r>
        <w:rPr>
          <w:spacing w:val="-4"/>
        </w:rPr>
        <w:t xml:space="preserve"> </w:t>
      </w:r>
      <w:r>
        <w:t>significant</w:t>
      </w:r>
      <w:r>
        <w:rPr>
          <w:spacing w:val="-3"/>
        </w:rPr>
        <w:t xml:space="preserve"> </w:t>
      </w:r>
      <w:r>
        <w:t>increase</w:t>
      </w:r>
      <w:r>
        <w:rPr>
          <w:spacing w:val="-3"/>
        </w:rPr>
        <w:t xml:space="preserve"> </w:t>
      </w:r>
      <w:r>
        <w:t>in</w:t>
      </w:r>
      <w:r>
        <w:rPr>
          <w:spacing w:val="-5"/>
        </w:rPr>
        <w:t xml:space="preserve"> </w:t>
      </w:r>
      <w:r>
        <w:t xml:space="preserve">midazolam exposure (9% increase in AUCinf and 22% increase in </w:t>
      </w:r>
      <w:proofErr w:type="spellStart"/>
      <w:r>
        <w:t>Cmax</w:t>
      </w:r>
      <w:proofErr w:type="spellEnd"/>
      <w:r>
        <w:t>) compared to administration of midazolam alone. Clinically relevant drug-drug interactions between capmatinib and CYP3A substrates are unlikely to occur as coadministration of capmatinib had no clinically meaningful effect on exposure of midazolam (a CYP3A substrate).</w:t>
      </w:r>
    </w:p>
    <w:p w14:paraId="2366FF04" w14:textId="77777777" w:rsidR="005303F6" w:rsidRDefault="00EB7C90" w:rsidP="008F14F0">
      <w:pPr>
        <w:pStyle w:val="Heading4"/>
        <w:spacing w:before="120"/>
        <w:jc w:val="left"/>
      </w:pPr>
      <w:r>
        <w:t>P-glycoprotein</w:t>
      </w:r>
      <w:r>
        <w:rPr>
          <w:spacing w:val="-6"/>
        </w:rPr>
        <w:t xml:space="preserve"> </w:t>
      </w:r>
      <w:r>
        <w:t>(P-</w:t>
      </w:r>
      <w:proofErr w:type="spellStart"/>
      <w:r>
        <w:t>gp</w:t>
      </w:r>
      <w:proofErr w:type="spellEnd"/>
      <w:r>
        <w:t>)</w:t>
      </w:r>
      <w:r>
        <w:rPr>
          <w:spacing w:val="-4"/>
        </w:rPr>
        <w:t xml:space="preserve"> </w:t>
      </w:r>
      <w:r>
        <w:t>and</w:t>
      </w:r>
      <w:r>
        <w:rPr>
          <w:spacing w:val="-3"/>
        </w:rPr>
        <w:t xml:space="preserve"> </w:t>
      </w:r>
      <w:r>
        <w:t>breast</w:t>
      </w:r>
      <w:r>
        <w:rPr>
          <w:spacing w:val="-3"/>
        </w:rPr>
        <w:t xml:space="preserve"> </w:t>
      </w:r>
      <w:r>
        <w:t>cancer</w:t>
      </w:r>
      <w:r>
        <w:rPr>
          <w:spacing w:val="-5"/>
        </w:rPr>
        <w:t xml:space="preserve"> </w:t>
      </w:r>
      <w:r>
        <w:t>resistance</w:t>
      </w:r>
      <w:r>
        <w:rPr>
          <w:spacing w:val="-5"/>
        </w:rPr>
        <w:t xml:space="preserve"> </w:t>
      </w:r>
      <w:r>
        <w:t>protein</w:t>
      </w:r>
      <w:r>
        <w:rPr>
          <w:spacing w:val="-5"/>
        </w:rPr>
        <w:t xml:space="preserve"> </w:t>
      </w:r>
      <w:r>
        <w:t>(BCRP)</w:t>
      </w:r>
      <w:r>
        <w:rPr>
          <w:spacing w:val="-4"/>
        </w:rPr>
        <w:t xml:space="preserve"> </w:t>
      </w:r>
      <w:r>
        <w:rPr>
          <w:spacing w:val="-2"/>
        </w:rPr>
        <w:t>substrates</w:t>
      </w:r>
    </w:p>
    <w:p w14:paraId="2366FF05" w14:textId="77777777" w:rsidR="005303F6" w:rsidRDefault="00EB7C90" w:rsidP="008F14F0">
      <w:pPr>
        <w:pStyle w:val="BodyText"/>
        <w:ind w:right="726"/>
        <w:jc w:val="left"/>
      </w:pPr>
      <w:r>
        <w:t>In cancer patients, coadministration of digoxin (P-</w:t>
      </w:r>
      <w:proofErr w:type="spellStart"/>
      <w:r>
        <w:t>gp</w:t>
      </w:r>
      <w:proofErr w:type="spellEnd"/>
      <w:r>
        <w:t xml:space="preserve"> substrate) with multiple doses of capmatinib</w:t>
      </w:r>
      <w:r>
        <w:rPr>
          <w:spacing w:val="-9"/>
        </w:rPr>
        <w:t xml:space="preserve"> </w:t>
      </w:r>
      <w:r>
        <w:t>(400</w:t>
      </w:r>
      <w:r>
        <w:rPr>
          <w:spacing w:val="-2"/>
        </w:rPr>
        <w:t xml:space="preserve"> </w:t>
      </w:r>
      <w:r>
        <w:t>mg</w:t>
      </w:r>
      <w:r>
        <w:rPr>
          <w:spacing w:val="-10"/>
        </w:rPr>
        <w:t xml:space="preserve"> </w:t>
      </w:r>
      <w:r>
        <w:t>twice</w:t>
      </w:r>
      <w:r>
        <w:rPr>
          <w:spacing w:val="-9"/>
        </w:rPr>
        <w:t xml:space="preserve"> </w:t>
      </w:r>
      <w:r>
        <w:t>daily)</w:t>
      </w:r>
      <w:r>
        <w:rPr>
          <w:spacing w:val="-11"/>
        </w:rPr>
        <w:t xml:space="preserve"> </w:t>
      </w:r>
      <w:r>
        <w:t>increased</w:t>
      </w:r>
      <w:r>
        <w:rPr>
          <w:spacing w:val="-11"/>
        </w:rPr>
        <w:t xml:space="preserve"> </w:t>
      </w:r>
      <w:r>
        <w:t>digoxin</w:t>
      </w:r>
      <w:r>
        <w:rPr>
          <w:spacing w:val="-11"/>
        </w:rPr>
        <w:t xml:space="preserve"> </w:t>
      </w:r>
      <w:r>
        <w:t>AUCinf</w:t>
      </w:r>
      <w:r>
        <w:rPr>
          <w:spacing w:val="-11"/>
        </w:rPr>
        <w:t xml:space="preserve"> </w:t>
      </w:r>
      <w:r>
        <w:t>by</w:t>
      </w:r>
      <w:r>
        <w:rPr>
          <w:spacing w:val="-10"/>
        </w:rPr>
        <w:t xml:space="preserve"> </w:t>
      </w:r>
      <w:r>
        <w:t>47%</w:t>
      </w:r>
      <w:r>
        <w:rPr>
          <w:spacing w:val="-10"/>
        </w:rPr>
        <w:t xml:space="preserve"> </w:t>
      </w:r>
      <w:r>
        <w:t>and</w:t>
      </w:r>
      <w:r>
        <w:rPr>
          <w:spacing w:val="-9"/>
        </w:rPr>
        <w:t xml:space="preserve"> </w:t>
      </w:r>
      <w:r>
        <w:t>increased</w:t>
      </w:r>
      <w:r>
        <w:rPr>
          <w:spacing w:val="-8"/>
        </w:rPr>
        <w:t xml:space="preserve"> </w:t>
      </w:r>
      <w:proofErr w:type="spellStart"/>
      <w:r>
        <w:t>Cmax</w:t>
      </w:r>
      <w:proofErr w:type="spellEnd"/>
      <w:r>
        <w:rPr>
          <w:spacing w:val="-12"/>
        </w:rPr>
        <w:t xml:space="preserve"> </w:t>
      </w:r>
      <w:r>
        <w:t>by</w:t>
      </w:r>
      <w:r>
        <w:rPr>
          <w:spacing w:val="-10"/>
        </w:rPr>
        <w:t xml:space="preserve"> </w:t>
      </w:r>
      <w:r>
        <w:t xml:space="preserve">74% compared to administration of digoxin alone. In cancer patients, coadministration of rosuvastatin (BCRP substrate) with multiple doses of capmatinib (400 mg twice daily) increased rosuvastatin AUCinf by 108% and increased </w:t>
      </w:r>
      <w:proofErr w:type="spellStart"/>
      <w:r>
        <w:t>Cmax</w:t>
      </w:r>
      <w:proofErr w:type="spellEnd"/>
      <w:r>
        <w:t xml:space="preserve"> by 204% compared to administration of rosuvastatin alone. Coadministration of TABRECTA with a P-</w:t>
      </w:r>
      <w:proofErr w:type="spellStart"/>
      <w:r>
        <w:t>gp</w:t>
      </w:r>
      <w:proofErr w:type="spellEnd"/>
      <w:r>
        <w:t xml:space="preserve"> or BCRP substrate may increase the incidence and severity of adverse drug reactions of these substrates. If coadministration is unavoidable between TABRECTA and P-</w:t>
      </w:r>
      <w:proofErr w:type="spellStart"/>
      <w:r>
        <w:t>gp</w:t>
      </w:r>
      <w:proofErr w:type="spellEnd"/>
      <w:r>
        <w:t xml:space="preserve"> or BCRP substrates</w:t>
      </w:r>
      <w:r>
        <w:rPr>
          <w:spacing w:val="-12"/>
        </w:rPr>
        <w:t xml:space="preserve"> </w:t>
      </w:r>
      <w:r>
        <w:t>where</w:t>
      </w:r>
      <w:r>
        <w:rPr>
          <w:spacing w:val="-9"/>
        </w:rPr>
        <w:t xml:space="preserve"> </w:t>
      </w:r>
      <w:r>
        <w:t>minimal</w:t>
      </w:r>
      <w:r>
        <w:rPr>
          <w:spacing w:val="-9"/>
        </w:rPr>
        <w:t xml:space="preserve"> </w:t>
      </w:r>
      <w:r>
        <w:t>concentration</w:t>
      </w:r>
      <w:r>
        <w:rPr>
          <w:spacing w:val="-8"/>
        </w:rPr>
        <w:t xml:space="preserve"> </w:t>
      </w:r>
      <w:r>
        <w:t>changes</w:t>
      </w:r>
      <w:r>
        <w:rPr>
          <w:spacing w:val="-12"/>
        </w:rPr>
        <w:t xml:space="preserve"> </w:t>
      </w:r>
      <w:r>
        <w:t>may</w:t>
      </w:r>
      <w:r>
        <w:rPr>
          <w:spacing w:val="-10"/>
        </w:rPr>
        <w:t xml:space="preserve"> </w:t>
      </w:r>
      <w:r>
        <w:t>lead</w:t>
      </w:r>
      <w:r>
        <w:rPr>
          <w:spacing w:val="-9"/>
        </w:rPr>
        <w:t xml:space="preserve"> </w:t>
      </w:r>
      <w:r>
        <w:t>to</w:t>
      </w:r>
      <w:r>
        <w:rPr>
          <w:spacing w:val="-9"/>
        </w:rPr>
        <w:t xml:space="preserve"> </w:t>
      </w:r>
      <w:r>
        <w:t>serious</w:t>
      </w:r>
      <w:r>
        <w:rPr>
          <w:spacing w:val="-10"/>
        </w:rPr>
        <w:t xml:space="preserve"> </w:t>
      </w:r>
      <w:r>
        <w:t>adverse</w:t>
      </w:r>
      <w:r>
        <w:rPr>
          <w:spacing w:val="-9"/>
        </w:rPr>
        <w:t xml:space="preserve"> </w:t>
      </w:r>
      <w:r>
        <w:t>drug</w:t>
      </w:r>
      <w:r>
        <w:rPr>
          <w:spacing w:val="-10"/>
        </w:rPr>
        <w:t xml:space="preserve"> </w:t>
      </w:r>
      <w:r>
        <w:t>reactions, decrease the P-</w:t>
      </w:r>
      <w:proofErr w:type="spellStart"/>
      <w:r>
        <w:t>gp</w:t>
      </w:r>
      <w:proofErr w:type="spellEnd"/>
      <w:r>
        <w:t xml:space="preserve"> or BCRP substrate dose in accordance with the approved prescribing </w:t>
      </w:r>
      <w:r>
        <w:rPr>
          <w:spacing w:val="-2"/>
        </w:rPr>
        <w:t>information.</w:t>
      </w:r>
    </w:p>
    <w:p w14:paraId="2366FF06" w14:textId="77777777" w:rsidR="005303F6" w:rsidRDefault="00EB7C90" w:rsidP="008F14F0">
      <w:pPr>
        <w:pStyle w:val="Heading3"/>
        <w:spacing w:line="338" w:lineRule="auto"/>
        <w:ind w:right="5050"/>
      </w:pPr>
      <w:r>
        <w:rPr>
          <w:i/>
          <w:u w:val="single"/>
        </w:rPr>
        <w:t>In</w:t>
      </w:r>
      <w:r>
        <w:rPr>
          <w:i/>
          <w:spacing w:val="-6"/>
          <w:u w:val="single"/>
        </w:rPr>
        <w:t xml:space="preserve"> </w:t>
      </w:r>
      <w:r>
        <w:rPr>
          <w:i/>
          <w:u w:val="single"/>
        </w:rPr>
        <w:t>vitro</w:t>
      </w:r>
      <w:r>
        <w:rPr>
          <w:i/>
          <w:spacing w:val="-5"/>
          <w:u w:val="single"/>
        </w:rPr>
        <w:t xml:space="preserve"> </w:t>
      </w:r>
      <w:r>
        <w:rPr>
          <w:u w:val="single"/>
        </w:rPr>
        <w:t>evaluation</w:t>
      </w:r>
      <w:r>
        <w:rPr>
          <w:spacing w:val="-8"/>
          <w:u w:val="single"/>
        </w:rPr>
        <w:t xml:space="preserve"> </w:t>
      </w:r>
      <w:r>
        <w:rPr>
          <w:u w:val="single"/>
        </w:rPr>
        <w:t>of</w:t>
      </w:r>
      <w:r>
        <w:rPr>
          <w:spacing w:val="-8"/>
          <w:u w:val="single"/>
        </w:rPr>
        <w:t xml:space="preserve"> </w:t>
      </w:r>
      <w:r>
        <w:rPr>
          <w:u w:val="single"/>
        </w:rPr>
        <w:t>drug</w:t>
      </w:r>
      <w:r>
        <w:rPr>
          <w:spacing w:val="-8"/>
          <w:u w:val="single"/>
        </w:rPr>
        <w:t xml:space="preserve"> </w:t>
      </w:r>
      <w:r>
        <w:rPr>
          <w:u w:val="single"/>
        </w:rPr>
        <w:t>interaction</w:t>
      </w:r>
      <w:r>
        <w:rPr>
          <w:spacing w:val="-6"/>
          <w:u w:val="single"/>
        </w:rPr>
        <w:t xml:space="preserve"> </w:t>
      </w:r>
      <w:r>
        <w:rPr>
          <w:u w:val="single"/>
        </w:rPr>
        <w:t>potential</w:t>
      </w:r>
      <w:r>
        <w:t xml:space="preserve"> Interactions between enzymes and TABRECTA</w:t>
      </w:r>
    </w:p>
    <w:p w14:paraId="2366FF07" w14:textId="77777777" w:rsidR="005303F6" w:rsidRDefault="00EB7C90" w:rsidP="008F14F0">
      <w:pPr>
        <w:pStyle w:val="BodyText"/>
        <w:spacing w:before="0"/>
        <w:ind w:right="726"/>
        <w:jc w:val="left"/>
      </w:pPr>
      <w:r>
        <w:rPr>
          <w:i/>
        </w:rPr>
        <w:t xml:space="preserve">In vitro </w:t>
      </w:r>
      <w:r>
        <w:t xml:space="preserve">studies showed that capmatinib is an inhibitor of CYP2C8, CYP2C9 and CYP2C19. Capmatinib showed weak induction of CYP2B6, CYP2C9 and in cultured human hepatocytes. Simulations using PBPK models predicted that capmatinib given at a dose of 400 mg twice daily is unlikely to cause clinically relevant interaction via CYP2C8, CYP2C9, CYP2C19 and </w:t>
      </w:r>
      <w:r>
        <w:rPr>
          <w:spacing w:val="-2"/>
        </w:rPr>
        <w:t>CYP2B6.</w:t>
      </w:r>
    </w:p>
    <w:p w14:paraId="2366FF08" w14:textId="77777777" w:rsidR="005303F6" w:rsidRDefault="00EB7C90" w:rsidP="008F14F0">
      <w:pPr>
        <w:pStyle w:val="Heading3"/>
        <w:spacing w:before="119"/>
      </w:pPr>
      <w:r>
        <w:t>Interactions</w:t>
      </w:r>
      <w:r>
        <w:rPr>
          <w:spacing w:val="-6"/>
        </w:rPr>
        <w:t xml:space="preserve"> </w:t>
      </w:r>
      <w:r>
        <w:t>between</w:t>
      </w:r>
      <w:r>
        <w:rPr>
          <w:spacing w:val="-3"/>
        </w:rPr>
        <w:t xml:space="preserve"> </w:t>
      </w:r>
      <w:r>
        <w:t>transporters</w:t>
      </w:r>
      <w:r>
        <w:rPr>
          <w:spacing w:val="-5"/>
        </w:rPr>
        <w:t xml:space="preserve"> </w:t>
      </w:r>
      <w:r>
        <w:t>and</w:t>
      </w:r>
      <w:r>
        <w:rPr>
          <w:spacing w:val="-4"/>
        </w:rPr>
        <w:t xml:space="preserve"> </w:t>
      </w:r>
      <w:r>
        <w:rPr>
          <w:spacing w:val="-2"/>
        </w:rPr>
        <w:t>TABRECTA</w:t>
      </w:r>
    </w:p>
    <w:p w14:paraId="2366FF09" w14:textId="77777777" w:rsidR="005303F6" w:rsidRDefault="00EB7C90" w:rsidP="008F14F0">
      <w:pPr>
        <w:pStyle w:val="BodyText"/>
        <w:ind w:right="726"/>
        <w:jc w:val="left"/>
      </w:pPr>
      <w:r>
        <w:t>Based</w:t>
      </w:r>
      <w:r>
        <w:rPr>
          <w:spacing w:val="-14"/>
        </w:rPr>
        <w:t xml:space="preserve"> </w:t>
      </w:r>
      <w:r>
        <w:t>on</w:t>
      </w:r>
      <w:r>
        <w:rPr>
          <w:spacing w:val="-14"/>
        </w:rPr>
        <w:t xml:space="preserve"> </w:t>
      </w:r>
      <w:r>
        <w:rPr>
          <w:i/>
        </w:rPr>
        <w:t>in</w:t>
      </w:r>
      <w:r>
        <w:rPr>
          <w:i/>
          <w:spacing w:val="-13"/>
        </w:rPr>
        <w:t xml:space="preserve"> </w:t>
      </w:r>
      <w:r>
        <w:rPr>
          <w:i/>
        </w:rPr>
        <w:t>vitro</w:t>
      </w:r>
      <w:r>
        <w:rPr>
          <w:i/>
          <w:spacing w:val="-14"/>
        </w:rPr>
        <w:t xml:space="preserve"> </w:t>
      </w:r>
      <w:r>
        <w:t>data,</w:t>
      </w:r>
      <w:r>
        <w:rPr>
          <w:spacing w:val="-13"/>
        </w:rPr>
        <w:t xml:space="preserve"> </w:t>
      </w:r>
      <w:r>
        <w:t>capmatinib</w:t>
      </w:r>
      <w:r>
        <w:rPr>
          <w:spacing w:val="-14"/>
        </w:rPr>
        <w:t xml:space="preserve"> </w:t>
      </w:r>
      <w:r>
        <w:t>showed</w:t>
      </w:r>
      <w:r>
        <w:rPr>
          <w:spacing w:val="-13"/>
        </w:rPr>
        <w:t xml:space="preserve"> </w:t>
      </w:r>
      <w:r>
        <w:t>reversible</w:t>
      </w:r>
      <w:r>
        <w:rPr>
          <w:spacing w:val="-14"/>
        </w:rPr>
        <w:t xml:space="preserve"> </w:t>
      </w:r>
      <w:r>
        <w:t>inhibition</w:t>
      </w:r>
      <w:r>
        <w:rPr>
          <w:spacing w:val="-14"/>
        </w:rPr>
        <w:t xml:space="preserve"> </w:t>
      </w:r>
      <w:r>
        <w:t>of</w:t>
      </w:r>
      <w:r>
        <w:rPr>
          <w:spacing w:val="-13"/>
        </w:rPr>
        <w:t xml:space="preserve"> </w:t>
      </w:r>
      <w:r>
        <w:t>hepatic</w:t>
      </w:r>
      <w:r>
        <w:rPr>
          <w:spacing w:val="-14"/>
        </w:rPr>
        <w:t xml:space="preserve"> </w:t>
      </w:r>
      <w:r>
        <w:t>uptake</w:t>
      </w:r>
      <w:r>
        <w:rPr>
          <w:spacing w:val="-13"/>
        </w:rPr>
        <w:t xml:space="preserve"> </w:t>
      </w:r>
      <w:r>
        <w:t xml:space="preserve">transporters OATP1B1, OATP1B3, and OCT1. However, capmatinib is not expected to cause clinically relevant inhibition of OATP1B1, OATP1B3, and OCT1 uptake transporters based on the concentration achieved at the therapeutic dose. Capmatinib is not a multidrug resistance-associated protein (MRP2) inhibitor </w:t>
      </w:r>
      <w:r>
        <w:rPr>
          <w:i/>
        </w:rPr>
        <w:t>in vitro</w:t>
      </w:r>
      <w:r>
        <w:t>.</w:t>
      </w:r>
    </w:p>
    <w:p w14:paraId="2366FF0A" w14:textId="77777777" w:rsidR="005303F6" w:rsidRDefault="00EB7C90" w:rsidP="008F14F0">
      <w:pPr>
        <w:pStyle w:val="BodyText"/>
        <w:spacing w:before="121"/>
        <w:ind w:right="732"/>
        <w:jc w:val="left"/>
      </w:pPr>
      <w:r>
        <w:t>Based</w:t>
      </w:r>
      <w:r>
        <w:rPr>
          <w:spacing w:val="-4"/>
        </w:rPr>
        <w:t xml:space="preserve"> </w:t>
      </w:r>
      <w:r>
        <w:t>on</w:t>
      </w:r>
      <w:r>
        <w:rPr>
          <w:spacing w:val="-5"/>
        </w:rPr>
        <w:t xml:space="preserve"> </w:t>
      </w:r>
      <w:r>
        <w:rPr>
          <w:i/>
        </w:rPr>
        <w:t>in</w:t>
      </w:r>
      <w:r>
        <w:rPr>
          <w:i/>
          <w:spacing w:val="-6"/>
        </w:rPr>
        <w:t xml:space="preserve"> </w:t>
      </w:r>
      <w:r>
        <w:rPr>
          <w:i/>
        </w:rPr>
        <w:t>vitro</w:t>
      </w:r>
      <w:r>
        <w:rPr>
          <w:i/>
          <w:spacing w:val="-6"/>
        </w:rPr>
        <w:t xml:space="preserve"> </w:t>
      </w:r>
      <w:r>
        <w:t>data,</w:t>
      </w:r>
      <w:r>
        <w:rPr>
          <w:spacing w:val="-5"/>
        </w:rPr>
        <w:t xml:space="preserve"> </w:t>
      </w:r>
      <w:r>
        <w:t>capmatinib</w:t>
      </w:r>
      <w:r>
        <w:rPr>
          <w:spacing w:val="-6"/>
        </w:rPr>
        <w:t xml:space="preserve"> </w:t>
      </w:r>
      <w:r>
        <w:t>is</w:t>
      </w:r>
      <w:r>
        <w:rPr>
          <w:spacing w:val="-5"/>
        </w:rPr>
        <w:t xml:space="preserve"> </w:t>
      </w:r>
      <w:r>
        <w:t>not</w:t>
      </w:r>
      <w:r>
        <w:rPr>
          <w:spacing w:val="-5"/>
        </w:rPr>
        <w:t xml:space="preserve"> </w:t>
      </w:r>
      <w:r>
        <w:t>an</w:t>
      </w:r>
      <w:r>
        <w:rPr>
          <w:spacing w:val="-6"/>
        </w:rPr>
        <w:t xml:space="preserve"> </w:t>
      </w:r>
      <w:r>
        <w:t>inhibitor</w:t>
      </w:r>
      <w:r>
        <w:rPr>
          <w:spacing w:val="-4"/>
        </w:rPr>
        <w:t xml:space="preserve"> </w:t>
      </w:r>
      <w:r>
        <w:t>of</w:t>
      </w:r>
      <w:r>
        <w:rPr>
          <w:spacing w:val="-4"/>
        </w:rPr>
        <w:t xml:space="preserve"> </w:t>
      </w:r>
      <w:r>
        <w:t>renal</w:t>
      </w:r>
      <w:r>
        <w:rPr>
          <w:spacing w:val="-7"/>
        </w:rPr>
        <w:t xml:space="preserve"> </w:t>
      </w:r>
      <w:r>
        <w:t>transporters</w:t>
      </w:r>
      <w:r>
        <w:rPr>
          <w:spacing w:val="-8"/>
        </w:rPr>
        <w:t xml:space="preserve"> </w:t>
      </w:r>
      <w:r>
        <w:t>OAT1</w:t>
      </w:r>
      <w:r>
        <w:rPr>
          <w:spacing w:val="-4"/>
        </w:rPr>
        <w:t xml:space="preserve"> </w:t>
      </w:r>
      <w:r>
        <w:t>or</w:t>
      </w:r>
      <w:r>
        <w:rPr>
          <w:spacing w:val="-6"/>
        </w:rPr>
        <w:t xml:space="preserve"> </w:t>
      </w:r>
      <w:r>
        <w:t>OAT3,</w:t>
      </w:r>
      <w:r>
        <w:rPr>
          <w:spacing w:val="-7"/>
        </w:rPr>
        <w:t xml:space="preserve"> </w:t>
      </w:r>
      <w:r>
        <w:t>but capmatinib and its major metabolite CMN288 showed reversible inhibition of renal transporters MATE1 and MATE2K</w:t>
      </w:r>
      <w:r>
        <w:rPr>
          <w:i/>
        </w:rPr>
        <w:t xml:space="preserve">. </w:t>
      </w:r>
      <w:r>
        <w:t>Capmatinib may inhibit MATE1 and MATE2K at clinically relevant concentrations.</w:t>
      </w:r>
    </w:p>
    <w:p w14:paraId="2366FF0C" w14:textId="77777777" w:rsidR="005303F6" w:rsidRDefault="00EB7C90" w:rsidP="008F14F0">
      <w:pPr>
        <w:pStyle w:val="BodyText"/>
        <w:spacing w:before="41"/>
        <w:ind w:right="730"/>
        <w:jc w:val="left"/>
      </w:pPr>
      <w:r>
        <w:t xml:space="preserve">Based </w:t>
      </w:r>
      <w:proofErr w:type="gramStart"/>
      <w:r>
        <w:t xml:space="preserve">on </w:t>
      </w:r>
      <w:r>
        <w:rPr>
          <w:i/>
        </w:rPr>
        <w:t>in</w:t>
      </w:r>
      <w:proofErr w:type="gramEnd"/>
      <w:r>
        <w:rPr>
          <w:i/>
        </w:rPr>
        <w:t xml:space="preserve"> vitro </w:t>
      </w:r>
      <w:r>
        <w:t>data, capmatinib is a P-</w:t>
      </w:r>
      <w:proofErr w:type="spellStart"/>
      <w:r>
        <w:t>gp</w:t>
      </w:r>
      <w:proofErr w:type="spellEnd"/>
      <w:r>
        <w:t xml:space="preserve"> substrate, but not a BCRP or MRP2 substrate. Capmatinib is not a substrate of transporters involved in active hepatic uptake in primary human hepatocytes.</w:t>
      </w:r>
    </w:p>
    <w:p w14:paraId="2366FF0D" w14:textId="77777777" w:rsidR="005303F6" w:rsidRDefault="00EB7C90" w:rsidP="008F14F0">
      <w:pPr>
        <w:pStyle w:val="Heading3"/>
        <w:spacing w:before="240"/>
      </w:pPr>
      <w:r>
        <w:rPr>
          <w:u w:val="single"/>
        </w:rPr>
        <w:t>Drug-food/drink</w:t>
      </w:r>
      <w:r>
        <w:rPr>
          <w:spacing w:val="-7"/>
          <w:u w:val="single"/>
        </w:rPr>
        <w:t xml:space="preserve"> </w:t>
      </w:r>
      <w:r>
        <w:rPr>
          <w:spacing w:val="-2"/>
          <w:u w:val="single"/>
        </w:rPr>
        <w:t>interactions</w:t>
      </w:r>
    </w:p>
    <w:p w14:paraId="2366FF0E" w14:textId="77777777" w:rsidR="005303F6" w:rsidRDefault="00EB7C90" w:rsidP="008F14F0">
      <w:pPr>
        <w:pStyle w:val="BodyText"/>
        <w:ind w:right="729"/>
        <w:jc w:val="left"/>
      </w:pPr>
      <w:r>
        <w:t>TABRECTA can be administered with or without food (see section 4.2 Dose and method of administration and section 5.2 Pharmacokinetic properties).</w:t>
      </w:r>
    </w:p>
    <w:p w14:paraId="2366FF0F" w14:textId="77777777" w:rsidR="005303F6" w:rsidRDefault="005303F6" w:rsidP="008F14F0">
      <w:pPr>
        <w:pStyle w:val="BodyText"/>
        <w:spacing w:before="119"/>
        <w:ind w:left="0"/>
        <w:jc w:val="left"/>
      </w:pPr>
    </w:p>
    <w:p w14:paraId="1D108775" w14:textId="77777777" w:rsidR="003F2FE8" w:rsidRDefault="003F2FE8" w:rsidP="008F14F0">
      <w:pPr>
        <w:pStyle w:val="BodyText"/>
        <w:spacing w:before="119"/>
        <w:ind w:left="0"/>
        <w:jc w:val="left"/>
      </w:pPr>
    </w:p>
    <w:p w14:paraId="2366FF10" w14:textId="77777777" w:rsidR="005303F6" w:rsidRDefault="00EB7C90" w:rsidP="008F14F0">
      <w:pPr>
        <w:pStyle w:val="Heading2"/>
        <w:numPr>
          <w:ilvl w:val="1"/>
          <w:numId w:val="2"/>
        </w:numPr>
        <w:tabs>
          <w:tab w:val="left" w:pos="1024"/>
        </w:tabs>
        <w:spacing w:before="1"/>
      </w:pPr>
      <w:bookmarkStart w:id="15" w:name="4.6_Fertility,_pregnancy_and_lactation"/>
      <w:bookmarkEnd w:id="15"/>
      <w:r>
        <w:rPr>
          <w:smallCaps/>
          <w:spacing w:val="-2"/>
        </w:rPr>
        <w:lastRenderedPageBreak/>
        <w:t>Fertility,</w:t>
      </w:r>
      <w:r>
        <w:rPr>
          <w:smallCaps/>
          <w:spacing w:val="-6"/>
        </w:rPr>
        <w:t xml:space="preserve"> </w:t>
      </w:r>
      <w:r>
        <w:rPr>
          <w:smallCaps/>
          <w:spacing w:val="-2"/>
        </w:rPr>
        <w:t>pregnancy</w:t>
      </w:r>
      <w:r>
        <w:rPr>
          <w:smallCaps/>
          <w:spacing w:val="5"/>
        </w:rPr>
        <w:t xml:space="preserve"> </w:t>
      </w:r>
      <w:r>
        <w:rPr>
          <w:smallCaps/>
          <w:spacing w:val="-2"/>
        </w:rPr>
        <w:t>and</w:t>
      </w:r>
      <w:r>
        <w:rPr>
          <w:smallCaps/>
          <w:spacing w:val="8"/>
        </w:rPr>
        <w:t xml:space="preserve"> </w:t>
      </w:r>
      <w:r>
        <w:rPr>
          <w:smallCaps/>
          <w:spacing w:val="-2"/>
        </w:rPr>
        <w:t>lactation</w:t>
      </w:r>
    </w:p>
    <w:p w14:paraId="2366FF11" w14:textId="77777777" w:rsidR="005303F6" w:rsidRDefault="00EB7C90" w:rsidP="008F14F0">
      <w:pPr>
        <w:spacing w:before="168"/>
        <w:ind w:left="676"/>
        <w:rPr>
          <w:rFonts w:ascii="Cambria"/>
          <w:b/>
          <w:sz w:val="26"/>
        </w:rPr>
      </w:pPr>
      <w:bookmarkStart w:id="16" w:name="Effects_on_fertility"/>
      <w:bookmarkEnd w:id="16"/>
      <w:r>
        <w:rPr>
          <w:rFonts w:ascii="Cambria"/>
          <w:b/>
          <w:sz w:val="26"/>
        </w:rPr>
        <w:t>Effects</w:t>
      </w:r>
      <w:r>
        <w:rPr>
          <w:rFonts w:ascii="Cambria"/>
          <w:b/>
          <w:spacing w:val="-8"/>
          <w:sz w:val="26"/>
        </w:rPr>
        <w:t xml:space="preserve"> </w:t>
      </w:r>
      <w:r>
        <w:rPr>
          <w:rFonts w:ascii="Cambria"/>
          <w:b/>
          <w:sz w:val="26"/>
        </w:rPr>
        <w:t>on</w:t>
      </w:r>
      <w:r>
        <w:rPr>
          <w:rFonts w:ascii="Cambria"/>
          <w:b/>
          <w:spacing w:val="-7"/>
          <w:sz w:val="26"/>
        </w:rPr>
        <w:t xml:space="preserve"> </w:t>
      </w:r>
      <w:r>
        <w:rPr>
          <w:rFonts w:ascii="Cambria"/>
          <w:b/>
          <w:spacing w:val="-2"/>
          <w:sz w:val="26"/>
        </w:rPr>
        <w:t>fertility</w:t>
      </w:r>
    </w:p>
    <w:p w14:paraId="2366FF12" w14:textId="77777777" w:rsidR="005303F6" w:rsidRDefault="00EB7C90" w:rsidP="008F14F0">
      <w:pPr>
        <w:pStyle w:val="BodyText"/>
        <w:spacing w:before="165" w:line="276" w:lineRule="auto"/>
        <w:ind w:right="738"/>
        <w:jc w:val="left"/>
      </w:pPr>
      <w:r>
        <w:t>There are no data on the effect of capmatinib on human fertility. Fertility studies with capmatinib were not conducted in animals.</w:t>
      </w:r>
    </w:p>
    <w:p w14:paraId="2366FF13" w14:textId="77777777" w:rsidR="005303F6" w:rsidRDefault="00EB7C90" w:rsidP="008F14F0">
      <w:pPr>
        <w:pStyle w:val="Heading2"/>
        <w:ind w:firstLine="0"/>
      </w:pPr>
      <w:bookmarkStart w:id="17" w:name="Use_in_pregnancy_–_Pregnancy_Category_D"/>
      <w:bookmarkEnd w:id="17"/>
      <w:r>
        <w:t>Use</w:t>
      </w:r>
      <w:r>
        <w:rPr>
          <w:spacing w:val="-9"/>
        </w:rPr>
        <w:t xml:space="preserve"> </w:t>
      </w:r>
      <w:r>
        <w:t>in</w:t>
      </w:r>
      <w:r>
        <w:rPr>
          <w:spacing w:val="-8"/>
        </w:rPr>
        <w:t xml:space="preserve"> </w:t>
      </w:r>
      <w:r>
        <w:t>pregnancy</w:t>
      </w:r>
      <w:r>
        <w:rPr>
          <w:spacing w:val="-6"/>
        </w:rPr>
        <w:t xml:space="preserve"> </w:t>
      </w:r>
      <w:r>
        <w:t>–</w:t>
      </w:r>
      <w:r>
        <w:rPr>
          <w:spacing w:val="-6"/>
        </w:rPr>
        <w:t xml:space="preserve"> </w:t>
      </w:r>
      <w:r>
        <w:t>Pregnancy</w:t>
      </w:r>
      <w:r>
        <w:rPr>
          <w:spacing w:val="-8"/>
        </w:rPr>
        <w:t xml:space="preserve"> </w:t>
      </w:r>
      <w:r>
        <w:t>Category</w:t>
      </w:r>
      <w:r>
        <w:rPr>
          <w:spacing w:val="-4"/>
        </w:rPr>
        <w:t xml:space="preserve"> </w:t>
      </w:r>
      <w:r>
        <w:rPr>
          <w:spacing w:val="-10"/>
        </w:rPr>
        <w:t>D</w:t>
      </w:r>
    </w:p>
    <w:p w14:paraId="2366FF14" w14:textId="77777777" w:rsidR="005303F6" w:rsidRDefault="00EB7C90" w:rsidP="008F14F0">
      <w:pPr>
        <w:pStyle w:val="Heading3"/>
        <w:spacing w:before="165"/>
      </w:pPr>
      <w:r>
        <w:rPr>
          <w:u w:val="single"/>
        </w:rPr>
        <w:t>Risk</w:t>
      </w:r>
      <w:r>
        <w:rPr>
          <w:spacing w:val="-1"/>
          <w:u w:val="single"/>
        </w:rPr>
        <w:t xml:space="preserve"> </w:t>
      </w:r>
      <w:r>
        <w:rPr>
          <w:spacing w:val="-2"/>
          <w:u w:val="single"/>
        </w:rPr>
        <w:t>summary</w:t>
      </w:r>
    </w:p>
    <w:p w14:paraId="2366FF15" w14:textId="77777777" w:rsidR="005303F6" w:rsidRDefault="00EB7C90" w:rsidP="008F14F0">
      <w:pPr>
        <w:pStyle w:val="BodyText"/>
        <w:spacing w:before="242" w:line="276" w:lineRule="auto"/>
        <w:ind w:right="727"/>
        <w:jc w:val="left"/>
      </w:pPr>
      <w:r>
        <w:t>Based</w:t>
      </w:r>
      <w:r>
        <w:rPr>
          <w:spacing w:val="-8"/>
        </w:rPr>
        <w:t xml:space="preserve"> </w:t>
      </w:r>
      <w:r>
        <w:t>on</w:t>
      </w:r>
      <w:r>
        <w:rPr>
          <w:spacing w:val="-11"/>
        </w:rPr>
        <w:t xml:space="preserve"> </w:t>
      </w:r>
      <w:r>
        <w:t>findings</w:t>
      </w:r>
      <w:r>
        <w:rPr>
          <w:spacing w:val="-13"/>
        </w:rPr>
        <w:t xml:space="preserve"> </w:t>
      </w:r>
      <w:r>
        <w:t>from</w:t>
      </w:r>
      <w:r>
        <w:rPr>
          <w:spacing w:val="-9"/>
        </w:rPr>
        <w:t xml:space="preserve"> </w:t>
      </w:r>
      <w:r>
        <w:t>animal</w:t>
      </w:r>
      <w:r>
        <w:rPr>
          <w:spacing w:val="-9"/>
        </w:rPr>
        <w:t xml:space="preserve"> </w:t>
      </w:r>
      <w:r>
        <w:t>studies</w:t>
      </w:r>
      <w:r>
        <w:rPr>
          <w:spacing w:val="-12"/>
        </w:rPr>
        <w:t xml:space="preserve"> </w:t>
      </w:r>
      <w:r>
        <w:t>and</w:t>
      </w:r>
      <w:r>
        <w:rPr>
          <w:spacing w:val="-11"/>
        </w:rPr>
        <w:t xml:space="preserve"> </w:t>
      </w:r>
      <w:r>
        <w:t>its</w:t>
      </w:r>
      <w:r>
        <w:rPr>
          <w:spacing w:val="-10"/>
        </w:rPr>
        <w:t xml:space="preserve"> </w:t>
      </w:r>
      <w:r>
        <w:t>mechanism</w:t>
      </w:r>
      <w:r>
        <w:rPr>
          <w:spacing w:val="-12"/>
        </w:rPr>
        <w:t xml:space="preserve"> </w:t>
      </w:r>
      <w:r>
        <w:t>of</w:t>
      </w:r>
      <w:r>
        <w:rPr>
          <w:spacing w:val="-10"/>
        </w:rPr>
        <w:t xml:space="preserve"> </w:t>
      </w:r>
      <w:r>
        <w:t>action,</w:t>
      </w:r>
      <w:r>
        <w:rPr>
          <w:spacing w:val="-12"/>
        </w:rPr>
        <w:t xml:space="preserve"> </w:t>
      </w:r>
      <w:r>
        <w:t>TABRECTA</w:t>
      </w:r>
      <w:r>
        <w:rPr>
          <w:spacing w:val="-9"/>
        </w:rPr>
        <w:t xml:space="preserve"> </w:t>
      </w:r>
      <w:r>
        <w:t>can</w:t>
      </w:r>
      <w:r>
        <w:rPr>
          <w:spacing w:val="-11"/>
        </w:rPr>
        <w:t xml:space="preserve"> </w:t>
      </w:r>
      <w:r>
        <w:t>cause</w:t>
      </w:r>
      <w:r>
        <w:rPr>
          <w:spacing w:val="-12"/>
        </w:rPr>
        <w:t xml:space="preserve"> </w:t>
      </w:r>
      <w:r>
        <w:t xml:space="preserve">fetal harm when administered to a </w:t>
      </w:r>
      <w:proofErr w:type="gramStart"/>
      <w:r>
        <w:t>pregnant patients</w:t>
      </w:r>
      <w:proofErr w:type="gramEnd"/>
      <w:r>
        <w:t>. There are no adequate</w:t>
      </w:r>
      <w:r>
        <w:rPr>
          <w:spacing w:val="-2"/>
        </w:rPr>
        <w:t xml:space="preserve"> </w:t>
      </w:r>
      <w:r>
        <w:t>and well-controlled studies in pregnant patients to inform a product-associated risk. Oral administration of capmatinib to pregnant rats and rabbits during the period of organogenesis resulted in fetotoxicity and teratogenicity.</w:t>
      </w:r>
    </w:p>
    <w:p w14:paraId="2366FF16" w14:textId="77777777" w:rsidR="005303F6" w:rsidRDefault="00EB7C90" w:rsidP="008F14F0">
      <w:pPr>
        <w:pStyle w:val="BodyText"/>
        <w:spacing w:before="202" w:line="276" w:lineRule="auto"/>
        <w:ind w:right="725"/>
        <w:jc w:val="left"/>
      </w:pPr>
      <w:r>
        <w:t xml:space="preserve">TABRECTA should not be used during pregnancy, unless clearly necessary, and only after careful consideration of both the patient’s need and the risk to the fetus. Patients who are pregnant or could become pregnant should be advised of the potential risk to a fetus if TABRECTA is used during pregnancy or if the patient becomes pregnant while taking </w:t>
      </w:r>
      <w:r>
        <w:rPr>
          <w:spacing w:val="-2"/>
        </w:rPr>
        <w:t>TABRECTA.</w:t>
      </w:r>
    </w:p>
    <w:p w14:paraId="2366FF17" w14:textId="77777777" w:rsidR="005303F6" w:rsidRDefault="00EB7C90" w:rsidP="008F14F0">
      <w:pPr>
        <w:pStyle w:val="Heading3"/>
        <w:spacing w:before="199"/>
      </w:pPr>
      <w:r>
        <w:rPr>
          <w:u w:val="single"/>
        </w:rPr>
        <w:t>Pregnancy</w:t>
      </w:r>
      <w:r>
        <w:rPr>
          <w:spacing w:val="-4"/>
          <w:u w:val="single"/>
        </w:rPr>
        <w:t xml:space="preserve"> </w:t>
      </w:r>
      <w:r>
        <w:rPr>
          <w:spacing w:val="-2"/>
          <w:u w:val="single"/>
        </w:rPr>
        <w:t>testing</w:t>
      </w:r>
    </w:p>
    <w:p w14:paraId="2366FF18" w14:textId="77777777" w:rsidR="005303F6" w:rsidRDefault="00EB7C90" w:rsidP="008F14F0">
      <w:pPr>
        <w:pStyle w:val="BodyText"/>
        <w:spacing w:before="245" w:line="276" w:lineRule="auto"/>
        <w:ind w:right="727"/>
        <w:jc w:val="left"/>
      </w:pPr>
      <w:r>
        <w:t xml:space="preserve">The pregnancy status of </w:t>
      </w:r>
      <w:proofErr w:type="gramStart"/>
      <w:r>
        <w:t>patient</w:t>
      </w:r>
      <w:proofErr w:type="gramEnd"/>
      <w:r>
        <w:t xml:space="preserve"> who could become pregnant should be verified prior to starting treatment with TABRECTA.</w:t>
      </w:r>
    </w:p>
    <w:p w14:paraId="2366FF19" w14:textId="77777777" w:rsidR="005303F6" w:rsidRDefault="00EB7C90" w:rsidP="008F14F0">
      <w:pPr>
        <w:pStyle w:val="Heading3"/>
      </w:pPr>
      <w:r>
        <w:rPr>
          <w:spacing w:val="-2"/>
          <w:u w:val="single"/>
        </w:rPr>
        <w:t>Contraception</w:t>
      </w:r>
    </w:p>
    <w:p w14:paraId="2366FF1A" w14:textId="77777777" w:rsidR="005303F6" w:rsidRDefault="00EB7C90" w:rsidP="008F14F0">
      <w:pPr>
        <w:pStyle w:val="BodyText"/>
        <w:spacing w:before="118"/>
        <w:ind w:right="729"/>
        <w:jc w:val="left"/>
      </w:pPr>
      <w:r>
        <w:t>People</w:t>
      </w:r>
      <w:r>
        <w:rPr>
          <w:spacing w:val="-2"/>
        </w:rPr>
        <w:t xml:space="preserve"> </w:t>
      </w:r>
      <w:r>
        <w:t>who could</w:t>
      </w:r>
      <w:r>
        <w:rPr>
          <w:spacing w:val="-4"/>
        </w:rPr>
        <w:t xml:space="preserve"> </w:t>
      </w:r>
      <w:r>
        <w:t>become</w:t>
      </w:r>
      <w:r>
        <w:rPr>
          <w:spacing w:val="-2"/>
        </w:rPr>
        <w:t xml:space="preserve"> </w:t>
      </w:r>
      <w:r>
        <w:t>pregnant should</w:t>
      </w:r>
      <w:r>
        <w:rPr>
          <w:spacing w:val="-2"/>
        </w:rPr>
        <w:t xml:space="preserve"> </w:t>
      </w:r>
      <w:r>
        <w:t>use</w:t>
      </w:r>
      <w:r>
        <w:rPr>
          <w:spacing w:val="-5"/>
        </w:rPr>
        <w:t xml:space="preserve"> </w:t>
      </w:r>
      <w:r>
        <w:t>effective</w:t>
      </w:r>
      <w:r>
        <w:rPr>
          <w:spacing w:val="-3"/>
        </w:rPr>
        <w:t xml:space="preserve"> </w:t>
      </w:r>
      <w:r>
        <w:t>contraception</w:t>
      </w:r>
      <w:r>
        <w:rPr>
          <w:spacing w:val="-1"/>
        </w:rPr>
        <w:t xml:space="preserve"> </w:t>
      </w:r>
      <w:r>
        <w:t>(methods</w:t>
      </w:r>
      <w:r>
        <w:rPr>
          <w:spacing w:val="-3"/>
        </w:rPr>
        <w:t xml:space="preserve"> </w:t>
      </w:r>
      <w:r>
        <w:t>that</w:t>
      </w:r>
      <w:r>
        <w:rPr>
          <w:spacing w:val="-1"/>
        </w:rPr>
        <w:t xml:space="preserve"> </w:t>
      </w:r>
      <w:r>
        <w:t>result in</w:t>
      </w:r>
      <w:r>
        <w:rPr>
          <w:spacing w:val="-10"/>
        </w:rPr>
        <w:t xml:space="preserve"> </w:t>
      </w:r>
      <w:r>
        <w:t>less</w:t>
      </w:r>
      <w:r>
        <w:rPr>
          <w:spacing w:val="-11"/>
        </w:rPr>
        <w:t xml:space="preserve"> </w:t>
      </w:r>
      <w:r>
        <w:t>than</w:t>
      </w:r>
      <w:r>
        <w:rPr>
          <w:spacing w:val="-10"/>
        </w:rPr>
        <w:t xml:space="preserve"> </w:t>
      </w:r>
      <w:r>
        <w:t>1%</w:t>
      </w:r>
      <w:r>
        <w:rPr>
          <w:spacing w:val="-10"/>
        </w:rPr>
        <w:t xml:space="preserve"> </w:t>
      </w:r>
      <w:r>
        <w:t>pregnancy</w:t>
      </w:r>
      <w:r>
        <w:rPr>
          <w:spacing w:val="-12"/>
        </w:rPr>
        <w:t xml:space="preserve"> </w:t>
      </w:r>
      <w:r>
        <w:t>rates)</w:t>
      </w:r>
      <w:r>
        <w:rPr>
          <w:spacing w:val="-12"/>
        </w:rPr>
        <w:t xml:space="preserve"> </w:t>
      </w:r>
      <w:r>
        <w:t>during</w:t>
      </w:r>
      <w:r>
        <w:rPr>
          <w:spacing w:val="-11"/>
        </w:rPr>
        <w:t xml:space="preserve"> </w:t>
      </w:r>
      <w:r>
        <w:t>treatment</w:t>
      </w:r>
      <w:r>
        <w:rPr>
          <w:spacing w:val="-12"/>
        </w:rPr>
        <w:t xml:space="preserve"> </w:t>
      </w:r>
      <w:r>
        <w:t>with</w:t>
      </w:r>
      <w:r>
        <w:rPr>
          <w:spacing w:val="-6"/>
        </w:rPr>
        <w:t xml:space="preserve"> </w:t>
      </w:r>
      <w:r>
        <w:t>TABRECTA</w:t>
      </w:r>
      <w:r>
        <w:rPr>
          <w:spacing w:val="-10"/>
        </w:rPr>
        <w:t xml:space="preserve"> </w:t>
      </w:r>
      <w:r>
        <w:t>and</w:t>
      </w:r>
      <w:r>
        <w:rPr>
          <w:spacing w:val="-13"/>
        </w:rPr>
        <w:t xml:space="preserve"> </w:t>
      </w:r>
      <w:r>
        <w:t>for</w:t>
      </w:r>
      <w:r>
        <w:rPr>
          <w:spacing w:val="-10"/>
        </w:rPr>
        <w:t xml:space="preserve"> </w:t>
      </w:r>
      <w:r>
        <w:t>at</w:t>
      </w:r>
      <w:r>
        <w:rPr>
          <w:spacing w:val="-10"/>
        </w:rPr>
        <w:t xml:space="preserve"> </w:t>
      </w:r>
      <w:r>
        <w:t>least</w:t>
      </w:r>
      <w:r>
        <w:rPr>
          <w:spacing w:val="-10"/>
        </w:rPr>
        <w:t xml:space="preserve"> </w:t>
      </w:r>
      <w:r>
        <w:t>7</w:t>
      </w:r>
      <w:r>
        <w:rPr>
          <w:spacing w:val="-13"/>
        </w:rPr>
        <w:t xml:space="preserve"> </w:t>
      </w:r>
      <w:r>
        <w:t>days</w:t>
      </w:r>
      <w:r>
        <w:rPr>
          <w:spacing w:val="-12"/>
        </w:rPr>
        <w:t xml:space="preserve"> </w:t>
      </w:r>
      <w:r>
        <w:t>after the last dose.</w:t>
      </w:r>
    </w:p>
    <w:p w14:paraId="2366FF1B" w14:textId="77777777" w:rsidR="005303F6" w:rsidRDefault="00EB7C90" w:rsidP="008F14F0">
      <w:pPr>
        <w:pStyle w:val="BodyText"/>
        <w:spacing w:before="122"/>
        <w:ind w:right="728"/>
        <w:jc w:val="left"/>
      </w:pPr>
      <w:r>
        <w:t>Male patients with sexual partners who are pregnant, possibly pregnant, or who could become pregnant should use condoms during treatment with TABRECTA and for at least 7 days after the last dose.</w:t>
      </w:r>
    </w:p>
    <w:p w14:paraId="2366FF1D" w14:textId="77777777" w:rsidR="005303F6" w:rsidRDefault="00EB7C90" w:rsidP="008F14F0">
      <w:pPr>
        <w:pStyle w:val="Heading3"/>
        <w:spacing w:before="41"/>
      </w:pPr>
      <w:r>
        <w:rPr>
          <w:u w:val="single"/>
        </w:rPr>
        <w:t>Animal</w:t>
      </w:r>
      <w:r>
        <w:rPr>
          <w:spacing w:val="-3"/>
          <w:u w:val="single"/>
        </w:rPr>
        <w:t xml:space="preserve"> </w:t>
      </w:r>
      <w:r>
        <w:rPr>
          <w:spacing w:val="-4"/>
          <w:u w:val="single"/>
        </w:rPr>
        <w:t>data</w:t>
      </w:r>
    </w:p>
    <w:p w14:paraId="2366FF1E" w14:textId="77777777" w:rsidR="005303F6" w:rsidRDefault="00EB7C90" w:rsidP="008F14F0">
      <w:pPr>
        <w:pStyle w:val="BodyText"/>
        <w:ind w:right="726"/>
        <w:jc w:val="left"/>
      </w:pPr>
      <w:r>
        <w:t>In</w:t>
      </w:r>
      <w:r>
        <w:rPr>
          <w:spacing w:val="-14"/>
        </w:rPr>
        <w:t xml:space="preserve"> </w:t>
      </w:r>
      <w:r>
        <w:t>embryo-fetal</w:t>
      </w:r>
      <w:r>
        <w:rPr>
          <w:spacing w:val="-14"/>
        </w:rPr>
        <w:t xml:space="preserve"> </w:t>
      </w:r>
      <w:r>
        <w:t>development</w:t>
      </w:r>
      <w:r>
        <w:rPr>
          <w:spacing w:val="-13"/>
        </w:rPr>
        <w:t xml:space="preserve"> </w:t>
      </w:r>
      <w:r>
        <w:t>studies</w:t>
      </w:r>
      <w:r>
        <w:rPr>
          <w:spacing w:val="-14"/>
        </w:rPr>
        <w:t xml:space="preserve"> </w:t>
      </w:r>
      <w:r>
        <w:t>in</w:t>
      </w:r>
      <w:r>
        <w:rPr>
          <w:spacing w:val="-13"/>
        </w:rPr>
        <w:t xml:space="preserve"> </w:t>
      </w:r>
      <w:r>
        <w:t>rats</w:t>
      </w:r>
      <w:r>
        <w:rPr>
          <w:spacing w:val="-14"/>
        </w:rPr>
        <w:t xml:space="preserve"> </w:t>
      </w:r>
      <w:r>
        <w:t>and</w:t>
      </w:r>
      <w:r>
        <w:rPr>
          <w:spacing w:val="-13"/>
        </w:rPr>
        <w:t xml:space="preserve"> </w:t>
      </w:r>
      <w:r>
        <w:t>rabbits,</w:t>
      </w:r>
      <w:r>
        <w:rPr>
          <w:spacing w:val="-14"/>
        </w:rPr>
        <w:t xml:space="preserve"> </w:t>
      </w:r>
      <w:r>
        <w:t>pregnant</w:t>
      </w:r>
      <w:r>
        <w:rPr>
          <w:spacing w:val="-14"/>
        </w:rPr>
        <w:t xml:space="preserve"> </w:t>
      </w:r>
      <w:r>
        <w:t>animals</w:t>
      </w:r>
      <w:r>
        <w:rPr>
          <w:spacing w:val="-13"/>
        </w:rPr>
        <w:t xml:space="preserve"> </w:t>
      </w:r>
      <w:r>
        <w:t>received</w:t>
      </w:r>
      <w:r>
        <w:rPr>
          <w:spacing w:val="-14"/>
        </w:rPr>
        <w:t xml:space="preserve"> </w:t>
      </w:r>
      <w:r>
        <w:t>oral</w:t>
      </w:r>
      <w:r>
        <w:rPr>
          <w:spacing w:val="-13"/>
        </w:rPr>
        <w:t xml:space="preserve"> </w:t>
      </w:r>
      <w:r>
        <w:t>doses of capmatinib up to 30</w:t>
      </w:r>
      <w:r>
        <w:rPr>
          <w:spacing w:val="-2"/>
        </w:rPr>
        <w:t xml:space="preserve"> </w:t>
      </w:r>
      <w:r>
        <w:t>mg/kg/day and 60</w:t>
      </w:r>
      <w:r>
        <w:rPr>
          <w:spacing w:val="-1"/>
        </w:rPr>
        <w:t xml:space="preserve"> </w:t>
      </w:r>
      <w:r>
        <w:t>mg/kg/day, respectively, during the period of organogenesis. At 30 mg/kg/day in rats and 60 mg/kg/day in rabbits, the maternal systemic exposure (AUC) was approximately 1.4 and 1.5 times, respectively, the exposure in humans at the MRHD of 400 mg twice daily.</w:t>
      </w:r>
    </w:p>
    <w:p w14:paraId="335FA30B" w14:textId="77777777" w:rsidR="008F14F0" w:rsidRDefault="00EB7C90" w:rsidP="008F14F0">
      <w:pPr>
        <w:pStyle w:val="BodyText"/>
        <w:spacing w:before="119"/>
        <w:ind w:right="726"/>
        <w:jc w:val="left"/>
      </w:pPr>
      <w:r>
        <w:t>In rats,</w:t>
      </w:r>
      <w:r>
        <w:rPr>
          <w:spacing w:val="-1"/>
        </w:rPr>
        <w:t xml:space="preserve"> </w:t>
      </w:r>
      <w:r>
        <w:t>maternal</w:t>
      </w:r>
      <w:r>
        <w:rPr>
          <w:spacing w:val="-3"/>
        </w:rPr>
        <w:t xml:space="preserve"> </w:t>
      </w:r>
      <w:r>
        <w:t>toxicity</w:t>
      </w:r>
      <w:r>
        <w:rPr>
          <w:spacing w:val="-4"/>
        </w:rPr>
        <w:t xml:space="preserve"> </w:t>
      </w:r>
      <w:r>
        <w:t>(reduced</w:t>
      </w:r>
      <w:r>
        <w:rPr>
          <w:spacing w:val="-2"/>
        </w:rPr>
        <w:t xml:space="preserve"> </w:t>
      </w:r>
      <w:r>
        <w:t>body</w:t>
      </w:r>
      <w:r>
        <w:rPr>
          <w:spacing w:val="-4"/>
        </w:rPr>
        <w:t xml:space="preserve"> </w:t>
      </w:r>
      <w:r>
        <w:t>weight gain and</w:t>
      </w:r>
      <w:r>
        <w:rPr>
          <w:spacing w:val="-2"/>
        </w:rPr>
        <w:t xml:space="preserve"> </w:t>
      </w:r>
      <w:r>
        <w:t>food consumption)</w:t>
      </w:r>
      <w:r>
        <w:rPr>
          <w:spacing w:val="-2"/>
        </w:rPr>
        <w:t xml:space="preserve"> </w:t>
      </w:r>
      <w:r>
        <w:t>was</w:t>
      </w:r>
      <w:r>
        <w:rPr>
          <w:spacing w:val="-1"/>
        </w:rPr>
        <w:t xml:space="preserve"> </w:t>
      </w:r>
      <w:r>
        <w:t>observed at the</w:t>
      </w:r>
      <w:r>
        <w:rPr>
          <w:spacing w:val="-4"/>
        </w:rPr>
        <w:t xml:space="preserve"> </w:t>
      </w:r>
      <w:r>
        <w:t>dose</w:t>
      </w:r>
      <w:r>
        <w:rPr>
          <w:spacing w:val="-3"/>
        </w:rPr>
        <w:t xml:space="preserve"> </w:t>
      </w:r>
      <w:r>
        <w:t>of</w:t>
      </w:r>
      <w:r>
        <w:rPr>
          <w:spacing w:val="-3"/>
        </w:rPr>
        <w:t xml:space="preserve"> </w:t>
      </w:r>
      <w:r>
        <w:t>30</w:t>
      </w:r>
      <w:r>
        <w:rPr>
          <w:spacing w:val="-3"/>
        </w:rPr>
        <w:t xml:space="preserve"> </w:t>
      </w:r>
      <w:r>
        <w:t>mg/kg/day.</w:t>
      </w:r>
      <w:r>
        <w:rPr>
          <w:spacing w:val="-3"/>
        </w:rPr>
        <w:t xml:space="preserve"> </w:t>
      </w:r>
      <w:r>
        <w:t>Fetal</w:t>
      </w:r>
      <w:r>
        <w:rPr>
          <w:spacing w:val="-2"/>
        </w:rPr>
        <w:t xml:space="preserve"> </w:t>
      </w:r>
      <w:r>
        <w:t>effects</w:t>
      </w:r>
      <w:r>
        <w:rPr>
          <w:spacing w:val="-3"/>
        </w:rPr>
        <w:t xml:space="preserve"> </w:t>
      </w:r>
      <w:r>
        <w:t>included</w:t>
      </w:r>
      <w:r>
        <w:rPr>
          <w:spacing w:val="-2"/>
        </w:rPr>
        <w:t xml:space="preserve"> </w:t>
      </w:r>
      <w:r>
        <w:t>reduced</w:t>
      </w:r>
      <w:r>
        <w:rPr>
          <w:spacing w:val="-2"/>
        </w:rPr>
        <w:t xml:space="preserve"> </w:t>
      </w:r>
      <w:r>
        <w:t>fetal</w:t>
      </w:r>
      <w:r>
        <w:rPr>
          <w:spacing w:val="-4"/>
        </w:rPr>
        <w:t xml:space="preserve"> </w:t>
      </w:r>
      <w:r>
        <w:t>weights,</w:t>
      </w:r>
      <w:r>
        <w:rPr>
          <w:spacing w:val="-4"/>
        </w:rPr>
        <w:t xml:space="preserve"> </w:t>
      </w:r>
      <w:r>
        <w:t xml:space="preserve">irregular/incomplete ossification, and increased incidences of fetal malformations (e.g. abnormal flexure/inward malrotation of </w:t>
      </w:r>
      <w:proofErr w:type="spellStart"/>
      <w:r>
        <w:t>hindpaws</w:t>
      </w:r>
      <w:proofErr w:type="spellEnd"/>
      <w:r>
        <w:t>/forepaws, thinness of forelimbs, lack of/reduced flexion at the humerus/ulna joints, narrowed or small tongue) at doses of ≥10 mg/kg/day (with maternal systemic</w:t>
      </w:r>
      <w:r>
        <w:rPr>
          <w:spacing w:val="-6"/>
        </w:rPr>
        <w:t xml:space="preserve"> </w:t>
      </w:r>
      <w:r>
        <w:t>exposure</w:t>
      </w:r>
      <w:r>
        <w:rPr>
          <w:spacing w:val="-8"/>
        </w:rPr>
        <w:t xml:space="preserve"> </w:t>
      </w:r>
      <w:r>
        <w:t>at</w:t>
      </w:r>
      <w:r>
        <w:rPr>
          <w:spacing w:val="-7"/>
        </w:rPr>
        <w:t xml:space="preserve"> </w:t>
      </w:r>
      <w:r>
        <w:t>0.56</w:t>
      </w:r>
      <w:r>
        <w:rPr>
          <w:spacing w:val="-6"/>
        </w:rPr>
        <w:t xml:space="preserve"> </w:t>
      </w:r>
      <w:r>
        <w:t>times</w:t>
      </w:r>
      <w:r>
        <w:rPr>
          <w:spacing w:val="-9"/>
        </w:rPr>
        <w:t xml:space="preserve"> </w:t>
      </w:r>
      <w:r>
        <w:t>the</w:t>
      </w:r>
      <w:r>
        <w:rPr>
          <w:spacing w:val="-8"/>
        </w:rPr>
        <w:t xml:space="preserve"> </w:t>
      </w:r>
      <w:r>
        <w:t>exposure</w:t>
      </w:r>
      <w:r>
        <w:rPr>
          <w:spacing w:val="-8"/>
        </w:rPr>
        <w:t xml:space="preserve"> </w:t>
      </w:r>
      <w:r>
        <w:t>in</w:t>
      </w:r>
      <w:r>
        <w:rPr>
          <w:spacing w:val="-8"/>
        </w:rPr>
        <w:t xml:space="preserve"> </w:t>
      </w:r>
      <w:r>
        <w:t>humans</w:t>
      </w:r>
      <w:r>
        <w:rPr>
          <w:spacing w:val="-9"/>
        </w:rPr>
        <w:t xml:space="preserve"> </w:t>
      </w:r>
      <w:r>
        <w:t>at</w:t>
      </w:r>
      <w:r>
        <w:rPr>
          <w:spacing w:val="-7"/>
        </w:rPr>
        <w:t xml:space="preserve"> </w:t>
      </w:r>
      <w:r>
        <w:t>the</w:t>
      </w:r>
      <w:r>
        <w:rPr>
          <w:spacing w:val="-8"/>
        </w:rPr>
        <w:t xml:space="preserve"> </w:t>
      </w:r>
      <w:r>
        <w:t>MRHD</w:t>
      </w:r>
      <w:r>
        <w:rPr>
          <w:spacing w:val="-5"/>
        </w:rPr>
        <w:t xml:space="preserve"> </w:t>
      </w:r>
      <w:r>
        <w:t>of</w:t>
      </w:r>
      <w:r>
        <w:rPr>
          <w:spacing w:val="-8"/>
        </w:rPr>
        <w:t xml:space="preserve"> </w:t>
      </w:r>
      <w:r>
        <w:t>400 mg</w:t>
      </w:r>
      <w:r>
        <w:rPr>
          <w:spacing w:val="-9"/>
        </w:rPr>
        <w:t xml:space="preserve"> </w:t>
      </w:r>
      <w:r>
        <w:t>twice</w:t>
      </w:r>
      <w:r>
        <w:rPr>
          <w:spacing w:val="-8"/>
        </w:rPr>
        <w:t xml:space="preserve"> </w:t>
      </w:r>
      <w:r>
        <w:t xml:space="preserve">daily). </w:t>
      </w:r>
    </w:p>
    <w:p w14:paraId="2366FF20" w14:textId="3242450C" w:rsidR="005303F6" w:rsidRDefault="00EB7C90" w:rsidP="008F14F0">
      <w:pPr>
        <w:pStyle w:val="BodyText"/>
        <w:spacing w:before="119"/>
        <w:ind w:right="726"/>
        <w:jc w:val="left"/>
      </w:pPr>
      <w:r>
        <w:lastRenderedPageBreak/>
        <w:t>In</w:t>
      </w:r>
      <w:r>
        <w:rPr>
          <w:spacing w:val="32"/>
        </w:rPr>
        <w:t xml:space="preserve"> </w:t>
      </w:r>
      <w:r>
        <w:t>rabbits,</w:t>
      </w:r>
      <w:r>
        <w:rPr>
          <w:spacing w:val="31"/>
        </w:rPr>
        <w:t xml:space="preserve"> </w:t>
      </w:r>
      <w:r>
        <w:t>no</w:t>
      </w:r>
      <w:r>
        <w:rPr>
          <w:spacing w:val="32"/>
        </w:rPr>
        <w:t xml:space="preserve"> </w:t>
      </w:r>
      <w:r>
        <w:t>maternal</w:t>
      </w:r>
      <w:r>
        <w:rPr>
          <w:spacing w:val="30"/>
        </w:rPr>
        <w:t xml:space="preserve"> </w:t>
      </w:r>
      <w:r>
        <w:t>effects</w:t>
      </w:r>
      <w:r>
        <w:rPr>
          <w:spacing w:val="31"/>
        </w:rPr>
        <w:t xml:space="preserve"> </w:t>
      </w:r>
      <w:r>
        <w:t>were</w:t>
      </w:r>
      <w:r>
        <w:rPr>
          <w:spacing w:val="32"/>
        </w:rPr>
        <w:t xml:space="preserve"> </w:t>
      </w:r>
      <w:r>
        <w:t>detected</w:t>
      </w:r>
      <w:r>
        <w:rPr>
          <w:spacing w:val="32"/>
        </w:rPr>
        <w:t xml:space="preserve"> </w:t>
      </w:r>
      <w:r>
        <w:t>at</w:t>
      </w:r>
      <w:r>
        <w:rPr>
          <w:spacing w:val="33"/>
        </w:rPr>
        <w:t xml:space="preserve"> </w:t>
      </w:r>
      <w:r>
        <w:t>doses</w:t>
      </w:r>
      <w:r>
        <w:rPr>
          <w:spacing w:val="29"/>
        </w:rPr>
        <w:t xml:space="preserve"> </w:t>
      </w:r>
      <w:r>
        <w:t>up</w:t>
      </w:r>
      <w:r>
        <w:rPr>
          <w:spacing w:val="32"/>
        </w:rPr>
        <w:t xml:space="preserve"> </w:t>
      </w:r>
      <w:r>
        <w:t>to</w:t>
      </w:r>
      <w:r>
        <w:rPr>
          <w:spacing w:val="32"/>
        </w:rPr>
        <w:t xml:space="preserve"> </w:t>
      </w:r>
      <w:r>
        <w:t>60 mg/kg/day.</w:t>
      </w:r>
      <w:r>
        <w:rPr>
          <w:spacing w:val="30"/>
        </w:rPr>
        <w:t xml:space="preserve"> </w:t>
      </w:r>
      <w:r>
        <w:t>Fetal</w:t>
      </w:r>
      <w:r>
        <w:rPr>
          <w:spacing w:val="32"/>
        </w:rPr>
        <w:t xml:space="preserve"> </w:t>
      </w:r>
      <w:r>
        <w:t>effects</w:t>
      </w:r>
      <w:r w:rsidR="008F14F0">
        <w:t xml:space="preserve"> </w:t>
      </w:r>
      <w:r>
        <w:t xml:space="preserve">included small lung lobe at ≥5 mg/kg/day (with systemic exposure at 0.016 times the exposure in humans at the MRHD of 400 mg twice daily), and reduced fetal weights, irregular/incomplete ossification and increased incidences of fetal malformations (e.g. abnormal flexure/malrotation of </w:t>
      </w:r>
      <w:proofErr w:type="spellStart"/>
      <w:r>
        <w:t>hindpaws</w:t>
      </w:r>
      <w:proofErr w:type="spellEnd"/>
      <w:r>
        <w:t>/forepaws, thinness of forelimbs/hindlimbs, lack of/reduced</w:t>
      </w:r>
      <w:r>
        <w:rPr>
          <w:spacing w:val="-8"/>
        </w:rPr>
        <w:t xml:space="preserve"> </w:t>
      </w:r>
      <w:r>
        <w:t>flexion</w:t>
      </w:r>
      <w:r>
        <w:rPr>
          <w:spacing w:val="-7"/>
        </w:rPr>
        <w:t xml:space="preserve"> </w:t>
      </w:r>
      <w:r>
        <w:t>at</w:t>
      </w:r>
      <w:r>
        <w:rPr>
          <w:spacing w:val="-8"/>
        </w:rPr>
        <w:t xml:space="preserve"> </w:t>
      </w:r>
      <w:r>
        <w:t>the</w:t>
      </w:r>
      <w:r>
        <w:rPr>
          <w:spacing w:val="-11"/>
        </w:rPr>
        <w:t xml:space="preserve"> </w:t>
      </w:r>
      <w:r>
        <w:t>humerus/ulna</w:t>
      </w:r>
      <w:r>
        <w:rPr>
          <w:spacing w:val="-9"/>
        </w:rPr>
        <w:t xml:space="preserve"> </w:t>
      </w:r>
      <w:r>
        <w:t>joints,</w:t>
      </w:r>
      <w:r>
        <w:rPr>
          <w:spacing w:val="-9"/>
        </w:rPr>
        <w:t xml:space="preserve"> </w:t>
      </w:r>
      <w:r>
        <w:t>small</w:t>
      </w:r>
      <w:r>
        <w:rPr>
          <w:spacing w:val="-8"/>
        </w:rPr>
        <w:t xml:space="preserve"> </w:t>
      </w:r>
      <w:r>
        <w:t>lung</w:t>
      </w:r>
      <w:r>
        <w:rPr>
          <w:spacing w:val="-9"/>
        </w:rPr>
        <w:t xml:space="preserve"> </w:t>
      </w:r>
      <w:r>
        <w:t>lobes,</w:t>
      </w:r>
      <w:r>
        <w:rPr>
          <w:spacing w:val="-8"/>
        </w:rPr>
        <w:t xml:space="preserve"> </w:t>
      </w:r>
      <w:r>
        <w:t>narrowed</w:t>
      </w:r>
      <w:r>
        <w:rPr>
          <w:spacing w:val="-10"/>
        </w:rPr>
        <w:t xml:space="preserve"> </w:t>
      </w:r>
      <w:r>
        <w:t>or</w:t>
      </w:r>
      <w:r>
        <w:rPr>
          <w:spacing w:val="-8"/>
        </w:rPr>
        <w:t xml:space="preserve"> </w:t>
      </w:r>
      <w:r>
        <w:t>small</w:t>
      </w:r>
      <w:r>
        <w:rPr>
          <w:spacing w:val="-9"/>
        </w:rPr>
        <w:t xml:space="preserve"> </w:t>
      </w:r>
      <w:r>
        <w:t>tongue)</w:t>
      </w:r>
      <w:r>
        <w:rPr>
          <w:spacing w:val="-9"/>
        </w:rPr>
        <w:t xml:space="preserve"> </w:t>
      </w:r>
      <w:r>
        <w:t>at the dose of 60 mg/kg/day (with systemic exposure at 1.5 times the exposure in humans at the MRHD of 400 mg twice daily).</w:t>
      </w:r>
    </w:p>
    <w:p w14:paraId="2366FF21" w14:textId="77777777" w:rsidR="005303F6" w:rsidRDefault="00EB7C90" w:rsidP="008F14F0">
      <w:pPr>
        <w:pStyle w:val="Heading2"/>
        <w:ind w:firstLine="0"/>
      </w:pPr>
      <w:bookmarkStart w:id="18" w:name="Use_in_lactation."/>
      <w:bookmarkEnd w:id="18"/>
      <w:r>
        <w:t>Use</w:t>
      </w:r>
      <w:r>
        <w:rPr>
          <w:spacing w:val="-5"/>
        </w:rPr>
        <w:t xml:space="preserve"> </w:t>
      </w:r>
      <w:r>
        <w:t>in</w:t>
      </w:r>
      <w:r>
        <w:rPr>
          <w:spacing w:val="-4"/>
        </w:rPr>
        <w:t xml:space="preserve"> </w:t>
      </w:r>
      <w:r>
        <w:rPr>
          <w:spacing w:val="-2"/>
        </w:rPr>
        <w:t>lactation.</w:t>
      </w:r>
    </w:p>
    <w:p w14:paraId="2366FF22" w14:textId="77777777" w:rsidR="005303F6" w:rsidRDefault="00EB7C90" w:rsidP="008F14F0">
      <w:pPr>
        <w:pStyle w:val="BodyText"/>
        <w:spacing w:before="165" w:line="276" w:lineRule="auto"/>
        <w:ind w:right="725"/>
        <w:jc w:val="left"/>
      </w:pPr>
      <w:r>
        <w:t>It</w:t>
      </w:r>
      <w:r>
        <w:rPr>
          <w:spacing w:val="-14"/>
        </w:rPr>
        <w:t xml:space="preserve"> </w:t>
      </w:r>
      <w:r>
        <w:t>is</w:t>
      </w:r>
      <w:r>
        <w:rPr>
          <w:spacing w:val="-14"/>
        </w:rPr>
        <w:t xml:space="preserve"> </w:t>
      </w:r>
      <w:r>
        <w:t>not</w:t>
      </w:r>
      <w:r>
        <w:rPr>
          <w:spacing w:val="-13"/>
        </w:rPr>
        <w:t xml:space="preserve"> </w:t>
      </w:r>
      <w:r>
        <w:t>known</w:t>
      </w:r>
      <w:r>
        <w:rPr>
          <w:spacing w:val="-12"/>
        </w:rPr>
        <w:t xml:space="preserve"> </w:t>
      </w:r>
      <w:r>
        <w:t>if</w:t>
      </w:r>
      <w:r>
        <w:rPr>
          <w:spacing w:val="-13"/>
        </w:rPr>
        <w:t xml:space="preserve"> </w:t>
      </w:r>
      <w:r>
        <w:t>capmatinib</w:t>
      </w:r>
      <w:r>
        <w:rPr>
          <w:spacing w:val="-13"/>
        </w:rPr>
        <w:t xml:space="preserve"> </w:t>
      </w:r>
      <w:r>
        <w:t>is</w:t>
      </w:r>
      <w:r>
        <w:rPr>
          <w:spacing w:val="-14"/>
        </w:rPr>
        <w:t xml:space="preserve"> </w:t>
      </w:r>
      <w:r>
        <w:t>transferred</w:t>
      </w:r>
      <w:r>
        <w:rPr>
          <w:spacing w:val="-13"/>
        </w:rPr>
        <w:t xml:space="preserve"> </w:t>
      </w:r>
      <w:r>
        <w:t>into</w:t>
      </w:r>
      <w:r>
        <w:rPr>
          <w:spacing w:val="-13"/>
        </w:rPr>
        <w:t xml:space="preserve"> </w:t>
      </w:r>
      <w:r>
        <w:t>human</w:t>
      </w:r>
      <w:r>
        <w:rPr>
          <w:spacing w:val="-13"/>
        </w:rPr>
        <w:t xml:space="preserve"> </w:t>
      </w:r>
      <w:r>
        <w:t>milk</w:t>
      </w:r>
      <w:r>
        <w:rPr>
          <w:spacing w:val="-14"/>
        </w:rPr>
        <w:t xml:space="preserve"> </w:t>
      </w:r>
      <w:r>
        <w:t>after</w:t>
      </w:r>
      <w:r>
        <w:rPr>
          <w:spacing w:val="-13"/>
        </w:rPr>
        <w:t xml:space="preserve"> </w:t>
      </w:r>
      <w:r>
        <w:t>administration</w:t>
      </w:r>
      <w:r>
        <w:rPr>
          <w:spacing w:val="-14"/>
        </w:rPr>
        <w:t xml:space="preserve"> </w:t>
      </w:r>
      <w:r>
        <w:t>of</w:t>
      </w:r>
      <w:r>
        <w:rPr>
          <w:spacing w:val="-12"/>
        </w:rPr>
        <w:t xml:space="preserve"> </w:t>
      </w:r>
      <w:r>
        <w:t>TABRECTA. There are no data on the effects of capmatinib on the breastfed child or on milk production. Because of the potential for serious adverse drug reactions in breast-fed children, breast-feeding should be paused during treatment with TABRECTA and for at least 7 days after the last dose.</w:t>
      </w:r>
    </w:p>
    <w:p w14:paraId="2366FF23" w14:textId="77777777" w:rsidR="005303F6" w:rsidRDefault="00EB7C90" w:rsidP="008F14F0">
      <w:pPr>
        <w:pStyle w:val="Heading3"/>
        <w:numPr>
          <w:ilvl w:val="1"/>
          <w:numId w:val="2"/>
        </w:numPr>
        <w:tabs>
          <w:tab w:val="left" w:pos="1024"/>
        </w:tabs>
        <w:spacing w:before="202"/>
        <w:rPr>
          <w:rFonts w:ascii="Cambria"/>
        </w:rPr>
      </w:pPr>
      <w:bookmarkStart w:id="19" w:name="4.7_Effects_on_ability_to_drive_and_use_"/>
      <w:bookmarkEnd w:id="19"/>
      <w:r>
        <w:rPr>
          <w:rFonts w:ascii="Cambria"/>
          <w:smallCaps/>
        </w:rPr>
        <w:t>Effects</w:t>
      </w:r>
      <w:r>
        <w:rPr>
          <w:rFonts w:ascii="Cambria"/>
          <w:smallCaps/>
          <w:spacing w:val="-6"/>
        </w:rPr>
        <w:t xml:space="preserve"> </w:t>
      </w:r>
      <w:r>
        <w:rPr>
          <w:rFonts w:ascii="Cambria"/>
          <w:smallCaps/>
        </w:rPr>
        <w:t>on</w:t>
      </w:r>
      <w:r>
        <w:rPr>
          <w:rFonts w:ascii="Cambria"/>
          <w:smallCaps/>
          <w:spacing w:val="-7"/>
        </w:rPr>
        <w:t xml:space="preserve"> </w:t>
      </w:r>
      <w:r>
        <w:rPr>
          <w:rFonts w:ascii="Cambria"/>
          <w:smallCaps/>
        </w:rPr>
        <w:t>ability</w:t>
      </w:r>
      <w:r>
        <w:rPr>
          <w:rFonts w:ascii="Cambria"/>
          <w:smallCaps/>
          <w:spacing w:val="-7"/>
        </w:rPr>
        <w:t xml:space="preserve"> </w:t>
      </w:r>
      <w:r>
        <w:rPr>
          <w:rFonts w:ascii="Cambria"/>
          <w:smallCaps/>
        </w:rPr>
        <w:t>to</w:t>
      </w:r>
      <w:r>
        <w:rPr>
          <w:rFonts w:ascii="Cambria"/>
          <w:smallCaps/>
          <w:spacing w:val="-6"/>
        </w:rPr>
        <w:t xml:space="preserve"> </w:t>
      </w:r>
      <w:r>
        <w:rPr>
          <w:rFonts w:ascii="Cambria"/>
          <w:smallCaps/>
        </w:rPr>
        <w:t>drive</w:t>
      </w:r>
      <w:r>
        <w:rPr>
          <w:rFonts w:ascii="Cambria"/>
          <w:smallCaps/>
          <w:spacing w:val="-7"/>
        </w:rPr>
        <w:t xml:space="preserve"> </w:t>
      </w:r>
      <w:r>
        <w:rPr>
          <w:rFonts w:ascii="Cambria"/>
          <w:smallCaps/>
        </w:rPr>
        <w:t>and</w:t>
      </w:r>
      <w:r>
        <w:rPr>
          <w:rFonts w:ascii="Cambria"/>
          <w:smallCaps/>
          <w:spacing w:val="-6"/>
        </w:rPr>
        <w:t xml:space="preserve"> </w:t>
      </w:r>
      <w:r>
        <w:rPr>
          <w:rFonts w:ascii="Cambria"/>
          <w:smallCaps/>
        </w:rPr>
        <w:t>use</w:t>
      </w:r>
      <w:r>
        <w:rPr>
          <w:rFonts w:ascii="Cambria"/>
          <w:smallCaps/>
          <w:spacing w:val="-7"/>
        </w:rPr>
        <w:t xml:space="preserve"> </w:t>
      </w:r>
      <w:r>
        <w:rPr>
          <w:rFonts w:ascii="Cambria"/>
          <w:smallCaps/>
          <w:spacing w:val="-2"/>
        </w:rPr>
        <w:t>machines</w:t>
      </w:r>
    </w:p>
    <w:p w14:paraId="2366FF24" w14:textId="77777777" w:rsidR="005303F6" w:rsidRDefault="00EB7C90" w:rsidP="008F14F0">
      <w:pPr>
        <w:pStyle w:val="BodyText"/>
        <w:spacing w:before="160" w:line="278" w:lineRule="auto"/>
        <w:ind w:right="734"/>
        <w:jc w:val="left"/>
      </w:pPr>
      <w:r>
        <w:t>The</w:t>
      </w:r>
      <w:r>
        <w:rPr>
          <w:spacing w:val="-11"/>
        </w:rPr>
        <w:t xml:space="preserve"> </w:t>
      </w:r>
      <w:r>
        <w:t>effects</w:t>
      </w:r>
      <w:r>
        <w:rPr>
          <w:spacing w:val="-11"/>
        </w:rPr>
        <w:t xml:space="preserve"> </w:t>
      </w:r>
      <w:r>
        <w:t>of</w:t>
      </w:r>
      <w:r>
        <w:rPr>
          <w:spacing w:val="-9"/>
        </w:rPr>
        <w:t xml:space="preserve"> </w:t>
      </w:r>
      <w:r>
        <w:t>this</w:t>
      </w:r>
      <w:r>
        <w:rPr>
          <w:spacing w:val="-9"/>
        </w:rPr>
        <w:t xml:space="preserve"> </w:t>
      </w:r>
      <w:r>
        <w:t>medicine</w:t>
      </w:r>
      <w:r>
        <w:rPr>
          <w:spacing w:val="-8"/>
        </w:rPr>
        <w:t xml:space="preserve"> </w:t>
      </w:r>
      <w:r>
        <w:t>on</w:t>
      </w:r>
      <w:r>
        <w:rPr>
          <w:spacing w:val="-8"/>
        </w:rPr>
        <w:t xml:space="preserve"> </w:t>
      </w:r>
      <w:r>
        <w:t>a</w:t>
      </w:r>
      <w:r>
        <w:rPr>
          <w:spacing w:val="-11"/>
        </w:rPr>
        <w:t xml:space="preserve"> </w:t>
      </w:r>
      <w:r>
        <w:t>person's</w:t>
      </w:r>
      <w:r>
        <w:rPr>
          <w:spacing w:val="-12"/>
        </w:rPr>
        <w:t xml:space="preserve"> </w:t>
      </w:r>
      <w:r>
        <w:t>ability</w:t>
      </w:r>
      <w:r>
        <w:rPr>
          <w:spacing w:val="-12"/>
        </w:rPr>
        <w:t xml:space="preserve"> </w:t>
      </w:r>
      <w:r>
        <w:t>to</w:t>
      </w:r>
      <w:r>
        <w:rPr>
          <w:spacing w:val="-8"/>
        </w:rPr>
        <w:t xml:space="preserve"> </w:t>
      </w:r>
      <w:r>
        <w:t>drive</w:t>
      </w:r>
      <w:r>
        <w:rPr>
          <w:spacing w:val="-11"/>
        </w:rPr>
        <w:t xml:space="preserve"> </w:t>
      </w:r>
      <w:r>
        <w:t>and</w:t>
      </w:r>
      <w:r>
        <w:rPr>
          <w:spacing w:val="-10"/>
        </w:rPr>
        <w:t xml:space="preserve"> </w:t>
      </w:r>
      <w:r>
        <w:t>use</w:t>
      </w:r>
      <w:r>
        <w:rPr>
          <w:spacing w:val="-11"/>
        </w:rPr>
        <w:t xml:space="preserve"> </w:t>
      </w:r>
      <w:r>
        <w:t>machines</w:t>
      </w:r>
      <w:r>
        <w:rPr>
          <w:spacing w:val="-9"/>
        </w:rPr>
        <w:t xml:space="preserve"> </w:t>
      </w:r>
      <w:r>
        <w:t>were</w:t>
      </w:r>
      <w:r>
        <w:rPr>
          <w:spacing w:val="-11"/>
        </w:rPr>
        <w:t xml:space="preserve"> </w:t>
      </w:r>
      <w:r>
        <w:t>not</w:t>
      </w:r>
      <w:r>
        <w:rPr>
          <w:spacing w:val="-9"/>
        </w:rPr>
        <w:t xml:space="preserve"> </w:t>
      </w:r>
      <w:r>
        <w:t>assessed as part of its registration.</w:t>
      </w:r>
    </w:p>
    <w:p w14:paraId="2366FF25" w14:textId="77777777" w:rsidR="005303F6" w:rsidRDefault="00EB7C90" w:rsidP="008F14F0">
      <w:pPr>
        <w:pStyle w:val="Heading3"/>
        <w:numPr>
          <w:ilvl w:val="1"/>
          <w:numId w:val="2"/>
        </w:numPr>
        <w:tabs>
          <w:tab w:val="left" w:pos="1024"/>
        </w:tabs>
        <w:spacing w:before="195"/>
        <w:rPr>
          <w:rFonts w:ascii="Cambria"/>
        </w:rPr>
      </w:pPr>
      <w:bookmarkStart w:id="20" w:name="4.8_Adverse_effects_(Undesirable_effects"/>
      <w:bookmarkEnd w:id="20"/>
      <w:r>
        <w:rPr>
          <w:rFonts w:ascii="Cambria"/>
          <w:smallCaps/>
          <w:spacing w:val="-2"/>
        </w:rPr>
        <w:t>Adverse</w:t>
      </w:r>
      <w:r>
        <w:rPr>
          <w:rFonts w:ascii="Cambria"/>
          <w:smallCaps/>
          <w:spacing w:val="4"/>
        </w:rPr>
        <w:t xml:space="preserve"> </w:t>
      </w:r>
      <w:r>
        <w:rPr>
          <w:rFonts w:ascii="Cambria"/>
          <w:smallCaps/>
          <w:spacing w:val="-2"/>
        </w:rPr>
        <w:t>effects</w:t>
      </w:r>
      <w:r>
        <w:rPr>
          <w:rFonts w:ascii="Cambria"/>
          <w:smallCaps/>
          <w:spacing w:val="6"/>
        </w:rPr>
        <w:t xml:space="preserve"> </w:t>
      </w:r>
      <w:r>
        <w:rPr>
          <w:rFonts w:ascii="Cambria"/>
          <w:smallCaps/>
          <w:spacing w:val="-2"/>
        </w:rPr>
        <w:t>(Undesirable</w:t>
      </w:r>
      <w:r>
        <w:rPr>
          <w:rFonts w:ascii="Cambria"/>
          <w:smallCaps/>
          <w:spacing w:val="4"/>
        </w:rPr>
        <w:t xml:space="preserve"> </w:t>
      </w:r>
      <w:r>
        <w:rPr>
          <w:rFonts w:ascii="Cambria"/>
          <w:smallCaps/>
          <w:spacing w:val="-2"/>
        </w:rPr>
        <w:t>effects)</w:t>
      </w:r>
    </w:p>
    <w:p w14:paraId="2366FF26" w14:textId="77777777" w:rsidR="005303F6" w:rsidRDefault="005303F6" w:rsidP="008F14F0">
      <w:pPr>
        <w:pStyle w:val="BodyText"/>
        <w:spacing w:before="19"/>
        <w:ind w:left="0"/>
        <w:jc w:val="left"/>
        <w:rPr>
          <w:rFonts w:ascii="Cambria"/>
          <w:b/>
          <w:sz w:val="19"/>
        </w:rPr>
      </w:pPr>
    </w:p>
    <w:p w14:paraId="2366FF27" w14:textId="77777777" w:rsidR="005303F6" w:rsidRDefault="00EB7C90" w:rsidP="008F14F0">
      <w:pPr>
        <w:ind w:left="676"/>
        <w:rPr>
          <w:rFonts w:ascii="Cambria"/>
          <w:b/>
          <w:sz w:val="24"/>
        </w:rPr>
      </w:pPr>
      <w:bookmarkStart w:id="21" w:name="Reporting_suspected_adverse_effects"/>
      <w:bookmarkEnd w:id="21"/>
      <w:r>
        <w:rPr>
          <w:rFonts w:ascii="Cambria"/>
          <w:b/>
          <w:sz w:val="24"/>
        </w:rPr>
        <w:t>Reporting</w:t>
      </w:r>
      <w:r>
        <w:rPr>
          <w:rFonts w:ascii="Cambria"/>
          <w:b/>
          <w:spacing w:val="-7"/>
          <w:sz w:val="24"/>
        </w:rPr>
        <w:t xml:space="preserve"> </w:t>
      </w:r>
      <w:r>
        <w:rPr>
          <w:rFonts w:ascii="Cambria"/>
          <w:b/>
          <w:sz w:val="24"/>
        </w:rPr>
        <w:t>suspected</w:t>
      </w:r>
      <w:r>
        <w:rPr>
          <w:rFonts w:ascii="Cambria"/>
          <w:b/>
          <w:spacing w:val="-8"/>
          <w:sz w:val="24"/>
        </w:rPr>
        <w:t xml:space="preserve"> </w:t>
      </w:r>
      <w:r>
        <w:rPr>
          <w:rFonts w:ascii="Cambria"/>
          <w:b/>
          <w:sz w:val="24"/>
        </w:rPr>
        <w:t>adverse</w:t>
      </w:r>
      <w:r>
        <w:rPr>
          <w:rFonts w:ascii="Cambria"/>
          <w:b/>
          <w:spacing w:val="-5"/>
          <w:sz w:val="24"/>
        </w:rPr>
        <w:t xml:space="preserve"> </w:t>
      </w:r>
      <w:r>
        <w:rPr>
          <w:rFonts w:ascii="Cambria"/>
          <w:b/>
          <w:spacing w:val="-2"/>
          <w:sz w:val="24"/>
        </w:rPr>
        <w:t>effects</w:t>
      </w:r>
    </w:p>
    <w:p w14:paraId="2366FF28" w14:textId="77777777" w:rsidR="005303F6" w:rsidRDefault="00EB7C90" w:rsidP="008F14F0">
      <w:pPr>
        <w:pStyle w:val="BodyText"/>
        <w:spacing w:before="42" w:line="276" w:lineRule="auto"/>
        <w:ind w:right="724"/>
        <w:jc w:val="left"/>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r>
          <w:rPr>
            <w:color w:val="0000FF"/>
            <w:spacing w:val="-2"/>
            <w:u w:val="single" w:color="0000FF"/>
          </w:rPr>
          <w:t>www.tga.gov.au/reporting-problems</w:t>
        </w:r>
      </w:hyperlink>
      <w:r>
        <w:rPr>
          <w:spacing w:val="-2"/>
        </w:rPr>
        <w:t>.</w:t>
      </w:r>
    </w:p>
    <w:p w14:paraId="2366FF29" w14:textId="77777777" w:rsidR="005303F6" w:rsidRDefault="00EB7C90" w:rsidP="008F14F0">
      <w:pPr>
        <w:pStyle w:val="Heading3"/>
        <w:spacing w:before="201"/>
      </w:pPr>
      <w:r>
        <w:rPr>
          <w:u w:val="single"/>
        </w:rPr>
        <w:t>Summary</w:t>
      </w:r>
      <w:r>
        <w:rPr>
          <w:spacing w:val="-4"/>
          <w:u w:val="single"/>
        </w:rPr>
        <w:t xml:space="preserve"> </w:t>
      </w:r>
      <w:r>
        <w:rPr>
          <w:u w:val="single"/>
        </w:rPr>
        <w:t>of</w:t>
      </w:r>
      <w:r>
        <w:rPr>
          <w:spacing w:val="-2"/>
          <w:u w:val="single"/>
        </w:rPr>
        <w:t xml:space="preserve"> </w:t>
      </w:r>
      <w:r>
        <w:rPr>
          <w:u w:val="single"/>
        </w:rPr>
        <w:t>the</w:t>
      </w:r>
      <w:r>
        <w:rPr>
          <w:spacing w:val="-4"/>
          <w:u w:val="single"/>
        </w:rPr>
        <w:t xml:space="preserve"> </w:t>
      </w:r>
      <w:r>
        <w:rPr>
          <w:u w:val="single"/>
        </w:rPr>
        <w:t>safety</w:t>
      </w:r>
      <w:r>
        <w:rPr>
          <w:spacing w:val="-5"/>
          <w:u w:val="single"/>
        </w:rPr>
        <w:t xml:space="preserve"> </w:t>
      </w:r>
      <w:r>
        <w:rPr>
          <w:u w:val="single"/>
        </w:rPr>
        <w:t>profile</w:t>
      </w:r>
      <w:r>
        <w:rPr>
          <w:spacing w:val="-4"/>
          <w:u w:val="single"/>
        </w:rPr>
        <w:t xml:space="preserve"> </w:t>
      </w:r>
      <w:r>
        <w:rPr>
          <w:u w:val="single"/>
        </w:rPr>
        <w:t>(data</w:t>
      </w:r>
      <w:r>
        <w:rPr>
          <w:spacing w:val="-3"/>
          <w:u w:val="single"/>
        </w:rPr>
        <w:t xml:space="preserve"> </w:t>
      </w:r>
      <w:r>
        <w:rPr>
          <w:u w:val="single"/>
        </w:rPr>
        <w:t>cut-off:16-May-</w:t>
      </w:r>
      <w:r>
        <w:rPr>
          <w:spacing w:val="-2"/>
          <w:u w:val="single"/>
        </w:rPr>
        <w:t>2023)</w:t>
      </w:r>
    </w:p>
    <w:p w14:paraId="2366FF2C" w14:textId="06CB9EF5" w:rsidR="005303F6" w:rsidRDefault="00EB7C90" w:rsidP="008F14F0">
      <w:pPr>
        <w:pStyle w:val="BodyText"/>
        <w:spacing w:before="245"/>
        <w:ind w:right="636"/>
        <w:jc w:val="left"/>
      </w:pPr>
      <w:r>
        <w:t>The</w:t>
      </w:r>
      <w:r>
        <w:rPr>
          <w:spacing w:val="-4"/>
        </w:rPr>
        <w:t xml:space="preserve"> </w:t>
      </w:r>
      <w:r>
        <w:t>safety</w:t>
      </w:r>
      <w:r>
        <w:rPr>
          <w:spacing w:val="-7"/>
        </w:rPr>
        <w:t xml:space="preserve"> </w:t>
      </w:r>
      <w:r>
        <w:t>of</w:t>
      </w:r>
      <w:r>
        <w:rPr>
          <w:spacing w:val="-3"/>
        </w:rPr>
        <w:t xml:space="preserve"> </w:t>
      </w:r>
      <w:r>
        <w:t>TABRECTA</w:t>
      </w:r>
      <w:r>
        <w:rPr>
          <w:spacing w:val="-3"/>
        </w:rPr>
        <w:t xml:space="preserve"> </w:t>
      </w:r>
      <w:r>
        <w:t>was</w:t>
      </w:r>
      <w:r>
        <w:rPr>
          <w:spacing w:val="-5"/>
        </w:rPr>
        <w:t xml:space="preserve"> </w:t>
      </w:r>
      <w:r>
        <w:t>evaluated</w:t>
      </w:r>
      <w:r>
        <w:rPr>
          <w:spacing w:val="-4"/>
        </w:rPr>
        <w:t xml:space="preserve"> </w:t>
      </w:r>
      <w:r>
        <w:t>in</w:t>
      </w:r>
      <w:r>
        <w:rPr>
          <w:spacing w:val="-6"/>
        </w:rPr>
        <w:t xml:space="preserve"> </w:t>
      </w:r>
      <w:r>
        <w:t>patients</w:t>
      </w:r>
      <w:r>
        <w:rPr>
          <w:spacing w:val="-5"/>
        </w:rPr>
        <w:t xml:space="preserve"> </w:t>
      </w:r>
      <w:r>
        <w:t>with</w:t>
      </w:r>
      <w:r>
        <w:rPr>
          <w:spacing w:val="-4"/>
        </w:rPr>
        <w:t xml:space="preserve"> </w:t>
      </w:r>
      <w:r>
        <w:t>locally</w:t>
      </w:r>
      <w:r>
        <w:rPr>
          <w:spacing w:val="-5"/>
        </w:rPr>
        <w:t xml:space="preserve"> </w:t>
      </w:r>
      <w:r>
        <w:t>advanced</w:t>
      </w:r>
      <w:r>
        <w:rPr>
          <w:spacing w:val="-6"/>
        </w:rPr>
        <w:t xml:space="preserve"> </w:t>
      </w:r>
      <w:r>
        <w:t>or</w:t>
      </w:r>
      <w:r>
        <w:rPr>
          <w:spacing w:val="-5"/>
        </w:rPr>
        <w:t xml:space="preserve"> </w:t>
      </w:r>
      <w:r>
        <w:t>metastatic</w:t>
      </w:r>
      <w:r>
        <w:rPr>
          <w:spacing w:val="-7"/>
        </w:rPr>
        <w:t xml:space="preserve"> </w:t>
      </w:r>
      <w:r>
        <w:t>NSCLC in</w:t>
      </w:r>
      <w:r>
        <w:rPr>
          <w:spacing w:val="9"/>
        </w:rPr>
        <w:t xml:space="preserve"> </w:t>
      </w:r>
      <w:r>
        <w:t>the</w:t>
      </w:r>
      <w:r>
        <w:rPr>
          <w:spacing w:val="10"/>
        </w:rPr>
        <w:t xml:space="preserve"> </w:t>
      </w:r>
      <w:r>
        <w:t>pivotal,</w:t>
      </w:r>
      <w:r>
        <w:rPr>
          <w:spacing w:val="12"/>
        </w:rPr>
        <w:t xml:space="preserve"> </w:t>
      </w:r>
      <w:r>
        <w:t>global,</w:t>
      </w:r>
      <w:r>
        <w:rPr>
          <w:spacing w:val="10"/>
        </w:rPr>
        <w:t xml:space="preserve"> </w:t>
      </w:r>
      <w:r>
        <w:t>prospective,</w:t>
      </w:r>
      <w:r>
        <w:rPr>
          <w:spacing w:val="9"/>
        </w:rPr>
        <w:t xml:space="preserve"> </w:t>
      </w:r>
      <w:r>
        <w:t>multi-cohort,</w:t>
      </w:r>
      <w:r>
        <w:rPr>
          <w:spacing w:val="8"/>
        </w:rPr>
        <w:t xml:space="preserve"> </w:t>
      </w:r>
      <w:r>
        <w:t>non-</w:t>
      </w:r>
      <w:proofErr w:type="spellStart"/>
      <w:r>
        <w:t>randomised</w:t>
      </w:r>
      <w:proofErr w:type="spellEnd"/>
      <w:r>
        <w:t>,</w:t>
      </w:r>
      <w:r>
        <w:rPr>
          <w:spacing w:val="12"/>
        </w:rPr>
        <w:t xml:space="preserve"> </w:t>
      </w:r>
      <w:r>
        <w:t>open-label</w:t>
      </w:r>
      <w:r>
        <w:rPr>
          <w:spacing w:val="10"/>
        </w:rPr>
        <w:t xml:space="preserve"> </w:t>
      </w:r>
      <w:r>
        <w:t>Phase</w:t>
      </w:r>
      <w:r>
        <w:rPr>
          <w:spacing w:val="10"/>
        </w:rPr>
        <w:t xml:space="preserve"> </w:t>
      </w:r>
      <w:r>
        <w:t>II</w:t>
      </w:r>
      <w:r>
        <w:rPr>
          <w:spacing w:val="12"/>
        </w:rPr>
        <w:t xml:space="preserve"> </w:t>
      </w:r>
      <w:r>
        <w:rPr>
          <w:spacing w:val="-2"/>
        </w:rPr>
        <w:t>Study</w:t>
      </w:r>
      <w:r w:rsidR="003F2FE8">
        <w:rPr>
          <w:spacing w:val="-2"/>
        </w:rPr>
        <w:t xml:space="preserve"> </w:t>
      </w:r>
      <w:r>
        <w:t>A2201</w:t>
      </w:r>
      <w:r>
        <w:rPr>
          <w:spacing w:val="-14"/>
        </w:rPr>
        <w:t xml:space="preserve"> </w:t>
      </w:r>
      <w:r>
        <w:t>(GEOMETRY</w:t>
      </w:r>
      <w:r>
        <w:rPr>
          <w:spacing w:val="-14"/>
        </w:rPr>
        <w:t xml:space="preserve"> </w:t>
      </w:r>
      <w:r>
        <w:t>mono-1)</w:t>
      </w:r>
      <w:r>
        <w:rPr>
          <w:spacing w:val="-10"/>
        </w:rPr>
        <w:t xml:space="preserve"> </w:t>
      </w:r>
      <w:r>
        <w:t>across</w:t>
      </w:r>
      <w:r>
        <w:rPr>
          <w:spacing w:val="-11"/>
        </w:rPr>
        <w:t xml:space="preserve"> </w:t>
      </w:r>
      <w:r>
        <w:t>all</w:t>
      </w:r>
      <w:r>
        <w:rPr>
          <w:spacing w:val="-13"/>
        </w:rPr>
        <w:t xml:space="preserve"> </w:t>
      </w:r>
      <w:r>
        <w:t>cohorts</w:t>
      </w:r>
      <w:r>
        <w:rPr>
          <w:spacing w:val="-11"/>
        </w:rPr>
        <w:t xml:space="preserve"> </w:t>
      </w:r>
      <w:r>
        <w:t>(N</w:t>
      </w:r>
      <w:r>
        <w:rPr>
          <w:spacing w:val="-14"/>
        </w:rPr>
        <w:t xml:space="preserve"> </w:t>
      </w:r>
      <w:r>
        <w:t>=</w:t>
      </w:r>
      <w:r>
        <w:rPr>
          <w:spacing w:val="-10"/>
        </w:rPr>
        <w:t xml:space="preserve"> </w:t>
      </w:r>
      <w:r>
        <w:t>373),</w:t>
      </w:r>
      <w:r>
        <w:rPr>
          <w:spacing w:val="-14"/>
        </w:rPr>
        <w:t xml:space="preserve"> </w:t>
      </w:r>
      <w:r>
        <w:t>regardless</w:t>
      </w:r>
      <w:r>
        <w:rPr>
          <w:spacing w:val="-11"/>
        </w:rPr>
        <w:t xml:space="preserve"> </w:t>
      </w:r>
      <w:r>
        <w:t>of</w:t>
      </w:r>
      <w:r>
        <w:rPr>
          <w:spacing w:val="-10"/>
        </w:rPr>
        <w:t xml:space="preserve"> </w:t>
      </w:r>
      <w:r>
        <w:t>prior</w:t>
      </w:r>
      <w:r>
        <w:rPr>
          <w:spacing w:val="-11"/>
        </w:rPr>
        <w:t xml:space="preserve"> </w:t>
      </w:r>
      <w:r>
        <w:t>treatment</w:t>
      </w:r>
      <w:r>
        <w:rPr>
          <w:spacing w:val="-12"/>
        </w:rPr>
        <w:t xml:space="preserve"> </w:t>
      </w:r>
      <w:r>
        <w:t>or</w:t>
      </w:r>
      <w:r>
        <w:rPr>
          <w:spacing w:val="-13"/>
        </w:rPr>
        <w:t xml:space="preserve"> </w:t>
      </w:r>
      <w:r>
        <w:t>MET dysregulation (mutation and/or amplification) status. The median duration of exposure to TABRECTA</w:t>
      </w:r>
      <w:r>
        <w:rPr>
          <w:spacing w:val="-14"/>
        </w:rPr>
        <w:t xml:space="preserve"> </w:t>
      </w:r>
      <w:r>
        <w:t>across</w:t>
      </w:r>
      <w:r>
        <w:rPr>
          <w:spacing w:val="-14"/>
        </w:rPr>
        <w:t xml:space="preserve"> </w:t>
      </w:r>
      <w:r>
        <w:t>all</w:t>
      </w:r>
      <w:r>
        <w:rPr>
          <w:spacing w:val="-13"/>
        </w:rPr>
        <w:t xml:space="preserve"> </w:t>
      </w:r>
      <w:r>
        <w:t>cohorts</w:t>
      </w:r>
      <w:r>
        <w:rPr>
          <w:spacing w:val="-14"/>
        </w:rPr>
        <w:t xml:space="preserve"> </w:t>
      </w:r>
      <w:r>
        <w:t>was</w:t>
      </w:r>
      <w:r>
        <w:rPr>
          <w:spacing w:val="-13"/>
        </w:rPr>
        <w:t xml:space="preserve"> </w:t>
      </w:r>
      <w:r>
        <w:t>17.9</w:t>
      </w:r>
      <w:r>
        <w:rPr>
          <w:spacing w:val="-14"/>
        </w:rPr>
        <w:t xml:space="preserve"> </w:t>
      </w:r>
      <w:r>
        <w:t>weeks</w:t>
      </w:r>
      <w:r>
        <w:rPr>
          <w:spacing w:val="-13"/>
        </w:rPr>
        <w:t xml:space="preserve"> </w:t>
      </w:r>
      <w:r>
        <w:t>(range:</w:t>
      </w:r>
      <w:r>
        <w:rPr>
          <w:spacing w:val="-14"/>
        </w:rPr>
        <w:t xml:space="preserve"> </w:t>
      </w:r>
      <w:r>
        <w:t>0.4</w:t>
      </w:r>
      <w:r>
        <w:rPr>
          <w:spacing w:val="-14"/>
        </w:rPr>
        <w:t xml:space="preserve"> </w:t>
      </w:r>
      <w:r>
        <w:t>to</w:t>
      </w:r>
      <w:r>
        <w:rPr>
          <w:spacing w:val="-13"/>
        </w:rPr>
        <w:t xml:space="preserve"> </w:t>
      </w:r>
      <w:r>
        <w:t>280.4</w:t>
      </w:r>
      <w:r>
        <w:rPr>
          <w:spacing w:val="-14"/>
        </w:rPr>
        <w:t xml:space="preserve"> </w:t>
      </w:r>
      <w:r>
        <w:t>weeks).</w:t>
      </w:r>
      <w:r>
        <w:rPr>
          <w:spacing w:val="-13"/>
        </w:rPr>
        <w:t xml:space="preserve"> </w:t>
      </w:r>
      <w:r>
        <w:t>Among</w:t>
      </w:r>
      <w:r>
        <w:rPr>
          <w:spacing w:val="-14"/>
        </w:rPr>
        <w:t xml:space="preserve"> </w:t>
      </w:r>
      <w:r>
        <w:t>patients</w:t>
      </w:r>
      <w:r>
        <w:rPr>
          <w:spacing w:val="-13"/>
        </w:rPr>
        <w:t xml:space="preserve"> </w:t>
      </w:r>
      <w:r>
        <w:t>who received TABRECTA, 39.9% were exposed for at least 6 months and 24.4% were exposed for at least one year.</w:t>
      </w:r>
    </w:p>
    <w:p w14:paraId="2366FF2D" w14:textId="77777777" w:rsidR="005303F6" w:rsidRDefault="00EB7C90" w:rsidP="008F14F0">
      <w:pPr>
        <w:pStyle w:val="BodyText"/>
        <w:spacing w:before="119"/>
        <w:ind w:right="731"/>
        <w:jc w:val="left"/>
      </w:pPr>
      <w:r>
        <w:t>Overall,</w:t>
      </w:r>
      <w:r>
        <w:rPr>
          <w:spacing w:val="-12"/>
        </w:rPr>
        <w:t xml:space="preserve"> </w:t>
      </w:r>
      <w:r>
        <w:t>the</w:t>
      </w:r>
      <w:r>
        <w:rPr>
          <w:spacing w:val="-14"/>
        </w:rPr>
        <w:t xml:space="preserve"> </w:t>
      </w:r>
      <w:r>
        <w:t>most</w:t>
      </w:r>
      <w:r>
        <w:rPr>
          <w:spacing w:val="-13"/>
        </w:rPr>
        <w:t xml:space="preserve"> </w:t>
      </w:r>
      <w:r>
        <w:t>frequently</w:t>
      </w:r>
      <w:r>
        <w:rPr>
          <w:spacing w:val="-13"/>
        </w:rPr>
        <w:t xml:space="preserve"> </w:t>
      </w:r>
      <w:r>
        <w:t>reported</w:t>
      </w:r>
      <w:r>
        <w:rPr>
          <w:spacing w:val="-11"/>
        </w:rPr>
        <w:t xml:space="preserve"> </w:t>
      </w:r>
      <w:r>
        <w:t>AEs</w:t>
      </w:r>
      <w:r>
        <w:rPr>
          <w:spacing w:val="-12"/>
        </w:rPr>
        <w:t xml:space="preserve"> </w:t>
      </w:r>
      <w:r>
        <w:t>of</w:t>
      </w:r>
      <w:r>
        <w:rPr>
          <w:spacing w:val="-11"/>
        </w:rPr>
        <w:t xml:space="preserve"> </w:t>
      </w:r>
      <w:r>
        <w:t>all</w:t>
      </w:r>
      <w:r>
        <w:rPr>
          <w:spacing w:val="-12"/>
        </w:rPr>
        <w:t xml:space="preserve"> </w:t>
      </w:r>
      <w:r>
        <w:t>grades,</w:t>
      </w:r>
      <w:r>
        <w:rPr>
          <w:spacing w:val="-12"/>
        </w:rPr>
        <w:t xml:space="preserve"> </w:t>
      </w:r>
      <w:r>
        <w:t>irrespective</w:t>
      </w:r>
      <w:r>
        <w:rPr>
          <w:spacing w:val="-14"/>
        </w:rPr>
        <w:t xml:space="preserve"> </w:t>
      </w:r>
      <w:r>
        <w:t>of</w:t>
      </w:r>
      <w:r>
        <w:rPr>
          <w:spacing w:val="-10"/>
        </w:rPr>
        <w:t xml:space="preserve"> </w:t>
      </w:r>
      <w:r>
        <w:t>study</w:t>
      </w:r>
      <w:r>
        <w:rPr>
          <w:spacing w:val="-13"/>
        </w:rPr>
        <w:t xml:space="preserve"> </w:t>
      </w:r>
      <w:r>
        <w:t>drug</w:t>
      </w:r>
      <w:r>
        <w:rPr>
          <w:spacing w:val="-12"/>
        </w:rPr>
        <w:t xml:space="preserve"> </w:t>
      </w:r>
      <w:r>
        <w:t>relationship (occurring</w:t>
      </w:r>
      <w:r>
        <w:rPr>
          <w:spacing w:val="-10"/>
        </w:rPr>
        <w:t xml:space="preserve"> </w:t>
      </w:r>
      <w:r>
        <w:t>in</w:t>
      </w:r>
      <w:r>
        <w:rPr>
          <w:spacing w:val="-11"/>
        </w:rPr>
        <w:t xml:space="preserve"> </w:t>
      </w:r>
      <w:r>
        <w:t>≥25%</w:t>
      </w:r>
      <w:r>
        <w:rPr>
          <w:spacing w:val="-9"/>
        </w:rPr>
        <w:t xml:space="preserve"> </w:t>
      </w:r>
      <w:r>
        <w:t>of</w:t>
      </w:r>
      <w:r>
        <w:rPr>
          <w:spacing w:val="-9"/>
        </w:rPr>
        <w:t xml:space="preserve"> </w:t>
      </w:r>
      <w:r>
        <w:t>all</w:t>
      </w:r>
      <w:r>
        <w:rPr>
          <w:spacing w:val="-14"/>
        </w:rPr>
        <w:t xml:space="preserve"> </w:t>
      </w:r>
      <w:r>
        <w:t>patients)</w:t>
      </w:r>
      <w:r>
        <w:rPr>
          <w:spacing w:val="-12"/>
        </w:rPr>
        <w:t xml:space="preserve"> </w:t>
      </w:r>
      <w:r>
        <w:t>were</w:t>
      </w:r>
      <w:r>
        <w:rPr>
          <w:spacing w:val="-12"/>
        </w:rPr>
        <w:t xml:space="preserve"> </w:t>
      </w:r>
      <w:r>
        <w:t>oedema</w:t>
      </w:r>
      <w:r>
        <w:rPr>
          <w:spacing w:val="-11"/>
        </w:rPr>
        <w:t xml:space="preserve"> </w:t>
      </w:r>
      <w:r>
        <w:t>peripheral</w:t>
      </w:r>
      <w:r>
        <w:rPr>
          <w:spacing w:val="-9"/>
        </w:rPr>
        <w:t xml:space="preserve"> </w:t>
      </w:r>
      <w:r>
        <w:t>(54.7%),</w:t>
      </w:r>
      <w:r>
        <w:rPr>
          <w:spacing w:val="-10"/>
        </w:rPr>
        <w:t xml:space="preserve"> </w:t>
      </w:r>
      <w:r>
        <w:t>nausea</w:t>
      </w:r>
      <w:r>
        <w:rPr>
          <w:spacing w:val="-10"/>
        </w:rPr>
        <w:t xml:space="preserve"> </w:t>
      </w:r>
      <w:r>
        <w:t>(45.8%),</w:t>
      </w:r>
      <w:r>
        <w:rPr>
          <w:spacing w:val="-10"/>
        </w:rPr>
        <w:t xml:space="preserve"> </w:t>
      </w:r>
      <w:r>
        <w:t xml:space="preserve">vomiting (28.7%), blood creatinine increased (27.6%) and </w:t>
      </w:r>
      <w:proofErr w:type="spellStart"/>
      <w:r>
        <w:t>dyspnoea</w:t>
      </w:r>
      <w:proofErr w:type="spellEnd"/>
      <w:r>
        <w:t xml:space="preserve"> (25.5%).</w:t>
      </w:r>
    </w:p>
    <w:p w14:paraId="2366FF2E" w14:textId="77777777" w:rsidR="005303F6" w:rsidRDefault="00EB7C90" w:rsidP="008F14F0">
      <w:pPr>
        <w:pStyle w:val="BodyText"/>
        <w:spacing w:before="122"/>
        <w:ind w:right="725"/>
        <w:jc w:val="left"/>
      </w:pPr>
      <w:r>
        <w:t xml:space="preserve">Serious adverse events (SAEs) regardless of causality were reported in 202 patients (54.2%) who received TABRECTA. Serious AEs regardless of causality in &gt;2% of patients included </w:t>
      </w:r>
      <w:proofErr w:type="spellStart"/>
      <w:r>
        <w:t>dyspnoea</w:t>
      </w:r>
      <w:proofErr w:type="spellEnd"/>
      <w:r>
        <w:t xml:space="preserve"> (7.0%), pneumonia (6.2%), pleural effusion (4.3%), general physical health deterioration (2.9%) and vomiting (2.4%).</w:t>
      </w:r>
    </w:p>
    <w:p w14:paraId="244BC655" w14:textId="77777777" w:rsidR="008F14F0" w:rsidRDefault="008F14F0" w:rsidP="008F14F0">
      <w:pPr>
        <w:pStyle w:val="BodyText"/>
        <w:ind w:right="727"/>
        <w:jc w:val="left"/>
      </w:pPr>
    </w:p>
    <w:p w14:paraId="650C1613" w14:textId="77777777" w:rsidR="008F14F0" w:rsidRDefault="008F14F0" w:rsidP="008F14F0">
      <w:pPr>
        <w:pStyle w:val="BodyText"/>
        <w:ind w:right="727"/>
        <w:jc w:val="left"/>
      </w:pPr>
    </w:p>
    <w:p w14:paraId="2366FF2F" w14:textId="0A04610E" w:rsidR="005303F6" w:rsidRDefault="00EB7C90" w:rsidP="008F14F0">
      <w:pPr>
        <w:pStyle w:val="BodyText"/>
        <w:ind w:right="727"/>
        <w:jc w:val="left"/>
      </w:pPr>
      <w:r>
        <w:lastRenderedPageBreak/>
        <w:t xml:space="preserve">Fourteen patients (3.8%) died while on treatment with TABRECTA due to causes other than the underlying malignancy. One of these deaths was confirmed as treatment-related: </w:t>
      </w:r>
      <w:r>
        <w:rPr>
          <w:spacing w:val="-2"/>
        </w:rPr>
        <w:t>pneumonitis.</w:t>
      </w:r>
    </w:p>
    <w:p w14:paraId="2366FF30" w14:textId="77777777" w:rsidR="005303F6" w:rsidRDefault="00EB7C90" w:rsidP="008F14F0">
      <w:pPr>
        <w:pStyle w:val="BodyText"/>
        <w:ind w:right="728"/>
        <w:jc w:val="left"/>
      </w:pPr>
      <w:r>
        <w:t>Permanent</w:t>
      </w:r>
      <w:r>
        <w:rPr>
          <w:spacing w:val="-7"/>
        </w:rPr>
        <w:t xml:space="preserve"> </w:t>
      </w:r>
      <w:r>
        <w:t>discontinuation</w:t>
      </w:r>
      <w:r>
        <w:rPr>
          <w:spacing w:val="-7"/>
        </w:rPr>
        <w:t xml:space="preserve"> </w:t>
      </w:r>
      <w:r>
        <w:t>of</w:t>
      </w:r>
      <w:r>
        <w:rPr>
          <w:spacing w:val="-4"/>
        </w:rPr>
        <w:t xml:space="preserve"> </w:t>
      </w:r>
      <w:r>
        <w:t>TABRECTA</w:t>
      </w:r>
      <w:r>
        <w:rPr>
          <w:spacing w:val="-9"/>
        </w:rPr>
        <w:t xml:space="preserve"> </w:t>
      </w:r>
      <w:r>
        <w:t>due</w:t>
      </w:r>
      <w:r>
        <w:rPr>
          <w:spacing w:val="-9"/>
        </w:rPr>
        <w:t xml:space="preserve"> </w:t>
      </w:r>
      <w:r>
        <w:t>to</w:t>
      </w:r>
      <w:r>
        <w:rPr>
          <w:spacing w:val="-9"/>
        </w:rPr>
        <w:t xml:space="preserve"> </w:t>
      </w:r>
      <w:r>
        <w:t>an</w:t>
      </w:r>
      <w:r>
        <w:rPr>
          <w:spacing w:val="-7"/>
        </w:rPr>
        <w:t xml:space="preserve"> </w:t>
      </w:r>
      <w:r>
        <w:t>AE</w:t>
      </w:r>
      <w:r>
        <w:rPr>
          <w:spacing w:val="-7"/>
        </w:rPr>
        <w:t xml:space="preserve"> </w:t>
      </w:r>
      <w:r>
        <w:t>regardless</w:t>
      </w:r>
      <w:r>
        <w:rPr>
          <w:spacing w:val="-7"/>
        </w:rPr>
        <w:t xml:space="preserve"> </w:t>
      </w:r>
      <w:r>
        <w:t>of</w:t>
      </w:r>
      <w:r>
        <w:rPr>
          <w:spacing w:val="-8"/>
        </w:rPr>
        <w:t xml:space="preserve"> </w:t>
      </w:r>
      <w:r>
        <w:t>causality</w:t>
      </w:r>
      <w:r>
        <w:rPr>
          <w:spacing w:val="-8"/>
        </w:rPr>
        <w:t xml:space="preserve"> </w:t>
      </w:r>
      <w:r>
        <w:t>was</w:t>
      </w:r>
      <w:r>
        <w:rPr>
          <w:spacing w:val="-7"/>
        </w:rPr>
        <w:t xml:space="preserve"> </w:t>
      </w:r>
      <w:r>
        <w:t>reported</w:t>
      </w:r>
      <w:r>
        <w:rPr>
          <w:spacing w:val="-7"/>
        </w:rPr>
        <w:t xml:space="preserve"> </w:t>
      </w:r>
      <w:r>
        <w:t>in 68 patients (18.2%). The most frequent AEs (≥1%) leading to permanent discontinuation of TABRECTA were peripheral oedema (2.1%), pneumonitis (1.6%), fatigue (1.6%) and AST increased (1.1%).</w:t>
      </w:r>
    </w:p>
    <w:p w14:paraId="2366FF31" w14:textId="77777777" w:rsidR="005303F6" w:rsidRDefault="00EB7C90" w:rsidP="008F14F0">
      <w:pPr>
        <w:pStyle w:val="BodyText"/>
        <w:spacing w:before="119"/>
        <w:ind w:right="725"/>
        <w:jc w:val="left"/>
      </w:pPr>
      <w:r>
        <w:t>Dose</w:t>
      </w:r>
      <w:r>
        <w:rPr>
          <w:spacing w:val="-9"/>
        </w:rPr>
        <w:t xml:space="preserve"> </w:t>
      </w:r>
      <w:r>
        <w:t>interruptions</w:t>
      </w:r>
      <w:r>
        <w:rPr>
          <w:spacing w:val="-10"/>
        </w:rPr>
        <w:t xml:space="preserve"> </w:t>
      </w:r>
      <w:r>
        <w:t>due</w:t>
      </w:r>
      <w:r>
        <w:rPr>
          <w:spacing w:val="-9"/>
        </w:rPr>
        <w:t xml:space="preserve"> </w:t>
      </w:r>
      <w:r>
        <w:t>to</w:t>
      </w:r>
      <w:r>
        <w:rPr>
          <w:spacing w:val="-7"/>
        </w:rPr>
        <w:t xml:space="preserve"> </w:t>
      </w:r>
      <w:r>
        <w:t>an</w:t>
      </w:r>
      <w:r>
        <w:rPr>
          <w:spacing w:val="-6"/>
        </w:rPr>
        <w:t xml:space="preserve"> </w:t>
      </w:r>
      <w:r>
        <w:t>AE</w:t>
      </w:r>
      <w:r>
        <w:rPr>
          <w:spacing w:val="-9"/>
        </w:rPr>
        <w:t xml:space="preserve"> </w:t>
      </w:r>
      <w:r>
        <w:t>regardless</w:t>
      </w:r>
      <w:r>
        <w:rPr>
          <w:spacing w:val="-10"/>
        </w:rPr>
        <w:t xml:space="preserve"> </w:t>
      </w:r>
      <w:r>
        <w:t>of</w:t>
      </w:r>
      <w:r>
        <w:rPr>
          <w:spacing w:val="-6"/>
        </w:rPr>
        <w:t xml:space="preserve"> </w:t>
      </w:r>
      <w:r>
        <w:t>causality</w:t>
      </w:r>
      <w:r>
        <w:rPr>
          <w:spacing w:val="-10"/>
        </w:rPr>
        <w:t xml:space="preserve"> </w:t>
      </w:r>
      <w:r>
        <w:t>were</w:t>
      </w:r>
      <w:r>
        <w:rPr>
          <w:spacing w:val="-9"/>
        </w:rPr>
        <w:t xml:space="preserve"> </w:t>
      </w:r>
      <w:r>
        <w:t>reported</w:t>
      </w:r>
      <w:r>
        <w:rPr>
          <w:spacing w:val="-8"/>
        </w:rPr>
        <w:t xml:space="preserve"> </w:t>
      </w:r>
      <w:r>
        <w:t>in</w:t>
      </w:r>
      <w:r>
        <w:rPr>
          <w:spacing w:val="-6"/>
        </w:rPr>
        <w:t xml:space="preserve"> </w:t>
      </w:r>
      <w:r>
        <w:t>215</w:t>
      </w:r>
      <w:r>
        <w:rPr>
          <w:spacing w:val="-8"/>
        </w:rPr>
        <w:t xml:space="preserve"> </w:t>
      </w:r>
      <w:r>
        <w:t>patients</w:t>
      </w:r>
      <w:r>
        <w:rPr>
          <w:spacing w:val="-8"/>
        </w:rPr>
        <w:t xml:space="preserve"> </w:t>
      </w:r>
      <w:r>
        <w:t>(57.6%) who received TABRECTA. AEs regardless of causality requiring dose interruption in &gt;2% of patients who received TABRECTA included peripheral edema (11.8%), blood creatinine increased</w:t>
      </w:r>
      <w:r>
        <w:rPr>
          <w:spacing w:val="42"/>
        </w:rPr>
        <w:t xml:space="preserve"> </w:t>
      </w:r>
      <w:r>
        <w:t>(9.1%),</w:t>
      </w:r>
      <w:r>
        <w:rPr>
          <w:spacing w:val="42"/>
        </w:rPr>
        <w:t xml:space="preserve"> </w:t>
      </w:r>
      <w:r>
        <w:t>nausea</w:t>
      </w:r>
      <w:r>
        <w:rPr>
          <w:spacing w:val="43"/>
        </w:rPr>
        <w:t xml:space="preserve"> </w:t>
      </w:r>
      <w:r>
        <w:t>(6.2%),</w:t>
      </w:r>
      <w:r>
        <w:rPr>
          <w:spacing w:val="42"/>
        </w:rPr>
        <w:t xml:space="preserve"> </w:t>
      </w:r>
      <w:r>
        <w:t>lipase</w:t>
      </w:r>
      <w:r>
        <w:rPr>
          <w:spacing w:val="43"/>
        </w:rPr>
        <w:t xml:space="preserve"> </w:t>
      </w:r>
      <w:r>
        <w:t>increased</w:t>
      </w:r>
      <w:r>
        <w:rPr>
          <w:spacing w:val="44"/>
        </w:rPr>
        <w:t xml:space="preserve"> </w:t>
      </w:r>
      <w:r>
        <w:t>(5.6%),</w:t>
      </w:r>
      <w:r>
        <w:rPr>
          <w:spacing w:val="45"/>
        </w:rPr>
        <w:t xml:space="preserve"> </w:t>
      </w:r>
      <w:r>
        <w:t>vomiting</w:t>
      </w:r>
      <w:r>
        <w:rPr>
          <w:spacing w:val="42"/>
        </w:rPr>
        <w:t xml:space="preserve"> </w:t>
      </w:r>
      <w:r>
        <w:t>(5.9%),</w:t>
      </w:r>
      <w:r>
        <w:rPr>
          <w:spacing w:val="42"/>
        </w:rPr>
        <w:t xml:space="preserve"> </w:t>
      </w:r>
      <w:r>
        <w:t>ALT</w:t>
      </w:r>
      <w:r>
        <w:rPr>
          <w:spacing w:val="44"/>
        </w:rPr>
        <w:t xml:space="preserve"> </w:t>
      </w:r>
      <w:r>
        <w:rPr>
          <w:spacing w:val="-2"/>
        </w:rPr>
        <w:t>increased</w:t>
      </w:r>
    </w:p>
    <w:p w14:paraId="2366FF32" w14:textId="77777777" w:rsidR="005303F6" w:rsidRDefault="00EB7C90" w:rsidP="008F14F0">
      <w:pPr>
        <w:pStyle w:val="BodyText"/>
        <w:spacing w:before="2"/>
        <w:jc w:val="left"/>
      </w:pPr>
      <w:r>
        <w:t>(4.8%),</w:t>
      </w:r>
      <w:r>
        <w:rPr>
          <w:spacing w:val="-8"/>
        </w:rPr>
        <w:t xml:space="preserve"> </w:t>
      </w:r>
      <w:proofErr w:type="spellStart"/>
      <w:r>
        <w:t>dyspnoea</w:t>
      </w:r>
      <w:proofErr w:type="spellEnd"/>
      <w:r>
        <w:rPr>
          <w:spacing w:val="-4"/>
        </w:rPr>
        <w:t xml:space="preserve"> </w:t>
      </w:r>
      <w:r>
        <w:t>(4.8%),</w:t>
      </w:r>
      <w:r>
        <w:rPr>
          <w:spacing w:val="-6"/>
        </w:rPr>
        <w:t xml:space="preserve"> </w:t>
      </w:r>
      <w:r>
        <w:t>pneumonia</w:t>
      </w:r>
      <w:r>
        <w:rPr>
          <w:spacing w:val="-5"/>
        </w:rPr>
        <w:t xml:space="preserve"> </w:t>
      </w:r>
      <w:r>
        <w:t>(4.6%),</w:t>
      </w:r>
      <w:r>
        <w:rPr>
          <w:spacing w:val="-4"/>
        </w:rPr>
        <w:t xml:space="preserve"> </w:t>
      </w:r>
      <w:r>
        <w:t>amylase</w:t>
      </w:r>
      <w:r>
        <w:rPr>
          <w:spacing w:val="-4"/>
        </w:rPr>
        <w:t xml:space="preserve"> </w:t>
      </w:r>
      <w:r>
        <w:t>increased</w:t>
      </w:r>
      <w:r>
        <w:rPr>
          <w:spacing w:val="-4"/>
        </w:rPr>
        <w:t xml:space="preserve"> </w:t>
      </w:r>
      <w:r>
        <w:t>(4.0%),</w:t>
      </w:r>
      <w:r>
        <w:rPr>
          <w:spacing w:val="-7"/>
        </w:rPr>
        <w:t xml:space="preserve"> </w:t>
      </w:r>
      <w:r>
        <w:t>AST</w:t>
      </w:r>
      <w:r>
        <w:rPr>
          <w:spacing w:val="-3"/>
        </w:rPr>
        <w:t xml:space="preserve"> </w:t>
      </w:r>
      <w:r>
        <w:t>increased</w:t>
      </w:r>
      <w:r>
        <w:rPr>
          <w:spacing w:val="-3"/>
        </w:rPr>
        <w:t xml:space="preserve"> </w:t>
      </w:r>
      <w:r>
        <w:rPr>
          <w:spacing w:val="-2"/>
        </w:rPr>
        <w:t>(3.2%),</w:t>
      </w:r>
    </w:p>
    <w:p w14:paraId="2366FF33" w14:textId="77777777" w:rsidR="005303F6" w:rsidRDefault="00EB7C90" w:rsidP="008F14F0">
      <w:pPr>
        <w:pStyle w:val="BodyText"/>
        <w:spacing w:before="0"/>
        <w:jc w:val="left"/>
      </w:pPr>
      <w:proofErr w:type="spellStart"/>
      <w:r>
        <w:t>diarrhoea</w:t>
      </w:r>
      <w:proofErr w:type="spellEnd"/>
      <w:r>
        <w:rPr>
          <w:spacing w:val="-3"/>
        </w:rPr>
        <w:t xml:space="preserve"> </w:t>
      </w:r>
      <w:r>
        <w:t>(2.1%),</w:t>
      </w:r>
      <w:r>
        <w:rPr>
          <w:spacing w:val="-3"/>
        </w:rPr>
        <w:t xml:space="preserve"> </w:t>
      </w:r>
      <w:r>
        <w:t>asthenia</w:t>
      </w:r>
      <w:r>
        <w:rPr>
          <w:spacing w:val="-4"/>
        </w:rPr>
        <w:t xml:space="preserve"> </w:t>
      </w:r>
      <w:r>
        <w:t>(2.4%)</w:t>
      </w:r>
      <w:r>
        <w:rPr>
          <w:spacing w:val="-4"/>
        </w:rPr>
        <w:t xml:space="preserve"> </w:t>
      </w:r>
      <w:r>
        <w:t>and</w:t>
      </w:r>
      <w:r>
        <w:rPr>
          <w:spacing w:val="-2"/>
        </w:rPr>
        <w:t xml:space="preserve"> </w:t>
      </w:r>
      <w:r>
        <w:t>blood</w:t>
      </w:r>
      <w:r>
        <w:rPr>
          <w:spacing w:val="-4"/>
        </w:rPr>
        <w:t xml:space="preserve"> </w:t>
      </w:r>
      <w:r>
        <w:t>bilirubin</w:t>
      </w:r>
      <w:r>
        <w:rPr>
          <w:spacing w:val="-2"/>
        </w:rPr>
        <w:t xml:space="preserve"> </w:t>
      </w:r>
      <w:r>
        <w:t>increased</w:t>
      </w:r>
      <w:r>
        <w:rPr>
          <w:spacing w:val="-2"/>
        </w:rPr>
        <w:t xml:space="preserve"> (2.1%).</w:t>
      </w:r>
    </w:p>
    <w:p w14:paraId="2366FF34" w14:textId="77777777" w:rsidR="005303F6" w:rsidRDefault="00EB7C90" w:rsidP="008F14F0">
      <w:pPr>
        <w:pStyle w:val="BodyText"/>
        <w:ind w:right="722"/>
        <w:jc w:val="left"/>
      </w:pPr>
      <w:r>
        <w:t>Dose</w:t>
      </w:r>
      <w:r>
        <w:rPr>
          <w:spacing w:val="-2"/>
        </w:rPr>
        <w:t xml:space="preserve"> </w:t>
      </w:r>
      <w:r>
        <w:t>adjustments</w:t>
      </w:r>
      <w:r>
        <w:rPr>
          <w:spacing w:val="-4"/>
        </w:rPr>
        <w:t xml:space="preserve"> </w:t>
      </w:r>
      <w:r>
        <w:t>due</w:t>
      </w:r>
      <w:r>
        <w:rPr>
          <w:spacing w:val="-4"/>
        </w:rPr>
        <w:t xml:space="preserve"> </w:t>
      </w:r>
      <w:r>
        <w:t>to</w:t>
      </w:r>
      <w:r>
        <w:rPr>
          <w:spacing w:val="-4"/>
        </w:rPr>
        <w:t xml:space="preserve"> </w:t>
      </w:r>
      <w:r>
        <w:t>an</w:t>
      </w:r>
      <w:r>
        <w:rPr>
          <w:spacing w:val="-2"/>
        </w:rPr>
        <w:t xml:space="preserve"> </w:t>
      </w:r>
      <w:r>
        <w:t>AE</w:t>
      </w:r>
      <w:r>
        <w:rPr>
          <w:spacing w:val="-4"/>
        </w:rPr>
        <w:t xml:space="preserve"> </w:t>
      </w:r>
      <w:r>
        <w:t>regardless</w:t>
      </w:r>
      <w:r>
        <w:rPr>
          <w:spacing w:val="-3"/>
        </w:rPr>
        <w:t xml:space="preserve"> </w:t>
      </w:r>
      <w:r>
        <w:t>of</w:t>
      </w:r>
      <w:r>
        <w:rPr>
          <w:spacing w:val="-2"/>
        </w:rPr>
        <w:t xml:space="preserve"> </w:t>
      </w:r>
      <w:r>
        <w:t>causality</w:t>
      </w:r>
      <w:r>
        <w:rPr>
          <w:spacing w:val="-3"/>
        </w:rPr>
        <w:t xml:space="preserve"> </w:t>
      </w:r>
      <w:r>
        <w:t>were</w:t>
      </w:r>
      <w:r>
        <w:rPr>
          <w:spacing w:val="-4"/>
        </w:rPr>
        <w:t xml:space="preserve"> </w:t>
      </w:r>
      <w:r>
        <w:t>reported</w:t>
      </w:r>
      <w:r>
        <w:rPr>
          <w:spacing w:val="-4"/>
        </w:rPr>
        <w:t xml:space="preserve"> </w:t>
      </w:r>
      <w:r>
        <w:t>in 100</w:t>
      </w:r>
      <w:r>
        <w:rPr>
          <w:spacing w:val="-1"/>
        </w:rPr>
        <w:t xml:space="preserve"> </w:t>
      </w:r>
      <w:r>
        <w:t>patients</w:t>
      </w:r>
      <w:r>
        <w:rPr>
          <w:spacing w:val="-4"/>
        </w:rPr>
        <w:t xml:space="preserve"> </w:t>
      </w:r>
      <w:r>
        <w:t>(26.8%) who received TABRECTA. AEs regardless of causality requiring dose adjustments in &gt;2% of patients</w:t>
      </w:r>
      <w:r>
        <w:rPr>
          <w:spacing w:val="-1"/>
        </w:rPr>
        <w:t xml:space="preserve"> </w:t>
      </w:r>
      <w:r>
        <w:t>who received TABRECTA included peripheral oedema (10.2%), ALT increased (3.2%) and blood creatinine increased (2.1%).</w:t>
      </w:r>
    </w:p>
    <w:p w14:paraId="71B672AD" w14:textId="77777777" w:rsidR="008F14F0" w:rsidRDefault="008F14F0" w:rsidP="008F14F0">
      <w:pPr>
        <w:pStyle w:val="Heading3"/>
        <w:spacing w:before="0"/>
        <w:rPr>
          <w:rFonts w:ascii="Times New Roman"/>
          <w:u w:val="single"/>
        </w:rPr>
      </w:pPr>
    </w:p>
    <w:p w14:paraId="2366FF36" w14:textId="1BB7B564" w:rsidR="005303F6" w:rsidRDefault="00EB7C90" w:rsidP="008F14F0">
      <w:pPr>
        <w:pStyle w:val="Heading3"/>
        <w:spacing w:before="0"/>
        <w:rPr>
          <w:rFonts w:ascii="Times New Roman"/>
        </w:rPr>
      </w:pPr>
      <w:r>
        <w:rPr>
          <w:rFonts w:ascii="Times New Roman"/>
          <w:u w:val="single"/>
        </w:rPr>
        <w:t>Tabulated</w:t>
      </w:r>
      <w:r>
        <w:rPr>
          <w:rFonts w:ascii="Times New Roman"/>
          <w:spacing w:val="-5"/>
          <w:u w:val="single"/>
        </w:rPr>
        <w:t xml:space="preserve"> </w:t>
      </w:r>
      <w:r>
        <w:rPr>
          <w:rFonts w:ascii="Times New Roman"/>
          <w:u w:val="single"/>
        </w:rPr>
        <w:t>summary</w:t>
      </w:r>
      <w:r>
        <w:rPr>
          <w:rFonts w:ascii="Times New Roman"/>
          <w:spacing w:val="-2"/>
          <w:u w:val="single"/>
        </w:rPr>
        <w:t xml:space="preserve"> </w:t>
      </w:r>
      <w:r>
        <w:rPr>
          <w:rFonts w:ascii="Times New Roman"/>
          <w:u w:val="single"/>
        </w:rPr>
        <w:t>of</w:t>
      </w:r>
      <w:r>
        <w:rPr>
          <w:rFonts w:ascii="Times New Roman"/>
          <w:spacing w:val="-2"/>
          <w:u w:val="single"/>
        </w:rPr>
        <w:t xml:space="preserve"> </w:t>
      </w:r>
      <w:r>
        <w:rPr>
          <w:rFonts w:ascii="Times New Roman"/>
          <w:u w:val="single"/>
        </w:rPr>
        <w:t>adverse</w:t>
      </w:r>
      <w:r>
        <w:rPr>
          <w:rFonts w:ascii="Times New Roman"/>
          <w:spacing w:val="-2"/>
          <w:u w:val="single"/>
        </w:rPr>
        <w:t xml:space="preserve"> </w:t>
      </w:r>
      <w:r>
        <w:rPr>
          <w:rFonts w:ascii="Times New Roman"/>
          <w:u w:val="single"/>
        </w:rPr>
        <w:t>events from</w:t>
      </w:r>
      <w:r>
        <w:rPr>
          <w:rFonts w:ascii="Times New Roman"/>
          <w:spacing w:val="-1"/>
          <w:u w:val="single"/>
        </w:rPr>
        <w:t xml:space="preserve"> </w:t>
      </w:r>
      <w:r>
        <w:rPr>
          <w:rFonts w:ascii="Times New Roman"/>
          <w:u w:val="single"/>
        </w:rPr>
        <w:t>clinical</w:t>
      </w:r>
      <w:r>
        <w:rPr>
          <w:rFonts w:ascii="Times New Roman"/>
          <w:spacing w:val="-2"/>
          <w:u w:val="single"/>
        </w:rPr>
        <w:t xml:space="preserve"> studies</w:t>
      </w:r>
    </w:p>
    <w:p w14:paraId="2366FF37" w14:textId="77777777" w:rsidR="005303F6" w:rsidRDefault="00EB7C90" w:rsidP="008F14F0">
      <w:pPr>
        <w:pStyle w:val="BodyText"/>
        <w:spacing w:before="121"/>
        <w:jc w:val="left"/>
      </w:pPr>
      <w:r>
        <w:t>The</w:t>
      </w:r>
      <w:r>
        <w:rPr>
          <w:spacing w:val="26"/>
        </w:rPr>
        <w:t xml:space="preserve"> </w:t>
      </w:r>
      <w:r>
        <w:t>most</w:t>
      </w:r>
      <w:r>
        <w:rPr>
          <w:spacing w:val="27"/>
        </w:rPr>
        <w:t xml:space="preserve"> </w:t>
      </w:r>
      <w:r>
        <w:t>common</w:t>
      </w:r>
      <w:r>
        <w:rPr>
          <w:spacing w:val="27"/>
        </w:rPr>
        <w:t xml:space="preserve"> </w:t>
      </w:r>
      <w:r>
        <w:t>adverse</w:t>
      </w:r>
      <w:r>
        <w:rPr>
          <w:spacing w:val="26"/>
        </w:rPr>
        <w:t xml:space="preserve"> </w:t>
      </w:r>
      <w:r>
        <w:t>events,</w:t>
      </w:r>
      <w:r>
        <w:rPr>
          <w:spacing w:val="27"/>
        </w:rPr>
        <w:t xml:space="preserve"> </w:t>
      </w:r>
      <w:r>
        <w:t>reported</w:t>
      </w:r>
      <w:r>
        <w:rPr>
          <w:spacing w:val="27"/>
        </w:rPr>
        <w:t xml:space="preserve"> </w:t>
      </w:r>
      <w:r>
        <w:t>in</w:t>
      </w:r>
      <w:r>
        <w:rPr>
          <w:spacing w:val="24"/>
        </w:rPr>
        <w:t xml:space="preserve"> </w:t>
      </w:r>
      <w:r>
        <w:t>≥10%</w:t>
      </w:r>
      <w:r>
        <w:rPr>
          <w:spacing w:val="25"/>
        </w:rPr>
        <w:t xml:space="preserve"> </w:t>
      </w:r>
      <w:r>
        <w:t>of</w:t>
      </w:r>
      <w:r>
        <w:rPr>
          <w:spacing w:val="28"/>
        </w:rPr>
        <w:t xml:space="preserve"> </w:t>
      </w:r>
      <w:r>
        <w:t>all</w:t>
      </w:r>
      <w:r>
        <w:rPr>
          <w:spacing w:val="24"/>
        </w:rPr>
        <w:t xml:space="preserve"> </w:t>
      </w:r>
      <w:r>
        <w:t>patients</w:t>
      </w:r>
      <w:r>
        <w:rPr>
          <w:spacing w:val="25"/>
        </w:rPr>
        <w:t xml:space="preserve"> </w:t>
      </w:r>
      <w:r>
        <w:t>(N=373)</w:t>
      </w:r>
      <w:r>
        <w:rPr>
          <w:spacing w:val="26"/>
        </w:rPr>
        <w:t xml:space="preserve"> </w:t>
      </w:r>
      <w:r>
        <w:t>treated</w:t>
      </w:r>
      <w:r>
        <w:rPr>
          <w:spacing w:val="28"/>
        </w:rPr>
        <w:t xml:space="preserve"> </w:t>
      </w:r>
      <w:r>
        <w:rPr>
          <w:spacing w:val="-4"/>
        </w:rPr>
        <w:t>with</w:t>
      </w:r>
    </w:p>
    <w:p w14:paraId="2366FF38" w14:textId="77777777" w:rsidR="005303F6" w:rsidRDefault="00EB7C90" w:rsidP="008F14F0">
      <w:pPr>
        <w:pStyle w:val="BodyText"/>
        <w:spacing w:before="0"/>
        <w:jc w:val="left"/>
        <w:rPr>
          <w:spacing w:val="-2"/>
        </w:rPr>
      </w:pPr>
      <w:r>
        <w:t>TABRECTA</w:t>
      </w:r>
      <w:r>
        <w:rPr>
          <w:spacing w:val="-4"/>
        </w:rPr>
        <w:t xml:space="preserve"> </w:t>
      </w:r>
      <w:r>
        <w:t>in</w:t>
      </w:r>
      <w:r>
        <w:rPr>
          <w:spacing w:val="-1"/>
        </w:rPr>
        <w:t xml:space="preserve"> </w:t>
      </w:r>
      <w:r>
        <w:t>Study</w:t>
      </w:r>
      <w:r>
        <w:rPr>
          <w:spacing w:val="-3"/>
        </w:rPr>
        <w:t xml:space="preserve"> </w:t>
      </w:r>
      <w:r>
        <w:t>A2201</w:t>
      </w:r>
      <w:r>
        <w:rPr>
          <w:spacing w:val="-1"/>
        </w:rPr>
        <w:t xml:space="preserve"> </w:t>
      </w:r>
      <w:r>
        <w:t>(GEOMETRY</w:t>
      </w:r>
      <w:r>
        <w:rPr>
          <w:spacing w:val="-4"/>
        </w:rPr>
        <w:t xml:space="preserve"> </w:t>
      </w:r>
      <w:r>
        <w:t>mono-1),</w:t>
      </w:r>
      <w:r>
        <w:rPr>
          <w:spacing w:val="-5"/>
        </w:rPr>
        <w:t xml:space="preserve"> </w:t>
      </w:r>
      <w:r>
        <w:t>are</w:t>
      </w:r>
      <w:r>
        <w:rPr>
          <w:spacing w:val="-1"/>
        </w:rPr>
        <w:t xml:space="preserve"> </w:t>
      </w:r>
      <w:proofErr w:type="spellStart"/>
      <w:r>
        <w:t>summarised</w:t>
      </w:r>
      <w:proofErr w:type="spellEnd"/>
      <w:r>
        <w:rPr>
          <w:spacing w:val="-3"/>
        </w:rPr>
        <w:t xml:space="preserve"> </w:t>
      </w:r>
      <w:r>
        <w:rPr>
          <w:spacing w:val="-2"/>
        </w:rPr>
        <w:t>below.</w:t>
      </w:r>
    </w:p>
    <w:p w14:paraId="2366FF3A" w14:textId="77777777" w:rsidR="005303F6" w:rsidRDefault="00EB7C90" w:rsidP="008F14F0">
      <w:pPr>
        <w:tabs>
          <w:tab w:val="left" w:pos="1585"/>
        </w:tabs>
        <w:spacing w:before="82" w:line="276" w:lineRule="auto"/>
        <w:ind w:left="1581" w:right="1452" w:hanging="1133"/>
        <w:rPr>
          <w:rFonts w:ascii="Cambria" w:hAnsi="Cambria"/>
          <w:b/>
          <w:sz w:val="24"/>
        </w:rPr>
      </w:pPr>
      <w:r>
        <w:rPr>
          <w:rFonts w:ascii="Cambria" w:hAnsi="Cambria"/>
          <w:b/>
          <w:sz w:val="24"/>
        </w:rPr>
        <w:t>Table 3</w:t>
      </w:r>
      <w:r>
        <w:rPr>
          <w:rFonts w:ascii="Cambria" w:hAnsi="Cambria"/>
          <w:b/>
          <w:sz w:val="24"/>
        </w:rPr>
        <w:tab/>
      </w:r>
      <w:r>
        <w:rPr>
          <w:rFonts w:ascii="Cambria" w:hAnsi="Cambria"/>
          <w:b/>
          <w:sz w:val="24"/>
        </w:rPr>
        <w:tab/>
        <w:t>Adverse</w:t>
      </w:r>
      <w:r>
        <w:rPr>
          <w:rFonts w:ascii="Cambria" w:hAnsi="Cambria"/>
          <w:b/>
          <w:spacing w:val="-4"/>
          <w:sz w:val="24"/>
        </w:rPr>
        <w:t xml:space="preserve"> </w:t>
      </w:r>
      <w:r>
        <w:rPr>
          <w:rFonts w:ascii="Cambria" w:hAnsi="Cambria"/>
          <w:b/>
          <w:sz w:val="24"/>
        </w:rPr>
        <w:t>events</w:t>
      </w:r>
      <w:r>
        <w:rPr>
          <w:rFonts w:ascii="Cambria" w:hAnsi="Cambria"/>
          <w:b/>
          <w:spacing w:val="-4"/>
          <w:sz w:val="24"/>
        </w:rPr>
        <w:t xml:space="preserve"> </w:t>
      </w:r>
      <w:r>
        <w:rPr>
          <w:rFonts w:ascii="Cambria" w:hAnsi="Cambria"/>
          <w:b/>
          <w:sz w:val="24"/>
        </w:rPr>
        <w:t>(≥10%),</w:t>
      </w:r>
      <w:r>
        <w:rPr>
          <w:rFonts w:ascii="Cambria" w:hAnsi="Cambria"/>
          <w:b/>
          <w:spacing w:val="-4"/>
          <w:sz w:val="24"/>
        </w:rPr>
        <w:t xml:space="preserve"> </w:t>
      </w:r>
      <w:r>
        <w:rPr>
          <w:rFonts w:ascii="Cambria" w:hAnsi="Cambria"/>
          <w:b/>
          <w:sz w:val="24"/>
        </w:rPr>
        <w:t>regardless</w:t>
      </w:r>
      <w:r>
        <w:rPr>
          <w:rFonts w:ascii="Cambria" w:hAnsi="Cambria"/>
          <w:b/>
          <w:spacing w:val="-4"/>
          <w:sz w:val="24"/>
        </w:rPr>
        <w:t xml:space="preserve"> </w:t>
      </w:r>
      <w:r>
        <w:rPr>
          <w:rFonts w:ascii="Cambria" w:hAnsi="Cambria"/>
          <w:b/>
          <w:sz w:val="24"/>
        </w:rPr>
        <w:t>of</w:t>
      </w:r>
      <w:r>
        <w:rPr>
          <w:rFonts w:ascii="Cambria" w:hAnsi="Cambria"/>
          <w:b/>
          <w:spacing w:val="-4"/>
          <w:sz w:val="24"/>
        </w:rPr>
        <w:t xml:space="preserve"> </w:t>
      </w:r>
      <w:r>
        <w:rPr>
          <w:rFonts w:ascii="Cambria" w:hAnsi="Cambria"/>
          <w:b/>
          <w:sz w:val="24"/>
        </w:rPr>
        <w:t>study</w:t>
      </w:r>
      <w:r>
        <w:rPr>
          <w:rFonts w:ascii="Cambria" w:hAnsi="Cambria"/>
          <w:b/>
          <w:spacing w:val="-4"/>
          <w:sz w:val="24"/>
        </w:rPr>
        <w:t xml:space="preserve"> </w:t>
      </w:r>
      <w:r>
        <w:rPr>
          <w:rFonts w:ascii="Cambria" w:hAnsi="Cambria"/>
          <w:b/>
          <w:sz w:val="24"/>
        </w:rPr>
        <w:t>drug</w:t>
      </w:r>
      <w:r>
        <w:rPr>
          <w:rFonts w:ascii="Cambria" w:hAnsi="Cambria"/>
          <w:b/>
          <w:spacing w:val="-4"/>
          <w:sz w:val="24"/>
        </w:rPr>
        <w:t xml:space="preserve"> </w:t>
      </w:r>
      <w:r>
        <w:rPr>
          <w:rFonts w:ascii="Cambria" w:hAnsi="Cambria"/>
          <w:b/>
          <w:sz w:val="24"/>
        </w:rPr>
        <w:t>relationship,</w:t>
      </w:r>
      <w:r>
        <w:rPr>
          <w:rFonts w:ascii="Cambria" w:hAnsi="Cambria"/>
          <w:b/>
          <w:spacing w:val="40"/>
          <w:sz w:val="24"/>
        </w:rPr>
        <w:t xml:space="preserve"> </w:t>
      </w:r>
      <w:r>
        <w:rPr>
          <w:rFonts w:ascii="Cambria" w:hAnsi="Cambria"/>
          <w:b/>
          <w:sz w:val="24"/>
        </w:rPr>
        <w:t>in patients (N = 373) who received TABRECTA in Study A2201 (GEOMETRY mono-1) (Data cut-off: 16-May-2023)</w:t>
      </w:r>
    </w:p>
    <w:p w14:paraId="2366FF3B" w14:textId="77777777" w:rsidR="005303F6" w:rsidRDefault="005303F6" w:rsidP="008F14F0">
      <w:pPr>
        <w:pStyle w:val="BodyText"/>
        <w:spacing w:before="1"/>
        <w:ind w:left="0"/>
        <w:jc w:val="left"/>
        <w:rPr>
          <w:rFonts w:ascii="Cambria"/>
          <w:b/>
          <w:sz w:val="17"/>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60"/>
        <w:gridCol w:w="2108"/>
        <w:gridCol w:w="1373"/>
      </w:tblGrid>
      <w:tr w:rsidR="005303F6" w14:paraId="2366FF3D" w14:textId="77777777" w:rsidTr="003F2FE8">
        <w:trPr>
          <w:trHeight w:val="594"/>
          <w:tblHeader/>
        </w:trPr>
        <w:tc>
          <w:tcPr>
            <w:tcW w:w="9041" w:type="dxa"/>
            <w:gridSpan w:val="3"/>
          </w:tcPr>
          <w:p w14:paraId="2366FF3C" w14:textId="77777777" w:rsidR="005303F6" w:rsidRDefault="00EB7C90" w:rsidP="008F14F0">
            <w:pPr>
              <w:pStyle w:val="TableParagraph"/>
              <w:spacing w:line="276" w:lineRule="auto"/>
              <w:ind w:left="7388" w:right="898" w:hanging="219"/>
              <w:rPr>
                <w:b/>
                <w:sz w:val="18"/>
              </w:rPr>
            </w:pPr>
            <w:r>
              <w:rPr>
                <w:b/>
                <w:sz w:val="18"/>
              </w:rPr>
              <w:t>All</w:t>
            </w:r>
            <w:r>
              <w:rPr>
                <w:b/>
                <w:spacing w:val="-13"/>
                <w:sz w:val="18"/>
              </w:rPr>
              <w:t xml:space="preserve"> </w:t>
            </w:r>
            <w:r>
              <w:rPr>
                <w:b/>
                <w:sz w:val="18"/>
              </w:rPr>
              <w:t xml:space="preserve">patients </w:t>
            </w:r>
            <w:r>
              <w:rPr>
                <w:b/>
                <w:spacing w:val="-2"/>
                <w:sz w:val="18"/>
              </w:rPr>
              <w:t>N=373</w:t>
            </w:r>
          </w:p>
        </w:tc>
      </w:tr>
      <w:tr w:rsidR="005303F6" w14:paraId="2366FF41" w14:textId="77777777" w:rsidTr="003F2FE8">
        <w:trPr>
          <w:trHeight w:val="597"/>
        </w:trPr>
        <w:tc>
          <w:tcPr>
            <w:tcW w:w="5560" w:type="dxa"/>
          </w:tcPr>
          <w:p w14:paraId="2366FF3E" w14:textId="77777777" w:rsidR="005303F6" w:rsidRDefault="00EB7C90" w:rsidP="008F14F0">
            <w:pPr>
              <w:pStyle w:val="TableParagraph"/>
              <w:spacing w:line="278" w:lineRule="auto"/>
              <w:ind w:left="175" w:right="3093" w:hanging="101"/>
              <w:rPr>
                <w:b/>
                <w:sz w:val="18"/>
              </w:rPr>
            </w:pPr>
            <w:r>
              <w:rPr>
                <w:b/>
                <w:sz w:val="18"/>
              </w:rPr>
              <w:t>Primary</w:t>
            </w:r>
            <w:r>
              <w:rPr>
                <w:b/>
                <w:spacing w:val="-13"/>
                <w:sz w:val="18"/>
              </w:rPr>
              <w:t xml:space="preserve"> </w:t>
            </w:r>
            <w:r>
              <w:rPr>
                <w:b/>
                <w:sz w:val="18"/>
              </w:rPr>
              <w:t>system</w:t>
            </w:r>
            <w:r>
              <w:rPr>
                <w:b/>
                <w:spacing w:val="-12"/>
                <w:sz w:val="18"/>
              </w:rPr>
              <w:t xml:space="preserve"> </w:t>
            </w:r>
            <w:r>
              <w:rPr>
                <w:b/>
                <w:sz w:val="18"/>
              </w:rPr>
              <w:t>organ</w:t>
            </w:r>
            <w:r>
              <w:rPr>
                <w:b/>
                <w:spacing w:val="-13"/>
                <w:sz w:val="18"/>
              </w:rPr>
              <w:t xml:space="preserve"> </w:t>
            </w:r>
            <w:r>
              <w:rPr>
                <w:b/>
                <w:sz w:val="18"/>
              </w:rPr>
              <w:t>class Preferred term</w:t>
            </w:r>
          </w:p>
        </w:tc>
        <w:tc>
          <w:tcPr>
            <w:tcW w:w="2108" w:type="dxa"/>
          </w:tcPr>
          <w:p w14:paraId="2366FF3F" w14:textId="77777777" w:rsidR="005303F6" w:rsidRDefault="00EB7C90" w:rsidP="008F14F0">
            <w:pPr>
              <w:pStyle w:val="TableParagraph"/>
              <w:spacing w:line="278" w:lineRule="auto"/>
              <w:ind w:left="1182" w:right="264" w:hanging="216"/>
              <w:rPr>
                <w:b/>
                <w:sz w:val="18"/>
              </w:rPr>
            </w:pPr>
            <w:r>
              <w:rPr>
                <w:b/>
                <w:sz w:val="18"/>
              </w:rPr>
              <w:t>All</w:t>
            </w:r>
            <w:r>
              <w:rPr>
                <w:b/>
                <w:spacing w:val="-13"/>
                <w:sz w:val="18"/>
              </w:rPr>
              <w:t xml:space="preserve"> </w:t>
            </w:r>
            <w:r>
              <w:rPr>
                <w:b/>
                <w:sz w:val="18"/>
              </w:rPr>
              <w:t>grades n (%)</w:t>
            </w:r>
          </w:p>
        </w:tc>
        <w:tc>
          <w:tcPr>
            <w:tcW w:w="1373" w:type="dxa"/>
          </w:tcPr>
          <w:p w14:paraId="2366FF40" w14:textId="77777777" w:rsidR="005303F6" w:rsidRDefault="00EB7C90" w:rsidP="008F14F0">
            <w:pPr>
              <w:pStyle w:val="TableParagraph"/>
              <w:spacing w:line="278" w:lineRule="auto"/>
              <w:ind w:left="462" w:right="275" w:hanging="192"/>
              <w:rPr>
                <w:b/>
                <w:sz w:val="18"/>
              </w:rPr>
            </w:pPr>
            <w:r>
              <w:rPr>
                <w:b/>
                <w:sz w:val="18"/>
              </w:rPr>
              <w:t>Grade</w:t>
            </w:r>
            <w:r>
              <w:rPr>
                <w:b/>
                <w:spacing w:val="-13"/>
                <w:sz w:val="18"/>
              </w:rPr>
              <w:t xml:space="preserve"> </w:t>
            </w:r>
            <w:r>
              <w:rPr>
                <w:b/>
                <w:sz w:val="18"/>
              </w:rPr>
              <w:t>3/4 n (%)</w:t>
            </w:r>
          </w:p>
        </w:tc>
      </w:tr>
      <w:tr w:rsidR="005303F6" w14:paraId="2366FF45" w14:textId="77777777" w:rsidTr="003F2FE8">
        <w:trPr>
          <w:trHeight w:val="357"/>
        </w:trPr>
        <w:tc>
          <w:tcPr>
            <w:tcW w:w="5560" w:type="dxa"/>
          </w:tcPr>
          <w:p w14:paraId="2366FF42" w14:textId="77777777" w:rsidR="005303F6" w:rsidRDefault="00EB7C90" w:rsidP="008F14F0">
            <w:pPr>
              <w:pStyle w:val="TableParagraph"/>
              <w:ind w:left="74"/>
              <w:rPr>
                <w:b/>
                <w:sz w:val="18"/>
              </w:rPr>
            </w:pPr>
            <w:r>
              <w:rPr>
                <w:b/>
                <w:sz w:val="18"/>
              </w:rPr>
              <w:t>Any</w:t>
            </w:r>
            <w:r>
              <w:rPr>
                <w:b/>
                <w:spacing w:val="-3"/>
                <w:sz w:val="18"/>
              </w:rPr>
              <w:t xml:space="preserve"> </w:t>
            </w:r>
            <w:r>
              <w:rPr>
                <w:b/>
                <w:sz w:val="18"/>
              </w:rPr>
              <w:t>primary</w:t>
            </w:r>
            <w:r>
              <w:rPr>
                <w:b/>
                <w:spacing w:val="-5"/>
                <w:sz w:val="18"/>
              </w:rPr>
              <w:t xml:space="preserve"> </w:t>
            </w:r>
            <w:r>
              <w:rPr>
                <w:b/>
                <w:sz w:val="18"/>
              </w:rPr>
              <w:t>system</w:t>
            </w:r>
            <w:r>
              <w:rPr>
                <w:b/>
                <w:spacing w:val="-3"/>
                <w:sz w:val="18"/>
              </w:rPr>
              <w:t xml:space="preserve"> </w:t>
            </w:r>
            <w:r>
              <w:rPr>
                <w:b/>
                <w:sz w:val="18"/>
              </w:rPr>
              <w:t>organ</w:t>
            </w:r>
            <w:r>
              <w:rPr>
                <w:b/>
                <w:spacing w:val="-2"/>
                <w:sz w:val="18"/>
              </w:rPr>
              <w:t xml:space="preserve"> class</w:t>
            </w:r>
          </w:p>
        </w:tc>
        <w:tc>
          <w:tcPr>
            <w:tcW w:w="2108" w:type="dxa"/>
          </w:tcPr>
          <w:p w14:paraId="2366FF43" w14:textId="77777777" w:rsidR="005303F6" w:rsidRDefault="00EB7C90" w:rsidP="008F14F0">
            <w:pPr>
              <w:pStyle w:val="TableParagraph"/>
              <w:ind w:right="290"/>
              <w:rPr>
                <w:b/>
                <w:sz w:val="18"/>
              </w:rPr>
            </w:pPr>
            <w:r>
              <w:rPr>
                <w:b/>
                <w:sz w:val="18"/>
              </w:rPr>
              <w:t>348</w:t>
            </w:r>
            <w:r>
              <w:rPr>
                <w:b/>
                <w:spacing w:val="-2"/>
                <w:sz w:val="18"/>
              </w:rPr>
              <w:t xml:space="preserve"> (93.3)</w:t>
            </w:r>
          </w:p>
        </w:tc>
        <w:tc>
          <w:tcPr>
            <w:tcW w:w="1373" w:type="dxa"/>
          </w:tcPr>
          <w:p w14:paraId="2366FF44" w14:textId="77777777" w:rsidR="005303F6" w:rsidRDefault="00EB7C90" w:rsidP="008F14F0">
            <w:pPr>
              <w:pStyle w:val="TableParagraph"/>
              <w:ind w:right="8"/>
              <w:rPr>
                <w:b/>
                <w:sz w:val="18"/>
              </w:rPr>
            </w:pPr>
            <w:r>
              <w:rPr>
                <w:b/>
                <w:sz w:val="18"/>
              </w:rPr>
              <w:t>141</w:t>
            </w:r>
            <w:r>
              <w:rPr>
                <w:b/>
                <w:spacing w:val="-2"/>
                <w:sz w:val="18"/>
              </w:rPr>
              <w:t xml:space="preserve"> (37.8)</w:t>
            </w:r>
          </w:p>
        </w:tc>
      </w:tr>
      <w:tr w:rsidR="005303F6" w14:paraId="2366FF49" w14:textId="77777777" w:rsidTr="003F2FE8">
        <w:trPr>
          <w:trHeight w:val="359"/>
        </w:trPr>
        <w:tc>
          <w:tcPr>
            <w:tcW w:w="5560" w:type="dxa"/>
          </w:tcPr>
          <w:p w14:paraId="2366FF46" w14:textId="77777777" w:rsidR="005303F6" w:rsidRDefault="00EB7C90" w:rsidP="008F14F0">
            <w:pPr>
              <w:pStyle w:val="TableParagraph"/>
              <w:ind w:left="74"/>
              <w:rPr>
                <w:b/>
                <w:sz w:val="18"/>
              </w:rPr>
            </w:pPr>
            <w:r>
              <w:rPr>
                <w:b/>
                <w:sz w:val="18"/>
              </w:rPr>
              <w:t>Gastrointestinal</w:t>
            </w:r>
            <w:r>
              <w:rPr>
                <w:b/>
                <w:spacing w:val="-5"/>
                <w:sz w:val="18"/>
              </w:rPr>
              <w:t xml:space="preserve"> </w:t>
            </w:r>
            <w:r>
              <w:rPr>
                <w:b/>
                <w:spacing w:val="-2"/>
                <w:sz w:val="18"/>
              </w:rPr>
              <w:t>disorders</w:t>
            </w:r>
          </w:p>
        </w:tc>
        <w:tc>
          <w:tcPr>
            <w:tcW w:w="2108" w:type="dxa"/>
          </w:tcPr>
          <w:p w14:paraId="2366FF47" w14:textId="77777777" w:rsidR="005303F6" w:rsidRDefault="00EB7C90" w:rsidP="008F14F0">
            <w:pPr>
              <w:pStyle w:val="TableParagraph"/>
              <w:ind w:right="290"/>
              <w:rPr>
                <w:b/>
                <w:sz w:val="18"/>
              </w:rPr>
            </w:pPr>
            <w:r>
              <w:rPr>
                <w:b/>
                <w:sz w:val="18"/>
              </w:rPr>
              <w:t>241</w:t>
            </w:r>
            <w:r>
              <w:rPr>
                <w:b/>
                <w:spacing w:val="-2"/>
                <w:sz w:val="18"/>
              </w:rPr>
              <w:t xml:space="preserve"> (64.6)</w:t>
            </w:r>
          </w:p>
        </w:tc>
        <w:tc>
          <w:tcPr>
            <w:tcW w:w="1373" w:type="dxa"/>
          </w:tcPr>
          <w:p w14:paraId="2366FF48" w14:textId="77777777" w:rsidR="005303F6" w:rsidRDefault="00EB7C90" w:rsidP="008F14F0">
            <w:pPr>
              <w:pStyle w:val="TableParagraph"/>
              <w:ind w:left="1" w:right="8"/>
              <w:rPr>
                <w:b/>
                <w:sz w:val="18"/>
              </w:rPr>
            </w:pPr>
            <w:r>
              <w:rPr>
                <w:b/>
                <w:sz w:val="18"/>
              </w:rPr>
              <w:t xml:space="preserve">18 </w:t>
            </w:r>
            <w:r>
              <w:rPr>
                <w:b/>
                <w:spacing w:val="-2"/>
                <w:sz w:val="18"/>
              </w:rPr>
              <w:t>(4.8)</w:t>
            </w:r>
          </w:p>
        </w:tc>
      </w:tr>
      <w:tr w:rsidR="005303F6" w14:paraId="2366FF4D" w14:textId="77777777" w:rsidTr="003F2FE8">
        <w:trPr>
          <w:trHeight w:val="357"/>
        </w:trPr>
        <w:tc>
          <w:tcPr>
            <w:tcW w:w="5560" w:type="dxa"/>
          </w:tcPr>
          <w:p w14:paraId="2366FF4A" w14:textId="77777777" w:rsidR="005303F6" w:rsidRDefault="00EB7C90" w:rsidP="008F14F0">
            <w:pPr>
              <w:pStyle w:val="TableParagraph"/>
              <w:ind w:left="175"/>
              <w:rPr>
                <w:sz w:val="18"/>
              </w:rPr>
            </w:pPr>
            <w:r>
              <w:rPr>
                <w:spacing w:val="-2"/>
                <w:sz w:val="18"/>
              </w:rPr>
              <w:t>Nausea</w:t>
            </w:r>
          </w:p>
        </w:tc>
        <w:tc>
          <w:tcPr>
            <w:tcW w:w="2108" w:type="dxa"/>
          </w:tcPr>
          <w:p w14:paraId="2366FF4B" w14:textId="77777777" w:rsidR="005303F6" w:rsidRDefault="00EB7C90" w:rsidP="008F14F0">
            <w:pPr>
              <w:pStyle w:val="TableParagraph"/>
              <w:ind w:right="290"/>
              <w:rPr>
                <w:sz w:val="18"/>
              </w:rPr>
            </w:pPr>
            <w:r>
              <w:rPr>
                <w:sz w:val="18"/>
              </w:rPr>
              <w:t>171</w:t>
            </w:r>
            <w:r>
              <w:rPr>
                <w:spacing w:val="-2"/>
                <w:sz w:val="18"/>
              </w:rPr>
              <w:t xml:space="preserve"> (45.8)</w:t>
            </w:r>
          </w:p>
        </w:tc>
        <w:tc>
          <w:tcPr>
            <w:tcW w:w="1373" w:type="dxa"/>
          </w:tcPr>
          <w:p w14:paraId="2366FF4C" w14:textId="77777777" w:rsidR="005303F6" w:rsidRDefault="00EB7C90" w:rsidP="008F14F0">
            <w:pPr>
              <w:pStyle w:val="TableParagraph"/>
              <w:ind w:left="3" w:right="8"/>
              <w:rPr>
                <w:sz w:val="18"/>
              </w:rPr>
            </w:pPr>
            <w:r>
              <w:rPr>
                <w:sz w:val="18"/>
              </w:rPr>
              <w:t xml:space="preserve">9 </w:t>
            </w:r>
            <w:r>
              <w:rPr>
                <w:spacing w:val="-2"/>
                <w:sz w:val="18"/>
              </w:rPr>
              <w:t>(2.4)</w:t>
            </w:r>
          </w:p>
        </w:tc>
      </w:tr>
      <w:tr w:rsidR="005303F6" w14:paraId="2366FF51" w14:textId="77777777" w:rsidTr="003F2FE8">
        <w:trPr>
          <w:trHeight w:val="357"/>
        </w:trPr>
        <w:tc>
          <w:tcPr>
            <w:tcW w:w="5560" w:type="dxa"/>
          </w:tcPr>
          <w:p w14:paraId="2366FF4E" w14:textId="77777777" w:rsidR="005303F6" w:rsidRDefault="00EB7C90" w:rsidP="008F14F0">
            <w:pPr>
              <w:pStyle w:val="TableParagraph"/>
              <w:ind w:left="175"/>
              <w:rPr>
                <w:sz w:val="18"/>
              </w:rPr>
            </w:pPr>
            <w:r>
              <w:rPr>
                <w:spacing w:val="-2"/>
                <w:sz w:val="18"/>
              </w:rPr>
              <w:t>Vomiting</w:t>
            </w:r>
          </w:p>
        </w:tc>
        <w:tc>
          <w:tcPr>
            <w:tcW w:w="2108" w:type="dxa"/>
          </w:tcPr>
          <w:p w14:paraId="2366FF4F" w14:textId="77777777" w:rsidR="005303F6" w:rsidRDefault="00EB7C90" w:rsidP="008F14F0">
            <w:pPr>
              <w:pStyle w:val="TableParagraph"/>
              <w:ind w:right="290"/>
              <w:rPr>
                <w:sz w:val="18"/>
              </w:rPr>
            </w:pPr>
            <w:r>
              <w:rPr>
                <w:sz w:val="18"/>
              </w:rPr>
              <w:t>107</w:t>
            </w:r>
            <w:r>
              <w:rPr>
                <w:spacing w:val="-2"/>
                <w:sz w:val="18"/>
              </w:rPr>
              <w:t xml:space="preserve"> (28.7)</w:t>
            </w:r>
          </w:p>
        </w:tc>
        <w:tc>
          <w:tcPr>
            <w:tcW w:w="1373" w:type="dxa"/>
          </w:tcPr>
          <w:p w14:paraId="2366FF50" w14:textId="77777777" w:rsidR="005303F6" w:rsidRDefault="00EB7C90" w:rsidP="008F14F0">
            <w:pPr>
              <w:pStyle w:val="TableParagraph"/>
              <w:ind w:left="3" w:right="8"/>
              <w:rPr>
                <w:sz w:val="18"/>
              </w:rPr>
            </w:pPr>
            <w:r>
              <w:rPr>
                <w:sz w:val="18"/>
              </w:rPr>
              <w:t xml:space="preserve">9 </w:t>
            </w:r>
            <w:r>
              <w:rPr>
                <w:spacing w:val="-2"/>
                <w:sz w:val="18"/>
              </w:rPr>
              <w:t>(2.4)</w:t>
            </w:r>
          </w:p>
        </w:tc>
      </w:tr>
      <w:tr w:rsidR="005303F6" w14:paraId="2366FF55" w14:textId="77777777" w:rsidTr="003F2FE8">
        <w:trPr>
          <w:trHeight w:val="359"/>
        </w:trPr>
        <w:tc>
          <w:tcPr>
            <w:tcW w:w="5560" w:type="dxa"/>
          </w:tcPr>
          <w:p w14:paraId="2366FF52" w14:textId="77777777" w:rsidR="005303F6" w:rsidRDefault="00EB7C90" w:rsidP="008F14F0">
            <w:pPr>
              <w:pStyle w:val="TableParagraph"/>
              <w:ind w:left="175"/>
              <w:rPr>
                <w:sz w:val="18"/>
              </w:rPr>
            </w:pPr>
            <w:proofErr w:type="spellStart"/>
            <w:r>
              <w:rPr>
                <w:spacing w:val="-2"/>
                <w:sz w:val="18"/>
              </w:rPr>
              <w:t>Diarrhoea</w:t>
            </w:r>
            <w:proofErr w:type="spellEnd"/>
          </w:p>
        </w:tc>
        <w:tc>
          <w:tcPr>
            <w:tcW w:w="2108" w:type="dxa"/>
          </w:tcPr>
          <w:p w14:paraId="2366FF53" w14:textId="77777777" w:rsidR="005303F6" w:rsidRDefault="00EB7C90" w:rsidP="008F14F0">
            <w:pPr>
              <w:pStyle w:val="TableParagraph"/>
              <w:ind w:right="341"/>
              <w:rPr>
                <w:sz w:val="18"/>
              </w:rPr>
            </w:pPr>
            <w:r>
              <w:rPr>
                <w:sz w:val="18"/>
              </w:rPr>
              <w:t xml:space="preserve">71 </w:t>
            </w:r>
            <w:r>
              <w:rPr>
                <w:spacing w:val="-2"/>
                <w:sz w:val="18"/>
              </w:rPr>
              <w:t>(19.0)</w:t>
            </w:r>
          </w:p>
        </w:tc>
        <w:tc>
          <w:tcPr>
            <w:tcW w:w="1373" w:type="dxa"/>
          </w:tcPr>
          <w:p w14:paraId="2366FF54" w14:textId="77777777" w:rsidR="005303F6" w:rsidRDefault="00EB7C90" w:rsidP="008F14F0">
            <w:pPr>
              <w:pStyle w:val="TableParagraph"/>
              <w:ind w:left="3" w:right="8"/>
              <w:rPr>
                <w:sz w:val="18"/>
              </w:rPr>
            </w:pPr>
            <w:r>
              <w:rPr>
                <w:sz w:val="18"/>
              </w:rPr>
              <w:t xml:space="preserve">2 </w:t>
            </w:r>
            <w:r>
              <w:rPr>
                <w:spacing w:val="-2"/>
                <w:sz w:val="18"/>
              </w:rPr>
              <w:t>(0.5)</w:t>
            </w:r>
          </w:p>
        </w:tc>
      </w:tr>
      <w:tr w:rsidR="005303F6" w14:paraId="2366FF59" w14:textId="77777777" w:rsidTr="003F2FE8">
        <w:trPr>
          <w:trHeight w:val="357"/>
        </w:trPr>
        <w:tc>
          <w:tcPr>
            <w:tcW w:w="5560" w:type="dxa"/>
          </w:tcPr>
          <w:p w14:paraId="2366FF56" w14:textId="77777777" w:rsidR="005303F6" w:rsidRDefault="00EB7C90" w:rsidP="008F14F0">
            <w:pPr>
              <w:pStyle w:val="TableParagraph"/>
              <w:ind w:left="175"/>
              <w:rPr>
                <w:sz w:val="18"/>
              </w:rPr>
            </w:pPr>
            <w:r>
              <w:rPr>
                <w:spacing w:val="-2"/>
                <w:sz w:val="18"/>
              </w:rPr>
              <w:t>Constipation</w:t>
            </w:r>
          </w:p>
        </w:tc>
        <w:tc>
          <w:tcPr>
            <w:tcW w:w="2108" w:type="dxa"/>
          </w:tcPr>
          <w:p w14:paraId="2366FF57" w14:textId="77777777" w:rsidR="005303F6" w:rsidRDefault="00EB7C90" w:rsidP="008F14F0">
            <w:pPr>
              <w:pStyle w:val="TableParagraph"/>
              <w:ind w:right="341"/>
              <w:rPr>
                <w:sz w:val="18"/>
              </w:rPr>
            </w:pPr>
            <w:r>
              <w:rPr>
                <w:sz w:val="18"/>
              </w:rPr>
              <w:t xml:space="preserve">70 </w:t>
            </w:r>
            <w:r>
              <w:rPr>
                <w:spacing w:val="-2"/>
                <w:sz w:val="18"/>
              </w:rPr>
              <w:t>(18.8)</w:t>
            </w:r>
          </w:p>
        </w:tc>
        <w:tc>
          <w:tcPr>
            <w:tcW w:w="1373" w:type="dxa"/>
          </w:tcPr>
          <w:p w14:paraId="2366FF58" w14:textId="77777777" w:rsidR="005303F6" w:rsidRDefault="00EB7C90" w:rsidP="008F14F0">
            <w:pPr>
              <w:pStyle w:val="TableParagraph"/>
              <w:ind w:left="3" w:right="8"/>
              <w:rPr>
                <w:sz w:val="18"/>
              </w:rPr>
            </w:pPr>
            <w:r>
              <w:rPr>
                <w:sz w:val="18"/>
              </w:rPr>
              <w:t xml:space="preserve">3 </w:t>
            </w:r>
            <w:r>
              <w:rPr>
                <w:spacing w:val="-2"/>
                <w:sz w:val="18"/>
              </w:rPr>
              <w:t>(0.8)</w:t>
            </w:r>
          </w:p>
        </w:tc>
      </w:tr>
      <w:tr w:rsidR="005303F6" w14:paraId="2366FF5D" w14:textId="77777777" w:rsidTr="003F2FE8">
        <w:trPr>
          <w:trHeight w:val="357"/>
        </w:trPr>
        <w:tc>
          <w:tcPr>
            <w:tcW w:w="5560" w:type="dxa"/>
          </w:tcPr>
          <w:p w14:paraId="2366FF5A" w14:textId="77777777" w:rsidR="005303F6" w:rsidRDefault="00EB7C90" w:rsidP="008F14F0">
            <w:pPr>
              <w:pStyle w:val="TableParagraph"/>
              <w:ind w:left="74"/>
              <w:rPr>
                <w:b/>
                <w:sz w:val="18"/>
              </w:rPr>
            </w:pPr>
            <w:r>
              <w:rPr>
                <w:b/>
                <w:sz w:val="18"/>
              </w:rPr>
              <w:t>General</w:t>
            </w:r>
            <w:r>
              <w:rPr>
                <w:b/>
                <w:spacing w:val="-4"/>
                <w:sz w:val="18"/>
              </w:rPr>
              <w:t xml:space="preserve"> </w:t>
            </w:r>
            <w:r>
              <w:rPr>
                <w:b/>
                <w:sz w:val="18"/>
              </w:rPr>
              <w:t>disorders</w:t>
            </w:r>
            <w:r>
              <w:rPr>
                <w:b/>
                <w:spacing w:val="-3"/>
                <w:sz w:val="18"/>
              </w:rPr>
              <w:t xml:space="preserve"> </w:t>
            </w:r>
            <w:r>
              <w:rPr>
                <w:b/>
                <w:sz w:val="18"/>
              </w:rPr>
              <w:t>and</w:t>
            </w:r>
            <w:r>
              <w:rPr>
                <w:b/>
                <w:spacing w:val="-4"/>
                <w:sz w:val="18"/>
              </w:rPr>
              <w:t xml:space="preserve"> </w:t>
            </w:r>
            <w:r>
              <w:rPr>
                <w:b/>
                <w:sz w:val="18"/>
              </w:rPr>
              <w:t>administration</w:t>
            </w:r>
            <w:r>
              <w:rPr>
                <w:b/>
                <w:spacing w:val="-5"/>
                <w:sz w:val="18"/>
              </w:rPr>
              <w:t xml:space="preserve"> </w:t>
            </w:r>
            <w:r>
              <w:rPr>
                <w:b/>
                <w:sz w:val="18"/>
              </w:rPr>
              <w:t>site</w:t>
            </w:r>
            <w:r>
              <w:rPr>
                <w:b/>
                <w:spacing w:val="-5"/>
                <w:sz w:val="18"/>
              </w:rPr>
              <w:t xml:space="preserve"> </w:t>
            </w:r>
            <w:r>
              <w:rPr>
                <w:b/>
                <w:spacing w:val="-2"/>
                <w:sz w:val="18"/>
              </w:rPr>
              <w:t>conditions</w:t>
            </w:r>
          </w:p>
        </w:tc>
        <w:tc>
          <w:tcPr>
            <w:tcW w:w="2108" w:type="dxa"/>
          </w:tcPr>
          <w:p w14:paraId="2366FF5B" w14:textId="77777777" w:rsidR="005303F6" w:rsidRDefault="00EB7C90" w:rsidP="008F14F0">
            <w:pPr>
              <w:pStyle w:val="TableParagraph"/>
              <w:ind w:right="290"/>
              <w:rPr>
                <w:b/>
                <w:sz w:val="18"/>
              </w:rPr>
            </w:pPr>
            <w:r>
              <w:rPr>
                <w:b/>
                <w:sz w:val="18"/>
              </w:rPr>
              <w:t>259</w:t>
            </w:r>
            <w:r>
              <w:rPr>
                <w:b/>
                <w:spacing w:val="-2"/>
                <w:sz w:val="18"/>
              </w:rPr>
              <w:t xml:space="preserve"> (69.4)</w:t>
            </w:r>
          </w:p>
        </w:tc>
        <w:tc>
          <w:tcPr>
            <w:tcW w:w="1373" w:type="dxa"/>
          </w:tcPr>
          <w:p w14:paraId="2366FF5C" w14:textId="77777777" w:rsidR="005303F6" w:rsidRDefault="00EB7C90" w:rsidP="008F14F0">
            <w:pPr>
              <w:pStyle w:val="TableParagraph"/>
              <w:ind w:right="8"/>
              <w:rPr>
                <w:b/>
                <w:sz w:val="18"/>
              </w:rPr>
            </w:pPr>
            <w:r>
              <w:rPr>
                <w:b/>
                <w:sz w:val="18"/>
              </w:rPr>
              <w:t xml:space="preserve">69 </w:t>
            </w:r>
            <w:r>
              <w:rPr>
                <w:b/>
                <w:spacing w:val="-2"/>
                <w:sz w:val="18"/>
              </w:rPr>
              <w:t>(18.5)</w:t>
            </w:r>
          </w:p>
        </w:tc>
      </w:tr>
      <w:tr w:rsidR="005303F6" w14:paraId="2366FF61" w14:textId="77777777" w:rsidTr="003F2FE8">
        <w:trPr>
          <w:trHeight w:val="359"/>
        </w:trPr>
        <w:tc>
          <w:tcPr>
            <w:tcW w:w="5560" w:type="dxa"/>
          </w:tcPr>
          <w:p w14:paraId="2366FF5E" w14:textId="77777777" w:rsidR="005303F6" w:rsidRDefault="00EB7C90" w:rsidP="008F14F0">
            <w:pPr>
              <w:pStyle w:val="TableParagraph"/>
              <w:ind w:left="175"/>
              <w:rPr>
                <w:sz w:val="18"/>
              </w:rPr>
            </w:pPr>
            <w:r>
              <w:rPr>
                <w:sz w:val="18"/>
              </w:rPr>
              <w:t>Oedema</w:t>
            </w:r>
            <w:r>
              <w:rPr>
                <w:spacing w:val="-3"/>
                <w:sz w:val="18"/>
              </w:rPr>
              <w:t xml:space="preserve"> </w:t>
            </w:r>
            <w:r>
              <w:rPr>
                <w:spacing w:val="-2"/>
                <w:sz w:val="18"/>
              </w:rPr>
              <w:t>peripheral</w:t>
            </w:r>
          </w:p>
        </w:tc>
        <w:tc>
          <w:tcPr>
            <w:tcW w:w="2108" w:type="dxa"/>
          </w:tcPr>
          <w:p w14:paraId="2366FF5F" w14:textId="77777777" w:rsidR="005303F6" w:rsidRDefault="00EB7C90" w:rsidP="008F14F0">
            <w:pPr>
              <w:pStyle w:val="TableParagraph"/>
              <w:ind w:right="290"/>
              <w:rPr>
                <w:sz w:val="18"/>
              </w:rPr>
            </w:pPr>
            <w:r>
              <w:rPr>
                <w:sz w:val="18"/>
              </w:rPr>
              <w:t>204</w:t>
            </w:r>
            <w:r>
              <w:rPr>
                <w:spacing w:val="-2"/>
                <w:sz w:val="18"/>
              </w:rPr>
              <w:t xml:space="preserve"> (54.7)</w:t>
            </w:r>
          </w:p>
        </w:tc>
        <w:tc>
          <w:tcPr>
            <w:tcW w:w="1373" w:type="dxa"/>
          </w:tcPr>
          <w:p w14:paraId="2366FF60" w14:textId="77777777" w:rsidR="005303F6" w:rsidRDefault="00EB7C90" w:rsidP="008F14F0">
            <w:pPr>
              <w:pStyle w:val="TableParagraph"/>
              <w:ind w:right="8"/>
              <w:rPr>
                <w:sz w:val="18"/>
              </w:rPr>
            </w:pPr>
            <w:r>
              <w:rPr>
                <w:sz w:val="18"/>
              </w:rPr>
              <w:t xml:space="preserve">42 </w:t>
            </w:r>
            <w:r>
              <w:rPr>
                <w:spacing w:val="-2"/>
                <w:sz w:val="18"/>
              </w:rPr>
              <w:t>(11.3)</w:t>
            </w:r>
          </w:p>
        </w:tc>
      </w:tr>
      <w:tr w:rsidR="005303F6" w14:paraId="2366FF65" w14:textId="77777777" w:rsidTr="003F2FE8">
        <w:trPr>
          <w:trHeight w:val="357"/>
        </w:trPr>
        <w:tc>
          <w:tcPr>
            <w:tcW w:w="5560" w:type="dxa"/>
          </w:tcPr>
          <w:p w14:paraId="2366FF62" w14:textId="77777777" w:rsidR="005303F6" w:rsidRDefault="00EB7C90" w:rsidP="008F14F0">
            <w:pPr>
              <w:pStyle w:val="TableParagraph"/>
              <w:ind w:left="175"/>
              <w:rPr>
                <w:sz w:val="18"/>
              </w:rPr>
            </w:pPr>
            <w:r>
              <w:rPr>
                <w:spacing w:val="-2"/>
                <w:sz w:val="18"/>
              </w:rPr>
              <w:t>Fatigue</w:t>
            </w:r>
          </w:p>
        </w:tc>
        <w:tc>
          <w:tcPr>
            <w:tcW w:w="2108" w:type="dxa"/>
          </w:tcPr>
          <w:p w14:paraId="2366FF63" w14:textId="77777777" w:rsidR="005303F6" w:rsidRDefault="00EB7C90" w:rsidP="008F14F0">
            <w:pPr>
              <w:pStyle w:val="TableParagraph"/>
              <w:ind w:right="341"/>
              <w:rPr>
                <w:sz w:val="18"/>
              </w:rPr>
            </w:pPr>
            <w:r>
              <w:rPr>
                <w:sz w:val="18"/>
              </w:rPr>
              <w:t xml:space="preserve">86 </w:t>
            </w:r>
            <w:r>
              <w:rPr>
                <w:spacing w:val="-2"/>
                <w:sz w:val="18"/>
              </w:rPr>
              <w:t>(23.1)</w:t>
            </w:r>
          </w:p>
        </w:tc>
        <w:tc>
          <w:tcPr>
            <w:tcW w:w="1373" w:type="dxa"/>
          </w:tcPr>
          <w:p w14:paraId="2366FF64" w14:textId="77777777" w:rsidR="005303F6" w:rsidRDefault="00EB7C90" w:rsidP="008F14F0">
            <w:pPr>
              <w:pStyle w:val="TableParagraph"/>
              <w:ind w:left="1" w:right="8"/>
              <w:rPr>
                <w:sz w:val="18"/>
              </w:rPr>
            </w:pPr>
            <w:r>
              <w:rPr>
                <w:sz w:val="18"/>
              </w:rPr>
              <w:t xml:space="preserve">17 </w:t>
            </w:r>
            <w:r>
              <w:rPr>
                <w:spacing w:val="-2"/>
                <w:sz w:val="18"/>
              </w:rPr>
              <w:t>(4.6)</w:t>
            </w:r>
          </w:p>
        </w:tc>
      </w:tr>
      <w:tr w:rsidR="005303F6" w14:paraId="2366FF69" w14:textId="77777777" w:rsidTr="003F2FE8">
        <w:trPr>
          <w:trHeight w:val="357"/>
        </w:trPr>
        <w:tc>
          <w:tcPr>
            <w:tcW w:w="5560" w:type="dxa"/>
          </w:tcPr>
          <w:p w14:paraId="2366FF66" w14:textId="77777777" w:rsidR="005303F6" w:rsidRDefault="00EB7C90" w:rsidP="008F14F0">
            <w:pPr>
              <w:pStyle w:val="TableParagraph"/>
              <w:ind w:left="175"/>
              <w:rPr>
                <w:sz w:val="18"/>
              </w:rPr>
            </w:pPr>
            <w:r>
              <w:rPr>
                <w:spacing w:val="-2"/>
                <w:sz w:val="18"/>
              </w:rPr>
              <w:t>Pyrexia</w:t>
            </w:r>
          </w:p>
        </w:tc>
        <w:tc>
          <w:tcPr>
            <w:tcW w:w="2108" w:type="dxa"/>
          </w:tcPr>
          <w:p w14:paraId="2366FF67" w14:textId="77777777" w:rsidR="005303F6" w:rsidRDefault="00EB7C90" w:rsidP="008F14F0">
            <w:pPr>
              <w:pStyle w:val="TableParagraph"/>
              <w:ind w:right="341"/>
              <w:rPr>
                <w:sz w:val="18"/>
              </w:rPr>
            </w:pPr>
            <w:r>
              <w:rPr>
                <w:sz w:val="18"/>
              </w:rPr>
              <w:t xml:space="preserve">53 </w:t>
            </w:r>
            <w:r>
              <w:rPr>
                <w:spacing w:val="-2"/>
                <w:sz w:val="18"/>
              </w:rPr>
              <w:t>(14.2)</w:t>
            </w:r>
          </w:p>
        </w:tc>
        <w:tc>
          <w:tcPr>
            <w:tcW w:w="1373" w:type="dxa"/>
          </w:tcPr>
          <w:p w14:paraId="2366FF68" w14:textId="77777777" w:rsidR="005303F6" w:rsidRDefault="00EB7C90" w:rsidP="008F14F0">
            <w:pPr>
              <w:pStyle w:val="TableParagraph"/>
              <w:ind w:left="3" w:right="8"/>
              <w:rPr>
                <w:sz w:val="18"/>
              </w:rPr>
            </w:pPr>
            <w:r>
              <w:rPr>
                <w:sz w:val="18"/>
              </w:rPr>
              <w:t xml:space="preserve">3 </w:t>
            </w:r>
            <w:r>
              <w:rPr>
                <w:spacing w:val="-2"/>
                <w:sz w:val="18"/>
              </w:rPr>
              <w:t>(0.8)</w:t>
            </w:r>
          </w:p>
        </w:tc>
      </w:tr>
      <w:tr w:rsidR="005303F6" w14:paraId="2366FF6D" w14:textId="77777777" w:rsidTr="003F2FE8">
        <w:trPr>
          <w:trHeight w:val="359"/>
        </w:trPr>
        <w:tc>
          <w:tcPr>
            <w:tcW w:w="5560" w:type="dxa"/>
          </w:tcPr>
          <w:p w14:paraId="2366FF6A" w14:textId="77777777" w:rsidR="005303F6" w:rsidRDefault="00EB7C90" w:rsidP="008F14F0">
            <w:pPr>
              <w:pStyle w:val="TableParagraph"/>
              <w:ind w:left="175"/>
              <w:rPr>
                <w:sz w:val="18"/>
              </w:rPr>
            </w:pPr>
            <w:r>
              <w:rPr>
                <w:spacing w:val="-2"/>
                <w:sz w:val="18"/>
              </w:rPr>
              <w:t>Asthenia</w:t>
            </w:r>
          </w:p>
        </w:tc>
        <w:tc>
          <w:tcPr>
            <w:tcW w:w="2108" w:type="dxa"/>
          </w:tcPr>
          <w:p w14:paraId="2366FF6B" w14:textId="77777777" w:rsidR="005303F6" w:rsidRDefault="00EB7C90" w:rsidP="008F14F0">
            <w:pPr>
              <w:pStyle w:val="TableParagraph"/>
              <w:ind w:right="341"/>
              <w:rPr>
                <w:sz w:val="18"/>
              </w:rPr>
            </w:pPr>
            <w:r>
              <w:rPr>
                <w:sz w:val="18"/>
              </w:rPr>
              <w:t xml:space="preserve">49 </w:t>
            </w:r>
            <w:r>
              <w:rPr>
                <w:spacing w:val="-2"/>
                <w:sz w:val="18"/>
              </w:rPr>
              <w:t>(13.1)</w:t>
            </w:r>
          </w:p>
        </w:tc>
        <w:tc>
          <w:tcPr>
            <w:tcW w:w="1373" w:type="dxa"/>
          </w:tcPr>
          <w:p w14:paraId="2366FF6C" w14:textId="77777777" w:rsidR="005303F6" w:rsidRDefault="00EB7C90" w:rsidP="008F14F0">
            <w:pPr>
              <w:pStyle w:val="TableParagraph"/>
              <w:ind w:left="1" w:right="8"/>
              <w:rPr>
                <w:sz w:val="18"/>
              </w:rPr>
            </w:pPr>
            <w:r>
              <w:rPr>
                <w:sz w:val="18"/>
              </w:rPr>
              <w:t xml:space="preserve">14 </w:t>
            </w:r>
            <w:r>
              <w:rPr>
                <w:spacing w:val="-2"/>
                <w:sz w:val="18"/>
              </w:rPr>
              <w:t>(3.8)</w:t>
            </w:r>
          </w:p>
        </w:tc>
      </w:tr>
      <w:tr w:rsidR="005303F6" w14:paraId="2366FF71" w14:textId="77777777" w:rsidTr="003F2FE8">
        <w:trPr>
          <w:trHeight w:val="357"/>
        </w:trPr>
        <w:tc>
          <w:tcPr>
            <w:tcW w:w="5560" w:type="dxa"/>
          </w:tcPr>
          <w:p w14:paraId="2366FF6E" w14:textId="77777777" w:rsidR="005303F6" w:rsidRDefault="00EB7C90" w:rsidP="008F14F0">
            <w:pPr>
              <w:pStyle w:val="TableParagraph"/>
              <w:ind w:left="74"/>
              <w:rPr>
                <w:b/>
                <w:sz w:val="18"/>
              </w:rPr>
            </w:pPr>
            <w:r>
              <w:rPr>
                <w:b/>
                <w:sz w:val="18"/>
              </w:rPr>
              <w:t>Infections</w:t>
            </w:r>
            <w:r>
              <w:rPr>
                <w:b/>
                <w:spacing w:val="-3"/>
                <w:sz w:val="18"/>
              </w:rPr>
              <w:t xml:space="preserve"> </w:t>
            </w:r>
            <w:r>
              <w:rPr>
                <w:b/>
                <w:sz w:val="18"/>
              </w:rPr>
              <w:t>and</w:t>
            </w:r>
            <w:r>
              <w:rPr>
                <w:b/>
                <w:spacing w:val="-2"/>
                <w:sz w:val="18"/>
              </w:rPr>
              <w:t xml:space="preserve"> infestations</w:t>
            </w:r>
          </w:p>
        </w:tc>
        <w:tc>
          <w:tcPr>
            <w:tcW w:w="2108" w:type="dxa"/>
          </w:tcPr>
          <w:p w14:paraId="2366FF6F" w14:textId="77777777" w:rsidR="005303F6" w:rsidRDefault="00EB7C90" w:rsidP="008F14F0">
            <w:pPr>
              <w:pStyle w:val="TableParagraph"/>
              <w:ind w:right="341"/>
              <w:rPr>
                <w:b/>
                <w:sz w:val="18"/>
              </w:rPr>
            </w:pPr>
            <w:r>
              <w:rPr>
                <w:b/>
                <w:sz w:val="18"/>
              </w:rPr>
              <w:t xml:space="preserve">43 </w:t>
            </w:r>
            <w:r>
              <w:rPr>
                <w:b/>
                <w:spacing w:val="-2"/>
                <w:sz w:val="18"/>
              </w:rPr>
              <w:t>(11.5)</w:t>
            </w:r>
          </w:p>
        </w:tc>
        <w:tc>
          <w:tcPr>
            <w:tcW w:w="1373" w:type="dxa"/>
          </w:tcPr>
          <w:p w14:paraId="2366FF70" w14:textId="77777777" w:rsidR="005303F6" w:rsidRDefault="00EB7C90" w:rsidP="008F14F0">
            <w:pPr>
              <w:pStyle w:val="TableParagraph"/>
              <w:ind w:left="1" w:right="8"/>
              <w:rPr>
                <w:b/>
                <w:sz w:val="18"/>
              </w:rPr>
            </w:pPr>
            <w:r>
              <w:rPr>
                <w:b/>
                <w:sz w:val="18"/>
              </w:rPr>
              <w:t xml:space="preserve">17 </w:t>
            </w:r>
            <w:r>
              <w:rPr>
                <w:b/>
                <w:spacing w:val="-2"/>
                <w:sz w:val="18"/>
              </w:rPr>
              <w:t>(4.6)</w:t>
            </w:r>
          </w:p>
        </w:tc>
      </w:tr>
      <w:tr w:rsidR="005303F6" w14:paraId="2366FF75" w14:textId="77777777" w:rsidTr="003F2FE8">
        <w:trPr>
          <w:trHeight w:val="357"/>
        </w:trPr>
        <w:tc>
          <w:tcPr>
            <w:tcW w:w="5560" w:type="dxa"/>
          </w:tcPr>
          <w:p w14:paraId="2366FF72" w14:textId="77777777" w:rsidR="005303F6" w:rsidRDefault="00EB7C90" w:rsidP="008F14F0">
            <w:pPr>
              <w:pStyle w:val="TableParagraph"/>
              <w:ind w:left="175"/>
              <w:rPr>
                <w:sz w:val="18"/>
              </w:rPr>
            </w:pPr>
            <w:r>
              <w:rPr>
                <w:spacing w:val="-2"/>
                <w:sz w:val="18"/>
              </w:rPr>
              <w:t>Pneumonia</w:t>
            </w:r>
          </w:p>
        </w:tc>
        <w:tc>
          <w:tcPr>
            <w:tcW w:w="2108" w:type="dxa"/>
          </w:tcPr>
          <w:p w14:paraId="2366FF73" w14:textId="77777777" w:rsidR="005303F6" w:rsidRDefault="00EB7C90" w:rsidP="008F14F0">
            <w:pPr>
              <w:pStyle w:val="TableParagraph"/>
              <w:ind w:right="341"/>
              <w:rPr>
                <w:sz w:val="18"/>
              </w:rPr>
            </w:pPr>
            <w:r>
              <w:rPr>
                <w:sz w:val="18"/>
              </w:rPr>
              <w:t xml:space="preserve">43 </w:t>
            </w:r>
            <w:r>
              <w:rPr>
                <w:spacing w:val="-2"/>
                <w:sz w:val="18"/>
              </w:rPr>
              <w:t>(11.5)</w:t>
            </w:r>
          </w:p>
        </w:tc>
        <w:tc>
          <w:tcPr>
            <w:tcW w:w="1373" w:type="dxa"/>
          </w:tcPr>
          <w:p w14:paraId="2366FF74" w14:textId="77777777" w:rsidR="005303F6" w:rsidRDefault="00EB7C90" w:rsidP="008F14F0">
            <w:pPr>
              <w:pStyle w:val="TableParagraph"/>
              <w:ind w:left="1" w:right="8"/>
              <w:rPr>
                <w:sz w:val="18"/>
              </w:rPr>
            </w:pPr>
            <w:r>
              <w:rPr>
                <w:sz w:val="18"/>
              </w:rPr>
              <w:t xml:space="preserve">17 </w:t>
            </w:r>
            <w:r>
              <w:rPr>
                <w:spacing w:val="-2"/>
                <w:sz w:val="18"/>
              </w:rPr>
              <w:t>(4.6)</w:t>
            </w:r>
          </w:p>
        </w:tc>
      </w:tr>
      <w:tr w:rsidR="005303F6" w14:paraId="2366FF79" w14:textId="77777777" w:rsidTr="003F2FE8">
        <w:trPr>
          <w:trHeight w:val="359"/>
        </w:trPr>
        <w:tc>
          <w:tcPr>
            <w:tcW w:w="5560" w:type="dxa"/>
          </w:tcPr>
          <w:p w14:paraId="2366FF76" w14:textId="77777777" w:rsidR="005303F6" w:rsidRDefault="00EB7C90" w:rsidP="008F14F0">
            <w:pPr>
              <w:pStyle w:val="TableParagraph"/>
              <w:spacing w:before="61"/>
              <w:ind w:left="74"/>
              <w:rPr>
                <w:b/>
                <w:sz w:val="18"/>
              </w:rPr>
            </w:pPr>
            <w:r>
              <w:rPr>
                <w:b/>
                <w:spacing w:val="-2"/>
                <w:sz w:val="18"/>
              </w:rPr>
              <w:t>Investigations</w:t>
            </w:r>
          </w:p>
        </w:tc>
        <w:tc>
          <w:tcPr>
            <w:tcW w:w="2108" w:type="dxa"/>
          </w:tcPr>
          <w:p w14:paraId="2366FF77" w14:textId="77777777" w:rsidR="005303F6" w:rsidRDefault="00EB7C90" w:rsidP="008F14F0">
            <w:pPr>
              <w:pStyle w:val="TableParagraph"/>
              <w:spacing w:before="61"/>
              <w:ind w:right="290"/>
              <w:rPr>
                <w:b/>
                <w:sz w:val="18"/>
              </w:rPr>
            </w:pPr>
            <w:r>
              <w:rPr>
                <w:b/>
                <w:sz w:val="18"/>
              </w:rPr>
              <w:t>162</w:t>
            </w:r>
            <w:r>
              <w:rPr>
                <w:b/>
                <w:spacing w:val="-2"/>
                <w:sz w:val="18"/>
              </w:rPr>
              <w:t xml:space="preserve"> (43.4)</w:t>
            </w:r>
          </w:p>
        </w:tc>
        <w:tc>
          <w:tcPr>
            <w:tcW w:w="1373" w:type="dxa"/>
          </w:tcPr>
          <w:p w14:paraId="2366FF78" w14:textId="77777777" w:rsidR="005303F6" w:rsidRDefault="00EB7C90" w:rsidP="008F14F0">
            <w:pPr>
              <w:pStyle w:val="TableParagraph"/>
              <w:spacing w:before="61"/>
              <w:ind w:left="1" w:right="8"/>
              <w:rPr>
                <w:b/>
                <w:sz w:val="18"/>
              </w:rPr>
            </w:pPr>
            <w:r>
              <w:rPr>
                <w:b/>
                <w:sz w:val="18"/>
              </w:rPr>
              <w:t xml:space="preserve">29 </w:t>
            </w:r>
            <w:r>
              <w:rPr>
                <w:b/>
                <w:spacing w:val="-2"/>
                <w:sz w:val="18"/>
              </w:rPr>
              <w:t>(7.8)</w:t>
            </w:r>
          </w:p>
        </w:tc>
      </w:tr>
      <w:tr w:rsidR="005303F6" w14:paraId="2366FF7D" w14:textId="77777777" w:rsidTr="003F2FE8">
        <w:trPr>
          <w:trHeight w:val="357"/>
        </w:trPr>
        <w:tc>
          <w:tcPr>
            <w:tcW w:w="5560" w:type="dxa"/>
          </w:tcPr>
          <w:p w14:paraId="2366FF7A" w14:textId="77777777" w:rsidR="005303F6" w:rsidRDefault="00EB7C90" w:rsidP="008F14F0">
            <w:pPr>
              <w:pStyle w:val="TableParagraph"/>
              <w:ind w:left="175"/>
              <w:rPr>
                <w:sz w:val="18"/>
              </w:rPr>
            </w:pPr>
            <w:r>
              <w:rPr>
                <w:sz w:val="18"/>
              </w:rPr>
              <w:lastRenderedPageBreak/>
              <w:t>Blood</w:t>
            </w:r>
            <w:r>
              <w:rPr>
                <w:spacing w:val="-5"/>
                <w:sz w:val="18"/>
              </w:rPr>
              <w:t xml:space="preserve"> </w:t>
            </w:r>
            <w:r>
              <w:rPr>
                <w:sz w:val="18"/>
              </w:rPr>
              <w:t>creatinine</w:t>
            </w:r>
            <w:r>
              <w:rPr>
                <w:spacing w:val="-5"/>
                <w:sz w:val="18"/>
              </w:rPr>
              <w:t xml:space="preserve"> </w:t>
            </w:r>
            <w:r>
              <w:rPr>
                <w:spacing w:val="-2"/>
                <w:sz w:val="18"/>
              </w:rPr>
              <w:t>increased</w:t>
            </w:r>
          </w:p>
        </w:tc>
        <w:tc>
          <w:tcPr>
            <w:tcW w:w="2108" w:type="dxa"/>
          </w:tcPr>
          <w:p w14:paraId="2366FF7B" w14:textId="77777777" w:rsidR="005303F6" w:rsidRDefault="00EB7C90" w:rsidP="008F14F0">
            <w:pPr>
              <w:pStyle w:val="TableParagraph"/>
              <w:ind w:right="290"/>
              <w:rPr>
                <w:sz w:val="18"/>
              </w:rPr>
            </w:pPr>
            <w:r>
              <w:rPr>
                <w:sz w:val="18"/>
              </w:rPr>
              <w:t>103</w:t>
            </w:r>
            <w:r>
              <w:rPr>
                <w:spacing w:val="-2"/>
                <w:sz w:val="18"/>
              </w:rPr>
              <w:t xml:space="preserve"> (27.6)</w:t>
            </w:r>
          </w:p>
        </w:tc>
        <w:tc>
          <w:tcPr>
            <w:tcW w:w="1373" w:type="dxa"/>
          </w:tcPr>
          <w:p w14:paraId="2366FF7C" w14:textId="77777777" w:rsidR="005303F6" w:rsidRDefault="00EB7C90" w:rsidP="008F14F0">
            <w:pPr>
              <w:pStyle w:val="TableParagraph"/>
              <w:ind w:left="3" w:right="8"/>
              <w:rPr>
                <w:sz w:val="18"/>
              </w:rPr>
            </w:pPr>
            <w:r>
              <w:rPr>
                <w:sz w:val="18"/>
              </w:rPr>
              <w:t xml:space="preserve">1 </w:t>
            </w:r>
            <w:r>
              <w:rPr>
                <w:spacing w:val="-2"/>
                <w:sz w:val="18"/>
              </w:rPr>
              <w:t>(0.3)</w:t>
            </w:r>
          </w:p>
        </w:tc>
      </w:tr>
      <w:tr w:rsidR="005303F6" w14:paraId="2366FF81" w14:textId="77777777" w:rsidTr="003F2FE8">
        <w:trPr>
          <w:trHeight w:val="357"/>
        </w:trPr>
        <w:tc>
          <w:tcPr>
            <w:tcW w:w="5560" w:type="dxa"/>
          </w:tcPr>
          <w:p w14:paraId="2366FF7E" w14:textId="77777777" w:rsidR="005303F6" w:rsidRDefault="00EB7C90" w:rsidP="008F14F0">
            <w:pPr>
              <w:pStyle w:val="TableParagraph"/>
              <w:ind w:left="175"/>
              <w:rPr>
                <w:sz w:val="18"/>
              </w:rPr>
            </w:pPr>
            <w:r>
              <w:rPr>
                <w:sz w:val="18"/>
              </w:rPr>
              <w:t>Alanine</w:t>
            </w:r>
            <w:r>
              <w:rPr>
                <w:spacing w:val="-8"/>
                <w:sz w:val="18"/>
              </w:rPr>
              <w:t xml:space="preserve"> </w:t>
            </w:r>
            <w:r>
              <w:rPr>
                <w:sz w:val="18"/>
              </w:rPr>
              <w:t>aminotransferase</w:t>
            </w:r>
            <w:r>
              <w:rPr>
                <w:spacing w:val="-6"/>
                <w:sz w:val="18"/>
              </w:rPr>
              <w:t xml:space="preserve"> </w:t>
            </w:r>
            <w:r>
              <w:rPr>
                <w:spacing w:val="-2"/>
                <w:sz w:val="18"/>
              </w:rPr>
              <w:t>increased</w:t>
            </w:r>
          </w:p>
        </w:tc>
        <w:tc>
          <w:tcPr>
            <w:tcW w:w="2108" w:type="dxa"/>
          </w:tcPr>
          <w:p w14:paraId="2366FF7F" w14:textId="77777777" w:rsidR="005303F6" w:rsidRDefault="00EB7C90" w:rsidP="008F14F0">
            <w:pPr>
              <w:pStyle w:val="TableParagraph"/>
              <w:ind w:right="341"/>
              <w:rPr>
                <w:sz w:val="18"/>
              </w:rPr>
            </w:pPr>
            <w:r>
              <w:rPr>
                <w:sz w:val="18"/>
              </w:rPr>
              <w:t xml:space="preserve">53 </w:t>
            </w:r>
            <w:r>
              <w:rPr>
                <w:spacing w:val="-2"/>
                <w:sz w:val="18"/>
              </w:rPr>
              <w:t>(14.2)</w:t>
            </w:r>
          </w:p>
        </w:tc>
        <w:tc>
          <w:tcPr>
            <w:tcW w:w="1373" w:type="dxa"/>
          </w:tcPr>
          <w:p w14:paraId="2366FF80" w14:textId="77777777" w:rsidR="005303F6" w:rsidRDefault="00EB7C90" w:rsidP="008F14F0">
            <w:pPr>
              <w:pStyle w:val="TableParagraph"/>
              <w:ind w:left="1" w:right="8"/>
              <w:rPr>
                <w:sz w:val="18"/>
              </w:rPr>
            </w:pPr>
            <w:r>
              <w:rPr>
                <w:sz w:val="18"/>
              </w:rPr>
              <w:t xml:space="preserve">26 </w:t>
            </w:r>
            <w:r>
              <w:rPr>
                <w:spacing w:val="-2"/>
                <w:sz w:val="18"/>
              </w:rPr>
              <w:t>(7.0)</w:t>
            </w:r>
          </w:p>
        </w:tc>
      </w:tr>
      <w:tr w:rsidR="005303F6" w14:paraId="2366FF85" w14:textId="77777777" w:rsidTr="003F2FE8">
        <w:trPr>
          <w:trHeight w:val="359"/>
        </w:trPr>
        <w:tc>
          <w:tcPr>
            <w:tcW w:w="5560" w:type="dxa"/>
          </w:tcPr>
          <w:p w14:paraId="2366FF82" w14:textId="77777777" w:rsidR="005303F6" w:rsidRDefault="00EB7C90" w:rsidP="008F14F0">
            <w:pPr>
              <w:pStyle w:val="TableParagraph"/>
              <w:spacing w:before="61"/>
              <w:ind w:left="175"/>
              <w:rPr>
                <w:sz w:val="18"/>
              </w:rPr>
            </w:pPr>
            <w:r>
              <w:rPr>
                <w:sz w:val="18"/>
              </w:rPr>
              <w:t>Weight</w:t>
            </w:r>
            <w:r>
              <w:rPr>
                <w:spacing w:val="-2"/>
                <w:sz w:val="18"/>
              </w:rPr>
              <w:t xml:space="preserve"> decreased</w:t>
            </w:r>
          </w:p>
        </w:tc>
        <w:tc>
          <w:tcPr>
            <w:tcW w:w="2108" w:type="dxa"/>
          </w:tcPr>
          <w:p w14:paraId="2366FF83" w14:textId="77777777" w:rsidR="005303F6" w:rsidRDefault="00EB7C90" w:rsidP="008F14F0">
            <w:pPr>
              <w:pStyle w:val="TableParagraph"/>
              <w:spacing w:before="61"/>
              <w:ind w:right="341"/>
              <w:rPr>
                <w:sz w:val="18"/>
              </w:rPr>
            </w:pPr>
            <w:r>
              <w:rPr>
                <w:sz w:val="18"/>
              </w:rPr>
              <w:t xml:space="preserve">41 </w:t>
            </w:r>
            <w:r>
              <w:rPr>
                <w:spacing w:val="-2"/>
                <w:sz w:val="18"/>
              </w:rPr>
              <w:t>(11.0)</w:t>
            </w:r>
          </w:p>
        </w:tc>
        <w:tc>
          <w:tcPr>
            <w:tcW w:w="1373" w:type="dxa"/>
          </w:tcPr>
          <w:p w14:paraId="2366FF84" w14:textId="77777777" w:rsidR="005303F6" w:rsidRDefault="00EB7C90" w:rsidP="008F14F0">
            <w:pPr>
              <w:pStyle w:val="TableParagraph"/>
              <w:spacing w:before="61"/>
              <w:ind w:left="3" w:right="8"/>
              <w:rPr>
                <w:sz w:val="18"/>
              </w:rPr>
            </w:pPr>
            <w:r>
              <w:rPr>
                <w:sz w:val="18"/>
              </w:rPr>
              <w:t xml:space="preserve">2 </w:t>
            </w:r>
            <w:r>
              <w:rPr>
                <w:spacing w:val="-2"/>
                <w:sz w:val="18"/>
              </w:rPr>
              <w:t>(0.5)</w:t>
            </w:r>
          </w:p>
        </w:tc>
      </w:tr>
      <w:tr w:rsidR="005303F6" w14:paraId="2366FF89" w14:textId="77777777" w:rsidTr="003F2FE8">
        <w:trPr>
          <w:trHeight w:val="357"/>
        </w:trPr>
        <w:tc>
          <w:tcPr>
            <w:tcW w:w="5560" w:type="dxa"/>
          </w:tcPr>
          <w:p w14:paraId="2366FF86" w14:textId="77777777" w:rsidR="005303F6" w:rsidRDefault="00EB7C90" w:rsidP="008F14F0">
            <w:pPr>
              <w:pStyle w:val="TableParagraph"/>
              <w:ind w:left="175"/>
              <w:rPr>
                <w:sz w:val="18"/>
              </w:rPr>
            </w:pPr>
            <w:r>
              <w:rPr>
                <w:sz w:val="18"/>
              </w:rPr>
              <w:t>Aspartate</w:t>
            </w:r>
            <w:r>
              <w:rPr>
                <w:spacing w:val="-9"/>
                <w:sz w:val="18"/>
              </w:rPr>
              <w:t xml:space="preserve"> </w:t>
            </w:r>
            <w:r>
              <w:rPr>
                <w:sz w:val="18"/>
              </w:rPr>
              <w:t>aminotransferase</w:t>
            </w:r>
            <w:r>
              <w:rPr>
                <w:spacing w:val="-7"/>
                <w:sz w:val="18"/>
              </w:rPr>
              <w:t xml:space="preserve"> </w:t>
            </w:r>
            <w:r>
              <w:rPr>
                <w:spacing w:val="-2"/>
                <w:sz w:val="18"/>
              </w:rPr>
              <w:t>increased</w:t>
            </w:r>
          </w:p>
        </w:tc>
        <w:tc>
          <w:tcPr>
            <w:tcW w:w="2108" w:type="dxa"/>
          </w:tcPr>
          <w:p w14:paraId="2366FF87" w14:textId="77777777" w:rsidR="005303F6" w:rsidRDefault="00EB7C90" w:rsidP="008F14F0">
            <w:pPr>
              <w:pStyle w:val="TableParagraph"/>
              <w:ind w:right="341"/>
              <w:rPr>
                <w:sz w:val="18"/>
              </w:rPr>
            </w:pPr>
            <w:r>
              <w:rPr>
                <w:sz w:val="18"/>
              </w:rPr>
              <w:t xml:space="preserve">39 </w:t>
            </w:r>
            <w:r>
              <w:rPr>
                <w:spacing w:val="-2"/>
                <w:sz w:val="18"/>
              </w:rPr>
              <w:t>(10.5)</w:t>
            </w:r>
          </w:p>
        </w:tc>
        <w:tc>
          <w:tcPr>
            <w:tcW w:w="1373" w:type="dxa"/>
          </w:tcPr>
          <w:p w14:paraId="2366FF88" w14:textId="77777777" w:rsidR="005303F6" w:rsidRDefault="00EB7C90" w:rsidP="008F14F0">
            <w:pPr>
              <w:pStyle w:val="TableParagraph"/>
              <w:ind w:left="1" w:right="8"/>
              <w:rPr>
                <w:sz w:val="18"/>
              </w:rPr>
            </w:pPr>
            <w:r>
              <w:rPr>
                <w:sz w:val="18"/>
              </w:rPr>
              <w:t xml:space="preserve">13 </w:t>
            </w:r>
            <w:r>
              <w:rPr>
                <w:spacing w:val="-2"/>
                <w:sz w:val="18"/>
              </w:rPr>
              <w:t>(3.5)</w:t>
            </w:r>
          </w:p>
        </w:tc>
      </w:tr>
      <w:tr w:rsidR="005303F6" w14:paraId="2366FF8D" w14:textId="77777777" w:rsidTr="003F2FE8">
        <w:trPr>
          <w:trHeight w:val="357"/>
        </w:trPr>
        <w:tc>
          <w:tcPr>
            <w:tcW w:w="5560" w:type="dxa"/>
          </w:tcPr>
          <w:p w14:paraId="2366FF8A" w14:textId="77777777" w:rsidR="005303F6" w:rsidRDefault="00EB7C90" w:rsidP="008F14F0">
            <w:pPr>
              <w:pStyle w:val="TableParagraph"/>
              <w:ind w:left="74"/>
              <w:rPr>
                <w:b/>
                <w:sz w:val="18"/>
              </w:rPr>
            </w:pPr>
            <w:r>
              <w:rPr>
                <w:b/>
                <w:sz w:val="18"/>
              </w:rPr>
              <w:t>Metabolism</w:t>
            </w:r>
            <w:r>
              <w:rPr>
                <w:b/>
                <w:spacing w:val="-3"/>
                <w:sz w:val="18"/>
              </w:rPr>
              <w:t xml:space="preserve"> </w:t>
            </w:r>
            <w:r>
              <w:rPr>
                <w:b/>
                <w:sz w:val="18"/>
              </w:rPr>
              <w:t>and</w:t>
            </w:r>
            <w:r>
              <w:rPr>
                <w:b/>
                <w:spacing w:val="-3"/>
                <w:sz w:val="18"/>
              </w:rPr>
              <w:t xml:space="preserve"> </w:t>
            </w:r>
            <w:r>
              <w:rPr>
                <w:b/>
                <w:sz w:val="18"/>
              </w:rPr>
              <w:t>nutrition</w:t>
            </w:r>
            <w:r>
              <w:rPr>
                <w:b/>
                <w:spacing w:val="-2"/>
                <w:sz w:val="18"/>
              </w:rPr>
              <w:t xml:space="preserve"> disorders</w:t>
            </w:r>
          </w:p>
        </w:tc>
        <w:tc>
          <w:tcPr>
            <w:tcW w:w="2108" w:type="dxa"/>
          </w:tcPr>
          <w:p w14:paraId="2366FF8B" w14:textId="77777777" w:rsidR="005303F6" w:rsidRDefault="00EB7C90" w:rsidP="008F14F0">
            <w:pPr>
              <w:pStyle w:val="TableParagraph"/>
              <w:ind w:right="290"/>
              <w:rPr>
                <w:b/>
                <w:sz w:val="18"/>
              </w:rPr>
            </w:pPr>
            <w:r>
              <w:rPr>
                <w:b/>
                <w:sz w:val="18"/>
              </w:rPr>
              <w:t>108</w:t>
            </w:r>
            <w:r>
              <w:rPr>
                <w:b/>
                <w:spacing w:val="-2"/>
                <w:sz w:val="18"/>
              </w:rPr>
              <w:t xml:space="preserve"> (29.0)</w:t>
            </w:r>
          </w:p>
        </w:tc>
        <w:tc>
          <w:tcPr>
            <w:tcW w:w="1373" w:type="dxa"/>
          </w:tcPr>
          <w:p w14:paraId="2366FF8C" w14:textId="77777777" w:rsidR="005303F6" w:rsidRDefault="00EB7C90" w:rsidP="008F14F0">
            <w:pPr>
              <w:pStyle w:val="TableParagraph"/>
              <w:ind w:left="3" w:right="8"/>
              <w:rPr>
                <w:b/>
                <w:sz w:val="18"/>
              </w:rPr>
            </w:pPr>
            <w:r>
              <w:rPr>
                <w:b/>
                <w:sz w:val="18"/>
              </w:rPr>
              <w:t xml:space="preserve">8 </w:t>
            </w:r>
            <w:r>
              <w:rPr>
                <w:b/>
                <w:spacing w:val="-2"/>
                <w:sz w:val="18"/>
              </w:rPr>
              <w:t>(2.1)</w:t>
            </w:r>
          </w:p>
        </w:tc>
      </w:tr>
      <w:tr w:rsidR="005303F6" w14:paraId="2366FF91" w14:textId="77777777" w:rsidTr="003F2FE8">
        <w:trPr>
          <w:trHeight w:val="359"/>
        </w:trPr>
        <w:tc>
          <w:tcPr>
            <w:tcW w:w="5560" w:type="dxa"/>
          </w:tcPr>
          <w:p w14:paraId="2366FF8E" w14:textId="77777777" w:rsidR="005303F6" w:rsidRDefault="00EB7C90" w:rsidP="008F14F0">
            <w:pPr>
              <w:pStyle w:val="TableParagraph"/>
              <w:spacing w:before="61"/>
              <w:ind w:left="175"/>
              <w:rPr>
                <w:sz w:val="18"/>
              </w:rPr>
            </w:pPr>
            <w:r>
              <w:rPr>
                <w:sz w:val="18"/>
              </w:rPr>
              <w:t>Decreased</w:t>
            </w:r>
            <w:r>
              <w:rPr>
                <w:spacing w:val="-3"/>
                <w:sz w:val="18"/>
              </w:rPr>
              <w:t xml:space="preserve"> </w:t>
            </w:r>
            <w:r>
              <w:rPr>
                <w:spacing w:val="-2"/>
                <w:sz w:val="18"/>
              </w:rPr>
              <w:t>appetite</w:t>
            </w:r>
          </w:p>
        </w:tc>
        <w:tc>
          <w:tcPr>
            <w:tcW w:w="2108" w:type="dxa"/>
          </w:tcPr>
          <w:p w14:paraId="2366FF8F" w14:textId="77777777" w:rsidR="005303F6" w:rsidRDefault="00EB7C90" w:rsidP="008F14F0">
            <w:pPr>
              <w:pStyle w:val="TableParagraph"/>
              <w:spacing w:before="61"/>
              <w:ind w:right="341"/>
              <w:rPr>
                <w:sz w:val="18"/>
              </w:rPr>
            </w:pPr>
            <w:r>
              <w:rPr>
                <w:sz w:val="18"/>
              </w:rPr>
              <w:t xml:space="preserve">81 </w:t>
            </w:r>
            <w:r>
              <w:rPr>
                <w:spacing w:val="-2"/>
                <w:sz w:val="18"/>
              </w:rPr>
              <w:t>(21.7)</w:t>
            </w:r>
          </w:p>
        </w:tc>
        <w:tc>
          <w:tcPr>
            <w:tcW w:w="1373" w:type="dxa"/>
          </w:tcPr>
          <w:p w14:paraId="2366FF90" w14:textId="77777777" w:rsidR="005303F6" w:rsidRDefault="00EB7C90" w:rsidP="008F14F0">
            <w:pPr>
              <w:pStyle w:val="TableParagraph"/>
              <w:spacing w:before="61"/>
              <w:ind w:left="3" w:right="8"/>
              <w:rPr>
                <w:sz w:val="18"/>
              </w:rPr>
            </w:pPr>
            <w:r>
              <w:rPr>
                <w:sz w:val="18"/>
              </w:rPr>
              <w:t xml:space="preserve">4 </w:t>
            </w:r>
            <w:r>
              <w:rPr>
                <w:spacing w:val="-2"/>
                <w:sz w:val="18"/>
              </w:rPr>
              <w:t>(1.1)</w:t>
            </w:r>
          </w:p>
        </w:tc>
      </w:tr>
      <w:tr w:rsidR="005303F6" w14:paraId="2366FF95" w14:textId="77777777" w:rsidTr="003F2FE8">
        <w:trPr>
          <w:trHeight w:val="357"/>
        </w:trPr>
        <w:tc>
          <w:tcPr>
            <w:tcW w:w="5560" w:type="dxa"/>
          </w:tcPr>
          <w:p w14:paraId="2366FF92" w14:textId="77777777" w:rsidR="005303F6" w:rsidRDefault="00EB7C90" w:rsidP="008F14F0">
            <w:pPr>
              <w:pStyle w:val="TableParagraph"/>
              <w:ind w:left="175"/>
              <w:rPr>
                <w:sz w:val="18"/>
              </w:rPr>
            </w:pPr>
            <w:proofErr w:type="spellStart"/>
            <w:r>
              <w:rPr>
                <w:spacing w:val="-2"/>
                <w:sz w:val="18"/>
              </w:rPr>
              <w:t>Hypoalbuminaemia</w:t>
            </w:r>
            <w:proofErr w:type="spellEnd"/>
          </w:p>
        </w:tc>
        <w:tc>
          <w:tcPr>
            <w:tcW w:w="2108" w:type="dxa"/>
          </w:tcPr>
          <w:p w14:paraId="2366FF93" w14:textId="77777777" w:rsidR="005303F6" w:rsidRDefault="00EB7C90" w:rsidP="008F14F0">
            <w:pPr>
              <w:pStyle w:val="TableParagraph"/>
              <w:ind w:right="341"/>
              <w:rPr>
                <w:sz w:val="18"/>
              </w:rPr>
            </w:pPr>
            <w:r>
              <w:rPr>
                <w:sz w:val="18"/>
              </w:rPr>
              <w:t xml:space="preserve">38 </w:t>
            </w:r>
            <w:r>
              <w:rPr>
                <w:spacing w:val="-2"/>
                <w:sz w:val="18"/>
              </w:rPr>
              <w:t>(10.2)</w:t>
            </w:r>
          </w:p>
        </w:tc>
        <w:tc>
          <w:tcPr>
            <w:tcW w:w="1373" w:type="dxa"/>
          </w:tcPr>
          <w:p w14:paraId="2366FF94" w14:textId="77777777" w:rsidR="005303F6" w:rsidRDefault="00EB7C90" w:rsidP="008F14F0">
            <w:pPr>
              <w:pStyle w:val="TableParagraph"/>
              <w:ind w:left="3" w:right="8"/>
              <w:rPr>
                <w:sz w:val="18"/>
              </w:rPr>
            </w:pPr>
            <w:r>
              <w:rPr>
                <w:sz w:val="18"/>
              </w:rPr>
              <w:t xml:space="preserve">4 </w:t>
            </w:r>
            <w:r>
              <w:rPr>
                <w:spacing w:val="-2"/>
                <w:sz w:val="18"/>
              </w:rPr>
              <w:t>(1.1)</w:t>
            </w:r>
          </w:p>
        </w:tc>
      </w:tr>
      <w:tr w:rsidR="005303F6" w14:paraId="2366FF99" w14:textId="77777777" w:rsidTr="003F2FE8">
        <w:trPr>
          <w:trHeight w:val="357"/>
        </w:trPr>
        <w:tc>
          <w:tcPr>
            <w:tcW w:w="5560" w:type="dxa"/>
          </w:tcPr>
          <w:p w14:paraId="2366FF96" w14:textId="77777777" w:rsidR="005303F6" w:rsidRDefault="00EB7C90" w:rsidP="008F14F0">
            <w:pPr>
              <w:pStyle w:val="TableParagraph"/>
              <w:ind w:left="74"/>
              <w:rPr>
                <w:b/>
                <w:sz w:val="18"/>
              </w:rPr>
            </w:pPr>
            <w:r>
              <w:rPr>
                <w:b/>
                <w:sz w:val="18"/>
              </w:rPr>
              <w:t>Musculoskeletal</w:t>
            </w:r>
            <w:r>
              <w:rPr>
                <w:b/>
                <w:spacing w:val="-5"/>
                <w:sz w:val="18"/>
              </w:rPr>
              <w:t xml:space="preserve"> </w:t>
            </w:r>
            <w:r>
              <w:rPr>
                <w:b/>
                <w:sz w:val="18"/>
              </w:rPr>
              <w:t>and</w:t>
            </w:r>
            <w:r>
              <w:rPr>
                <w:b/>
                <w:spacing w:val="-6"/>
                <w:sz w:val="18"/>
              </w:rPr>
              <w:t xml:space="preserve"> </w:t>
            </w:r>
            <w:r>
              <w:rPr>
                <w:b/>
                <w:sz w:val="18"/>
              </w:rPr>
              <w:t>connective</w:t>
            </w:r>
            <w:r>
              <w:rPr>
                <w:b/>
                <w:spacing w:val="-4"/>
                <w:sz w:val="18"/>
              </w:rPr>
              <w:t xml:space="preserve"> </w:t>
            </w:r>
            <w:r>
              <w:rPr>
                <w:b/>
                <w:sz w:val="18"/>
              </w:rPr>
              <w:t>tissue</w:t>
            </w:r>
            <w:r>
              <w:rPr>
                <w:b/>
                <w:spacing w:val="-4"/>
                <w:sz w:val="18"/>
              </w:rPr>
              <w:t xml:space="preserve"> </w:t>
            </w:r>
            <w:r>
              <w:rPr>
                <w:b/>
                <w:spacing w:val="-2"/>
                <w:sz w:val="18"/>
              </w:rPr>
              <w:t>disorders</w:t>
            </w:r>
          </w:p>
        </w:tc>
        <w:tc>
          <w:tcPr>
            <w:tcW w:w="2108" w:type="dxa"/>
          </w:tcPr>
          <w:p w14:paraId="2366FF97" w14:textId="77777777" w:rsidR="005303F6" w:rsidRDefault="00EB7C90" w:rsidP="008F14F0">
            <w:pPr>
              <w:pStyle w:val="TableParagraph"/>
              <w:ind w:right="341"/>
              <w:rPr>
                <w:b/>
                <w:sz w:val="18"/>
              </w:rPr>
            </w:pPr>
            <w:r>
              <w:rPr>
                <w:b/>
                <w:sz w:val="18"/>
              </w:rPr>
              <w:t xml:space="preserve">98 </w:t>
            </w:r>
            <w:r>
              <w:rPr>
                <w:b/>
                <w:spacing w:val="-2"/>
                <w:sz w:val="18"/>
              </w:rPr>
              <w:t>(26.3)</w:t>
            </w:r>
          </w:p>
        </w:tc>
        <w:tc>
          <w:tcPr>
            <w:tcW w:w="1373" w:type="dxa"/>
          </w:tcPr>
          <w:p w14:paraId="2366FF98" w14:textId="77777777" w:rsidR="005303F6" w:rsidRDefault="00EB7C90" w:rsidP="008F14F0">
            <w:pPr>
              <w:pStyle w:val="TableParagraph"/>
              <w:ind w:left="3" w:right="8"/>
              <w:rPr>
                <w:b/>
                <w:sz w:val="18"/>
              </w:rPr>
            </w:pPr>
            <w:r>
              <w:rPr>
                <w:b/>
                <w:sz w:val="18"/>
              </w:rPr>
              <w:t xml:space="preserve">7 </w:t>
            </w:r>
            <w:r>
              <w:rPr>
                <w:b/>
                <w:spacing w:val="-2"/>
                <w:sz w:val="18"/>
              </w:rPr>
              <w:t>(1.9)</w:t>
            </w:r>
          </w:p>
        </w:tc>
      </w:tr>
      <w:tr w:rsidR="005303F6" w14:paraId="2366FF9D" w14:textId="77777777" w:rsidTr="003F2FE8">
        <w:trPr>
          <w:trHeight w:val="359"/>
        </w:trPr>
        <w:tc>
          <w:tcPr>
            <w:tcW w:w="5560" w:type="dxa"/>
          </w:tcPr>
          <w:p w14:paraId="2366FF9A" w14:textId="77777777" w:rsidR="005303F6" w:rsidRDefault="00EB7C90" w:rsidP="008F14F0">
            <w:pPr>
              <w:pStyle w:val="TableParagraph"/>
              <w:spacing w:before="61"/>
              <w:ind w:left="175"/>
              <w:rPr>
                <w:sz w:val="18"/>
              </w:rPr>
            </w:pPr>
            <w:r>
              <w:rPr>
                <w:sz w:val="18"/>
              </w:rPr>
              <w:t>Back</w:t>
            </w:r>
            <w:r>
              <w:rPr>
                <w:spacing w:val="-2"/>
                <w:sz w:val="18"/>
              </w:rPr>
              <w:t xml:space="preserve"> </w:t>
            </w:r>
            <w:r>
              <w:rPr>
                <w:spacing w:val="-4"/>
                <w:sz w:val="18"/>
              </w:rPr>
              <w:t>pain</w:t>
            </w:r>
          </w:p>
        </w:tc>
        <w:tc>
          <w:tcPr>
            <w:tcW w:w="2108" w:type="dxa"/>
          </w:tcPr>
          <w:p w14:paraId="2366FF9B" w14:textId="77777777" w:rsidR="005303F6" w:rsidRDefault="00EB7C90" w:rsidP="008F14F0">
            <w:pPr>
              <w:pStyle w:val="TableParagraph"/>
              <w:spacing w:before="61"/>
              <w:ind w:right="341"/>
              <w:rPr>
                <w:sz w:val="18"/>
              </w:rPr>
            </w:pPr>
            <w:r>
              <w:rPr>
                <w:sz w:val="18"/>
              </w:rPr>
              <w:t xml:space="preserve">64 </w:t>
            </w:r>
            <w:r>
              <w:rPr>
                <w:spacing w:val="-2"/>
                <w:sz w:val="18"/>
              </w:rPr>
              <w:t>(17.2)</w:t>
            </w:r>
          </w:p>
        </w:tc>
        <w:tc>
          <w:tcPr>
            <w:tcW w:w="1373" w:type="dxa"/>
          </w:tcPr>
          <w:p w14:paraId="2366FF9C" w14:textId="77777777" w:rsidR="005303F6" w:rsidRDefault="00EB7C90" w:rsidP="008F14F0">
            <w:pPr>
              <w:pStyle w:val="TableParagraph"/>
              <w:spacing w:before="61"/>
              <w:ind w:left="3" w:right="8"/>
              <w:rPr>
                <w:sz w:val="18"/>
              </w:rPr>
            </w:pPr>
            <w:r>
              <w:rPr>
                <w:sz w:val="18"/>
              </w:rPr>
              <w:t xml:space="preserve">3 </w:t>
            </w:r>
            <w:r>
              <w:rPr>
                <w:spacing w:val="-2"/>
                <w:sz w:val="18"/>
              </w:rPr>
              <w:t>(0.8)</w:t>
            </w:r>
          </w:p>
        </w:tc>
      </w:tr>
      <w:tr w:rsidR="005303F6" w14:paraId="2366FFA1" w14:textId="77777777" w:rsidTr="003F2FE8">
        <w:trPr>
          <w:trHeight w:val="357"/>
        </w:trPr>
        <w:tc>
          <w:tcPr>
            <w:tcW w:w="5560" w:type="dxa"/>
          </w:tcPr>
          <w:p w14:paraId="2366FF9E" w14:textId="77777777" w:rsidR="005303F6" w:rsidRDefault="00EB7C90" w:rsidP="008F14F0">
            <w:pPr>
              <w:pStyle w:val="TableParagraph"/>
              <w:ind w:left="175"/>
              <w:rPr>
                <w:sz w:val="18"/>
              </w:rPr>
            </w:pPr>
            <w:r>
              <w:rPr>
                <w:spacing w:val="-2"/>
                <w:sz w:val="18"/>
              </w:rPr>
              <w:t>Arthralgia</w:t>
            </w:r>
          </w:p>
        </w:tc>
        <w:tc>
          <w:tcPr>
            <w:tcW w:w="2108" w:type="dxa"/>
          </w:tcPr>
          <w:p w14:paraId="2366FF9F" w14:textId="77777777" w:rsidR="005303F6" w:rsidRDefault="00EB7C90" w:rsidP="008F14F0">
            <w:pPr>
              <w:pStyle w:val="TableParagraph"/>
              <w:ind w:right="341"/>
              <w:rPr>
                <w:sz w:val="18"/>
              </w:rPr>
            </w:pPr>
            <w:r>
              <w:rPr>
                <w:sz w:val="18"/>
              </w:rPr>
              <w:t xml:space="preserve">42 </w:t>
            </w:r>
            <w:r>
              <w:rPr>
                <w:spacing w:val="-2"/>
                <w:sz w:val="18"/>
              </w:rPr>
              <w:t>(11.3)</w:t>
            </w:r>
          </w:p>
        </w:tc>
        <w:tc>
          <w:tcPr>
            <w:tcW w:w="1373" w:type="dxa"/>
          </w:tcPr>
          <w:p w14:paraId="2366FFA0" w14:textId="77777777" w:rsidR="005303F6" w:rsidRDefault="00EB7C90" w:rsidP="008F14F0">
            <w:pPr>
              <w:pStyle w:val="TableParagraph"/>
              <w:ind w:left="3" w:right="8"/>
              <w:rPr>
                <w:sz w:val="18"/>
              </w:rPr>
            </w:pPr>
            <w:r>
              <w:rPr>
                <w:sz w:val="18"/>
              </w:rPr>
              <w:t xml:space="preserve">4 </w:t>
            </w:r>
            <w:r>
              <w:rPr>
                <w:spacing w:val="-2"/>
                <w:sz w:val="18"/>
              </w:rPr>
              <w:t>(1.1)</w:t>
            </w:r>
          </w:p>
        </w:tc>
      </w:tr>
      <w:tr w:rsidR="005303F6" w14:paraId="2366FFA5" w14:textId="77777777" w:rsidTr="003F2FE8">
        <w:trPr>
          <w:trHeight w:val="359"/>
        </w:trPr>
        <w:tc>
          <w:tcPr>
            <w:tcW w:w="5560" w:type="dxa"/>
          </w:tcPr>
          <w:p w14:paraId="2366FFA2" w14:textId="77777777" w:rsidR="005303F6" w:rsidRDefault="00EB7C90" w:rsidP="008F14F0">
            <w:pPr>
              <w:pStyle w:val="TableParagraph"/>
              <w:ind w:left="74"/>
              <w:rPr>
                <w:b/>
                <w:sz w:val="18"/>
              </w:rPr>
            </w:pPr>
            <w:r>
              <w:rPr>
                <w:b/>
                <w:sz w:val="18"/>
              </w:rPr>
              <w:t>Respiratory,</w:t>
            </w:r>
            <w:r>
              <w:rPr>
                <w:b/>
                <w:spacing w:val="-4"/>
                <w:sz w:val="18"/>
              </w:rPr>
              <w:t xml:space="preserve"> </w:t>
            </w:r>
            <w:r>
              <w:rPr>
                <w:b/>
                <w:sz w:val="18"/>
              </w:rPr>
              <w:t>thoracic</w:t>
            </w:r>
            <w:r>
              <w:rPr>
                <w:b/>
                <w:spacing w:val="-3"/>
                <w:sz w:val="18"/>
              </w:rPr>
              <w:t xml:space="preserve"> </w:t>
            </w:r>
            <w:r>
              <w:rPr>
                <w:b/>
                <w:sz w:val="18"/>
              </w:rPr>
              <w:t>and</w:t>
            </w:r>
            <w:r>
              <w:rPr>
                <w:b/>
                <w:spacing w:val="-5"/>
                <w:sz w:val="18"/>
              </w:rPr>
              <w:t xml:space="preserve"> </w:t>
            </w:r>
            <w:r>
              <w:rPr>
                <w:b/>
                <w:sz w:val="18"/>
              </w:rPr>
              <w:t>mediastinal</w:t>
            </w:r>
            <w:r>
              <w:rPr>
                <w:b/>
                <w:spacing w:val="-3"/>
                <w:sz w:val="18"/>
              </w:rPr>
              <w:t xml:space="preserve"> </w:t>
            </w:r>
            <w:r>
              <w:rPr>
                <w:b/>
                <w:spacing w:val="-2"/>
                <w:sz w:val="18"/>
              </w:rPr>
              <w:t>disorders</w:t>
            </w:r>
          </w:p>
        </w:tc>
        <w:tc>
          <w:tcPr>
            <w:tcW w:w="2108" w:type="dxa"/>
          </w:tcPr>
          <w:p w14:paraId="2366FFA3" w14:textId="77777777" w:rsidR="005303F6" w:rsidRDefault="00EB7C90" w:rsidP="008F14F0">
            <w:pPr>
              <w:pStyle w:val="TableParagraph"/>
              <w:ind w:right="290"/>
              <w:rPr>
                <w:b/>
                <w:sz w:val="18"/>
              </w:rPr>
            </w:pPr>
            <w:r>
              <w:rPr>
                <w:b/>
                <w:sz w:val="18"/>
              </w:rPr>
              <w:t>129</w:t>
            </w:r>
            <w:r>
              <w:rPr>
                <w:b/>
                <w:spacing w:val="-2"/>
                <w:sz w:val="18"/>
              </w:rPr>
              <w:t xml:space="preserve"> (34.6)</w:t>
            </w:r>
          </w:p>
        </w:tc>
        <w:tc>
          <w:tcPr>
            <w:tcW w:w="1373" w:type="dxa"/>
          </w:tcPr>
          <w:p w14:paraId="2366FFA4" w14:textId="77777777" w:rsidR="005303F6" w:rsidRDefault="00EB7C90" w:rsidP="008F14F0">
            <w:pPr>
              <w:pStyle w:val="TableParagraph"/>
              <w:ind w:left="1" w:right="8"/>
              <w:rPr>
                <w:b/>
                <w:sz w:val="18"/>
              </w:rPr>
            </w:pPr>
            <w:r>
              <w:rPr>
                <w:b/>
                <w:sz w:val="18"/>
              </w:rPr>
              <w:t xml:space="preserve">28 </w:t>
            </w:r>
            <w:r>
              <w:rPr>
                <w:b/>
                <w:spacing w:val="-2"/>
                <w:sz w:val="18"/>
              </w:rPr>
              <w:t>(7.5)</w:t>
            </w:r>
          </w:p>
        </w:tc>
      </w:tr>
      <w:tr w:rsidR="005303F6" w14:paraId="2366FFA9" w14:textId="77777777" w:rsidTr="003F2FE8">
        <w:trPr>
          <w:trHeight w:val="357"/>
        </w:trPr>
        <w:tc>
          <w:tcPr>
            <w:tcW w:w="5560" w:type="dxa"/>
          </w:tcPr>
          <w:p w14:paraId="2366FFA6" w14:textId="77777777" w:rsidR="005303F6" w:rsidRDefault="00EB7C90" w:rsidP="008F14F0">
            <w:pPr>
              <w:pStyle w:val="TableParagraph"/>
              <w:ind w:left="175"/>
              <w:rPr>
                <w:sz w:val="18"/>
              </w:rPr>
            </w:pPr>
            <w:proofErr w:type="spellStart"/>
            <w:r>
              <w:rPr>
                <w:spacing w:val="-2"/>
                <w:sz w:val="18"/>
              </w:rPr>
              <w:t>Dyspnoea</w:t>
            </w:r>
            <w:proofErr w:type="spellEnd"/>
          </w:p>
        </w:tc>
        <w:tc>
          <w:tcPr>
            <w:tcW w:w="2108" w:type="dxa"/>
          </w:tcPr>
          <w:p w14:paraId="2366FFA7" w14:textId="77777777" w:rsidR="005303F6" w:rsidRDefault="00EB7C90" w:rsidP="008F14F0">
            <w:pPr>
              <w:pStyle w:val="TableParagraph"/>
              <w:ind w:right="341"/>
              <w:rPr>
                <w:sz w:val="18"/>
              </w:rPr>
            </w:pPr>
            <w:r>
              <w:rPr>
                <w:sz w:val="18"/>
              </w:rPr>
              <w:t xml:space="preserve">95 </w:t>
            </w:r>
            <w:r>
              <w:rPr>
                <w:spacing w:val="-2"/>
                <w:sz w:val="18"/>
              </w:rPr>
              <w:t>(25.5)</w:t>
            </w:r>
          </w:p>
        </w:tc>
        <w:tc>
          <w:tcPr>
            <w:tcW w:w="1373" w:type="dxa"/>
          </w:tcPr>
          <w:p w14:paraId="2366FFA8" w14:textId="77777777" w:rsidR="005303F6" w:rsidRDefault="00EB7C90" w:rsidP="008F14F0">
            <w:pPr>
              <w:pStyle w:val="TableParagraph"/>
              <w:ind w:left="1" w:right="8"/>
              <w:rPr>
                <w:sz w:val="18"/>
              </w:rPr>
            </w:pPr>
            <w:r>
              <w:rPr>
                <w:sz w:val="18"/>
              </w:rPr>
              <w:t xml:space="preserve">26 </w:t>
            </w:r>
            <w:r>
              <w:rPr>
                <w:spacing w:val="-2"/>
                <w:sz w:val="18"/>
              </w:rPr>
              <w:t>(7.0)</w:t>
            </w:r>
          </w:p>
        </w:tc>
      </w:tr>
      <w:tr w:rsidR="005303F6" w14:paraId="2366FFAD" w14:textId="77777777" w:rsidTr="003F2FE8">
        <w:trPr>
          <w:trHeight w:val="357"/>
        </w:trPr>
        <w:tc>
          <w:tcPr>
            <w:tcW w:w="5560" w:type="dxa"/>
          </w:tcPr>
          <w:p w14:paraId="2366FFAA" w14:textId="77777777" w:rsidR="005303F6" w:rsidRDefault="00EB7C90" w:rsidP="008F14F0">
            <w:pPr>
              <w:pStyle w:val="TableParagraph"/>
              <w:ind w:left="175"/>
              <w:rPr>
                <w:sz w:val="18"/>
              </w:rPr>
            </w:pPr>
            <w:r>
              <w:rPr>
                <w:spacing w:val="-2"/>
                <w:sz w:val="18"/>
              </w:rPr>
              <w:t>Cough</w:t>
            </w:r>
          </w:p>
        </w:tc>
        <w:tc>
          <w:tcPr>
            <w:tcW w:w="2108" w:type="dxa"/>
          </w:tcPr>
          <w:p w14:paraId="2366FFAB" w14:textId="77777777" w:rsidR="005303F6" w:rsidRDefault="00EB7C90" w:rsidP="008F14F0">
            <w:pPr>
              <w:pStyle w:val="TableParagraph"/>
              <w:ind w:right="341"/>
              <w:rPr>
                <w:sz w:val="18"/>
              </w:rPr>
            </w:pPr>
            <w:r>
              <w:rPr>
                <w:sz w:val="18"/>
              </w:rPr>
              <w:t xml:space="preserve">62 </w:t>
            </w:r>
            <w:r>
              <w:rPr>
                <w:spacing w:val="-2"/>
                <w:sz w:val="18"/>
              </w:rPr>
              <w:t>(16.6)</w:t>
            </w:r>
          </w:p>
        </w:tc>
        <w:tc>
          <w:tcPr>
            <w:tcW w:w="1373" w:type="dxa"/>
          </w:tcPr>
          <w:p w14:paraId="2366FFAC" w14:textId="77777777" w:rsidR="005303F6" w:rsidRDefault="00EB7C90" w:rsidP="008F14F0">
            <w:pPr>
              <w:pStyle w:val="TableParagraph"/>
              <w:ind w:left="3" w:right="8"/>
              <w:rPr>
                <w:sz w:val="18"/>
              </w:rPr>
            </w:pPr>
            <w:r>
              <w:rPr>
                <w:sz w:val="18"/>
              </w:rPr>
              <w:t xml:space="preserve">2 </w:t>
            </w:r>
            <w:r>
              <w:rPr>
                <w:spacing w:val="-2"/>
                <w:sz w:val="18"/>
              </w:rPr>
              <w:t>(0.5)</w:t>
            </w:r>
          </w:p>
        </w:tc>
      </w:tr>
      <w:tr w:rsidR="005303F6" w14:paraId="2366FFB1" w14:textId="77777777" w:rsidTr="003F2FE8">
        <w:trPr>
          <w:trHeight w:val="1420"/>
        </w:trPr>
        <w:tc>
          <w:tcPr>
            <w:tcW w:w="9041" w:type="dxa"/>
            <w:gridSpan w:val="3"/>
          </w:tcPr>
          <w:p w14:paraId="2366FFAE" w14:textId="77777777" w:rsidR="005303F6" w:rsidRDefault="00EB7C90" w:rsidP="008F14F0">
            <w:pPr>
              <w:pStyle w:val="TableParagraph"/>
              <w:numPr>
                <w:ilvl w:val="0"/>
                <w:numId w:val="1"/>
              </w:numPr>
              <w:tabs>
                <w:tab w:val="left" w:pos="183"/>
              </w:tabs>
              <w:spacing w:before="8" w:line="278" w:lineRule="auto"/>
              <w:ind w:right="185" w:firstLine="0"/>
              <w:rPr>
                <w:i/>
                <w:sz w:val="18"/>
              </w:rPr>
            </w:pPr>
            <w:r>
              <w:rPr>
                <w:i/>
                <w:sz w:val="18"/>
              </w:rPr>
              <w:t>Primary</w:t>
            </w:r>
            <w:r>
              <w:rPr>
                <w:i/>
                <w:spacing w:val="-2"/>
                <w:sz w:val="18"/>
              </w:rPr>
              <w:t xml:space="preserve"> </w:t>
            </w:r>
            <w:r>
              <w:rPr>
                <w:i/>
                <w:sz w:val="18"/>
              </w:rPr>
              <w:t>system</w:t>
            </w:r>
            <w:r>
              <w:rPr>
                <w:i/>
                <w:spacing w:val="-5"/>
                <w:sz w:val="18"/>
              </w:rPr>
              <w:t xml:space="preserve"> </w:t>
            </w:r>
            <w:r>
              <w:rPr>
                <w:i/>
                <w:sz w:val="18"/>
              </w:rPr>
              <w:t>organ</w:t>
            </w:r>
            <w:r>
              <w:rPr>
                <w:i/>
                <w:spacing w:val="-3"/>
                <w:sz w:val="18"/>
              </w:rPr>
              <w:t xml:space="preserve"> </w:t>
            </w:r>
            <w:r>
              <w:rPr>
                <w:i/>
                <w:sz w:val="18"/>
              </w:rPr>
              <w:t>classes</w:t>
            </w:r>
            <w:r>
              <w:rPr>
                <w:i/>
                <w:spacing w:val="-2"/>
                <w:sz w:val="18"/>
              </w:rPr>
              <w:t xml:space="preserve"> </w:t>
            </w:r>
            <w:r>
              <w:rPr>
                <w:i/>
                <w:sz w:val="18"/>
              </w:rPr>
              <w:t>are</w:t>
            </w:r>
            <w:r>
              <w:rPr>
                <w:i/>
                <w:spacing w:val="-5"/>
                <w:sz w:val="18"/>
              </w:rPr>
              <w:t xml:space="preserve"> </w:t>
            </w:r>
            <w:r>
              <w:rPr>
                <w:i/>
                <w:sz w:val="18"/>
              </w:rPr>
              <w:t>presented</w:t>
            </w:r>
            <w:r>
              <w:rPr>
                <w:i/>
                <w:spacing w:val="-3"/>
                <w:sz w:val="18"/>
              </w:rPr>
              <w:t xml:space="preserve"> </w:t>
            </w:r>
            <w:r>
              <w:rPr>
                <w:i/>
                <w:sz w:val="18"/>
              </w:rPr>
              <w:t>alphabetically;</w:t>
            </w:r>
            <w:r>
              <w:rPr>
                <w:i/>
                <w:spacing w:val="-5"/>
                <w:sz w:val="18"/>
              </w:rPr>
              <w:t xml:space="preserve"> </w:t>
            </w:r>
            <w:r>
              <w:rPr>
                <w:i/>
                <w:sz w:val="18"/>
              </w:rPr>
              <w:t>preferred</w:t>
            </w:r>
            <w:r>
              <w:rPr>
                <w:i/>
                <w:spacing w:val="-3"/>
                <w:sz w:val="18"/>
              </w:rPr>
              <w:t xml:space="preserve"> </w:t>
            </w:r>
            <w:r>
              <w:rPr>
                <w:i/>
                <w:sz w:val="18"/>
              </w:rPr>
              <w:t>terms</w:t>
            </w:r>
            <w:r>
              <w:rPr>
                <w:i/>
                <w:spacing w:val="-5"/>
                <w:sz w:val="18"/>
              </w:rPr>
              <w:t xml:space="preserve"> </w:t>
            </w:r>
            <w:r>
              <w:rPr>
                <w:i/>
                <w:sz w:val="18"/>
              </w:rPr>
              <w:t>are</w:t>
            </w:r>
            <w:r>
              <w:rPr>
                <w:i/>
                <w:spacing w:val="-5"/>
                <w:sz w:val="18"/>
              </w:rPr>
              <w:t xml:space="preserve"> </w:t>
            </w:r>
            <w:r>
              <w:rPr>
                <w:i/>
                <w:sz w:val="18"/>
              </w:rPr>
              <w:t>sorted</w:t>
            </w:r>
            <w:r>
              <w:rPr>
                <w:i/>
                <w:spacing w:val="-3"/>
                <w:sz w:val="18"/>
              </w:rPr>
              <w:t xml:space="preserve"> </w:t>
            </w:r>
            <w:r>
              <w:rPr>
                <w:i/>
                <w:sz w:val="18"/>
              </w:rPr>
              <w:t>within</w:t>
            </w:r>
            <w:r>
              <w:rPr>
                <w:i/>
                <w:spacing w:val="-3"/>
                <w:sz w:val="18"/>
              </w:rPr>
              <w:t xml:space="preserve"> </w:t>
            </w:r>
            <w:r>
              <w:rPr>
                <w:i/>
                <w:sz w:val="18"/>
              </w:rPr>
              <w:t>primary</w:t>
            </w:r>
            <w:r>
              <w:rPr>
                <w:i/>
                <w:spacing w:val="-4"/>
                <w:sz w:val="18"/>
              </w:rPr>
              <w:t xml:space="preserve"> </w:t>
            </w:r>
            <w:r>
              <w:rPr>
                <w:i/>
                <w:sz w:val="18"/>
              </w:rPr>
              <w:t>system organ class in descending frequency, as reported under 'All Patients'.</w:t>
            </w:r>
          </w:p>
          <w:p w14:paraId="2366FFAF" w14:textId="77777777" w:rsidR="005303F6" w:rsidRDefault="00EB7C90" w:rsidP="008F14F0">
            <w:pPr>
              <w:pStyle w:val="TableParagraph"/>
              <w:numPr>
                <w:ilvl w:val="0"/>
                <w:numId w:val="1"/>
              </w:numPr>
              <w:tabs>
                <w:tab w:val="left" w:pos="183"/>
              </w:tabs>
              <w:spacing w:before="7"/>
              <w:ind w:left="183" w:hanging="109"/>
              <w:rPr>
                <w:i/>
                <w:sz w:val="18"/>
              </w:rPr>
            </w:pPr>
            <w:r>
              <w:rPr>
                <w:i/>
                <w:sz w:val="18"/>
              </w:rPr>
              <w:t>A</w:t>
            </w:r>
            <w:r>
              <w:rPr>
                <w:i/>
                <w:spacing w:val="-4"/>
                <w:sz w:val="18"/>
              </w:rPr>
              <w:t xml:space="preserve"> </w:t>
            </w:r>
            <w:r>
              <w:rPr>
                <w:i/>
                <w:sz w:val="18"/>
              </w:rPr>
              <w:t>patient</w:t>
            </w:r>
            <w:r>
              <w:rPr>
                <w:i/>
                <w:spacing w:val="-2"/>
                <w:sz w:val="18"/>
              </w:rPr>
              <w:t xml:space="preserve"> </w:t>
            </w:r>
            <w:r>
              <w:rPr>
                <w:i/>
                <w:sz w:val="18"/>
              </w:rPr>
              <w:t>with</w:t>
            </w:r>
            <w:r>
              <w:rPr>
                <w:i/>
                <w:spacing w:val="-2"/>
                <w:sz w:val="18"/>
              </w:rPr>
              <w:t xml:space="preserve"> </w:t>
            </w:r>
            <w:r>
              <w:rPr>
                <w:i/>
                <w:sz w:val="18"/>
              </w:rPr>
              <w:t>multiple</w:t>
            </w:r>
            <w:r>
              <w:rPr>
                <w:i/>
                <w:spacing w:val="-2"/>
                <w:sz w:val="18"/>
              </w:rPr>
              <w:t xml:space="preserve"> </w:t>
            </w:r>
            <w:r>
              <w:rPr>
                <w:i/>
                <w:sz w:val="18"/>
              </w:rPr>
              <w:t>occurrences</w:t>
            </w:r>
            <w:r>
              <w:rPr>
                <w:i/>
                <w:spacing w:val="-1"/>
                <w:sz w:val="18"/>
              </w:rPr>
              <w:t xml:space="preserve"> </w:t>
            </w:r>
            <w:r>
              <w:rPr>
                <w:i/>
                <w:sz w:val="18"/>
              </w:rPr>
              <w:t>of</w:t>
            </w:r>
            <w:r>
              <w:rPr>
                <w:i/>
                <w:spacing w:val="-4"/>
                <w:sz w:val="18"/>
              </w:rPr>
              <w:t xml:space="preserve"> </w:t>
            </w:r>
            <w:r>
              <w:rPr>
                <w:i/>
                <w:sz w:val="18"/>
              </w:rPr>
              <w:t>an</w:t>
            </w:r>
            <w:r>
              <w:rPr>
                <w:i/>
                <w:spacing w:val="-2"/>
                <w:sz w:val="18"/>
              </w:rPr>
              <w:t xml:space="preserve"> </w:t>
            </w:r>
            <w:r>
              <w:rPr>
                <w:i/>
                <w:sz w:val="18"/>
              </w:rPr>
              <w:t>AE</w:t>
            </w:r>
            <w:r>
              <w:rPr>
                <w:i/>
                <w:spacing w:val="-3"/>
                <w:sz w:val="18"/>
              </w:rPr>
              <w:t xml:space="preserve"> </w:t>
            </w:r>
            <w:r>
              <w:rPr>
                <w:i/>
                <w:sz w:val="18"/>
              </w:rPr>
              <w:t>is</w:t>
            </w:r>
            <w:r>
              <w:rPr>
                <w:i/>
                <w:spacing w:val="-3"/>
                <w:sz w:val="18"/>
              </w:rPr>
              <w:t xml:space="preserve"> </w:t>
            </w:r>
            <w:r>
              <w:rPr>
                <w:i/>
                <w:sz w:val="18"/>
              </w:rPr>
              <w:t>counted</w:t>
            </w:r>
            <w:r>
              <w:rPr>
                <w:i/>
                <w:spacing w:val="-2"/>
                <w:sz w:val="18"/>
              </w:rPr>
              <w:t xml:space="preserve"> </w:t>
            </w:r>
            <w:r>
              <w:rPr>
                <w:i/>
                <w:sz w:val="18"/>
              </w:rPr>
              <w:t>only</w:t>
            </w:r>
            <w:r>
              <w:rPr>
                <w:i/>
                <w:spacing w:val="-1"/>
                <w:sz w:val="18"/>
              </w:rPr>
              <w:t xml:space="preserve"> </w:t>
            </w:r>
            <w:r>
              <w:rPr>
                <w:i/>
                <w:sz w:val="18"/>
              </w:rPr>
              <w:t>once</w:t>
            </w:r>
            <w:r>
              <w:rPr>
                <w:i/>
                <w:spacing w:val="-4"/>
                <w:sz w:val="18"/>
              </w:rPr>
              <w:t xml:space="preserve"> </w:t>
            </w:r>
            <w:r>
              <w:rPr>
                <w:i/>
                <w:sz w:val="18"/>
              </w:rPr>
              <w:t>in</w:t>
            </w:r>
            <w:r>
              <w:rPr>
                <w:i/>
                <w:spacing w:val="-2"/>
                <w:sz w:val="18"/>
              </w:rPr>
              <w:t xml:space="preserve"> </w:t>
            </w:r>
            <w:r>
              <w:rPr>
                <w:i/>
                <w:sz w:val="18"/>
              </w:rPr>
              <w:t>the</w:t>
            </w:r>
            <w:r>
              <w:rPr>
                <w:i/>
                <w:spacing w:val="-2"/>
                <w:sz w:val="18"/>
              </w:rPr>
              <w:t xml:space="preserve"> </w:t>
            </w:r>
            <w:r>
              <w:rPr>
                <w:i/>
                <w:sz w:val="18"/>
              </w:rPr>
              <w:t>AE</w:t>
            </w:r>
            <w:r>
              <w:rPr>
                <w:i/>
                <w:spacing w:val="-1"/>
                <w:sz w:val="18"/>
              </w:rPr>
              <w:t xml:space="preserve"> </w:t>
            </w:r>
            <w:r>
              <w:rPr>
                <w:i/>
                <w:spacing w:val="-2"/>
                <w:sz w:val="18"/>
              </w:rPr>
              <w:t>category.</w:t>
            </w:r>
          </w:p>
          <w:p w14:paraId="2366FFB0" w14:textId="77777777" w:rsidR="005303F6" w:rsidRDefault="00EB7C90" w:rsidP="008F14F0">
            <w:pPr>
              <w:pStyle w:val="TableParagraph"/>
              <w:numPr>
                <w:ilvl w:val="0"/>
                <w:numId w:val="1"/>
              </w:numPr>
              <w:tabs>
                <w:tab w:val="left" w:pos="183"/>
              </w:tabs>
              <w:spacing w:before="41" w:line="280" w:lineRule="auto"/>
              <w:ind w:right="437" w:firstLine="0"/>
              <w:rPr>
                <w:i/>
                <w:sz w:val="18"/>
              </w:rPr>
            </w:pPr>
            <w:r>
              <w:rPr>
                <w:i/>
                <w:sz w:val="18"/>
              </w:rPr>
              <w:t>A</w:t>
            </w:r>
            <w:r>
              <w:rPr>
                <w:i/>
                <w:spacing w:val="-3"/>
                <w:sz w:val="18"/>
              </w:rPr>
              <w:t xml:space="preserve"> </w:t>
            </w:r>
            <w:r>
              <w:rPr>
                <w:i/>
                <w:sz w:val="18"/>
              </w:rPr>
              <w:t>patient</w:t>
            </w:r>
            <w:r>
              <w:rPr>
                <w:i/>
                <w:spacing w:val="-3"/>
                <w:sz w:val="18"/>
              </w:rPr>
              <w:t xml:space="preserve"> </w:t>
            </w:r>
            <w:r>
              <w:rPr>
                <w:i/>
                <w:sz w:val="18"/>
              </w:rPr>
              <w:t>with</w:t>
            </w:r>
            <w:r>
              <w:rPr>
                <w:i/>
                <w:spacing w:val="-3"/>
                <w:sz w:val="18"/>
              </w:rPr>
              <w:t xml:space="preserve"> </w:t>
            </w:r>
            <w:r>
              <w:rPr>
                <w:i/>
                <w:sz w:val="18"/>
              </w:rPr>
              <w:t>multiple</w:t>
            </w:r>
            <w:r>
              <w:rPr>
                <w:i/>
                <w:spacing w:val="-3"/>
                <w:sz w:val="18"/>
              </w:rPr>
              <w:t xml:space="preserve"> </w:t>
            </w:r>
            <w:r>
              <w:rPr>
                <w:i/>
                <w:sz w:val="18"/>
              </w:rPr>
              <w:t>severity</w:t>
            </w:r>
            <w:r>
              <w:rPr>
                <w:i/>
                <w:spacing w:val="-2"/>
                <w:sz w:val="18"/>
              </w:rPr>
              <w:t xml:space="preserve"> </w:t>
            </w:r>
            <w:r>
              <w:rPr>
                <w:i/>
                <w:sz w:val="18"/>
              </w:rPr>
              <w:t>ratings</w:t>
            </w:r>
            <w:r>
              <w:rPr>
                <w:i/>
                <w:spacing w:val="-2"/>
                <w:sz w:val="18"/>
              </w:rPr>
              <w:t xml:space="preserve"> </w:t>
            </w:r>
            <w:r>
              <w:rPr>
                <w:i/>
                <w:sz w:val="18"/>
              </w:rPr>
              <w:t>for</w:t>
            </w:r>
            <w:r>
              <w:rPr>
                <w:i/>
                <w:spacing w:val="-4"/>
                <w:sz w:val="18"/>
              </w:rPr>
              <w:t xml:space="preserve"> </w:t>
            </w:r>
            <w:r>
              <w:rPr>
                <w:i/>
                <w:sz w:val="18"/>
              </w:rPr>
              <w:t>an</w:t>
            </w:r>
            <w:r>
              <w:rPr>
                <w:i/>
                <w:spacing w:val="-3"/>
                <w:sz w:val="18"/>
              </w:rPr>
              <w:t xml:space="preserve"> </w:t>
            </w:r>
            <w:r>
              <w:rPr>
                <w:i/>
                <w:sz w:val="18"/>
              </w:rPr>
              <w:t>AE</w:t>
            </w:r>
            <w:r>
              <w:rPr>
                <w:i/>
                <w:spacing w:val="-3"/>
                <w:sz w:val="18"/>
              </w:rPr>
              <w:t xml:space="preserve"> </w:t>
            </w:r>
            <w:r>
              <w:rPr>
                <w:i/>
                <w:sz w:val="18"/>
              </w:rPr>
              <w:t>while</w:t>
            </w:r>
            <w:r>
              <w:rPr>
                <w:i/>
                <w:spacing w:val="-4"/>
                <w:sz w:val="18"/>
              </w:rPr>
              <w:t xml:space="preserve"> </w:t>
            </w:r>
            <w:r>
              <w:rPr>
                <w:i/>
                <w:sz w:val="18"/>
              </w:rPr>
              <w:t>on</w:t>
            </w:r>
            <w:r>
              <w:rPr>
                <w:i/>
                <w:spacing w:val="-3"/>
                <w:sz w:val="18"/>
              </w:rPr>
              <w:t xml:space="preserve"> </w:t>
            </w:r>
            <w:r>
              <w:rPr>
                <w:i/>
                <w:sz w:val="18"/>
              </w:rPr>
              <w:t>a</w:t>
            </w:r>
            <w:r>
              <w:rPr>
                <w:i/>
                <w:spacing w:val="-4"/>
                <w:sz w:val="18"/>
              </w:rPr>
              <w:t xml:space="preserve"> </w:t>
            </w:r>
            <w:r>
              <w:rPr>
                <w:i/>
                <w:sz w:val="18"/>
              </w:rPr>
              <w:t>treatment,</w:t>
            </w:r>
            <w:r>
              <w:rPr>
                <w:i/>
                <w:spacing w:val="-4"/>
                <w:sz w:val="18"/>
              </w:rPr>
              <w:t xml:space="preserve"> </w:t>
            </w:r>
            <w:r>
              <w:rPr>
                <w:i/>
                <w:sz w:val="18"/>
              </w:rPr>
              <w:t>is</w:t>
            </w:r>
            <w:r>
              <w:rPr>
                <w:i/>
                <w:spacing w:val="-4"/>
                <w:sz w:val="18"/>
              </w:rPr>
              <w:t xml:space="preserve"> </w:t>
            </w:r>
            <w:r>
              <w:rPr>
                <w:i/>
                <w:sz w:val="18"/>
              </w:rPr>
              <w:t>only</w:t>
            </w:r>
            <w:r>
              <w:rPr>
                <w:i/>
                <w:spacing w:val="-2"/>
                <w:sz w:val="18"/>
              </w:rPr>
              <w:t xml:space="preserve"> </w:t>
            </w:r>
            <w:r>
              <w:rPr>
                <w:i/>
                <w:sz w:val="18"/>
              </w:rPr>
              <w:t>counted</w:t>
            </w:r>
            <w:r>
              <w:rPr>
                <w:i/>
                <w:spacing w:val="-3"/>
                <w:sz w:val="18"/>
              </w:rPr>
              <w:t xml:space="preserve"> </w:t>
            </w:r>
            <w:r>
              <w:rPr>
                <w:i/>
                <w:sz w:val="18"/>
              </w:rPr>
              <w:t>under</w:t>
            </w:r>
            <w:r>
              <w:rPr>
                <w:i/>
                <w:spacing w:val="-3"/>
                <w:sz w:val="18"/>
              </w:rPr>
              <w:t xml:space="preserve"> </w:t>
            </w:r>
            <w:r>
              <w:rPr>
                <w:i/>
                <w:sz w:val="18"/>
              </w:rPr>
              <w:t>the</w:t>
            </w:r>
            <w:r>
              <w:rPr>
                <w:i/>
                <w:spacing w:val="-3"/>
                <w:sz w:val="18"/>
              </w:rPr>
              <w:t xml:space="preserve"> </w:t>
            </w:r>
            <w:r>
              <w:rPr>
                <w:i/>
                <w:sz w:val="18"/>
              </w:rPr>
              <w:t xml:space="preserve">maximum </w:t>
            </w:r>
            <w:r>
              <w:rPr>
                <w:i/>
                <w:spacing w:val="-2"/>
                <w:sz w:val="18"/>
              </w:rPr>
              <w:t>rating.</w:t>
            </w:r>
          </w:p>
        </w:tc>
      </w:tr>
    </w:tbl>
    <w:p w14:paraId="65B7A83F" w14:textId="77777777" w:rsidR="003F2FE8" w:rsidRDefault="003F2FE8" w:rsidP="008F14F0">
      <w:pPr>
        <w:pStyle w:val="Heading3"/>
        <w:spacing w:before="41"/>
        <w:rPr>
          <w:u w:val="single"/>
        </w:rPr>
      </w:pPr>
    </w:p>
    <w:p w14:paraId="2366FFB3" w14:textId="4F936C89" w:rsidR="005303F6" w:rsidRDefault="00EB7C90" w:rsidP="008F14F0">
      <w:pPr>
        <w:pStyle w:val="Heading3"/>
        <w:spacing w:before="41"/>
      </w:pPr>
      <w:r>
        <w:rPr>
          <w:u w:val="single"/>
        </w:rPr>
        <w:t>Description</w:t>
      </w:r>
      <w:r>
        <w:rPr>
          <w:spacing w:val="-7"/>
          <w:u w:val="single"/>
        </w:rPr>
        <w:t xml:space="preserve"> </w:t>
      </w:r>
      <w:r>
        <w:rPr>
          <w:u w:val="single"/>
        </w:rPr>
        <w:t>of</w:t>
      </w:r>
      <w:r>
        <w:rPr>
          <w:spacing w:val="-4"/>
          <w:u w:val="single"/>
        </w:rPr>
        <w:t xml:space="preserve"> </w:t>
      </w:r>
      <w:r>
        <w:rPr>
          <w:u w:val="single"/>
        </w:rPr>
        <w:t>selected</w:t>
      </w:r>
      <w:r>
        <w:rPr>
          <w:spacing w:val="-2"/>
          <w:u w:val="single"/>
        </w:rPr>
        <w:t xml:space="preserve"> </w:t>
      </w:r>
      <w:r>
        <w:rPr>
          <w:u w:val="single"/>
        </w:rPr>
        <w:t>grouped</w:t>
      </w:r>
      <w:r>
        <w:rPr>
          <w:spacing w:val="-3"/>
          <w:u w:val="single"/>
        </w:rPr>
        <w:t xml:space="preserve"> </w:t>
      </w:r>
      <w:r>
        <w:rPr>
          <w:u w:val="single"/>
        </w:rPr>
        <w:t>adverse</w:t>
      </w:r>
      <w:r>
        <w:rPr>
          <w:spacing w:val="-3"/>
          <w:u w:val="single"/>
        </w:rPr>
        <w:t xml:space="preserve"> </w:t>
      </w:r>
      <w:r>
        <w:rPr>
          <w:u w:val="single"/>
        </w:rPr>
        <w:t>events</w:t>
      </w:r>
      <w:r>
        <w:rPr>
          <w:spacing w:val="-1"/>
          <w:u w:val="single"/>
        </w:rPr>
        <w:t xml:space="preserve"> </w:t>
      </w:r>
      <w:r>
        <w:rPr>
          <w:u w:val="single"/>
        </w:rPr>
        <w:t>(data</w:t>
      </w:r>
      <w:r>
        <w:rPr>
          <w:spacing w:val="-3"/>
          <w:u w:val="single"/>
        </w:rPr>
        <w:t xml:space="preserve"> </w:t>
      </w:r>
      <w:r>
        <w:rPr>
          <w:u w:val="single"/>
        </w:rPr>
        <w:t>cut-off:</w:t>
      </w:r>
      <w:r>
        <w:rPr>
          <w:spacing w:val="-4"/>
          <w:u w:val="single"/>
        </w:rPr>
        <w:t xml:space="preserve"> </w:t>
      </w:r>
      <w:r>
        <w:rPr>
          <w:u w:val="single"/>
        </w:rPr>
        <w:t>16-May-</w:t>
      </w:r>
      <w:r>
        <w:rPr>
          <w:spacing w:val="-2"/>
          <w:u w:val="single"/>
        </w:rPr>
        <w:t>2023)</w:t>
      </w:r>
    </w:p>
    <w:p w14:paraId="2366FFB4" w14:textId="77777777" w:rsidR="005303F6" w:rsidRDefault="00EB7C90" w:rsidP="008F14F0">
      <w:pPr>
        <w:spacing w:before="245"/>
        <w:ind w:left="448"/>
        <w:rPr>
          <w:b/>
          <w:sz w:val="24"/>
        </w:rPr>
      </w:pPr>
      <w:r>
        <w:rPr>
          <w:b/>
          <w:sz w:val="24"/>
        </w:rPr>
        <w:t>Interstitial</w:t>
      </w:r>
      <w:r>
        <w:rPr>
          <w:b/>
          <w:spacing w:val="-5"/>
          <w:sz w:val="24"/>
        </w:rPr>
        <w:t xml:space="preserve"> </w:t>
      </w:r>
      <w:r>
        <w:rPr>
          <w:b/>
          <w:sz w:val="24"/>
        </w:rPr>
        <w:t>lung</w:t>
      </w:r>
      <w:r>
        <w:rPr>
          <w:b/>
          <w:spacing w:val="-6"/>
          <w:sz w:val="24"/>
        </w:rPr>
        <w:t xml:space="preserve"> </w:t>
      </w:r>
      <w:r>
        <w:rPr>
          <w:b/>
          <w:sz w:val="24"/>
        </w:rPr>
        <w:t>disease</w:t>
      </w:r>
      <w:r>
        <w:rPr>
          <w:b/>
          <w:spacing w:val="-4"/>
          <w:sz w:val="24"/>
        </w:rPr>
        <w:t xml:space="preserve"> </w:t>
      </w:r>
      <w:r>
        <w:rPr>
          <w:b/>
          <w:spacing w:val="-2"/>
          <w:sz w:val="24"/>
        </w:rPr>
        <w:t>(ILD)/pneumonitis</w:t>
      </w:r>
    </w:p>
    <w:p w14:paraId="2366FFB5" w14:textId="77777777" w:rsidR="005303F6" w:rsidRDefault="00EB7C90" w:rsidP="008F14F0">
      <w:pPr>
        <w:pStyle w:val="BodyText"/>
        <w:ind w:right="724"/>
        <w:jc w:val="left"/>
      </w:pPr>
      <w:r>
        <w:t>In all patients (N=373), interstitial lung disease and pneumonitis grouped events were reported</w:t>
      </w:r>
      <w:r>
        <w:rPr>
          <w:spacing w:val="-7"/>
        </w:rPr>
        <w:t xml:space="preserve"> </w:t>
      </w:r>
      <w:r>
        <w:t>in</w:t>
      </w:r>
      <w:r>
        <w:rPr>
          <w:spacing w:val="-8"/>
        </w:rPr>
        <w:t xml:space="preserve"> </w:t>
      </w:r>
      <w:r>
        <w:t>20</w:t>
      </w:r>
      <w:r>
        <w:rPr>
          <w:spacing w:val="-6"/>
        </w:rPr>
        <w:t xml:space="preserve"> </w:t>
      </w:r>
      <w:r>
        <w:t>patients</w:t>
      </w:r>
      <w:r>
        <w:rPr>
          <w:spacing w:val="-5"/>
        </w:rPr>
        <w:t xml:space="preserve"> </w:t>
      </w:r>
      <w:r>
        <w:t>(5.4%).</w:t>
      </w:r>
      <w:r>
        <w:rPr>
          <w:spacing w:val="-8"/>
        </w:rPr>
        <w:t xml:space="preserve"> </w:t>
      </w:r>
      <w:r>
        <w:t>Grade</w:t>
      </w:r>
      <w:r>
        <w:rPr>
          <w:spacing w:val="-8"/>
        </w:rPr>
        <w:t xml:space="preserve"> </w:t>
      </w:r>
      <w:r>
        <w:t>3/4</w:t>
      </w:r>
      <w:r>
        <w:rPr>
          <w:spacing w:val="-6"/>
        </w:rPr>
        <w:t xml:space="preserve"> </w:t>
      </w:r>
      <w:r>
        <w:t>events</w:t>
      </w:r>
      <w:r>
        <w:rPr>
          <w:spacing w:val="-9"/>
        </w:rPr>
        <w:t xml:space="preserve"> </w:t>
      </w:r>
      <w:r>
        <w:t>occurred</w:t>
      </w:r>
      <w:r>
        <w:rPr>
          <w:spacing w:val="-5"/>
        </w:rPr>
        <w:t xml:space="preserve"> </w:t>
      </w:r>
      <w:r>
        <w:t>in</w:t>
      </w:r>
      <w:r>
        <w:rPr>
          <w:spacing w:val="-5"/>
        </w:rPr>
        <w:t xml:space="preserve"> </w:t>
      </w:r>
      <w:r>
        <w:t>8</w:t>
      </w:r>
      <w:r>
        <w:rPr>
          <w:spacing w:val="-5"/>
        </w:rPr>
        <w:t xml:space="preserve"> </w:t>
      </w:r>
      <w:r>
        <w:t>patients</w:t>
      </w:r>
      <w:r>
        <w:rPr>
          <w:spacing w:val="-5"/>
        </w:rPr>
        <w:t xml:space="preserve"> </w:t>
      </w:r>
      <w:r>
        <w:t>(2.1%),</w:t>
      </w:r>
      <w:r>
        <w:rPr>
          <w:spacing w:val="-7"/>
        </w:rPr>
        <w:t xml:space="preserve"> </w:t>
      </w:r>
      <w:r>
        <w:t>with</w:t>
      </w:r>
      <w:r>
        <w:rPr>
          <w:spacing w:val="-8"/>
        </w:rPr>
        <w:t xml:space="preserve"> </w:t>
      </w:r>
      <w:r>
        <w:t>no</w:t>
      </w:r>
      <w:r>
        <w:rPr>
          <w:spacing w:val="-6"/>
        </w:rPr>
        <w:t xml:space="preserve"> </w:t>
      </w:r>
      <w:r>
        <w:t>Grade 4</w:t>
      </w:r>
      <w:r>
        <w:rPr>
          <w:spacing w:val="-11"/>
        </w:rPr>
        <w:t xml:space="preserve"> </w:t>
      </w:r>
      <w:r>
        <w:t>events</w:t>
      </w:r>
      <w:r>
        <w:rPr>
          <w:spacing w:val="-12"/>
        </w:rPr>
        <w:t xml:space="preserve"> </w:t>
      </w:r>
      <w:r>
        <w:t>reported.</w:t>
      </w:r>
      <w:r>
        <w:rPr>
          <w:spacing w:val="-13"/>
        </w:rPr>
        <w:t xml:space="preserve"> </w:t>
      </w:r>
      <w:r>
        <w:t>Suspected</w:t>
      </w:r>
      <w:r>
        <w:rPr>
          <w:spacing w:val="-11"/>
        </w:rPr>
        <w:t xml:space="preserve"> </w:t>
      </w:r>
      <w:r>
        <w:t>adverse</w:t>
      </w:r>
      <w:r>
        <w:rPr>
          <w:spacing w:val="-12"/>
        </w:rPr>
        <w:t xml:space="preserve"> </w:t>
      </w:r>
      <w:r>
        <w:t>events</w:t>
      </w:r>
      <w:r>
        <w:rPr>
          <w:spacing w:val="-14"/>
        </w:rPr>
        <w:t xml:space="preserve"> </w:t>
      </w:r>
      <w:r>
        <w:t>were</w:t>
      </w:r>
      <w:r>
        <w:rPr>
          <w:spacing w:val="-11"/>
        </w:rPr>
        <w:t xml:space="preserve"> </w:t>
      </w:r>
      <w:r>
        <w:t>reported</w:t>
      </w:r>
      <w:r>
        <w:rPr>
          <w:spacing w:val="-11"/>
        </w:rPr>
        <w:t xml:space="preserve"> </w:t>
      </w:r>
      <w:r>
        <w:t>in</w:t>
      </w:r>
      <w:r>
        <w:rPr>
          <w:spacing w:val="-13"/>
        </w:rPr>
        <w:t xml:space="preserve"> </w:t>
      </w:r>
      <w:r>
        <w:t>12</w:t>
      </w:r>
      <w:r>
        <w:rPr>
          <w:spacing w:val="-8"/>
        </w:rPr>
        <w:t xml:space="preserve"> </w:t>
      </w:r>
      <w:r>
        <w:t>patients</w:t>
      </w:r>
      <w:r>
        <w:rPr>
          <w:spacing w:val="-13"/>
        </w:rPr>
        <w:t xml:space="preserve"> </w:t>
      </w:r>
      <w:r>
        <w:t>(3.2%),</w:t>
      </w:r>
      <w:r>
        <w:rPr>
          <w:spacing w:val="-13"/>
        </w:rPr>
        <w:t xml:space="preserve"> </w:t>
      </w:r>
      <w:r>
        <w:t>and</w:t>
      </w:r>
      <w:r>
        <w:rPr>
          <w:spacing w:val="-13"/>
        </w:rPr>
        <w:t xml:space="preserve"> </w:t>
      </w:r>
      <w:r>
        <w:t xml:space="preserve">serious adverse events in 10 patients (2.7%); 10 patients (2.7%) required </w:t>
      </w:r>
      <w:proofErr w:type="spellStart"/>
      <w:r>
        <w:t>hospitalisation</w:t>
      </w:r>
      <w:proofErr w:type="spellEnd"/>
      <w:r>
        <w:t>. Events led to permanent discontinuation in 11 patients (2.9%), and adjustment in 1 patient (0.3%). The median</w:t>
      </w:r>
      <w:r>
        <w:rPr>
          <w:spacing w:val="-10"/>
        </w:rPr>
        <w:t xml:space="preserve"> </w:t>
      </w:r>
      <w:r>
        <w:t>time</w:t>
      </w:r>
      <w:r>
        <w:rPr>
          <w:spacing w:val="-8"/>
        </w:rPr>
        <w:t xml:space="preserve"> </w:t>
      </w:r>
      <w:r>
        <w:t>to</w:t>
      </w:r>
      <w:r>
        <w:rPr>
          <w:spacing w:val="-8"/>
        </w:rPr>
        <w:t xml:space="preserve"> </w:t>
      </w:r>
      <w:r>
        <w:t>first</w:t>
      </w:r>
      <w:r>
        <w:rPr>
          <w:spacing w:val="-8"/>
        </w:rPr>
        <w:t xml:space="preserve"> </w:t>
      </w:r>
      <w:r>
        <w:t>occurrence</w:t>
      </w:r>
      <w:r>
        <w:rPr>
          <w:spacing w:val="-8"/>
        </w:rPr>
        <w:t xml:space="preserve"> </w:t>
      </w:r>
      <w:r>
        <w:t>of</w:t>
      </w:r>
      <w:r>
        <w:rPr>
          <w:spacing w:val="-7"/>
        </w:rPr>
        <w:t xml:space="preserve"> </w:t>
      </w:r>
      <w:r>
        <w:t>grade</w:t>
      </w:r>
      <w:r>
        <w:rPr>
          <w:spacing w:val="-8"/>
        </w:rPr>
        <w:t xml:space="preserve"> </w:t>
      </w:r>
      <w:r>
        <w:t>3/4</w:t>
      </w:r>
      <w:r>
        <w:rPr>
          <w:spacing w:val="-8"/>
        </w:rPr>
        <w:t xml:space="preserve"> </w:t>
      </w:r>
      <w:r>
        <w:t>interstitial</w:t>
      </w:r>
      <w:r>
        <w:rPr>
          <w:spacing w:val="-8"/>
        </w:rPr>
        <w:t xml:space="preserve"> </w:t>
      </w:r>
      <w:r>
        <w:t>lung</w:t>
      </w:r>
      <w:r>
        <w:rPr>
          <w:spacing w:val="-9"/>
        </w:rPr>
        <w:t xml:space="preserve"> </w:t>
      </w:r>
      <w:r>
        <w:t>disease/pneumonitis</w:t>
      </w:r>
      <w:r>
        <w:rPr>
          <w:spacing w:val="-9"/>
        </w:rPr>
        <w:t xml:space="preserve"> </w:t>
      </w:r>
      <w:r>
        <w:t>events</w:t>
      </w:r>
      <w:r>
        <w:rPr>
          <w:spacing w:val="-11"/>
        </w:rPr>
        <w:t xml:space="preserve"> </w:t>
      </w:r>
      <w:r>
        <w:t>was</w:t>
      </w:r>
    </w:p>
    <w:p w14:paraId="2366FFB6" w14:textId="77777777" w:rsidR="005303F6" w:rsidRDefault="00EB7C90" w:rsidP="008F14F0">
      <w:pPr>
        <w:pStyle w:val="BodyText"/>
        <w:spacing w:before="0"/>
        <w:ind w:right="725"/>
        <w:jc w:val="left"/>
      </w:pPr>
      <w:r>
        <w:t>1.38 months (range: 0.16-20.34) and the median duration of first occurrence of grade 3/4 interstitial lung disease/pneumonitis events was 0.61 months (range: 0.16, NE).</w:t>
      </w:r>
    </w:p>
    <w:p w14:paraId="2366FFB7" w14:textId="77777777" w:rsidR="005303F6" w:rsidRDefault="00EB7C90" w:rsidP="008F14F0">
      <w:pPr>
        <w:pStyle w:val="Heading3"/>
        <w:spacing w:before="119"/>
      </w:pPr>
      <w:r>
        <w:rPr>
          <w:spacing w:val="-2"/>
        </w:rPr>
        <w:t>Hepatotoxicity</w:t>
      </w:r>
    </w:p>
    <w:p w14:paraId="2366FFB8" w14:textId="77777777" w:rsidR="005303F6" w:rsidRDefault="00EB7C90" w:rsidP="008F14F0">
      <w:pPr>
        <w:pStyle w:val="BodyText"/>
        <w:ind w:right="728"/>
        <w:jc w:val="left"/>
      </w:pPr>
      <w:r>
        <w:t xml:space="preserve">In all patients (N=373), hepatotoxicity </w:t>
      </w:r>
      <w:proofErr w:type="gramStart"/>
      <w:r>
        <w:t>grouped</w:t>
      </w:r>
      <w:proofErr w:type="gramEnd"/>
      <w:r>
        <w:t xml:space="preserve"> events (all grades, irrespective of study drug relationship)</w:t>
      </w:r>
      <w:r>
        <w:rPr>
          <w:spacing w:val="-12"/>
        </w:rPr>
        <w:t xml:space="preserve"> </w:t>
      </w:r>
      <w:r>
        <w:t>were</w:t>
      </w:r>
      <w:r>
        <w:rPr>
          <w:spacing w:val="-10"/>
        </w:rPr>
        <w:t xml:space="preserve"> </w:t>
      </w:r>
      <w:r>
        <w:t>reported</w:t>
      </w:r>
      <w:r>
        <w:rPr>
          <w:spacing w:val="-9"/>
        </w:rPr>
        <w:t xml:space="preserve"> </w:t>
      </w:r>
      <w:r>
        <w:t>in</w:t>
      </w:r>
      <w:r>
        <w:rPr>
          <w:spacing w:val="-12"/>
        </w:rPr>
        <w:t xml:space="preserve"> </w:t>
      </w:r>
      <w:r>
        <w:t>120</w:t>
      </w:r>
      <w:r>
        <w:rPr>
          <w:spacing w:val="-7"/>
        </w:rPr>
        <w:t xml:space="preserve"> </w:t>
      </w:r>
      <w:r>
        <w:t>patients</w:t>
      </w:r>
      <w:r>
        <w:rPr>
          <w:spacing w:val="-10"/>
        </w:rPr>
        <w:t xml:space="preserve"> </w:t>
      </w:r>
      <w:r>
        <w:t>(32.2%).</w:t>
      </w:r>
      <w:r>
        <w:rPr>
          <w:spacing w:val="-11"/>
        </w:rPr>
        <w:t xml:space="preserve"> </w:t>
      </w:r>
      <w:r>
        <w:t>Grade</w:t>
      </w:r>
      <w:r>
        <w:rPr>
          <w:spacing w:val="-10"/>
        </w:rPr>
        <w:t xml:space="preserve"> </w:t>
      </w:r>
      <w:r>
        <w:t>3/4</w:t>
      </w:r>
      <w:r>
        <w:rPr>
          <w:spacing w:val="-10"/>
        </w:rPr>
        <w:t xml:space="preserve"> </w:t>
      </w:r>
      <w:r>
        <w:t>events</w:t>
      </w:r>
      <w:r>
        <w:rPr>
          <w:spacing w:val="-11"/>
        </w:rPr>
        <w:t xml:space="preserve"> </w:t>
      </w:r>
      <w:r>
        <w:t>occurred</w:t>
      </w:r>
      <w:r>
        <w:rPr>
          <w:spacing w:val="-10"/>
        </w:rPr>
        <w:t xml:space="preserve"> </w:t>
      </w:r>
      <w:r>
        <w:t>in</w:t>
      </w:r>
      <w:r>
        <w:rPr>
          <w:spacing w:val="-10"/>
        </w:rPr>
        <w:t xml:space="preserve"> </w:t>
      </w:r>
      <w:r>
        <w:t>43</w:t>
      </w:r>
      <w:r>
        <w:rPr>
          <w:spacing w:val="-8"/>
        </w:rPr>
        <w:t xml:space="preserve"> </w:t>
      </w:r>
      <w:r>
        <w:t>patients (11.5%),</w:t>
      </w:r>
      <w:r>
        <w:rPr>
          <w:spacing w:val="40"/>
        </w:rPr>
        <w:t xml:space="preserve"> </w:t>
      </w:r>
      <w:r>
        <w:t>including</w:t>
      </w:r>
      <w:r>
        <w:rPr>
          <w:spacing w:val="40"/>
        </w:rPr>
        <w:t xml:space="preserve"> </w:t>
      </w:r>
      <w:r>
        <w:t>Grade</w:t>
      </w:r>
      <w:r>
        <w:rPr>
          <w:spacing w:val="40"/>
        </w:rPr>
        <w:t xml:space="preserve"> </w:t>
      </w:r>
      <w:r>
        <w:t>4</w:t>
      </w:r>
      <w:r>
        <w:rPr>
          <w:spacing w:val="40"/>
        </w:rPr>
        <w:t xml:space="preserve"> </w:t>
      </w:r>
      <w:r>
        <w:t>events</w:t>
      </w:r>
      <w:r>
        <w:rPr>
          <w:spacing w:val="40"/>
        </w:rPr>
        <w:t xml:space="preserve"> </w:t>
      </w:r>
      <w:r>
        <w:t>in</w:t>
      </w:r>
      <w:r>
        <w:rPr>
          <w:spacing w:val="40"/>
        </w:rPr>
        <w:t xml:space="preserve"> </w:t>
      </w:r>
      <w:r>
        <w:t>8</w:t>
      </w:r>
      <w:r>
        <w:rPr>
          <w:spacing w:val="40"/>
        </w:rPr>
        <w:t xml:space="preserve"> </w:t>
      </w:r>
      <w:r>
        <w:t>patients</w:t>
      </w:r>
      <w:r>
        <w:rPr>
          <w:spacing w:val="40"/>
        </w:rPr>
        <w:t xml:space="preserve"> </w:t>
      </w:r>
      <w:r>
        <w:t>(2.1%).</w:t>
      </w:r>
      <w:r>
        <w:rPr>
          <w:spacing w:val="40"/>
        </w:rPr>
        <w:t xml:space="preserve"> </w:t>
      </w:r>
      <w:r>
        <w:t>Suspected</w:t>
      </w:r>
      <w:r>
        <w:rPr>
          <w:spacing w:val="40"/>
        </w:rPr>
        <w:t xml:space="preserve"> </w:t>
      </w:r>
      <w:r>
        <w:t>adverse</w:t>
      </w:r>
      <w:r>
        <w:rPr>
          <w:spacing w:val="40"/>
        </w:rPr>
        <w:t xml:space="preserve"> </w:t>
      </w:r>
      <w:r>
        <w:t>events</w:t>
      </w:r>
      <w:r>
        <w:rPr>
          <w:spacing w:val="40"/>
        </w:rPr>
        <w:t xml:space="preserve"> </w:t>
      </w:r>
      <w:r>
        <w:t>were</w:t>
      </w:r>
    </w:p>
    <w:p w14:paraId="2366FFB9" w14:textId="77777777" w:rsidR="005303F6" w:rsidRDefault="00EB7C90" w:rsidP="008F14F0">
      <w:pPr>
        <w:pStyle w:val="BodyText"/>
        <w:spacing w:before="2"/>
        <w:ind w:right="724"/>
        <w:jc w:val="left"/>
      </w:pPr>
      <w:r>
        <w:t>reported in 71 patients (19.0%), and serious adverse events in 7 patients (1.9%); 6 patients (1.6%)</w:t>
      </w:r>
      <w:r>
        <w:rPr>
          <w:spacing w:val="-8"/>
        </w:rPr>
        <w:t xml:space="preserve"> </w:t>
      </w:r>
      <w:r>
        <w:t>required</w:t>
      </w:r>
      <w:r>
        <w:rPr>
          <w:spacing w:val="-8"/>
        </w:rPr>
        <w:t xml:space="preserve"> </w:t>
      </w:r>
      <w:proofErr w:type="spellStart"/>
      <w:r>
        <w:t>hospitalisation</w:t>
      </w:r>
      <w:proofErr w:type="spellEnd"/>
      <w:r>
        <w:t>.</w:t>
      </w:r>
      <w:r>
        <w:rPr>
          <w:spacing w:val="-10"/>
        </w:rPr>
        <w:t xml:space="preserve"> </w:t>
      </w:r>
      <w:r>
        <w:t>Events</w:t>
      </w:r>
      <w:r>
        <w:rPr>
          <w:spacing w:val="-10"/>
        </w:rPr>
        <w:t xml:space="preserve"> </w:t>
      </w:r>
      <w:r>
        <w:t>led</w:t>
      </w:r>
      <w:r>
        <w:rPr>
          <w:spacing w:val="-11"/>
        </w:rPr>
        <w:t xml:space="preserve"> </w:t>
      </w:r>
      <w:r>
        <w:t>to</w:t>
      </w:r>
      <w:r>
        <w:rPr>
          <w:spacing w:val="-9"/>
        </w:rPr>
        <w:t xml:space="preserve"> </w:t>
      </w:r>
      <w:r>
        <w:t>permanent</w:t>
      </w:r>
      <w:r>
        <w:rPr>
          <w:spacing w:val="-9"/>
        </w:rPr>
        <w:t xml:space="preserve"> </w:t>
      </w:r>
      <w:r>
        <w:t>discontinuation</w:t>
      </w:r>
      <w:r>
        <w:rPr>
          <w:spacing w:val="-8"/>
        </w:rPr>
        <w:t xml:space="preserve"> </w:t>
      </w:r>
      <w:r>
        <w:t>in</w:t>
      </w:r>
      <w:r>
        <w:rPr>
          <w:spacing w:val="-9"/>
        </w:rPr>
        <w:t xml:space="preserve"> </w:t>
      </w:r>
      <w:r>
        <w:t>7</w:t>
      </w:r>
      <w:r>
        <w:rPr>
          <w:spacing w:val="-5"/>
        </w:rPr>
        <w:t xml:space="preserve"> </w:t>
      </w:r>
      <w:r>
        <w:t>patients</w:t>
      </w:r>
      <w:r>
        <w:rPr>
          <w:spacing w:val="-7"/>
        </w:rPr>
        <w:t xml:space="preserve"> </w:t>
      </w:r>
      <w:r>
        <w:t>(1.9%), and</w:t>
      </w:r>
      <w:r>
        <w:rPr>
          <w:spacing w:val="-3"/>
        </w:rPr>
        <w:t xml:space="preserve"> </w:t>
      </w:r>
      <w:r>
        <w:t>dose</w:t>
      </w:r>
      <w:r>
        <w:rPr>
          <w:spacing w:val="-3"/>
        </w:rPr>
        <w:t xml:space="preserve"> </w:t>
      </w:r>
      <w:r>
        <w:t>adjustment</w:t>
      </w:r>
      <w:r>
        <w:rPr>
          <w:spacing w:val="-3"/>
        </w:rPr>
        <w:t xml:space="preserve"> </w:t>
      </w:r>
      <w:r>
        <w:t>in</w:t>
      </w:r>
      <w:r>
        <w:rPr>
          <w:spacing w:val="-3"/>
        </w:rPr>
        <w:t xml:space="preserve"> </w:t>
      </w:r>
      <w:r>
        <w:t>15 patients</w:t>
      </w:r>
      <w:r>
        <w:rPr>
          <w:spacing w:val="-1"/>
        </w:rPr>
        <w:t xml:space="preserve"> </w:t>
      </w:r>
      <w:r>
        <w:t>(4.0%).</w:t>
      </w:r>
      <w:r>
        <w:rPr>
          <w:spacing w:val="-3"/>
        </w:rPr>
        <w:t xml:space="preserve"> </w:t>
      </w:r>
      <w:r>
        <w:t>The</w:t>
      </w:r>
      <w:r>
        <w:rPr>
          <w:spacing w:val="-4"/>
        </w:rPr>
        <w:t xml:space="preserve"> </w:t>
      </w:r>
      <w:r>
        <w:t>median</w:t>
      </w:r>
      <w:r>
        <w:rPr>
          <w:spacing w:val="-3"/>
        </w:rPr>
        <w:t xml:space="preserve"> </w:t>
      </w:r>
      <w:r>
        <w:t>time</w:t>
      </w:r>
      <w:r>
        <w:rPr>
          <w:spacing w:val="-1"/>
        </w:rPr>
        <w:t xml:space="preserve"> </w:t>
      </w:r>
      <w:r>
        <w:t>to</w:t>
      </w:r>
      <w:r>
        <w:rPr>
          <w:spacing w:val="-1"/>
        </w:rPr>
        <w:t xml:space="preserve"> </w:t>
      </w:r>
      <w:r>
        <w:t>first</w:t>
      </w:r>
      <w:r>
        <w:rPr>
          <w:spacing w:val="-3"/>
        </w:rPr>
        <w:t xml:space="preserve"> </w:t>
      </w:r>
      <w:r>
        <w:t>occurrence</w:t>
      </w:r>
      <w:r>
        <w:rPr>
          <w:spacing w:val="-1"/>
        </w:rPr>
        <w:t xml:space="preserve"> </w:t>
      </w:r>
      <w:r>
        <w:t>of</w:t>
      </w:r>
      <w:r>
        <w:rPr>
          <w:spacing w:val="-1"/>
        </w:rPr>
        <w:t xml:space="preserve"> </w:t>
      </w:r>
      <w:r>
        <w:t>Grade</w:t>
      </w:r>
      <w:r>
        <w:rPr>
          <w:spacing w:val="-3"/>
        </w:rPr>
        <w:t xml:space="preserve"> </w:t>
      </w:r>
      <w:r>
        <w:t>3/4 hepatotoxicity</w:t>
      </w:r>
      <w:r>
        <w:rPr>
          <w:spacing w:val="21"/>
        </w:rPr>
        <w:t xml:space="preserve"> </w:t>
      </w:r>
      <w:r>
        <w:t>events</w:t>
      </w:r>
      <w:r>
        <w:rPr>
          <w:spacing w:val="19"/>
        </w:rPr>
        <w:t xml:space="preserve"> </w:t>
      </w:r>
      <w:r>
        <w:t>was</w:t>
      </w:r>
      <w:r>
        <w:rPr>
          <w:spacing w:val="21"/>
        </w:rPr>
        <w:t xml:space="preserve"> </w:t>
      </w:r>
      <w:r>
        <w:t>1.41</w:t>
      </w:r>
      <w:r>
        <w:rPr>
          <w:spacing w:val="20"/>
        </w:rPr>
        <w:t xml:space="preserve"> </w:t>
      </w:r>
      <w:r>
        <w:t>months</w:t>
      </w:r>
      <w:r>
        <w:rPr>
          <w:spacing w:val="19"/>
        </w:rPr>
        <w:t xml:space="preserve"> </w:t>
      </w:r>
      <w:r>
        <w:t>(range:</w:t>
      </w:r>
      <w:r>
        <w:rPr>
          <w:spacing w:val="19"/>
        </w:rPr>
        <w:t xml:space="preserve"> </w:t>
      </w:r>
      <w:r>
        <w:t>0.03–46.36),</w:t>
      </w:r>
      <w:r>
        <w:rPr>
          <w:spacing w:val="21"/>
        </w:rPr>
        <w:t xml:space="preserve"> </w:t>
      </w:r>
      <w:r>
        <w:t>and</w:t>
      </w:r>
      <w:r>
        <w:rPr>
          <w:spacing w:val="20"/>
        </w:rPr>
        <w:t xml:space="preserve"> </w:t>
      </w:r>
      <w:r>
        <w:t>the</w:t>
      </w:r>
      <w:r>
        <w:rPr>
          <w:spacing w:val="22"/>
        </w:rPr>
        <w:t xml:space="preserve"> </w:t>
      </w:r>
      <w:r>
        <w:t>median</w:t>
      </w:r>
      <w:r>
        <w:rPr>
          <w:spacing w:val="20"/>
        </w:rPr>
        <w:t xml:space="preserve"> </w:t>
      </w:r>
      <w:r>
        <w:t>duration</w:t>
      </w:r>
      <w:r>
        <w:rPr>
          <w:spacing w:val="21"/>
        </w:rPr>
        <w:t xml:space="preserve"> </w:t>
      </w:r>
      <w:r>
        <w:t>was</w:t>
      </w:r>
    </w:p>
    <w:p w14:paraId="2366FFBA" w14:textId="77777777" w:rsidR="005303F6" w:rsidRDefault="00EB7C90" w:rsidP="008F14F0">
      <w:pPr>
        <w:pStyle w:val="BodyText"/>
        <w:spacing w:before="0" w:line="292" w:lineRule="exact"/>
        <w:jc w:val="left"/>
      </w:pPr>
      <w:r>
        <w:t>0.49</w:t>
      </w:r>
      <w:r>
        <w:rPr>
          <w:spacing w:val="-4"/>
        </w:rPr>
        <w:t xml:space="preserve"> </w:t>
      </w:r>
      <w:r>
        <w:t>months</w:t>
      </w:r>
      <w:r>
        <w:rPr>
          <w:spacing w:val="-3"/>
        </w:rPr>
        <w:t xml:space="preserve"> </w:t>
      </w:r>
      <w:r>
        <w:t>(range:</w:t>
      </w:r>
      <w:r>
        <w:rPr>
          <w:spacing w:val="-3"/>
        </w:rPr>
        <w:t xml:space="preserve"> </w:t>
      </w:r>
      <w:r>
        <w:t>0.30,</w:t>
      </w:r>
      <w:r>
        <w:rPr>
          <w:spacing w:val="-2"/>
        </w:rPr>
        <w:t xml:space="preserve"> 0.53).</w:t>
      </w:r>
    </w:p>
    <w:p w14:paraId="43ED8BF5" w14:textId="77777777" w:rsidR="008F14F0" w:rsidRDefault="008F14F0" w:rsidP="008F14F0">
      <w:pPr>
        <w:pStyle w:val="BodyText"/>
        <w:spacing w:before="119"/>
        <w:ind w:right="724"/>
        <w:jc w:val="left"/>
      </w:pPr>
    </w:p>
    <w:p w14:paraId="42679ADD" w14:textId="77777777" w:rsidR="008F14F0" w:rsidRDefault="008F14F0" w:rsidP="008F14F0">
      <w:pPr>
        <w:pStyle w:val="BodyText"/>
        <w:spacing w:before="119"/>
        <w:ind w:right="724"/>
        <w:jc w:val="left"/>
      </w:pPr>
    </w:p>
    <w:p w14:paraId="2366FFBB" w14:textId="0B1F14A4" w:rsidR="005303F6" w:rsidRDefault="00EB7C90" w:rsidP="008F14F0">
      <w:pPr>
        <w:pStyle w:val="BodyText"/>
        <w:spacing w:before="119"/>
        <w:ind w:right="724"/>
        <w:jc w:val="left"/>
      </w:pPr>
      <w:r>
        <w:lastRenderedPageBreak/>
        <w:t>In all patients (N=373), most had normal liver function values at baseline, and any post-baseline</w:t>
      </w:r>
      <w:r>
        <w:rPr>
          <w:spacing w:val="-14"/>
        </w:rPr>
        <w:t xml:space="preserve"> </w:t>
      </w:r>
      <w:r>
        <w:t>worsening</w:t>
      </w:r>
      <w:r>
        <w:rPr>
          <w:spacing w:val="-14"/>
        </w:rPr>
        <w:t xml:space="preserve"> </w:t>
      </w:r>
      <w:r>
        <w:t>was</w:t>
      </w:r>
      <w:r>
        <w:rPr>
          <w:spacing w:val="-13"/>
        </w:rPr>
        <w:t xml:space="preserve"> </w:t>
      </w:r>
      <w:r>
        <w:t>mostly</w:t>
      </w:r>
      <w:r>
        <w:rPr>
          <w:spacing w:val="-14"/>
        </w:rPr>
        <w:t xml:space="preserve"> </w:t>
      </w:r>
      <w:r>
        <w:t>to</w:t>
      </w:r>
      <w:r>
        <w:rPr>
          <w:spacing w:val="-13"/>
        </w:rPr>
        <w:t xml:space="preserve"> </w:t>
      </w:r>
      <w:r>
        <w:t>grade</w:t>
      </w:r>
      <w:r>
        <w:rPr>
          <w:spacing w:val="-14"/>
        </w:rPr>
        <w:t xml:space="preserve"> </w:t>
      </w:r>
      <w:r>
        <w:t>1</w:t>
      </w:r>
      <w:r>
        <w:rPr>
          <w:spacing w:val="-13"/>
        </w:rPr>
        <w:t xml:space="preserve"> </w:t>
      </w:r>
      <w:r>
        <w:t>or</w:t>
      </w:r>
      <w:r>
        <w:rPr>
          <w:spacing w:val="-14"/>
        </w:rPr>
        <w:t xml:space="preserve"> </w:t>
      </w:r>
      <w:r>
        <w:t>2.</w:t>
      </w:r>
      <w:r>
        <w:rPr>
          <w:spacing w:val="-14"/>
        </w:rPr>
        <w:t xml:space="preserve"> </w:t>
      </w:r>
      <w:r>
        <w:t>Overall</w:t>
      </w:r>
      <w:r>
        <w:rPr>
          <w:spacing w:val="-13"/>
        </w:rPr>
        <w:t xml:space="preserve"> </w:t>
      </w:r>
      <w:r>
        <w:t>increases</w:t>
      </w:r>
      <w:r>
        <w:rPr>
          <w:spacing w:val="-14"/>
        </w:rPr>
        <w:t xml:space="preserve"> </w:t>
      </w:r>
      <w:r>
        <w:t>in</w:t>
      </w:r>
      <w:r>
        <w:rPr>
          <w:spacing w:val="-13"/>
        </w:rPr>
        <w:t xml:space="preserve"> </w:t>
      </w:r>
      <w:r>
        <w:t>transaminases</w:t>
      </w:r>
      <w:r>
        <w:rPr>
          <w:spacing w:val="-14"/>
        </w:rPr>
        <w:t xml:space="preserve"> </w:t>
      </w:r>
      <w:r>
        <w:t>(ALT</w:t>
      </w:r>
      <w:r>
        <w:rPr>
          <w:spacing w:val="-13"/>
        </w:rPr>
        <w:t xml:space="preserve"> </w:t>
      </w:r>
      <w:r>
        <w:t>and/or AST) &gt; 3 × upper limit of normal (ULN) (grade 2) were seen in 52 patients (13.9%). Total bilirubin &gt; 2 × ULN were reported for 6 patients (1.6%) and &gt; 3 × ULN were reported for 4 patients (1.1%). Three patients had concurrent peak values of total bilirubin &gt; 2 × ULN with peak values of ALT or AST &gt; 3 × ULN.</w:t>
      </w:r>
    </w:p>
    <w:p w14:paraId="2366FFBC" w14:textId="77777777" w:rsidR="005303F6" w:rsidRDefault="00EB7C90" w:rsidP="008F14F0">
      <w:pPr>
        <w:pStyle w:val="Heading3"/>
        <w:spacing w:before="120"/>
      </w:pPr>
      <w:r>
        <w:rPr>
          <w:spacing w:val="-2"/>
        </w:rPr>
        <w:t>Pancreatitis</w:t>
      </w:r>
    </w:p>
    <w:p w14:paraId="2366FFBD" w14:textId="77777777" w:rsidR="005303F6" w:rsidRDefault="00EB7C90" w:rsidP="008F14F0">
      <w:pPr>
        <w:pStyle w:val="BodyText"/>
        <w:ind w:right="724"/>
        <w:jc w:val="left"/>
      </w:pPr>
      <w:r>
        <w:t>In all patients (N=373), pancreatitis grouped events (all grades, irrespective of study drug relationship) were reported in</w:t>
      </w:r>
      <w:r>
        <w:rPr>
          <w:spacing w:val="-1"/>
        </w:rPr>
        <w:t xml:space="preserve"> </w:t>
      </w:r>
      <w:r>
        <w:t>53</w:t>
      </w:r>
      <w:r>
        <w:rPr>
          <w:spacing w:val="-1"/>
        </w:rPr>
        <w:t xml:space="preserve"> </w:t>
      </w:r>
      <w:r>
        <w:t>patients (14.2%).</w:t>
      </w:r>
      <w:r>
        <w:rPr>
          <w:spacing w:val="-1"/>
        </w:rPr>
        <w:t xml:space="preserve"> </w:t>
      </w:r>
      <w:r>
        <w:t>Grade 3/4 events</w:t>
      </w:r>
      <w:r>
        <w:rPr>
          <w:spacing w:val="-2"/>
        </w:rPr>
        <w:t xml:space="preserve"> </w:t>
      </w:r>
      <w:r>
        <w:t>occurred in 33 patients (8.8%),</w:t>
      </w:r>
      <w:r>
        <w:rPr>
          <w:spacing w:val="-14"/>
        </w:rPr>
        <w:t xml:space="preserve"> </w:t>
      </w:r>
      <w:r>
        <w:t>including</w:t>
      </w:r>
      <w:r>
        <w:rPr>
          <w:spacing w:val="-14"/>
        </w:rPr>
        <w:t xml:space="preserve"> </w:t>
      </w:r>
      <w:r>
        <w:t>Grade</w:t>
      </w:r>
      <w:r>
        <w:rPr>
          <w:spacing w:val="-13"/>
        </w:rPr>
        <w:t xml:space="preserve"> </w:t>
      </w:r>
      <w:r>
        <w:t>4</w:t>
      </w:r>
      <w:r>
        <w:rPr>
          <w:spacing w:val="-14"/>
        </w:rPr>
        <w:t xml:space="preserve"> </w:t>
      </w:r>
      <w:r>
        <w:t>events</w:t>
      </w:r>
      <w:r>
        <w:rPr>
          <w:spacing w:val="-13"/>
        </w:rPr>
        <w:t xml:space="preserve"> </w:t>
      </w:r>
      <w:r>
        <w:t>in</w:t>
      </w:r>
      <w:r>
        <w:rPr>
          <w:spacing w:val="-14"/>
        </w:rPr>
        <w:t xml:space="preserve"> </w:t>
      </w:r>
      <w:r>
        <w:t>7</w:t>
      </w:r>
      <w:r>
        <w:rPr>
          <w:spacing w:val="-13"/>
        </w:rPr>
        <w:t xml:space="preserve"> </w:t>
      </w:r>
      <w:r>
        <w:t>patients</w:t>
      </w:r>
      <w:r>
        <w:rPr>
          <w:spacing w:val="-14"/>
        </w:rPr>
        <w:t xml:space="preserve"> </w:t>
      </w:r>
      <w:r>
        <w:t>(1.9%).</w:t>
      </w:r>
      <w:r>
        <w:rPr>
          <w:spacing w:val="-14"/>
        </w:rPr>
        <w:t xml:space="preserve"> </w:t>
      </w:r>
      <w:r>
        <w:t>Suspected</w:t>
      </w:r>
      <w:r>
        <w:rPr>
          <w:spacing w:val="-13"/>
        </w:rPr>
        <w:t xml:space="preserve"> </w:t>
      </w:r>
      <w:r>
        <w:t>adverse</w:t>
      </w:r>
      <w:r>
        <w:rPr>
          <w:spacing w:val="-14"/>
        </w:rPr>
        <w:t xml:space="preserve"> </w:t>
      </w:r>
      <w:r>
        <w:t>events</w:t>
      </w:r>
      <w:r>
        <w:rPr>
          <w:spacing w:val="-13"/>
        </w:rPr>
        <w:t xml:space="preserve"> </w:t>
      </w:r>
      <w:r>
        <w:t>were</w:t>
      </w:r>
      <w:r>
        <w:rPr>
          <w:spacing w:val="-14"/>
        </w:rPr>
        <w:t xml:space="preserve"> </w:t>
      </w:r>
      <w:r>
        <w:t xml:space="preserve">reported in 49 patients (13.1%), and serious adverse events in 2 patients (0.5%); 1 patient (0.3%) required </w:t>
      </w:r>
      <w:proofErr w:type="spellStart"/>
      <w:r>
        <w:t>hospitalisation</w:t>
      </w:r>
      <w:proofErr w:type="spellEnd"/>
      <w:r>
        <w:t xml:space="preserve">. Events led to permanent discontinuation in 4 patients (1.1%), and dose adjustment in 4 patients (1.1%). The median time to first occurrence of Grade 3/4 pancreatitis grouped events was 1.81 months (range: 0.03–31.05), and the median duration of first occurrence of Grade 3/4 pancreatitis grouped events was 0.26 months (range: 0.26, </w:t>
      </w:r>
      <w:r>
        <w:rPr>
          <w:spacing w:val="-2"/>
        </w:rPr>
        <w:t>0.46).</w:t>
      </w:r>
    </w:p>
    <w:p w14:paraId="2366FFBE" w14:textId="77777777" w:rsidR="005303F6" w:rsidRDefault="00EB7C90" w:rsidP="008F14F0">
      <w:pPr>
        <w:pStyle w:val="Heading3"/>
        <w:spacing w:before="121"/>
      </w:pPr>
      <w:r>
        <w:rPr>
          <w:u w:val="single"/>
        </w:rPr>
        <w:t>Adverse</w:t>
      </w:r>
      <w:r>
        <w:rPr>
          <w:spacing w:val="-6"/>
          <w:u w:val="single"/>
        </w:rPr>
        <w:t xml:space="preserve"> </w:t>
      </w:r>
      <w:r>
        <w:rPr>
          <w:u w:val="single"/>
        </w:rPr>
        <w:t>drug</w:t>
      </w:r>
      <w:r>
        <w:rPr>
          <w:spacing w:val="-3"/>
          <w:u w:val="single"/>
        </w:rPr>
        <w:t xml:space="preserve"> </w:t>
      </w:r>
      <w:r>
        <w:rPr>
          <w:u w:val="single"/>
        </w:rPr>
        <w:t>reactions</w:t>
      </w:r>
      <w:r>
        <w:rPr>
          <w:spacing w:val="-2"/>
          <w:u w:val="single"/>
        </w:rPr>
        <w:t xml:space="preserve"> </w:t>
      </w:r>
      <w:r>
        <w:rPr>
          <w:u w:val="single"/>
        </w:rPr>
        <w:t>(ADRs)</w:t>
      </w:r>
      <w:r>
        <w:rPr>
          <w:spacing w:val="-2"/>
          <w:u w:val="single"/>
        </w:rPr>
        <w:t xml:space="preserve"> </w:t>
      </w:r>
      <w:r>
        <w:rPr>
          <w:u w:val="single"/>
        </w:rPr>
        <w:t>from</w:t>
      </w:r>
      <w:r>
        <w:rPr>
          <w:spacing w:val="-4"/>
          <w:u w:val="single"/>
        </w:rPr>
        <w:t xml:space="preserve"> </w:t>
      </w:r>
      <w:r>
        <w:rPr>
          <w:u w:val="single"/>
        </w:rPr>
        <w:t>clinical</w:t>
      </w:r>
      <w:r>
        <w:rPr>
          <w:spacing w:val="-4"/>
          <w:u w:val="single"/>
        </w:rPr>
        <w:t xml:space="preserve"> </w:t>
      </w:r>
      <w:r>
        <w:rPr>
          <w:u w:val="single"/>
        </w:rPr>
        <w:t>studies</w:t>
      </w:r>
      <w:r>
        <w:rPr>
          <w:spacing w:val="-2"/>
          <w:u w:val="single"/>
        </w:rPr>
        <w:t xml:space="preserve"> </w:t>
      </w:r>
      <w:r>
        <w:rPr>
          <w:u w:val="single"/>
        </w:rPr>
        <w:t>and</w:t>
      </w:r>
      <w:r>
        <w:rPr>
          <w:spacing w:val="-1"/>
          <w:u w:val="single"/>
        </w:rPr>
        <w:t xml:space="preserve"> </w:t>
      </w:r>
      <w:r>
        <w:rPr>
          <w:u w:val="single"/>
        </w:rPr>
        <w:t>post-marketing</w:t>
      </w:r>
      <w:r>
        <w:rPr>
          <w:spacing w:val="-3"/>
          <w:u w:val="single"/>
        </w:rPr>
        <w:t xml:space="preserve"> </w:t>
      </w:r>
      <w:r>
        <w:rPr>
          <w:spacing w:val="-2"/>
          <w:u w:val="single"/>
        </w:rPr>
        <w:t>experience</w:t>
      </w:r>
    </w:p>
    <w:p w14:paraId="2366FFBF" w14:textId="77777777" w:rsidR="005303F6" w:rsidRDefault="00EB7C90" w:rsidP="008F14F0">
      <w:pPr>
        <w:pStyle w:val="BodyText"/>
        <w:ind w:right="735"/>
        <w:jc w:val="left"/>
      </w:pPr>
      <w:r>
        <w:rPr>
          <w:spacing w:val="-2"/>
        </w:rPr>
        <w:t>Hypersensitivity</w:t>
      </w:r>
      <w:r>
        <w:rPr>
          <w:spacing w:val="-3"/>
        </w:rPr>
        <w:t xml:space="preserve"> </w:t>
      </w:r>
      <w:r>
        <w:rPr>
          <w:spacing w:val="-2"/>
        </w:rPr>
        <w:t>has been observed in other clinical studies (frequency</w:t>
      </w:r>
      <w:r>
        <w:rPr>
          <w:spacing w:val="-3"/>
        </w:rPr>
        <w:t xml:space="preserve"> </w:t>
      </w:r>
      <w:r>
        <w:rPr>
          <w:spacing w:val="-2"/>
        </w:rPr>
        <w:t xml:space="preserve">category: Uncommon), </w:t>
      </w:r>
      <w:r>
        <w:t>post-marketing experience and expanded access programs with TABRECTA.</w:t>
      </w:r>
    </w:p>
    <w:p w14:paraId="2366FFC1" w14:textId="77777777" w:rsidR="005303F6" w:rsidRDefault="00EB7C90" w:rsidP="008F14F0">
      <w:pPr>
        <w:pStyle w:val="Heading2"/>
        <w:numPr>
          <w:ilvl w:val="1"/>
          <w:numId w:val="2"/>
        </w:numPr>
        <w:tabs>
          <w:tab w:val="left" w:pos="1024"/>
        </w:tabs>
        <w:spacing w:before="75"/>
      </w:pPr>
      <w:bookmarkStart w:id="22" w:name="4.9_Overdose"/>
      <w:bookmarkEnd w:id="22"/>
      <w:r>
        <w:rPr>
          <w:smallCaps/>
          <w:spacing w:val="-2"/>
        </w:rPr>
        <w:t>Overdose</w:t>
      </w:r>
    </w:p>
    <w:p w14:paraId="2366FFC2" w14:textId="77777777" w:rsidR="005303F6" w:rsidRDefault="00EB7C90" w:rsidP="008F14F0">
      <w:pPr>
        <w:pStyle w:val="BodyText"/>
        <w:spacing w:before="165" w:line="276" w:lineRule="auto"/>
        <w:ind w:right="728"/>
        <w:jc w:val="left"/>
      </w:pPr>
      <w:r>
        <w:t>There is limited experience with overdose in clinical studies with TABRECTA. Patients should be closely monitored for signs or symptoms of adverse reactions, and general supportive measures and symptomatic treatment should be initiated in cases of suspected overdose.</w:t>
      </w:r>
    </w:p>
    <w:p w14:paraId="2366FFC3" w14:textId="77777777" w:rsidR="005303F6" w:rsidRDefault="00EB7C90" w:rsidP="008F14F0">
      <w:pPr>
        <w:pStyle w:val="BodyText"/>
        <w:spacing w:before="201" w:line="276" w:lineRule="auto"/>
        <w:ind w:right="733"/>
        <w:jc w:val="left"/>
      </w:pPr>
      <w:r>
        <w:t>For</w:t>
      </w:r>
      <w:r>
        <w:rPr>
          <w:spacing w:val="-5"/>
        </w:rPr>
        <w:t xml:space="preserve"> </w:t>
      </w:r>
      <w:r>
        <w:t>information</w:t>
      </w:r>
      <w:r>
        <w:rPr>
          <w:spacing w:val="-6"/>
        </w:rPr>
        <w:t xml:space="preserve"> </w:t>
      </w:r>
      <w:r>
        <w:t>on</w:t>
      </w:r>
      <w:r>
        <w:rPr>
          <w:spacing w:val="-6"/>
        </w:rPr>
        <w:t xml:space="preserve"> </w:t>
      </w:r>
      <w:r>
        <w:t>the</w:t>
      </w:r>
      <w:r>
        <w:rPr>
          <w:spacing w:val="-7"/>
        </w:rPr>
        <w:t xml:space="preserve"> </w:t>
      </w:r>
      <w:r>
        <w:t>management</w:t>
      </w:r>
      <w:r>
        <w:rPr>
          <w:spacing w:val="-6"/>
        </w:rPr>
        <w:t xml:space="preserve"> </w:t>
      </w:r>
      <w:r>
        <w:t>of</w:t>
      </w:r>
      <w:r>
        <w:rPr>
          <w:spacing w:val="-6"/>
        </w:rPr>
        <w:t xml:space="preserve"> </w:t>
      </w:r>
      <w:r>
        <w:t>overdose,</w:t>
      </w:r>
      <w:r>
        <w:rPr>
          <w:spacing w:val="-5"/>
        </w:rPr>
        <w:t xml:space="preserve"> </w:t>
      </w:r>
      <w:r>
        <w:t>contact</w:t>
      </w:r>
      <w:r>
        <w:rPr>
          <w:spacing w:val="-4"/>
        </w:rPr>
        <w:t xml:space="preserve"> </w:t>
      </w:r>
      <w:r>
        <w:t>the</w:t>
      </w:r>
      <w:r>
        <w:rPr>
          <w:spacing w:val="-7"/>
        </w:rPr>
        <w:t xml:space="preserve"> </w:t>
      </w:r>
      <w:r>
        <w:t>Poisons</w:t>
      </w:r>
      <w:r>
        <w:rPr>
          <w:spacing w:val="-5"/>
        </w:rPr>
        <w:t xml:space="preserve"> </w:t>
      </w:r>
      <w:r>
        <w:t>Information</w:t>
      </w:r>
      <w:r>
        <w:rPr>
          <w:spacing w:val="-4"/>
        </w:rPr>
        <w:t xml:space="preserve"> </w:t>
      </w:r>
      <w:r>
        <w:t>Centre</w:t>
      </w:r>
      <w:r>
        <w:rPr>
          <w:spacing w:val="-7"/>
        </w:rPr>
        <w:t xml:space="preserve"> </w:t>
      </w:r>
      <w:r>
        <w:t>on 13 11 26 (Australia).</w:t>
      </w:r>
    </w:p>
    <w:p w14:paraId="2366FFC4" w14:textId="77777777" w:rsidR="005303F6" w:rsidRDefault="00EB7C90" w:rsidP="008F14F0">
      <w:pPr>
        <w:pStyle w:val="Heading1"/>
        <w:numPr>
          <w:ilvl w:val="0"/>
          <w:numId w:val="2"/>
        </w:numPr>
        <w:tabs>
          <w:tab w:val="left" w:pos="880"/>
        </w:tabs>
        <w:spacing w:before="200"/>
      </w:pPr>
      <w:bookmarkStart w:id="23" w:name="5_Pharmacological_properties"/>
      <w:bookmarkEnd w:id="23"/>
      <w:r>
        <w:rPr>
          <w:spacing w:val="-2"/>
        </w:rPr>
        <w:t>PHARMACOLOGICAL</w:t>
      </w:r>
      <w:r>
        <w:rPr>
          <w:spacing w:val="12"/>
        </w:rPr>
        <w:t xml:space="preserve"> </w:t>
      </w:r>
      <w:r>
        <w:rPr>
          <w:spacing w:val="-2"/>
        </w:rPr>
        <w:t>PROPERTIES</w:t>
      </w:r>
    </w:p>
    <w:p w14:paraId="2366FFC5" w14:textId="77777777" w:rsidR="005303F6" w:rsidRDefault="00EB7C90" w:rsidP="008F14F0">
      <w:pPr>
        <w:pStyle w:val="BodyText"/>
        <w:spacing w:before="169"/>
        <w:ind w:right="737"/>
        <w:jc w:val="left"/>
      </w:pPr>
      <w:r>
        <w:t xml:space="preserve">Pharmacotherapeutic group: Antineoplastic agents, protein kinase inhibitors, ATC code: </w:t>
      </w:r>
      <w:r>
        <w:rPr>
          <w:spacing w:val="-2"/>
        </w:rPr>
        <w:t>L01EX17.</w:t>
      </w:r>
    </w:p>
    <w:p w14:paraId="2366FFC6" w14:textId="77777777" w:rsidR="005303F6" w:rsidRDefault="005303F6" w:rsidP="008F14F0">
      <w:pPr>
        <w:pStyle w:val="BodyText"/>
        <w:ind w:left="0"/>
        <w:jc w:val="left"/>
      </w:pPr>
    </w:p>
    <w:p w14:paraId="2366FFC7" w14:textId="77777777" w:rsidR="005303F6" w:rsidRDefault="00EB7C90" w:rsidP="008F14F0">
      <w:pPr>
        <w:pStyle w:val="Heading2"/>
        <w:numPr>
          <w:ilvl w:val="1"/>
          <w:numId w:val="2"/>
        </w:numPr>
        <w:tabs>
          <w:tab w:val="left" w:pos="1024"/>
        </w:tabs>
        <w:spacing w:before="0"/>
      </w:pPr>
      <w:bookmarkStart w:id="24" w:name="5.1_Pharmacodynamic_properties"/>
      <w:bookmarkEnd w:id="24"/>
      <w:r>
        <w:rPr>
          <w:smallCaps/>
          <w:spacing w:val="-2"/>
        </w:rPr>
        <w:t>Pharmacodynamic</w:t>
      </w:r>
      <w:r>
        <w:rPr>
          <w:smallCaps/>
          <w:spacing w:val="10"/>
        </w:rPr>
        <w:t xml:space="preserve"> </w:t>
      </w:r>
      <w:r>
        <w:rPr>
          <w:smallCaps/>
          <w:spacing w:val="-2"/>
        </w:rPr>
        <w:t>properties</w:t>
      </w:r>
    </w:p>
    <w:p w14:paraId="2366FFC8" w14:textId="77777777" w:rsidR="005303F6" w:rsidRDefault="00EB7C90" w:rsidP="008F14F0">
      <w:pPr>
        <w:spacing w:before="165"/>
        <w:ind w:left="676"/>
        <w:rPr>
          <w:rFonts w:ascii="Cambria"/>
          <w:b/>
          <w:sz w:val="26"/>
        </w:rPr>
      </w:pPr>
      <w:bookmarkStart w:id="25" w:name="Mechanism_of_action"/>
      <w:bookmarkEnd w:id="25"/>
      <w:r>
        <w:rPr>
          <w:rFonts w:ascii="Cambria"/>
          <w:b/>
          <w:sz w:val="26"/>
        </w:rPr>
        <w:t>Mechanism</w:t>
      </w:r>
      <w:r>
        <w:rPr>
          <w:rFonts w:ascii="Cambria"/>
          <w:b/>
          <w:spacing w:val="-9"/>
          <w:sz w:val="26"/>
        </w:rPr>
        <w:t xml:space="preserve"> </w:t>
      </w:r>
      <w:r>
        <w:rPr>
          <w:rFonts w:ascii="Cambria"/>
          <w:b/>
          <w:sz w:val="26"/>
        </w:rPr>
        <w:t>of</w:t>
      </w:r>
      <w:r>
        <w:rPr>
          <w:rFonts w:ascii="Cambria"/>
          <w:b/>
          <w:spacing w:val="-8"/>
          <w:sz w:val="26"/>
        </w:rPr>
        <w:t xml:space="preserve"> </w:t>
      </w:r>
      <w:r>
        <w:rPr>
          <w:rFonts w:ascii="Cambria"/>
          <w:b/>
          <w:spacing w:val="-2"/>
          <w:sz w:val="26"/>
        </w:rPr>
        <w:t>action</w:t>
      </w:r>
    </w:p>
    <w:p w14:paraId="2366FFC9" w14:textId="77777777" w:rsidR="005303F6" w:rsidRDefault="00EB7C90" w:rsidP="008F14F0">
      <w:pPr>
        <w:pStyle w:val="BodyText"/>
        <w:spacing w:before="165" w:line="276" w:lineRule="auto"/>
        <w:ind w:right="727"/>
        <w:jc w:val="left"/>
      </w:pPr>
      <w:r>
        <w:t xml:space="preserve">Capmatinib is a selective inhibitor of the MET receptor tyrosine kinase. At tolerated doses, capmatinib treatment results in regression of </w:t>
      </w:r>
      <w:proofErr w:type="spellStart"/>
      <w:r>
        <w:t>tumour</w:t>
      </w:r>
      <w:proofErr w:type="spellEnd"/>
      <w:r>
        <w:t xml:space="preserve"> xenograft models derived from lung cancer</w:t>
      </w:r>
      <w:r>
        <w:rPr>
          <w:spacing w:val="-14"/>
        </w:rPr>
        <w:t xml:space="preserve"> </w:t>
      </w:r>
      <w:r>
        <w:t>with</w:t>
      </w:r>
      <w:r>
        <w:rPr>
          <w:spacing w:val="-14"/>
        </w:rPr>
        <w:t xml:space="preserve"> </w:t>
      </w:r>
      <w:r>
        <w:t>MET</w:t>
      </w:r>
      <w:r>
        <w:rPr>
          <w:spacing w:val="-13"/>
        </w:rPr>
        <w:t xml:space="preserve"> </w:t>
      </w:r>
      <w:r>
        <w:t>exon</w:t>
      </w:r>
      <w:r>
        <w:rPr>
          <w:spacing w:val="-14"/>
        </w:rPr>
        <w:t xml:space="preserve"> </w:t>
      </w:r>
      <w:r>
        <w:t>14</w:t>
      </w:r>
      <w:r>
        <w:rPr>
          <w:spacing w:val="-13"/>
        </w:rPr>
        <w:t xml:space="preserve"> </w:t>
      </w:r>
      <w:r>
        <w:t>skipping</w:t>
      </w:r>
      <w:r>
        <w:rPr>
          <w:spacing w:val="-14"/>
        </w:rPr>
        <w:t xml:space="preserve"> </w:t>
      </w:r>
      <w:r>
        <w:t>mutations</w:t>
      </w:r>
      <w:r>
        <w:rPr>
          <w:spacing w:val="-13"/>
        </w:rPr>
        <w:t xml:space="preserve"> </w:t>
      </w:r>
      <w:r>
        <w:t>or</w:t>
      </w:r>
      <w:r>
        <w:rPr>
          <w:spacing w:val="-14"/>
        </w:rPr>
        <w:t xml:space="preserve"> </w:t>
      </w:r>
      <w:r>
        <w:t>MET</w:t>
      </w:r>
      <w:r>
        <w:rPr>
          <w:spacing w:val="-13"/>
        </w:rPr>
        <w:t xml:space="preserve"> </w:t>
      </w:r>
      <w:r>
        <w:t>amplification,</w:t>
      </w:r>
      <w:r>
        <w:rPr>
          <w:spacing w:val="-13"/>
        </w:rPr>
        <w:t xml:space="preserve"> </w:t>
      </w:r>
      <w:r>
        <w:t>among</w:t>
      </w:r>
      <w:r>
        <w:rPr>
          <w:spacing w:val="-13"/>
        </w:rPr>
        <w:t xml:space="preserve"> </w:t>
      </w:r>
      <w:r>
        <w:t>others.</w:t>
      </w:r>
      <w:r>
        <w:rPr>
          <w:spacing w:val="-14"/>
        </w:rPr>
        <w:t xml:space="preserve"> </w:t>
      </w:r>
      <w:r>
        <w:t xml:space="preserve">Capmatinib inhibits MET phosphorylation (both autophosphorylation and phosphorylation triggered by the ligand hepatocyte growth factor [HGF]), MET-mediated phosphorylation of downstream </w:t>
      </w:r>
      <w:proofErr w:type="spellStart"/>
      <w:r>
        <w:t>signalling</w:t>
      </w:r>
      <w:proofErr w:type="spellEnd"/>
      <w:r>
        <w:t xml:space="preserve"> proteins, as well as proliferation and survival of MET-dependent cancer cells.</w:t>
      </w:r>
    </w:p>
    <w:p w14:paraId="544557CC" w14:textId="77777777" w:rsidR="008F14F0" w:rsidRDefault="008F14F0" w:rsidP="008F14F0">
      <w:pPr>
        <w:pStyle w:val="BodyText"/>
        <w:spacing w:before="165" w:line="276" w:lineRule="auto"/>
        <w:ind w:right="727"/>
        <w:jc w:val="left"/>
      </w:pPr>
    </w:p>
    <w:p w14:paraId="2F20F9FD" w14:textId="77777777" w:rsidR="008F14F0" w:rsidRDefault="008F14F0" w:rsidP="008F14F0">
      <w:pPr>
        <w:pStyle w:val="BodyText"/>
        <w:spacing w:before="165" w:line="276" w:lineRule="auto"/>
        <w:ind w:right="727"/>
        <w:jc w:val="left"/>
      </w:pPr>
    </w:p>
    <w:p w14:paraId="2366FFCA" w14:textId="77777777" w:rsidR="005303F6" w:rsidRDefault="00EB7C90" w:rsidP="008F14F0">
      <w:pPr>
        <w:pStyle w:val="Heading2"/>
        <w:spacing w:before="202"/>
        <w:ind w:firstLine="0"/>
      </w:pPr>
      <w:bookmarkStart w:id="26" w:name="Pharmacodynamic_effects"/>
      <w:bookmarkEnd w:id="26"/>
      <w:r>
        <w:rPr>
          <w:spacing w:val="-2"/>
        </w:rPr>
        <w:lastRenderedPageBreak/>
        <w:t>Pharmacodynamic</w:t>
      </w:r>
      <w:r>
        <w:rPr>
          <w:spacing w:val="7"/>
        </w:rPr>
        <w:t xml:space="preserve"> </w:t>
      </w:r>
      <w:r>
        <w:rPr>
          <w:spacing w:val="-2"/>
        </w:rPr>
        <w:t>effects</w:t>
      </w:r>
    </w:p>
    <w:p w14:paraId="2366FFCB" w14:textId="77777777" w:rsidR="005303F6" w:rsidRDefault="00EB7C90" w:rsidP="008F14F0">
      <w:pPr>
        <w:pStyle w:val="Heading3"/>
        <w:spacing w:before="45"/>
      </w:pPr>
      <w:r>
        <w:rPr>
          <w:u w:val="single"/>
        </w:rPr>
        <w:t>Cardiac</w:t>
      </w:r>
      <w:r>
        <w:rPr>
          <w:spacing w:val="-1"/>
          <w:u w:val="single"/>
        </w:rPr>
        <w:t xml:space="preserve"> </w:t>
      </w:r>
      <w:r>
        <w:rPr>
          <w:spacing w:val="-2"/>
          <w:u w:val="single"/>
        </w:rPr>
        <w:t>electrophysiology</w:t>
      </w:r>
    </w:p>
    <w:p w14:paraId="2366FFCC" w14:textId="77777777" w:rsidR="005303F6" w:rsidRDefault="00EB7C90" w:rsidP="008F14F0">
      <w:pPr>
        <w:pStyle w:val="BodyText"/>
        <w:spacing w:before="245" w:line="276" w:lineRule="auto"/>
        <w:ind w:right="736"/>
        <w:jc w:val="left"/>
      </w:pPr>
      <w:r>
        <w:t>Capmatinib did not prolong the QT interval to any clinically relevant extent following administration of TABRECTA at the recommended dose.</w:t>
      </w:r>
    </w:p>
    <w:p w14:paraId="2366FFCD" w14:textId="77777777" w:rsidR="005303F6" w:rsidRDefault="00EB7C90" w:rsidP="008F14F0">
      <w:pPr>
        <w:pStyle w:val="Heading2"/>
        <w:spacing w:before="200"/>
        <w:ind w:firstLine="0"/>
      </w:pPr>
      <w:bookmarkStart w:id="27" w:name="Clinical_trials"/>
      <w:bookmarkEnd w:id="27"/>
      <w:r>
        <w:t>Clinical</w:t>
      </w:r>
      <w:r>
        <w:rPr>
          <w:spacing w:val="-13"/>
        </w:rPr>
        <w:t xml:space="preserve"> </w:t>
      </w:r>
      <w:r>
        <w:rPr>
          <w:spacing w:val="-2"/>
        </w:rPr>
        <w:t>trials</w:t>
      </w:r>
    </w:p>
    <w:p w14:paraId="2366FFCE" w14:textId="77777777" w:rsidR="005303F6" w:rsidRDefault="00EB7C90" w:rsidP="008F14F0">
      <w:pPr>
        <w:pStyle w:val="Heading3"/>
        <w:spacing w:before="286"/>
        <w:ind w:right="730"/>
      </w:pPr>
      <w:r>
        <w:rPr>
          <w:u w:val="single"/>
        </w:rPr>
        <w:t>Study</w:t>
      </w:r>
      <w:r>
        <w:rPr>
          <w:spacing w:val="-4"/>
          <w:u w:val="single"/>
        </w:rPr>
        <w:t xml:space="preserve"> </w:t>
      </w:r>
      <w:r>
        <w:rPr>
          <w:u w:val="single"/>
        </w:rPr>
        <w:t>A2201</w:t>
      </w:r>
      <w:r>
        <w:rPr>
          <w:spacing w:val="-4"/>
          <w:u w:val="single"/>
        </w:rPr>
        <w:t xml:space="preserve"> </w:t>
      </w:r>
      <w:r>
        <w:rPr>
          <w:u w:val="single"/>
        </w:rPr>
        <w:t>(GEOMETRY</w:t>
      </w:r>
      <w:r>
        <w:rPr>
          <w:spacing w:val="-3"/>
          <w:u w:val="single"/>
        </w:rPr>
        <w:t xml:space="preserve"> </w:t>
      </w:r>
      <w:r>
        <w:rPr>
          <w:u w:val="single"/>
        </w:rPr>
        <w:t>mono-1):</w:t>
      </w:r>
      <w:r>
        <w:rPr>
          <w:spacing w:val="-2"/>
          <w:u w:val="single"/>
        </w:rPr>
        <w:t xml:space="preserve"> </w:t>
      </w:r>
      <w:r>
        <w:rPr>
          <w:u w:val="single"/>
        </w:rPr>
        <w:t>Locally</w:t>
      </w:r>
      <w:r>
        <w:rPr>
          <w:spacing w:val="-3"/>
          <w:u w:val="single"/>
        </w:rPr>
        <w:t xml:space="preserve"> </w:t>
      </w:r>
      <w:r>
        <w:rPr>
          <w:u w:val="single"/>
        </w:rPr>
        <w:t>advanced</w:t>
      </w:r>
      <w:r>
        <w:rPr>
          <w:spacing w:val="-2"/>
          <w:u w:val="single"/>
        </w:rPr>
        <w:t xml:space="preserve"> </w:t>
      </w:r>
      <w:r>
        <w:rPr>
          <w:u w:val="single"/>
        </w:rPr>
        <w:t>or</w:t>
      </w:r>
      <w:r>
        <w:rPr>
          <w:spacing w:val="-2"/>
          <w:u w:val="single"/>
        </w:rPr>
        <w:t xml:space="preserve"> </w:t>
      </w:r>
      <w:r>
        <w:rPr>
          <w:u w:val="single"/>
        </w:rPr>
        <w:t>metastatic</w:t>
      </w:r>
      <w:r>
        <w:rPr>
          <w:spacing w:val="-5"/>
          <w:u w:val="single"/>
        </w:rPr>
        <w:t xml:space="preserve"> </w:t>
      </w:r>
      <w:r>
        <w:rPr>
          <w:u w:val="single"/>
        </w:rPr>
        <w:t>NSCLC</w:t>
      </w:r>
      <w:r>
        <w:rPr>
          <w:spacing w:val="-3"/>
          <w:u w:val="single"/>
        </w:rPr>
        <w:t xml:space="preserve"> </w:t>
      </w:r>
      <w:r>
        <w:rPr>
          <w:u w:val="single"/>
        </w:rPr>
        <w:t>with</w:t>
      </w:r>
      <w:r>
        <w:rPr>
          <w:spacing w:val="-1"/>
          <w:u w:val="single"/>
        </w:rPr>
        <w:t xml:space="preserve"> </w:t>
      </w:r>
      <w:r>
        <w:rPr>
          <w:u w:val="single"/>
        </w:rPr>
        <w:t>a</w:t>
      </w:r>
      <w:r>
        <w:rPr>
          <w:spacing w:val="-4"/>
          <w:u w:val="single"/>
        </w:rPr>
        <w:t xml:space="preserve"> </w:t>
      </w:r>
      <w:r>
        <w:rPr>
          <w:u w:val="single"/>
        </w:rPr>
        <w:t>MET</w:t>
      </w:r>
      <w:r>
        <w:rPr>
          <w:spacing w:val="-2"/>
          <w:u w:val="single"/>
        </w:rPr>
        <w:t xml:space="preserve"> </w:t>
      </w:r>
      <w:r>
        <w:rPr>
          <w:u w:val="single"/>
        </w:rPr>
        <w:t>exon</w:t>
      </w:r>
      <w:r>
        <w:t xml:space="preserve"> </w:t>
      </w:r>
      <w:r>
        <w:rPr>
          <w:u w:val="single"/>
        </w:rPr>
        <w:t>14 skipping mutation (treatment-</w:t>
      </w:r>
      <w:proofErr w:type="gramStart"/>
      <w:r>
        <w:rPr>
          <w:u w:val="single"/>
        </w:rPr>
        <w:t>naïve</w:t>
      </w:r>
      <w:proofErr w:type="gramEnd"/>
      <w:r>
        <w:rPr>
          <w:u w:val="single"/>
        </w:rPr>
        <w:t xml:space="preserve"> and previously treated)</w:t>
      </w:r>
    </w:p>
    <w:p w14:paraId="2366FFCF" w14:textId="77777777" w:rsidR="005303F6" w:rsidRDefault="00EB7C90" w:rsidP="008F14F0">
      <w:pPr>
        <w:pStyle w:val="BodyText"/>
        <w:spacing w:before="60" w:line="276" w:lineRule="auto"/>
        <w:ind w:right="726"/>
        <w:jc w:val="left"/>
      </w:pPr>
      <w:r>
        <w:t>The efficacy of TABRECTA for the treatment of patients with locally advanced or metastatic NSCLC with a MET exon 14 skipping mutation was demonstrated in the pivotal, global, prospective, multi-cohort, non-</w:t>
      </w:r>
      <w:proofErr w:type="spellStart"/>
      <w:r>
        <w:t>randomised</w:t>
      </w:r>
      <w:proofErr w:type="spellEnd"/>
      <w:r>
        <w:t>, open-label Phase II Study A2201 (GEOMETRY mono-1). Patients (N = 373) were enrolled into study cohorts based on their prior</w:t>
      </w:r>
      <w:r>
        <w:rPr>
          <w:spacing w:val="-1"/>
        </w:rPr>
        <w:t xml:space="preserve"> </w:t>
      </w:r>
      <w:r>
        <w:t>treatment and MET dysregulation (mutation and/or amplification) status. Patients</w:t>
      </w:r>
      <w:r>
        <w:rPr>
          <w:spacing w:val="-3"/>
        </w:rPr>
        <w:t xml:space="preserve"> </w:t>
      </w:r>
      <w:r>
        <w:t>with MET mutations (N = 160) were enrolled into the MET-mutated cohorts regardless of MET amplification. Patients</w:t>
      </w:r>
      <w:r>
        <w:rPr>
          <w:spacing w:val="-14"/>
        </w:rPr>
        <w:t xml:space="preserve"> </w:t>
      </w:r>
      <w:r>
        <w:t>without</w:t>
      </w:r>
      <w:r>
        <w:rPr>
          <w:spacing w:val="-11"/>
        </w:rPr>
        <w:t xml:space="preserve"> </w:t>
      </w:r>
      <w:r>
        <w:t>MET</w:t>
      </w:r>
      <w:r>
        <w:rPr>
          <w:spacing w:val="-11"/>
        </w:rPr>
        <w:t xml:space="preserve"> </w:t>
      </w:r>
      <w:r>
        <w:t>mutations</w:t>
      </w:r>
      <w:r>
        <w:rPr>
          <w:spacing w:val="-12"/>
        </w:rPr>
        <w:t xml:space="preserve"> </w:t>
      </w:r>
      <w:r>
        <w:t>were</w:t>
      </w:r>
      <w:r>
        <w:rPr>
          <w:spacing w:val="-12"/>
        </w:rPr>
        <w:t xml:space="preserve"> </w:t>
      </w:r>
      <w:r>
        <w:t>enrolled</w:t>
      </w:r>
      <w:r>
        <w:rPr>
          <w:spacing w:val="-11"/>
        </w:rPr>
        <w:t xml:space="preserve"> </w:t>
      </w:r>
      <w:r>
        <w:t>into</w:t>
      </w:r>
      <w:r>
        <w:rPr>
          <w:spacing w:val="-12"/>
        </w:rPr>
        <w:t xml:space="preserve"> </w:t>
      </w:r>
      <w:r>
        <w:t>the</w:t>
      </w:r>
      <w:r>
        <w:rPr>
          <w:spacing w:val="-12"/>
        </w:rPr>
        <w:t xml:space="preserve"> </w:t>
      </w:r>
      <w:r>
        <w:t>MET-amplified</w:t>
      </w:r>
      <w:r>
        <w:rPr>
          <w:spacing w:val="-11"/>
        </w:rPr>
        <w:t xml:space="preserve"> </w:t>
      </w:r>
      <w:r>
        <w:t>cohorts</w:t>
      </w:r>
      <w:r>
        <w:rPr>
          <w:spacing w:val="-12"/>
        </w:rPr>
        <w:t xml:space="preserve"> </w:t>
      </w:r>
      <w:r>
        <w:t>based</w:t>
      </w:r>
      <w:r>
        <w:rPr>
          <w:spacing w:val="-11"/>
        </w:rPr>
        <w:t xml:space="preserve"> </w:t>
      </w:r>
      <w:r>
        <w:t>on</w:t>
      </w:r>
      <w:r>
        <w:rPr>
          <w:spacing w:val="-11"/>
        </w:rPr>
        <w:t xml:space="preserve"> </w:t>
      </w:r>
      <w:r>
        <w:t>their level of MET amplification.</w:t>
      </w:r>
    </w:p>
    <w:p w14:paraId="2366FFD1" w14:textId="77777777" w:rsidR="005303F6" w:rsidRDefault="00EB7C90" w:rsidP="008F14F0">
      <w:pPr>
        <w:pStyle w:val="BodyText"/>
        <w:spacing w:before="41" w:line="276" w:lineRule="auto"/>
        <w:ind w:right="725"/>
        <w:jc w:val="left"/>
      </w:pPr>
      <w:r>
        <w:t>In</w:t>
      </w:r>
      <w:r>
        <w:rPr>
          <w:spacing w:val="-14"/>
        </w:rPr>
        <w:t xml:space="preserve"> </w:t>
      </w:r>
      <w:r>
        <w:t>the</w:t>
      </w:r>
      <w:r>
        <w:rPr>
          <w:spacing w:val="-14"/>
        </w:rPr>
        <w:t xml:space="preserve"> </w:t>
      </w:r>
      <w:r>
        <w:t>MET-mutated</w:t>
      </w:r>
      <w:r>
        <w:rPr>
          <w:spacing w:val="-13"/>
        </w:rPr>
        <w:t xml:space="preserve"> </w:t>
      </w:r>
      <w:r>
        <w:t>cohorts,</w:t>
      </w:r>
      <w:r>
        <w:rPr>
          <w:spacing w:val="-14"/>
        </w:rPr>
        <w:t xml:space="preserve"> </w:t>
      </w:r>
      <w:r>
        <w:t>eligible</w:t>
      </w:r>
      <w:r>
        <w:rPr>
          <w:spacing w:val="-13"/>
        </w:rPr>
        <w:t xml:space="preserve"> </w:t>
      </w:r>
      <w:r>
        <w:t>patients</w:t>
      </w:r>
      <w:r>
        <w:rPr>
          <w:spacing w:val="-14"/>
        </w:rPr>
        <w:t xml:space="preserve"> </w:t>
      </w:r>
      <w:r>
        <w:t>were</w:t>
      </w:r>
      <w:r>
        <w:rPr>
          <w:spacing w:val="-13"/>
        </w:rPr>
        <w:t xml:space="preserve"> </w:t>
      </w:r>
      <w:r>
        <w:t>required</w:t>
      </w:r>
      <w:r>
        <w:rPr>
          <w:spacing w:val="-14"/>
        </w:rPr>
        <w:t xml:space="preserve"> </w:t>
      </w:r>
      <w:r>
        <w:t>to</w:t>
      </w:r>
      <w:r>
        <w:rPr>
          <w:spacing w:val="-14"/>
        </w:rPr>
        <w:t xml:space="preserve"> </w:t>
      </w:r>
      <w:r>
        <w:t>have</w:t>
      </w:r>
      <w:r>
        <w:rPr>
          <w:spacing w:val="-13"/>
        </w:rPr>
        <w:t xml:space="preserve"> </w:t>
      </w:r>
      <w:r>
        <w:t>Epidermal</w:t>
      </w:r>
      <w:r>
        <w:rPr>
          <w:spacing w:val="-14"/>
        </w:rPr>
        <w:t xml:space="preserve"> </w:t>
      </w:r>
      <w:r>
        <w:t>Growth</w:t>
      </w:r>
      <w:r>
        <w:rPr>
          <w:spacing w:val="-13"/>
        </w:rPr>
        <w:t xml:space="preserve"> </w:t>
      </w:r>
      <w:r>
        <w:t>Factor Receptor</w:t>
      </w:r>
      <w:r>
        <w:rPr>
          <w:spacing w:val="-2"/>
        </w:rPr>
        <w:t xml:space="preserve"> </w:t>
      </w:r>
      <w:r>
        <w:t>(EGFR)</w:t>
      </w:r>
      <w:r>
        <w:rPr>
          <w:spacing w:val="-1"/>
        </w:rPr>
        <w:t xml:space="preserve"> </w:t>
      </w:r>
      <w:r>
        <w:t>wild-type (for exon</w:t>
      </w:r>
      <w:r>
        <w:rPr>
          <w:spacing w:val="-2"/>
        </w:rPr>
        <w:t xml:space="preserve"> </w:t>
      </w:r>
      <w:r>
        <w:t>19</w:t>
      </w:r>
      <w:r>
        <w:rPr>
          <w:spacing w:val="-1"/>
        </w:rPr>
        <w:t xml:space="preserve"> </w:t>
      </w:r>
      <w:r>
        <w:t>deletions</w:t>
      </w:r>
      <w:r>
        <w:rPr>
          <w:spacing w:val="-5"/>
        </w:rPr>
        <w:t xml:space="preserve"> </w:t>
      </w:r>
      <w:r>
        <w:t>and</w:t>
      </w:r>
      <w:r>
        <w:rPr>
          <w:spacing w:val="-2"/>
        </w:rPr>
        <w:t xml:space="preserve"> </w:t>
      </w:r>
      <w:r>
        <w:t>exon</w:t>
      </w:r>
      <w:r>
        <w:rPr>
          <w:spacing w:val="-1"/>
        </w:rPr>
        <w:t xml:space="preserve"> </w:t>
      </w:r>
      <w:r>
        <w:t>21 L858R</w:t>
      </w:r>
      <w:r>
        <w:rPr>
          <w:spacing w:val="-3"/>
        </w:rPr>
        <w:t xml:space="preserve"> </w:t>
      </w:r>
      <w:r>
        <w:t>substitution</w:t>
      </w:r>
      <w:r>
        <w:rPr>
          <w:spacing w:val="-1"/>
        </w:rPr>
        <w:t xml:space="preserve"> </w:t>
      </w:r>
      <w:r>
        <w:t>mutations) and</w:t>
      </w:r>
      <w:r>
        <w:rPr>
          <w:spacing w:val="-14"/>
        </w:rPr>
        <w:t xml:space="preserve"> </w:t>
      </w:r>
      <w:r>
        <w:t>Anaplastic</w:t>
      </w:r>
      <w:r>
        <w:rPr>
          <w:spacing w:val="-14"/>
        </w:rPr>
        <w:t xml:space="preserve"> </w:t>
      </w:r>
      <w:r>
        <w:t>Lymphoma</w:t>
      </w:r>
      <w:r>
        <w:rPr>
          <w:spacing w:val="-13"/>
        </w:rPr>
        <w:t xml:space="preserve"> </w:t>
      </w:r>
      <w:r>
        <w:t>Kinase</w:t>
      </w:r>
      <w:r>
        <w:rPr>
          <w:spacing w:val="-14"/>
        </w:rPr>
        <w:t xml:space="preserve"> </w:t>
      </w:r>
      <w:r>
        <w:t>(ALK)</w:t>
      </w:r>
      <w:r>
        <w:rPr>
          <w:spacing w:val="-13"/>
        </w:rPr>
        <w:t xml:space="preserve"> </w:t>
      </w:r>
      <w:r>
        <w:t>negative</w:t>
      </w:r>
      <w:r>
        <w:rPr>
          <w:spacing w:val="-14"/>
        </w:rPr>
        <w:t xml:space="preserve"> </w:t>
      </w:r>
      <w:r>
        <w:t>status,</w:t>
      </w:r>
      <w:r>
        <w:rPr>
          <w:spacing w:val="-13"/>
        </w:rPr>
        <w:t xml:space="preserve"> </w:t>
      </w:r>
      <w:r>
        <w:t>and</w:t>
      </w:r>
      <w:r>
        <w:rPr>
          <w:spacing w:val="-14"/>
        </w:rPr>
        <w:t xml:space="preserve"> </w:t>
      </w:r>
      <w:r>
        <w:t>MET-mutated</w:t>
      </w:r>
      <w:r>
        <w:rPr>
          <w:spacing w:val="-14"/>
        </w:rPr>
        <w:t xml:space="preserve"> </w:t>
      </w:r>
      <w:r>
        <w:t>NSCLC</w:t>
      </w:r>
      <w:r>
        <w:rPr>
          <w:spacing w:val="-13"/>
        </w:rPr>
        <w:t xml:space="preserve"> </w:t>
      </w:r>
      <w:r>
        <w:t>with</w:t>
      </w:r>
      <w:r>
        <w:rPr>
          <w:spacing w:val="-14"/>
        </w:rPr>
        <w:t xml:space="preserve"> </w:t>
      </w:r>
      <w:r>
        <w:t>at</w:t>
      </w:r>
      <w:r>
        <w:rPr>
          <w:spacing w:val="-13"/>
        </w:rPr>
        <w:t xml:space="preserve"> </w:t>
      </w:r>
      <w:r>
        <w:t xml:space="preserve">least one measurable lesion as defined by Response Evaluation Criteria in Solid </w:t>
      </w:r>
      <w:proofErr w:type="spellStart"/>
      <w:r>
        <w:t>Tumours</w:t>
      </w:r>
      <w:proofErr w:type="spellEnd"/>
      <w:r>
        <w:t xml:space="preserve"> (RECIST) version</w:t>
      </w:r>
      <w:r>
        <w:rPr>
          <w:spacing w:val="-4"/>
        </w:rPr>
        <w:t xml:space="preserve"> </w:t>
      </w:r>
      <w:r>
        <w:t>1.1,</w:t>
      </w:r>
      <w:r>
        <w:rPr>
          <w:spacing w:val="-5"/>
        </w:rPr>
        <w:t xml:space="preserve"> </w:t>
      </w:r>
      <w:r>
        <w:t>along</w:t>
      </w:r>
      <w:r>
        <w:rPr>
          <w:spacing w:val="-8"/>
        </w:rPr>
        <w:t xml:space="preserve"> </w:t>
      </w:r>
      <w:r>
        <w:t>with</w:t>
      </w:r>
      <w:r>
        <w:rPr>
          <w:spacing w:val="-2"/>
        </w:rPr>
        <w:t xml:space="preserve"> </w:t>
      </w:r>
      <w:r>
        <w:t>Eastern</w:t>
      </w:r>
      <w:r>
        <w:rPr>
          <w:spacing w:val="-4"/>
        </w:rPr>
        <w:t xml:space="preserve"> </w:t>
      </w:r>
      <w:r>
        <w:t>Cooperative</w:t>
      </w:r>
      <w:r>
        <w:rPr>
          <w:spacing w:val="-3"/>
        </w:rPr>
        <w:t xml:space="preserve"> </w:t>
      </w:r>
      <w:r>
        <w:t>Oncology</w:t>
      </w:r>
      <w:r>
        <w:rPr>
          <w:spacing w:val="-3"/>
        </w:rPr>
        <w:t xml:space="preserve"> </w:t>
      </w:r>
      <w:r>
        <w:t>Group</w:t>
      </w:r>
      <w:r>
        <w:rPr>
          <w:spacing w:val="-4"/>
        </w:rPr>
        <w:t xml:space="preserve"> </w:t>
      </w:r>
      <w:r>
        <w:t>(ECOG)</w:t>
      </w:r>
      <w:r>
        <w:rPr>
          <w:spacing w:val="-4"/>
        </w:rPr>
        <w:t xml:space="preserve"> </w:t>
      </w:r>
      <w:r>
        <w:t>performance</w:t>
      </w:r>
      <w:r>
        <w:rPr>
          <w:spacing w:val="-2"/>
        </w:rPr>
        <w:t xml:space="preserve"> </w:t>
      </w:r>
      <w:r>
        <w:t>status</w:t>
      </w:r>
      <w:r>
        <w:rPr>
          <w:spacing w:val="-3"/>
        </w:rPr>
        <w:t xml:space="preserve"> </w:t>
      </w:r>
      <w:r>
        <w:t>(PS) 0 to 1. Patients with symptomatic central nervous system (CNS) metastases who were neurologically unstable or required increasing doses of steroids within the prior 2 weeks to manage CNS symptoms, patients with clinically significant uncontrolled cardiac disease, or patients pre-treated with any MET or HGF inhibitor were not eligible for the study.</w:t>
      </w:r>
    </w:p>
    <w:p w14:paraId="2366FFD2" w14:textId="77777777" w:rsidR="005303F6" w:rsidRDefault="00EB7C90" w:rsidP="008F14F0">
      <w:pPr>
        <w:pStyle w:val="BodyText"/>
        <w:spacing w:before="201" w:line="276" w:lineRule="auto"/>
        <w:ind w:right="735"/>
        <w:jc w:val="left"/>
      </w:pPr>
      <w:r>
        <w:t>Patients</w:t>
      </w:r>
      <w:r>
        <w:rPr>
          <w:spacing w:val="-4"/>
        </w:rPr>
        <w:t xml:space="preserve"> </w:t>
      </w:r>
      <w:r>
        <w:t>continued</w:t>
      </w:r>
      <w:r>
        <w:rPr>
          <w:spacing w:val="-3"/>
        </w:rPr>
        <w:t xml:space="preserve"> </w:t>
      </w:r>
      <w:r>
        <w:t>treatment</w:t>
      </w:r>
      <w:r>
        <w:rPr>
          <w:spacing w:val="-5"/>
        </w:rPr>
        <w:t xml:space="preserve"> </w:t>
      </w:r>
      <w:r>
        <w:t>until</w:t>
      </w:r>
      <w:r>
        <w:rPr>
          <w:spacing w:val="-4"/>
        </w:rPr>
        <w:t xml:space="preserve"> </w:t>
      </w:r>
      <w:r>
        <w:t>documented</w:t>
      </w:r>
      <w:r>
        <w:rPr>
          <w:spacing w:val="-5"/>
        </w:rPr>
        <w:t xml:space="preserve"> </w:t>
      </w:r>
      <w:r>
        <w:t>disease</w:t>
      </w:r>
      <w:r>
        <w:rPr>
          <w:spacing w:val="-3"/>
        </w:rPr>
        <w:t xml:space="preserve"> </w:t>
      </w:r>
      <w:r>
        <w:t>progression,</w:t>
      </w:r>
      <w:r>
        <w:rPr>
          <w:spacing w:val="-4"/>
        </w:rPr>
        <w:t xml:space="preserve"> </w:t>
      </w:r>
      <w:r>
        <w:t>intolerance</w:t>
      </w:r>
      <w:r>
        <w:rPr>
          <w:spacing w:val="-3"/>
        </w:rPr>
        <w:t xml:space="preserve"> </w:t>
      </w:r>
      <w:r>
        <w:t>to</w:t>
      </w:r>
      <w:r>
        <w:rPr>
          <w:spacing w:val="-3"/>
        </w:rPr>
        <w:t xml:space="preserve"> </w:t>
      </w:r>
      <w:r>
        <w:t>therapy, or the investigator determined that the patient was no longer experiencing clinical benefit.</w:t>
      </w:r>
    </w:p>
    <w:p w14:paraId="2366FFD3" w14:textId="77777777" w:rsidR="005303F6" w:rsidRDefault="00EB7C90" w:rsidP="008F14F0">
      <w:pPr>
        <w:pStyle w:val="BodyText"/>
        <w:spacing w:before="200" w:line="276" w:lineRule="auto"/>
        <w:ind w:right="725"/>
        <w:jc w:val="left"/>
      </w:pPr>
      <w:r>
        <w:t>The</w:t>
      </w:r>
      <w:r>
        <w:rPr>
          <w:spacing w:val="-14"/>
        </w:rPr>
        <w:t xml:space="preserve"> </w:t>
      </w:r>
      <w:r>
        <w:t>primary</w:t>
      </w:r>
      <w:r>
        <w:rPr>
          <w:spacing w:val="-14"/>
        </w:rPr>
        <w:t xml:space="preserve"> </w:t>
      </w:r>
      <w:r>
        <w:t>endpoint</w:t>
      </w:r>
      <w:r>
        <w:rPr>
          <w:spacing w:val="-13"/>
        </w:rPr>
        <w:t xml:space="preserve"> </w:t>
      </w:r>
      <w:r>
        <w:t>of</w:t>
      </w:r>
      <w:r>
        <w:rPr>
          <w:spacing w:val="-14"/>
        </w:rPr>
        <w:t xml:space="preserve"> </w:t>
      </w:r>
      <w:r>
        <w:t>the</w:t>
      </w:r>
      <w:r>
        <w:rPr>
          <w:spacing w:val="-13"/>
        </w:rPr>
        <w:t xml:space="preserve"> </w:t>
      </w:r>
      <w:r>
        <w:t>study</w:t>
      </w:r>
      <w:r>
        <w:rPr>
          <w:spacing w:val="-14"/>
        </w:rPr>
        <w:t xml:space="preserve"> </w:t>
      </w:r>
      <w:r>
        <w:t>was</w:t>
      </w:r>
      <w:r>
        <w:rPr>
          <w:spacing w:val="-13"/>
        </w:rPr>
        <w:t xml:space="preserve"> </w:t>
      </w:r>
      <w:r>
        <w:t>overall</w:t>
      </w:r>
      <w:r>
        <w:rPr>
          <w:spacing w:val="-14"/>
        </w:rPr>
        <w:t xml:space="preserve"> </w:t>
      </w:r>
      <w:r>
        <w:t>response</w:t>
      </w:r>
      <w:r>
        <w:rPr>
          <w:spacing w:val="-14"/>
        </w:rPr>
        <w:t xml:space="preserve"> </w:t>
      </w:r>
      <w:r>
        <w:t>rate</w:t>
      </w:r>
      <w:r>
        <w:rPr>
          <w:spacing w:val="-13"/>
        </w:rPr>
        <w:t xml:space="preserve"> </w:t>
      </w:r>
      <w:r>
        <w:t>(ORR)</w:t>
      </w:r>
      <w:r>
        <w:rPr>
          <w:spacing w:val="-14"/>
        </w:rPr>
        <w:t xml:space="preserve"> </w:t>
      </w:r>
      <w:r>
        <w:t>as</w:t>
      </w:r>
      <w:r>
        <w:rPr>
          <w:spacing w:val="-13"/>
        </w:rPr>
        <w:t xml:space="preserve"> </w:t>
      </w:r>
      <w:r>
        <w:t>determined</w:t>
      </w:r>
      <w:r>
        <w:rPr>
          <w:spacing w:val="-14"/>
        </w:rPr>
        <w:t xml:space="preserve"> </w:t>
      </w:r>
      <w:r>
        <w:t>by</w:t>
      </w:r>
      <w:r>
        <w:rPr>
          <w:spacing w:val="-13"/>
        </w:rPr>
        <w:t xml:space="preserve"> </w:t>
      </w:r>
      <w:r>
        <w:t>a</w:t>
      </w:r>
      <w:r>
        <w:rPr>
          <w:spacing w:val="-14"/>
        </w:rPr>
        <w:t xml:space="preserve"> </w:t>
      </w:r>
      <w:r>
        <w:t>Blinded Independent</w:t>
      </w:r>
      <w:r>
        <w:rPr>
          <w:spacing w:val="-1"/>
        </w:rPr>
        <w:t xml:space="preserve"> </w:t>
      </w:r>
      <w:r>
        <w:t>Review</w:t>
      </w:r>
      <w:r>
        <w:rPr>
          <w:spacing w:val="-1"/>
        </w:rPr>
        <w:t xml:space="preserve"> </w:t>
      </w:r>
      <w:r>
        <w:t>Committee</w:t>
      </w:r>
      <w:r>
        <w:rPr>
          <w:spacing w:val="-1"/>
        </w:rPr>
        <w:t xml:space="preserve"> </w:t>
      </w:r>
      <w:r>
        <w:t>(BIRC)</w:t>
      </w:r>
      <w:r>
        <w:rPr>
          <w:spacing w:val="-3"/>
        </w:rPr>
        <w:t xml:space="preserve"> </w:t>
      </w:r>
      <w:r>
        <w:t>according</w:t>
      </w:r>
      <w:r>
        <w:rPr>
          <w:spacing w:val="-2"/>
        </w:rPr>
        <w:t xml:space="preserve"> </w:t>
      </w:r>
      <w:r>
        <w:t>to</w:t>
      </w:r>
      <w:r>
        <w:rPr>
          <w:spacing w:val="-1"/>
        </w:rPr>
        <w:t xml:space="preserve"> </w:t>
      </w:r>
      <w:r>
        <w:t>RECIST</w:t>
      </w:r>
      <w:r>
        <w:rPr>
          <w:spacing w:val="-1"/>
        </w:rPr>
        <w:t xml:space="preserve"> </w:t>
      </w:r>
      <w:r>
        <w:t>1.1.</w:t>
      </w:r>
      <w:r>
        <w:rPr>
          <w:spacing w:val="-3"/>
        </w:rPr>
        <w:t xml:space="preserve"> </w:t>
      </w:r>
      <w:r>
        <w:t>The</w:t>
      </w:r>
      <w:r>
        <w:rPr>
          <w:spacing w:val="-1"/>
        </w:rPr>
        <w:t xml:space="preserve"> </w:t>
      </w:r>
      <w:r>
        <w:t>key</w:t>
      </w:r>
      <w:r>
        <w:rPr>
          <w:spacing w:val="-2"/>
        </w:rPr>
        <w:t xml:space="preserve"> </w:t>
      </w:r>
      <w:r>
        <w:t>secondary</w:t>
      </w:r>
      <w:r>
        <w:rPr>
          <w:spacing w:val="-2"/>
        </w:rPr>
        <w:t xml:space="preserve"> </w:t>
      </w:r>
      <w:r>
        <w:t>endpoint was duration of response (DOR) by BIRC. Additional secondary endpoints were time-to-response</w:t>
      </w:r>
      <w:r>
        <w:rPr>
          <w:spacing w:val="-4"/>
        </w:rPr>
        <w:t xml:space="preserve"> </w:t>
      </w:r>
      <w:r>
        <w:t>(TTR),</w:t>
      </w:r>
      <w:r>
        <w:rPr>
          <w:spacing w:val="-5"/>
        </w:rPr>
        <w:t xml:space="preserve"> </w:t>
      </w:r>
      <w:r>
        <w:t>progression-free</w:t>
      </w:r>
      <w:r>
        <w:rPr>
          <w:spacing w:val="-4"/>
        </w:rPr>
        <w:t xml:space="preserve"> </w:t>
      </w:r>
      <w:r>
        <w:t>survival</w:t>
      </w:r>
      <w:r>
        <w:rPr>
          <w:spacing w:val="-5"/>
        </w:rPr>
        <w:t xml:space="preserve"> </w:t>
      </w:r>
      <w:r>
        <w:t>(PFS),</w:t>
      </w:r>
      <w:r>
        <w:rPr>
          <w:spacing w:val="-5"/>
        </w:rPr>
        <w:t xml:space="preserve"> </w:t>
      </w:r>
      <w:r>
        <w:t>overall</w:t>
      </w:r>
      <w:r>
        <w:rPr>
          <w:spacing w:val="-4"/>
        </w:rPr>
        <w:t xml:space="preserve"> </w:t>
      </w:r>
      <w:r>
        <w:t>survival</w:t>
      </w:r>
      <w:r>
        <w:rPr>
          <w:spacing w:val="-5"/>
        </w:rPr>
        <w:t xml:space="preserve"> </w:t>
      </w:r>
      <w:r>
        <w:t>(OS),</w:t>
      </w:r>
      <w:r>
        <w:rPr>
          <w:spacing w:val="-5"/>
        </w:rPr>
        <w:t xml:space="preserve"> </w:t>
      </w:r>
      <w:r>
        <w:t>and</w:t>
      </w:r>
      <w:r>
        <w:rPr>
          <w:spacing w:val="-6"/>
        </w:rPr>
        <w:t xml:space="preserve"> </w:t>
      </w:r>
      <w:r>
        <w:t>disease</w:t>
      </w:r>
      <w:r>
        <w:rPr>
          <w:spacing w:val="-4"/>
        </w:rPr>
        <w:t xml:space="preserve"> </w:t>
      </w:r>
      <w:r>
        <w:t>control</w:t>
      </w:r>
      <w:r>
        <w:rPr>
          <w:spacing w:val="-4"/>
        </w:rPr>
        <w:t xml:space="preserve"> </w:t>
      </w:r>
      <w:r>
        <w:t>rate (DCR). The efficacy data for treatment-</w:t>
      </w:r>
      <w:proofErr w:type="gramStart"/>
      <w:r>
        <w:t>naïve</w:t>
      </w:r>
      <w:proofErr w:type="gramEnd"/>
      <w:r>
        <w:t xml:space="preserve"> and previously treated patients were </w:t>
      </w:r>
      <w:proofErr w:type="spellStart"/>
      <w:r>
        <w:t>analysed</w:t>
      </w:r>
      <w:proofErr w:type="spellEnd"/>
      <w:r>
        <w:t xml:space="preserve"> </w:t>
      </w:r>
      <w:r>
        <w:rPr>
          <w:spacing w:val="-2"/>
        </w:rPr>
        <w:t>independently.</w:t>
      </w:r>
    </w:p>
    <w:p w14:paraId="2366FFD4" w14:textId="77777777" w:rsidR="005303F6" w:rsidRDefault="00EB7C90" w:rsidP="008F14F0">
      <w:pPr>
        <w:pStyle w:val="BodyText"/>
        <w:spacing w:before="199" w:line="278" w:lineRule="auto"/>
        <w:ind w:right="728"/>
        <w:jc w:val="left"/>
      </w:pPr>
      <w:r>
        <w:t>The demographic characteristics of the MET-mutated study population were 61% female, median</w:t>
      </w:r>
      <w:r>
        <w:rPr>
          <w:spacing w:val="21"/>
        </w:rPr>
        <w:t xml:space="preserve"> </w:t>
      </w:r>
      <w:r>
        <w:t>age</w:t>
      </w:r>
      <w:r>
        <w:rPr>
          <w:spacing w:val="23"/>
        </w:rPr>
        <w:t xml:space="preserve"> </w:t>
      </w:r>
      <w:r>
        <w:t>71 years</w:t>
      </w:r>
      <w:r>
        <w:rPr>
          <w:spacing w:val="22"/>
        </w:rPr>
        <w:t xml:space="preserve"> </w:t>
      </w:r>
      <w:r>
        <w:t>(range:</w:t>
      </w:r>
      <w:r>
        <w:rPr>
          <w:spacing w:val="23"/>
        </w:rPr>
        <w:t xml:space="preserve"> </w:t>
      </w:r>
      <w:r>
        <w:t>48</w:t>
      </w:r>
      <w:r>
        <w:rPr>
          <w:spacing w:val="23"/>
        </w:rPr>
        <w:t xml:space="preserve"> </w:t>
      </w:r>
      <w:r>
        <w:t>to</w:t>
      </w:r>
      <w:r>
        <w:rPr>
          <w:spacing w:val="23"/>
        </w:rPr>
        <w:t xml:space="preserve"> </w:t>
      </w:r>
      <w:r>
        <w:t>90 years),</w:t>
      </w:r>
      <w:r>
        <w:rPr>
          <w:spacing w:val="22"/>
        </w:rPr>
        <w:t xml:space="preserve"> </w:t>
      </w:r>
      <w:r>
        <w:t>85%</w:t>
      </w:r>
      <w:r>
        <w:rPr>
          <w:spacing w:val="23"/>
        </w:rPr>
        <w:t xml:space="preserve"> </w:t>
      </w:r>
      <w:r>
        <w:t>aged</w:t>
      </w:r>
      <w:r>
        <w:rPr>
          <w:spacing w:val="21"/>
        </w:rPr>
        <w:t xml:space="preserve"> </w:t>
      </w:r>
      <w:r>
        <w:t>65</w:t>
      </w:r>
      <w:r>
        <w:rPr>
          <w:spacing w:val="-1"/>
        </w:rPr>
        <w:t xml:space="preserve"> </w:t>
      </w:r>
      <w:r>
        <w:t>years</w:t>
      </w:r>
      <w:r>
        <w:rPr>
          <w:spacing w:val="22"/>
        </w:rPr>
        <w:t xml:space="preserve"> </w:t>
      </w:r>
      <w:r>
        <w:t>or</w:t>
      </w:r>
      <w:r>
        <w:rPr>
          <w:spacing w:val="21"/>
        </w:rPr>
        <w:t xml:space="preserve"> </w:t>
      </w:r>
      <w:r>
        <w:t>older,</w:t>
      </w:r>
      <w:r>
        <w:rPr>
          <w:spacing w:val="23"/>
        </w:rPr>
        <w:t xml:space="preserve"> </w:t>
      </w:r>
      <w:r>
        <w:t>77%</w:t>
      </w:r>
      <w:r>
        <w:rPr>
          <w:spacing w:val="21"/>
        </w:rPr>
        <w:t xml:space="preserve"> </w:t>
      </w:r>
      <w:r>
        <w:t>white,</w:t>
      </w:r>
      <w:r>
        <w:rPr>
          <w:spacing w:val="20"/>
        </w:rPr>
        <w:t xml:space="preserve"> </w:t>
      </w:r>
      <w:r>
        <w:t>19%</w:t>
      </w:r>
    </w:p>
    <w:p w14:paraId="2366FFD5" w14:textId="77777777" w:rsidR="005303F6" w:rsidRDefault="00EB7C90" w:rsidP="008F14F0">
      <w:pPr>
        <w:pStyle w:val="BodyText"/>
        <w:spacing w:before="0" w:line="276" w:lineRule="auto"/>
        <w:ind w:right="724"/>
        <w:jc w:val="left"/>
      </w:pPr>
      <w:r>
        <w:t>Asian, 1.3% black, 61% never smoked, 83% had adenocarcinoma, 25% had ECOG PS 0, 74% had ECOG PS</w:t>
      </w:r>
      <w:r>
        <w:rPr>
          <w:spacing w:val="-2"/>
        </w:rPr>
        <w:t xml:space="preserve"> </w:t>
      </w:r>
      <w:r>
        <w:t xml:space="preserve">1, and 16% had CNS metastases. In the previously treated cohorts (Cohorts 4 and 6) (N=100), 91% had received prior chemotherapy, 86% had prior platinum-based chemotherapy, 32% had prior immunotherapy, and 16% had received 2 prior systemic </w:t>
      </w:r>
      <w:r>
        <w:rPr>
          <w:spacing w:val="-2"/>
        </w:rPr>
        <w:t>therapies.</w:t>
      </w:r>
    </w:p>
    <w:p w14:paraId="2366FFD6" w14:textId="77777777" w:rsidR="005303F6" w:rsidRDefault="00EB7C90" w:rsidP="008F14F0">
      <w:pPr>
        <w:pStyle w:val="Heading3"/>
        <w:spacing w:before="194"/>
      </w:pPr>
      <w:r>
        <w:rPr>
          <w:u w:val="single"/>
        </w:rPr>
        <w:lastRenderedPageBreak/>
        <w:t>Study</w:t>
      </w:r>
      <w:r>
        <w:rPr>
          <w:spacing w:val="-5"/>
          <w:u w:val="single"/>
        </w:rPr>
        <w:t xml:space="preserve"> </w:t>
      </w:r>
      <w:r>
        <w:rPr>
          <w:u w:val="single"/>
        </w:rPr>
        <w:t>A2201</w:t>
      </w:r>
      <w:r>
        <w:rPr>
          <w:spacing w:val="-2"/>
          <w:u w:val="single"/>
        </w:rPr>
        <w:t xml:space="preserve"> </w:t>
      </w:r>
      <w:r>
        <w:rPr>
          <w:u w:val="single"/>
        </w:rPr>
        <w:t>(GEOMETRY</w:t>
      </w:r>
      <w:r>
        <w:rPr>
          <w:spacing w:val="-2"/>
          <w:u w:val="single"/>
        </w:rPr>
        <w:t xml:space="preserve"> </w:t>
      </w:r>
      <w:r>
        <w:rPr>
          <w:u w:val="single"/>
        </w:rPr>
        <w:t>mono-1):</w:t>
      </w:r>
      <w:r>
        <w:rPr>
          <w:spacing w:val="-1"/>
          <w:u w:val="single"/>
        </w:rPr>
        <w:t xml:space="preserve"> </w:t>
      </w:r>
      <w:r>
        <w:rPr>
          <w:u w:val="single"/>
        </w:rPr>
        <w:t>Final</w:t>
      </w:r>
      <w:r>
        <w:rPr>
          <w:spacing w:val="-2"/>
          <w:u w:val="single"/>
        </w:rPr>
        <w:t xml:space="preserve"> </w:t>
      </w:r>
      <w:r>
        <w:rPr>
          <w:u w:val="single"/>
        </w:rPr>
        <w:t>analysis</w:t>
      </w:r>
      <w:r>
        <w:rPr>
          <w:spacing w:val="-2"/>
          <w:u w:val="single"/>
        </w:rPr>
        <w:t xml:space="preserve"> </w:t>
      </w:r>
      <w:r>
        <w:rPr>
          <w:u w:val="single"/>
        </w:rPr>
        <w:t>(last</w:t>
      </w:r>
      <w:r>
        <w:rPr>
          <w:spacing w:val="-2"/>
          <w:u w:val="single"/>
        </w:rPr>
        <w:t xml:space="preserve"> </w:t>
      </w:r>
      <w:r>
        <w:rPr>
          <w:u w:val="single"/>
        </w:rPr>
        <w:t>patient</w:t>
      </w:r>
      <w:r>
        <w:rPr>
          <w:spacing w:val="-2"/>
          <w:u w:val="single"/>
        </w:rPr>
        <w:t xml:space="preserve"> </w:t>
      </w:r>
      <w:r>
        <w:rPr>
          <w:u w:val="single"/>
        </w:rPr>
        <w:t>last</w:t>
      </w:r>
      <w:r>
        <w:rPr>
          <w:spacing w:val="-3"/>
          <w:u w:val="single"/>
        </w:rPr>
        <w:t xml:space="preserve"> </w:t>
      </w:r>
      <w:r>
        <w:rPr>
          <w:u w:val="single"/>
        </w:rPr>
        <w:t>visit:</w:t>
      </w:r>
      <w:r>
        <w:rPr>
          <w:spacing w:val="-1"/>
          <w:u w:val="single"/>
        </w:rPr>
        <w:t xml:space="preserve"> </w:t>
      </w:r>
      <w:r>
        <w:rPr>
          <w:u w:val="single"/>
        </w:rPr>
        <w:t>16-May-</w:t>
      </w:r>
      <w:r>
        <w:rPr>
          <w:spacing w:val="-2"/>
          <w:u w:val="single"/>
        </w:rPr>
        <w:t>2023)</w:t>
      </w:r>
    </w:p>
    <w:p w14:paraId="2366FFD7" w14:textId="77777777" w:rsidR="005303F6" w:rsidRDefault="00EB7C90" w:rsidP="008F14F0">
      <w:pPr>
        <w:pStyle w:val="BodyText"/>
        <w:spacing w:before="245" w:line="276" w:lineRule="auto"/>
        <w:ind w:right="729"/>
        <w:jc w:val="left"/>
      </w:pPr>
      <w:r>
        <w:t>At</w:t>
      </w:r>
      <w:r>
        <w:rPr>
          <w:spacing w:val="-9"/>
        </w:rPr>
        <w:t xml:space="preserve"> </w:t>
      </w:r>
      <w:r>
        <w:t>the</w:t>
      </w:r>
      <w:r>
        <w:rPr>
          <w:spacing w:val="-9"/>
        </w:rPr>
        <w:t xml:space="preserve"> </w:t>
      </w:r>
      <w:r>
        <w:t>time</w:t>
      </w:r>
      <w:r>
        <w:rPr>
          <w:spacing w:val="-9"/>
        </w:rPr>
        <w:t xml:space="preserve"> </w:t>
      </w:r>
      <w:r>
        <w:t>of</w:t>
      </w:r>
      <w:r>
        <w:rPr>
          <w:spacing w:val="-6"/>
        </w:rPr>
        <w:t xml:space="preserve"> </w:t>
      </w:r>
      <w:r>
        <w:t>GEOMETRY</w:t>
      </w:r>
      <w:r>
        <w:rPr>
          <w:spacing w:val="-7"/>
        </w:rPr>
        <w:t xml:space="preserve"> </w:t>
      </w:r>
      <w:r>
        <w:t>mono-1</w:t>
      </w:r>
      <w:r>
        <w:rPr>
          <w:spacing w:val="-9"/>
        </w:rPr>
        <w:t xml:space="preserve"> </w:t>
      </w:r>
      <w:r>
        <w:t>final</w:t>
      </w:r>
      <w:r>
        <w:rPr>
          <w:spacing w:val="-7"/>
        </w:rPr>
        <w:t xml:space="preserve"> </w:t>
      </w:r>
      <w:r>
        <w:t>analysis</w:t>
      </w:r>
      <w:r>
        <w:rPr>
          <w:spacing w:val="-8"/>
        </w:rPr>
        <w:t xml:space="preserve"> </w:t>
      </w:r>
      <w:r>
        <w:t>(LPLV:</w:t>
      </w:r>
      <w:r>
        <w:rPr>
          <w:spacing w:val="-9"/>
        </w:rPr>
        <w:t xml:space="preserve"> </w:t>
      </w:r>
      <w:r>
        <w:t>16-May-2023),</w:t>
      </w:r>
      <w:r>
        <w:rPr>
          <w:spacing w:val="-10"/>
        </w:rPr>
        <w:t xml:space="preserve"> </w:t>
      </w:r>
      <w:r>
        <w:t>the</w:t>
      </w:r>
      <w:r>
        <w:rPr>
          <w:spacing w:val="-12"/>
        </w:rPr>
        <w:t xml:space="preserve"> </w:t>
      </w:r>
      <w:r>
        <w:t>median</w:t>
      </w:r>
      <w:r>
        <w:rPr>
          <w:spacing w:val="-11"/>
        </w:rPr>
        <w:t xml:space="preserve"> </w:t>
      </w:r>
      <w:r>
        <w:t>duration</w:t>
      </w:r>
      <w:r>
        <w:rPr>
          <w:spacing w:val="-9"/>
        </w:rPr>
        <w:t xml:space="preserve"> </w:t>
      </w:r>
      <w:r>
        <w:t>of exposure</w:t>
      </w:r>
      <w:r>
        <w:rPr>
          <w:spacing w:val="-11"/>
        </w:rPr>
        <w:t xml:space="preserve"> </w:t>
      </w:r>
      <w:r>
        <w:t>to</w:t>
      </w:r>
      <w:r>
        <w:rPr>
          <w:spacing w:val="-9"/>
        </w:rPr>
        <w:t xml:space="preserve"> </w:t>
      </w:r>
      <w:r>
        <w:t>TABRECTA</w:t>
      </w:r>
      <w:r>
        <w:rPr>
          <w:spacing w:val="-6"/>
        </w:rPr>
        <w:t xml:space="preserve"> </w:t>
      </w:r>
      <w:r>
        <w:t>across</w:t>
      </w:r>
      <w:r>
        <w:rPr>
          <w:spacing w:val="-8"/>
        </w:rPr>
        <w:t xml:space="preserve"> </w:t>
      </w:r>
      <w:r>
        <w:t>MET-mutated</w:t>
      </w:r>
      <w:r>
        <w:rPr>
          <w:spacing w:val="-8"/>
        </w:rPr>
        <w:t xml:space="preserve"> </w:t>
      </w:r>
      <w:r>
        <w:t>cohorts</w:t>
      </w:r>
      <w:r>
        <w:rPr>
          <w:spacing w:val="-10"/>
        </w:rPr>
        <w:t xml:space="preserve"> </w:t>
      </w:r>
      <w:r>
        <w:t>was</w:t>
      </w:r>
      <w:r>
        <w:rPr>
          <w:spacing w:val="-10"/>
        </w:rPr>
        <w:t xml:space="preserve"> </w:t>
      </w:r>
      <w:r>
        <w:t>34.9</w:t>
      </w:r>
      <w:r>
        <w:rPr>
          <w:spacing w:val="-9"/>
        </w:rPr>
        <w:t xml:space="preserve"> </w:t>
      </w:r>
      <w:r>
        <w:t>weeks</w:t>
      </w:r>
      <w:r>
        <w:rPr>
          <w:spacing w:val="-8"/>
        </w:rPr>
        <w:t xml:space="preserve"> </w:t>
      </w:r>
      <w:r>
        <w:t>(1L</w:t>
      </w:r>
      <w:r>
        <w:rPr>
          <w:spacing w:val="-10"/>
        </w:rPr>
        <w:t xml:space="preserve"> </w:t>
      </w:r>
      <w:r>
        <w:t>patients:</w:t>
      </w:r>
      <w:r>
        <w:rPr>
          <w:spacing w:val="-9"/>
        </w:rPr>
        <w:t xml:space="preserve"> </w:t>
      </w:r>
      <w:r>
        <w:t>43.9</w:t>
      </w:r>
      <w:r>
        <w:rPr>
          <w:spacing w:val="-12"/>
        </w:rPr>
        <w:t xml:space="preserve"> </w:t>
      </w:r>
      <w:r>
        <w:t>weeks and 2/3L patients: 27.9 weeks).</w:t>
      </w:r>
    </w:p>
    <w:p w14:paraId="2366FFD8" w14:textId="77777777" w:rsidR="005303F6" w:rsidRDefault="00EB7C90" w:rsidP="008F14F0">
      <w:pPr>
        <w:pStyle w:val="BodyText"/>
        <w:spacing w:before="202" w:line="276" w:lineRule="auto"/>
        <w:ind w:right="727"/>
        <w:jc w:val="left"/>
      </w:pPr>
      <w:r>
        <w:t>Final efficacy results from Study A2201 (GEOMETRY mono-1) for both treatment-</w:t>
      </w:r>
      <w:proofErr w:type="gramStart"/>
      <w:r>
        <w:t>naïve</w:t>
      </w:r>
      <w:proofErr w:type="gramEnd"/>
      <w:r>
        <w:t xml:space="preserve"> and previously treated MET-mutated NSCLC patients are summarized in Tables 8 and 9.</w:t>
      </w:r>
    </w:p>
    <w:p w14:paraId="133C3B40" w14:textId="77777777" w:rsidR="005303F6" w:rsidRDefault="005303F6" w:rsidP="008F14F0">
      <w:pPr>
        <w:pStyle w:val="BodyText"/>
        <w:spacing w:line="276" w:lineRule="auto"/>
        <w:jc w:val="left"/>
      </w:pPr>
    </w:p>
    <w:p w14:paraId="2366FFDA" w14:textId="77777777" w:rsidR="005303F6" w:rsidRDefault="00EB7C90" w:rsidP="008F14F0">
      <w:pPr>
        <w:pStyle w:val="Heading3"/>
        <w:spacing w:before="82" w:line="276" w:lineRule="auto"/>
        <w:ind w:left="23" w:right="1452"/>
        <w:rPr>
          <w:rFonts w:ascii="Cambria" w:hAnsi="Cambria"/>
        </w:rPr>
      </w:pPr>
      <w:bookmarkStart w:id="28" w:name="Table_8:_Treatment-naïve_MET-mutated_loc"/>
      <w:bookmarkEnd w:id="28"/>
      <w:r>
        <w:rPr>
          <w:rFonts w:ascii="Cambria" w:hAnsi="Cambria"/>
        </w:rPr>
        <w:t>Table</w:t>
      </w:r>
      <w:r>
        <w:rPr>
          <w:rFonts w:ascii="Cambria" w:hAnsi="Cambria"/>
          <w:spacing w:val="-5"/>
        </w:rPr>
        <w:t xml:space="preserve"> </w:t>
      </w:r>
      <w:r>
        <w:rPr>
          <w:rFonts w:ascii="Cambria" w:hAnsi="Cambria"/>
        </w:rPr>
        <w:t>8:</w:t>
      </w:r>
      <w:r>
        <w:rPr>
          <w:rFonts w:ascii="Cambria" w:hAnsi="Cambria"/>
          <w:spacing w:val="-6"/>
        </w:rPr>
        <w:t xml:space="preserve"> </w:t>
      </w:r>
      <w:r>
        <w:rPr>
          <w:rFonts w:ascii="Cambria" w:hAnsi="Cambria"/>
        </w:rPr>
        <w:t>Treatment-naïve</w:t>
      </w:r>
      <w:r>
        <w:rPr>
          <w:rFonts w:ascii="Cambria" w:hAnsi="Cambria"/>
          <w:spacing w:val="-5"/>
        </w:rPr>
        <w:t xml:space="preserve"> </w:t>
      </w:r>
      <w:r>
        <w:rPr>
          <w:rFonts w:ascii="Cambria" w:hAnsi="Cambria"/>
        </w:rPr>
        <w:t>MET-mutated</w:t>
      </w:r>
      <w:r>
        <w:rPr>
          <w:rFonts w:ascii="Cambria" w:hAnsi="Cambria"/>
          <w:spacing w:val="-6"/>
        </w:rPr>
        <w:t xml:space="preserve"> </w:t>
      </w:r>
      <w:r>
        <w:rPr>
          <w:rFonts w:ascii="Cambria" w:hAnsi="Cambria"/>
        </w:rPr>
        <w:t>locally</w:t>
      </w:r>
      <w:r>
        <w:rPr>
          <w:rFonts w:ascii="Cambria" w:hAnsi="Cambria"/>
          <w:spacing w:val="-5"/>
        </w:rPr>
        <w:t xml:space="preserve"> </w:t>
      </w:r>
      <w:r>
        <w:rPr>
          <w:rFonts w:ascii="Cambria" w:hAnsi="Cambria"/>
        </w:rPr>
        <w:t>advanced</w:t>
      </w:r>
      <w:r>
        <w:rPr>
          <w:rFonts w:ascii="Cambria" w:hAnsi="Cambria"/>
          <w:spacing w:val="-5"/>
        </w:rPr>
        <w:t xml:space="preserve"> </w:t>
      </w:r>
      <w:r>
        <w:rPr>
          <w:rFonts w:ascii="Cambria" w:hAnsi="Cambria"/>
        </w:rPr>
        <w:t>or</w:t>
      </w:r>
      <w:r>
        <w:rPr>
          <w:rFonts w:ascii="Cambria" w:hAnsi="Cambria"/>
          <w:spacing w:val="-6"/>
        </w:rPr>
        <w:t xml:space="preserve"> </w:t>
      </w:r>
      <w:r>
        <w:rPr>
          <w:rFonts w:ascii="Cambria" w:hAnsi="Cambria"/>
        </w:rPr>
        <w:t>metastatic</w:t>
      </w:r>
      <w:r>
        <w:rPr>
          <w:rFonts w:ascii="Cambria" w:hAnsi="Cambria"/>
          <w:spacing w:val="-5"/>
        </w:rPr>
        <w:t xml:space="preserve"> </w:t>
      </w:r>
      <w:r>
        <w:rPr>
          <w:rFonts w:ascii="Cambria" w:hAnsi="Cambria"/>
        </w:rPr>
        <w:t>NSCLC: Efficacy results by BIRC in patients who received TABRECTA in Study A2201 (GEOMETRY mono-1) (Last patient last visit: 16-May-2023)</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84"/>
        <w:gridCol w:w="2947"/>
        <w:gridCol w:w="3547"/>
      </w:tblGrid>
      <w:tr w:rsidR="005303F6" w14:paraId="2366FFDE" w14:textId="77777777" w:rsidTr="00395BB3">
        <w:trPr>
          <w:trHeight w:val="515"/>
        </w:trPr>
        <w:tc>
          <w:tcPr>
            <w:tcW w:w="3584" w:type="dxa"/>
          </w:tcPr>
          <w:p w14:paraId="2366FFDB" w14:textId="77777777" w:rsidR="005303F6" w:rsidRDefault="00EB7C90" w:rsidP="008F14F0">
            <w:pPr>
              <w:pStyle w:val="TableParagraph"/>
              <w:spacing w:before="42"/>
              <w:ind w:left="122"/>
              <w:rPr>
                <w:b/>
                <w:sz w:val="18"/>
              </w:rPr>
            </w:pPr>
            <w:r>
              <w:rPr>
                <w:b/>
                <w:sz w:val="18"/>
              </w:rPr>
              <w:t>Efficacy</w:t>
            </w:r>
            <w:r>
              <w:rPr>
                <w:b/>
                <w:spacing w:val="-4"/>
                <w:sz w:val="18"/>
              </w:rPr>
              <w:t xml:space="preserve"> </w:t>
            </w:r>
            <w:r>
              <w:rPr>
                <w:b/>
                <w:spacing w:val="-2"/>
                <w:sz w:val="18"/>
              </w:rPr>
              <w:t>Parameters</w:t>
            </w:r>
          </w:p>
        </w:tc>
        <w:tc>
          <w:tcPr>
            <w:tcW w:w="2947" w:type="dxa"/>
          </w:tcPr>
          <w:p w14:paraId="2366FFDC" w14:textId="77777777" w:rsidR="005303F6" w:rsidRDefault="00EB7C90" w:rsidP="008F14F0">
            <w:pPr>
              <w:pStyle w:val="TableParagraph"/>
              <w:spacing w:before="9" w:line="240" w:lineRule="atLeast"/>
              <w:ind w:left="859" w:right="860"/>
              <w:rPr>
                <w:b/>
                <w:sz w:val="18"/>
              </w:rPr>
            </w:pPr>
            <w:r>
              <w:rPr>
                <w:b/>
                <w:sz w:val="18"/>
              </w:rPr>
              <w:t>Cohort</w:t>
            </w:r>
            <w:r>
              <w:rPr>
                <w:b/>
                <w:spacing w:val="-13"/>
                <w:sz w:val="18"/>
              </w:rPr>
              <w:t xml:space="preserve"> </w:t>
            </w:r>
            <w:r>
              <w:rPr>
                <w:b/>
                <w:sz w:val="18"/>
              </w:rPr>
              <w:t xml:space="preserve">5b </w:t>
            </w:r>
            <w:r>
              <w:rPr>
                <w:b/>
                <w:spacing w:val="-4"/>
                <w:sz w:val="18"/>
              </w:rPr>
              <w:t>N=28</w:t>
            </w:r>
          </w:p>
        </w:tc>
        <w:tc>
          <w:tcPr>
            <w:tcW w:w="3547" w:type="dxa"/>
          </w:tcPr>
          <w:p w14:paraId="2366FFDD" w14:textId="77777777" w:rsidR="005303F6" w:rsidRDefault="00EB7C90" w:rsidP="008F14F0">
            <w:pPr>
              <w:pStyle w:val="TableParagraph"/>
              <w:spacing w:before="9" w:line="240" w:lineRule="atLeast"/>
              <w:ind w:left="1216" w:right="1219"/>
              <w:rPr>
                <w:b/>
                <w:sz w:val="18"/>
              </w:rPr>
            </w:pPr>
            <w:r>
              <w:rPr>
                <w:b/>
                <w:sz w:val="18"/>
              </w:rPr>
              <w:t>Cohort</w:t>
            </w:r>
            <w:r>
              <w:rPr>
                <w:b/>
                <w:spacing w:val="-13"/>
                <w:sz w:val="18"/>
              </w:rPr>
              <w:t xml:space="preserve"> </w:t>
            </w:r>
            <w:r>
              <w:rPr>
                <w:b/>
                <w:sz w:val="18"/>
              </w:rPr>
              <w:t xml:space="preserve">7 </w:t>
            </w:r>
            <w:r>
              <w:rPr>
                <w:b/>
                <w:spacing w:val="-4"/>
                <w:sz w:val="18"/>
              </w:rPr>
              <w:t>N=32</w:t>
            </w:r>
          </w:p>
        </w:tc>
      </w:tr>
      <w:tr w:rsidR="005303F6" w14:paraId="2366FFE2" w14:textId="77777777" w:rsidTr="00395BB3">
        <w:trPr>
          <w:trHeight w:val="279"/>
        </w:trPr>
        <w:tc>
          <w:tcPr>
            <w:tcW w:w="3584" w:type="dxa"/>
          </w:tcPr>
          <w:p w14:paraId="2366FFDF" w14:textId="77777777" w:rsidR="005303F6" w:rsidRDefault="00EB7C90" w:rsidP="008F14F0">
            <w:pPr>
              <w:pStyle w:val="TableParagraph"/>
              <w:spacing w:before="36"/>
              <w:ind w:left="122"/>
              <w:rPr>
                <w:b/>
                <w:position w:val="6"/>
                <w:sz w:val="12"/>
              </w:rPr>
            </w:pPr>
            <w:r>
              <w:rPr>
                <w:b/>
                <w:sz w:val="18"/>
              </w:rPr>
              <w:t>Overall</w:t>
            </w:r>
            <w:r>
              <w:rPr>
                <w:b/>
                <w:spacing w:val="-4"/>
                <w:sz w:val="18"/>
              </w:rPr>
              <w:t xml:space="preserve"> </w:t>
            </w:r>
            <w:r>
              <w:rPr>
                <w:b/>
                <w:sz w:val="18"/>
              </w:rPr>
              <w:t>Response</w:t>
            </w:r>
            <w:r>
              <w:rPr>
                <w:b/>
                <w:spacing w:val="-3"/>
                <w:sz w:val="18"/>
              </w:rPr>
              <w:t xml:space="preserve"> </w:t>
            </w:r>
            <w:r>
              <w:rPr>
                <w:b/>
                <w:sz w:val="18"/>
              </w:rPr>
              <w:t>Rate</w:t>
            </w:r>
            <w:r>
              <w:rPr>
                <w:b/>
                <w:position w:val="6"/>
                <w:sz w:val="12"/>
              </w:rPr>
              <w:t>a</w:t>
            </w:r>
            <w:r>
              <w:rPr>
                <w:b/>
                <w:spacing w:val="14"/>
                <w:position w:val="6"/>
                <w:sz w:val="12"/>
              </w:rPr>
              <w:t xml:space="preserve"> </w:t>
            </w:r>
            <w:r>
              <w:rPr>
                <w:b/>
                <w:sz w:val="18"/>
              </w:rPr>
              <w:t>(95%</w:t>
            </w:r>
            <w:r>
              <w:rPr>
                <w:b/>
                <w:spacing w:val="-4"/>
                <w:sz w:val="18"/>
              </w:rPr>
              <w:t xml:space="preserve"> </w:t>
            </w:r>
            <w:proofErr w:type="gramStart"/>
            <w:r>
              <w:rPr>
                <w:b/>
                <w:spacing w:val="-4"/>
                <w:sz w:val="18"/>
              </w:rPr>
              <w:t>CI)</w:t>
            </w:r>
            <w:r>
              <w:rPr>
                <w:b/>
                <w:spacing w:val="-4"/>
                <w:position w:val="6"/>
                <w:sz w:val="12"/>
              </w:rPr>
              <w:t>b</w:t>
            </w:r>
            <w:proofErr w:type="gramEnd"/>
          </w:p>
        </w:tc>
        <w:tc>
          <w:tcPr>
            <w:tcW w:w="2947" w:type="dxa"/>
          </w:tcPr>
          <w:p w14:paraId="2366FFE0" w14:textId="77777777" w:rsidR="005303F6" w:rsidRDefault="00EB7C90" w:rsidP="008F14F0">
            <w:pPr>
              <w:pStyle w:val="TableParagraph"/>
              <w:spacing w:before="39"/>
              <w:ind w:right="1"/>
              <w:rPr>
                <w:sz w:val="18"/>
              </w:rPr>
            </w:pPr>
            <w:r>
              <w:rPr>
                <w:sz w:val="18"/>
              </w:rPr>
              <w:t>67.9%</w:t>
            </w:r>
            <w:r>
              <w:rPr>
                <w:spacing w:val="-4"/>
                <w:sz w:val="18"/>
              </w:rPr>
              <w:t xml:space="preserve"> </w:t>
            </w:r>
            <w:r>
              <w:rPr>
                <w:sz w:val="18"/>
              </w:rPr>
              <w:t>(47.6,</w:t>
            </w:r>
            <w:r>
              <w:rPr>
                <w:spacing w:val="-2"/>
                <w:sz w:val="18"/>
              </w:rPr>
              <w:t xml:space="preserve"> 84.1)</w:t>
            </w:r>
          </w:p>
        </w:tc>
        <w:tc>
          <w:tcPr>
            <w:tcW w:w="3547" w:type="dxa"/>
          </w:tcPr>
          <w:p w14:paraId="2366FFE1" w14:textId="77777777" w:rsidR="005303F6" w:rsidRDefault="00EB7C90" w:rsidP="008F14F0">
            <w:pPr>
              <w:pStyle w:val="TableParagraph"/>
              <w:spacing w:before="39"/>
              <w:ind w:right="3"/>
              <w:rPr>
                <w:sz w:val="18"/>
              </w:rPr>
            </w:pPr>
            <w:r>
              <w:rPr>
                <w:sz w:val="18"/>
              </w:rPr>
              <w:t>68.8%</w:t>
            </w:r>
            <w:r>
              <w:rPr>
                <w:spacing w:val="-4"/>
                <w:sz w:val="18"/>
              </w:rPr>
              <w:t xml:space="preserve"> </w:t>
            </w:r>
            <w:r>
              <w:rPr>
                <w:sz w:val="18"/>
              </w:rPr>
              <w:t>(50.0,</w:t>
            </w:r>
            <w:r>
              <w:rPr>
                <w:spacing w:val="-2"/>
                <w:sz w:val="18"/>
              </w:rPr>
              <w:t xml:space="preserve"> 83.9)</w:t>
            </w:r>
          </w:p>
        </w:tc>
      </w:tr>
      <w:tr w:rsidR="005303F6" w14:paraId="2366FFE6" w14:textId="77777777" w:rsidTr="00395BB3">
        <w:trPr>
          <w:trHeight w:val="266"/>
        </w:trPr>
        <w:tc>
          <w:tcPr>
            <w:tcW w:w="3584" w:type="dxa"/>
          </w:tcPr>
          <w:p w14:paraId="2366FFE3" w14:textId="77777777" w:rsidR="005303F6" w:rsidRDefault="00EB7C90" w:rsidP="008F14F0">
            <w:pPr>
              <w:pStyle w:val="TableParagraph"/>
              <w:spacing w:before="26"/>
              <w:ind w:left="278"/>
              <w:rPr>
                <w:sz w:val="18"/>
              </w:rPr>
            </w:pPr>
            <w:r>
              <w:rPr>
                <w:sz w:val="18"/>
              </w:rPr>
              <w:t>Complete</w:t>
            </w:r>
            <w:r>
              <w:rPr>
                <w:spacing w:val="-3"/>
                <w:sz w:val="18"/>
              </w:rPr>
              <w:t xml:space="preserve"> </w:t>
            </w:r>
            <w:r>
              <w:rPr>
                <w:sz w:val="18"/>
              </w:rPr>
              <w:t>Response,</w:t>
            </w:r>
            <w:r>
              <w:rPr>
                <w:spacing w:val="-2"/>
                <w:sz w:val="18"/>
              </w:rPr>
              <w:t xml:space="preserve"> </w:t>
            </w:r>
            <w:r>
              <w:rPr>
                <w:sz w:val="18"/>
              </w:rPr>
              <w:t>n</w:t>
            </w:r>
            <w:r>
              <w:rPr>
                <w:spacing w:val="-2"/>
                <w:sz w:val="18"/>
              </w:rPr>
              <w:t xml:space="preserve"> </w:t>
            </w:r>
            <w:r>
              <w:rPr>
                <w:spacing w:val="-5"/>
                <w:sz w:val="18"/>
              </w:rPr>
              <w:t>(%)</w:t>
            </w:r>
          </w:p>
        </w:tc>
        <w:tc>
          <w:tcPr>
            <w:tcW w:w="2947" w:type="dxa"/>
          </w:tcPr>
          <w:p w14:paraId="2366FFE4" w14:textId="77777777" w:rsidR="005303F6" w:rsidRDefault="00EB7C90" w:rsidP="008F14F0">
            <w:pPr>
              <w:pStyle w:val="TableParagraph"/>
              <w:spacing w:before="26"/>
              <w:ind w:left="860" w:right="860"/>
              <w:rPr>
                <w:sz w:val="18"/>
              </w:rPr>
            </w:pPr>
            <w:r>
              <w:rPr>
                <w:sz w:val="18"/>
              </w:rPr>
              <w:t xml:space="preserve">2 </w:t>
            </w:r>
            <w:r>
              <w:rPr>
                <w:spacing w:val="-2"/>
                <w:sz w:val="18"/>
              </w:rPr>
              <w:t>(7.1)</w:t>
            </w:r>
          </w:p>
        </w:tc>
        <w:tc>
          <w:tcPr>
            <w:tcW w:w="3547" w:type="dxa"/>
          </w:tcPr>
          <w:p w14:paraId="2366FFE5" w14:textId="77777777" w:rsidR="005303F6" w:rsidRDefault="00EB7C90" w:rsidP="008F14F0">
            <w:pPr>
              <w:pStyle w:val="TableParagraph"/>
              <w:spacing w:before="26"/>
              <w:ind w:left="1219" w:right="1219"/>
              <w:rPr>
                <w:sz w:val="18"/>
              </w:rPr>
            </w:pPr>
            <w:r>
              <w:rPr>
                <w:sz w:val="18"/>
              </w:rPr>
              <w:t xml:space="preserve">1 </w:t>
            </w:r>
            <w:r>
              <w:rPr>
                <w:spacing w:val="-2"/>
                <w:sz w:val="18"/>
              </w:rPr>
              <w:t>(3.1)</w:t>
            </w:r>
          </w:p>
        </w:tc>
      </w:tr>
      <w:tr w:rsidR="005303F6" w14:paraId="2366FFEA" w14:textId="77777777" w:rsidTr="00395BB3">
        <w:trPr>
          <w:trHeight w:val="255"/>
        </w:trPr>
        <w:tc>
          <w:tcPr>
            <w:tcW w:w="3584" w:type="dxa"/>
          </w:tcPr>
          <w:p w14:paraId="2366FFE7" w14:textId="77777777" w:rsidR="005303F6" w:rsidRDefault="00EB7C90" w:rsidP="008F14F0">
            <w:pPr>
              <w:pStyle w:val="TableParagraph"/>
              <w:spacing w:before="26"/>
              <w:ind w:left="278"/>
              <w:rPr>
                <w:sz w:val="18"/>
              </w:rPr>
            </w:pPr>
            <w:r>
              <w:rPr>
                <w:sz w:val="18"/>
              </w:rPr>
              <w:t>Partial</w:t>
            </w:r>
            <w:r>
              <w:rPr>
                <w:spacing w:val="-4"/>
                <w:sz w:val="18"/>
              </w:rPr>
              <w:t xml:space="preserve"> </w:t>
            </w:r>
            <w:r>
              <w:rPr>
                <w:sz w:val="18"/>
              </w:rPr>
              <w:t>Response,</w:t>
            </w:r>
            <w:r>
              <w:rPr>
                <w:spacing w:val="-2"/>
                <w:sz w:val="18"/>
              </w:rPr>
              <w:t xml:space="preserve"> </w:t>
            </w:r>
            <w:r>
              <w:rPr>
                <w:sz w:val="18"/>
              </w:rPr>
              <w:t>n</w:t>
            </w:r>
            <w:r>
              <w:rPr>
                <w:spacing w:val="-3"/>
                <w:sz w:val="18"/>
              </w:rPr>
              <w:t xml:space="preserve"> </w:t>
            </w:r>
            <w:r>
              <w:rPr>
                <w:spacing w:val="-5"/>
                <w:sz w:val="18"/>
              </w:rPr>
              <w:t>(%)</w:t>
            </w:r>
          </w:p>
        </w:tc>
        <w:tc>
          <w:tcPr>
            <w:tcW w:w="2947" w:type="dxa"/>
          </w:tcPr>
          <w:p w14:paraId="2366FFE8" w14:textId="77777777" w:rsidR="005303F6" w:rsidRDefault="00EB7C90" w:rsidP="008F14F0">
            <w:pPr>
              <w:pStyle w:val="TableParagraph"/>
              <w:spacing w:before="26"/>
              <w:ind w:left="860" w:right="860"/>
              <w:rPr>
                <w:sz w:val="18"/>
              </w:rPr>
            </w:pPr>
            <w:r>
              <w:rPr>
                <w:sz w:val="18"/>
              </w:rPr>
              <w:t xml:space="preserve">17 </w:t>
            </w:r>
            <w:r>
              <w:rPr>
                <w:spacing w:val="-2"/>
                <w:sz w:val="18"/>
              </w:rPr>
              <w:t>(60.7)</w:t>
            </w:r>
          </w:p>
        </w:tc>
        <w:tc>
          <w:tcPr>
            <w:tcW w:w="3547" w:type="dxa"/>
          </w:tcPr>
          <w:p w14:paraId="2366FFE9" w14:textId="77777777" w:rsidR="005303F6" w:rsidRDefault="00EB7C90" w:rsidP="008F14F0">
            <w:pPr>
              <w:pStyle w:val="TableParagraph"/>
              <w:spacing w:before="26"/>
              <w:ind w:left="1216" w:right="1219"/>
              <w:rPr>
                <w:sz w:val="18"/>
              </w:rPr>
            </w:pPr>
            <w:r>
              <w:rPr>
                <w:sz w:val="18"/>
              </w:rPr>
              <w:t xml:space="preserve">21 </w:t>
            </w:r>
            <w:r>
              <w:rPr>
                <w:spacing w:val="-2"/>
                <w:sz w:val="18"/>
              </w:rPr>
              <w:t>(65.6)</w:t>
            </w:r>
          </w:p>
        </w:tc>
      </w:tr>
      <w:tr w:rsidR="005303F6" w14:paraId="2366FFEE" w14:textId="77777777" w:rsidTr="00395BB3">
        <w:trPr>
          <w:trHeight w:val="279"/>
        </w:trPr>
        <w:tc>
          <w:tcPr>
            <w:tcW w:w="3584" w:type="dxa"/>
          </w:tcPr>
          <w:p w14:paraId="2366FFEB" w14:textId="77777777" w:rsidR="005303F6" w:rsidRDefault="00EB7C90" w:rsidP="008F14F0">
            <w:pPr>
              <w:pStyle w:val="TableParagraph"/>
              <w:spacing w:before="36"/>
              <w:ind w:left="122"/>
              <w:rPr>
                <w:b/>
                <w:position w:val="6"/>
                <w:sz w:val="12"/>
              </w:rPr>
            </w:pPr>
            <w:r>
              <w:rPr>
                <w:b/>
                <w:sz w:val="18"/>
              </w:rPr>
              <w:t xml:space="preserve">Duration of </w:t>
            </w:r>
            <w:r>
              <w:rPr>
                <w:b/>
                <w:spacing w:val="-2"/>
                <w:sz w:val="18"/>
              </w:rPr>
              <w:t>Response</w:t>
            </w:r>
            <w:r>
              <w:rPr>
                <w:b/>
                <w:spacing w:val="-2"/>
                <w:position w:val="6"/>
                <w:sz w:val="12"/>
              </w:rPr>
              <w:t>a</w:t>
            </w:r>
          </w:p>
        </w:tc>
        <w:tc>
          <w:tcPr>
            <w:tcW w:w="2947" w:type="dxa"/>
          </w:tcPr>
          <w:p w14:paraId="2366FFEC" w14:textId="77777777" w:rsidR="005303F6" w:rsidRDefault="005303F6" w:rsidP="008F14F0">
            <w:pPr>
              <w:pStyle w:val="TableParagraph"/>
              <w:spacing w:before="0"/>
              <w:rPr>
                <w:rFonts w:ascii="Times New Roman"/>
                <w:sz w:val="18"/>
              </w:rPr>
            </w:pPr>
          </w:p>
        </w:tc>
        <w:tc>
          <w:tcPr>
            <w:tcW w:w="3547" w:type="dxa"/>
          </w:tcPr>
          <w:p w14:paraId="2366FFED" w14:textId="77777777" w:rsidR="005303F6" w:rsidRDefault="005303F6" w:rsidP="008F14F0">
            <w:pPr>
              <w:pStyle w:val="TableParagraph"/>
              <w:spacing w:before="0"/>
              <w:rPr>
                <w:rFonts w:ascii="Times New Roman"/>
                <w:sz w:val="18"/>
              </w:rPr>
            </w:pPr>
          </w:p>
        </w:tc>
      </w:tr>
      <w:tr w:rsidR="005303F6" w14:paraId="2366FFF2" w14:textId="77777777" w:rsidTr="00395BB3">
        <w:trPr>
          <w:trHeight w:val="263"/>
        </w:trPr>
        <w:tc>
          <w:tcPr>
            <w:tcW w:w="3584" w:type="dxa"/>
          </w:tcPr>
          <w:p w14:paraId="2366FFEF" w14:textId="77777777" w:rsidR="005303F6" w:rsidRDefault="00EB7C90" w:rsidP="008F14F0">
            <w:pPr>
              <w:pStyle w:val="TableParagraph"/>
              <w:spacing w:before="26"/>
              <w:ind w:left="286"/>
              <w:rPr>
                <w:sz w:val="18"/>
              </w:rPr>
            </w:pPr>
            <w:r>
              <w:rPr>
                <w:sz w:val="18"/>
              </w:rPr>
              <w:t>Number</w:t>
            </w:r>
            <w:r>
              <w:rPr>
                <w:spacing w:val="-4"/>
                <w:sz w:val="18"/>
              </w:rPr>
              <w:t xml:space="preserve"> </w:t>
            </w:r>
            <w:r>
              <w:rPr>
                <w:sz w:val="18"/>
              </w:rPr>
              <w:t>of</w:t>
            </w:r>
            <w:r>
              <w:rPr>
                <w:spacing w:val="-2"/>
                <w:sz w:val="18"/>
              </w:rPr>
              <w:t xml:space="preserve"> </w:t>
            </w:r>
            <w:r>
              <w:rPr>
                <w:sz w:val="18"/>
              </w:rPr>
              <w:t>responders,</w:t>
            </w:r>
            <w:r>
              <w:rPr>
                <w:spacing w:val="-1"/>
                <w:sz w:val="18"/>
              </w:rPr>
              <w:t xml:space="preserve"> </w:t>
            </w:r>
            <w:r>
              <w:rPr>
                <w:spacing w:val="-10"/>
                <w:sz w:val="18"/>
              </w:rPr>
              <w:t>n</w:t>
            </w:r>
          </w:p>
        </w:tc>
        <w:tc>
          <w:tcPr>
            <w:tcW w:w="2947" w:type="dxa"/>
          </w:tcPr>
          <w:p w14:paraId="2366FFF0" w14:textId="77777777" w:rsidR="005303F6" w:rsidRDefault="00EB7C90" w:rsidP="008F14F0">
            <w:pPr>
              <w:pStyle w:val="TableParagraph"/>
              <w:spacing w:before="26"/>
              <w:ind w:left="860" w:right="860"/>
              <w:rPr>
                <w:sz w:val="18"/>
              </w:rPr>
            </w:pPr>
            <w:r>
              <w:rPr>
                <w:spacing w:val="-5"/>
                <w:sz w:val="18"/>
              </w:rPr>
              <w:t>19</w:t>
            </w:r>
          </w:p>
        </w:tc>
        <w:tc>
          <w:tcPr>
            <w:tcW w:w="3547" w:type="dxa"/>
          </w:tcPr>
          <w:p w14:paraId="2366FFF1" w14:textId="77777777" w:rsidR="005303F6" w:rsidRDefault="00EB7C90" w:rsidP="008F14F0">
            <w:pPr>
              <w:pStyle w:val="TableParagraph"/>
              <w:spacing w:before="26"/>
              <w:ind w:left="1218" w:right="1219"/>
              <w:rPr>
                <w:sz w:val="18"/>
              </w:rPr>
            </w:pPr>
            <w:r>
              <w:rPr>
                <w:spacing w:val="-5"/>
                <w:sz w:val="18"/>
              </w:rPr>
              <w:t>22</w:t>
            </w:r>
          </w:p>
        </w:tc>
      </w:tr>
      <w:tr w:rsidR="005303F6" w14:paraId="2366FFF6" w14:textId="77777777" w:rsidTr="00395BB3">
        <w:trPr>
          <w:trHeight w:val="270"/>
        </w:trPr>
        <w:tc>
          <w:tcPr>
            <w:tcW w:w="3584" w:type="dxa"/>
          </w:tcPr>
          <w:p w14:paraId="2366FFF3" w14:textId="77777777" w:rsidR="005303F6" w:rsidRDefault="00EB7C90" w:rsidP="008F14F0">
            <w:pPr>
              <w:pStyle w:val="TableParagraph"/>
              <w:spacing w:before="26"/>
              <w:ind w:left="286"/>
              <w:rPr>
                <w:position w:val="6"/>
                <w:sz w:val="12"/>
              </w:rPr>
            </w:pPr>
            <w:r>
              <w:rPr>
                <w:sz w:val="18"/>
              </w:rPr>
              <w:t>Median,</w:t>
            </w:r>
            <w:r>
              <w:rPr>
                <w:spacing w:val="-4"/>
                <w:sz w:val="18"/>
              </w:rPr>
              <w:t xml:space="preserve"> </w:t>
            </w:r>
            <w:r>
              <w:rPr>
                <w:sz w:val="18"/>
              </w:rPr>
              <w:t>months</w:t>
            </w:r>
            <w:r>
              <w:rPr>
                <w:spacing w:val="-3"/>
                <w:sz w:val="18"/>
              </w:rPr>
              <w:t xml:space="preserve"> </w:t>
            </w:r>
            <w:r>
              <w:rPr>
                <w:sz w:val="18"/>
              </w:rPr>
              <w:t>(95%</w:t>
            </w:r>
            <w:r>
              <w:rPr>
                <w:spacing w:val="-3"/>
                <w:sz w:val="18"/>
              </w:rPr>
              <w:t xml:space="preserve"> </w:t>
            </w:r>
            <w:proofErr w:type="gramStart"/>
            <w:r>
              <w:rPr>
                <w:spacing w:val="-4"/>
                <w:sz w:val="18"/>
              </w:rPr>
              <w:t>CI)</w:t>
            </w:r>
            <w:r>
              <w:rPr>
                <w:spacing w:val="-4"/>
                <w:position w:val="6"/>
                <w:sz w:val="12"/>
              </w:rPr>
              <w:t>c</w:t>
            </w:r>
            <w:proofErr w:type="gramEnd"/>
          </w:p>
        </w:tc>
        <w:tc>
          <w:tcPr>
            <w:tcW w:w="2947" w:type="dxa"/>
          </w:tcPr>
          <w:p w14:paraId="2366FFF4" w14:textId="77777777" w:rsidR="005303F6" w:rsidRDefault="00EB7C90" w:rsidP="008F14F0">
            <w:pPr>
              <w:pStyle w:val="TableParagraph"/>
              <w:spacing w:before="29"/>
              <w:ind w:left="705"/>
              <w:rPr>
                <w:sz w:val="18"/>
              </w:rPr>
            </w:pPr>
            <w:r>
              <w:rPr>
                <w:sz w:val="18"/>
              </w:rPr>
              <w:t>12.58</w:t>
            </w:r>
            <w:r>
              <w:rPr>
                <w:spacing w:val="-5"/>
                <w:sz w:val="18"/>
              </w:rPr>
              <w:t xml:space="preserve"> </w:t>
            </w:r>
            <w:r>
              <w:rPr>
                <w:sz w:val="18"/>
              </w:rPr>
              <w:t>(5.55,</w:t>
            </w:r>
            <w:r>
              <w:rPr>
                <w:spacing w:val="-3"/>
                <w:sz w:val="18"/>
              </w:rPr>
              <w:t xml:space="preserve"> </w:t>
            </w:r>
            <w:r>
              <w:rPr>
                <w:spacing w:val="-2"/>
                <w:sz w:val="18"/>
              </w:rPr>
              <w:t>38.67)</w:t>
            </w:r>
          </w:p>
        </w:tc>
        <w:tc>
          <w:tcPr>
            <w:tcW w:w="3547" w:type="dxa"/>
          </w:tcPr>
          <w:p w14:paraId="2366FFF5" w14:textId="77777777" w:rsidR="005303F6" w:rsidRDefault="00EB7C90" w:rsidP="008F14F0">
            <w:pPr>
              <w:pStyle w:val="TableParagraph"/>
              <w:spacing w:before="29"/>
              <w:ind w:left="1107"/>
              <w:rPr>
                <w:sz w:val="18"/>
              </w:rPr>
            </w:pPr>
            <w:r>
              <w:rPr>
                <w:sz w:val="18"/>
              </w:rPr>
              <w:t>16.59</w:t>
            </w:r>
            <w:r>
              <w:rPr>
                <w:spacing w:val="-5"/>
                <w:sz w:val="18"/>
              </w:rPr>
              <w:t xml:space="preserve"> </w:t>
            </w:r>
            <w:r>
              <w:rPr>
                <w:sz w:val="18"/>
              </w:rPr>
              <w:t>(8.34,</w:t>
            </w:r>
            <w:r>
              <w:rPr>
                <w:spacing w:val="-3"/>
                <w:sz w:val="18"/>
              </w:rPr>
              <w:t xml:space="preserve"> </w:t>
            </w:r>
            <w:r>
              <w:rPr>
                <w:spacing w:val="-5"/>
                <w:sz w:val="18"/>
              </w:rPr>
              <w:t>NE)</w:t>
            </w:r>
          </w:p>
        </w:tc>
      </w:tr>
      <w:tr w:rsidR="005303F6" w14:paraId="2366FFFA" w14:textId="77777777" w:rsidTr="00395BB3">
        <w:trPr>
          <w:trHeight w:val="267"/>
        </w:trPr>
        <w:tc>
          <w:tcPr>
            <w:tcW w:w="3584" w:type="dxa"/>
          </w:tcPr>
          <w:p w14:paraId="2366FFF7" w14:textId="77777777" w:rsidR="005303F6" w:rsidRDefault="00EB7C90" w:rsidP="008F14F0">
            <w:pPr>
              <w:pStyle w:val="TableParagraph"/>
              <w:spacing w:before="28"/>
              <w:ind w:left="286"/>
              <w:rPr>
                <w:sz w:val="18"/>
              </w:rPr>
            </w:pPr>
            <w:r>
              <w:rPr>
                <w:sz w:val="18"/>
              </w:rPr>
              <w:t>Patients</w:t>
            </w:r>
            <w:r>
              <w:rPr>
                <w:spacing w:val="-2"/>
                <w:sz w:val="18"/>
              </w:rPr>
              <w:t xml:space="preserve"> </w:t>
            </w:r>
            <w:r>
              <w:rPr>
                <w:sz w:val="18"/>
              </w:rPr>
              <w:t>with</w:t>
            </w:r>
            <w:r>
              <w:rPr>
                <w:spacing w:val="-2"/>
                <w:sz w:val="18"/>
              </w:rPr>
              <w:t xml:space="preserve"> </w:t>
            </w:r>
            <w:r>
              <w:rPr>
                <w:sz w:val="18"/>
              </w:rPr>
              <w:t>DOR</w:t>
            </w:r>
            <w:r>
              <w:rPr>
                <w:spacing w:val="-1"/>
                <w:sz w:val="18"/>
              </w:rPr>
              <w:t xml:space="preserve"> </w:t>
            </w:r>
            <w:r>
              <w:rPr>
                <w:sz w:val="18"/>
              </w:rPr>
              <w:t>≥6</w:t>
            </w:r>
            <w:r>
              <w:rPr>
                <w:spacing w:val="-2"/>
                <w:sz w:val="18"/>
              </w:rPr>
              <w:t xml:space="preserve"> months</w:t>
            </w:r>
          </w:p>
        </w:tc>
        <w:tc>
          <w:tcPr>
            <w:tcW w:w="2947" w:type="dxa"/>
          </w:tcPr>
          <w:p w14:paraId="2366FFF8" w14:textId="77777777" w:rsidR="005303F6" w:rsidRDefault="00EB7C90" w:rsidP="008F14F0">
            <w:pPr>
              <w:pStyle w:val="TableParagraph"/>
              <w:spacing w:before="28"/>
              <w:ind w:left="860" w:right="860"/>
              <w:rPr>
                <w:sz w:val="18"/>
              </w:rPr>
            </w:pPr>
            <w:r>
              <w:rPr>
                <w:spacing w:val="-2"/>
                <w:sz w:val="18"/>
              </w:rPr>
              <w:t>68.4%</w:t>
            </w:r>
          </w:p>
        </w:tc>
        <w:tc>
          <w:tcPr>
            <w:tcW w:w="3547" w:type="dxa"/>
          </w:tcPr>
          <w:p w14:paraId="2366FFF9" w14:textId="77777777" w:rsidR="005303F6" w:rsidRDefault="00EB7C90" w:rsidP="008F14F0">
            <w:pPr>
              <w:pStyle w:val="TableParagraph"/>
              <w:spacing w:before="28"/>
              <w:ind w:left="1218" w:right="1219"/>
              <w:rPr>
                <w:sz w:val="18"/>
              </w:rPr>
            </w:pPr>
            <w:r>
              <w:rPr>
                <w:spacing w:val="-2"/>
                <w:sz w:val="18"/>
              </w:rPr>
              <w:t>72.7%</w:t>
            </w:r>
          </w:p>
        </w:tc>
      </w:tr>
      <w:tr w:rsidR="005303F6" w14:paraId="2366FFFE" w14:textId="77777777" w:rsidTr="00395BB3">
        <w:trPr>
          <w:trHeight w:val="253"/>
        </w:trPr>
        <w:tc>
          <w:tcPr>
            <w:tcW w:w="3584" w:type="dxa"/>
          </w:tcPr>
          <w:p w14:paraId="2366FFFB" w14:textId="77777777" w:rsidR="005303F6" w:rsidRDefault="00EB7C90" w:rsidP="008F14F0">
            <w:pPr>
              <w:pStyle w:val="TableParagraph"/>
              <w:spacing w:before="27" w:line="206" w:lineRule="exact"/>
              <w:ind w:left="286"/>
              <w:rPr>
                <w:sz w:val="18"/>
              </w:rPr>
            </w:pPr>
            <w:r>
              <w:rPr>
                <w:sz w:val="18"/>
              </w:rPr>
              <w:t>Patients</w:t>
            </w:r>
            <w:r>
              <w:rPr>
                <w:spacing w:val="-4"/>
                <w:sz w:val="18"/>
              </w:rPr>
              <w:t xml:space="preserve"> </w:t>
            </w:r>
            <w:r>
              <w:rPr>
                <w:sz w:val="18"/>
              </w:rPr>
              <w:t>with</w:t>
            </w:r>
            <w:r>
              <w:rPr>
                <w:spacing w:val="-2"/>
                <w:sz w:val="18"/>
              </w:rPr>
              <w:t xml:space="preserve"> </w:t>
            </w:r>
            <w:r>
              <w:rPr>
                <w:sz w:val="18"/>
              </w:rPr>
              <w:t>DOR</w:t>
            </w:r>
            <w:r>
              <w:rPr>
                <w:spacing w:val="-2"/>
                <w:sz w:val="18"/>
              </w:rPr>
              <w:t xml:space="preserve"> </w:t>
            </w:r>
            <w:r>
              <w:rPr>
                <w:sz w:val="18"/>
              </w:rPr>
              <w:t>≥12</w:t>
            </w:r>
            <w:r>
              <w:rPr>
                <w:spacing w:val="-2"/>
                <w:sz w:val="18"/>
              </w:rPr>
              <w:t xml:space="preserve"> months</w:t>
            </w:r>
          </w:p>
        </w:tc>
        <w:tc>
          <w:tcPr>
            <w:tcW w:w="2947" w:type="dxa"/>
          </w:tcPr>
          <w:p w14:paraId="2366FFFC" w14:textId="77777777" w:rsidR="005303F6" w:rsidRDefault="00EB7C90" w:rsidP="008F14F0">
            <w:pPr>
              <w:pStyle w:val="TableParagraph"/>
              <w:spacing w:before="27" w:line="206" w:lineRule="exact"/>
              <w:ind w:left="860" w:right="860"/>
              <w:rPr>
                <w:sz w:val="18"/>
              </w:rPr>
            </w:pPr>
            <w:r>
              <w:rPr>
                <w:spacing w:val="-2"/>
                <w:sz w:val="18"/>
              </w:rPr>
              <w:t>47.4%</w:t>
            </w:r>
          </w:p>
        </w:tc>
        <w:tc>
          <w:tcPr>
            <w:tcW w:w="3547" w:type="dxa"/>
          </w:tcPr>
          <w:p w14:paraId="2366FFFD" w14:textId="77777777" w:rsidR="005303F6" w:rsidRDefault="00EB7C90" w:rsidP="008F14F0">
            <w:pPr>
              <w:pStyle w:val="TableParagraph"/>
              <w:spacing w:before="27" w:line="206" w:lineRule="exact"/>
              <w:ind w:left="1218" w:right="1219"/>
              <w:rPr>
                <w:sz w:val="18"/>
              </w:rPr>
            </w:pPr>
            <w:r>
              <w:rPr>
                <w:spacing w:val="-2"/>
                <w:sz w:val="18"/>
              </w:rPr>
              <w:t>50.0%</w:t>
            </w:r>
          </w:p>
        </w:tc>
      </w:tr>
    </w:tbl>
    <w:p w14:paraId="2366FFFF" w14:textId="77777777" w:rsidR="005303F6" w:rsidRDefault="00EB7C90" w:rsidP="008F14F0">
      <w:pPr>
        <w:spacing w:before="42"/>
        <w:ind w:left="131" w:right="265"/>
        <w:rPr>
          <w:rFonts w:ascii="Arial"/>
          <w:i/>
          <w:sz w:val="16"/>
        </w:rPr>
      </w:pPr>
      <w:r>
        <w:rPr>
          <w:rFonts w:ascii="Arial"/>
          <w:i/>
          <w:sz w:val="16"/>
        </w:rPr>
        <w:t>Abbreviations: BIRC, Blinded Independent Review Committee; CI, Confidence Interval; CR, Complete Response; DOR, Duration of response;</w:t>
      </w:r>
      <w:r>
        <w:rPr>
          <w:rFonts w:ascii="Arial"/>
          <w:i/>
          <w:spacing w:val="-3"/>
          <w:sz w:val="16"/>
        </w:rPr>
        <w:t xml:space="preserve"> </w:t>
      </w:r>
      <w:r>
        <w:rPr>
          <w:rFonts w:ascii="Arial"/>
          <w:i/>
          <w:sz w:val="16"/>
        </w:rPr>
        <w:t>MET,</w:t>
      </w:r>
      <w:r>
        <w:rPr>
          <w:rFonts w:ascii="Arial"/>
          <w:i/>
          <w:spacing w:val="-3"/>
          <w:sz w:val="16"/>
        </w:rPr>
        <w:t xml:space="preserve"> </w:t>
      </w:r>
      <w:r>
        <w:rPr>
          <w:rFonts w:ascii="Arial"/>
          <w:i/>
          <w:sz w:val="16"/>
        </w:rPr>
        <w:t>mesenchymal-epithelial</w:t>
      </w:r>
      <w:r>
        <w:rPr>
          <w:rFonts w:ascii="Arial"/>
          <w:i/>
          <w:spacing w:val="-3"/>
          <w:sz w:val="16"/>
        </w:rPr>
        <w:t xml:space="preserve"> </w:t>
      </w:r>
      <w:r>
        <w:rPr>
          <w:rFonts w:ascii="Arial"/>
          <w:i/>
          <w:sz w:val="16"/>
        </w:rPr>
        <w:t>transition;</w:t>
      </w:r>
      <w:r>
        <w:rPr>
          <w:rFonts w:ascii="Arial"/>
          <w:i/>
          <w:spacing w:val="-3"/>
          <w:sz w:val="16"/>
        </w:rPr>
        <w:t xml:space="preserve"> </w:t>
      </w:r>
      <w:r>
        <w:rPr>
          <w:rFonts w:ascii="Arial"/>
          <w:i/>
          <w:sz w:val="16"/>
        </w:rPr>
        <w:t>NE,</w:t>
      </w:r>
      <w:r>
        <w:rPr>
          <w:rFonts w:ascii="Arial"/>
          <w:i/>
          <w:spacing w:val="-2"/>
          <w:sz w:val="16"/>
        </w:rPr>
        <w:t xml:space="preserve"> </w:t>
      </w:r>
      <w:r>
        <w:rPr>
          <w:rFonts w:ascii="Arial"/>
          <w:i/>
          <w:sz w:val="16"/>
        </w:rPr>
        <w:t>Not</w:t>
      </w:r>
      <w:r>
        <w:rPr>
          <w:rFonts w:ascii="Arial"/>
          <w:i/>
          <w:spacing w:val="-3"/>
          <w:sz w:val="16"/>
        </w:rPr>
        <w:t xml:space="preserve"> </w:t>
      </w:r>
      <w:r>
        <w:rPr>
          <w:rFonts w:ascii="Arial"/>
          <w:i/>
          <w:sz w:val="16"/>
        </w:rPr>
        <w:t>Estimable;</w:t>
      </w:r>
      <w:r>
        <w:rPr>
          <w:rFonts w:ascii="Arial"/>
          <w:i/>
          <w:spacing w:val="-2"/>
          <w:sz w:val="16"/>
        </w:rPr>
        <w:t xml:space="preserve"> </w:t>
      </w:r>
      <w:r>
        <w:rPr>
          <w:rFonts w:ascii="Arial"/>
          <w:i/>
          <w:sz w:val="16"/>
        </w:rPr>
        <w:t>NSCLC,</w:t>
      </w:r>
      <w:r>
        <w:rPr>
          <w:rFonts w:ascii="Arial"/>
          <w:i/>
          <w:spacing w:val="-3"/>
          <w:sz w:val="16"/>
        </w:rPr>
        <w:t xml:space="preserve"> </w:t>
      </w:r>
      <w:r>
        <w:rPr>
          <w:rFonts w:ascii="Arial"/>
          <w:i/>
          <w:sz w:val="16"/>
        </w:rPr>
        <w:t>Non-Small</w:t>
      </w:r>
      <w:r>
        <w:rPr>
          <w:rFonts w:ascii="Arial"/>
          <w:i/>
          <w:spacing w:val="-2"/>
          <w:sz w:val="16"/>
        </w:rPr>
        <w:t xml:space="preserve"> </w:t>
      </w:r>
      <w:r>
        <w:rPr>
          <w:rFonts w:ascii="Arial"/>
          <w:i/>
          <w:sz w:val="16"/>
        </w:rPr>
        <w:t>Cell</w:t>
      </w:r>
      <w:r>
        <w:rPr>
          <w:rFonts w:ascii="Arial"/>
          <w:i/>
          <w:spacing w:val="-3"/>
          <w:sz w:val="16"/>
        </w:rPr>
        <w:t xml:space="preserve"> </w:t>
      </w:r>
      <w:r>
        <w:rPr>
          <w:rFonts w:ascii="Arial"/>
          <w:i/>
          <w:sz w:val="16"/>
        </w:rPr>
        <w:t>Lung</w:t>
      </w:r>
      <w:r>
        <w:rPr>
          <w:rFonts w:ascii="Arial"/>
          <w:i/>
          <w:spacing w:val="-3"/>
          <w:sz w:val="16"/>
        </w:rPr>
        <w:t xml:space="preserve"> </w:t>
      </w:r>
      <w:r>
        <w:rPr>
          <w:rFonts w:ascii="Arial"/>
          <w:i/>
          <w:sz w:val="16"/>
        </w:rPr>
        <w:t>Cancer;</w:t>
      </w:r>
      <w:r>
        <w:rPr>
          <w:rFonts w:ascii="Arial"/>
          <w:i/>
          <w:spacing w:val="-2"/>
          <w:sz w:val="16"/>
        </w:rPr>
        <w:t xml:space="preserve"> </w:t>
      </w:r>
      <w:r>
        <w:rPr>
          <w:rFonts w:ascii="Arial"/>
          <w:i/>
          <w:sz w:val="16"/>
        </w:rPr>
        <w:t>ORR,</w:t>
      </w:r>
      <w:r>
        <w:rPr>
          <w:rFonts w:ascii="Arial"/>
          <w:i/>
          <w:spacing w:val="-3"/>
          <w:sz w:val="16"/>
        </w:rPr>
        <w:t xml:space="preserve"> </w:t>
      </w:r>
      <w:r>
        <w:rPr>
          <w:rFonts w:ascii="Arial"/>
          <w:i/>
          <w:sz w:val="16"/>
        </w:rPr>
        <w:t>Overall</w:t>
      </w:r>
      <w:r>
        <w:rPr>
          <w:rFonts w:ascii="Arial"/>
          <w:i/>
          <w:spacing w:val="-2"/>
          <w:sz w:val="16"/>
        </w:rPr>
        <w:t xml:space="preserve"> </w:t>
      </w:r>
      <w:r>
        <w:rPr>
          <w:rFonts w:ascii="Arial"/>
          <w:i/>
          <w:sz w:val="16"/>
        </w:rPr>
        <w:t>Response Rate; PR, Partial Response; RECIST, Response Evaluation Criteria in Solid Tumors; SD, Stable Disease.</w:t>
      </w:r>
    </w:p>
    <w:p w14:paraId="23670000" w14:textId="77777777" w:rsidR="005303F6" w:rsidRDefault="00EB7C90" w:rsidP="008F14F0">
      <w:pPr>
        <w:spacing w:before="41"/>
        <w:ind w:left="131"/>
        <w:rPr>
          <w:rFonts w:ascii="Arial"/>
          <w:i/>
          <w:sz w:val="16"/>
        </w:rPr>
      </w:pPr>
      <w:r>
        <w:rPr>
          <w:rFonts w:ascii="Arial"/>
          <w:i/>
          <w:sz w:val="16"/>
        </w:rPr>
        <w:t>ORR:</w:t>
      </w:r>
      <w:r>
        <w:rPr>
          <w:rFonts w:ascii="Arial"/>
          <w:i/>
          <w:spacing w:val="-3"/>
          <w:sz w:val="16"/>
        </w:rPr>
        <w:t xml:space="preserve"> </w:t>
      </w:r>
      <w:r>
        <w:rPr>
          <w:rFonts w:ascii="Arial"/>
          <w:i/>
          <w:spacing w:val="-2"/>
          <w:sz w:val="16"/>
        </w:rPr>
        <w:t>CR+PR.</w:t>
      </w:r>
    </w:p>
    <w:p w14:paraId="23670001" w14:textId="77777777" w:rsidR="005303F6" w:rsidRDefault="00EB7C90" w:rsidP="008F14F0">
      <w:pPr>
        <w:spacing w:before="42"/>
        <w:ind w:left="131"/>
        <w:rPr>
          <w:rFonts w:ascii="Arial"/>
          <w:i/>
          <w:sz w:val="16"/>
        </w:rPr>
      </w:pPr>
      <w:proofErr w:type="spellStart"/>
      <w:r>
        <w:rPr>
          <w:rFonts w:ascii="Arial"/>
          <w:i/>
          <w:sz w:val="16"/>
          <w:vertAlign w:val="superscript"/>
        </w:rPr>
        <w:t>a</w:t>
      </w:r>
      <w:r>
        <w:rPr>
          <w:rFonts w:ascii="Arial"/>
          <w:i/>
          <w:sz w:val="16"/>
        </w:rPr>
        <w:t>Determined</w:t>
      </w:r>
      <w:proofErr w:type="spellEnd"/>
      <w:r>
        <w:rPr>
          <w:rFonts w:ascii="Arial"/>
          <w:i/>
          <w:spacing w:val="-5"/>
          <w:sz w:val="16"/>
        </w:rPr>
        <w:t xml:space="preserve"> </w:t>
      </w:r>
      <w:r>
        <w:rPr>
          <w:rFonts w:ascii="Arial"/>
          <w:i/>
          <w:sz w:val="16"/>
        </w:rPr>
        <w:t>by</w:t>
      </w:r>
      <w:r>
        <w:rPr>
          <w:rFonts w:ascii="Arial"/>
          <w:i/>
          <w:spacing w:val="-5"/>
          <w:sz w:val="16"/>
        </w:rPr>
        <w:t xml:space="preserve"> </w:t>
      </w:r>
      <w:r>
        <w:rPr>
          <w:rFonts w:ascii="Arial"/>
          <w:i/>
          <w:sz w:val="16"/>
        </w:rPr>
        <w:t>RECIST</w:t>
      </w:r>
      <w:r>
        <w:rPr>
          <w:rFonts w:ascii="Arial"/>
          <w:i/>
          <w:spacing w:val="-6"/>
          <w:sz w:val="16"/>
        </w:rPr>
        <w:t xml:space="preserve"> </w:t>
      </w:r>
      <w:r>
        <w:rPr>
          <w:rFonts w:ascii="Arial"/>
          <w:i/>
          <w:spacing w:val="-4"/>
          <w:sz w:val="16"/>
        </w:rPr>
        <w:t>v1.1.</w:t>
      </w:r>
    </w:p>
    <w:p w14:paraId="23670002" w14:textId="77777777" w:rsidR="005303F6" w:rsidRDefault="00EB7C90" w:rsidP="008F14F0">
      <w:pPr>
        <w:spacing w:before="39"/>
        <w:ind w:left="131"/>
        <w:rPr>
          <w:rFonts w:ascii="Arial"/>
          <w:i/>
          <w:sz w:val="16"/>
        </w:rPr>
      </w:pPr>
      <w:proofErr w:type="spellStart"/>
      <w:r>
        <w:rPr>
          <w:rFonts w:ascii="Arial"/>
          <w:i/>
          <w:sz w:val="16"/>
          <w:vertAlign w:val="superscript"/>
        </w:rPr>
        <w:t>b</w:t>
      </w:r>
      <w:r>
        <w:rPr>
          <w:rFonts w:ascii="Arial"/>
          <w:i/>
          <w:sz w:val="16"/>
        </w:rPr>
        <w:t>Clopper</w:t>
      </w:r>
      <w:proofErr w:type="spellEnd"/>
      <w:r>
        <w:rPr>
          <w:rFonts w:ascii="Arial"/>
          <w:i/>
          <w:spacing w:val="-6"/>
          <w:sz w:val="16"/>
        </w:rPr>
        <w:t xml:space="preserve"> </w:t>
      </w:r>
      <w:r>
        <w:rPr>
          <w:rFonts w:ascii="Arial"/>
          <w:i/>
          <w:sz w:val="16"/>
        </w:rPr>
        <w:t>and</w:t>
      </w:r>
      <w:r>
        <w:rPr>
          <w:rFonts w:ascii="Arial"/>
          <w:i/>
          <w:spacing w:val="-5"/>
          <w:sz w:val="16"/>
        </w:rPr>
        <w:t xml:space="preserve"> </w:t>
      </w:r>
      <w:r>
        <w:rPr>
          <w:rFonts w:ascii="Arial"/>
          <w:i/>
          <w:sz w:val="16"/>
        </w:rPr>
        <w:t>Pearson</w:t>
      </w:r>
      <w:r>
        <w:rPr>
          <w:rFonts w:ascii="Arial"/>
          <w:i/>
          <w:spacing w:val="-6"/>
          <w:sz w:val="16"/>
        </w:rPr>
        <w:t xml:space="preserve"> </w:t>
      </w:r>
      <w:r>
        <w:rPr>
          <w:rFonts w:ascii="Arial"/>
          <w:i/>
          <w:sz w:val="16"/>
        </w:rPr>
        <w:t>exact</w:t>
      </w:r>
      <w:r>
        <w:rPr>
          <w:rFonts w:ascii="Arial"/>
          <w:i/>
          <w:spacing w:val="-5"/>
          <w:sz w:val="16"/>
        </w:rPr>
        <w:t xml:space="preserve"> </w:t>
      </w:r>
      <w:r>
        <w:rPr>
          <w:rFonts w:ascii="Arial"/>
          <w:i/>
          <w:sz w:val="16"/>
        </w:rPr>
        <w:t>binomial</w:t>
      </w:r>
      <w:r>
        <w:rPr>
          <w:rFonts w:ascii="Arial"/>
          <w:i/>
          <w:spacing w:val="-4"/>
          <w:sz w:val="16"/>
        </w:rPr>
        <w:t xml:space="preserve"> </w:t>
      </w:r>
      <w:r>
        <w:rPr>
          <w:rFonts w:ascii="Arial"/>
          <w:i/>
          <w:sz w:val="16"/>
        </w:rPr>
        <w:t>95%</w:t>
      </w:r>
      <w:r>
        <w:rPr>
          <w:rFonts w:ascii="Arial"/>
          <w:i/>
          <w:spacing w:val="-4"/>
          <w:sz w:val="16"/>
        </w:rPr>
        <w:t xml:space="preserve"> </w:t>
      </w:r>
      <w:r>
        <w:rPr>
          <w:rFonts w:ascii="Arial"/>
          <w:i/>
          <w:spacing w:val="-5"/>
          <w:sz w:val="16"/>
        </w:rPr>
        <w:t>CI.</w:t>
      </w:r>
    </w:p>
    <w:p w14:paraId="23670007" w14:textId="66B5E6A0" w:rsidR="005303F6" w:rsidRDefault="00EB7C90" w:rsidP="008F14F0">
      <w:pPr>
        <w:spacing w:before="39"/>
        <w:ind w:left="131"/>
        <w:rPr>
          <w:rFonts w:ascii="Arial"/>
          <w:i/>
        </w:rPr>
      </w:pPr>
      <w:proofErr w:type="spellStart"/>
      <w:r>
        <w:rPr>
          <w:rFonts w:ascii="Arial"/>
          <w:i/>
          <w:sz w:val="16"/>
          <w:vertAlign w:val="superscript"/>
        </w:rPr>
        <w:t>c</w:t>
      </w:r>
      <w:r>
        <w:rPr>
          <w:rFonts w:ascii="Arial"/>
          <w:i/>
          <w:sz w:val="16"/>
        </w:rPr>
        <w:t>Based</w:t>
      </w:r>
      <w:proofErr w:type="spellEnd"/>
      <w:r>
        <w:rPr>
          <w:rFonts w:ascii="Arial"/>
          <w:i/>
          <w:spacing w:val="-7"/>
          <w:sz w:val="16"/>
        </w:rPr>
        <w:t xml:space="preserve"> </w:t>
      </w:r>
      <w:r>
        <w:rPr>
          <w:rFonts w:ascii="Arial"/>
          <w:i/>
          <w:sz w:val="16"/>
        </w:rPr>
        <w:t>on</w:t>
      </w:r>
      <w:r>
        <w:rPr>
          <w:rFonts w:ascii="Arial"/>
          <w:i/>
          <w:spacing w:val="-3"/>
          <w:sz w:val="16"/>
        </w:rPr>
        <w:t xml:space="preserve"> </w:t>
      </w:r>
      <w:r>
        <w:rPr>
          <w:rFonts w:ascii="Arial"/>
          <w:i/>
          <w:sz w:val="16"/>
        </w:rPr>
        <w:t>Kaplan-Meier</w:t>
      </w:r>
      <w:r>
        <w:rPr>
          <w:rFonts w:ascii="Arial"/>
          <w:i/>
          <w:spacing w:val="-5"/>
          <w:sz w:val="16"/>
        </w:rPr>
        <w:t xml:space="preserve"> </w:t>
      </w:r>
      <w:r>
        <w:rPr>
          <w:rFonts w:ascii="Arial"/>
          <w:i/>
          <w:spacing w:val="-2"/>
          <w:sz w:val="16"/>
        </w:rPr>
        <w:t>estimate.</w:t>
      </w:r>
    </w:p>
    <w:p w14:paraId="23670008" w14:textId="77777777" w:rsidR="005303F6" w:rsidRDefault="005303F6" w:rsidP="008F14F0">
      <w:pPr>
        <w:pStyle w:val="BodyText"/>
        <w:spacing w:before="146"/>
        <w:ind w:left="0"/>
        <w:jc w:val="left"/>
        <w:rPr>
          <w:rFonts w:ascii="Arial"/>
          <w:i/>
        </w:rPr>
      </w:pPr>
    </w:p>
    <w:p w14:paraId="23670009" w14:textId="77777777" w:rsidR="005303F6" w:rsidRDefault="00EB7C90" w:rsidP="008F14F0">
      <w:pPr>
        <w:pStyle w:val="Heading3"/>
        <w:spacing w:before="1" w:line="276" w:lineRule="auto"/>
        <w:ind w:left="23" w:right="636"/>
        <w:rPr>
          <w:rFonts w:ascii="Cambria"/>
        </w:rPr>
      </w:pPr>
      <w:bookmarkStart w:id="29" w:name="Table_9:_Previously_treated_MET-mutated_"/>
      <w:bookmarkEnd w:id="29"/>
      <w:r>
        <w:rPr>
          <w:rFonts w:ascii="Cambria"/>
        </w:rPr>
        <w:t>Table</w:t>
      </w:r>
      <w:r>
        <w:rPr>
          <w:rFonts w:ascii="Cambria"/>
          <w:spacing w:val="-4"/>
        </w:rPr>
        <w:t xml:space="preserve"> </w:t>
      </w:r>
      <w:r>
        <w:rPr>
          <w:rFonts w:ascii="Cambria"/>
        </w:rPr>
        <w:t>9:</w:t>
      </w:r>
      <w:r>
        <w:rPr>
          <w:rFonts w:ascii="Cambria"/>
          <w:spacing w:val="-5"/>
        </w:rPr>
        <w:t xml:space="preserve"> </w:t>
      </w:r>
      <w:r>
        <w:rPr>
          <w:rFonts w:ascii="Cambria"/>
        </w:rPr>
        <w:t>Previously</w:t>
      </w:r>
      <w:r>
        <w:rPr>
          <w:rFonts w:ascii="Cambria"/>
          <w:spacing w:val="-4"/>
        </w:rPr>
        <w:t xml:space="preserve"> </w:t>
      </w:r>
      <w:r>
        <w:rPr>
          <w:rFonts w:ascii="Cambria"/>
        </w:rPr>
        <w:t>treated</w:t>
      </w:r>
      <w:r>
        <w:rPr>
          <w:rFonts w:ascii="Cambria"/>
          <w:spacing w:val="-5"/>
        </w:rPr>
        <w:t xml:space="preserve"> </w:t>
      </w:r>
      <w:r>
        <w:rPr>
          <w:rFonts w:ascii="Cambria"/>
        </w:rPr>
        <w:t>MET-mutated</w:t>
      </w:r>
      <w:r>
        <w:rPr>
          <w:rFonts w:ascii="Cambria"/>
          <w:spacing w:val="-5"/>
        </w:rPr>
        <w:t xml:space="preserve"> </w:t>
      </w:r>
      <w:r>
        <w:rPr>
          <w:rFonts w:ascii="Cambria"/>
        </w:rPr>
        <w:t>locally</w:t>
      </w:r>
      <w:r>
        <w:rPr>
          <w:rFonts w:ascii="Cambria"/>
          <w:spacing w:val="-4"/>
        </w:rPr>
        <w:t xml:space="preserve"> </w:t>
      </w:r>
      <w:r>
        <w:rPr>
          <w:rFonts w:ascii="Cambria"/>
        </w:rPr>
        <w:t>advanced</w:t>
      </w:r>
      <w:r>
        <w:rPr>
          <w:rFonts w:ascii="Cambria"/>
          <w:spacing w:val="-4"/>
        </w:rPr>
        <w:t xml:space="preserve"> </w:t>
      </w:r>
      <w:r>
        <w:rPr>
          <w:rFonts w:ascii="Cambria"/>
        </w:rPr>
        <w:t>or</w:t>
      </w:r>
      <w:r>
        <w:rPr>
          <w:rFonts w:ascii="Cambria"/>
          <w:spacing w:val="-5"/>
        </w:rPr>
        <w:t xml:space="preserve"> </w:t>
      </w:r>
      <w:r>
        <w:rPr>
          <w:rFonts w:ascii="Cambria"/>
        </w:rPr>
        <w:t>metastatic</w:t>
      </w:r>
      <w:r>
        <w:rPr>
          <w:rFonts w:ascii="Cambria"/>
          <w:spacing w:val="-4"/>
        </w:rPr>
        <w:t xml:space="preserve"> </w:t>
      </w:r>
      <w:r>
        <w:rPr>
          <w:rFonts w:ascii="Cambria"/>
        </w:rPr>
        <w:t>NSCLC: Efficacy results by BIRC in patients who received TABRECTA in Study A2201 (GEOMETRY mono-1) (Last patient last visit: 16-May-2023)</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60"/>
        <w:gridCol w:w="1272"/>
        <w:gridCol w:w="1700"/>
        <w:gridCol w:w="1703"/>
        <w:gridCol w:w="1846"/>
      </w:tblGrid>
      <w:tr w:rsidR="005303F6" w14:paraId="2367000F" w14:textId="77777777" w:rsidTr="00395BB3">
        <w:trPr>
          <w:trHeight w:val="515"/>
        </w:trPr>
        <w:tc>
          <w:tcPr>
            <w:tcW w:w="3560" w:type="dxa"/>
          </w:tcPr>
          <w:p w14:paraId="2367000A" w14:textId="77777777" w:rsidR="005303F6" w:rsidRDefault="00EB7C90" w:rsidP="008F14F0">
            <w:pPr>
              <w:pStyle w:val="TableParagraph"/>
              <w:spacing w:before="39"/>
              <w:ind w:left="122"/>
              <w:rPr>
                <w:b/>
                <w:sz w:val="18"/>
              </w:rPr>
            </w:pPr>
            <w:r>
              <w:rPr>
                <w:b/>
                <w:sz w:val="18"/>
              </w:rPr>
              <w:t>Efficacy</w:t>
            </w:r>
            <w:r>
              <w:rPr>
                <w:b/>
                <w:spacing w:val="-4"/>
                <w:sz w:val="18"/>
              </w:rPr>
              <w:t xml:space="preserve"> </w:t>
            </w:r>
            <w:r>
              <w:rPr>
                <w:b/>
                <w:spacing w:val="-2"/>
                <w:sz w:val="18"/>
              </w:rPr>
              <w:t>Parameters</w:t>
            </w:r>
          </w:p>
        </w:tc>
        <w:tc>
          <w:tcPr>
            <w:tcW w:w="2972" w:type="dxa"/>
            <w:gridSpan w:val="2"/>
          </w:tcPr>
          <w:p w14:paraId="2367000B" w14:textId="77777777" w:rsidR="005303F6" w:rsidRDefault="00EB7C90" w:rsidP="008F14F0">
            <w:pPr>
              <w:pStyle w:val="TableParagraph"/>
              <w:spacing w:before="39"/>
              <w:ind w:left="3"/>
              <w:rPr>
                <w:b/>
                <w:sz w:val="18"/>
              </w:rPr>
            </w:pPr>
            <w:r>
              <w:rPr>
                <w:b/>
                <w:sz w:val="18"/>
              </w:rPr>
              <w:t>Cohort</w:t>
            </w:r>
            <w:r>
              <w:rPr>
                <w:b/>
                <w:spacing w:val="-2"/>
                <w:sz w:val="18"/>
              </w:rPr>
              <w:t xml:space="preserve"> </w:t>
            </w:r>
            <w:r>
              <w:rPr>
                <w:b/>
                <w:sz w:val="18"/>
              </w:rPr>
              <w:t xml:space="preserve">4 </w:t>
            </w:r>
            <w:r>
              <w:rPr>
                <w:b/>
                <w:spacing w:val="-2"/>
                <w:sz w:val="18"/>
              </w:rPr>
              <w:t>(2/3L)</w:t>
            </w:r>
          </w:p>
          <w:p w14:paraId="2367000C" w14:textId="77777777" w:rsidR="005303F6" w:rsidRDefault="00EB7C90" w:rsidP="008F14F0">
            <w:pPr>
              <w:pStyle w:val="TableParagraph"/>
              <w:spacing w:before="43" w:line="206" w:lineRule="exact"/>
              <w:ind w:left="3"/>
              <w:rPr>
                <w:b/>
                <w:sz w:val="18"/>
              </w:rPr>
            </w:pPr>
            <w:r>
              <w:rPr>
                <w:b/>
                <w:sz w:val="18"/>
              </w:rPr>
              <w:t xml:space="preserve">N = </w:t>
            </w:r>
            <w:r>
              <w:rPr>
                <w:b/>
                <w:spacing w:val="-5"/>
                <w:sz w:val="18"/>
              </w:rPr>
              <w:t>69</w:t>
            </w:r>
          </w:p>
        </w:tc>
        <w:tc>
          <w:tcPr>
            <w:tcW w:w="3549" w:type="dxa"/>
            <w:gridSpan w:val="2"/>
          </w:tcPr>
          <w:p w14:paraId="2367000D" w14:textId="77777777" w:rsidR="005303F6" w:rsidRDefault="00EB7C90" w:rsidP="008F14F0">
            <w:pPr>
              <w:pStyle w:val="TableParagraph"/>
              <w:spacing w:before="39"/>
              <w:ind w:right="6"/>
              <w:rPr>
                <w:b/>
                <w:sz w:val="18"/>
              </w:rPr>
            </w:pPr>
            <w:r>
              <w:rPr>
                <w:b/>
                <w:sz w:val="18"/>
              </w:rPr>
              <w:t>Cohort</w:t>
            </w:r>
            <w:r>
              <w:rPr>
                <w:b/>
                <w:spacing w:val="-2"/>
                <w:sz w:val="18"/>
              </w:rPr>
              <w:t xml:space="preserve"> </w:t>
            </w:r>
            <w:r>
              <w:rPr>
                <w:b/>
                <w:sz w:val="18"/>
              </w:rPr>
              <w:t xml:space="preserve">6 </w:t>
            </w:r>
            <w:r>
              <w:rPr>
                <w:b/>
                <w:spacing w:val="-4"/>
                <w:sz w:val="18"/>
              </w:rPr>
              <w:t>(2L)</w:t>
            </w:r>
          </w:p>
          <w:p w14:paraId="2367000E" w14:textId="77777777" w:rsidR="005303F6" w:rsidRDefault="00EB7C90" w:rsidP="008F14F0">
            <w:pPr>
              <w:pStyle w:val="TableParagraph"/>
              <w:spacing w:before="2"/>
              <w:ind w:right="6"/>
              <w:rPr>
                <w:b/>
                <w:sz w:val="18"/>
              </w:rPr>
            </w:pPr>
            <w:r>
              <w:rPr>
                <w:b/>
                <w:sz w:val="18"/>
              </w:rPr>
              <w:t xml:space="preserve">N = </w:t>
            </w:r>
            <w:r>
              <w:rPr>
                <w:b/>
                <w:spacing w:val="-5"/>
                <w:sz w:val="18"/>
              </w:rPr>
              <w:t>31</w:t>
            </w:r>
          </w:p>
        </w:tc>
      </w:tr>
      <w:tr w:rsidR="005303F6" w14:paraId="23670013" w14:textId="77777777" w:rsidTr="00395BB3">
        <w:trPr>
          <w:trHeight w:val="279"/>
        </w:trPr>
        <w:tc>
          <w:tcPr>
            <w:tcW w:w="3560" w:type="dxa"/>
          </w:tcPr>
          <w:p w14:paraId="23670010" w14:textId="77777777" w:rsidR="005303F6" w:rsidRDefault="00EB7C90" w:rsidP="008F14F0">
            <w:pPr>
              <w:pStyle w:val="TableParagraph"/>
              <w:spacing w:before="36"/>
              <w:ind w:left="122"/>
              <w:rPr>
                <w:b/>
                <w:position w:val="6"/>
                <w:sz w:val="12"/>
              </w:rPr>
            </w:pPr>
            <w:r>
              <w:rPr>
                <w:b/>
                <w:sz w:val="18"/>
              </w:rPr>
              <w:t>Overall</w:t>
            </w:r>
            <w:r>
              <w:rPr>
                <w:b/>
                <w:spacing w:val="-4"/>
                <w:sz w:val="18"/>
              </w:rPr>
              <w:t xml:space="preserve"> </w:t>
            </w:r>
            <w:r>
              <w:rPr>
                <w:b/>
                <w:sz w:val="18"/>
              </w:rPr>
              <w:t>Response</w:t>
            </w:r>
            <w:r>
              <w:rPr>
                <w:b/>
                <w:spacing w:val="-3"/>
                <w:sz w:val="18"/>
              </w:rPr>
              <w:t xml:space="preserve"> </w:t>
            </w:r>
            <w:r>
              <w:rPr>
                <w:b/>
                <w:sz w:val="18"/>
              </w:rPr>
              <w:t>Rate</w:t>
            </w:r>
            <w:r>
              <w:rPr>
                <w:b/>
                <w:position w:val="6"/>
                <w:sz w:val="12"/>
              </w:rPr>
              <w:t>a</w:t>
            </w:r>
            <w:r>
              <w:rPr>
                <w:b/>
                <w:spacing w:val="14"/>
                <w:position w:val="6"/>
                <w:sz w:val="12"/>
              </w:rPr>
              <w:t xml:space="preserve"> </w:t>
            </w:r>
            <w:r>
              <w:rPr>
                <w:b/>
                <w:sz w:val="18"/>
              </w:rPr>
              <w:t>(95%</w:t>
            </w:r>
            <w:r>
              <w:rPr>
                <w:b/>
                <w:spacing w:val="-4"/>
                <w:sz w:val="18"/>
              </w:rPr>
              <w:t xml:space="preserve"> </w:t>
            </w:r>
            <w:proofErr w:type="gramStart"/>
            <w:r>
              <w:rPr>
                <w:b/>
                <w:spacing w:val="-4"/>
                <w:sz w:val="18"/>
              </w:rPr>
              <w:t>CI)</w:t>
            </w:r>
            <w:r>
              <w:rPr>
                <w:b/>
                <w:spacing w:val="-4"/>
                <w:position w:val="6"/>
                <w:sz w:val="12"/>
              </w:rPr>
              <w:t>b</w:t>
            </w:r>
            <w:proofErr w:type="gramEnd"/>
          </w:p>
        </w:tc>
        <w:tc>
          <w:tcPr>
            <w:tcW w:w="2972" w:type="dxa"/>
            <w:gridSpan w:val="2"/>
          </w:tcPr>
          <w:p w14:paraId="23670011" w14:textId="77777777" w:rsidR="005303F6" w:rsidRDefault="00EB7C90" w:rsidP="008F14F0">
            <w:pPr>
              <w:pStyle w:val="TableParagraph"/>
              <w:spacing w:before="39"/>
              <w:ind w:left="741"/>
              <w:rPr>
                <w:sz w:val="18"/>
              </w:rPr>
            </w:pPr>
            <w:r>
              <w:rPr>
                <w:sz w:val="18"/>
              </w:rPr>
              <w:t>40.6%</w:t>
            </w:r>
            <w:r>
              <w:rPr>
                <w:spacing w:val="-4"/>
                <w:sz w:val="18"/>
              </w:rPr>
              <w:t xml:space="preserve"> </w:t>
            </w:r>
            <w:r>
              <w:rPr>
                <w:sz w:val="18"/>
              </w:rPr>
              <w:t>(28.9,</w:t>
            </w:r>
            <w:r>
              <w:rPr>
                <w:spacing w:val="-2"/>
                <w:sz w:val="18"/>
              </w:rPr>
              <w:t xml:space="preserve"> 53.1)</w:t>
            </w:r>
          </w:p>
        </w:tc>
        <w:tc>
          <w:tcPr>
            <w:tcW w:w="3549" w:type="dxa"/>
            <w:gridSpan w:val="2"/>
          </w:tcPr>
          <w:p w14:paraId="23670012" w14:textId="77777777" w:rsidR="005303F6" w:rsidRDefault="00EB7C90" w:rsidP="008F14F0">
            <w:pPr>
              <w:pStyle w:val="TableParagraph"/>
              <w:spacing w:before="39"/>
              <w:ind w:left="1026"/>
              <w:rPr>
                <w:sz w:val="18"/>
              </w:rPr>
            </w:pPr>
            <w:r>
              <w:rPr>
                <w:sz w:val="18"/>
              </w:rPr>
              <w:t>51.6%</w:t>
            </w:r>
            <w:r>
              <w:rPr>
                <w:spacing w:val="-4"/>
                <w:sz w:val="18"/>
              </w:rPr>
              <w:t xml:space="preserve"> </w:t>
            </w:r>
            <w:r>
              <w:rPr>
                <w:sz w:val="18"/>
              </w:rPr>
              <w:t>(33.1,</w:t>
            </w:r>
            <w:r>
              <w:rPr>
                <w:spacing w:val="-2"/>
                <w:sz w:val="18"/>
              </w:rPr>
              <w:t xml:space="preserve"> 69.8)</w:t>
            </w:r>
          </w:p>
        </w:tc>
      </w:tr>
      <w:tr w:rsidR="005303F6" w14:paraId="23670017" w14:textId="77777777" w:rsidTr="00395BB3">
        <w:trPr>
          <w:trHeight w:val="266"/>
        </w:trPr>
        <w:tc>
          <w:tcPr>
            <w:tcW w:w="3560" w:type="dxa"/>
          </w:tcPr>
          <w:p w14:paraId="23670014" w14:textId="77777777" w:rsidR="005303F6" w:rsidRDefault="00EB7C90" w:rsidP="008F14F0">
            <w:pPr>
              <w:pStyle w:val="TableParagraph"/>
              <w:spacing w:before="26"/>
              <w:ind w:left="278"/>
              <w:rPr>
                <w:sz w:val="18"/>
              </w:rPr>
            </w:pPr>
            <w:r>
              <w:rPr>
                <w:sz w:val="18"/>
              </w:rPr>
              <w:t>Complete</w:t>
            </w:r>
            <w:r>
              <w:rPr>
                <w:spacing w:val="-3"/>
                <w:sz w:val="18"/>
              </w:rPr>
              <w:t xml:space="preserve"> </w:t>
            </w:r>
            <w:r>
              <w:rPr>
                <w:sz w:val="18"/>
              </w:rPr>
              <w:t>Response,</w:t>
            </w:r>
            <w:r>
              <w:rPr>
                <w:spacing w:val="-2"/>
                <w:sz w:val="18"/>
              </w:rPr>
              <w:t xml:space="preserve"> </w:t>
            </w:r>
            <w:r>
              <w:rPr>
                <w:sz w:val="18"/>
              </w:rPr>
              <w:t>n</w:t>
            </w:r>
            <w:r>
              <w:rPr>
                <w:spacing w:val="-2"/>
                <w:sz w:val="18"/>
              </w:rPr>
              <w:t xml:space="preserve"> </w:t>
            </w:r>
            <w:r>
              <w:rPr>
                <w:spacing w:val="-5"/>
                <w:sz w:val="18"/>
              </w:rPr>
              <w:t>(%)</w:t>
            </w:r>
          </w:p>
        </w:tc>
        <w:tc>
          <w:tcPr>
            <w:tcW w:w="2972" w:type="dxa"/>
            <w:gridSpan w:val="2"/>
          </w:tcPr>
          <w:p w14:paraId="23670015" w14:textId="77777777" w:rsidR="005303F6" w:rsidRDefault="00EB7C90" w:rsidP="008F14F0">
            <w:pPr>
              <w:pStyle w:val="TableParagraph"/>
              <w:spacing w:before="26"/>
              <w:ind w:left="3"/>
              <w:rPr>
                <w:sz w:val="18"/>
              </w:rPr>
            </w:pPr>
            <w:r>
              <w:rPr>
                <w:sz w:val="18"/>
              </w:rPr>
              <w:t xml:space="preserve">1 </w:t>
            </w:r>
            <w:r>
              <w:rPr>
                <w:spacing w:val="-2"/>
                <w:sz w:val="18"/>
              </w:rPr>
              <w:t>(1.4)</w:t>
            </w:r>
          </w:p>
        </w:tc>
        <w:tc>
          <w:tcPr>
            <w:tcW w:w="3549" w:type="dxa"/>
            <w:gridSpan w:val="2"/>
          </w:tcPr>
          <w:p w14:paraId="23670016" w14:textId="77777777" w:rsidR="005303F6" w:rsidRDefault="00EB7C90" w:rsidP="008F14F0">
            <w:pPr>
              <w:pStyle w:val="TableParagraph"/>
              <w:spacing w:before="26"/>
              <w:ind w:left="2" w:right="6"/>
              <w:rPr>
                <w:sz w:val="18"/>
              </w:rPr>
            </w:pPr>
            <w:r>
              <w:rPr>
                <w:sz w:val="18"/>
              </w:rPr>
              <w:t xml:space="preserve">0 </w:t>
            </w:r>
            <w:r>
              <w:rPr>
                <w:spacing w:val="-2"/>
                <w:sz w:val="18"/>
              </w:rPr>
              <w:t>(0.0)</w:t>
            </w:r>
          </w:p>
        </w:tc>
      </w:tr>
      <w:tr w:rsidR="005303F6" w14:paraId="2367001B" w14:textId="77777777" w:rsidTr="00395BB3">
        <w:trPr>
          <w:trHeight w:val="253"/>
        </w:trPr>
        <w:tc>
          <w:tcPr>
            <w:tcW w:w="3560" w:type="dxa"/>
          </w:tcPr>
          <w:p w14:paraId="23670018" w14:textId="77777777" w:rsidR="005303F6" w:rsidRDefault="00EB7C90" w:rsidP="008F14F0">
            <w:pPr>
              <w:pStyle w:val="TableParagraph"/>
              <w:spacing w:before="26" w:line="206" w:lineRule="exact"/>
              <w:ind w:left="278"/>
              <w:rPr>
                <w:sz w:val="18"/>
              </w:rPr>
            </w:pPr>
            <w:r>
              <w:rPr>
                <w:sz w:val="18"/>
              </w:rPr>
              <w:t>Partial</w:t>
            </w:r>
            <w:r>
              <w:rPr>
                <w:spacing w:val="-4"/>
                <w:sz w:val="18"/>
              </w:rPr>
              <w:t xml:space="preserve"> </w:t>
            </w:r>
            <w:r>
              <w:rPr>
                <w:sz w:val="18"/>
              </w:rPr>
              <w:t>Response,</w:t>
            </w:r>
            <w:r>
              <w:rPr>
                <w:spacing w:val="-2"/>
                <w:sz w:val="18"/>
              </w:rPr>
              <w:t xml:space="preserve"> </w:t>
            </w:r>
            <w:r>
              <w:rPr>
                <w:sz w:val="18"/>
              </w:rPr>
              <w:t>n</w:t>
            </w:r>
            <w:r>
              <w:rPr>
                <w:spacing w:val="-3"/>
                <w:sz w:val="18"/>
              </w:rPr>
              <w:t xml:space="preserve"> </w:t>
            </w:r>
            <w:r>
              <w:rPr>
                <w:spacing w:val="-5"/>
                <w:sz w:val="18"/>
              </w:rPr>
              <w:t>(%)</w:t>
            </w:r>
          </w:p>
        </w:tc>
        <w:tc>
          <w:tcPr>
            <w:tcW w:w="2972" w:type="dxa"/>
            <w:gridSpan w:val="2"/>
          </w:tcPr>
          <w:p w14:paraId="23670019" w14:textId="77777777" w:rsidR="005303F6" w:rsidRDefault="00EB7C90" w:rsidP="008F14F0">
            <w:pPr>
              <w:pStyle w:val="TableParagraph"/>
              <w:spacing w:before="26" w:line="206" w:lineRule="exact"/>
              <w:ind w:left="3" w:right="2"/>
              <w:rPr>
                <w:sz w:val="18"/>
              </w:rPr>
            </w:pPr>
            <w:r>
              <w:rPr>
                <w:sz w:val="18"/>
              </w:rPr>
              <w:t xml:space="preserve">27 </w:t>
            </w:r>
            <w:r>
              <w:rPr>
                <w:spacing w:val="-2"/>
                <w:sz w:val="18"/>
              </w:rPr>
              <w:t>(39.1)</w:t>
            </w:r>
          </w:p>
        </w:tc>
        <w:tc>
          <w:tcPr>
            <w:tcW w:w="3549" w:type="dxa"/>
            <w:gridSpan w:val="2"/>
          </w:tcPr>
          <w:p w14:paraId="2367001A" w14:textId="77777777" w:rsidR="005303F6" w:rsidRDefault="00EB7C90" w:rsidP="008F14F0">
            <w:pPr>
              <w:pStyle w:val="TableParagraph"/>
              <w:spacing w:before="26" w:line="206" w:lineRule="exact"/>
              <w:ind w:left="4" w:right="6"/>
              <w:rPr>
                <w:sz w:val="18"/>
              </w:rPr>
            </w:pPr>
            <w:r>
              <w:rPr>
                <w:sz w:val="18"/>
              </w:rPr>
              <w:t xml:space="preserve">16 </w:t>
            </w:r>
            <w:r>
              <w:rPr>
                <w:spacing w:val="-2"/>
                <w:sz w:val="18"/>
              </w:rPr>
              <w:t>(51.6)</w:t>
            </w:r>
          </w:p>
        </w:tc>
      </w:tr>
      <w:tr w:rsidR="005303F6" w14:paraId="23670021" w14:textId="77777777" w:rsidTr="00395BB3">
        <w:trPr>
          <w:trHeight w:val="268"/>
        </w:trPr>
        <w:tc>
          <w:tcPr>
            <w:tcW w:w="3560" w:type="dxa"/>
          </w:tcPr>
          <w:p w14:paraId="2367001C" w14:textId="77777777" w:rsidR="005303F6" w:rsidRDefault="00EB7C90" w:rsidP="008F14F0">
            <w:pPr>
              <w:pStyle w:val="TableParagraph"/>
              <w:spacing w:before="38" w:line="210" w:lineRule="exact"/>
              <w:ind w:left="122"/>
              <w:rPr>
                <w:b/>
                <w:position w:val="6"/>
                <w:sz w:val="12"/>
              </w:rPr>
            </w:pPr>
            <w:r>
              <w:rPr>
                <w:b/>
                <w:sz w:val="18"/>
              </w:rPr>
              <w:t xml:space="preserve">Duration of </w:t>
            </w:r>
            <w:r>
              <w:rPr>
                <w:b/>
                <w:spacing w:val="-2"/>
                <w:sz w:val="18"/>
              </w:rPr>
              <w:t>Response</w:t>
            </w:r>
            <w:r>
              <w:rPr>
                <w:b/>
                <w:spacing w:val="-2"/>
                <w:position w:val="6"/>
                <w:sz w:val="12"/>
              </w:rPr>
              <w:t>a</w:t>
            </w:r>
          </w:p>
        </w:tc>
        <w:tc>
          <w:tcPr>
            <w:tcW w:w="1272" w:type="dxa"/>
          </w:tcPr>
          <w:p w14:paraId="2367001D" w14:textId="77777777" w:rsidR="005303F6" w:rsidRDefault="005303F6" w:rsidP="008F14F0">
            <w:pPr>
              <w:pStyle w:val="TableParagraph"/>
              <w:spacing w:before="0"/>
              <w:rPr>
                <w:rFonts w:ascii="Times New Roman"/>
                <w:sz w:val="18"/>
              </w:rPr>
            </w:pPr>
          </w:p>
        </w:tc>
        <w:tc>
          <w:tcPr>
            <w:tcW w:w="1700" w:type="dxa"/>
          </w:tcPr>
          <w:p w14:paraId="2367001E" w14:textId="77777777" w:rsidR="005303F6" w:rsidRDefault="005303F6" w:rsidP="008F14F0">
            <w:pPr>
              <w:pStyle w:val="TableParagraph"/>
              <w:spacing w:before="0"/>
              <w:rPr>
                <w:rFonts w:ascii="Times New Roman"/>
                <w:sz w:val="18"/>
              </w:rPr>
            </w:pPr>
          </w:p>
        </w:tc>
        <w:tc>
          <w:tcPr>
            <w:tcW w:w="1703" w:type="dxa"/>
          </w:tcPr>
          <w:p w14:paraId="2367001F" w14:textId="77777777" w:rsidR="005303F6" w:rsidRDefault="005303F6" w:rsidP="008F14F0">
            <w:pPr>
              <w:pStyle w:val="TableParagraph"/>
              <w:spacing w:before="0"/>
              <w:rPr>
                <w:rFonts w:ascii="Times New Roman"/>
                <w:sz w:val="18"/>
              </w:rPr>
            </w:pPr>
          </w:p>
        </w:tc>
        <w:tc>
          <w:tcPr>
            <w:tcW w:w="1846" w:type="dxa"/>
          </w:tcPr>
          <w:p w14:paraId="23670020" w14:textId="77777777" w:rsidR="005303F6" w:rsidRDefault="005303F6" w:rsidP="008F14F0">
            <w:pPr>
              <w:pStyle w:val="TableParagraph"/>
              <w:spacing w:before="0"/>
              <w:rPr>
                <w:rFonts w:ascii="Times New Roman"/>
                <w:sz w:val="18"/>
              </w:rPr>
            </w:pPr>
          </w:p>
        </w:tc>
      </w:tr>
      <w:tr w:rsidR="005303F6" w14:paraId="23670026" w14:textId="77777777" w:rsidTr="00395BB3">
        <w:trPr>
          <w:trHeight w:val="276"/>
        </w:trPr>
        <w:tc>
          <w:tcPr>
            <w:tcW w:w="3560" w:type="dxa"/>
          </w:tcPr>
          <w:p w14:paraId="23670022" w14:textId="77777777" w:rsidR="005303F6" w:rsidRDefault="00EB7C90" w:rsidP="008F14F0">
            <w:pPr>
              <w:pStyle w:val="TableParagraph"/>
              <w:spacing w:before="40"/>
              <w:ind w:left="286"/>
              <w:rPr>
                <w:sz w:val="18"/>
              </w:rPr>
            </w:pPr>
            <w:r>
              <w:rPr>
                <w:sz w:val="18"/>
              </w:rPr>
              <w:t>Number</w:t>
            </w:r>
            <w:r>
              <w:rPr>
                <w:spacing w:val="-4"/>
                <w:sz w:val="18"/>
              </w:rPr>
              <w:t xml:space="preserve"> </w:t>
            </w:r>
            <w:r>
              <w:rPr>
                <w:sz w:val="18"/>
              </w:rPr>
              <w:t>of</w:t>
            </w:r>
            <w:r>
              <w:rPr>
                <w:spacing w:val="-2"/>
                <w:sz w:val="18"/>
              </w:rPr>
              <w:t xml:space="preserve"> </w:t>
            </w:r>
            <w:r>
              <w:rPr>
                <w:sz w:val="18"/>
              </w:rPr>
              <w:t>responders,</w:t>
            </w:r>
            <w:r>
              <w:rPr>
                <w:spacing w:val="-1"/>
                <w:sz w:val="18"/>
              </w:rPr>
              <w:t xml:space="preserve"> </w:t>
            </w:r>
            <w:r>
              <w:rPr>
                <w:spacing w:val="-10"/>
                <w:sz w:val="18"/>
              </w:rPr>
              <w:t>n</w:t>
            </w:r>
          </w:p>
        </w:tc>
        <w:tc>
          <w:tcPr>
            <w:tcW w:w="1272" w:type="dxa"/>
          </w:tcPr>
          <w:p w14:paraId="23670023" w14:textId="77777777" w:rsidR="005303F6" w:rsidRDefault="005303F6" w:rsidP="008F14F0">
            <w:pPr>
              <w:pStyle w:val="TableParagraph"/>
              <w:spacing w:before="0"/>
              <w:rPr>
                <w:rFonts w:ascii="Times New Roman"/>
                <w:sz w:val="18"/>
              </w:rPr>
            </w:pPr>
          </w:p>
        </w:tc>
        <w:tc>
          <w:tcPr>
            <w:tcW w:w="1700" w:type="dxa"/>
          </w:tcPr>
          <w:p w14:paraId="23670024" w14:textId="77777777" w:rsidR="005303F6" w:rsidRDefault="00EB7C90" w:rsidP="008F14F0">
            <w:pPr>
              <w:pStyle w:val="TableParagraph"/>
              <w:spacing w:before="40"/>
              <w:ind w:left="115"/>
              <w:rPr>
                <w:sz w:val="18"/>
              </w:rPr>
            </w:pPr>
            <w:r>
              <w:rPr>
                <w:spacing w:val="-5"/>
                <w:sz w:val="18"/>
              </w:rPr>
              <w:t>28</w:t>
            </w:r>
          </w:p>
        </w:tc>
        <w:tc>
          <w:tcPr>
            <w:tcW w:w="3549" w:type="dxa"/>
            <w:gridSpan w:val="2"/>
          </w:tcPr>
          <w:p w14:paraId="23670025" w14:textId="77777777" w:rsidR="005303F6" w:rsidRDefault="00EB7C90" w:rsidP="008F14F0">
            <w:pPr>
              <w:pStyle w:val="TableParagraph"/>
              <w:spacing w:before="40"/>
              <w:ind w:left="1" w:right="6"/>
              <w:rPr>
                <w:sz w:val="18"/>
              </w:rPr>
            </w:pPr>
            <w:r>
              <w:rPr>
                <w:spacing w:val="-5"/>
                <w:sz w:val="18"/>
              </w:rPr>
              <w:t>16</w:t>
            </w:r>
          </w:p>
        </w:tc>
      </w:tr>
      <w:tr w:rsidR="005303F6" w14:paraId="2367002A" w14:textId="77777777" w:rsidTr="00395BB3">
        <w:trPr>
          <w:trHeight w:val="269"/>
        </w:trPr>
        <w:tc>
          <w:tcPr>
            <w:tcW w:w="3560" w:type="dxa"/>
          </w:tcPr>
          <w:p w14:paraId="23670027" w14:textId="77777777" w:rsidR="005303F6" w:rsidRDefault="00EB7C90" w:rsidP="008F14F0">
            <w:pPr>
              <w:pStyle w:val="TableParagraph"/>
              <w:spacing w:before="26"/>
              <w:ind w:left="286"/>
              <w:rPr>
                <w:position w:val="6"/>
                <w:sz w:val="12"/>
              </w:rPr>
            </w:pPr>
            <w:r>
              <w:rPr>
                <w:sz w:val="18"/>
              </w:rPr>
              <w:t>Median,</w:t>
            </w:r>
            <w:r>
              <w:rPr>
                <w:spacing w:val="-4"/>
                <w:sz w:val="18"/>
              </w:rPr>
              <w:t xml:space="preserve"> </w:t>
            </w:r>
            <w:r>
              <w:rPr>
                <w:sz w:val="18"/>
              </w:rPr>
              <w:t>months</w:t>
            </w:r>
            <w:r>
              <w:rPr>
                <w:spacing w:val="-3"/>
                <w:sz w:val="18"/>
              </w:rPr>
              <w:t xml:space="preserve"> </w:t>
            </w:r>
            <w:r>
              <w:rPr>
                <w:sz w:val="18"/>
              </w:rPr>
              <w:t>(95%</w:t>
            </w:r>
            <w:r>
              <w:rPr>
                <w:spacing w:val="-3"/>
                <w:sz w:val="18"/>
              </w:rPr>
              <w:t xml:space="preserve"> </w:t>
            </w:r>
            <w:proofErr w:type="gramStart"/>
            <w:r>
              <w:rPr>
                <w:spacing w:val="-4"/>
                <w:sz w:val="18"/>
              </w:rPr>
              <w:t>CI)</w:t>
            </w:r>
            <w:r>
              <w:rPr>
                <w:spacing w:val="-4"/>
                <w:position w:val="6"/>
                <w:sz w:val="12"/>
              </w:rPr>
              <w:t>c</w:t>
            </w:r>
            <w:proofErr w:type="gramEnd"/>
          </w:p>
        </w:tc>
        <w:tc>
          <w:tcPr>
            <w:tcW w:w="2972" w:type="dxa"/>
            <w:gridSpan w:val="2"/>
          </w:tcPr>
          <w:p w14:paraId="23670028" w14:textId="77777777" w:rsidR="005303F6" w:rsidRDefault="00EB7C90" w:rsidP="008F14F0">
            <w:pPr>
              <w:pStyle w:val="TableParagraph"/>
              <w:spacing w:before="29"/>
              <w:ind w:left="770"/>
              <w:rPr>
                <w:sz w:val="18"/>
              </w:rPr>
            </w:pPr>
            <w:r>
              <w:rPr>
                <w:sz w:val="18"/>
              </w:rPr>
              <w:t>9.72</w:t>
            </w:r>
            <w:r>
              <w:rPr>
                <w:spacing w:val="-5"/>
                <w:sz w:val="18"/>
              </w:rPr>
              <w:t xml:space="preserve"> </w:t>
            </w:r>
            <w:r>
              <w:rPr>
                <w:sz w:val="18"/>
              </w:rPr>
              <w:t>(5.55,</w:t>
            </w:r>
            <w:r>
              <w:rPr>
                <w:spacing w:val="-4"/>
                <w:sz w:val="18"/>
              </w:rPr>
              <w:t xml:space="preserve"> </w:t>
            </w:r>
            <w:r>
              <w:rPr>
                <w:spacing w:val="-2"/>
                <w:sz w:val="18"/>
              </w:rPr>
              <w:t>12.98)</w:t>
            </w:r>
          </w:p>
        </w:tc>
        <w:tc>
          <w:tcPr>
            <w:tcW w:w="3549" w:type="dxa"/>
            <w:gridSpan w:val="2"/>
          </w:tcPr>
          <w:p w14:paraId="23670029" w14:textId="77777777" w:rsidR="005303F6" w:rsidRDefault="00EB7C90" w:rsidP="008F14F0">
            <w:pPr>
              <w:pStyle w:val="TableParagraph"/>
              <w:spacing w:before="29"/>
              <w:ind w:left="1058"/>
              <w:rPr>
                <w:sz w:val="18"/>
              </w:rPr>
            </w:pPr>
            <w:r>
              <w:rPr>
                <w:sz w:val="18"/>
              </w:rPr>
              <w:t>9.05</w:t>
            </w:r>
            <w:r>
              <w:rPr>
                <w:spacing w:val="-5"/>
                <w:sz w:val="18"/>
              </w:rPr>
              <w:t xml:space="preserve"> </w:t>
            </w:r>
            <w:r>
              <w:rPr>
                <w:sz w:val="18"/>
              </w:rPr>
              <w:t>(4.17,</w:t>
            </w:r>
            <w:r>
              <w:rPr>
                <w:spacing w:val="-4"/>
                <w:sz w:val="18"/>
              </w:rPr>
              <w:t xml:space="preserve"> </w:t>
            </w:r>
            <w:r>
              <w:rPr>
                <w:spacing w:val="-2"/>
                <w:sz w:val="18"/>
              </w:rPr>
              <w:t>27.60)</w:t>
            </w:r>
          </w:p>
        </w:tc>
      </w:tr>
      <w:tr w:rsidR="005303F6" w14:paraId="2367002E" w14:textId="77777777" w:rsidTr="00395BB3">
        <w:trPr>
          <w:trHeight w:val="267"/>
        </w:trPr>
        <w:tc>
          <w:tcPr>
            <w:tcW w:w="3560" w:type="dxa"/>
          </w:tcPr>
          <w:p w14:paraId="2367002B" w14:textId="77777777" w:rsidR="005303F6" w:rsidRDefault="00EB7C90" w:rsidP="008F14F0">
            <w:pPr>
              <w:pStyle w:val="TableParagraph"/>
              <w:spacing w:before="27"/>
              <w:ind w:left="286"/>
              <w:rPr>
                <w:sz w:val="18"/>
              </w:rPr>
            </w:pPr>
            <w:r>
              <w:rPr>
                <w:sz w:val="18"/>
              </w:rPr>
              <w:t>Patients</w:t>
            </w:r>
            <w:r>
              <w:rPr>
                <w:spacing w:val="-2"/>
                <w:sz w:val="18"/>
              </w:rPr>
              <w:t xml:space="preserve"> </w:t>
            </w:r>
            <w:r>
              <w:rPr>
                <w:sz w:val="18"/>
              </w:rPr>
              <w:t>with</w:t>
            </w:r>
            <w:r>
              <w:rPr>
                <w:spacing w:val="-2"/>
                <w:sz w:val="18"/>
              </w:rPr>
              <w:t xml:space="preserve"> </w:t>
            </w:r>
            <w:r>
              <w:rPr>
                <w:sz w:val="18"/>
              </w:rPr>
              <w:t>DOR</w:t>
            </w:r>
            <w:r>
              <w:rPr>
                <w:spacing w:val="-1"/>
                <w:sz w:val="18"/>
              </w:rPr>
              <w:t xml:space="preserve"> </w:t>
            </w:r>
            <w:r>
              <w:rPr>
                <w:sz w:val="18"/>
              </w:rPr>
              <w:t>≥6</w:t>
            </w:r>
            <w:r>
              <w:rPr>
                <w:spacing w:val="-2"/>
                <w:sz w:val="18"/>
              </w:rPr>
              <w:t xml:space="preserve"> months</w:t>
            </w:r>
          </w:p>
        </w:tc>
        <w:tc>
          <w:tcPr>
            <w:tcW w:w="2972" w:type="dxa"/>
            <w:gridSpan w:val="2"/>
          </w:tcPr>
          <w:p w14:paraId="2367002C" w14:textId="77777777" w:rsidR="005303F6" w:rsidRDefault="00EB7C90" w:rsidP="008F14F0">
            <w:pPr>
              <w:pStyle w:val="TableParagraph"/>
              <w:spacing w:before="27"/>
              <w:ind w:left="3"/>
              <w:rPr>
                <w:sz w:val="18"/>
              </w:rPr>
            </w:pPr>
            <w:r>
              <w:rPr>
                <w:spacing w:val="-2"/>
                <w:sz w:val="18"/>
              </w:rPr>
              <w:t>64.3%</w:t>
            </w:r>
          </w:p>
        </w:tc>
        <w:tc>
          <w:tcPr>
            <w:tcW w:w="3549" w:type="dxa"/>
            <w:gridSpan w:val="2"/>
          </w:tcPr>
          <w:p w14:paraId="2367002D" w14:textId="77777777" w:rsidR="005303F6" w:rsidRDefault="00EB7C90" w:rsidP="008F14F0">
            <w:pPr>
              <w:pStyle w:val="TableParagraph"/>
              <w:spacing w:before="27"/>
              <w:ind w:left="1" w:right="6"/>
              <w:rPr>
                <w:sz w:val="18"/>
              </w:rPr>
            </w:pPr>
            <w:r>
              <w:rPr>
                <w:spacing w:val="-2"/>
                <w:sz w:val="18"/>
              </w:rPr>
              <w:t>62.5%</w:t>
            </w:r>
          </w:p>
        </w:tc>
      </w:tr>
      <w:tr w:rsidR="005303F6" w14:paraId="23670032" w14:textId="77777777" w:rsidTr="00395BB3">
        <w:trPr>
          <w:trHeight w:val="254"/>
        </w:trPr>
        <w:tc>
          <w:tcPr>
            <w:tcW w:w="3560" w:type="dxa"/>
          </w:tcPr>
          <w:p w14:paraId="2367002F" w14:textId="77777777" w:rsidR="005303F6" w:rsidRDefault="00EB7C90" w:rsidP="008F14F0">
            <w:pPr>
              <w:pStyle w:val="TableParagraph"/>
              <w:spacing w:before="28" w:line="206" w:lineRule="exact"/>
              <w:ind w:left="286"/>
              <w:rPr>
                <w:sz w:val="18"/>
              </w:rPr>
            </w:pPr>
            <w:r>
              <w:rPr>
                <w:sz w:val="18"/>
              </w:rPr>
              <w:t>Patients</w:t>
            </w:r>
            <w:r>
              <w:rPr>
                <w:spacing w:val="-4"/>
                <w:sz w:val="18"/>
              </w:rPr>
              <w:t xml:space="preserve"> </w:t>
            </w:r>
            <w:r>
              <w:rPr>
                <w:sz w:val="18"/>
              </w:rPr>
              <w:t>with</w:t>
            </w:r>
            <w:r>
              <w:rPr>
                <w:spacing w:val="-2"/>
                <w:sz w:val="18"/>
              </w:rPr>
              <w:t xml:space="preserve"> </w:t>
            </w:r>
            <w:r>
              <w:rPr>
                <w:sz w:val="18"/>
              </w:rPr>
              <w:t>DOR</w:t>
            </w:r>
            <w:r>
              <w:rPr>
                <w:spacing w:val="-2"/>
                <w:sz w:val="18"/>
              </w:rPr>
              <w:t xml:space="preserve"> </w:t>
            </w:r>
            <w:r>
              <w:rPr>
                <w:sz w:val="18"/>
              </w:rPr>
              <w:t>≥12</w:t>
            </w:r>
            <w:r>
              <w:rPr>
                <w:spacing w:val="-2"/>
                <w:sz w:val="18"/>
              </w:rPr>
              <w:t xml:space="preserve"> months</w:t>
            </w:r>
          </w:p>
        </w:tc>
        <w:tc>
          <w:tcPr>
            <w:tcW w:w="2972" w:type="dxa"/>
            <w:gridSpan w:val="2"/>
          </w:tcPr>
          <w:p w14:paraId="23670030" w14:textId="77777777" w:rsidR="005303F6" w:rsidRDefault="00EB7C90" w:rsidP="008F14F0">
            <w:pPr>
              <w:pStyle w:val="TableParagraph"/>
              <w:spacing w:before="28" w:line="206" w:lineRule="exact"/>
              <w:ind w:left="3"/>
              <w:rPr>
                <w:sz w:val="18"/>
              </w:rPr>
            </w:pPr>
            <w:r>
              <w:rPr>
                <w:spacing w:val="-2"/>
                <w:sz w:val="18"/>
              </w:rPr>
              <w:t>32.1%</w:t>
            </w:r>
          </w:p>
        </w:tc>
        <w:tc>
          <w:tcPr>
            <w:tcW w:w="3549" w:type="dxa"/>
            <w:gridSpan w:val="2"/>
          </w:tcPr>
          <w:p w14:paraId="23670031" w14:textId="77777777" w:rsidR="005303F6" w:rsidRDefault="00EB7C90" w:rsidP="008F14F0">
            <w:pPr>
              <w:pStyle w:val="TableParagraph"/>
              <w:spacing w:before="28" w:line="206" w:lineRule="exact"/>
              <w:ind w:left="1" w:right="6"/>
              <w:rPr>
                <w:sz w:val="18"/>
              </w:rPr>
            </w:pPr>
            <w:r>
              <w:rPr>
                <w:spacing w:val="-2"/>
                <w:sz w:val="18"/>
              </w:rPr>
              <w:t>43.8%</w:t>
            </w:r>
          </w:p>
        </w:tc>
      </w:tr>
    </w:tbl>
    <w:p w14:paraId="23670033" w14:textId="77777777" w:rsidR="005303F6" w:rsidRDefault="00EB7C90" w:rsidP="008F14F0">
      <w:pPr>
        <w:spacing w:before="42"/>
        <w:ind w:left="131"/>
        <w:rPr>
          <w:rFonts w:ascii="Arial"/>
          <w:i/>
          <w:sz w:val="16"/>
        </w:rPr>
      </w:pPr>
      <w:r>
        <w:rPr>
          <w:rFonts w:ascii="Arial"/>
          <w:i/>
          <w:sz w:val="16"/>
        </w:rPr>
        <w:t>Abbreviations: BIRC, Blinded Independent Review Committee; CI, Confidence</w:t>
      </w:r>
      <w:r>
        <w:rPr>
          <w:rFonts w:ascii="Arial"/>
          <w:i/>
          <w:spacing w:val="-1"/>
          <w:sz w:val="16"/>
        </w:rPr>
        <w:t xml:space="preserve"> </w:t>
      </w:r>
      <w:r>
        <w:rPr>
          <w:rFonts w:ascii="Arial"/>
          <w:i/>
          <w:sz w:val="16"/>
        </w:rPr>
        <w:t>Interval; CR, Complete</w:t>
      </w:r>
      <w:r>
        <w:rPr>
          <w:rFonts w:ascii="Arial"/>
          <w:i/>
          <w:spacing w:val="-1"/>
          <w:sz w:val="16"/>
        </w:rPr>
        <w:t xml:space="preserve"> </w:t>
      </w:r>
      <w:r>
        <w:rPr>
          <w:rFonts w:ascii="Arial"/>
          <w:i/>
          <w:sz w:val="16"/>
        </w:rPr>
        <w:t>Response; ORR, Overall Response Rate;</w:t>
      </w:r>
      <w:r>
        <w:rPr>
          <w:rFonts w:ascii="Arial"/>
          <w:i/>
          <w:spacing w:val="-3"/>
          <w:sz w:val="16"/>
        </w:rPr>
        <w:t xml:space="preserve"> </w:t>
      </w:r>
      <w:r>
        <w:rPr>
          <w:rFonts w:ascii="Arial"/>
          <w:i/>
          <w:sz w:val="16"/>
        </w:rPr>
        <w:t>MET,</w:t>
      </w:r>
      <w:r>
        <w:rPr>
          <w:rFonts w:ascii="Arial"/>
          <w:i/>
          <w:spacing w:val="-3"/>
          <w:sz w:val="16"/>
        </w:rPr>
        <w:t xml:space="preserve"> </w:t>
      </w:r>
      <w:r>
        <w:rPr>
          <w:rFonts w:ascii="Arial"/>
          <w:i/>
          <w:sz w:val="16"/>
        </w:rPr>
        <w:t>mesenchymal-epithelial</w:t>
      </w:r>
      <w:r>
        <w:rPr>
          <w:rFonts w:ascii="Arial"/>
          <w:i/>
          <w:spacing w:val="-2"/>
          <w:sz w:val="16"/>
        </w:rPr>
        <w:t xml:space="preserve"> </w:t>
      </w:r>
      <w:r>
        <w:rPr>
          <w:rFonts w:ascii="Arial"/>
          <w:i/>
          <w:sz w:val="16"/>
        </w:rPr>
        <w:t>transition;</w:t>
      </w:r>
      <w:r>
        <w:rPr>
          <w:rFonts w:ascii="Arial"/>
          <w:i/>
          <w:spacing w:val="-2"/>
          <w:sz w:val="16"/>
        </w:rPr>
        <w:t xml:space="preserve"> </w:t>
      </w:r>
      <w:r>
        <w:rPr>
          <w:rFonts w:ascii="Arial"/>
          <w:i/>
          <w:sz w:val="16"/>
        </w:rPr>
        <w:t>NSCLC,</w:t>
      </w:r>
      <w:r>
        <w:rPr>
          <w:rFonts w:ascii="Arial"/>
          <w:i/>
          <w:spacing w:val="-3"/>
          <w:sz w:val="16"/>
        </w:rPr>
        <w:t xml:space="preserve"> </w:t>
      </w:r>
      <w:r>
        <w:rPr>
          <w:rFonts w:ascii="Arial"/>
          <w:i/>
          <w:sz w:val="16"/>
        </w:rPr>
        <w:t>Non-Small</w:t>
      </w:r>
      <w:r>
        <w:rPr>
          <w:rFonts w:ascii="Arial"/>
          <w:i/>
          <w:spacing w:val="-2"/>
          <w:sz w:val="16"/>
        </w:rPr>
        <w:t xml:space="preserve"> </w:t>
      </w:r>
      <w:r>
        <w:rPr>
          <w:rFonts w:ascii="Arial"/>
          <w:i/>
          <w:sz w:val="16"/>
        </w:rPr>
        <w:t>Cell</w:t>
      </w:r>
      <w:r>
        <w:rPr>
          <w:rFonts w:ascii="Arial"/>
          <w:i/>
          <w:spacing w:val="-2"/>
          <w:sz w:val="16"/>
        </w:rPr>
        <w:t xml:space="preserve"> </w:t>
      </w:r>
      <w:r>
        <w:rPr>
          <w:rFonts w:ascii="Arial"/>
          <w:i/>
          <w:sz w:val="16"/>
        </w:rPr>
        <w:t>Lung</w:t>
      </w:r>
      <w:r>
        <w:rPr>
          <w:rFonts w:ascii="Arial"/>
          <w:i/>
          <w:spacing w:val="-3"/>
          <w:sz w:val="16"/>
        </w:rPr>
        <w:t xml:space="preserve"> </w:t>
      </w:r>
      <w:r>
        <w:rPr>
          <w:rFonts w:ascii="Arial"/>
          <w:i/>
          <w:sz w:val="16"/>
        </w:rPr>
        <w:t>Cancer;</w:t>
      </w:r>
      <w:r>
        <w:rPr>
          <w:rFonts w:ascii="Arial"/>
          <w:i/>
          <w:spacing w:val="-3"/>
          <w:sz w:val="16"/>
        </w:rPr>
        <w:t xml:space="preserve"> </w:t>
      </w:r>
      <w:r>
        <w:rPr>
          <w:rFonts w:ascii="Arial"/>
          <w:i/>
          <w:sz w:val="16"/>
        </w:rPr>
        <w:t>ORR,</w:t>
      </w:r>
      <w:r>
        <w:rPr>
          <w:rFonts w:ascii="Arial"/>
          <w:i/>
          <w:spacing w:val="-3"/>
          <w:sz w:val="16"/>
        </w:rPr>
        <w:t xml:space="preserve"> </w:t>
      </w:r>
      <w:r>
        <w:rPr>
          <w:rFonts w:ascii="Arial"/>
          <w:i/>
          <w:sz w:val="16"/>
        </w:rPr>
        <w:t>Overall</w:t>
      </w:r>
      <w:r>
        <w:rPr>
          <w:rFonts w:ascii="Arial"/>
          <w:i/>
          <w:spacing w:val="-2"/>
          <w:sz w:val="16"/>
        </w:rPr>
        <w:t xml:space="preserve"> </w:t>
      </w:r>
      <w:r>
        <w:rPr>
          <w:rFonts w:ascii="Arial"/>
          <w:i/>
          <w:sz w:val="16"/>
        </w:rPr>
        <w:t>Response</w:t>
      </w:r>
      <w:r>
        <w:rPr>
          <w:rFonts w:ascii="Arial"/>
          <w:i/>
          <w:spacing w:val="-3"/>
          <w:sz w:val="16"/>
        </w:rPr>
        <w:t xml:space="preserve"> </w:t>
      </w:r>
      <w:r>
        <w:rPr>
          <w:rFonts w:ascii="Arial"/>
          <w:i/>
          <w:sz w:val="16"/>
        </w:rPr>
        <w:t>Rate;</w:t>
      </w:r>
      <w:r>
        <w:rPr>
          <w:rFonts w:ascii="Arial"/>
          <w:i/>
          <w:spacing w:val="-3"/>
          <w:sz w:val="16"/>
        </w:rPr>
        <w:t xml:space="preserve"> </w:t>
      </w:r>
      <w:r>
        <w:rPr>
          <w:rFonts w:ascii="Arial"/>
          <w:i/>
          <w:sz w:val="16"/>
        </w:rPr>
        <w:t>PR,</w:t>
      </w:r>
      <w:r>
        <w:rPr>
          <w:rFonts w:ascii="Arial"/>
          <w:i/>
          <w:spacing w:val="-3"/>
          <w:sz w:val="16"/>
        </w:rPr>
        <w:t xml:space="preserve"> </w:t>
      </w:r>
      <w:r>
        <w:rPr>
          <w:rFonts w:ascii="Arial"/>
          <w:i/>
          <w:sz w:val="16"/>
        </w:rPr>
        <w:t>Partial</w:t>
      </w:r>
      <w:r>
        <w:rPr>
          <w:rFonts w:ascii="Arial"/>
          <w:i/>
          <w:spacing w:val="-2"/>
          <w:sz w:val="16"/>
        </w:rPr>
        <w:t xml:space="preserve"> </w:t>
      </w:r>
      <w:r>
        <w:rPr>
          <w:rFonts w:ascii="Arial"/>
          <w:i/>
          <w:sz w:val="16"/>
        </w:rPr>
        <w:t>Response; RECIST, Response Evaluation Criteria in Solid Tumors; SD, Stable Disease.</w:t>
      </w:r>
    </w:p>
    <w:p w14:paraId="23670034" w14:textId="77777777" w:rsidR="005303F6" w:rsidRDefault="00EB7C90" w:rsidP="008F14F0">
      <w:pPr>
        <w:spacing w:before="41"/>
        <w:ind w:left="131"/>
        <w:rPr>
          <w:rFonts w:ascii="Arial"/>
          <w:i/>
          <w:sz w:val="16"/>
        </w:rPr>
      </w:pPr>
      <w:r>
        <w:rPr>
          <w:rFonts w:ascii="Arial"/>
          <w:i/>
          <w:sz w:val="16"/>
        </w:rPr>
        <w:t>ORR:</w:t>
      </w:r>
      <w:r>
        <w:rPr>
          <w:rFonts w:ascii="Arial"/>
          <w:i/>
          <w:spacing w:val="-3"/>
          <w:sz w:val="16"/>
        </w:rPr>
        <w:t xml:space="preserve"> </w:t>
      </w:r>
      <w:r>
        <w:rPr>
          <w:rFonts w:ascii="Arial"/>
          <w:i/>
          <w:spacing w:val="-2"/>
          <w:sz w:val="16"/>
        </w:rPr>
        <w:t>CR+PR.</w:t>
      </w:r>
    </w:p>
    <w:p w14:paraId="23670035" w14:textId="77777777" w:rsidR="005303F6" w:rsidRDefault="00EB7C90" w:rsidP="008F14F0">
      <w:pPr>
        <w:spacing w:before="39"/>
        <w:ind w:left="131"/>
        <w:rPr>
          <w:rFonts w:ascii="Arial"/>
          <w:i/>
          <w:sz w:val="16"/>
        </w:rPr>
      </w:pPr>
      <w:proofErr w:type="spellStart"/>
      <w:r>
        <w:rPr>
          <w:rFonts w:ascii="Arial"/>
          <w:i/>
          <w:sz w:val="16"/>
          <w:vertAlign w:val="superscript"/>
        </w:rPr>
        <w:t>a</w:t>
      </w:r>
      <w:r>
        <w:rPr>
          <w:rFonts w:ascii="Arial"/>
          <w:i/>
          <w:sz w:val="16"/>
        </w:rPr>
        <w:t>Determined</w:t>
      </w:r>
      <w:proofErr w:type="spellEnd"/>
      <w:r>
        <w:rPr>
          <w:rFonts w:ascii="Arial"/>
          <w:i/>
          <w:spacing w:val="-5"/>
          <w:sz w:val="16"/>
        </w:rPr>
        <w:t xml:space="preserve"> </w:t>
      </w:r>
      <w:r>
        <w:rPr>
          <w:rFonts w:ascii="Arial"/>
          <w:i/>
          <w:sz w:val="16"/>
        </w:rPr>
        <w:t>by</w:t>
      </w:r>
      <w:r>
        <w:rPr>
          <w:rFonts w:ascii="Arial"/>
          <w:i/>
          <w:spacing w:val="-5"/>
          <w:sz w:val="16"/>
        </w:rPr>
        <w:t xml:space="preserve"> </w:t>
      </w:r>
      <w:r>
        <w:rPr>
          <w:rFonts w:ascii="Arial"/>
          <w:i/>
          <w:sz w:val="16"/>
        </w:rPr>
        <w:t>RECIST</w:t>
      </w:r>
      <w:r>
        <w:rPr>
          <w:rFonts w:ascii="Arial"/>
          <w:i/>
          <w:spacing w:val="-6"/>
          <w:sz w:val="16"/>
        </w:rPr>
        <w:t xml:space="preserve"> </w:t>
      </w:r>
      <w:r>
        <w:rPr>
          <w:rFonts w:ascii="Arial"/>
          <w:i/>
          <w:spacing w:val="-4"/>
          <w:sz w:val="16"/>
        </w:rPr>
        <w:t>v1.1.</w:t>
      </w:r>
    </w:p>
    <w:p w14:paraId="23670036" w14:textId="77777777" w:rsidR="005303F6" w:rsidRDefault="00EB7C90" w:rsidP="008F14F0">
      <w:pPr>
        <w:spacing w:before="42"/>
        <w:ind w:left="131"/>
        <w:rPr>
          <w:rFonts w:ascii="Arial"/>
          <w:i/>
          <w:sz w:val="16"/>
        </w:rPr>
      </w:pPr>
      <w:proofErr w:type="spellStart"/>
      <w:r>
        <w:rPr>
          <w:rFonts w:ascii="Arial"/>
          <w:i/>
          <w:sz w:val="16"/>
          <w:vertAlign w:val="superscript"/>
        </w:rPr>
        <w:t>b</w:t>
      </w:r>
      <w:r>
        <w:rPr>
          <w:rFonts w:ascii="Arial"/>
          <w:i/>
          <w:sz w:val="16"/>
        </w:rPr>
        <w:t>Clopper</w:t>
      </w:r>
      <w:proofErr w:type="spellEnd"/>
      <w:r>
        <w:rPr>
          <w:rFonts w:ascii="Arial"/>
          <w:i/>
          <w:spacing w:val="-6"/>
          <w:sz w:val="16"/>
        </w:rPr>
        <w:t xml:space="preserve"> </w:t>
      </w:r>
      <w:r>
        <w:rPr>
          <w:rFonts w:ascii="Arial"/>
          <w:i/>
          <w:sz w:val="16"/>
        </w:rPr>
        <w:t>and</w:t>
      </w:r>
      <w:r>
        <w:rPr>
          <w:rFonts w:ascii="Arial"/>
          <w:i/>
          <w:spacing w:val="-5"/>
          <w:sz w:val="16"/>
        </w:rPr>
        <w:t xml:space="preserve"> </w:t>
      </w:r>
      <w:r>
        <w:rPr>
          <w:rFonts w:ascii="Arial"/>
          <w:i/>
          <w:sz w:val="16"/>
        </w:rPr>
        <w:t>Pearson</w:t>
      </w:r>
      <w:r>
        <w:rPr>
          <w:rFonts w:ascii="Arial"/>
          <w:i/>
          <w:spacing w:val="-6"/>
          <w:sz w:val="16"/>
        </w:rPr>
        <w:t xml:space="preserve"> </w:t>
      </w:r>
      <w:r>
        <w:rPr>
          <w:rFonts w:ascii="Arial"/>
          <w:i/>
          <w:sz w:val="16"/>
        </w:rPr>
        <w:t>exact</w:t>
      </w:r>
      <w:r>
        <w:rPr>
          <w:rFonts w:ascii="Arial"/>
          <w:i/>
          <w:spacing w:val="-5"/>
          <w:sz w:val="16"/>
        </w:rPr>
        <w:t xml:space="preserve"> </w:t>
      </w:r>
      <w:r>
        <w:rPr>
          <w:rFonts w:ascii="Arial"/>
          <w:i/>
          <w:sz w:val="16"/>
        </w:rPr>
        <w:t>binomial</w:t>
      </w:r>
      <w:r>
        <w:rPr>
          <w:rFonts w:ascii="Arial"/>
          <w:i/>
          <w:spacing w:val="-4"/>
          <w:sz w:val="16"/>
        </w:rPr>
        <w:t xml:space="preserve"> </w:t>
      </w:r>
      <w:r>
        <w:rPr>
          <w:rFonts w:ascii="Arial"/>
          <w:i/>
          <w:sz w:val="16"/>
        </w:rPr>
        <w:t>95%</w:t>
      </w:r>
      <w:r>
        <w:rPr>
          <w:rFonts w:ascii="Arial"/>
          <w:i/>
          <w:spacing w:val="-4"/>
          <w:sz w:val="16"/>
        </w:rPr>
        <w:t xml:space="preserve"> </w:t>
      </w:r>
      <w:r>
        <w:rPr>
          <w:rFonts w:ascii="Arial"/>
          <w:i/>
          <w:spacing w:val="-5"/>
          <w:sz w:val="16"/>
        </w:rPr>
        <w:t>CI.</w:t>
      </w:r>
    </w:p>
    <w:p w14:paraId="0FD777A7" w14:textId="5E5EB31E" w:rsidR="005303F6" w:rsidRDefault="00EB7C90" w:rsidP="008F14F0">
      <w:pPr>
        <w:spacing w:before="39"/>
        <w:ind w:left="131"/>
        <w:rPr>
          <w:rFonts w:ascii="Arial"/>
          <w:i/>
          <w:spacing w:val="-2"/>
          <w:sz w:val="16"/>
        </w:rPr>
      </w:pPr>
      <w:proofErr w:type="spellStart"/>
      <w:r>
        <w:rPr>
          <w:rFonts w:ascii="Arial"/>
          <w:i/>
          <w:sz w:val="16"/>
          <w:vertAlign w:val="superscript"/>
        </w:rPr>
        <w:t>c</w:t>
      </w:r>
      <w:r>
        <w:rPr>
          <w:rFonts w:ascii="Arial"/>
          <w:i/>
          <w:sz w:val="16"/>
        </w:rPr>
        <w:t>Based</w:t>
      </w:r>
      <w:proofErr w:type="spellEnd"/>
      <w:r>
        <w:rPr>
          <w:rFonts w:ascii="Arial"/>
          <w:i/>
          <w:spacing w:val="-7"/>
          <w:sz w:val="16"/>
        </w:rPr>
        <w:t xml:space="preserve"> </w:t>
      </w:r>
      <w:r>
        <w:rPr>
          <w:rFonts w:ascii="Arial"/>
          <w:i/>
          <w:sz w:val="16"/>
        </w:rPr>
        <w:t>on</w:t>
      </w:r>
      <w:r>
        <w:rPr>
          <w:rFonts w:ascii="Arial"/>
          <w:i/>
          <w:spacing w:val="-3"/>
          <w:sz w:val="16"/>
        </w:rPr>
        <w:t xml:space="preserve"> </w:t>
      </w:r>
      <w:r>
        <w:rPr>
          <w:rFonts w:ascii="Arial"/>
          <w:i/>
          <w:sz w:val="16"/>
        </w:rPr>
        <w:t>Kaplan-Meier</w:t>
      </w:r>
      <w:r>
        <w:rPr>
          <w:rFonts w:ascii="Arial"/>
          <w:i/>
          <w:spacing w:val="-5"/>
          <w:sz w:val="16"/>
        </w:rPr>
        <w:t xml:space="preserve"> </w:t>
      </w:r>
      <w:r>
        <w:rPr>
          <w:rFonts w:ascii="Arial"/>
          <w:i/>
          <w:spacing w:val="-2"/>
          <w:sz w:val="16"/>
        </w:rPr>
        <w:t>estimate.</w:t>
      </w:r>
    </w:p>
    <w:p w14:paraId="17F58E90" w14:textId="77777777" w:rsidR="00395BB3" w:rsidRDefault="00395BB3" w:rsidP="008F14F0">
      <w:pPr>
        <w:spacing w:before="39"/>
        <w:ind w:left="131"/>
        <w:rPr>
          <w:rFonts w:ascii="Arial"/>
          <w:i/>
          <w:sz w:val="16"/>
        </w:rPr>
      </w:pPr>
    </w:p>
    <w:p w14:paraId="7A054112" w14:textId="77777777" w:rsidR="008F14F0" w:rsidRDefault="008F14F0" w:rsidP="008F14F0">
      <w:pPr>
        <w:spacing w:before="39"/>
        <w:ind w:left="131"/>
        <w:rPr>
          <w:rFonts w:ascii="Arial"/>
          <w:i/>
          <w:sz w:val="16"/>
        </w:rPr>
      </w:pPr>
    </w:p>
    <w:p w14:paraId="23670039" w14:textId="77777777" w:rsidR="005303F6" w:rsidRDefault="00EB7C90" w:rsidP="008F14F0">
      <w:pPr>
        <w:pStyle w:val="Heading2"/>
        <w:numPr>
          <w:ilvl w:val="1"/>
          <w:numId w:val="2"/>
        </w:numPr>
        <w:tabs>
          <w:tab w:val="left" w:pos="1024"/>
        </w:tabs>
        <w:spacing w:before="82"/>
      </w:pPr>
      <w:bookmarkStart w:id="30" w:name="5.2_Pharmacokinetic_properties"/>
      <w:bookmarkEnd w:id="30"/>
      <w:r>
        <w:rPr>
          <w:smallCaps/>
          <w:spacing w:val="-2"/>
        </w:rPr>
        <w:lastRenderedPageBreak/>
        <w:t>Pharmacokinetic</w:t>
      </w:r>
      <w:r>
        <w:rPr>
          <w:smallCaps/>
          <w:spacing w:val="11"/>
        </w:rPr>
        <w:t xml:space="preserve"> </w:t>
      </w:r>
      <w:r>
        <w:rPr>
          <w:smallCaps/>
          <w:spacing w:val="-2"/>
        </w:rPr>
        <w:t>properties</w:t>
      </w:r>
    </w:p>
    <w:p w14:paraId="2367003A" w14:textId="77777777" w:rsidR="005303F6" w:rsidRDefault="00EB7C90" w:rsidP="008F14F0">
      <w:pPr>
        <w:pStyle w:val="BodyText"/>
        <w:spacing w:before="165" w:line="276" w:lineRule="auto"/>
        <w:ind w:right="732"/>
        <w:jc w:val="left"/>
      </w:pPr>
      <w:r>
        <w:t xml:space="preserve">Capmatinib exhibited dose-proportional increases in systemic exposure (AUCinf and </w:t>
      </w:r>
      <w:proofErr w:type="spellStart"/>
      <w:r>
        <w:t>Cmax</w:t>
      </w:r>
      <w:proofErr w:type="spellEnd"/>
      <w:r>
        <w:t xml:space="preserve">) across the dose range tested (200 to 400 mg twice daily). </w:t>
      </w:r>
      <w:proofErr w:type="gramStart"/>
      <w:r>
        <w:t>Steady-state</w:t>
      </w:r>
      <w:proofErr w:type="gramEnd"/>
      <w:r>
        <w:t xml:space="preserve"> is expected to be achieved</w:t>
      </w:r>
      <w:r>
        <w:rPr>
          <w:spacing w:val="-2"/>
        </w:rPr>
        <w:t xml:space="preserve"> </w:t>
      </w:r>
      <w:r>
        <w:t>after</w:t>
      </w:r>
      <w:r>
        <w:rPr>
          <w:spacing w:val="-2"/>
        </w:rPr>
        <w:t xml:space="preserve"> </w:t>
      </w:r>
      <w:r>
        <w:t>approximately</w:t>
      </w:r>
      <w:r>
        <w:rPr>
          <w:spacing w:val="-3"/>
        </w:rPr>
        <w:t xml:space="preserve"> </w:t>
      </w:r>
      <w:r>
        <w:t>3</w:t>
      </w:r>
      <w:r>
        <w:rPr>
          <w:spacing w:val="-2"/>
        </w:rPr>
        <w:t xml:space="preserve"> </w:t>
      </w:r>
      <w:r>
        <w:t>days</w:t>
      </w:r>
      <w:r>
        <w:rPr>
          <w:spacing w:val="-3"/>
        </w:rPr>
        <w:t xml:space="preserve"> </w:t>
      </w:r>
      <w:r>
        <w:t>after</w:t>
      </w:r>
      <w:r>
        <w:rPr>
          <w:spacing w:val="-2"/>
        </w:rPr>
        <w:t xml:space="preserve"> </w:t>
      </w:r>
      <w:r>
        <w:t>oral</w:t>
      </w:r>
      <w:r>
        <w:rPr>
          <w:spacing w:val="-2"/>
        </w:rPr>
        <w:t xml:space="preserve"> </w:t>
      </w:r>
      <w:r>
        <w:t>dosing</w:t>
      </w:r>
      <w:r>
        <w:rPr>
          <w:spacing w:val="-1"/>
        </w:rPr>
        <w:t xml:space="preserve"> </w:t>
      </w:r>
      <w:r>
        <w:t>of</w:t>
      </w:r>
      <w:r>
        <w:rPr>
          <w:spacing w:val="-2"/>
        </w:rPr>
        <w:t xml:space="preserve"> </w:t>
      </w:r>
      <w:r>
        <w:t>capmatinib</w:t>
      </w:r>
      <w:r>
        <w:rPr>
          <w:spacing w:val="-2"/>
        </w:rPr>
        <w:t xml:space="preserve"> </w:t>
      </w:r>
      <w:r>
        <w:t>400</w:t>
      </w:r>
      <w:r>
        <w:rPr>
          <w:spacing w:val="-2"/>
        </w:rPr>
        <w:t xml:space="preserve"> </w:t>
      </w:r>
      <w:r>
        <w:t>mg twice</w:t>
      </w:r>
      <w:r>
        <w:rPr>
          <w:spacing w:val="-2"/>
        </w:rPr>
        <w:t xml:space="preserve"> </w:t>
      </w:r>
      <w:r>
        <w:t>daily,</w:t>
      </w:r>
      <w:r>
        <w:rPr>
          <w:spacing w:val="-5"/>
        </w:rPr>
        <w:t xml:space="preserve"> </w:t>
      </w:r>
      <w:r>
        <w:t>with a geometric mean accumulation ratio of 1.39 (coefficient of variation (CV): 42.9%).</w:t>
      </w:r>
    </w:p>
    <w:p w14:paraId="2367003B" w14:textId="77777777" w:rsidR="005303F6" w:rsidRDefault="00EB7C90" w:rsidP="008F14F0">
      <w:pPr>
        <w:pStyle w:val="Heading3"/>
        <w:spacing w:before="201"/>
        <w:ind w:left="676"/>
        <w:rPr>
          <w:rFonts w:ascii="Cambria"/>
        </w:rPr>
      </w:pPr>
      <w:bookmarkStart w:id="31" w:name="Absorption"/>
      <w:bookmarkEnd w:id="31"/>
      <w:r>
        <w:rPr>
          <w:rFonts w:ascii="Cambria"/>
          <w:spacing w:val="-2"/>
        </w:rPr>
        <w:t>Absorption</w:t>
      </w:r>
    </w:p>
    <w:p w14:paraId="2367003C" w14:textId="77777777" w:rsidR="005303F6" w:rsidRDefault="00EB7C90" w:rsidP="008F14F0">
      <w:pPr>
        <w:pStyle w:val="BodyText"/>
        <w:spacing w:before="162" w:line="276" w:lineRule="auto"/>
        <w:ind w:right="726"/>
        <w:jc w:val="left"/>
      </w:pPr>
      <w:r>
        <w:t>In humans,</w:t>
      </w:r>
      <w:r>
        <w:rPr>
          <w:spacing w:val="-2"/>
        </w:rPr>
        <w:t xml:space="preserve"> </w:t>
      </w:r>
      <w:r>
        <w:t>absorption is rapid after</w:t>
      </w:r>
      <w:r>
        <w:rPr>
          <w:spacing w:val="-1"/>
        </w:rPr>
        <w:t xml:space="preserve"> </w:t>
      </w:r>
      <w:r>
        <w:t>oral</w:t>
      </w:r>
      <w:r>
        <w:rPr>
          <w:spacing w:val="-1"/>
        </w:rPr>
        <w:t xml:space="preserve"> </w:t>
      </w:r>
      <w:r>
        <w:t>administration of capmatinib. Peak plasma levels</w:t>
      </w:r>
      <w:r>
        <w:rPr>
          <w:spacing w:val="-2"/>
        </w:rPr>
        <w:t xml:space="preserve"> </w:t>
      </w:r>
      <w:r>
        <w:t>of capmatinib</w:t>
      </w:r>
      <w:r>
        <w:rPr>
          <w:spacing w:val="-14"/>
        </w:rPr>
        <w:t xml:space="preserve"> </w:t>
      </w:r>
      <w:r>
        <w:t>(</w:t>
      </w:r>
      <w:proofErr w:type="spellStart"/>
      <w:r>
        <w:t>Cmax</w:t>
      </w:r>
      <w:proofErr w:type="spellEnd"/>
      <w:r>
        <w:t>)</w:t>
      </w:r>
      <w:r>
        <w:rPr>
          <w:spacing w:val="-14"/>
        </w:rPr>
        <w:t xml:space="preserve"> </w:t>
      </w:r>
      <w:r>
        <w:t>were</w:t>
      </w:r>
      <w:r>
        <w:rPr>
          <w:spacing w:val="-13"/>
        </w:rPr>
        <w:t xml:space="preserve"> </w:t>
      </w:r>
      <w:r>
        <w:t>reached</w:t>
      </w:r>
      <w:r>
        <w:rPr>
          <w:spacing w:val="-14"/>
        </w:rPr>
        <w:t xml:space="preserve"> </w:t>
      </w:r>
      <w:r>
        <w:t>approximately</w:t>
      </w:r>
      <w:r>
        <w:rPr>
          <w:spacing w:val="-13"/>
        </w:rPr>
        <w:t xml:space="preserve"> </w:t>
      </w:r>
      <w:r>
        <w:t>1</w:t>
      </w:r>
      <w:r>
        <w:rPr>
          <w:spacing w:val="-14"/>
        </w:rPr>
        <w:t xml:space="preserve"> </w:t>
      </w:r>
      <w:r>
        <w:t>to</w:t>
      </w:r>
      <w:r>
        <w:rPr>
          <w:spacing w:val="-13"/>
        </w:rPr>
        <w:t xml:space="preserve"> </w:t>
      </w:r>
      <w:r>
        <w:t>2</w:t>
      </w:r>
      <w:r>
        <w:rPr>
          <w:spacing w:val="-14"/>
        </w:rPr>
        <w:t xml:space="preserve"> </w:t>
      </w:r>
      <w:r>
        <w:t>hours</w:t>
      </w:r>
      <w:r>
        <w:rPr>
          <w:spacing w:val="-14"/>
        </w:rPr>
        <w:t xml:space="preserve"> </w:t>
      </w:r>
      <w:r>
        <w:t>(</w:t>
      </w:r>
      <w:proofErr w:type="spellStart"/>
      <w:r>
        <w:t>Tmax</w:t>
      </w:r>
      <w:proofErr w:type="spellEnd"/>
      <w:r>
        <w:t>)</w:t>
      </w:r>
      <w:r>
        <w:rPr>
          <w:spacing w:val="-13"/>
        </w:rPr>
        <w:t xml:space="preserve"> </w:t>
      </w:r>
      <w:r>
        <w:t>after</w:t>
      </w:r>
      <w:r>
        <w:rPr>
          <w:spacing w:val="-14"/>
        </w:rPr>
        <w:t xml:space="preserve"> </w:t>
      </w:r>
      <w:r>
        <w:t>an</w:t>
      </w:r>
      <w:r>
        <w:rPr>
          <w:spacing w:val="-13"/>
        </w:rPr>
        <w:t xml:space="preserve"> </w:t>
      </w:r>
      <w:r>
        <w:t>oral</w:t>
      </w:r>
      <w:r>
        <w:rPr>
          <w:spacing w:val="-14"/>
        </w:rPr>
        <w:t xml:space="preserve"> </w:t>
      </w:r>
      <w:r>
        <w:t>400</w:t>
      </w:r>
      <w:r>
        <w:rPr>
          <w:spacing w:val="-4"/>
        </w:rPr>
        <w:t xml:space="preserve"> </w:t>
      </w:r>
      <w:r>
        <w:t>mg</w:t>
      </w:r>
      <w:r>
        <w:rPr>
          <w:spacing w:val="-14"/>
        </w:rPr>
        <w:t xml:space="preserve"> </w:t>
      </w:r>
      <w:r>
        <w:t>dose of capmatinib tablets in cancer patients. The absorption of capmatinib tablets after oral administration is estimated to be greater than 70%.</w:t>
      </w:r>
    </w:p>
    <w:p w14:paraId="2367003D" w14:textId="77777777" w:rsidR="005303F6" w:rsidRDefault="00EB7C90" w:rsidP="008F14F0">
      <w:pPr>
        <w:pStyle w:val="Heading4"/>
        <w:spacing w:before="201"/>
        <w:jc w:val="left"/>
      </w:pPr>
      <w:r>
        <w:t>Food</w:t>
      </w:r>
      <w:r>
        <w:rPr>
          <w:spacing w:val="-2"/>
        </w:rPr>
        <w:t xml:space="preserve"> effect</w:t>
      </w:r>
    </w:p>
    <w:p w14:paraId="2367003E" w14:textId="77777777" w:rsidR="005303F6" w:rsidRDefault="00EB7C90" w:rsidP="008F14F0">
      <w:pPr>
        <w:pStyle w:val="BodyText"/>
        <w:spacing w:before="0" w:line="276" w:lineRule="auto"/>
        <w:ind w:right="724"/>
        <w:jc w:val="left"/>
      </w:pPr>
      <w:r>
        <w:t>Food</w:t>
      </w:r>
      <w:r>
        <w:rPr>
          <w:spacing w:val="-13"/>
        </w:rPr>
        <w:t xml:space="preserve"> </w:t>
      </w:r>
      <w:r>
        <w:t>does</w:t>
      </w:r>
      <w:r>
        <w:rPr>
          <w:spacing w:val="-14"/>
        </w:rPr>
        <w:t xml:space="preserve"> </w:t>
      </w:r>
      <w:r>
        <w:t>not</w:t>
      </w:r>
      <w:r>
        <w:rPr>
          <w:spacing w:val="-10"/>
        </w:rPr>
        <w:t xml:space="preserve"> </w:t>
      </w:r>
      <w:r>
        <w:t>alter</w:t>
      </w:r>
      <w:r>
        <w:rPr>
          <w:spacing w:val="-12"/>
        </w:rPr>
        <w:t xml:space="preserve"> </w:t>
      </w:r>
      <w:r>
        <w:t>capmatinib</w:t>
      </w:r>
      <w:r>
        <w:rPr>
          <w:spacing w:val="-11"/>
        </w:rPr>
        <w:t xml:space="preserve"> </w:t>
      </w:r>
      <w:r>
        <w:t>bioavailability</w:t>
      </w:r>
      <w:r>
        <w:rPr>
          <w:spacing w:val="-13"/>
        </w:rPr>
        <w:t xml:space="preserve"> </w:t>
      </w:r>
      <w:r>
        <w:t>to</w:t>
      </w:r>
      <w:r>
        <w:rPr>
          <w:spacing w:val="-12"/>
        </w:rPr>
        <w:t xml:space="preserve"> </w:t>
      </w:r>
      <w:r>
        <w:t>a</w:t>
      </w:r>
      <w:r>
        <w:rPr>
          <w:spacing w:val="-14"/>
        </w:rPr>
        <w:t xml:space="preserve"> </w:t>
      </w:r>
      <w:r>
        <w:t>clinically</w:t>
      </w:r>
      <w:r>
        <w:rPr>
          <w:spacing w:val="-12"/>
        </w:rPr>
        <w:t xml:space="preserve"> </w:t>
      </w:r>
      <w:r>
        <w:t>meaningful</w:t>
      </w:r>
      <w:r>
        <w:rPr>
          <w:spacing w:val="-12"/>
        </w:rPr>
        <w:t xml:space="preserve"> </w:t>
      </w:r>
      <w:r>
        <w:t>extent.</w:t>
      </w:r>
      <w:r>
        <w:rPr>
          <w:spacing w:val="-13"/>
        </w:rPr>
        <w:t xml:space="preserve"> </w:t>
      </w:r>
      <w:r>
        <w:t>TABRECTA</w:t>
      </w:r>
      <w:r>
        <w:rPr>
          <w:spacing w:val="-11"/>
        </w:rPr>
        <w:t xml:space="preserve"> </w:t>
      </w:r>
      <w:r>
        <w:t>can be administered with or without food (see section 4.2 Dose and method of administration).</w:t>
      </w:r>
    </w:p>
    <w:p w14:paraId="2367003F" w14:textId="77777777" w:rsidR="005303F6" w:rsidRDefault="00EB7C90" w:rsidP="008F14F0">
      <w:pPr>
        <w:pStyle w:val="BodyText"/>
        <w:spacing w:before="199" w:line="276" w:lineRule="auto"/>
        <w:ind w:right="724"/>
        <w:jc w:val="left"/>
      </w:pPr>
      <w:r>
        <w:t>When</w:t>
      </w:r>
      <w:r>
        <w:rPr>
          <w:spacing w:val="-14"/>
        </w:rPr>
        <w:t xml:space="preserve"> </w:t>
      </w:r>
      <w:r>
        <w:t>capmatinib</w:t>
      </w:r>
      <w:r>
        <w:rPr>
          <w:spacing w:val="-14"/>
        </w:rPr>
        <w:t xml:space="preserve"> </w:t>
      </w:r>
      <w:r>
        <w:t>was</w:t>
      </w:r>
      <w:r>
        <w:rPr>
          <w:spacing w:val="-13"/>
        </w:rPr>
        <w:t xml:space="preserve"> </w:t>
      </w:r>
      <w:r>
        <w:t>administered</w:t>
      </w:r>
      <w:r>
        <w:rPr>
          <w:spacing w:val="-14"/>
        </w:rPr>
        <w:t xml:space="preserve"> </w:t>
      </w:r>
      <w:r>
        <w:t>at</w:t>
      </w:r>
      <w:r>
        <w:rPr>
          <w:spacing w:val="-13"/>
        </w:rPr>
        <w:t xml:space="preserve"> </w:t>
      </w:r>
      <w:r>
        <w:t>400</w:t>
      </w:r>
      <w:r>
        <w:rPr>
          <w:spacing w:val="-14"/>
        </w:rPr>
        <w:t xml:space="preserve"> </w:t>
      </w:r>
      <w:r>
        <w:t>mg</w:t>
      </w:r>
      <w:r>
        <w:rPr>
          <w:spacing w:val="-13"/>
        </w:rPr>
        <w:t xml:space="preserve"> </w:t>
      </w:r>
      <w:r>
        <w:t>twice</w:t>
      </w:r>
      <w:r>
        <w:rPr>
          <w:spacing w:val="-14"/>
        </w:rPr>
        <w:t xml:space="preserve"> </w:t>
      </w:r>
      <w:r>
        <w:t>daily</w:t>
      </w:r>
      <w:r>
        <w:rPr>
          <w:spacing w:val="-14"/>
        </w:rPr>
        <w:t xml:space="preserve"> </w:t>
      </w:r>
      <w:r>
        <w:t>in</w:t>
      </w:r>
      <w:r>
        <w:rPr>
          <w:spacing w:val="-13"/>
        </w:rPr>
        <w:t xml:space="preserve"> </w:t>
      </w:r>
      <w:r>
        <w:t>cancer</w:t>
      </w:r>
      <w:r>
        <w:rPr>
          <w:spacing w:val="-14"/>
        </w:rPr>
        <w:t xml:space="preserve"> </w:t>
      </w:r>
      <w:r>
        <w:t>patients,</w:t>
      </w:r>
      <w:r>
        <w:rPr>
          <w:spacing w:val="-13"/>
        </w:rPr>
        <w:t xml:space="preserve"> </w:t>
      </w:r>
      <w:r>
        <w:t>exposure</w:t>
      </w:r>
      <w:r>
        <w:rPr>
          <w:spacing w:val="-14"/>
        </w:rPr>
        <w:t xml:space="preserve"> </w:t>
      </w:r>
      <w:r>
        <w:t>(AUC0-12h) was similar after administration of capmatinib with food and under fasted conditions.</w:t>
      </w:r>
    </w:p>
    <w:p w14:paraId="23670040" w14:textId="77777777" w:rsidR="005303F6" w:rsidRDefault="00EB7C90" w:rsidP="008F14F0">
      <w:pPr>
        <w:pStyle w:val="Heading3"/>
        <w:spacing w:before="201"/>
        <w:ind w:left="676"/>
        <w:rPr>
          <w:rFonts w:ascii="Cambria"/>
        </w:rPr>
      </w:pPr>
      <w:bookmarkStart w:id="32" w:name="Distribution"/>
      <w:bookmarkEnd w:id="32"/>
      <w:r>
        <w:rPr>
          <w:rFonts w:ascii="Cambria"/>
          <w:spacing w:val="-2"/>
        </w:rPr>
        <w:t>Distribution</w:t>
      </w:r>
    </w:p>
    <w:p w14:paraId="23670041" w14:textId="77777777" w:rsidR="005303F6" w:rsidRDefault="00EB7C90" w:rsidP="008F14F0">
      <w:pPr>
        <w:pStyle w:val="BodyText"/>
        <w:spacing w:before="162" w:line="276" w:lineRule="auto"/>
        <w:ind w:right="734"/>
        <w:jc w:val="left"/>
      </w:pPr>
      <w:r>
        <w:t xml:space="preserve">Capmatinib is 96% bound to human plasma proteins, independent of concentration. The apparent mean volume of distribution at </w:t>
      </w:r>
      <w:proofErr w:type="gramStart"/>
      <w:r>
        <w:t>steady-state</w:t>
      </w:r>
      <w:proofErr w:type="gramEnd"/>
      <w:r>
        <w:t xml:space="preserve"> (</w:t>
      </w:r>
      <w:proofErr w:type="spellStart"/>
      <w:r>
        <w:t>Vss</w:t>
      </w:r>
      <w:proofErr w:type="spellEnd"/>
      <w:r>
        <w:t>/F) is 164 L in cancer patients.</w:t>
      </w:r>
    </w:p>
    <w:p w14:paraId="23670042" w14:textId="77777777" w:rsidR="005303F6" w:rsidRDefault="00EB7C90" w:rsidP="008F14F0">
      <w:pPr>
        <w:pStyle w:val="BodyText"/>
        <w:spacing w:before="200" w:line="276" w:lineRule="auto"/>
        <w:ind w:right="728"/>
        <w:jc w:val="left"/>
      </w:pPr>
      <w:r>
        <w:t>The</w:t>
      </w:r>
      <w:r>
        <w:rPr>
          <w:spacing w:val="-7"/>
        </w:rPr>
        <w:t xml:space="preserve"> </w:t>
      </w:r>
      <w:r>
        <w:t>blood-to-plasma</w:t>
      </w:r>
      <w:r>
        <w:rPr>
          <w:spacing w:val="-4"/>
        </w:rPr>
        <w:t xml:space="preserve"> </w:t>
      </w:r>
      <w:r>
        <w:t>ratio</w:t>
      </w:r>
      <w:r>
        <w:rPr>
          <w:spacing w:val="-4"/>
        </w:rPr>
        <w:t xml:space="preserve"> </w:t>
      </w:r>
      <w:r>
        <w:t>was</w:t>
      </w:r>
      <w:r>
        <w:rPr>
          <w:spacing w:val="-7"/>
        </w:rPr>
        <w:t xml:space="preserve"> </w:t>
      </w:r>
      <w:r>
        <w:t>1.5</w:t>
      </w:r>
      <w:r>
        <w:rPr>
          <w:spacing w:val="-4"/>
        </w:rPr>
        <w:t xml:space="preserve"> </w:t>
      </w:r>
      <w:r>
        <w:t>(concentration</w:t>
      </w:r>
      <w:r>
        <w:rPr>
          <w:spacing w:val="-6"/>
        </w:rPr>
        <w:t xml:space="preserve"> </w:t>
      </w:r>
      <w:r>
        <w:t>range</w:t>
      </w:r>
      <w:r>
        <w:rPr>
          <w:spacing w:val="-7"/>
        </w:rPr>
        <w:t xml:space="preserve"> </w:t>
      </w:r>
      <w:r>
        <w:t>of</w:t>
      </w:r>
      <w:r>
        <w:rPr>
          <w:spacing w:val="-5"/>
        </w:rPr>
        <w:t xml:space="preserve"> </w:t>
      </w:r>
      <w:r>
        <w:t>10</w:t>
      </w:r>
      <w:r>
        <w:rPr>
          <w:spacing w:val="-6"/>
        </w:rPr>
        <w:t xml:space="preserve"> </w:t>
      </w:r>
      <w:r>
        <w:t>to</w:t>
      </w:r>
      <w:r>
        <w:rPr>
          <w:spacing w:val="-7"/>
        </w:rPr>
        <w:t xml:space="preserve"> </w:t>
      </w:r>
      <w:r>
        <w:t>1000 ng/mL</w:t>
      </w:r>
      <w:proofErr w:type="gramStart"/>
      <w:r>
        <w:t>),</w:t>
      </w:r>
      <w:r>
        <w:rPr>
          <w:spacing w:val="-5"/>
        </w:rPr>
        <w:t xml:space="preserve"> </w:t>
      </w:r>
      <w:r>
        <w:t>but</w:t>
      </w:r>
      <w:proofErr w:type="gramEnd"/>
      <w:r>
        <w:rPr>
          <w:spacing w:val="-4"/>
        </w:rPr>
        <w:t xml:space="preserve"> </w:t>
      </w:r>
      <w:r>
        <w:t xml:space="preserve">decreased at higher concentrations to 0.9 (concentration </w:t>
      </w:r>
      <w:proofErr w:type="gramStart"/>
      <w:r>
        <w:t>10000 ng</w:t>
      </w:r>
      <w:proofErr w:type="gramEnd"/>
      <w:r>
        <w:t>/mL), indicating a saturation of distribution into red blood cells.</w:t>
      </w:r>
    </w:p>
    <w:p w14:paraId="23670043" w14:textId="77777777" w:rsidR="005303F6" w:rsidRDefault="00EB7C90" w:rsidP="008F14F0">
      <w:pPr>
        <w:pStyle w:val="BodyText"/>
        <w:spacing w:before="199" w:line="278" w:lineRule="auto"/>
        <w:ind w:right="727"/>
        <w:jc w:val="left"/>
      </w:pPr>
      <w:r>
        <w:t>Capmatinib crossed the blood-brain barrier in rats with a brain-to-blood exposure (AUCinf) ratio of approximately 9%.</w:t>
      </w:r>
    </w:p>
    <w:p w14:paraId="23670044" w14:textId="77777777" w:rsidR="005303F6" w:rsidRDefault="00EB7C90" w:rsidP="008F14F0">
      <w:pPr>
        <w:pStyle w:val="Heading3"/>
        <w:spacing w:before="194"/>
        <w:ind w:left="676"/>
        <w:rPr>
          <w:rFonts w:ascii="Cambria"/>
        </w:rPr>
      </w:pPr>
      <w:bookmarkStart w:id="33" w:name="Metabolism"/>
      <w:bookmarkEnd w:id="33"/>
      <w:r>
        <w:rPr>
          <w:rFonts w:ascii="Cambria"/>
          <w:spacing w:val="-2"/>
        </w:rPr>
        <w:t>Metabolism</w:t>
      </w:r>
    </w:p>
    <w:p w14:paraId="23670045" w14:textId="77777777" w:rsidR="005303F6" w:rsidRDefault="00EB7C90" w:rsidP="008F14F0">
      <w:pPr>
        <w:pStyle w:val="BodyText"/>
        <w:spacing w:before="163" w:line="276" w:lineRule="auto"/>
        <w:ind w:right="723"/>
        <w:jc w:val="left"/>
      </w:pPr>
      <w:r>
        <w:rPr>
          <w:i/>
        </w:rPr>
        <w:t xml:space="preserve">In vitro </w:t>
      </w:r>
      <w:r>
        <w:t xml:space="preserve">and </w:t>
      </w:r>
      <w:r>
        <w:rPr>
          <w:i/>
        </w:rPr>
        <w:t xml:space="preserve">in vivo </w:t>
      </w:r>
      <w:r>
        <w:t xml:space="preserve">studies indicated that capmatinib is cleared mainly through metabolism driven by cytochrome P450 (CYP) 3A4 and aldehyde oxidase. The biotransformation of capmatinib occurs essentially by Phase I metabolic reactions including </w:t>
      </w:r>
      <w:r>
        <w:rPr>
          <w:i/>
        </w:rPr>
        <w:t>C</w:t>
      </w:r>
      <w:r>
        <w:t xml:space="preserve">-hydroxylation, lactam formation, </w:t>
      </w:r>
      <w:r>
        <w:rPr>
          <w:i/>
        </w:rPr>
        <w:t>N</w:t>
      </w:r>
      <w:r>
        <w:t xml:space="preserve">-oxidation, </w:t>
      </w:r>
      <w:r>
        <w:rPr>
          <w:i/>
        </w:rPr>
        <w:t>N</w:t>
      </w:r>
      <w:r>
        <w:t>-dealkylation, carboxylic acid formation, and combinations thereof. Phase II reactions involve glucuronidation of oxygenated metabolites. The most abundant radioactive component in plasma is</w:t>
      </w:r>
      <w:r>
        <w:rPr>
          <w:spacing w:val="-1"/>
        </w:rPr>
        <w:t xml:space="preserve"> </w:t>
      </w:r>
      <w:r>
        <w:t>unchanged capmatinib (42.9% of radioactivity AUC0-12h). The major circulating metabolite, M16 (CMN288), is pharmacologically inactive and accounts for 21.5% of the radioactivity in plasma AUC0-12h.</w:t>
      </w:r>
    </w:p>
    <w:p w14:paraId="23670047" w14:textId="77777777" w:rsidR="005303F6" w:rsidRDefault="00EB7C90" w:rsidP="008F14F0">
      <w:pPr>
        <w:pStyle w:val="Heading3"/>
        <w:spacing w:before="82"/>
        <w:ind w:left="676"/>
        <w:rPr>
          <w:rFonts w:ascii="Cambria"/>
        </w:rPr>
      </w:pPr>
      <w:bookmarkStart w:id="34" w:name="Excretion"/>
      <w:bookmarkEnd w:id="34"/>
      <w:r>
        <w:rPr>
          <w:rFonts w:ascii="Cambria"/>
          <w:spacing w:val="-2"/>
        </w:rPr>
        <w:t>Excretion</w:t>
      </w:r>
    </w:p>
    <w:p w14:paraId="23670048" w14:textId="77777777" w:rsidR="005303F6" w:rsidRDefault="00EB7C90" w:rsidP="008F14F0">
      <w:pPr>
        <w:pStyle w:val="BodyText"/>
        <w:spacing w:before="162" w:line="276" w:lineRule="auto"/>
        <w:ind w:right="729"/>
        <w:jc w:val="left"/>
      </w:pPr>
      <w:r>
        <w:t>The effective elimination half-life (calculated based on geometric mean accumulation ratio) of capmatinib is 6.54 hours. The geometric mean steady-state apparent oral clearance (</w:t>
      </w:r>
      <w:proofErr w:type="spellStart"/>
      <w:r>
        <w:t>CLss</w:t>
      </w:r>
      <w:proofErr w:type="spellEnd"/>
      <w:r>
        <w:t>/F) of capmatinib was 19.8 L/hr.</w:t>
      </w:r>
    </w:p>
    <w:p w14:paraId="23670049" w14:textId="77777777" w:rsidR="005303F6" w:rsidRDefault="00EB7C90" w:rsidP="008F14F0">
      <w:pPr>
        <w:pStyle w:val="BodyText"/>
        <w:spacing w:before="199" w:line="276" w:lineRule="auto"/>
        <w:ind w:right="728"/>
        <w:jc w:val="left"/>
      </w:pPr>
      <w:r>
        <w:lastRenderedPageBreak/>
        <w:t xml:space="preserve">Capmatinib is eliminated mainly through metabolism, and subsequent </w:t>
      </w:r>
      <w:proofErr w:type="spellStart"/>
      <w:r>
        <w:t>faecal</w:t>
      </w:r>
      <w:proofErr w:type="spellEnd"/>
      <w:r>
        <w:t xml:space="preserve"> excretion. Following a single oral administration of [14C]-capmatinib to healthy subjects, 78% of the total</w:t>
      </w:r>
      <w:r>
        <w:rPr>
          <w:spacing w:val="-2"/>
        </w:rPr>
        <w:t xml:space="preserve"> </w:t>
      </w:r>
      <w:r>
        <w:t>radioactivity</w:t>
      </w:r>
      <w:r>
        <w:rPr>
          <w:spacing w:val="-1"/>
        </w:rPr>
        <w:t xml:space="preserve"> </w:t>
      </w:r>
      <w:r>
        <w:t>was recovered in</w:t>
      </w:r>
      <w:r>
        <w:rPr>
          <w:spacing w:val="-2"/>
        </w:rPr>
        <w:t xml:space="preserve"> </w:t>
      </w:r>
      <w:r>
        <w:t xml:space="preserve">the </w:t>
      </w:r>
      <w:proofErr w:type="spellStart"/>
      <w:r>
        <w:t>faeces</w:t>
      </w:r>
      <w:proofErr w:type="spellEnd"/>
      <w:r>
        <w:t xml:space="preserve"> and 22% in</w:t>
      </w:r>
      <w:r>
        <w:rPr>
          <w:spacing w:val="-2"/>
        </w:rPr>
        <w:t xml:space="preserve"> </w:t>
      </w:r>
      <w:r>
        <w:t>the</w:t>
      </w:r>
      <w:r>
        <w:rPr>
          <w:spacing w:val="-2"/>
        </w:rPr>
        <w:t xml:space="preserve"> </w:t>
      </w:r>
      <w:r>
        <w:t>urine. Excretion of unchanged capmatinib in urine is negligible.</w:t>
      </w:r>
    </w:p>
    <w:p w14:paraId="2367004A" w14:textId="77777777" w:rsidR="005303F6" w:rsidRDefault="00EB7C90" w:rsidP="008F14F0">
      <w:pPr>
        <w:pStyle w:val="Heading3"/>
      </w:pPr>
      <w:r>
        <w:rPr>
          <w:u w:val="single"/>
        </w:rPr>
        <w:t>Special</w:t>
      </w:r>
      <w:r>
        <w:rPr>
          <w:spacing w:val="-2"/>
          <w:u w:val="single"/>
        </w:rPr>
        <w:t xml:space="preserve"> populations</w:t>
      </w:r>
    </w:p>
    <w:p w14:paraId="2367004B" w14:textId="77777777" w:rsidR="005303F6" w:rsidRDefault="00EB7C90" w:rsidP="008F14F0">
      <w:pPr>
        <w:spacing w:before="240"/>
        <w:ind w:left="448"/>
        <w:rPr>
          <w:b/>
          <w:sz w:val="24"/>
        </w:rPr>
      </w:pPr>
      <w:r>
        <w:rPr>
          <w:b/>
          <w:sz w:val="24"/>
        </w:rPr>
        <w:t>Elderly</w:t>
      </w:r>
      <w:r>
        <w:rPr>
          <w:b/>
          <w:spacing w:val="-5"/>
          <w:sz w:val="24"/>
        </w:rPr>
        <w:t xml:space="preserve"> </w:t>
      </w:r>
      <w:r>
        <w:rPr>
          <w:b/>
          <w:spacing w:val="-2"/>
          <w:sz w:val="24"/>
        </w:rPr>
        <w:t>patients</w:t>
      </w:r>
    </w:p>
    <w:p w14:paraId="2367004C" w14:textId="77777777" w:rsidR="005303F6" w:rsidRDefault="00EB7C90" w:rsidP="008F14F0">
      <w:pPr>
        <w:pStyle w:val="BodyText"/>
        <w:spacing w:before="60" w:line="276" w:lineRule="auto"/>
        <w:ind w:right="728"/>
        <w:jc w:val="left"/>
      </w:pPr>
      <w:r>
        <w:t>No</w:t>
      </w:r>
      <w:r>
        <w:rPr>
          <w:spacing w:val="-9"/>
        </w:rPr>
        <w:t xml:space="preserve"> </w:t>
      </w:r>
      <w:r>
        <w:t>overall</w:t>
      </w:r>
      <w:r>
        <w:rPr>
          <w:spacing w:val="-11"/>
        </w:rPr>
        <w:t xml:space="preserve"> </w:t>
      </w:r>
      <w:r>
        <w:t>differences</w:t>
      </w:r>
      <w:r>
        <w:rPr>
          <w:spacing w:val="-9"/>
        </w:rPr>
        <w:t xml:space="preserve"> </w:t>
      </w:r>
      <w:r>
        <w:t>in</w:t>
      </w:r>
      <w:r>
        <w:rPr>
          <w:spacing w:val="-10"/>
        </w:rPr>
        <w:t xml:space="preserve"> </w:t>
      </w:r>
      <w:proofErr w:type="gramStart"/>
      <w:r>
        <w:t>the</w:t>
      </w:r>
      <w:r>
        <w:rPr>
          <w:spacing w:val="-9"/>
        </w:rPr>
        <w:t xml:space="preserve"> </w:t>
      </w:r>
      <w:r>
        <w:t>safety</w:t>
      </w:r>
      <w:proofErr w:type="gramEnd"/>
      <w:r>
        <w:rPr>
          <w:spacing w:val="-9"/>
        </w:rPr>
        <w:t xml:space="preserve"> </w:t>
      </w:r>
      <w:r>
        <w:t>or</w:t>
      </w:r>
      <w:r>
        <w:rPr>
          <w:spacing w:val="-10"/>
        </w:rPr>
        <w:t xml:space="preserve"> </w:t>
      </w:r>
      <w:r>
        <w:t>effectiveness</w:t>
      </w:r>
      <w:r>
        <w:rPr>
          <w:spacing w:val="-9"/>
        </w:rPr>
        <w:t xml:space="preserve"> </w:t>
      </w:r>
      <w:r>
        <w:t>were</w:t>
      </w:r>
      <w:r>
        <w:rPr>
          <w:spacing w:val="-9"/>
        </w:rPr>
        <w:t xml:space="preserve"> </w:t>
      </w:r>
      <w:r>
        <w:t>observed</w:t>
      </w:r>
      <w:r>
        <w:rPr>
          <w:spacing w:val="-10"/>
        </w:rPr>
        <w:t xml:space="preserve"> </w:t>
      </w:r>
      <w:r>
        <w:t>between</w:t>
      </w:r>
      <w:r>
        <w:rPr>
          <w:spacing w:val="-1"/>
        </w:rPr>
        <w:t xml:space="preserve"> </w:t>
      </w:r>
      <w:r>
        <w:t>patients</w:t>
      </w:r>
      <w:r>
        <w:rPr>
          <w:spacing w:val="-9"/>
        </w:rPr>
        <w:t xml:space="preserve"> </w:t>
      </w:r>
      <w:r>
        <w:t>aged</w:t>
      </w:r>
      <w:r>
        <w:rPr>
          <w:spacing w:val="-10"/>
        </w:rPr>
        <w:t xml:space="preserve"> </w:t>
      </w:r>
      <w:r>
        <w:t>65 and 75 years or older and younger patients.</w:t>
      </w:r>
    </w:p>
    <w:p w14:paraId="2367004D" w14:textId="77777777" w:rsidR="005303F6" w:rsidRDefault="00EB7C90" w:rsidP="008F14F0">
      <w:pPr>
        <w:pStyle w:val="Heading3"/>
      </w:pPr>
      <w:r>
        <w:t>Age/Gender/Race/Body</w:t>
      </w:r>
      <w:r>
        <w:rPr>
          <w:spacing w:val="-7"/>
        </w:rPr>
        <w:t xml:space="preserve"> </w:t>
      </w:r>
      <w:r>
        <w:rPr>
          <w:spacing w:val="-2"/>
        </w:rPr>
        <w:t>weight</w:t>
      </w:r>
    </w:p>
    <w:p w14:paraId="2367004E" w14:textId="77777777" w:rsidR="005303F6" w:rsidRDefault="00EB7C90" w:rsidP="008F14F0">
      <w:pPr>
        <w:pStyle w:val="BodyText"/>
        <w:spacing w:before="59" w:line="276" w:lineRule="auto"/>
        <w:ind w:right="740"/>
        <w:jc w:val="left"/>
      </w:pPr>
      <w:r>
        <w:t>Population pharmacokinetic analysis showed that there is no clinically relevant effect of age/gender/race/body weight on the systemic exposure of capmatinib.</w:t>
      </w:r>
    </w:p>
    <w:p w14:paraId="2367004F" w14:textId="77777777" w:rsidR="005303F6" w:rsidRDefault="00EB7C90" w:rsidP="008F14F0">
      <w:pPr>
        <w:pStyle w:val="Heading3"/>
      </w:pPr>
      <w:r>
        <w:t>Renal</w:t>
      </w:r>
      <w:r>
        <w:rPr>
          <w:spacing w:val="-4"/>
        </w:rPr>
        <w:t xml:space="preserve"> </w:t>
      </w:r>
      <w:r>
        <w:rPr>
          <w:spacing w:val="-2"/>
        </w:rPr>
        <w:t>impairment</w:t>
      </w:r>
    </w:p>
    <w:p w14:paraId="23670050" w14:textId="77777777" w:rsidR="005303F6" w:rsidRDefault="00EB7C90" w:rsidP="008F14F0">
      <w:pPr>
        <w:pStyle w:val="BodyText"/>
        <w:spacing w:before="60" w:line="276" w:lineRule="auto"/>
        <w:ind w:right="728"/>
        <w:jc w:val="left"/>
      </w:pPr>
      <w:r>
        <w:t>Based</w:t>
      </w:r>
      <w:r>
        <w:rPr>
          <w:spacing w:val="-7"/>
        </w:rPr>
        <w:t xml:space="preserve"> </w:t>
      </w:r>
      <w:r>
        <w:t>on</w:t>
      </w:r>
      <w:r>
        <w:rPr>
          <w:spacing w:val="-7"/>
        </w:rPr>
        <w:t xml:space="preserve"> </w:t>
      </w:r>
      <w:r>
        <w:t>a</w:t>
      </w:r>
      <w:r>
        <w:rPr>
          <w:spacing w:val="-11"/>
        </w:rPr>
        <w:t xml:space="preserve"> </w:t>
      </w:r>
      <w:r>
        <w:t>population</w:t>
      </w:r>
      <w:r>
        <w:rPr>
          <w:spacing w:val="-9"/>
        </w:rPr>
        <w:t xml:space="preserve"> </w:t>
      </w:r>
      <w:r>
        <w:t>pharmacokinetic</w:t>
      </w:r>
      <w:r>
        <w:rPr>
          <w:spacing w:val="-9"/>
        </w:rPr>
        <w:t xml:space="preserve"> </w:t>
      </w:r>
      <w:r>
        <w:t>analysis</w:t>
      </w:r>
      <w:r>
        <w:rPr>
          <w:spacing w:val="-9"/>
        </w:rPr>
        <w:t xml:space="preserve"> </w:t>
      </w:r>
      <w:r>
        <w:t>that</w:t>
      </w:r>
      <w:r>
        <w:rPr>
          <w:spacing w:val="-9"/>
        </w:rPr>
        <w:t xml:space="preserve"> </w:t>
      </w:r>
      <w:r>
        <w:t>included</w:t>
      </w:r>
      <w:r>
        <w:rPr>
          <w:spacing w:val="-7"/>
        </w:rPr>
        <w:t xml:space="preserve"> </w:t>
      </w:r>
      <w:r>
        <w:t>207</w:t>
      </w:r>
      <w:r>
        <w:rPr>
          <w:spacing w:val="-9"/>
        </w:rPr>
        <w:t xml:space="preserve"> </w:t>
      </w:r>
      <w:r>
        <w:t>patients</w:t>
      </w:r>
      <w:r>
        <w:rPr>
          <w:spacing w:val="-9"/>
        </w:rPr>
        <w:t xml:space="preserve"> </w:t>
      </w:r>
      <w:r>
        <w:t>with</w:t>
      </w:r>
      <w:r>
        <w:rPr>
          <w:spacing w:val="-10"/>
        </w:rPr>
        <w:t xml:space="preserve"> </w:t>
      </w:r>
      <w:r>
        <w:t>normal</w:t>
      </w:r>
      <w:r>
        <w:rPr>
          <w:spacing w:val="-10"/>
        </w:rPr>
        <w:t xml:space="preserve"> </w:t>
      </w:r>
      <w:r>
        <w:t>renal function</w:t>
      </w:r>
      <w:r>
        <w:rPr>
          <w:spacing w:val="-4"/>
        </w:rPr>
        <w:t xml:space="preserve"> </w:t>
      </w:r>
      <w:r>
        <w:t>(CrCl</w:t>
      </w:r>
      <w:r>
        <w:rPr>
          <w:spacing w:val="-3"/>
        </w:rPr>
        <w:t xml:space="preserve"> </w:t>
      </w:r>
      <w:r>
        <w:t>≥90</w:t>
      </w:r>
      <w:r>
        <w:rPr>
          <w:spacing w:val="-2"/>
        </w:rPr>
        <w:t xml:space="preserve"> </w:t>
      </w:r>
      <w:r>
        <w:t>mL/min),</w:t>
      </w:r>
      <w:r>
        <w:rPr>
          <w:spacing w:val="-3"/>
        </w:rPr>
        <w:t xml:space="preserve"> </w:t>
      </w:r>
      <w:r>
        <w:t>200</w:t>
      </w:r>
      <w:r>
        <w:rPr>
          <w:spacing w:val="-4"/>
        </w:rPr>
        <w:t xml:space="preserve"> </w:t>
      </w:r>
      <w:r>
        <w:t>patients</w:t>
      </w:r>
      <w:r>
        <w:rPr>
          <w:spacing w:val="-5"/>
        </w:rPr>
        <w:t xml:space="preserve"> </w:t>
      </w:r>
      <w:r>
        <w:t>with</w:t>
      </w:r>
      <w:r>
        <w:rPr>
          <w:spacing w:val="-2"/>
        </w:rPr>
        <w:t xml:space="preserve"> </w:t>
      </w:r>
      <w:r>
        <w:t>mild</w:t>
      </w:r>
      <w:r>
        <w:rPr>
          <w:spacing w:val="-2"/>
        </w:rPr>
        <w:t xml:space="preserve"> </w:t>
      </w:r>
      <w:r>
        <w:t>renal</w:t>
      </w:r>
      <w:r>
        <w:rPr>
          <w:spacing w:val="-5"/>
        </w:rPr>
        <w:t xml:space="preserve"> </w:t>
      </w:r>
      <w:r>
        <w:t>impairment</w:t>
      </w:r>
      <w:r>
        <w:rPr>
          <w:spacing w:val="-2"/>
        </w:rPr>
        <w:t xml:space="preserve"> </w:t>
      </w:r>
      <w:r>
        <w:t>(CLcr</w:t>
      </w:r>
      <w:r>
        <w:rPr>
          <w:spacing w:val="-5"/>
        </w:rPr>
        <w:t xml:space="preserve"> </w:t>
      </w:r>
      <w:r>
        <w:t>60</w:t>
      </w:r>
      <w:r>
        <w:rPr>
          <w:spacing w:val="-4"/>
        </w:rPr>
        <w:t xml:space="preserve"> </w:t>
      </w:r>
      <w:r>
        <w:t>to</w:t>
      </w:r>
      <w:r>
        <w:rPr>
          <w:spacing w:val="-2"/>
        </w:rPr>
        <w:t xml:space="preserve"> </w:t>
      </w:r>
      <w:r>
        <w:t>89</w:t>
      </w:r>
      <w:r>
        <w:rPr>
          <w:spacing w:val="-2"/>
        </w:rPr>
        <w:t xml:space="preserve"> </w:t>
      </w:r>
      <w:r>
        <w:t>mL/min), and 94 patients with moderate renal impairment (CrCl 30 to 59 mL/min), mild or moderate renal</w:t>
      </w:r>
      <w:r>
        <w:rPr>
          <w:spacing w:val="-14"/>
        </w:rPr>
        <w:t xml:space="preserve"> </w:t>
      </w:r>
      <w:r>
        <w:t>impairment</w:t>
      </w:r>
      <w:r>
        <w:rPr>
          <w:spacing w:val="-14"/>
        </w:rPr>
        <w:t xml:space="preserve"> </w:t>
      </w:r>
      <w:r>
        <w:t>had</w:t>
      </w:r>
      <w:r>
        <w:rPr>
          <w:spacing w:val="-13"/>
        </w:rPr>
        <w:t xml:space="preserve"> </w:t>
      </w:r>
      <w:r>
        <w:t>no</w:t>
      </w:r>
      <w:r>
        <w:rPr>
          <w:spacing w:val="-14"/>
        </w:rPr>
        <w:t xml:space="preserve"> </w:t>
      </w:r>
      <w:r>
        <w:t>clinically</w:t>
      </w:r>
      <w:r>
        <w:rPr>
          <w:spacing w:val="-13"/>
        </w:rPr>
        <w:t xml:space="preserve"> </w:t>
      </w:r>
      <w:r>
        <w:t>significant</w:t>
      </w:r>
      <w:r>
        <w:rPr>
          <w:spacing w:val="-13"/>
        </w:rPr>
        <w:t xml:space="preserve"> </w:t>
      </w:r>
      <w:r>
        <w:t>effect</w:t>
      </w:r>
      <w:r>
        <w:rPr>
          <w:spacing w:val="-14"/>
        </w:rPr>
        <w:t xml:space="preserve"> </w:t>
      </w:r>
      <w:r>
        <w:t>on</w:t>
      </w:r>
      <w:r>
        <w:rPr>
          <w:spacing w:val="-13"/>
        </w:rPr>
        <w:t xml:space="preserve"> </w:t>
      </w:r>
      <w:r>
        <w:t>the</w:t>
      </w:r>
      <w:r>
        <w:rPr>
          <w:spacing w:val="-14"/>
        </w:rPr>
        <w:t xml:space="preserve"> </w:t>
      </w:r>
      <w:r>
        <w:t>exposure</w:t>
      </w:r>
      <w:r>
        <w:rPr>
          <w:spacing w:val="-13"/>
        </w:rPr>
        <w:t xml:space="preserve"> </w:t>
      </w:r>
      <w:r>
        <w:t>of</w:t>
      </w:r>
      <w:r>
        <w:rPr>
          <w:spacing w:val="-11"/>
        </w:rPr>
        <w:t xml:space="preserve"> </w:t>
      </w:r>
      <w:r>
        <w:t>capmatinib.</w:t>
      </w:r>
      <w:r>
        <w:rPr>
          <w:spacing w:val="-13"/>
        </w:rPr>
        <w:t xml:space="preserve"> </w:t>
      </w:r>
      <w:r>
        <w:t>TABRECTA has not been studied in patients with severe renal impairment (CrCl 15 to 29 mL/min) (see section 4.2 Dose and method of administration).</w:t>
      </w:r>
    </w:p>
    <w:p w14:paraId="23670051" w14:textId="77777777" w:rsidR="005303F6" w:rsidRDefault="00EB7C90" w:rsidP="008F14F0">
      <w:pPr>
        <w:pStyle w:val="Heading3"/>
        <w:spacing w:before="120"/>
      </w:pPr>
      <w:r>
        <w:t>Hepatic</w:t>
      </w:r>
      <w:r>
        <w:rPr>
          <w:spacing w:val="-2"/>
        </w:rPr>
        <w:t xml:space="preserve"> impairment</w:t>
      </w:r>
    </w:p>
    <w:p w14:paraId="23670052" w14:textId="77777777" w:rsidR="005303F6" w:rsidRDefault="00EB7C90" w:rsidP="008F14F0">
      <w:pPr>
        <w:pStyle w:val="BodyText"/>
        <w:spacing w:before="59" w:line="276" w:lineRule="auto"/>
        <w:ind w:right="726"/>
        <w:jc w:val="left"/>
      </w:pPr>
      <w:r>
        <w:t>A study was conducted in non-cancer subjects with various degrees of hepatic impairment based on Child-Pugh classification using a 200 mg single-dose of capmatinib. The geometric mean systemic exposure (AUCinf) of capmatinib was decreased by approximately 23% and 9% in subjects with mild (N = 6) and moderate (N = 8) hepatic impairment, respectively, and increased</w:t>
      </w:r>
      <w:r>
        <w:rPr>
          <w:spacing w:val="-14"/>
        </w:rPr>
        <w:t xml:space="preserve"> </w:t>
      </w:r>
      <w:r>
        <w:t>by</w:t>
      </w:r>
      <w:r>
        <w:rPr>
          <w:spacing w:val="-14"/>
        </w:rPr>
        <w:t xml:space="preserve"> </w:t>
      </w:r>
      <w:r>
        <w:t>approximately</w:t>
      </w:r>
      <w:r>
        <w:rPr>
          <w:spacing w:val="-12"/>
        </w:rPr>
        <w:t xml:space="preserve"> </w:t>
      </w:r>
      <w:r>
        <w:t>24%</w:t>
      </w:r>
      <w:r>
        <w:rPr>
          <w:spacing w:val="-10"/>
        </w:rPr>
        <w:t xml:space="preserve"> </w:t>
      </w:r>
      <w:r>
        <w:t>in</w:t>
      </w:r>
      <w:r>
        <w:rPr>
          <w:spacing w:val="-13"/>
        </w:rPr>
        <w:t xml:space="preserve"> </w:t>
      </w:r>
      <w:r>
        <w:t>subjects</w:t>
      </w:r>
      <w:r>
        <w:rPr>
          <w:spacing w:val="-14"/>
        </w:rPr>
        <w:t xml:space="preserve"> </w:t>
      </w:r>
      <w:r>
        <w:t>with</w:t>
      </w:r>
      <w:r>
        <w:rPr>
          <w:spacing w:val="-12"/>
        </w:rPr>
        <w:t xml:space="preserve"> </w:t>
      </w:r>
      <w:r>
        <w:t>severe</w:t>
      </w:r>
      <w:r>
        <w:rPr>
          <w:spacing w:val="-11"/>
        </w:rPr>
        <w:t xml:space="preserve"> </w:t>
      </w:r>
      <w:r>
        <w:t>(N</w:t>
      </w:r>
      <w:r>
        <w:rPr>
          <w:spacing w:val="-14"/>
        </w:rPr>
        <w:t xml:space="preserve"> </w:t>
      </w:r>
      <w:r>
        <w:t>=</w:t>
      </w:r>
      <w:r>
        <w:rPr>
          <w:spacing w:val="-13"/>
        </w:rPr>
        <w:t xml:space="preserve"> </w:t>
      </w:r>
      <w:r>
        <w:t>6)</w:t>
      </w:r>
      <w:r>
        <w:rPr>
          <w:spacing w:val="-14"/>
        </w:rPr>
        <w:t xml:space="preserve"> </w:t>
      </w:r>
      <w:r>
        <w:t>hepatic</w:t>
      </w:r>
      <w:r>
        <w:rPr>
          <w:spacing w:val="-14"/>
        </w:rPr>
        <w:t xml:space="preserve"> </w:t>
      </w:r>
      <w:r>
        <w:t>impairment</w:t>
      </w:r>
      <w:r>
        <w:rPr>
          <w:spacing w:val="-10"/>
        </w:rPr>
        <w:t xml:space="preserve"> </w:t>
      </w:r>
      <w:r>
        <w:t>compared to</w:t>
      </w:r>
      <w:r>
        <w:rPr>
          <w:spacing w:val="-1"/>
        </w:rPr>
        <w:t xml:space="preserve"> </w:t>
      </w:r>
      <w:r>
        <w:t>subjects</w:t>
      </w:r>
      <w:r>
        <w:rPr>
          <w:spacing w:val="-3"/>
        </w:rPr>
        <w:t xml:space="preserve"> </w:t>
      </w:r>
      <w:r>
        <w:t>with</w:t>
      </w:r>
      <w:r>
        <w:rPr>
          <w:spacing w:val="-1"/>
        </w:rPr>
        <w:t xml:space="preserve"> </w:t>
      </w:r>
      <w:r>
        <w:t>normal</w:t>
      </w:r>
      <w:r>
        <w:rPr>
          <w:spacing w:val="-1"/>
        </w:rPr>
        <w:t xml:space="preserve"> </w:t>
      </w:r>
      <w:r>
        <w:t>(N</w:t>
      </w:r>
      <w:r>
        <w:rPr>
          <w:spacing w:val="-1"/>
        </w:rPr>
        <w:t xml:space="preserve"> </w:t>
      </w:r>
      <w:r>
        <w:t>=</w:t>
      </w:r>
      <w:r>
        <w:rPr>
          <w:spacing w:val="-1"/>
        </w:rPr>
        <w:t xml:space="preserve"> </w:t>
      </w:r>
      <w:r>
        <w:t>9)</w:t>
      </w:r>
      <w:r>
        <w:rPr>
          <w:spacing w:val="-2"/>
        </w:rPr>
        <w:t xml:space="preserve"> </w:t>
      </w:r>
      <w:r>
        <w:t>hepatic</w:t>
      </w:r>
      <w:r>
        <w:rPr>
          <w:spacing w:val="-2"/>
        </w:rPr>
        <w:t xml:space="preserve"> </w:t>
      </w:r>
      <w:r>
        <w:t>function.</w:t>
      </w:r>
      <w:r>
        <w:rPr>
          <w:spacing w:val="-5"/>
        </w:rPr>
        <w:t xml:space="preserve"> </w:t>
      </w:r>
      <w:proofErr w:type="spellStart"/>
      <w:r>
        <w:t>Cmax</w:t>
      </w:r>
      <w:proofErr w:type="spellEnd"/>
      <w:r>
        <w:rPr>
          <w:spacing w:val="-2"/>
        </w:rPr>
        <w:t xml:space="preserve"> </w:t>
      </w:r>
      <w:r>
        <w:t>was</w:t>
      </w:r>
      <w:r>
        <w:rPr>
          <w:spacing w:val="-2"/>
        </w:rPr>
        <w:t xml:space="preserve"> </w:t>
      </w:r>
      <w:r>
        <w:t>decreased</w:t>
      </w:r>
      <w:r>
        <w:rPr>
          <w:spacing w:val="-1"/>
        </w:rPr>
        <w:t xml:space="preserve"> </w:t>
      </w:r>
      <w:r>
        <w:t>by</w:t>
      </w:r>
      <w:r>
        <w:rPr>
          <w:spacing w:val="-5"/>
        </w:rPr>
        <w:t xml:space="preserve"> </w:t>
      </w:r>
      <w:r>
        <w:t>approximately</w:t>
      </w:r>
      <w:r>
        <w:rPr>
          <w:spacing w:val="-2"/>
        </w:rPr>
        <w:t xml:space="preserve"> </w:t>
      </w:r>
      <w:r>
        <w:t xml:space="preserve">28% and 17% in subjects with mild and moderate hepatic impairment, respectively, compared to subjects with normal hepatic function, while </w:t>
      </w:r>
      <w:proofErr w:type="spellStart"/>
      <w:r>
        <w:t>Cmax</w:t>
      </w:r>
      <w:proofErr w:type="spellEnd"/>
      <w:r>
        <w:t xml:space="preserve"> was similar (increased by 2%) in subjects with severe hepatic impairment compared to subjects with normal hepatic function (see section 4.2 Dose and method of administration). Mild, moderate or severe hepatic impairment had no clinically significant effect on the exposure of capmatinib.</w:t>
      </w:r>
    </w:p>
    <w:p w14:paraId="23670053" w14:textId="77777777" w:rsidR="005303F6" w:rsidRPr="00395BB3" w:rsidRDefault="00EB7C90" w:rsidP="008F14F0">
      <w:pPr>
        <w:pStyle w:val="Heading2"/>
        <w:numPr>
          <w:ilvl w:val="1"/>
          <w:numId w:val="2"/>
        </w:numPr>
        <w:tabs>
          <w:tab w:val="left" w:pos="1024"/>
        </w:tabs>
        <w:spacing w:before="244"/>
      </w:pPr>
      <w:bookmarkStart w:id="35" w:name="5.3_Preclinical_safety_data"/>
      <w:bookmarkEnd w:id="35"/>
      <w:r>
        <w:rPr>
          <w:smallCaps/>
        </w:rPr>
        <w:t>Preclinical</w:t>
      </w:r>
      <w:r>
        <w:rPr>
          <w:smallCaps/>
          <w:spacing w:val="-11"/>
        </w:rPr>
        <w:t xml:space="preserve"> </w:t>
      </w:r>
      <w:r>
        <w:rPr>
          <w:smallCaps/>
        </w:rPr>
        <w:t>safety</w:t>
      </w:r>
      <w:r>
        <w:rPr>
          <w:smallCaps/>
          <w:spacing w:val="-11"/>
        </w:rPr>
        <w:t xml:space="preserve"> </w:t>
      </w:r>
      <w:r>
        <w:rPr>
          <w:smallCaps/>
          <w:spacing w:val="-4"/>
        </w:rPr>
        <w:t>data</w:t>
      </w:r>
    </w:p>
    <w:p w14:paraId="23670055" w14:textId="77777777" w:rsidR="005303F6" w:rsidRDefault="00EB7C90" w:rsidP="008F14F0">
      <w:pPr>
        <w:pStyle w:val="Heading3"/>
        <w:spacing w:before="82"/>
        <w:ind w:left="676"/>
        <w:rPr>
          <w:rFonts w:ascii="Cambria"/>
        </w:rPr>
      </w:pPr>
      <w:bookmarkStart w:id="36" w:name="Genotoxicity"/>
      <w:bookmarkEnd w:id="36"/>
      <w:r>
        <w:rPr>
          <w:rFonts w:ascii="Cambria"/>
          <w:spacing w:val="-2"/>
        </w:rPr>
        <w:t>Genotoxicity</w:t>
      </w:r>
    </w:p>
    <w:p w14:paraId="23670056" w14:textId="77777777" w:rsidR="005303F6" w:rsidRDefault="00EB7C90" w:rsidP="008F14F0">
      <w:pPr>
        <w:pStyle w:val="BodyText"/>
        <w:spacing w:before="42" w:line="276" w:lineRule="auto"/>
        <w:ind w:right="728"/>
        <w:jc w:val="left"/>
      </w:pPr>
      <w:r>
        <w:t xml:space="preserve">Capmatinib was not mutagenic in the </w:t>
      </w:r>
      <w:r>
        <w:rPr>
          <w:i/>
        </w:rPr>
        <w:t xml:space="preserve">in vitro </w:t>
      </w:r>
      <w:r>
        <w:t>bacterial reverse mutation assay (</w:t>
      </w:r>
      <w:proofErr w:type="gramStart"/>
      <w:r>
        <w:t>Ames</w:t>
      </w:r>
      <w:proofErr w:type="gramEnd"/>
      <w:r>
        <w:t xml:space="preserve"> test) and did not cause chromosomal aberrations in the </w:t>
      </w:r>
      <w:r>
        <w:rPr>
          <w:i/>
        </w:rPr>
        <w:t xml:space="preserve">in vitro </w:t>
      </w:r>
      <w:r>
        <w:t xml:space="preserve">chromosome aberration assay in human peripheral blood lymphocytes. Capmatinib was not clastogenic in the </w:t>
      </w:r>
      <w:r>
        <w:rPr>
          <w:i/>
        </w:rPr>
        <w:t xml:space="preserve">in vivo </w:t>
      </w:r>
      <w:r>
        <w:t>bone marrow micronucleus test in rats.</w:t>
      </w:r>
    </w:p>
    <w:p w14:paraId="23670057" w14:textId="2CEB581C" w:rsidR="005303F6" w:rsidRDefault="00EB7C90" w:rsidP="008F14F0">
      <w:pPr>
        <w:pStyle w:val="Heading3"/>
        <w:spacing w:before="201"/>
        <w:ind w:left="676"/>
        <w:rPr>
          <w:rFonts w:ascii="Cambria"/>
        </w:rPr>
      </w:pPr>
      <w:bookmarkStart w:id="37" w:name="Carcinogenicity"/>
      <w:bookmarkEnd w:id="37"/>
      <w:r>
        <w:rPr>
          <w:rFonts w:ascii="Cambria"/>
          <w:spacing w:val="-2"/>
        </w:rPr>
        <w:t>Carcinogenicity</w:t>
      </w:r>
    </w:p>
    <w:p w14:paraId="23670058" w14:textId="77777777" w:rsidR="005303F6" w:rsidRDefault="00EB7C90" w:rsidP="008F14F0">
      <w:pPr>
        <w:pStyle w:val="BodyText"/>
        <w:spacing w:before="162"/>
        <w:jc w:val="left"/>
      </w:pPr>
      <w:r>
        <w:t>Carcinogenicity</w:t>
      </w:r>
      <w:r>
        <w:rPr>
          <w:spacing w:val="-6"/>
        </w:rPr>
        <w:t xml:space="preserve"> </w:t>
      </w:r>
      <w:r>
        <w:t>studies</w:t>
      </w:r>
      <w:r>
        <w:rPr>
          <w:spacing w:val="-6"/>
        </w:rPr>
        <w:t xml:space="preserve"> </w:t>
      </w:r>
      <w:r>
        <w:t>with</w:t>
      </w:r>
      <w:r>
        <w:rPr>
          <w:spacing w:val="-2"/>
        </w:rPr>
        <w:t xml:space="preserve"> </w:t>
      </w:r>
      <w:r>
        <w:t>capmatinib</w:t>
      </w:r>
      <w:r>
        <w:rPr>
          <w:spacing w:val="-5"/>
        </w:rPr>
        <w:t xml:space="preserve"> </w:t>
      </w:r>
      <w:r>
        <w:t>have</w:t>
      </w:r>
      <w:r>
        <w:rPr>
          <w:spacing w:val="-5"/>
        </w:rPr>
        <w:t xml:space="preserve"> </w:t>
      </w:r>
      <w:r>
        <w:t>not</w:t>
      </w:r>
      <w:r>
        <w:rPr>
          <w:spacing w:val="-3"/>
        </w:rPr>
        <w:t xml:space="preserve"> </w:t>
      </w:r>
      <w:r>
        <w:t>been</w:t>
      </w:r>
      <w:r>
        <w:rPr>
          <w:spacing w:val="-4"/>
        </w:rPr>
        <w:t xml:space="preserve"> </w:t>
      </w:r>
      <w:r>
        <w:rPr>
          <w:spacing w:val="-2"/>
        </w:rPr>
        <w:t>conducted.</w:t>
      </w:r>
    </w:p>
    <w:p w14:paraId="23670059" w14:textId="77777777" w:rsidR="005303F6" w:rsidRDefault="00EB7C90" w:rsidP="008F14F0">
      <w:pPr>
        <w:pStyle w:val="Heading1"/>
        <w:numPr>
          <w:ilvl w:val="0"/>
          <w:numId w:val="2"/>
        </w:numPr>
        <w:tabs>
          <w:tab w:val="left" w:pos="880"/>
        </w:tabs>
      </w:pPr>
      <w:bookmarkStart w:id="38" w:name="6_Pharmaceutical_particulars"/>
      <w:bookmarkEnd w:id="38"/>
      <w:r>
        <w:lastRenderedPageBreak/>
        <w:t>PHARMACEUTICAL</w:t>
      </w:r>
      <w:r>
        <w:rPr>
          <w:spacing w:val="-14"/>
        </w:rPr>
        <w:t xml:space="preserve"> </w:t>
      </w:r>
      <w:r>
        <w:rPr>
          <w:spacing w:val="-2"/>
        </w:rPr>
        <w:t>PARTICULARS</w:t>
      </w:r>
    </w:p>
    <w:p w14:paraId="2367005A" w14:textId="77777777" w:rsidR="005303F6" w:rsidRDefault="00EB7C90" w:rsidP="008F14F0">
      <w:pPr>
        <w:pStyle w:val="Heading2"/>
        <w:numPr>
          <w:ilvl w:val="1"/>
          <w:numId w:val="2"/>
        </w:numPr>
        <w:tabs>
          <w:tab w:val="left" w:pos="1024"/>
        </w:tabs>
        <w:spacing w:before="171"/>
      </w:pPr>
      <w:bookmarkStart w:id="39" w:name="6.1_List_of_excipients"/>
      <w:bookmarkEnd w:id="39"/>
      <w:r>
        <w:rPr>
          <w:smallCaps/>
        </w:rPr>
        <w:t>List</w:t>
      </w:r>
      <w:r>
        <w:rPr>
          <w:smallCaps/>
          <w:spacing w:val="-5"/>
        </w:rPr>
        <w:t xml:space="preserve"> </w:t>
      </w:r>
      <w:r>
        <w:rPr>
          <w:smallCaps/>
        </w:rPr>
        <w:t>of</w:t>
      </w:r>
      <w:r>
        <w:rPr>
          <w:smallCaps/>
          <w:spacing w:val="-3"/>
        </w:rPr>
        <w:t xml:space="preserve"> </w:t>
      </w:r>
      <w:r>
        <w:rPr>
          <w:smallCaps/>
          <w:spacing w:val="-2"/>
        </w:rPr>
        <w:t>excipients</w:t>
      </w:r>
    </w:p>
    <w:p w14:paraId="2367005B" w14:textId="77777777" w:rsidR="005303F6" w:rsidRDefault="00EB7C90" w:rsidP="008F14F0">
      <w:pPr>
        <w:pStyle w:val="BodyText"/>
        <w:spacing w:before="165" w:line="276" w:lineRule="auto"/>
        <w:ind w:right="730"/>
        <w:jc w:val="left"/>
      </w:pPr>
      <w:r>
        <w:rPr>
          <w:b/>
        </w:rPr>
        <w:t xml:space="preserve">Tablet core: </w:t>
      </w:r>
      <w:r>
        <w:t xml:space="preserve">microcrystalline cellulose; mannitol; </w:t>
      </w:r>
      <w:proofErr w:type="spellStart"/>
      <w:r>
        <w:t>crospovidone</w:t>
      </w:r>
      <w:proofErr w:type="spellEnd"/>
      <w:r>
        <w:t>; povidone; magnesium stearate; colloidal anhydrous silica; sodium lauryl sulfate.</w:t>
      </w:r>
    </w:p>
    <w:p w14:paraId="2367005C" w14:textId="77777777" w:rsidR="005303F6" w:rsidRDefault="00EB7C90" w:rsidP="008F14F0">
      <w:pPr>
        <w:pStyle w:val="Heading3"/>
        <w:spacing w:before="200"/>
      </w:pPr>
      <w:r>
        <w:t>Tablet</w:t>
      </w:r>
      <w:r>
        <w:rPr>
          <w:spacing w:val="-1"/>
        </w:rPr>
        <w:t xml:space="preserve"> </w:t>
      </w:r>
      <w:r>
        <w:rPr>
          <w:spacing w:val="-2"/>
        </w:rPr>
        <w:t>coating:</w:t>
      </w:r>
    </w:p>
    <w:p w14:paraId="2367005D" w14:textId="77777777" w:rsidR="005303F6" w:rsidRDefault="00EB7C90" w:rsidP="008F14F0">
      <w:pPr>
        <w:pStyle w:val="BodyText"/>
        <w:spacing w:before="242" w:line="278" w:lineRule="auto"/>
        <w:ind w:right="727"/>
        <w:jc w:val="left"/>
      </w:pPr>
      <w:r>
        <w:rPr>
          <w:b/>
        </w:rPr>
        <w:t>150</w:t>
      </w:r>
      <w:r>
        <w:rPr>
          <w:b/>
          <w:spacing w:val="-3"/>
        </w:rPr>
        <w:t xml:space="preserve"> </w:t>
      </w:r>
      <w:r>
        <w:rPr>
          <w:b/>
        </w:rPr>
        <w:t>mg:</w:t>
      </w:r>
      <w:r>
        <w:rPr>
          <w:b/>
          <w:spacing w:val="-6"/>
        </w:rPr>
        <w:t xml:space="preserve"> </w:t>
      </w:r>
      <w:r>
        <w:t>Hypromellose;</w:t>
      </w:r>
      <w:r>
        <w:rPr>
          <w:spacing w:val="-7"/>
        </w:rPr>
        <w:t xml:space="preserve"> </w:t>
      </w:r>
      <w:r>
        <w:t>titanium</w:t>
      </w:r>
      <w:r>
        <w:rPr>
          <w:spacing w:val="-7"/>
        </w:rPr>
        <w:t xml:space="preserve"> </w:t>
      </w:r>
      <w:r>
        <w:t>dioxide;</w:t>
      </w:r>
      <w:r>
        <w:rPr>
          <w:spacing w:val="-9"/>
        </w:rPr>
        <w:t xml:space="preserve"> </w:t>
      </w:r>
      <w:r>
        <w:t>macrogol</w:t>
      </w:r>
      <w:r>
        <w:rPr>
          <w:spacing w:val="-7"/>
        </w:rPr>
        <w:t xml:space="preserve"> </w:t>
      </w:r>
      <w:r>
        <w:t>4000;</w:t>
      </w:r>
      <w:r>
        <w:rPr>
          <w:spacing w:val="-5"/>
        </w:rPr>
        <w:t xml:space="preserve"> </w:t>
      </w:r>
      <w:r>
        <w:t>purified</w:t>
      </w:r>
      <w:r>
        <w:rPr>
          <w:spacing w:val="-7"/>
        </w:rPr>
        <w:t xml:space="preserve"> </w:t>
      </w:r>
      <w:r>
        <w:t>talc;</w:t>
      </w:r>
      <w:r>
        <w:rPr>
          <w:spacing w:val="-10"/>
        </w:rPr>
        <w:t xml:space="preserve"> </w:t>
      </w:r>
      <w:r>
        <w:t>iron</w:t>
      </w:r>
      <w:r>
        <w:rPr>
          <w:spacing w:val="-9"/>
        </w:rPr>
        <w:t xml:space="preserve"> </w:t>
      </w:r>
      <w:r>
        <w:t>oxide</w:t>
      </w:r>
      <w:r>
        <w:rPr>
          <w:spacing w:val="-7"/>
        </w:rPr>
        <w:t xml:space="preserve"> </w:t>
      </w:r>
      <w:r>
        <w:t>yellow;</w:t>
      </w:r>
      <w:r>
        <w:rPr>
          <w:spacing w:val="-7"/>
        </w:rPr>
        <w:t xml:space="preserve"> </w:t>
      </w:r>
      <w:r>
        <w:t>iron oxide red; iron oxide black.</w:t>
      </w:r>
    </w:p>
    <w:p w14:paraId="2367005E" w14:textId="77777777" w:rsidR="005303F6" w:rsidRDefault="00EB7C90" w:rsidP="008F14F0">
      <w:pPr>
        <w:pStyle w:val="BodyText"/>
        <w:spacing w:before="194"/>
        <w:jc w:val="left"/>
      </w:pPr>
      <w:r>
        <w:rPr>
          <w:b/>
        </w:rPr>
        <w:t>200</w:t>
      </w:r>
      <w:r>
        <w:rPr>
          <w:b/>
          <w:spacing w:val="-6"/>
        </w:rPr>
        <w:t xml:space="preserve"> </w:t>
      </w:r>
      <w:r>
        <w:rPr>
          <w:b/>
        </w:rPr>
        <w:t>mg:</w:t>
      </w:r>
      <w:r>
        <w:rPr>
          <w:b/>
          <w:spacing w:val="-3"/>
        </w:rPr>
        <w:t xml:space="preserve"> </w:t>
      </w:r>
      <w:r>
        <w:t>Hypromellose;</w:t>
      </w:r>
      <w:r>
        <w:rPr>
          <w:spacing w:val="-4"/>
        </w:rPr>
        <w:t xml:space="preserve"> </w:t>
      </w:r>
      <w:r>
        <w:t>titanium</w:t>
      </w:r>
      <w:r>
        <w:rPr>
          <w:spacing w:val="-6"/>
        </w:rPr>
        <w:t xml:space="preserve"> </w:t>
      </w:r>
      <w:r>
        <w:t>dioxide;</w:t>
      </w:r>
      <w:r>
        <w:rPr>
          <w:spacing w:val="-3"/>
        </w:rPr>
        <w:t xml:space="preserve"> </w:t>
      </w:r>
      <w:r>
        <w:t>macrogol</w:t>
      </w:r>
      <w:r>
        <w:rPr>
          <w:spacing w:val="-3"/>
        </w:rPr>
        <w:t xml:space="preserve"> </w:t>
      </w:r>
      <w:r>
        <w:t>4000;</w:t>
      </w:r>
      <w:r>
        <w:rPr>
          <w:spacing w:val="-1"/>
        </w:rPr>
        <w:t xml:space="preserve"> </w:t>
      </w:r>
      <w:r>
        <w:t>purified</w:t>
      </w:r>
      <w:r>
        <w:rPr>
          <w:spacing w:val="-4"/>
        </w:rPr>
        <w:t xml:space="preserve"> </w:t>
      </w:r>
      <w:r>
        <w:t>talc;</w:t>
      </w:r>
      <w:r>
        <w:rPr>
          <w:spacing w:val="-4"/>
        </w:rPr>
        <w:t xml:space="preserve"> </w:t>
      </w:r>
      <w:r>
        <w:t>iron</w:t>
      </w:r>
      <w:r>
        <w:rPr>
          <w:spacing w:val="-3"/>
        </w:rPr>
        <w:t xml:space="preserve"> </w:t>
      </w:r>
      <w:r>
        <w:t>oxide</w:t>
      </w:r>
      <w:r>
        <w:rPr>
          <w:spacing w:val="-1"/>
        </w:rPr>
        <w:t xml:space="preserve"> </w:t>
      </w:r>
      <w:r>
        <w:rPr>
          <w:spacing w:val="-2"/>
        </w:rPr>
        <w:t>yellow.</w:t>
      </w:r>
    </w:p>
    <w:p w14:paraId="2367005F" w14:textId="77777777" w:rsidR="005303F6" w:rsidRDefault="00EB7C90" w:rsidP="008F14F0">
      <w:pPr>
        <w:pStyle w:val="Heading2"/>
        <w:numPr>
          <w:ilvl w:val="1"/>
          <w:numId w:val="2"/>
        </w:numPr>
        <w:tabs>
          <w:tab w:val="left" w:pos="1026"/>
        </w:tabs>
        <w:spacing w:before="287"/>
        <w:ind w:left="1026" w:hanging="578"/>
      </w:pPr>
      <w:bookmarkStart w:id="40" w:name="6.2_Incompatibilities"/>
      <w:bookmarkEnd w:id="40"/>
      <w:r>
        <w:rPr>
          <w:smallCaps/>
          <w:spacing w:val="-2"/>
        </w:rPr>
        <w:t>Incompatibilities</w:t>
      </w:r>
    </w:p>
    <w:p w14:paraId="23670060" w14:textId="77777777" w:rsidR="005303F6" w:rsidRDefault="00EB7C90" w:rsidP="008F14F0">
      <w:pPr>
        <w:pStyle w:val="BodyText"/>
        <w:spacing w:before="164" w:line="276" w:lineRule="auto"/>
        <w:ind w:right="738"/>
        <w:jc w:val="left"/>
      </w:pPr>
      <w:r>
        <w:t xml:space="preserve">Incompatibilities were either not assessed or not identified as part of the registration of this </w:t>
      </w:r>
      <w:r>
        <w:rPr>
          <w:spacing w:val="-2"/>
        </w:rPr>
        <w:t>medicine.</w:t>
      </w:r>
    </w:p>
    <w:p w14:paraId="23670061" w14:textId="77777777" w:rsidR="005303F6" w:rsidRDefault="00EB7C90" w:rsidP="008F14F0">
      <w:pPr>
        <w:pStyle w:val="Heading2"/>
        <w:numPr>
          <w:ilvl w:val="1"/>
          <w:numId w:val="2"/>
        </w:numPr>
        <w:tabs>
          <w:tab w:val="left" w:pos="1026"/>
        </w:tabs>
        <w:ind w:left="1026" w:hanging="578"/>
      </w:pPr>
      <w:bookmarkStart w:id="41" w:name="6.3_Shelf_life"/>
      <w:bookmarkEnd w:id="41"/>
      <w:r>
        <w:rPr>
          <w:smallCaps/>
        </w:rPr>
        <w:t>Shelf</w:t>
      </w:r>
      <w:r>
        <w:rPr>
          <w:smallCaps/>
          <w:spacing w:val="-8"/>
        </w:rPr>
        <w:t xml:space="preserve"> </w:t>
      </w:r>
      <w:r>
        <w:rPr>
          <w:smallCaps/>
          <w:spacing w:val="-4"/>
        </w:rPr>
        <w:t>life</w:t>
      </w:r>
    </w:p>
    <w:p w14:paraId="23670062" w14:textId="77777777" w:rsidR="005303F6" w:rsidRDefault="00EB7C90" w:rsidP="008F14F0">
      <w:pPr>
        <w:pStyle w:val="BodyText"/>
        <w:spacing w:before="165" w:line="276" w:lineRule="auto"/>
        <w:ind w:right="737"/>
        <w:jc w:val="left"/>
      </w:pPr>
      <w:r>
        <w:t xml:space="preserve">In Australia, information on the shelf life can be found on the public summary of the Australian Register of Therapeutic Goods (ARTG). The expiry date can be found on the </w:t>
      </w:r>
      <w:r>
        <w:rPr>
          <w:spacing w:val="-2"/>
        </w:rPr>
        <w:t>packaging.</w:t>
      </w:r>
    </w:p>
    <w:p w14:paraId="23670063" w14:textId="77777777" w:rsidR="005303F6" w:rsidRDefault="00EB7C90" w:rsidP="008F14F0">
      <w:pPr>
        <w:pStyle w:val="Heading2"/>
        <w:numPr>
          <w:ilvl w:val="1"/>
          <w:numId w:val="2"/>
        </w:numPr>
        <w:tabs>
          <w:tab w:val="left" w:pos="1026"/>
        </w:tabs>
        <w:spacing w:before="202"/>
        <w:ind w:left="1026" w:hanging="578"/>
      </w:pPr>
      <w:bookmarkStart w:id="42" w:name="6.4_Special_precautions_for_storage"/>
      <w:bookmarkEnd w:id="42"/>
      <w:r>
        <w:rPr>
          <w:smallCaps/>
        </w:rPr>
        <w:t>Special</w:t>
      </w:r>
      <w:r>
        <w:rPr>
          <w:smallCaps/>
          <w:spacing w:val="-8"/>
        </w:rPr>
        <w:t xml:space="preserve"> </w:t>
      </w:r>
      <w:r>
        <w:rPr>
          <w:smallCaps/>
        </w:rPr>
        <w:t>precautions</w:t>
      </w:r>
      <w:r>
        <w:rPr>
          <w:smallCaps/>
          <w:spacing w:val="-8"/>
        </w:rPr>
        <w:t xml:space="preserve"> </w:t>
      </w:r>
      <w:r>
        <w:rPr>
          <w:smallCaps/>
        </w:rPr>
        <w:t>for</w:t>
      </w:r>
      <w:r>
        <w:rPr>
          <w:smallCaps/>
          <w:spacing w:val="-9"/>
        </w:rPr>
        <w:t xml:space="preserve"> </w:t>
      </w:r>
      <w:r>
        <w:rPr>
          <w:smallCaps/>
          <w:spacing w:val="-2"/>
        </w:rPr>
        <w:t>storage</w:t>
      </w:r>
    </w:p>
    <w:p w14:paraId="23670064" w14:textId="77777777" w:rsidR="005303F6" w:rsidRDefault="00EB7C90" w:rsidP="008F14F0">
      <w:pPr>
        <w:pStyle w:val="BodyText"/>
        <w:spacing w:before="165"/>
        <w:jc w:val="left"/>
      </w:pPr>
      <w:r>
        <w:t>Store</w:t>
      </w:r>
      <w:r>
        <w:rPr>
          <w:spacing w:val="-3"/>
        </w:rPr>
        <w:t xml:space="preserve"> </w:t>
      </w:r>
      <w:r>
        <w:t xml:space="preserve">below </w:t>
      </w:r>
      <w:r>
        <w:rPr>
          <w:spacing w:val="-4"/>
        </w:rPr>
        <w:t>30°C.</w:t>
      </w:r>
    </w:p>
    <w:p w14:paraId="23670065" w14:textId="77777777" w:rsidR="005303F6" w:rsidRDefault="00EB7C90" w:rsidP="008F14F0">
      <w:pPr>
        <w:pStyle w:val="BodyText"/>
        <w:spacing w:before="243"/>
        <w:jc w:val="left"/>
      </w:pPr>
      <w:r>
        <w:t>Store</w:t>
      </w:r>
      <w:r>
        <w:rPr>
          <w:spacing w:val="-6"/>
        </w:rPr>
        <w:t xml:space="preserve"> </w:t>
      </w:r>
      <w:r>
        <w:t>in</w:t>
      </w:r>
      <w:r>
        <w:rPr>
          <w:spacing w:val="-3"/>
        </w:rPr>
        <w:t xml:space="preserve"> </w:t>
      </w:r>
      <w:r>
        <w:t>the</w:t>
      </w:r>
      <w:r>
        <w:rPr>
          <w:spacing w:val="-1"/>
        </w:rPr>
        <w:t xml:space="preserve"> </w:t>
      </w:r>
      <w:r>
        <w:t>original</w:t>
      </w:r>
      <w:r>
        <w:rPr>
          <w:spacing w:val="-4"/>
        </w:rPr>
        <w:t xml:space="preserve"> </w:t>
      </w:r>
      <w:r>
        <w:t xml:space="preserve">package </w:t>
      </w:r>
      <w:proofErr w:type="gramStart"/>
      <w:r>
        <w:t>in</w:t>
      </w:r>
      <w:r>
        <w:rPr>
          <w:spacing w:val="-3"/>
        </w:rPr>
        <w:t xml:space="preserve"> </w:t>
      </w:r>
      <w:r>
        <w:t>order</w:t>
      </w:r>
      <w:r>
        <w:rPr>
          <w:spacing w:val="-3"/>
        </w:rPr>
        <w:t xml:space="preserve"> </w:t>
      </w:r>
      <w:r>
        <w:t>to</w:t>
      </w:r>
      <w:proofErr w:type="gramEnd"/>
      <w:r>
        <w:rPr>
          <w:spacing w:val="-3"/>
        </w:rPr>
        <w:t xml:space="preserve"> </w:t>
      </w:r>
      <w:r>
        <w:t>protect</w:t>
      </w:r>
      <w:r>
        <w:rPr>
          <w:spacing w:val="-3"/>
        </w:rPr>
        <w:t xml:space="preserve"> </w:t>
      </w:r>
      <w:r>
        <w:t xml:space="preserve">from </w:t>
      </w:r>
      <w:r>
        <w:rPr>
          <w:spacing w:val="-2"/>
        </w:rPr>
        <w:t>moisture.</w:t>
      </w:r>
    </w:p>
    <w:p w14:paraId="23670066" w14:textId="77777777" w:rsidR="005303F6" w:rsidRDefault="00EB7C90" w:rsidP="008F14F0">
      <w:pPr>
        <w:pStyle w:val="Heading2"/>
        <w:numPr>
          <w:ilvl w:val="1"/>
          <w:numId w:val="2"/>
        </w:numPr>
        <w:tabs>
          <w:tab w:val="left" w:pos="1026"/>
        </w:tabs>
        <w:spacing w:before="245"/>
        <w:ind w:left="1026" w:hanging="578"/>
      </w:pPr>
      <w:bookmarkStart w:id="43" w:name="6.5_Nature_and_contents_of_container"/>
      <w:bookmarkEnd w:id="43"/>
      <w:r>
        <w:rPr>
          <w:smallCaps/>
        </w:rPr>
        <w:t>Nature</w:t>
      </w:r>
      <w:r>
        <w:rPr>
          <w:smallCaps/>
          <w:spacing w:val="-6"/>
        </w:rPr>
        <w:t xml:space="preserve"> </w:t>
      </w:r>
      <w:r>
        <w:rPr>
          <w:smallCaps/>
        </w:rPr>
        <w:t>and</w:t>
      </w:r>
      <w:r>
        <w:rPr>
          <w:smallCaps/>
          <w:spacing w:val="-4"/>
        </w:rPr>
        <w:t xml:space="preserve"> </w:t>
      </w:r>
      <w:r>
        <w:rPr>
          <w:smallCaps/>
        </w:rPr>
        <w:t>contents</w:t>
      </w:r>
      <w:r>
        <w:rPr>
          <w:smallCaps/>
          <w:spacing w:val="-8"/>
        </w:rPr>
        <w:t xml:space="preserve"> </w:t>
      </w:r>
      <w:r>
        <w:rPr>
          <w:smallCaps/>
        </w:rPr>
        <w:t>of</w:t>
      </w:r>
      <w:r>
        <w:rPr>
          <w:smallCaps/>
          <w:spacing w:val="-5"/>
        </w:rPr>
        <w:t xml:space="preserve"> </w:t>
      </w:r>
      <w:r>
        <w:rPr>
          <w:smallCaps/>
          <w:spacing w:val="-2"/>
        </w:rPr>
        <w:t>container</w:t>
      </w:r>
    </w:p>
    <w:p w14:paraId="23670067" w14:textId="77777777" w:rsidR="005303F6" w:rsidRDefault="00EB7C90" w:rsidP="008F14F0">
      <w:pPr>
        <w:pStyle w:val="BodyText"/>
        <w:spacing w:before="165" w:line="276" w:lineRule="auto"/>
        <w:ind w:right="734"/>
        <w:jc w:val="left"/>
      </w:pPr>
      <w:r>
        <w:t xml:space="preserve">PCTFE/PVC (polychlorotrifluoroethylene/polyvinyl chloride) blisters backed with an </w:t>
      </w:r>
      <w:proofErr w:type="spellStart"/>
      <w:r>
        <w:t>aluminium</w:t>
      </w:r>
      <w:proofErr w:type="spellEnd"/>
      <w:r>
        <w:t xml:space="preserve"> lidding foil.</w:t>
      </w:r>
    </w:p>
    <w:p w14:paraId="23670068" w14:textId="77777777" w:rsidR="005303F6" w:rsidRDefault="00EB7C90" w:rsidP="008F14F0">
      <w:pPr>
        <w:pStyle w:val="BodyText"/>
        <w:spacing w:before="200"/>
        <w:jc w:val="left"/>
      </w:pPr>
      <w:r>
        <w:t>Packs</w:t>
      </w:r>
      <w:r>
        <w:rPr>
          <w:spacing w:val="-2"/>
        </w:rPr>
        <w:t xml:space="preserve"> </w:t>
      </w:r>
      <w:r>
        <w:t>contain</w:t>
      </w:r>
      <w:r>
        <w:rPr>
          <w:spacing w:val="-3"/>
        </w:rPr>
        <w:t xml:space="preserve"> </w:t>
      </w:r>
      <w:r>
        <w:t>60</w:t>
      </w:r>
      <w:r>
        <w:rPr>
          <w:spacing w:val="-1"/>
        </w:rPr>
        <w:t xml:space="preserve"> </w:t>
      </w:r>
      <w:r>
        <w:t>or</w:t>
      </w:r>
      <w:r>
        <w:rPr>
          <w:spacing w:val="-3"/>
        </w:rPr>
        <w:t xml:space="preserve"> </w:t>
      </w:r>
      <w:r>
        <w:t>120</w:t>
      </w:r>
      <w:r>
        <w:rPr>
          <w:spacing w:val="-1"/>
        </w:rPr>
        <w:t xml:space="preserve"> </w:t>
      </w:r>
      <w:r>
        <w:t>film-coated</w:t>
      </w:r>
      <w:r>
        <w:rPr>
          <w:spacing w:val="-2"/>
        </w:rPr>
        <w:t xml:space="preserve"> tablets.</w:t>
      </w:r>
    </w:p>
    <w:p w14:paraId="23670069" w14:textId="77777777" w:rsidR="005303F6" w:rsidRDefault="00EB7C90" w:rsidP="008F14F0">
      <w:pPr>
        <w:pStyle w:val="Heading2"/>
        <w:numPr>
          <w:ilvl w:val="1"/>
          <w:numId w:val="2"/>
        </w:numPr>
        <w:tabs>
          <w:tab w:val="left" w:pos="1026"/>
        </w:tabs>
        <w:spacing w:before="245"/>
        <w:ind w:left="1026" w:hanging="578"/>
      </w:pPr>
      <w:bookmarkStart w:id="44" w:name="6.6_Special_precautions_for_disposal"/>
      <w:bookmarkEnd w:id="44"/>
      <w:r>
        <w:rPr>
          <w:smallCaps/>
        </w:rPr>
        <w:t>Special</w:t>
      </w:r>
      <w:r>
        <w:rPr>
          <w:smallCaps/>
          <w:spacing w:val="-8"/>
        </w:rPr>
        <w:t xml:space="preserve"> </w:t>
      </w:r>
      <w:r>
        <w:rPr>
          <w:smallCaps/>
        </w:rPr>
        <w:t>precautions</w:t>
      </w:r>
      <w:r>
        <w:rPr>
          <w:smallCaps/>
          <w:spacing w:val="-8"/>
        </w:rPr>
        <w:t xml:space="preserve"> </w:t>
      </w:r>
      <w:r>
        <w:rPr>
          <w:smallCaps/>
        </w:rPr>
        <w:t>for</w:t>
      </w:r>
      <w:r>
        <w:rPr>
          <w:smallCaps/>
          <w:spacing w:val="-9"/>
        </w:rPr>
        <w:t xml:space="preserve"> </w:t>
      </w:r>
      <w:r>
        <w:rPr>
          <w:smallCaps/>
          <w:spacing w:val="-2"/>
        </w:rPr>
        <w:t>disposal</w:t>
      </w:r>
    </w:p>
    <w:p w14:paraId="2367006B" w14:textId="77777777" w:rsidR="005303F6" w:rsidRDefault="00EB7C90" w:rsidP="008F14F0">
      <w:pPr>
        <w:pStyle w:val="BodyText"/>
        <w:spacing w:before="41" w:line="276" w:lineRule="auto"/>
        <w:ind w:right="735"/>
        <w:jc w:val="left"/>
      </w:pPr>
      <w:r>
        <w:t>In Australia, any unused medicine or waste material should be disposed of by taking to your local pharmacy.</w:t>
      </w:r>
    </w:p>
    <w:p w14:paraId="2367006C" w14:textId="77777777" w:rsidR="005303F6" w:rsidRDefault="00EB7C90" w:rsidP="008F14F0">
      <w:pPr>
        <w:pStyle w:val="Heading2"/>
        <w:numPr>
          <w:ilvl w:val="1"/>
          <w:numId w:val="2"/>
        </w:numPr>
        <w:tabs>
          <w:tab w:val="left" w:pos="1026"/>
        </w:tabs>
        <w:ind w:left="1026" w:hanging="578"/>
      </w:pPr>
      <w:bookmarkStart w:id="45" w:name="6.7_Physicochemical_properties"/>
      <w:bookmarkEnd w:id="45"/>
      <w:r>
        <w:rPr>
          <w:smallCaps/>
          <w:spacing w:val="-2"/>
        </w:rPr>
        <w:t>Physicochemical</w:t>
      </w:r>
      <w:r>
        <w:rPr>
          <w:smallCaps/>
          <w:spacing w:val="12"/>
        </w:rPr>
        <w:t xml:space="preserve"> </w:t>
      </w:r>
      <w:r>
        <w:rPr>
          <w:smallCaps/>
          <w:spacing w:val="-2"/>
        </w:rPr>
        <w:t>properties</w:t>
      </w:r>
    </w:p>
    <w:p w14:paraId="2367006D" w14:textId="77777777" w:rsidR="005303F6" w:rsidRDefault="00EB7C90" w:rsidP="008F14F0">
      <w:pPr>
        <w:pStyle w:val="BodyText"/>
        <w:spacing w:before="165" w:line="276" w:lineRule="auto"/>
        <w:ind w:right="726"/>
        <w:jc w:val="left"/>
      </w:pPr>
      <w:r>
        <w:t>Capmatinib is a kinase inhibitor. The chemical name is 2-Fluoro-</w:t>
      </w:r>
      <w:r>
        <w:rPr>
          <w:i/>
        </w:rPr>
        <w:t>N</w:t>
      </w:r>
      <w:r>
        <w:t>-methyl-4-[7-(quinolin-6-</w:t>
      </w:r>
      <w:proofErr w:type="gramStart"/>
      <w:r>
        <w:t>ylmethyl)imidazo</w:t>
      </w:r>
      <w:proofErr w:type="gramEnd"/>
      <w:r>
        <w:t>[1,2-</w:t>
      </w:r>
      <w:proofErr w:type="gramStart"/>
      <w:r>
        <w:rPr>
          <w:i/>
        </w:rPr>
        <w:t>b</w:t>
      </w:r>
      <w:r>
        <w:t>][</w:t>
      </w:r>
      <w:proofErr w:type="gramEnd"/>
      <w:r>
        <w:t>1,2,</w:t>
      </w:r>
      <w:proofErr w:type="gramStart"/>
      <w:r>
        <w:t>4]triazin</w:t>
      </w:r>
      <w:proofErr w:type="gramEnd"/>
      <w:r>
        <w:t>-2-</w:t>
      </w:r>
      <w:proofErr w:type="gramStart"/>
      <w:r>
        <w:t>yl]benzamide</w:t>
      </w:r>
      <w:proofErr w:type="gramEnd"/>
      <w:r>
        <w:t xml:space="preserve">—hydrogen chloride—water (1/2/1). </w:t>
      </w:r>
      <w:r>
        <w:rPr>
          <w:position w:val="2"/>
        </w:rPr>
        <w:t>The molecular formula for capmatinib dihydrochloride monohydrate is C</w:t>
      </w:r>
      <w:r>
        <w:rPr>
          <w:sz w:val="16"/>
        </w:rPr>
        <w:t>23</w:t>
      </w:r>
      <w:r>
        <w:rPr>
          <w:position w:val="2"/>
        </w:rPr>
        <w:t>H</w:t>
      </w:r>
      <w:r>
        <w:rPr>
          <w:sz w:val="16"/>
        </w:rPr>
        <w:t>21</w:t>
      </w:r>
      <w:r>
        <w:rPr>
          <w:position w:val="2"/>
        </w:rPr>
        <w:t>Cl</w:t>
      </w:r>
      <w:r>
        <w:rPr>
          <w:sz w:val="16"/>
        </w:rPr>
        <w:t>2</w:t>
      </w:r>
      <w:r>
        <w:rPr>
          <w:position w:val="2"/>
        </w:rPr>
        <w:t>FN</w:t>
      </w:r>
      <w:r>
        <w:rPr>
          <w:sz w:val="16"/>
        </w:rPr>
        <w:t>6</w:t>
      </w:r>
      <w:r>
        <w:rPr>
          <w:position w:val="2"/>
        </w:rPr>
        <w:t>O</w:t>
      </w:r>
      <w:r>
        <w:rPr>
          <w:sz w:val="16"/>
        </w:rPr>
        <w:t>2</w:t>
      </w:r>
      <w:r>
        <w:rPr>
          <w:position w:val="2"/>
        </w:rPr>
        <w:t xml:space="preserve">. The </w:t>
      </w:r>
      <w:r>
        <w:t>relative</w:t>
      </w:r>
      <w:r>
        <w:rPr>
          <w:spacing w:val="-12"/>
        </w:rPr>
        <w:t xml:space="preserve"> </w:t>
      </w:r>
      <w:r>
        <w:t>molecular</w:t>
      </w:r>
      <w:r>
        <w:rPr>
          <w:spacing w:val="-12"/>
        </w:rPr>
        <w:t xml:space="preserve"> </w:t>
      </w:r>
      <w:r>
        <w:t>mass</w:t>
      </w:r>
      <w:r>
        <w:rPr>
          <w:spacing w:val="-10"/>
        </w:rPr>
        <w:t xml:space="preserve"> </w:t>
      </w:r>
      <w:r>
        <w:t>is</w:t>
      </w:r>
      <w:r>
        <w:rPr>
          <w:spacing w:val="-10"/>
        </w:rPr>
        <w:t xml:space="preserve"> </w:t>
      </w:r>
      <w:r>
        <w:t>503.36</w:t>
      </w:r>
      <w:r>
        <w:rPr>
          <w:spacing w:val="-9"/>
        </w:rPr>
        <w:t xml:space="preserve"> </w:t>
      </w:r>
      <w:r>
        <w:t>g/mol</w:t>
      </w:r>
      <w:r>
        <w:rPr>
          <w:spacing w:val="-12"/>
        </w:rPr>
        <w:t xml:space="preserve"> </w:t>
      </w:r>
      <w:r>
        <w:t>for</w:t>
      </w:r>
      <w:r>
        <w:rPr>
          <w:spacing w:val="-12"/>
        </w:rPr>
        <w:t xml:space="preserve"> </w:t>
      </w:r>
      <w:r>
        <w:t>the</w:t>
      </w:r>
      <w:r>
        <w:rPr>
          <w:spacing w:val="-12"/>
        </w:rPr>
        <w:t xml:space="preserve"> </w:t>
      </w:r>
      <w:r>
        <w:t>dihydrochloride</w:t>
      </w:r>
      <w:r>
        <w:rPr>
          <w:spacing w:val="-12"/>
        </w:rPr>
        <w:t xml:space="preserve"> </w:t>
      </w:r>
      <w:r>
        <w:t>monohydrate</w:t>
      </w:r>
      <w:r>
        <w:rPr>
          <w:spacing w:val="-9"/>
        </w:rPr>
        <w:t xml:space="preserve"> </w:t>
      </w:r>
      <w:r>
        <w:t>salt</w:t>
      </w:r>
      <w:r>
        <w:rPr>
          <w:spacing w:val="-11"/>
        </w:rPr>
        <w:t xml:space="preserve"> </w:t>
      </w:r>
      <w:r>
        <w:t>and</w:t>
      </w:r>
      <w:r>
        <w:rPr>
          <w:spacing w:val="-9"/>
        </w:rPr>
        <w:t xml:space="preserve"> </w:t>
      </w:r>
      <w:r>
        <w:t>412.43 g/mol</w:t>
      </w:r>
      <w:r>
        <w:rPr>
          <w:spacing w:val="-12"/>
        </w:rPr>
        <w:t xml:space="preserve"> </w:t>
      </w:r>
      <w:r>
        <w:t>for</w:t>
      </w:r>
      <w:r>
        <w:rPr>
          <w:spacing w:val="-11"/>
        </w:rPr>
        <w:t xml:space="preserve"> </w:t>
      </w:r>
      <w:r>
        <w:t>the</w:t>
      </w:r>
      <w:r>
        <w:rPr>
          <w:spacing w:val="-12"/>
        </w:rPr>
        <w:t xml:space="preserve"> </w:t>
      </w:r>
      <w:r>
        <w:t>free</w:t>
      </w:r>
      <w:r>
        <w:rPr>
          <w:spacing w:val="-12"/>
        </w:rPr>
        <w:t xml:space="preserve"> </w:t>
      </w:r>
      <w:r>
        <w:t>base.</w:t>
      </w:r>
      <w:r>
        <w:rPr>
          <w:spacing w:val="-10"/>
        </w:rPr>
        <w:t xml:space="preserve"> </w:t>
      </w:r>
      <w:r>
        <w:t>The</w:t>
      </w:r>
      <w:r>
        <w:rPr>
          <w:spacing w:val="-9"/>
        </w:rPr>
        <w:t xml:space="preserve"> </w:t>
      </w:r>
      <w:r>
        <w:t>chemical</w:t>
      </w:r>
      <w:r>
        <w:rPr>
          <w:spacing w:val="-9"/>
        </w:rPr>
        <w:t xml:space="preserve"> </w:t>
      </w:r>
      <w:r>
        <w:t>structure</w:t>
      </w:r>
      <w:r>
        <w:rPr>
          <w:spacing w:val="-11"/>
        </w:rPr>
        <w:t xml:space="preserve"> </w:t>
      </w:r>
      <w:r>
        <w:t>for</w:t>
      </w:r>
      <w:r>
        <w:rPr>
          <w:spacing w:val="-8"/>
        </w:rPr>
        <w:t xml:space="preserve"> </w:t>
      </w:r>
      <w:r>
        <w:t>capmatinib</w:t>
      </w:r>
      <w:r>
        <w:rPr>
          <w:spacing w:val="-11"/>
        </w:rPr>
        <w:t xml:space="preserve"> </w:t>
      </w:r>
      <w:r>
        <w:t>hydrochloride</w:t>
      </w:r>
      <w:r>
        <w:rPr>
          <w:spacing w:val="-6"/>
        </w:rPr>
        <w:t xml:space="preserve"> </w:t>
      </w:r>
      <w:r>
        <w:t>is</w:t>
      </w:r>
      <w:r>
        <w:rPr>
          <w:spacing w:val="-10"/>
        </w:rPr>
        <w:t xml:space="preserve"> </w:t>
      </w:r>
      <w:r>
        <w:t>shown</w:t>
      </w:r>
      <w:r>
        <w:rPr>
          <w:spacing w:val="-12"/>
        </w:rPr>
        <w:t xml:space="preserve"> </w:t>
      </w:r>
      <w:r>
        <w:t>below:</w:t>
      </w:r>
    </w:p>
    <w:p w14:paraId="2367006E" w14:textId="77777777" w:rsidR="005303F6" w:rsidRDefault="00EB7C90" w:rsidP="008F14F0">
      <w:pPr>
        <w:pStyle w:val="Heading3"/>
        <w:pageBreakBefore/>
        <w:spacing w:before="200"/>
        <w:ind w:left="675"/>
        <w:rPr>
          <w:rFonts w:ascii="Cambria"/>
        </w:rPr>
      </w:pPr>
      <w:bookmarkStart w:id="46" w:name="Chemical_structure"/>
      <w:bookmarkEnd w:id="46"/>
      <w:r>
        <w:rPr>
          <w:rFonts w:ascii="Cambria"/>
        </w:rPr>
        <w:lastRenderedPageBreak/>
        <w:t>Chemical</w:t>
      </w:r>
      <w:r>
        <w:rPr>
          <w:rFonts w:ascii="Cambria"/>
          <w:spacing w:val="-8"/>
        </w:rPr>
        <w:t xml:space="preserve"> </w:t>
      </w:r>
      <w:r>
        <w:rPr>
          <w:rFonts w:ascii="Cambria"/>
          <w:spacing w:val="-2"/>
        </w:rPr>
        <w:t>structure</w:t>
      </w:r>
    </w:p>
    <w:p w14:paraId="2367006F" w14:textId="77777777" w:rsidR="005303F6" w:rsidRDefault="00EB7C90" w:rsidP="008F14F0">
      <w:pPr>
        <w:pStyle w:val="BodyText"/>
        <w:spacing w:before="9"/>
        <w:ind w:left="0"/>
        <w:jc w:val="left"/>
        <w:rPr>
          <w:rFonts w:ascii="Cambria"/>
          <w:b/>
          <w:sz w:val="11"/>
        </w:rPr>
      </w:pPr>
      <w:r>
        <w:rPr>
          <w:rFonts w:ascii="Cambria"/>
          <w:b/>
          <w:noProof/>
          <w:sz w:val="11"/>
        </w:rPr>
        <w:drawing>
          <wp:anchor distT="0" distB="0" distL="0" distR="0" simplePos="0" relativeHeight="487589376" behindDoc="1" locked="0" layoutInCell="1" allowOverlap="1" wp14:anchorId="23670090" wp14:editId="23670091">
            <wp:simplePos x="0" y="0"/>
            <wp:positionH relativeFrom="page">
              <wp:posOffset>914400</wp:posOffset>
            </wp:positionH>
            <wp:positionV relativeFrom="paragraph">
              <wp:posOffset>103263</wp:posOffset>
            </wp:positionV>
            <wp:extent cx="2723442" cy="13716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723442" cy="1371600"/>
                    </a:xfrm>
                    <a:prstGeom prst="rect">
                      <a:avLst/>
                    </a:prstGeom>
                  </pic:spPr>
                </pic:pic>
              </a:graphicData>
            </a:graphic>
          </wp:anchor>
        </w:drawing>
      </w:r>
    </w:p>
    <w:p w14:paraId="23670070" w14:textId="77777777" w:rsidR="005303F6" w:rsidRDefault="00EB7C90" w:rsidP="008F14F0">
      <w:pPr>
        <w:pStyle w:val="Heading3"/>
        <w:spacing w:before="245"/>
        <w:ind w:left="676"/>
        <w:rPr>
          <w:rFonts w:ascii="Cambria"/>
        </w:rPr>
      </w:pPr>
      <w:bookmarkStart w:id="47" w:name="CAS_number"/>
      <w:bookmarkEnd w:id="47"/>
      <w:r>
        <w:rPr>
          <w:rFonts w:ascii="Cambria"/>
        </w:rPr>
        <w:t>CAS</w:t>
      </w:r>
      <w:r>
        <w:rPr>
          <w:rFonts w:ascii="Cambria"/>
          <w:spacing w:val="-4"/>
        </w:rPr>
        <w:t xml:space="preserve"> </w:t>
      </w:r>
      <w:r>
        <w:rPr>
          <w:rFonts w:ascii="Cambria"/>
          <w:spacing w:val="-2"/>
        </w:rPr>
        <w:t>number</w:t>
      </w:r>
    </w:p>
    <w:p w14:paraId="23670071" w14:textId="77777777" w:rsidR="005303F6" w:rsidRDefault="00EB7C90" w:rsidP="008F14F0">
      <w:pPr>
        <w:pStyle w:val="BodyText"/>
        <w:spacing w:before="162"/>
        <w:jc w:val="left"/>
      </w:pPr>
      <w:r>
        <w:rPr>
          <w:spacing w:val="-2"/>
        </w:rPr>
        <w:t>1865733-40-</w:t>
      </w:r>
      <w:r>
        <w:rPr>
          <w:spacing w:val="-10"/>
        </w:rPr>
        <w:t>9</w:t>
      </w:r>
    </w:p>
    <w:p w14:paraId="23670072" w14:textId="77777777" w:rsidR="005303F6" w:rsidRDefault="00EB7C90" w:rsidP="008F14F0">
      <w:pPr>
        <w:pStyle w:val="BodyText"/>
        <w:spacing w:before="242" w:line="276" w:lineRule="auto"/>
        <w:ind w:right="727"/>
        <w:jc w:val="left"/>
      </w:pPr>
      <w:r>
        <w:rPr>
          <w:position w:val="2"/>
        </w:rPr>
        <w:t xml:space="preserve">Capmatinib dihydrochloride monohydrate is a yellow powder with a </w:t>
      </w:r>
      <w:proofErr w:type="spellStart"/>
      <w:r>
        <w:rPr>
          <w:position w:val="2"/>
        </w:rPr>
        <w:t>pKa</w:t>
      </w:r>
      <w:proofErr w:type="spellEnd"/>
      <w:r>
        <w:rPr>
          <w:sz w:val="16"/>
        </w:rPr>
        <w:t>1</w:t>
      </w:r>
      <w:r>
        <w:rPr>
          <w:spacing w:val="20"/>
          <w:sz w:val="16"/>
        </w:rPr>
        <w:t xml:space="preserve"> </w:t>
      </w:r>
      <w:r>
        <w:rPr>
          <w:position w:val="2"/>
        </w:rPr>
        <w:t>of 0.9 (calculated) and</w:t>
      </w:r>
      <w:r>
        <w:rPr>
          <w:spacing w:val="-7"/>
          <w:position w:val="2"/>
        </w:rPr>
        <w:t xml:space="preserve"> </w:t>
      </w:r>
      <w:proofErr w:type="spellStart"/>
      <w:r>
        <w:rPr>
          <w:position w:val="2"/>
        </w:rPr>
        <w:t>pKa</w:t>
      </w:r>
      <w:proofErr w:type="spellEnd"/>
      <w:r>
        <w:rPr>
          <w:sz w:val="16"/>
        </w:rPr>
        <w:t>2</w:t>
      </w:r>
      <w:r>
        <w:rPr>
          <w:spacing w:val="10"/>
          <w:sz w:val="16"/>
        </w:rPr>
        <w:t xml:space="preserve"> </w:t>
      </w:r>
      <w:r>
        <w:rPr>
          <w:position w:val="2"/>
        </w:rPr>
        <w:t>of</w:t>
      </w:r>
      <w:r>
        <w:rPr>
          <w:spacing w:val="-6"/>
          <w:position w:val="2"/>
        </w:rPr>
        <w:t xml:space="preserve"> </w:t>
      </w:r>
      <w:r>
        <w:rPr>
          <w:position w:val="2"/>
        </w:rPr>
        <w:t>4.5</w:t>
      </w:r>
      <w:r>
        <w:rPr>
          <w:spacing w:val="-7"/>
          <w:position w:val="2"/>
        </w:rPr>
        <w:t xml:space="preserve"> </w:t>
      </w:r>
      <w:r>
        <w:rPr>
          <w:position w:val="2"/>
        </w:rPr>
        <w:t>(experimentally).</w:t>
      </w:r>
      <w:r>
        <w:rPr>
          <w:spacing w:val="-7"/>
          <w:position w:val="2"/>
        </w:rPr>
        <w:t xml:space="preserve"> </w:t>
      </w:r>
      <w:r>
        <w:rPr>
          <w:position w:val="2"/>
        </w:rPr>
        <w:t>Capmatinib</w:t>
      </w:r>
      <w:r>
        <w:rPr>
          <w:spacing w:val="-7"/>
          <w:position w:val="2"/>
        </w:rPr>
        <w:t xml:space="preserve"> </w:t>
      </w:r>
      <w:r>
        <w:rPr>
          <w:position w:val="2"/>
        </w:rPr>
        <w:t>dihydrochloride</w:t>
      </w:r>
      <w:r>
        <w:rPr>
          <w:spacing w:val="-8"/>
          <w:position w:val="2"/>
        </w:rPr>
        <w:t xml:space="preserve"> </w:t>
      </w:r>
      <w:r>
        <w:rPr>
          <w:position w:val="2"/>
        </w:rPr>
        <w:t>monohydrate</w:t>
      </w:r>
      <w:r>
        <w:rPr>
          <w:spacing w:val="-5"/>
          <w:position w:val="2"/>
        </w:rPr>
        <w:t xml:space="preserve"> </w:t>
      </w:r>
      <w:r>
        <w:rPr>
          <w:position w:val="2"/>
        </w:rPr>
        <w:t>is</w:t>
      </w:r>
      <w:r>
        <w:rPr>
          <w:spacing w:val="-9"/>
          <w:position w:val="2"/>
        </w:rPr>
        <w:t xml:space="preserve"> </w:t>
      </w:r>
      <w:r>
        <w:rPr>
          <w:position w:val="2"/>
        </w:rPr>
        <w:t>slightly</w:t>
      </w:r>
      <w:r>
        <w:rPr>
          <w:spacing w:val="-7"/>
          <w:position w:val="2"/>
        </w:rPr>
        <w:t xml:space="preserve"> </w:t>
      </w:r>
      <w:r>
        <w:rPr>
          <w:position w:val="2"/>
        </w:rPr>
        <w:t xml:space="preserve">soluble </w:t>
      </w:r>
      <w:r>
        <w:t>in</w:t>
      </w:r>
      <w:r>
        <w:rPr>
          <w:spacing w:val="-3"/>
        </w:rPr>
        <w:t xml:space="preserve"> </w:t>
      </w:r>
      <w:r>
        <w:t>acidic</w:t>
      </w:r>
      <w:r>
        <w:rPr>
          <w:spacing w:val="-5"/>
        </w:rPr>
        <w:t xml:space="preserve"> </w:t>
      </w:r>
      <w:r>
        <w:t>aqueous</w:t>
      </w:r>
      <w:r>
        <w:rPr>
          <w:spacing w:val="-4"/>
        </w:rPr>
        <w:t xml:space="preserve"> </w:t>
      </w:r>
      <w:r>
        <w:t>solutions</w:t>
      </w:r>
      <w:r>
        <w:rPr>
          <w:spacing w:val="-4"/>
        </w:rPr>
        <w:t xml:space="preserve"> </w:t>
      </w:r>
      <w:r>
        <w:t>at</w:t>
      </w:r>
      <w:r>
        <w:rPr>
          <w:spacing w:val="-3"/>
        </w:rPr>
        <w:t xml:space="preserve"> </w:t>
      </w:r>
      <w:r>
        <w:t>pH</w:t>
      </w:r>
      <w:r>
        <w:rPr>
          <w:spacing w:val="-5"/>
        </w:rPr>
        <w:t xml:space="preserve"> </w:t>
      </w:r>
      <w:r>
        <w:t>1</w:t>
      </w:r>
      <w:r>
        <w:rPr>
          <w:spacing w:val="-3"/>
        </w:rPr>
        <w:t xml:space="preserve"> </w:t>
      </w:r>
      <w:r>
        <w:t>and</w:t>
      </w:r>
      <w:r>
        <w:rPr>
          <w:spacing w:val="-3"/>
        </w:rPr>
        <w:t xml:space="preserve"> </w:t>
      </w:r>
      <w:r>
        <w:t>2</w:t>
      </w:r>
      <w:r>
        <w:rPr>
          <w:spacing w:val="-3"/>
        </w:rPr>
        <w:t xml:space="preserve"> </w:t>
      </w:r>
      <w:r>
        <w:t>and</w:t>
      </w:r>
      <w:r>
        <w:rPr>
          <w:spacing w:val="-3"/>
        </w:rPr>
        <w:t xml:space="preserve"> </w:t>
      </w:r>
      <w:r>
        <w:t>of</w:t>
      </w:r>
      <w:r>
        <w:rPr>
          <w:spacing w:val="-3"/>
        </w:rPr>
        <w:t xml:space="preserve"> </w:t>
      </w:r>
      <w:r>
        <w:t>further</w:t>
      </w:r>
      <w:r>
        <w:rPr>
          <w:spacing w:val="-3"/>
        </w:rPr>
        <w:t xml:space="preserve"> </w:t>
      </w:r>
      <w:r>
        <w:t>decreasing</w:t>
      </w:r>
      <w:r>
        <w:rPr>
          <w:spacing w:val="-4"/>
        </w:rPr>
        <w:t xml:space="preserve"> </w:t>
      </w:r>
      <w:r>
        <w:t>solubility</w:t>
      </w:r>
      <w:r>
        <w:rPr>
          <w:spacing w:val="-5"/>
        </w:rPr>
        <w:t xml:space="preserve"> </w:t>
      </w:r>
      <w:r>
        <w:t>towards</w:t>
      </w:r>
      <w:r>
        <w:rPr>
          <w:spacing w:val="-4"/>
        </w:rPr>
        <w:t xml:space="preserve"> </w:t>
      </w:r>
      <w:r>
        <w:t>neutral condition. The log of the distribution coefficient (n-octanol/acetate buffer pH 4.0) is 1.2.</w:t>
      </w:r>
    </w:p>
    <w:p w14:paraId="23670073" w14:textId="77777777" w:rsidR="005303F6" w:rsidRDefault="00EB7C90" w:rsidP="008F14F0">
      <w:pPr>
        <w:pStyle w:val="Heading1"/>
        <w:numPr>
          <w:ilvl w:val="0"/>
          <w:numId w:val="2"/>
        </w:numPr>
        <w:tabs>
          <w:tab w:val="left" w:pos="880"/>
        </w:tabs>
        <w:spacing w:before="202"/>
      </w:pPr>
      <w:bookmarkStart w:id="48" w:name="7_Medicine_schedule_(Poisons_Standard)"/>
      <w:bookmarkEnd w:id="48"/>
      <w:r>
        <w:t>MEDICINE</w:t>
      </w:r>
      <w:r>
        <w:rPr>
          <w:spacing w:val="-8"/>
        </w:rPr>
        <w:t xml:space="preserve"> </w:t>
      </w:r>
      <w:r>
        <w:t>SCHEDULE</w:t>
      </w:r>
      <w:r>
        <w:rPr>
          <w:spacing w:val="-4"/>
        </w:rPr>
        <w:t xml:space="preserve"> </w:t>
      </w:r>
      <w:r>
        <w:t>(POISONS</w:t>
      </w:r>
      <w:r>
        <w:rPr>
          <w:spacing w:val="-8"/>
        </w:rPr>
        <w:t xml:space="preserve"> </w:t>
      </w:r>
      <w:r>
        <w:rPr>
          <w:spacing w:val="-2"/>
        </w:rPr>
        <w:t>STANDARD)</w:t>
      </w:r>
    </w:p>
    <w:p w14:paraId="23670074" w14:textId="77777777" w:rsidR="005303F6" w:rsidRDefault="00EB7C90" w:rsidP="008F14F0">
      <w:pPr>
        <w:pStyle w:val="BodyText"/>
        <w:spacing w:before="170"/>
        <w:jc w:val="left"/>
      </w:pPr>
      <w:r>
        <w:t>Schedule</w:t>
      </w:r>
      <w:r>
        <w:rPr>
          <w:spacing w:val="-3"/>
        </w:rPr>
        <w:t xml:space="preserve"> </w:t>
      </w:r>
      <w:r>
        <w:t>4</w:t>
      </w:r>
      <w:r>
        <w:rPr>
          <w:spacing w:val="-3"/>
        </w:rPr>
        <w:t xml:space="preserve"> </w:t>
      </w:r>
      <w:r>
        <w:t>–</w:t>
      </w:r>
      <w:r>
        <w:rPr>
          <w:spacing w:val="-4"/>
        </w:rPr>
        <w:t xml:space="preserve"> </w:t>
      </w:r>
      <w:r>
        <w:t>Prescription</w:t>
      </w:r>
      <w:r>
        <w:rPr>
          <w:spacing w:val="-2"/>
        </w:rPr>
        <w:t xml:space="preserve"> </w:t>
      </w:r>
      <w:r>
        <w:t>Only</w:t>
      </w:r>
      <w:r>
        <w:rPr>
          <w:spacing w:val="-6"/>
        </w:rPr>
        <w:t xml:space="preserve"> </w:t>
      </w:r>
      <w:r>
        <w:rPr>
          <w:spacing w:val="-2"/>
        </w:rPr>
        <w:t>Medicine</w:t>
      </w:r>
    </w:p>
    <w:p w14:paraId="23670075" w14:textId="77777777" w:rsidR="005303F6" w:rsidRDefault="00EB7C90" w:rsidP="008F14F0">
      <w:pPr>
        <w:pStyle w:val="Heading1"/>
        <w:numPr>
          <w:ilvl w:val="0"/>
          <w:numId w:val="2"/>
        </w:numPr>
        <w:tabs>
          <w:tab w:val="left" w:pos="880"/>
        </w:tabs>
        <w:spacing w:before="244"/>
      </w:pPr>
      <w:bookmarkStart w:id="49" w:name="8_Sponsor"/>
      <w:bookmarkEnd w:id="49"/>
      <w:r>
        <w:rPr>
          <w:spacing w:val="-2"/>
        </w:rPr>
        <w:t>SPONSOR</w:t>
      </w:r>
    </w:p>
    <w:p w14:paraId="23670076" w14:textId="77777777" w:rsidR="005303F6" w:rsidRDefault="00EB7C90" w:rsidP="008F14F0">
      <w:pPr>
        <w:pStyle w:val="BodyText"/>
        <w:spacing w:before="170"/>
        <w:ind w:right="4852"/>
        <w:jc w:val="left"/>
      </w:pPr>
      <w:r>
        <w:t>Novartis</w:t>
      </w:r>
      <w:r>
        <w:rPr>
          <w:spacing w:val="-11"/>
        </w:rPr>
        <w:t xml:space="preserve"> </w:t>
      </w:r>
      <w:r>
        <w:t>Pharmaceuticals</w:t>
      </w:r>
      <w:r>
        <w:rPr>
          <w:spacing w:val="-9"/>
        </w:rPr>
        <w:t xml:space="preserve"> </w:t>
      </w:r>
      <w:r>
        <w:t>Australia</w:t>
      </w:r>
      <w:r>
        <w:rPr>
          <w:spacing w:val="-9"/>
        </w:rPr>
        <w:t xml:space="preserve"> </w:t>
      </w:r>
      <w:r>
        <w:t>Pty</w:t>
      </w:r>
      <w:r>
        <w:rPr>
          <w:spacing w:val="-9"/>
        </w:rPr>
        <w:t xml:space="preserve"> </w:t>
      </w:r>
      <w:r>
        <w:t>Limited ABN 18 004 244 160</w:t>
      </w:r>
    </w:p>
    <w:p w14:paraId="23670077" w14:textId="77777777" w:rsidR="005303F6" w:rsidRDefault="00EB7C90" w:rsidP="008F14F0">
      <w:pPr>
        <w:pStyle w:val="BodyText"/>
        <w:spacing w:before="0"/>
        <w:ind w:right="6531"/>
        <w:jc w:val="left"/>
      </w:pPr>
      <w:r>
        <w:t>Level</w:t>
      </w:r>
      <w:r>
        <w:rPr>
          <w:spacing w:val="-7"/>
        </w:rPr>
        <w:t xml:space="preserve"> </w:t>
      </w:r>
      <w:r>
        <w:t>25,</w:t>
      </w:r>
      <w:r>
        <w:rPr>
          <w:spacing w:val="-10"/>
        </w:rPr>
        <w:t xml:space="preserve"> </w:t>
      </w:r>
      <w:r>
        <w:t>Victoria</w:t>
      </w:r>
      <w:r>
        <w:rPr>
          <w:spacing w:val="-8"/>
        </w:rPr>
        <w:t xml:space="preserve"> </w:t>
      </w:r>
      <w:r>
        <w:t>Cross</w:t>
      </w:r>
      <w:r>
        <w:rPr>
          <w:spacing w:val="-10"/>
        </w:rPr>
        <w:t xml:space="preserve"> </w:t>
      </w:r>
      <w:r>
        <w:t>Tower 155 Miller Street</w:t>
      </w:r>
    </w:p>
    <w:p w14:paraId="23670078" w14:textId="77777777" w:rsidR="005303F6" w:rsidRDefault="00EB7C90" w:rsidP="008F14F0">
      <w:pPr>
        <w:pStyle w:val="BodyText"/>
        <w:spacing w:before="0"/>
        <w:ind w:right="6531"/>
        <w:jc w:val="left"/>
      </w:pPr>
      <w:r>
        <w:t>North Sydney NSW 2060 Telephone: 1800 671 203. Website:</w:t>
      </w:r>
      <w:r>
        <w:rPr>
          <w:spacing w:val="-14"/>
        </w:rPr>
        <w:t xml:space="preserve"> </w:t>
      </w:r>
      <w:hyperlink r:id="rId10">
        <w:r>
          <w:rPr>
            <w:color w:val="0000FF"/>
            <w:u w:val="single" w:color="0000FF"/>
          </w:rPr>
          <w:t>www.novartis.com.au</w:t>
        </w:r>
      </w:hyperlink>
    </w:p>
    <w:p w14:paraId="23670079" w14:textId="77777777" w:rsidR="005303F6" w:rsidRDefault="00EB7C90" w:rsidP="008F14F0">
      <w:pPr>
        <w:pStyle w:val="BodyText"/>
        <w:spacing w:before="243"/>
        <w:jc w:val="left"/>
      </w:pPr>
      <w:r>
        <w:t>®</w:t>
      </w:r>
      <w:r>
        <w:rPr>
          <w:spacing w:val="-3"/>
        </w:rPr>
        <w:t xml:space="preserve"> </w:t>
      </w:r>
      <w:r>
        <w:t>=</w:t>
      </w:r>
      <w:r>
        <w:rPr>
          <w:spacing w:val="-2"/>
        </w:rPr>
        <w:t xml:space="preserve"> </w:t>
      </w:r>
      <w:r>
        <w:t>Registered</w:t>
      </w:r>
      <w:r>
        <w:rPr>
          <w:spacing w:val="-2"/>
        </w:rPr>
        <w:t xml:space="preserve"> Trademark.</w:t>
      </w:r>
    </w:p>
    <w:p w14:paraId="2367007A" w14:textId="77777777" w:rsidR="005303F6" w:rsidRDefault="00EB7C90" w:rsidP="008F14F0">
      <w:pPr>
        <w:pStyle w:val="Heading1"/>
        <w:numPr>
          <w:ilvl w:val="0"/>
          <w:numId w:val="2"/>
        </w:numPr>
        <w:tabs>
          <w:tab w:val="left" w:pos="880"/>
        </w:tabs>
        <w:spacing w:before="244"/>
      </w:pPr>
      <w:bookmarkStart w:id="50" w:name="9_Date_of_first_approval"/>
      <w:bookmarkEnd w:id="50"/>
      <w:r>
        <w:t>DATE</w:t>
      </w:r>
      <w:r>
        <w:rPr>
          <w:spacing w:val="-2"/>
        </w:rPr>
        <w:t xml:space="preserve"> </w:t>
      </w:r>
      <w:r>
        <w:t>OF</w:t>
      </w:r>
      <w:r>
        <w:rPr>
          <w:spacing w:val="-2"/>
        </w:rPr>
        <w:t xml:space="preserve"> </w:t>
      </w:r>
      <w:r>
        <w:t>FIRST</w:t>
      </w:r>
      <w:r>
        <w:rPr>
          <w:spacing w:val="-1"/>
        </w:rPr>
        <w:t xml:space="preserve"> </w:t>
      </w:r>
      <w:r>
        <w:rPr>
          <w:spacing w:val="-2"/>
        </w:rPr>
        <w:t>APPROVAL</w:t>
      </w:r>
    </w:p>
    <w:p w14:paraId="2367007B" w14:textId="77777777" w:rsidR="005303F6" w:rsidRDefault="00EB7C90" w:rsidP="008F14F0">
      <w:pPr>
        <w:pStyle w:val="BodyText"/>
        <w:spacing w:before="170"/>
        <w:jc w:val="left"/>
      </w:pPr>
      <w:r>
        <w:rPr>
          <w:spacing w:val="-2"/>
        </w:rPr>
        <w:t>XXXXXX</w:t>
      </w:r>
    </w:p>
    <w:p w14:paraId="6A12F694" w14:textId="77777777" w:rsidR="005303F6" w:rsidRDefault="005303F6" w:rsidP="008F14F0">
      <w:pPr>
        <w:pStyle w:val="BodyText"/>
        <w:jc w:val="left"/>
      </w:pPr>
    </w:p>
    <w:p w14:paraId="2367007D" w14:textId="77777777" w:rsidR="005303F6" w:rsidRDefault="00EB7C90" w:rsidP="008F14F0">
      <w:pPr>
        <w:pStyle w:val="Heading1"/>
        <w:numPr>
          <w:ilvl w:val="0"/>
          <w:numId w:val="2"/>
        </w:numPr>
        <w:tabs>
          <w:tab w:val="left" w:pos="878"/>
        </w:tabs>
        <w:spacing w:before="82"/>
        <w:ind w:left="878" w:hanging="430"/>
      </w:pPr>
      <w:bookmarkStart w:id="51" w:name="10_Date_of_revision"/>
      <w:bookmarkEnd w:id="51"/>
      <w:r>
        <w:t>DATE</w:t>
      </w:r>
      <w:r>
        <w:rPr>
          <w:spacing w:val="-2"/>
        </w:rPr>
        <w:t xml:space="preserve"> </w:t>
      </w:r>
      <w:r>
        <w:t>OF</w:t>
      </w:r>
      <w:r>
        <w:rPr>
          <w:spacing w:val="-1"/>
        </w:rPr>
        <w:t xml:space="preserve"> </w:t>
      </w:r>
      <w:r>
        <w:rPr>
          <w:spacing w:val="-2"/>
        </w:rPr>
        <w:t>REVISION</w:t>
      </w:r>
    </w:p>
    <w:p w14:paraId="2367007E" w14:textId="77777777" w:rsidR="005303F6" w:rsidRDefault="00EB7C90" w:rsidP="008F14F0">
      <w:pPr>
        <w:pStyle w:val="BodyText"/>
        <w:spacing w:before="168"/>
        <w:jc w:val="left"/>
      </w:pPr>
      <w:r>
        <w:rPr>
          <w:spacing w:val="-5"/>
        </w:rPr>
        <w:t>N/A</w:t>
      </w:r>
    </w:p>
    <w:p w14:paraId="2367007F" w14:textId="77777777" w:rsidR="005303F6" w:rsidRDefault="00EB7C90" w:rsidP="008F14F0">
      <w:pPr>
        <w:pStyle w:val="Heading3"/>
        <w:spacing w:before="245"/>
        <w:rPr>
          <w:rFonts w:ascii="Cambria"/>
        </w:rPr>
      </w:pPr>
      <w:bookmarkStart w:id="52" w:name="Summary_table_of_changes"/>
      <w:bookmarkEnd w:id="52"/>
      <w:r>
        <w:rPr>
          <w:rFonts w:ascii="Cambria"/>
          <w:smallCaps/>
        </w:rPr>
        <w:t>Summary</w:t>
      </w:r>
      <w:r>
        <w:rPr>
          <w:rFonts w:ascii="Cambria"/>
          <w:smallCaps/>
          <w:spacing w:val="-9"/>
        </w:rPr>
        <w:t xml:space="preserve"> </w:t>
      </w:r>
      <w:r>
        <w:rPr>
          <w:rFonts w:ascii="Cambria"/>
          <w:smallCaps/>
        </w:rPr>
        <w:t>table</w:t>
      </w:r>
      <w:r>
        <w:rPr>
          <w:rFonts w:ascii="Cambria"/>
          <w:smallCaps/>
          <w:spacing w:val="-8"/>
        </w:rPr>
        <w:t xml:space="preserve"> </w:t>
      </w:r>
      <w:r>
        <w:rPr>
          <w:rFonts w:ascii="Cambria"/>
          <w:smallCaps/>
        </w:rPr>
        <w:t>of</w:t>
      </w:r>
      <w:r>
        <w:rPr>
          <w:rFonts w:ascii="Cambria"/>
          <w:smallCaps/>
          <w:spacing w:val="-8"/>
        </w:rPr>
        <w:t xml:space="preserve"> </w:t>
      </w:r>
      <w:r>
        <w:rPr>
          <w:rFonts w:ascii="Cambria"/>
          <w:smallCaps/>
          <w:spacing w:val="-2"/>
        </w:rPr>
        <w:t>changes</w:t>
      </w:r>
    </w:p>
    <w:p w14:paraId="23670080" w14:textId="77777777" w:rsidR="005303F6" w:rsidRDefault="005303F6" w:rsidP="008F14F0">
      <w:pPr>
        <w:pStyle w:val="BodyText"/>
        <w:spacing w:before="10"/>
        <w:ind w:left="0"/>
        <w:jc w:val="left"/>
        <w:rPr>
          <w:rFonts w:ascii="Cambria"/>
          <w:b/>
          <w:sz w:val="13"/>
        </w:rPr>
      </w:pPr>
    </w:p>
    <w:tbl>
      <w:tblPr>
        <w:tblW w:w="0" w:type="auto"/>
        <w:tblInd w:w="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5303F6" w14:paraId="23670083" w14:textId="77777777">
        <w:trPr>
          <w:trHeight w:val="581"/>
        </w:trPr>
        <w:tc>
          <w:tcPr>
            <w:tcW w:w="1370" w:type="dxa"/>
            <w:tcBorders>
              <w:bottom w:val="single" w:sz="18" w:space="0" w:color="000000"/>
            </w:tcBorders>
            <w:shd w:val="clear" w:color="auto" w:fill="F1F1F1"/>
          </w:tcPr>
          <w:p w14:paraId="23670081" w14:textId="77777777" w:rsidR="005303F6" w:rsidRDefault="00EB7C90" w:rsidP="008F14F0">
            <w:pPr>
              <w:pStyle w:val="TableParagraph"/>
              <w:spacing w:before="56"/>
              <w:ind w:left="107" w:right="445"/>
              <w:rPr>
                <w:rFonts w:ascii="Cambria"/>
                <w:b/>
                <w:sz w:val="20"/>
              </w:rPr>
            </w:pPr>
            <w:r>
              <w:rPr>
                <w:rFonts w:ascii="Cambria"/>
                <w:b/>
                <w:spacing w:val="-2"/>
                <w:sz w:val="20"/>
              </w:rPr>
              <w:t>Section Changed</w:t>
            </w:r>
          </w:p>
        </w:tc>
        <w:tc>
          <w:tcPr>
            <w:tcW w:w="7638" w:type="dxa"/>
            <w:tcBorders>
              <w:bottom w:val="single" w:sz="18" w:space="0" w:color="000000"/>
            </w:tcBorders>
            <w:shd w:val="clear" w:color="auto" w:fill="F1F1F1"/>
          </w:tcPr>
          <w:p w14:paraId="23670082" w14:textId="77777777" w:rsidR="005303F6" w:rsidRDefault="00EB7C90" w:rsidP="008F14F0">
            <w:pPr>
              <w:pStyle w:val="TableParagraph"/>
              <w:spacing w:before="172"/>
              <w:ind w:left="107"/>
              <w:rPr>
                <w:rFonts w:ascii="Cambria"/>
                <w:b/>
                <w:sz w:val="20"/>
              </w:rPr>
            </w:pPr>
            <w:r>
              <w:rPr>
                <w:rFonts w:ascii="Cambria"/>
                <w:b/>
                <w:sz w:val="20"/>
              </w:rPr>
              <w:t>Summary</w:t>
            </w:r>
            <w:r>
              <w:rPr>
                <w:rFonts w:ascii="Cambria"/>
                <w:b/>
                <w:spacing w:val="-6"/>
                <w:sz w:val="20"/>
              </w:rPr>
              <w:t xml:space="preserve"> </w:t>
            </w:r>
            <w:r>
              <w:rPr>
                <w:rFonts w:ascii="Cambria"/>
                <w:b/>
                <w:sz w:val="20"/>
              </w:rPr>
              <w:t>of</w:t>
            </w:r>
            <w:r>
              <w:rPr>
                <w:rFonts w:ascii="Cambria"/>
                <w:b/>
                <w:spacing w:val="-6"/>
                <w:sz w:val="20"/>
              </w:rPr>
              <w:t xml:space="preserve"> </w:t>
            </w:r>
            <w:r>
              <w:rPr>
                <w:rFonts w:ascii="Cambria"/>
                <w:b/>
                <w:sz w:val="20"/>
              </w:rPr>
              <w:t>new</w:t>
            </w:r>
            <w:r>
              <w:rPr>
                <w:rFonts w:ascii="Cambria"/>
                <w:b/>
                <w:spacing w:val="-8"/>
                <w:sz w:val="20"/>
              </w:rPr>
              <w:t xml:space="preserve"> </w:t>
            </w:r>
            <w:r>
              <w:rPr>
                <w:rFonts w:ascii="Cambria"/>
                <w:b/>
                <w:spacing w:val="-2"/>
                <w:sz w:val="20"/>
              </w:rPr>
              <w:t>information</w:t>
            </w:r>
          </w:p>
        </w:tc>
      </w:tr>
      <w:tr w:rsidR="005303F6" w14:paraId="23670086" w14:textId="77777777">
        <w:trPr>
          <w:trHeight w:val="358"/>
        </w:trPr>
        <w:tc>
          <w:tcPr>
            <w:tcW w:w="1370" w:type="dxa"/>
            <w:tcBorders>
              <w:top w:val="single" w:sz="18" w:space="0" w:color="000000"/>
            </w:tcBorders>
          </w:tcPr>
          <w:p w14:paraId="23670084" w14:textId="77777777" w:rsidR="005303F6" w:rsidRDefault="00EB7C90" w:rsidP="008F14F0">
            <w:pPr>
              <w:pStyle w:val="TableParagraph"/>
              <w:spacing w:before="37"/>
              <w:ind w:left="107"/>
              <w:rPr>
                <w:rFonts w:ascii="Cambria"/>
                <w:b/>
              </w:rPr>
            </w:pPr>
            <w:r>
              <w:rPr>
                <w:rFonts w:ascii="Cambria"/>
                <w:b/>
                <w:spacing w:val="-10"/>
              </w:rPr>
              <w:t>-</w:t>
            </w:r>
          </w:p>
        </w:tc>
        <w:tc>
          <w:tcPr>
            <w:tcW w:w="7638" w:type="dxa"/>
            <w:tcBorders>
              <w:top w:val="single" w:sz="18" w:space="0" w:color="000000"/>
            </w:tcBorders>
          </w:tcPr>
          <w:p w14:paraId="23670085" w14:textId="77777777" w:rsidR="005303F6" w:rsidRDefault="00EB7C90" w:rsidP="008F14F0">
            <w:pPr>
              <w:pStyle w:val="TableParagraph"/>
              <w:spacing w:before="32"/>
              <w:ind w:left="107"/>
              <w:rPr>
                <w:rFonts w:ascii="Calibri"/>
              </w:rPr>
            </w:pPr>
            <w:r>
              <w:rPr>
                <w:rFonts w:ascii="Calibri"/>
                <w:spacing w:val="-10"/>
              </w:rPr>
              <w:t>-</w:t>
            </w:r>
          </w:p>
        </w:tc>
      </w:tr>
    </w:tbl>
    <w:p w14:paraId="23670087" w14:textId="77777777" w:rsidR="005303F6" w:rsidRDefault="005303F6" w:rsidP="008F14F0">
      <w:pPr>
        <w:pStyle w:val="BodyText"/>
        <w:spacing w:before="0"/>
        <w:ind w:left="0"/>
        <w:jc w:val="left"/>
        <w:rPr>
          <w:rFonts w:ascii="Cambria"/>
          <w:b/>
          <w:sz w:val="20"/>
        </w:rPr>
      </w:pPr>
    </w:p>
    <w:p w14:paraId="23670088" w14:textId="77777777" w:rsidR="005303F6" w:rsidRDefault="00EB7C90" w:rsidP="008F14F0">
      <w:pPr>
        <w:pStyle w:val="BodyText"/>
        <w:spacing w:before="19"/>
        <w:ind w:left="0"/>
        <w:jc w:val="left"/>
        <w:rPr>
          <w:rFonts w:ascii="Cambria"/>
          <w:b/>
          <w:sz w:val="20"/>
        </w:rPr>
      </w:pPr>
      <w:r>
        <w:rPr>
          <w:rFonts w:ascii="Cambria"/>
          <w:b/>
          <w:noProof/>
          <w:sz w:val="20"/>
        </w:rPr>
        <mc:AlternateContent>
          <mc:Choice Requires="wps">
            <w:drawing>
              <wp:anchor distT="0" distB="0" distL="0" distR="0" simplePos="0" relativeHeight="487589888" behindDoc="1" locked="0" layoutInCell="1" allowOverlap="1" wp14:anchorId="23670092" wp14:editId="23670093">
                <wp:simplePos x="0" y="0"/>
                <wp:positionH relativeFrom="page">
                  <wp:posOffset>1123492</wp:posOffset>
                </wp:positionH>
                <wp:positionV relativeFrom="paragraph">
                  <wp:posOffset>176229</wp:posOffset>
                </wp:positionV>
                <wp:extent cx="498475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4750" cy="6350"/>
                        </a:xfrm>
                        <a:custGeom>
                          <a:avLst/>
                          <a:gdLst/>
                          <a:ahLst/>
                          <a:cxnLst/>
                          <a:rect l="l" t="t" r="r" b="b"/>
                          <a:pathLst>
                            <a:path w="4984750" h="6350">
                              <a:moveTo>
                                <a:pt x="4984369" y="0"/>
                              </a:moveTo>
                              <a:lnTo>
                                <a:pt x="0" y="0"/>
                              </a:lnTo>
                              <a:lnTo>
                                <a:pt x="0" y="6096"/>
                              </a:lnTo>
                              <a:lnTo>
                                <a:pt x="4984369" y="6096"/>
                              </a:lnTo>
                              <a:lnTo>
                                <a:pt x="49843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6CDB9" id="Graphic 9" o:spid="_x0000_s1026" style="position:absolute;margin-left:88.45pt;margin-top:13.9pt;width:392.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84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" path="m4984369,l,,,6096r4984369,l4984369,xe" fillcolor="black" stroked="f">
                <v:path arrowok="t"/>
                <w10:wrap type="topAndBottom" anchorx="page"/>
              </v:shape>
            </w:pict>
          </mc:Fallback>
        </mc:AlternateContent>
      </w:r>
    </w:p>
    <w:p w14:paraId="23670089" w14:textId="77777777" w:rsidR="005303F6" w:rsidRDefault="00EB7C90" w:rsidP="008F14F0">
      <w:pPr>
        <w:spacing w:before="100"/>
        <w:ind w:left="806"/>
        <w:rPr>
          <w:sz w:val="20"/>
        </w:rPr>
      </w:pPr>
      <w:r>
        <w:rPr>
          <w:sz w:val="20"/>
        </w:rPr>
        <w:t>Internal</w:t>
      </w:r>
      <w:r>
        <w:rPr>
          <w:spacing w:val="-7"/>
          <w:sz w:val="20"/>
        </w:rPr>
        <w:t xml:space="preserve"> </w:t>
      </w:r>
      <w:r>
        <w:rPr>
          <w:sz w:val="20"/>
        </w:rPr>
        <w:t>document</w:t>
      </w:r>
      <w:r>
        <w:rPr>
          <w:spacing w:val="-6"/>
          <w:sz w:val="20"/>
        </w:rPr>
        <w:t xml:space="preserve"> </w:t>
      </w:r>
      <w:r>
        <w:rPr>
          <w:sz w:val="20"/>
        </w:rPr>
        <w:t>code</w:t>
      </w:r>
      <w:r>
        <w:rPr>
          <w:spacing w:val="-5"/>
          <w:sz w:val="20"/>
        </w:rPr>
        <w:t xml:space="preserve"> </w:t>
      </w:r>
      <w:proofErr w:type="spellStart"/>
      <w:r>
        <w:rPr>
          <w:sz w:val="20"/>
        </w:rPr>
        <w:t>tabxxxxxxi</w:t>
      </w:r>
      <w:proofErr w:type="spellEnd"/>
      <w:r>
        <w:rPr>
          <w:spacing w:val="-6"/>
          <w:sz w:val="20"/>
        </w:rPr>
        <w:t xml:space="preserve"> </w:t>
      </w:r>
      <w:r>
        <w:rPr>
          <w:sz w:val="20"/>
        </w:rPr>
        <w:t>based</w:t>
      </w:r>
      <w:r>
        <w:rPr>
          <w:spacing w:val="-6"/>
          <w:sz w:val="20"/>
        </w:rPr>
        <w:t xml:space="preserve"> </w:t>
      </w:r>
      <w:r>
        <w:rPr>
          <w:sz w:val="20"/>
        </w:rPr>
        <w:t>on</w:t>
      </w:r>
      <w:r>
        <w:rPr>
          <w:spacing w:val="-7"/>
          <w:sz w:val="20"/>
        </w:rPr>
        <w:t xml:space="preserve"> </w:t>
      </w:r>
      <w:r>
        <w:rPr>
          <w:sz w:val="20"/>
        </w:rPr>
        <w:t>CDS</w:t>
      </w:r>
      <w:r>
        <w:rPr>
          <w:spacing w:val="-7"/>
          <w:sz w:val="20"/>
        </w:rPr>
        <w:t xml:space="preserve"> </w:t>
      </w:r>
      <w:r>
        <w:rPr>
          <w:sz w:val="20"/>
        </w:rPr>
        <w:t>dated</w:t>
      </w:r>
      <w:r>
        <w:rPr>
          <w:spacing w:val="-4"/>
          <w:sz w:val="20"/>
        </w:rPr>
        <w:t xml:space="preserve"> </w:t>
      </w:r>
      <w:r>
        <w:rPr>
          <w:sz w:val="20"/>
        </w:rPr>
        <w:t>25</w:t>
      </w:r>
      <w:r>
        <w:rPr>
          <w:spacing w:val="-7"/>
          <w:sz w:val="20"/>
        </w:rPr>
        <w:t xml:space="preserve"> </w:t>
      </w:r>
      <w:r>
        <w:rPr>
          <w:sz w:val="20"/>
        </w:rPr>
        <w:t>Apr</w:t>
      </w:r>
      <w:r>
        <w:rPr>
          <w:spacing w:val="-6"/>
          <w:sz w:val="20"/>
        </w:rPr>
        <w:t xml:space="preserve"> </w:t>
      </w:r>
      <w:r>
        <w:rPr>
          <w:spacing w:val="-4"/>
          <w:sz w:val="20"/>
        </w:rPr>
        <w:t>2024</w:t>
      </w:r>
    </w:p>
    <w:sectPr w:rsidR="005303F6">
      <w:headerReference w:type="default" r:id="rId11"/>
      <w:footerReference w:type="default" r:id="rId12"/>
      <w:pgSz w:w="11910" w:h="16840"/>
      <w:pgMar w:top="1340" w:right="708" w:bottom="940" w:left="992"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889D" w14:textId="77777777" w:rsidR="00B36E3F" w:rsidRDefault="00B36E3F">
      <w:r>
        <w:separator/>
      </w:r>
    </w:p>
  </w:endnote>
  <w:endnote w:type="continuationSeparator" w:id="0">
    <w:p w14:paraId="1C0501BD" w14:textId="77777777" w:rsidR="00B36E3F" w:rsidRDefault="00B3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0095" w14:textId="77777777" w:rsidR="005303F6" w:rsidRDefault="00EB7C90">
    <w:pPr>
      <w:pStyle w:val="BodyText"/>
      <w:spacing w:before="0" w:line="14" w:lineRule="auto"/>
      <w:ind w:left="0"/>
      <w:jc w:val="left"/>
      <w:rPr>
        <w:sz w:val="20"/>
      </w:rPr>
    </w:pPr>
    <w:r>
      <w:rPr>
        <w:noProof/>
        <w:sz w:val="20"/>
      </w:rPr>
      <mc:AlternateContent>
        <mc:Choice Requires="wps">
          <w:drawing>
            <wp:anchor distT="0" distB="0" distL="0" distR="0" simplePos="0" relativeHeight="487053824" behindDoc="1" locked="0" layoutInCell="1" allowOverlap="1" wp14:anchorId="2367009A" wp14:editId="2367009B">
              <wp:simplePos x="0" y="0"/>
              <wp:positionH relativeFrom="page">
                <wp:posOffset>6469126</wp:posOffset>
              </wp:positionH>
              <wp:positionV relativeFrom="page">
                <wp:posOffset>10082479</wp:posOffset>
              </wp:positionV>
              <wp:extent cx="229235" cy="1739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2367009D" w14:textId="77777777" w:rsidR="005303F6" w:rsidRDefault="00EB7C90">
                          <w:pPr>
                            <w:spacing w:before="19"/>
                            <w:ind w:left="60"/>
                            <w:rPr>
                              <w:rFonts w:ascii="Cambria"/>
                              <w:sz w:val="20"/>
                            </w:rPr>
                          </w:pPr>
                          <w:r>
                            <w:rPr>
                              <w:rFonts w:ascii="Cambria"/>
                              <w:color w:val="2B569A"/>
                              <w:spacing w:val="-5"/>
                              <w:sz w:val="20"/>
                              <w:shd w:val="clear" w:color="auto" w:fill="E6E6E6"/>
                            </w:rPr>
                            <w:fldChar w:fldCharType="begin"/>
                          </w:r>
                          <w:r>
                            <w:rPr>
                              <w:rFonts w:ascii="Cambria"/>
                              <w:color w:val="2B569A"/>
                              <w:spacing w:val="-5"/>
                              <w:sz w:val="20"/>
                              <w:shd w:val="clear" w:color="auto" w:fill="E6E6E6"/>
                            </w:rPr>
                            <w:instrText xml:space="preserve"> PAGE </w:instrText>
                          </w:r>
                          <w:r>
                            <w:rPr>
                              <w:rFonts w:ascii="Cambria"/>
                              <w:color w:val="2B569A"/>
                              <w:spacing w:val="-5"/>
                              <w:sz w:val="20"/>
                              <w:shd w:val="clear" w:color="auto" w:fill="E6E6E6"/>
                            </w:rPr>
                            <w:fldChar w:fldCharType="separate"/>
                          </w:r>
                          <w:r>
                            <w:rPr>
                              <w:rFonts w:ascii="Cambria"/>
                              <w:color w:val="2B569A"/>
                              <w:spacing w:val="-5"/>
                              <w:sz w:val="20"/>
                              <w:shd w:val="clear" w:color="auto" w:fill="E6E6E6"/>
                            </w:rPr>
                            <w:t>10</w:t>
                          </w:r>
                          <w:r>
                            <w:rPr>
                              <w:rFonts w:ascii="Cambria"/>
                              <w:color w:val="2B569A"/>
                              <w:spacing w:val="-5"/>
                              <w:sz w:val="20"/>
                              <w:shd w:val="clear" w:color="auto" w:fill="E6E6E6"/>
                            </w:rPr>
                            <w:fldChar w:fldCharType="end"/>
                          </w:r>
                        </w:p>
                      </w:txbxContent>
                    </wps:txbx>
                    <wps:bodyPr wrap="square" lIns="0" tIns="0" rIns="0" bIns="0" rtlCol="0">
                      <a:noAutofit/>
                    </wps:bodyPr>
                  </wps:wsp>
                </a:graphicData>
              </a:graphic>
            </wp:anchor>
          </w:drawing>
        </mc:Choice>
        <mc:Fallback>
          <w:pict>
            <v:shapetype w14:anchorId="2367009A" id="_x0000_t202" coordsize="21600,21600" o:spt="202" path="m,l,21600r21600,l21600,xe">
              <v:stroke joinstyle="miter"/>
              <v:path gradientshapeok="t" o:connecttype="rect"/>
            </v:shapetype>
            <v:shape id="Textbox 5" o:spid="_x0000_s1026" type="#_x0000_t202" style="position:absolute;margin-left:509.4pt;margin-top:793.9pt;width:18.05pt;height:13.7pt;z-index:-162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" filled="f" stroked="f">
              <v:textbox inset="0,0,0,0">
                <w:txbxContent>
                  <w:p w14:paraId="2367009D" w14:textId="77777777" w:rsidR="005303F6" w:rsidRDefault="00EB7C90">
                    <w:pPr>
                      <w:spacing w:before="19"/>
                      <w:ind w:left="60"/>
                      <w:rPr>
                        <w:rFonts w:ascii="Cambria"/>
                        <w:sz w:val="20"/>
                      </w:rPr>
                    </w:pPr>
                    <w:r>
                      <w:rPr>
                        <w:rFonts w:ascii="Cambria"/>
                        <w:color w:val="2B569A"/>
                        <w:spacing w:val="-5"/>
                        <w:sz w:val="20"/>
                        <w:shd w:val="clear" w:color="auto" w:fill="E6E6E6"/>
                      </w:rPr>
                      <w:fldChar w:fldCharType="begin"/>
                    </w:r>
                    <w:r>
                      <w:rPr>
                        <w:rFonts w:ascii="Cambria"/>
                        <w:color w:val="2B569A"/>
                        <w:spacing w:val="-5"/>
                        <w:sz w:val="20"/>
                        <w:shd w:val="clear" w:color="auto" w:fill="E6E6E6"/>
                      </w:rPr>
                      <w:instrText xml:space="preserve"> PAGE </w:instrText>
                    </w:r>
                    <w:r>
                      <w:rPr>
                        <w:rFonts w:ascii="Cambria"/>
                        <w:color w:val="2B569A"/>
                        <w:spacing w:val="-5"/>
                        <w:sz w:val="20"/>
                        <w:shd w:val="clear" w:color="auto" w:fill="E6E6E6"/>
                      </w:rPr>
                      <w:fldChar w:fldCharType="separate"/>
                    </w:r>
                    <w:r>
                      <w:rPr>
                        <w:rFonts w:ascii="Cambria"/>
                        <w:color w:val="2B569A"/>
                        <w:spacing w:val="-5"/>
                        <w:sz w:val="20"/>
                        <w:shd w:val="clear" w:color="auto" w:fill="E6E6E6"/>
                      </w:rPr>
                      <w:t>10</w:t>
                    </w:r>
                    <w:r>
                      <w:rPr>
                        <w:rFonts w:ascii="Cambria"/>
                        <w:color w:val="2B569A"/>
                        <w:spacing w:val="-5"/>
                        <w:sz w:val="20"/>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4A0B" w14:textId="77777777" w:rsidR="00B36E3F" w:rsidRDefault="00B36E3F">
      <w:r>
        <w:separator/>
      </w:r>
    </w:p>
  </w:footnote>
  <w:footnote w:type="continuationSeparator" w:id="0">
    <w:p w14:paraId="39B2A82D" w14:textId="77777777" w:rsidR="00B36E3F" w:rsidRDefault="00B3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38C6" w14:textId="77777777" w:rsidR="008F14F0" w:rsidRPr="008F14F0" w:rsidRDefault="008F14F0">
    <w:pPr>
      <w:pStyle w:val="Header"/>
      <w:rPr>
        <w:sz w:val="16"/>
        <w:szCs w:val="16"/>
      </w:rPr>
    </w:pPr>
  </w:p>
  <w:tbl>
    <w:tblPr>
      <w:tblStyle w:val="TableGrid"/>
      <w:tblW w:w="0" w:type="auto"/>
      <w:shd w:val="clear" w:color="auto" w:fill="E4F2E0"/>
      <w:tblLook w:val="04A0" w:firstRow="1" w:lastRow="0" w:firstColumn="1" w:lastColumn="0" w:noHBand="0" w:noVBand="1"/>
    </w:tblPr>
    <w:tblGrid>
      <w:gridCol w:w="9606"/>
    </w:tblGrid>
    <w:tr w:rsidR="008F14F0" w:rsidRPr="000B2145" w14:paraId="1BCE3E72" w14:textId="77777777" w:rsidTr="00C04FBC">
      <w:trPr>
        <w:trHeight w:val="1012"/>
      </w:trPr>
      <w:tc>
        <w:tcPr>
          <w:tcW w:w="9606" w:type="dxa"/>
          <w:shd w:val="clear" w:color="auto" w:fill="E4F2E0"/>
        </w:tcPr>
        <w:p w14:paraId="76BBC054" w14:textId="77777777" w:rsidR="008F14F0" w:rsidRPr="000E4791" w:rsidRDefault="008F14F0" w:rsidP="008F14F0">
          <w:pPr>
            <w:pStyle w:val="Footer"/>
            <w:rPr>
              <w:b/>
              <w:sz w:val="18"/>
              <w:szCs w:val="18"/>
            </w:rPr>
          </w:pPr>
          <w:bookmarkStart w:id="53" w:name="_Hlk109054010"/>
          <w:r w:rsidRPr="001F1F07">
            <w:rPr>
              <w:b/>
              <w:bCs/>
            </w:rPr>
            <w:t>AusPAR - Tabrecta - Capmatinib - Novartis Pharmaceuticals Australia Pty Ltd - PM-2025-01762-1-4</w:t>
          </w:r>
          <w:r>
            <w:rPr>
              <w:b/>
              <w:bCs/>
            </w:rPr>
            <w:t xml:space="preserve"> </w:t>
          </w:r>
          <w:r w:rsidRPr="001F1F07">
            <w:rPr>
              <w:b/>
              <w:bCs/>
            </w:rPr>
            <w:t>Date of Finalisation: 13 July 2026</w:t>
          </w:r>
          <w:r w:rsidRPr="00680994">
            <w:rPr>
              <w:b/>
              <w:bCs/>
            </w:rPr>
            <w:t>.</w:t>
          </w:r>
          <w:r>
            <w:rPr>
              <w:b/>
              <w:bCs/>
            </w:rPr>
            <w:t xml:space="preserve"> </w:t>
          </w:r>
          <w:r w:rsidRPr="001733D7">
            <w:rPr>
              <w:b/>
              <w:szCs w:val="17"/>
            </w:rPr>
            <w:t>This is the Product Information that was approved with the submission described in this AusPAR. It may have been superseded. For the most recent PI, please refer to the TGA website at &lt;</w:t>
          </w:r>
          <w:r w:rsidRPr="001733D7">
            <w:rPr>
              <w:szCs w:val="17"/>
            </w:rPr>
            <w:t xml:space="preserve"> </w:t>
          </w:r>
          <w:hyperlink r:id="rId1" w:history="1">
            <w:r w:rsidRPr="001733D7">
              <w:rPr>
                <w:rStyle w:val="Hyperlink"/>
                <w:szCs w:val="17"/>
              </w:rPr>
              <w:t>https://www.tga.gov.au/products/australian-register-therapeutic-goods-artg/product-information-pi</w:t>
            </w:r>
          </w:hyperlink>
          <w:r w:rsidRPr="001733D7">
            <w:rPr>
              <w:b/>
              <w:szCs w:val="17"/>
              <w:u w:val="single"/>
            </w:rPr>
            <w:t>&gt;</w:t>
          </w:r>
        </w:p>
      </w:tc>
    </w:tr>
    <w:bookmarkEnd w:id="53"/>
  </w:tbl>
  <w:p w14:paraId="456E6E59" w14:textId="77777777" w:rsidR="008F14F0" w:rsidRPr="008F14F0" w:rsidRDefault="008F14F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677FA"/>
    <w:multiLevelType w:val="hybridMultilevel"/>
    <w:tmpl w:val="F6F22C0E"/>
    <w:lvl w:ilvl="0" w:tplc="8C46F86C">
      <w:numFmt w:val="bullet"/>
      <w:lvlText w:val="-"/>
      <w:lvlJc w:val="left"/>
      <w:pPr>
        <w:ind w:left="74" w:hanging="111"/>
      </w:pPr>
      <w:rPr>
        <w:rFonts w:ascii="Arial" w:eastAsia="Arial" w:hAnsi="Arial" w:cs="Arial" w:hint="default"/>
        <w:b w:val="0"/>
        <w:bCs w:val="0"/>
        <w:i/>
        <w:iCs/>
        <w:spacing w:val="0"/>
        <w:w w:val="100"/>
        <w:sz w:val="18"/>
        <w:szCs w:val="18"/>
        <w:lang w:val="en-US" w:eastAsia="en-US" w:bidi="ar-SA"/>
      </w:rPr>
    </w:lvl>
    <w:lvl w:ilvl="1" w:tplc="DC2C11A4">
      <w:numFmt w:val="bullet"/>
      <w:lvlText w:val="•"/>
      <w:lvlJc w:val="left"/>
      <w:pPr>
        <w:ind w:left="976" w:hanging="111"/>
      </w:pPr>
      <w:rPr>
        <w:rFonts w:hint="default"/>
        <w:lang w:val="en-US" w:eastAsia="en-US" w:bidi="ar-SA"/>
      </w:rPr>
    </w:lvl>
    <w:lvl w:ilvl="2" w:tplc="33023238">
      <w:numFmt w:val="bullet"/>
      <w:lvlText w:val="•"/>
      <w:lvlJc w:val="left"/>
      <w:pPr>
        <w:ind w:left="1872" w:hanging="111"/>
      </w:pPr>
      <w:rPr>
        <w:rFonts w:hint="default"/>
        <w:lang w:val="en-US" w:eastAsia="en-US" w:bidi="ar-SA"/>
      </w:rPr>
    </w:lvl>
    <w:lvl w:ilvl="3" w:tplc="F00A7486">
      <w:numFmt w:val="bullet"/>
      <w:lvlText w:val="•"/>
      <w:lvlJc w:val="left"/>
      <w:pPr>
        <w:ind w:left="2768" w:hanging="111"/>
      </w:pPr>
      <w:rPr>
        <w:rFonts w:hint="default"/>
        <w:lang w:val="en-US" w:eastAsia="en-US" w:bidi="ar-SA"/>
      </w:rPr>
    </w:lvl>
    <w:lvl w:ilvl="4" w:tplc="C2EC6094">
      <w:numFmt w:val="bullet"/>
      <w:lvlText w:val="•"/>
      <w:lvlJc w:val="left"/>
      <w:pPr>
        <w:ind w:left="3664" w:hanging="111"/>
      </w:pPr>
      <w:rPr>
        <w:rFonts w:hint="default"/>
        <w:lang w:val="en-US" w:eastAsia="en-US" w:bidi="ar-SA"/>
      </w:rPr>
    </w:lvl>
    <w:lvl w:ilvl="5" w:tplc="A634C2C6">
      <w:numFmt w:val="bullet"/>
      <w:lvlText w:val="•"/>
      <w:lvlJc w:val="left"/>
      <w:pPr>
        <w:ind w:left="4560" w:hanging="111"/>
      </w:pPr>
      <w:rPr>
        <w:rFonts w:hint="default"/>
        <w:lang w:val="en-US" w:eastAsia="en-US" w:bidi="ar-SA"/>
      </w:rPr>
    </w:lvl>
    <w:lvl w:ilvl="6" w:tplc="B4A6D9D0">
      <w:numFmt w:val="bullet"/>
      <w:lvlText w:val="•"/>
      <w:lvlJc w:val="left"/>
      <w:pPr>
        <w:ind w:left="5456" w:hanging="111"/>
      </w:pPr>
      <w:rPr>
        <w:rFonts w:hint="default"/>
        <w:lang w:val="en-US" w:eastAsia="en-US" w:bidi="ar-SA"/>
      </w:rPr>
    </w:lvl>
    <w:lvl w:ilvl="7" w:tplc="A9DE1C78">
      <w:numFmt w:val="bullet"/>
      <w:lvlText w:val="•"/>
      <w:lvlJc w:val="left"/>
      <w:pPr>
        <w:ind w:left="6352" w:hanging="111"/>
      </w:pPr>
      <w:rPr>
        <w:rFonts w:hint="default"/>
        <w:lang w:val="en-US" w:eastAsia="en-US" w:bidi="ar-SA"/>
      </w:rPr>
    </w:lvl>
    <w:lvl w:ilvl="8" w:tplc="81C6EE40">
      <w:numFmt w:val="bullet"/>
      <w:lvlText w:val="•"/>
      <w:lvlJc w:val="left"/>
      <w:pPr>
        <w:ind w:left="7248" w:hanging="111"/>
      </w:pPr>
      <w:rPr>
        <w:rFonts w:hint="default"/>
        <w:lang w:val="en-US" w:eastAsia="en-US" w:bidi="ar-SA"/>
      </w:rPr>
    </w:lvl>
  </w:abstractNum>
  <w:abstractNum w:abstractNumId="1" w15:restartNumberingAfterBreak="0">
    <w:nsid w:val="61EE2272"/>
    <w:multiLevelType w:val="multilevel"/>
    <w:tmpl w:val="742E9DD0"/>
    <w:lvl w:ilvl="0">
      <w:start w:val="1"/>
      <w:numFmt w:val="decimal"/>
      <w:lvlText w:val="%1"/>
      <w:lvlJc w:val="left"/>
      <w:pPr>
        <w:ind w:left="880" w:hanging="432"/>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1024" w:hanging="576"/>
        <w:jc w:val="left"/>
      </w:pPr>
      <w:rPr>
        <w:rFonts w:hint="default"/>
        <w:spacing w:val="-1"/>
        <w:w w:val="99"/>
        <w:lang w:val="en-US" w:eastAsia="en-US" w:bidi="ar-SA"/>
      </w:rPr>
    </w:lvl>
    <w:lvl w:ilvl="2">
      <w:numFmt w:val="bullet"/>
      <w:lvlText w:val="•"/>
      <w:lvlJc w:val="left"/>
      <w:pPr>
        <w:ind w:left="2040" w:hanging="576"/>
      </w:pPr>
      <w:rPr>
        <w:rFonts w:hint="default"/>
        <w:lang w:val="en-US" w:eastAsia="en-US" w:bidi="ar-SA"/>
      </w:rPr>
    </w:lvl>
    <w:lvl w:ilvl="3">
      <w:numFmt w:val="bullet"/>
      <w:lvlText w:val="•"/>
      <w:lvlJc w:val="left"/>
      <w:pPr>
        <w:ind w:left="3061" w:hanging="576"/>
      </w:pPr>
      <w:rPr>
        <w:rFonts w:hint="default"/>
        <w:lang w:val="en-US" w:eastAsia="en-US" w:bidi="ar-SA"/>
      </w:rPr>
    </w:lvl>
    <w:lvl w:ilvl="4">
      <w:numFmt w:val="bullet"/>
      <w:lvlText w:val="•"/>
      <w:lvlJc w:val="left"/>
      <w:pPr>
        <w:ind w:left="4082" w:hanging="576"/>
      </w:pPr>
      <w:rPr>
        <w:rFonts w:hint="default"/>
        <w:lang w:val="en-US" w:eastAsia="en-US" w:bidi="ar-SA"/>
      </w:rPr>
    </w:lvl>
    <w:lvl w:ilvl="5">
      <w:numFmt w:val="bullet"/>
      <w:lvlText w:val="•"/>
      <w:lvlJc w:val="left"/>
      <w:pPr>
        <w:ind w:left="5102" w:hanging="576"/>
      </w:pPr>
      <w:rPr>
        <w:rFonts w:hint="default"/>
        <w:lang w:val="en-US" w:eastAsia="en-US" w:bidi="ar-SA"/>
      </w:rPr>
    </w:lvl>
    <w:lvl w:ilvl="6">
      <w:numFmt w:val="bullet"/>
      <w:lvlText w:val="•"/>
      <w:lvlJc w:val="left"/>
      <w:pPr>
        <w:ind w:left="6123" w:hanging="576"/>
      </w:pPr>
      <w:rPr>
        <w:rFonts w:hint="default"/>
        <w:lang w:val="en-US" w:eastAsia="en-US" w:bidi="ar-SA"/>
      </w:rPr>
    </w:lvl>
    <w:lvl w:ilvl="7">
      <w:numFmt w:val="bullet"/>
      <w:lvlText w:val="•"/>
      <w:lvlJc w:val="left"/>
      <w:pPr>
        <w:ind w:left="7144" w:hanging="576"/>
      </w:pPr>
      <w:rPr>
        <w:rFonts w:hint="default"/>
        <w:lang w:val="en-US" w:eastAsia="en-US" w:bidi="ar-SA"/>
      </w:rPr>
    </w:lvl>
    <w:lvl w:ilvl="8">
      <w:numFmt w:val="bullet"/>
      <w:lvlText w:val="•"/>
      <w:lvlJc w:val="left"/>
      <w:pPr>
        <w:ind w:left="8164" w:hanging="576"/>
      </w:pPr>
      <w:rPr>
        <w:rFonts w:hint="default"/>
        <w:lang w:val="en-US" w:eastAsia="en-US" w:bidi="ar-SA"/>
      </w:rPr>
    </w:lvl>
  </w:abstractNum>
  <w:num w:numId="1" w16cid:durableId="627929305">
    <w:abstractNumId w:val="0"/>
  </w:num>
  <w:num w:numId="2" w16cid:durableId="829373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F6"/>
    <w:rsid w:val="0008331C"/>
    <w:rsid w:val="000C5331"/>
    <w:rsid w:val="00395BB3"/>
    <w:rsid w:val="003F2FE8"/>
    <w:rsid w:val="005303F6"/>
    <w:rsid w:val="007235C4"/>
    <w:rsid w:val="008F14F0"/>
    <w:rsid w:val="009811C3"/>
    <w:rsid w:val="00B36E3F"/>
    <w:rsid w:val="00B90D12"/>
    <w:rsid w:val="00C122D1"/>
    <w:rsid w:val="00EB7C90"/>
    <w:rsid w:val="00FF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FE50"/>
  <w15:docId w15:val="{556764DC-B900-4127-9CC2-87BF2D2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3"/>
      <w:ind w:left="880" w:hanging="432"/>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201"/>
      <w:ind w:left="676" w:hanging="576"/>
      <w:outlineLvl w:val="1"/>
    </w:pPr>
    <w:rPr>
      <w:rFonts w:ascii="Cambria" w:eastAsia="Cambria" w:hAnsi="Cambria" w:cs="Cambria"/>
      <w:b/>
      <w:bCs/>
      <w:sz w:val="26"/>
      <w:szCs w:val="26"/>
    </w:rPr>
  </w:style>
  <w:style w:type="paragraph" w:styleId="Heading3">
    <w:name w:val="heading 3"/>
    <w:basedOn w:val="Normal"/>
    <w:uiPriority w:val="9"/>
    <w:unhideWhenUsed/>
    <w:qFormat/>
    <w:pPr>
      <w:spacing w:before="241"/>
      <w:ind w:left="448"/>
      <w:outlineLvl w:val="2"/>
    </w:pPr>
    <w:rPr>
      <w:b/>
      <w:bCs/>
      <w:sz w:val="24"/>
      <w:szCs w:val="24"/>
    </w:rPr>
  </w:style>
  <w:style w:type="paragraph" w:styleId="Heading4">
    <w:name w:val="heading 4"/>
    <w:basedOn w:val="Normal"/>
    <w:uiPriority w:val="9"/>
    <w:unhideWhenUsed/>
    <w:qFormat/>
    <w:pPr>
      <w:spacing w:before="119"/>
      <w:ind w:left="448"/>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48"/>
      <w:jc w:val="both"/>
    </w:pPr>
    <w:rPr>
      <w:sz w:val="24"/>
      <w:szCs w:val="24"/>
    </w:rPr>
  </w:style>
  <w:style w:type="paragraph" w:styleId="ListParagraph">
    <w:name w:val="List Paragraph"/>
    <w:basedOn w:val="Normal"/>
    <w:uiPriority w:val="1"/>
    <w:qFormat/>
    <w:pPr>
      <w:spacing w:before="82"/>
      <w:ind w:left="1024" w:hanging="576"/>
    </w:pPr>
    <w:rPr>
      <w:rFonts w:ascii="Cambria" w:eastAsia="Cambria" w:hAnsi="Cambria" w:cs="Cambria"/>
    </w:rPr>
  </w:style>
  <w:style w:type="paragraph" w:customStyle="1" w:styleId="TableParagraph">
    <w:name w:val="Table Paragraph"/>
    <w:basedOn w:val="Normal"/>
    <w:uiPriority w:val="1"/>
    <w:qFormat/>
    <w:pPr>
      <w:spacing w:before="59"/>
    </w:pPr>
    <w:rPr>
      <w:rFonts w:ascii="Arial" w:eastAsia="Arial" w:hAnsi="Arial" w:cs="Arial"/>
    </w:rPr>
  </w:style>
  <w:style w:type="paragraph" w:styleId="Header">
    <w:name w:val="header"/>
    <w:basedOn w:val="Normal"/>
    <w:link w:val="HeaderChar"/>
    <w:uiPriority w:val="99"/>
    <w:unhideWhenUsed/>
    <w:rsid w:val="003F2FE8"/>
    <w:pPr>
      <w:tabs>
        <w:tab w:val="center" w:pos="4513"/>
        <w:tab w:val="right" w:pos="9026"/>
      </w:tabs>
    </w:pPr>
  </w:style>
  <w:style w:type="character" w:customStyle="1" w:styleId="HeaderChar">
    <w:name w:val="Header Char"/>
    <w:basedOn w:val="DefaultParagraphFont"/>
    <w:link w:val="Header"/>
    <w:uiPriority w:val="99"/>
    <w:rsid w:val="003F2FE8"/>
    <w:rPr>
      <w:rFonts w:ascii="Calibri" w:eastAsia="Calibri" w:hAnsi="Calibri" w:cs="Calibri"/>
    </w:rPr>
  </w:style>
  <w:style w:type="paragraph" w:styleId="Footer">
    <w:name w:val="footer"/>
    <w:basedOn w:val="Normal"/>
    <w:link w:val="FooterChar"/>
    <w:unhideWhenUsed/>
    <w:rsid w:val="003F2FE8"/>
    <w:pPr>
      <w:tabs>
        <w:tab w:val="center" w:pos="4513"/>
        <w:tab w:val="right" w:pos="9026"/>
      </w:tabs>
    </w:pPr>
  </w:style>
  <w:style w:type="character" w:customStyle="1" w:styleId="FooterChar">
    <w:name w:val="Footer Char"/>
    <w:basedOn w:val="DefaultParagraphFont"/>
    <w:link w:val="Footer"/>
    <w:rsid w:val="003F2FE8"/>
    <w:rPr>
      <w:rFonts w:ascii="Calibri" w:eastAsia="Calibri" w:hAnsi="Calibri" w:cs="Calibri"/>
    </w:rPr>
  </w:style>
  <w:style w:type="character" w:styleId="Hyperlink">
    <w:name w:val="Hyperlink"/>
    <w:basedOn w:val="DefaultParagraphFont"/>
    <w:uiPriority w:val="99"/>
    <w:unhideWhenUsed/>
    <w:rsid w:val="003F2FE8"/>
    <w:rPr>
      <w:color w:val="0000FF"/>
      <w:u w:val="single"/>
    </w:rPr>
  </w:style>
  <w:style w:type="table" w:styleId="TableGrid">
    <w:name w:val="Table Grid"/>
    <w:basedOn w:val="TableNormal"/>
    <w:uiPriority w:val="59"/>
    <w:rsid w:val="003F2FE8"/>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ovartis.com.a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6299</Words>
  <Characters>37106</Characters>
  <Application>Microsoft Office Word</Application>
  <DocSecurity>0</DocSecurity>
  <Lines>883</Lines>
  <Paragraphs>510</Paragraphs>
  <ScaleCrop>false</ScaleCrop>
  <HeadingPairs>
    <vt:vector size="2" baseType="variant">
      <vt:variant>
        <vt:lpstr>Title</vt:lpstr>
      </vt:variant>
      <vt:variant>
        <vt:i4>1</vt:i4>
      </vt:variant>
    </vt:vector>
  </HeadingPairs>
  <TitlesOfParts>
    <vt:vector size="1" baseType="lpstr">
      <vt:lpstr>Attachment Product information Tabrecta</vt:lpstr>
    </vt:vector>
  </TitlesOfParts>
  <Company>Novartis Pharmaceuticals Australia Pty Ltd</Company>
  <LinksUpToDate>false</LinksUpToDate>
  <CharactersWithSpaces>42895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Tabrecta</dc:title>
  <dc:subject>prescription medicines</dc:subject>
  <dc:creator>Novartis Pharmaceuticals Australia Pty Ltd</dc:creator>
  <cp:lastModifiedBy>LACK, Janet</cp:lastModifiedBy>
  <cp:revision>5</cp:revision>
  <dcterms:created xsi:type="dcterms:W3CDTF">2026-07-15T01:47:00Z</dcterms:created>
  <dcterms:modified xsi:type="dcterms:W3CDTF">2026-07-15T02:13:00Z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Microsoft® Word for Microsoft 365</vt:lpwstr>
  </property>
  <property fmtid="{D5CDD505-2E9C-101B-9397-08002B2CF9AE}" pid="4" name="LastSaved">
    <vt:filetime>2026-06-12T00:00:00Z</vt:filetime>
  </property>
  <property fmtid="{D5CDD505-2E9C-101B-9397-08002B2CF9AE}" pid="5" name="MSIP_Label_4929bff8-5b33-42aa-95d2-28f72e792cb0_Enabled">
    <vt:lpwstr>true</vt:lpwstr>
  </property>
  <property fmtid="{D5CDD505-2E9C-101B-9397-08002B2CF9AE}" pid="6" name="MSIP_Label_4929bff8-5b33-42aa-95d2-28f72e792cb0_Method">
    <vt:lpwstr>Privileged</vt:lpwstr>
  </property>
  <property fmtid="{D5CDD505-2E9C-101B-9397-08002B2CF9AE}" pid="7" name="MSIP_Label_4929bff8-5b33-42aa-95d2-28f72e792cb0_SiteId">
    <vt:lpwstr>f35a6974-607f-47d4-82d7-ff31d7dc53a5</vt:lpwstr>
  </property>
  <property fmtid="{D5CDD505-2E9C-101B-9397-08002B2CF9AE}" pid="8" name="MSIP_Label_7cd3e8b9-ffed-43a8-b7f4-cc2fa0382d36_ActionId">
    <vt:lpwstr>24c886ef-84de-4bb1-a0c2-75cd2d5373be</vt:lpwstr>
  </property>
  <property fmtid="{D5CDD505-2E9C-101B-9397-08002B2CF9AE}" pid="9" name="MSIP_Label_7cd3e8b9-ffed-43a8-b7f4-cc2fa0382d36_ContentBits">
    <vt:lpwstr>3</vt:lpwstr>
  </property>
  <property fmtid="{D5CDD505-2E9C-101B-9397-08002B2CF9AE}" pid="10" name="MSIP_Label_7cd3e8b9-ffed-43a8-b7f4-cc2fa0382d36_Enabled">
    <vt:lpwstr>true</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etDate">
    <vt:lpwstr>2026-05-06T04:46:03Z</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Tag">
    <vt:lpwstr>10, 0, 1, 1</vt:lpwstr>
  </property>
  <property fmtid="{D5CDD505-2E9C-101B-9397-08002B2CF9AE}" pid="16" name="Producer">
    <vt:lpwstr>Microsoft® Word for Microsoft 365</vt:lpwstr>
  </property>
</Properties>
</file>